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7378" w:rsidRPr="001C0DBA" w:rsidRDefault="00407378" w:rsidP="001C0DBA">
      <w:pPr>
        <w:bidi w:val="0"/>
        <w:snapToGrid w:val="0"/>
        <w:jc w:val="center"/>
        <w:rPr>
          <w:b/>
          <w:bCs/>
          <w:sz w:val="20"/>
          <w:szCs w:val="20"/>
        </w:rPr>
      </w:pPr>
      <w:r w:rsidRPr="001C0DBA">
        <w:rPr>
          <w:b/>
          <w:bCs/>
          <w:sz w:val="20"/>
          <w:szCs w:val="20"/>
        </w:rPr>
        <w:t>Correlation between central corneal thickness and intraocular pressure in children with congenital glaucoma</w:t>
      </w:r>
    </w:p>
    <w:p w:rsidR="00407378" w:rsidRPr="001C0DBA" w:rsidRDefault="00407378" w:rsidP="001C0DBA">
      <w:pPr>
        <w:bidi w:val="0"/>
        <w:snapToGrid w:val="0"/>
        <w:jc w:val="center"/>
        <w:rPr>
          <w:b/>
          <w:bCs/>
          <w:sz w:val="20"/>
          <w:szCs w:val="10"/>
        </w:rPr>
      </w:pPr>
    </w:p>
    <w:p w:rsidR="00407378" w:rsidRPr="001C0DBA" w:rsidRDefault="00407378" w:rsidP="001C0DBA">
      <w:pPr>
        <w:bidi w:val="0"/>
        <w:snapToGrid w:val="0"/>
        <w:jc w:val="center"/>
        <w:rPr>
          <w:sz w:val="20"/>
          <w:szCs w:val="20"/>
          <w:vertAlign w:val="superscript"/>
        </w:rPr>
      </w:pPr>
      <w:r w:rsidRPr="001C0DBA">
        <w:rPr>
          <w:sz w:val="20"/>
          <w:szCs w:val="20"/>
        </w:rPr>
        <w:t>Hoda M. K.El-Sobky</w:t>
      </w:r>
      <w:r w:rsidRPr="001C0DBA">
        <w:rPr>
          <w:sz w:val="20"/>
          <w:szCs w:val="20"/>
          <w:vertAlign w:val="superscript"/>
        </w:rPr>
        <w:t>1</w:t>
      </w:r>
      <w:r w:rsidRPr="001C0DBA">
        <w:rPr>
          <w:sz w:val="20"/>
          <w:szCs w:val="20"/>
        </w:rPr>
        <w:t>,</w:t>
      </w:r>
      <w:r w:rsidR="004A0980">
        <w:rPr>
          <w:rFonts w:eastAsiaTheme="minorEastAsia" w:hint="eastAsia"/>
          <w:sz w:val="20"/>
          <w:szCs w:val="20"/>
          <w:lang w:eastAsia="zh-CN"/>
        </w:rPr>
        <w:t xml:space="preserve"> </w:t>
      </w:r>
      <w:r w:rsidRPr="001C0DBA">
        <w:rPr>
          <w:sz w:val="20"/>
          <w:szCs w:val="20"/>
        </w:rPr>
        <w:t>Hatem M. Marey</w:t>
      </w:r>
      <w:r w:rsidRPr="001C0DBA">
        <w:rPr>
          <w:sz w:val="20"/>
          <w:szCs w:val="20"/>
          <w:vertAlign w:val="superscript"/>
        </w:rPr>
        <w:t xml:space="preserve">1 </w:t>
      </w:r>
      <w:r w:rsidRPr="001C0DBA">
        <w:rPr>
          <w:sz w:val="20"/>
          <w:szCs w:val="20"/>
        </w:rPr>
        <w:t>and Dalia A. A. Nagy</w:t>
      </w:r>
      <w:r w:rsidRPr="001C0DBA">
        <w:rPr>
          <w:sz w:val="20"/>
          <w:szCs w:val="20"/>
          <w:vertAlign w:val="superscript"/>
        </w:rPr>
        <w:t>1</w:t>
      </w:r>
    </w:p>
    <w:p w:rsidR="00407378" w:rsidRPr="001C0DBA" w:rsidRDefault="00407378" w:rsidP="001C0DBA">
      <w:pPr>
        <w:bidi w:val="0"/>
        <w:snapToGrid w:val="0"/>
        <w:jc w:val="center"/>
        <w:rPr>
          <w:b/>
          <w:bCs/>
          <w:sz w:val="20"/>
          <w:szCs w:val="12"/>
        </w:rPr>
      </w:pPr>
    </w:p>
    <w:p w:rsidR="00407378" w:rsidRPr="001C0DBA" w:rsidRDefault="00407378" w:rsidP="001C0DBA">
      <w:pPr>
        <w:bidi w:val="0"/>
        <w:snapToGrid w:val="0"/>
        <w:jc w:val="center"/>
        <w:rPr>
          <w:sz w:val="20"/>
          <w:szCs w:val="20"/>
        </w:rPr>
      </w:pPr>
      <w:r w:rsidRPr="001C0DBA">
        <w:rPr>
          <w:b/>
          <w:bCs/>
          <w:sz w:val="20"/>
          <w:szCs w:val="20"/>
          <w:vertAlign w:val="superscript"/>
        </w:rPr>
        <w:t>1</w:t>
      </w:r>
      <w:r w:rsidRPr="001C0DBA">
        <w:rPr>
          <w:sz w:val="20"/>
          <w:szCs w:val="20"/>
        </w:rPr>
        <w:t>Ophthalmology Department-Faculty of Medicine-Menoufia University</w:t>
      </w:r>
      <w:r w:rsidRPr="001C0DBA">
        <w:rPr>
          <w:b/>
          <w:bCs/>
          <w:sz w:val="20"/>
          <w:szCs w:val="20"/>
        </w:rPr>
        <w:t>-</w:t>
      </w:r>
      <w:r w:rsidRPr="001C0DBA">
        <w:rPr>
          <w:sz w:val="20"/>
          <w:szCs w:val="20"/>
        </w:rPr>
        <w:t>Egypt</w:t>
      </w:r>
    </w:p>
    <w:p w:rsidR="00407378" w:rsidRPr="001C0DBA" w:rsidRDefault="00FD0C9B" w:rsidP="001C0DBA">
      <w:pPr>
        <w:bidi w:val="0"/>
        <w:snapToGrid w:val="0"/>
        <w:jc w:val="center"/>
        <w:rPr>
          <w:sz w:val="20"/>
          <w:szCs w:val="20"/>
        </w:rPr>
      </w:pPr>
      <w:hyperlink r:id="rId7" w:history="1">
        <w:r w:rsidR="002F5FA8" w:rsidRPr="001C0DBA">
          <w:rPr>
            <w:rStyle w:val="Hyperlink"/>
            <w:sz w:val="20"/>
            <w:szCs w:val="20"/>
          </w:rPr>
          <w:t>drdalianagy@yahoo.com</w:t>
        </w:r>
      </w:hyperlink>
    </w:p>
    <w:p w:rsidR="00407378" w:rsidRPr="001C0DBA" w:rsidRDefault="00407378" w:rsidP="001C0DBA">
      <w:pPr>
        <w:bidi w:val="0"/>
        <w:snapToGrid w:val="0"/>
        <w:jc w:val="center"/>
        <w:rPr>
          <w:b/>
          <w:bCs/>
          <w:sz w:val="20"/>
          <w:szCs w:val="12"/>
        </w:rPr>
      </w:pPr>
    </w:p>
    <w:p w:rsidR="00407378" w:rsidRPr="001C0DBA" w:rsidRDefault="00407378" w:rsidP="001C0DBA">
      <w:pPr>
        <w:bidi w:val="0"/>
        <w:snapToGrid w:val="0"/>
        <w:jc w:val="both"/>
        <w:rPr>
          <w:color w:val="000000"/>
          <w:sz w:val="20"/>
          <w:szCs w:val="20"/>
        </w:rPr>
      </w:pPr>
      <w:r w:rsidRPr="001C0DBA">
        <w:rPr>
          <w:b/>
          <w:bCs/>
          <w:sz w:val="20"/>
          <w:szCs w:val="20"/>
        </w:rPr>
        <w:t>Abstract: Objectives</w:t>
      </w:r>
      <w:r w:rsidRPr="001C0DBA">
        <w:rPr>
          <w:sz w:val="20"/>
          <w:szCs w:val="20"/>
        </w:rPr>
        <w:t xml:space="preserve">: This work aimed to study correlation between central corneal thickness and intraocular pressure in children with congenital glaucoma requiring surgery. </w:t>
      </w:r>
      <w:r w:rsidRPr="001C0DBA">
        <w:rPr>
          <w:b/>
          <w:bCs/>
          <w:sz w:val="20"/>
          <w:szCs w:val="20"/>
        </w:rPr>
        <w:t xml:space="preserve">Background: </w:t>
      </w:r>
      <w:r w:rsidRPr="001C0DBA">
        <w:rPr>
          <w:sz w:val="20"/>
          <w:szCs w:val="20"/>
        </w:rPr>
        <w:t xml:space="preserve">Central corneal thickness (CCT) has recently been shown to be important risk factor for development and severity of glaucoma. The clinical use of CCT measurement has become so important that it directly affects glaucoma management strategy in 15% of patients. </w:t>
      </w:r>
      <w:r w:rsidRPr="001C0DBA">
        <w:rPr>
          <w:b/>
          <w:bCs/>
          <w:sz w:val="20"/>
          <w:szCs w:val="20"/>
        </w:rPr>
        <w:t>Patients and methods:</w:t>
      </w:r>
      <w:r w:rsidRPr="001C0DBA">
        <w:rPr>
          <w:sz w:val="20"/>
          <w:szCs w:val="20"/>
        </w:rPr>
        <w:t xml:space="preserve"> Thirty individuals were enrolled in this study, 18 males and 12 females. All children were diagnosed to have primary congenital glaucoma and underwent combined trabeculotomy-trabeculectomy operation. All patients underwent full history taking, thorough clinical examination and ocular examination was doneunder oral sedation and local anaesthetic eye drops with emphasis on IOP and CCT measurements. The central corneal thickness was measured using (PacScan 300 AP ultrasonic pachymetry,</w:t>
      </w:r>
      <w:r w:rsidR="00F438B3" w:rsidRPr="001C0DBA">
        <w:rPr>
          <w:sz w:val="20"/>
          <w:szCs w:val="20"/>
        </w:rPr>
        <w:t xml:space="preserve"> </w:t>
      </w:r>
      <w:r w:rsidRPr="001C0DBA">
        <w:rPr>
          <w:sz w:val="20"/>
          <w:szCs w:val="20"/>
        </w:rPr>
        <w:t>Sonomed, USA). IOP was measured by Perkins hand-held applanation tonometer.</w:t>
      </w:r>
      <w:r w:rsidRPr="001C0DBA">
        <w:rPr>
          <w:b/>
          <w:bCs/>
          <w:sz w:val="20"/>
          <w:szCs w:val="20"/>
        </w:rPr>
        <w:t xml:space="preserve"> Results:</w:t>
      </w:r>
      <w:r w:rsidRPr="001C0DBA">
        <w:rPr>
          <w:sz w:val="20"/>
          <w:szCs w:val="20"/>
        </w:rPr>
        <w:t xml:space="preserve"> The mean CCT was </w:t>
      </w:r>
      <w:r w:rsidRPr="001C0DBA">
        <w:rPr>
          <w:color w:val="000000"/>
          <w:sz w:val="20"/>
          <w:szCs w:val="20"/>
        </w:rPr>
        <w:t>547 μm before operation and decreased to 533.9 μm after operation with</w:t>
      </w:r>
      <w:r w:rsidR="006071F1">
        <w:rPr>
          <w:rFonts w:eastAsiaTheme="minorEastAsia" w:hint="eastAsia"/>
          <w:color w:val="000000"/>
          <w:sz w:val="20"/>
          <w:szCs w:val="20"/>
          <w:lang w:eastAsia="zh-CN"/>
        </w:rPr>
        <w:t xml:space="preserve"> </w:t>
      </w:r>
      <w:r w:rsidRPr="001C0DBA">
        <w:rPr>
          <w:i/>
          <w:iCs/>
          <w:sz w:val="20"/>
          <w:szCs w:val="20"/>
        </w:rPr>
        <w:t>P</w:t>
      </w:r>
      <w:r w:rsidRPr="001C0DBA">
        <w:rPr>
          <w:sz w:val="20"/>
          <w:szCs w:val="20"/>
        </w:rPr>
        <w:t>-value (&lt; 0.01).</w:t>
      </w:r>
      <w:r w:rsidR="006071F1">
        <w:rPr>
          <w:rFonts w:eastAsiaTheme="minorEastAsia" w:hint="eastAsia"/>
          <w:sz w:val="20"/>
          <w:szCs w:val="20"/>
          <w:lang w:eastAsia="zh-CN"/>
        </w:rPr>
        <w:t xml:space="preserve"> </w:t>
      </w:r>
      <w:r w:rsidRPr="001C0DBA">
        <w:rPr>
          <w:sz w:val="20"/>
          <w:szCs w:val="20"/>
        </w:rPr>
        <w:t>Mean IOP was</w:t>
      </w:r>
      <w:r w:rsidRPr="001C0DBA">
        <w:rPr>
          <w:color w:val="000000"/>
          <w:sz w:val="20"/>
          <w:szCs w:val="20"/>
        </w:rPr>
        <w:t>30.7</w:t>
      </w:r>
      <w:r w:rsidRPr="001C0DBA">
        <w:rPr>
          <w:sz w:val="20"/>
          <w:szCs w:val="20"/>
        </w:rPr>
        <w:t xml:space="preserve"> mmHg</w:t>
      </w:r>
      <w:r w:rsidR="006071F1">
        <w:rPr>
          <w:rFonts w:eastAsiaTheme="minorEastAsia" w:hint="eastAsia"/>
          <w:sz w:val="20"/>
          <w:szCs w:val="20"/>
          <w:lang w:eastAsia="zh-CN"/>
        </w:rPr>
        <w:t xml:space="preserve"> </w:t>
      </w:r>
      <w:r w:rsidRPr="001C0DBA">
        <w:rPr>
          <w:sz w:val="20"/>
          <w:szCs w:val="20"/>
        </w:rPr>
        <w:t xml:space="preserve">before and decreased to </w:t>
      </w:r>
      <w:r w:rsidRPr="001C0DBA">
        <w:rPr>
          <w:color w:val="000000"/>
          <w:sz w:val="20"/>
          <w:szCs w:val="20"/>
        </w:rPr>
        <w:t>11.8</w:t>
      </w:r>
      <w:r w:rsidRPr="001C0DBA">
        <w:rPr>
          <w:sz w:val="20"/>
          <w:szCs w:val="20"/>
        </w:rPr>
        <w:t xml:space="preserve"> mmHg</w:t>
      </w:r>
      <w:r w:rsidRPr="001C0DBA">
        <w:rPr>
          <w:color w:val="000000"/>
          <w:sz w:val="20"/>
          <w:szCs w:val="20"/>
        </w:rPr>
        <w:t xml:space="preserve"> after operation with</w:t>
      </w:r>
      <w:r w:rsidR="006071F1">
        <w:rPr>
          <w:rFonts w:eastAsiaTheme="minorEastAsia" w:hint="eastAsia"/>
          <w:color w:val="000000"/>
          <w:sz w:val="20"/>
          <w:szCs w:val="20"/>
          <w:lang w:eastAsia="zh-CN"/>
        </w:rPr>
        <w:t xml:space="preserve"> </w:t>
      </w:r>
      <w:r w:rsidRPr="001C0DBA">
        <w:rPr>
          <w:i/>
          <w:iCs/>
          <w:sz w:val="20"/>
          <w:szCs w:val="20"/>
        </w:rPr>
        <w:t>P</w:t>
      </w:r>
      <w:r w:rsidRPr="001C0DBA">
        <w:rPr>
          <w:sz w:val="20"/>
          <w:szCs w:val="20"/>
        </w:rPr>
        <w:t xml:space="preserve">-value (&lt; 0.01).There was no significant dependence of CCT on IOP values measured with local anaesthesia and oral sedation before and after operation with </w:t>
      </w:r>
      <w:r w:rsidRPr="001C0DBA">
        <w:rPr>
          <w:i/>
          <w:iCs/>
          <w:color w:val="000000"/>
          <w:sz w:val="20"/>
          <w:szCs w:val="20"/>
        </w:rPr>
        <w:t>p</w:t>
      </w:r>
      <w:r w:rsidRPr="001C0DBA">
        <w:rPr>
          <w:color w:val="000000"/>
          <w:sz w:val="20"/>
          <w:szCs w:val="20"/>
        </w:rPr>
        <w:t>-value</w:t>
      </w:r>
      <w:r w:rsidR="006071F1">
        <w:rPr>
          <w:rFonts w:eastAsiaTheme="minorEastAsia" w:hint="eastAsia"/>
          <w:color w:val="000000"/>
          <w:sz w:val="20"/>
          <w:szCs w:val="20"/>
          <w:lang w:eastAsia="zh-CN"/>
        </w:rPr>
        <w:t xml:space="preserve"> </w:t>
      </w:r>
      <w:r w:rsidRPr="001C0DBA">
        <w:rPr>
          <w:color w:val="000000"/>
          <w:sz w:val="20"/>
          <w:szCs w:val="20"/>
        </w:rPr>
        <w:t>(&gt; 0.05)</w:t>
      </w:r>
      <w:r w:rsidRPr="001C0DBA">
        <w:rPr>
          <w:sz w:val="20"/>
          <w:szCs w:val="20"/>
        </w:rPr>
        <w:t>.</w:t>
      </w:r>
      <w:r w:rsidR="006071F1">
        <w:rPr>
          <w:rFonts w:eastAsiaTheme="minorEastAsia" w:hint="eastAsia"/>
          <w:sz w:val="20"/>
          <w:szCs w:val="20"/>
          <w:lang w:eastAsia="zh-CN"/>
        </w:rPr>
        <w:t xml:space="preserve"> </w:t>
      </w:r>
      <w:r w:rsidRPr="001C0DBA">
        <w:rPr>
          <w:color w:val="000000"/>
          <w:sz w:val="20"/>
          <w:szCs w:val="20"/>
        </w:rPr>
        <w:t>There was</w:t>
      </w:r>
      <w:r w:rsidRPr="001C0DBA">
        <w:rPr>
          <w:sz w:val="20"/>
          <w:szCs w:val="20"/>
        </w:rPr>
        <w:t>no significant</w:t>
      </w:r>
      <w:r w:rsidR="006071F1">
        <w:rPr>
          <w:rFonts w:eastAsiaTheme="minorEastAsia" w:hint="eastAsia"/>
          <w:sz w:val="20"/>
          <w:szCs w:val="20"/>
          <w:lang w:eastAsia="zh-CN"/>
        </w:rPr>
        <w:t xml:space="preserve"> </w:t>
      </w:r>
      <w:r w:rsidRPr="001C0DBA">
        <w:rPr>
          <w:color w:val="000000"/>
          <w:sz w:val="20"/>
          <w:szCs w:val="20"/>
        </w:rPr>
        <w:t>correlation between the decrease of</w:t>
      </w:r>
      <w:r w:rsidR="006071F1">
        <w:rPr>
          <w:rFonts w:eastAsiaTheme="minorEastAsia" w:hint="eastAsia"/>
          <w:color w:val="000000"/>
          <w:sz w:val="20"/>
          <w:szCs w:val="20"/>
          <w:lang w:eastAsia="zh-CN"/>
        </w:rPr>
        <w:t xml:space="preserve"> </w:t>
      </w:r>
      <w:r w:rsidRPr="001C0DBA">
        <w:rPr>
          <w:color w:val="000000"/>
          <w:sz w:val="20"/>
          <w:szCs w:val="20"/>
        </w:rPr>
        <w:t>CCT and the decrease of IOP after operation (</w:t>
      </w:r>
      <w:r w:rsidRPr="001C0DBA">
        <w:rPr>
          <w:i/>
          <w:iCs/>
          <w:color w:val="000000"/>
          <w:sz w:val="20"/>
          <w:szCs w:val="20"/>
        </w:rPr>
        <w:t>p</w:t>
      </w:r>
      <w:r w:rsidRPr="001C0DBA">
        <w:rPr>
          <w:color w:val="000000"/>
          <w:sz w:val="20"/>
          <w:szCs w:val="20"/>
        </w:rPr>
        <w:t xml:space="preserve">-value&gt;0.05, r= -0.139) regarding IOP data obtained </w:t>
      </w:r>
      <w:r w:rsidRPr="001C0DBA">
        <w:rPr>
          <w:sz w:val="20"/>
          <w:szCs w:val="20"/>
        </w:rPr>
        <w:t>with local anaesthesia and oral sedation</w:t>
      </w:r>
      <w:r w:rsidRPr="001C0DBA">
        <w:rPr>
          <w:color w:val="000000"/>
          <w:sz w:val="20"/>
          <w:szCs w:val="20"/>
        </w:rPr>
        <w:t>.</w:t>
      </w:r>
      <w:r w:rsidR="00F438B3" w:rsidRPr="001C0DBA">
        <w:rPr>
          <w:b/>
          <w:bCs/>
          <w:sz w:val="20"/>
          <w:szCs w:val="20"/>
        </w:rPr>
        <w:t xml:space="preserve"> </w:t>
      </w:r>
      <w:r w:rsidRPr="001C0DBA">
        <w:rPr>
          <w:b/>
          <w:bCs/>
          <w:sz w:val="20"/>
          <w:szCs w:val="20"/>
        </w:rPr>
        <w:t>Conclusion:</w:t>
      </w:r>
      <w:r w:rsidR="00F438B3" w:rsidRPr="001C0DBA">
        <w:rPr>
          <w:color w:val="000000"/>
          <w:sz w:val="20"/>
          <w:szCs w:val="20"/>
        </w:rPr>
        <w:t xml:space="preserve"> </w:t>
      </w:r>
      <w:r w:rsidRPr="001C0DBA">
        <w:rPr>
          <w:color w:val="000000"/>
          <w:sz w:val="20"/>
          <w:szCs w:val="20"/>
        </w:rPr>
        <w:t>Regarding IOP data obtained</w:t>
      </w:r>
      <w:r w:rsidRPr="001C0DBA">
        <w:rPr>
          <w:sz w:val="20"/>
          <w:szCs w:val="20"/>
        </w:rPr>
        <w:t xml:space="preserve"> with local anaesthesia and oral sedation we cannot depend on central corneal thickness as an independent parameter to monitor the follow up of</w:t>
      </w:r>
      <w:r w:rsidR="006071F1">
        <w:rPr>
          <w:sz w:val="20"/>
          <w:szCs w:val="20"/>
        </w:rPr>
        <w:t xml:space="preserve"> </w:t>
      </w:r>
      <w:r w:rsidRPr="001C0DBA">
        <w:rPr>
          <w:sz w:val="20"/>
          <w:szCs w:val="20"/>
        </w:rPr>
        <w:t>childhood glaucoma cases after surgery.</w:t>
      </w:r>
    </w:p>
    <w:p w:rsidR="00EE0CA7" w:rsidRPr="001C0DBA" w:rsidRDefault="00F438B3" w:rsidP="001C0DBA">
      <w:pPr>
        <w:bidi w:val="0"/>
        <w:snapToGrid w:val="0"/>
        <w:jc w:val="both"/>
        <w:rPr>
          <w:rFonts w:eastAsiaTheme="minorEastAsia"/>
          <w:sz w:val="20"/>
          <w:szCs w:val="20"/>
          <w:lang w:eastAsia="zh-CN"/>
        </w:rPr>
      </w:pPr>
      <w:r w:rsidRPr="001C0DBA">
        <w:rPr>
          <w:b/>
          <w:bCs/>
          <w:sz w:val="20"/>
          <w:szCs w:val="20"/>
        </w:rPr>
        <w:t>[</w:t>
      </w:r>
      <w:r w:rsidRPr="001C0DBA">
        <w:rPr>
          <w:sz w:val="20"/>
          <w:szCs w:val="20"/>
        </w:rPr>
        <w:t>Hoda M. K.El-Sobky, Hatem M. Marey</w:t>
      </w:r>
      <w:r w:rsidRPr="001C0DBA">
        <w:rPr>
          <w:sz w:val="20"/>
          <w:szCs w:val="20"/>
          <w:vertAlign w:val="superscript"/>
        </w:rPr>
        <w:t xml:space="preserve"> </w:t>
      </w:r>
      <w:r w:rsidRPr="001C0DBA">
        <w:rPr>
          <w:sz w:val="20"/>
          <w:szCs w:val="20"/>
        </w:rPr>
        <w:t>and Dalia A. A. Nagy.</w:t>
      </w:r>
      <w:r w:rsidRPr="001C0DBA">
        <w:rPr>
          <w:b/>
          <w:bCs/>
          <w:sz w:val="20"/>
          <w:szCs w:val="20"/>
        </w:rPr>
        <w:t xml:space="preserve"> Correlation between central corneal thickness and intraocular pressure in children with congenital glaucoma</w:t>
      </w:r>
      <w:r w:rsidR="00EE0CA7" w:rsidRPr="001C0DBA">
        <w:rPr>
          <w:b/>
          <w:bCs/>
          <w:sz w:val="20"/>
          <w:szCs w:val="20"/>
          <w:lang w:bidi="fa-IR"/>
        </w:rPr>
        <w:t>.</w:t>
      </w:r>
      <w:r w:rsidR="00EE0CA7" w:rsidRPr="001C0DBA">
        <w:rPr>
          <w:rFonts w:hint="eastAsia"/>
          <w:b/>
          <w:bCs/>
          <w:sz w:val="20"/>
          <w:szCs w:val="20"/>
        </w:rPr>
        <w:t xml:space="preserve"> </w:t>
      </w:r>
      <w:r w:rsidR="00EE0CA7" w:rsidRPr="001C0DBA">
        <w:rPr>
          <w:bCs/>
          <w:i/>
          <w:sz w:val="20"/>
          <w:szCs w:val="20"/>
        </w:rPr>
        <w:t>Nat Sci</w:t>
      </w:r>
      <w:r w:rsidR="00EE0CA7" w:rsidRPr="001C0DBA">
        <w:rPr>
          <w:rFonts w:eastAsiaTheme="minorEastAsia" w:hint="eastAsia"/>
          <w:bCs/>
          <w:i/>
          <w:sz w:val="20"/>
          <w:szCs w:val="20"/>
        </w:rPr>
        <w:t xml:space="preserve"> </w:t>
      </w:r>
      <w:r w:rsidR="00EE0CA7" w:rsidRPr="001C0DBA">
        <w:rPr>
          <w:sz w:val="20"/>
          <w:szCs w:val="20"/>
        </w:rPr>
        <w:t>201</w:t>
      </w:r>
      <w:r w:rsidR="00EE0CA7" w:rsidRPr="001C0DBA">
        <w:rPr>
          <w:rFonts w:hint="eastAsia"/>
          <w:sz w:val="20"/>
          <w:szCs w:val="20"/>
        </w:rPr>
        <w:t>5</w:t>
      </w:r>
      <w:r w:rsidR="00EE0CA7" w:rsidRPr="001C0DBA">
        <w:rPr>
          <w:sz w:val="20"/>
          <w:szCs w:val="20"/>
        </w:rPr>
        <w:t>;1</w:t>
      </w:r>
      <w:r w:rsidR="00EE0CA7" w:rsidRPr="001C0DBA">
        <w:rPr>
          <w:rFonts w:hint="eastAsia"/>
          <w:sz w:val="20"/>
          <w:szCs w:val="20"/>
        </w:rPr>
        <w:t>3</w:t>
      </w:r>
      <w:r w:rsidR="00EE0CA7" w:rsidRPr="001C0DBA">
        <w:rPr>
          <w:sz w:val="20"/>
          <w:szCs w:val="20"/>
        </w:rPr>
        <w:t>(</w:t>
      </w:r>
      <w:r w:rsidR="00EE0CA7" w:rsidRPr="001C0DBA">
        <w:rPr>
          <w:rFonts w:hint="eastAsia"/>
          <w:sz w:val="20"/>
          <w:szCs w:val="20"/>
        </w:rPr>
        <w:t>7)</w:t>
      </w:r>
      <w:r w:rsidR="00EE0CA7" w:rsidRPr="001C0DBA">
        <w:rPr>
          <w:sz w:val="20"/>
          <w:szCs w:val="20"/>
        </w:rPr>
        <w:t>:</w:t>
      </w:r>
      <w:r w:rsidR="007C7344">
        <w:rPr>
          <w:noProof/>
          <w:color w:val="000000"/>
          <w:sz w:val="20"/>
          <w:szCs w:val="20"/>
        </w:rPr>
        <w:t>83</w:t>
      </w:r>
      <w:r w:rsidR="00EE0CA7" w:rsidRPr="001C0DBA">
        <w:rPr>
          <w:color w:val="000000"/>
          <w:sz w:val="20"/>
          <w:szCs w:val="20"/>
        </w:rPr>
        <w:t>-</w:t>
      </w:r>
      <w:r w:rsidR="007C7344">
        <w:rPr>
          <w:noProof/>
          <w:color w:val="000000"/>
          <w:sz w:val="20"/>
          <w:szCs w:val="20"/>
        </w:rPr>
        <w:t>87</w:t>
      </w:r>
      <w:r w:rsidR="00EE0CA7" w:rsidRPr="001C0DBA">
        <w:rPr>
          <w:sz w:val="20"/>
          <w:szCs w:val="20"/>
        </w:rPr>
        <w:t>]</w:t>
      </w:r>
      <w:r w:rsidR="00EE0CA7" w:rsidRPr="001C0DBA">
        <w:rPr>
          <w:rFonts w:hint="eastAsia"/>
          <w:sz w:val="20"/>
          <w:szCs w:val="20"/>
        </w:rPr>
        <w:t>.</w:t>
      </w:r>
      <w:r w:rsidR="00EE0CA7" w:rsidRPr="001C0DBA">
        <w:rPr>
          <w:sz w:val="20"/>
          <w:szCs w:val="20"/>
        </w:rPr>
        <w:t xml:space="preserve"> (ISSN: 1545-0740).</w:t>
      </w:r>
      <w:r w:rsidR="00EE0CA7" w:rsidRPr="001C0DBA">
        <w:rPr>
          <w:color w:val="0000FF"/>
          <w:sz w:val="20"/>
          <w:szCs w:val="20"/>
        </w:rPr>
        <w:t xml:space="preserve"> </w:t>
      </w:r>
      <w:hyperlink r:id="rId8" w:history="1">
        <w:r w:rsidR="00EE0CA7" w:rsidRPr="001C0DBA">
          <w:rPr>
            <w:rStyle w:val="Hyperlink"/>
            <w:sz w:val="20"/>
            <w:szCs w:val="20"/>
          </w:rPr>
          <w:t>http://www.sciencepub.net/nature</w:t>
        </w:r>
      </w:hyperlink>
      <w:r w:rsidR="00EE0CA7" w:rsidRPr="001C0DBA">
        <w:rPr>
          <w:sz w:val="20"/>
          <w:szCs w:val="20"/>
        </w:rPr>
        <w:t>.</w:t>
      </w:r>
      <w:r w:rsidR="00EE0CA7" w:rsidRPr="001C0DBA">
        <w:rPr>
          <w:rFonts w:hint="eastAsia"/>
          <w:sz w:val="20"/>
          <w:szCs w:val="20"/>
        </w:rPr>
        <w:t xml:space="preserve"> </w:t>
      </w:r>
      <w:r w:rsidR="001C0DBA">
        <w:rPr>
          <w:rFonts w:eastAsiaTheme="minorEastAsia" w:hint="eastAsia"/>
          <w:sz w:val="20"/>
          <w:szCs w:val="20"/>
          <w:lang w:eastAsia="zh-CN"/>
        </w:rPr>
        <w:t>9</w:t>
      </w:r>
    </w:p>
    <w:p w:rsidR="00F438B3" w:rsidRPr="001C0DBA" w:rsidRDefault="00F438B3" w:rsidP="001C0DBA">
      <w:pPr>
        <w:pStyle w:val="BodyText"/>
        <w:snapToGrid w:val="0"/>
        <w:spacing w:line="240" w:lineRule="auto"/>
        <w:jc w:val="both"/>
        <w:rPr>
          <w:b/>
          <w:bCs/>
          <w:sz w:val="20"/>
          <w:szCs w:val="10"/>
        </w:rPr>
      </w:pPr>
    </w:p>
    <w:p w:rsidR="00407378" w:rsidRPr="001C0DBA" w:rsidRDefault="00407378" w:rsidP="001C0DBA">
      <w:pPr>
        <w:bidi w:val="0"/>
        <w:snapToGrid w:val="0"/>
        <w:jc w:val="both"/>
        <w:rPr>
          <w:sz w:val="20"/>
          <w:szCs w:val="20"/>
        </w:rPr>
      </w:pPr>
      <w:r w:rsidRPr="001C0DBA">
        <w:rPr>
          <w:b/>
          <w:bCs/>
          <w:sz w:val="20"/>
          <w:szCs w:val="20"/>
        </w:rPr>
        <w:t>Keywords:</w:t>
      </w:r>
      <w:r w:rsidRPr="001C0DBA">
        <w:rPr>
          <w:sz w:val="20"/>
          <w:szCs w:val="20"/>
        </w:rPr>
        <w:t xml:space="preserve"> Congenital glaucoma. Central corneal thickness.Intraocular pressure.Ultrasonic pachymetry.Perkins hand-held applanation tonometry.</w:t>
      </w:r>
    </w:p>
    <w:p w:rsidR="00407378" w:rsidRPr="001C0DBA" w:rsidRDefault="00407378" w:rsidP="001C0DBA">
      <w:pPr>
        <w:bidi w:val="0"/>
        <w:snapToGrid w:val="0"/>
        <w:jc w:val="both"/>
        <w:rPr>
          <w:sz w:val="20"/>
          <w:szCs w:val="14"/>
        </w:rPr>
      </w:pPr>
    </w:p>
    <w:p w:rsidR="001C0DBA" w:rsidRDefault="001C0DBA" w:rsidP="001C0DBA">
      <w:pPr>
        <w:bidi w:val="0"/>
        <w:snapToGrid w:val="0"/>
        <w:jc w:val="both"/>
        <w:rPr>
          <w:b/>
          <w:bCs/>
          <w:sz w:val="20"/>
          <w:szCs w:val="20"/>
        </w:rPr>
        <w:sectPr w:rsidR="001C0DBA" w:rsidSect="007C7344">
          <w:headerReference w:type="default" r:id="rId9"/>
          <w:footerReference w:type="default" r:id="rId10"/>
          <w:type w:val="continuous"/>
          <w:pgSz w:w="12242" w:h="15842" w:code="1"/>
          <w:pgMar w:top="1440" w:right="1440" w:bottom="1440" w:left="1440" w:header="720" w:footer="720" w:gutter="0"/>
          <w:pgNumType w:start="83"/>
          <w:cols w:space="708"/>
          <w:bidi/>
          <w:docGrid w:linePitch="360"/>
        </w:sectPr>
      </w:pPr>
    </w:p>
    <w:p w:rsidR="00407378" w:rsidRPr="006071F1" w:rsidRDefault="00733738" w:rsidP="001C0DBA">
      <w:pPr>
        <w:bidi w:val="0"/>
        <w:snapToGrid w:val="0"/>
        <w:jc w:val="both"/>
        <w:rPr>
          <w:color w:val="000000" w:themeColor="text1"/>
          <w:sz w:val="20"/>
          <w:szCs w:val="20"/>
        </w:rPr>
      </w:pPr>
      <w:r w:rsidRPr="006071F1">
        <w:rPr>
          <w:b/>
          <w:bCs/>
          <w:color w:val="000000" w:themeColor="text1"/>
          <w:sz w:val="20"/>
          <w:szCs w:val="20"/>
        </w:rPr>
        <w:lastRenderedPageBreak/>
        <w:t>1.</w:t>
      </w:r>
      <w:r w:rsidR="00407378" w:rsidRPr="006071F1">
        <w:rPr>
          <w:b/>
          <w:bCs/>
          <w:color w:val="000000" w:themeColor="text1"/>
          <w:sz w:val="20"/>
          <w:szCs w:val="20"/>
        </w:rPr>
        <w:t>Introduction</w:t>
      </w:r>
      <w:r w:rsidR="00407378" w:rsidRPr="006071F1">
        <w:rPr>
          <w:color w:val="000000" w:themeColor="text1"/>
          <w:sz w:val="20"/>
          <w:szCs w:val="20"/>
        </w:rPr>
        <w:t>:</w:t>
      </w:r>
    </w:p>
    <w:p w:rsidR="00407378" w:rsidRPr="009B5593" w:rsidRDefault="00407378" w:rsidP="001C0DBA">
      <w:pPr>
        <w:bidi w:val="0"/>
        <w:snapToGrid w:val="0"/>
        <w:ind w:firstLine="425"/>
        <w:jc w:val="both"/>
        <w:rPr>
          <w:sz w:val="20"/>
          <w:szCs w:val="20"/>
        </w:rPr>
      </w:pPr>
      <w:r w:rsidRPr="009B5593">
        <w:rPr>
          <w:sz w:val="20"/>
          <w:szCs w:val="20"/>
        </w:rPr>
        <w:t>It is true</w:t>
      </w:r>
      <w:r w:rsidR="006071F1" w:rsidRPr="009B5593">
        <w:rPr>
          <w:sz w:val="20"/>
          <w:szCs w:val="20"/>
        </w:rPr>
        <w:t xml:space="preserve"> </w:t>
      </w:r>
      <w:r w:rsidRPr="009B5593">
        <w:rPr>
          <w:sz w:val="20"/>
          <w:szCs w:val="20"/>
        </w:rPr>
        <w:t>that primary congenital glaucoma is a rare disease but we also know</w:t>
      </w:r>
      <w:r w:rsidR="006071F1" w:rsidRPr="009B5593">
        <w:rPr>
          <w:rFonts w:eastAsiaTheme="minorEastAsia" w:hint="eastAsia"/>
          <w:sz w:val="20"/>
          <w:szCs w:val="20"/>
          <w:lang w:eastAsia="zh-CN"/>
        </w:rPr>
        <w:t xml:space="preserve"> </w:t>
      </w:r>
      <w:r w:rsidRPr="009B5593">
        <w:rPr>
          <w:sz w:val="20"/>
          <w:szCs w:val="20"/>
        </w:rPr>
        <w:t>that</w:t>
      </w:r>
      <w:r w:rsidR="006071F1" w:rsidRPr="009B5593">
        <w:rPr>
          <w:rFonts w:eastAsiaTheme="minorEastAsia" w:hint="eastAsia"/>
          <w:sz w:val="20"/>
          <w:szCs w:val="20"/>
          <w:lang w:eastAsia="zh-CN"/>
        </w:rPr>
        <w:t xml:space="preserve"> </w:t>
      </w:r>
      <w:r w:rsidRPr="009B5593">
        <w:rPr>
          <w:sz w:val="20"/>
          <w:szCs w:val="20"/>
        </w:rPr>
        <w:t>glaucoma causes progressive and complete blindness. Hence the significance of early diagnosis and prompt treatment as well as parental counseling cannot be overemphasized [1].</w:t>
      </w:r>
    </w:p>
    <w:p w:rsidR="00407378" w:rsidRPr="009B5593" w:rsidRDefault="00407378" w:rsidP="001C0DBA">
      <w:pPr>
        <w:bidi w:val="0"/>
        <w:snapToGrid w:val="0"/>
        <w:ind w:firstLine="425"/>
        <w:jc w:val="both"/>
        <w:rPr>
          <w:sz w:val="20"/>
          <w:szCs w:val="20"/>
        </w:rPr>
      </w:pPr>
      <w:r w:rsidRPr="009B5593">
        <w:rPr>
          <w:sz w:val="20"/>
          <w:szCs w:val="20"/>
        </w:rPr>
        <w:t>Primary congenital glaucoma is characterized by maldevelopment of the angle structures</w:t>
      </w:r>
      <w:r w:rsidR="009C0EA5" w:rsidRPr="009B5593">
        <w:rPr>
          <w:sz w:val="20"/>
          <w:szCs w:val="20"/>
        </w:rPr>
        <w:t xml:space="preserve"> </w:t>
      </w:r>
      <w:r w:rsidRPr="009B5593">
        <w:rPr>
          <w:sz w:val="20"/>
          <w:szCs w:val="20"/>
        </w:rPr>
        <w:t>(isolated trabeculodysgenesis) characterized by absence of the cilliary body band due to translucent amorphous material that obscures the trabeculum. Congenital glaucoma is cla</w:t>
      </w:r>
      <w:r w:rsidR="003F42A6" w:rsidRPr="009B5593">
        <w:rPr>
          <w:sz w:val="20"/>
          <w:szCs w:val="20"/>
        </w:rPr>
        <w:t>ssi</w:t>
      </w:r>
      <w:r w:rsidRPr="009B5593">
        <w:rPr>
          <w:sz w:val="20"/>
          <w:szCs w:val="20"/>
        </w:rPr>
        <w:t>ficate</w:t>
      </w:r>
      <w:r w:rsidR="003F42A6" w:rsidRPr="009B5593">
        <w:rPr>
          <w:sz w:val="20"/>
          <w:szCs w:val="20"/>
        </w:rPr>
        <w:t xml:space="preserve">d </w:t>
      </w:r>
      <w:r w:rsidRPr="009B5593">
        <w:rPr>
          <w:sz w:val="20"/>
          <w:szCs w:val="20"/>
        </w:rPr>
        <w:t>as congenital glaucoma, when IOP becomes elevated during intrauterine life or manifests in first three years of life, or juvenile which manifests between three and sixteen years of age [2].</w:t>
      </w:r>
    </w:p>
    <w:p w:rsidR="00407378" w:rsidRPr="009B5593" w:rsidRDefault="00407378" w:rsidP="001C0DBA">
      <w:pPr>
        <w:bidi w:val="0"/>
        <w:snapToGrid w:val="0"/>
        <w:ind w:firstLine="425"/>
        <w:jc w:val="both"/>
        <w:rPr>
          <w:sz w:val="20"/>
          <w:szCs w:val="20"/>
        </w:rPr>
      </w:pPr>
      <w:r w:rsidRPr="009B5593">
        <w:rPr>
          <w:sz w:val="20"/>
          <w:szCs w:val="20"/>
        </w:rPr>
        <w:t>The diagnosis of glaucoma is based on factors like intra ocular pressure (IOP), optic disc damage (optic nerve fiber layer damage) and specific visual field defects. Increased IOP is the only known causal risk factor that can be therapeutically manipulated [3].</w:t>
      </w:r>
    </w:p>
    <w:p w:rsidR="00407378" w:rsidRPr="009B5593" w:rsidRDefault="00407378" w:rsidP="001C0DBA">
      <w:pPr>
        <w:bidi w:val="0"/>
        <w:snapToGrid w:val="0"/>
        <w:ind w:firstLine="425"/>
        <w:jc w:val="both"/>
        <w:rPr>
          <w:sz w:val="20"/>
          <w:szCs w:val="20"/>
        </w:rPr>
      </w:pPr>
      <w:r w:rsidRPr="009B5593">
        <w:rPr>
          <w:sz w:val="20"/>
          <w:szCs w:val="20"/>
        </w:rPr>
        <w:t xml:space="preserve">The thickness of cornea influences the eye pressure </w:t>
      </w:r>
      <w:r w:rsidR="006071F1" w:rsidRPr="009B5593">
        <w:rPr>
          <w:sz w:val="20"/>
          <w:szCs w:val="20"/>
        </w:rPr>
        <w:t>measurement</w:t>
      </w:r>
      <w:r w:rsidR="006071F1" w:rsidRPr="009B5593">
        <w:rPr>
          <w:rFonts w:eastAsiaTheme="minorEastAsia" w:hint="eastAsia"/>
          <w:sz w:val="20"/>
          <w:szCs w:val="20"/>
          <w:lang w:eastAsia="zh-CN"/>
        </w:rPr>
        <w:t>.</w:t>
      </w:r>
      <w:r w:rsidRPr="009B5593">
        <w:rPr>
          <w:sz w:val="20"/>
          <w:szCs w:val="20"/>
        </w:rPr>
        <w:t xml:space="preserve"> It may affect the accuracy of the applanation tension by changing the resistance of the cornea to ident</w:t>
      </w:r>
      <w:r w:rsidR="006071F1" w:rsidRPr="009B5593">
        <w:rPr>
          <w:rFonts w:eastAsiaTheme="minorEastAsia" w:hint="eastAsia"/>
          <w:sz w:val="20"/>
          <w:szCs w:val="20"/>
          <w:lang w:eastAsia="zh-CN"/>
        </w:rPr>
        <w:t>ific</w:t>
      </w:r>
      <w:r w:rsidRPr="009B5593">
        <w:rPr>
          <w:sz w:val="20"/>
          <w:szCs w:val="20"/>
        </w:rPr>
        <w:t xml:space="preserve">ation. A thinner cornea may </w:t>
      </w:r>
      <w:r w:rsidRPr="009B5593">
        <w:rPr>
          <w:sz w:val="20"/>
          <w:szCs w:val="20"/>
        </w:rPr>
        <w:lastRenderedPageBreak/>
        <w:t>require less force to bend it leading to underestimation of the true intraocular pressure (IOP), while a thicker cornea would need more force to bend it thus giving an artifactually higher IOP reading [4].</w:t>
      </w:r>
    </w:p>
    <w:p w:rsidR="00407378" w:rsidRPr="009B5593" w:rsidRDefault="00407378" w:rsidP="001C0DBA">
      <w:pPr>
        <w:bidi w:val="0"/>
        <w:snapToGrid w:val="0"/>
        <w:ind w:firstLine="425"/>
        <w:jc w:val="both"/>
        <w:rPr>
          <w:sz w:val="20"/>
          <w:szCs w:val="20"/>
        </w:rPr>
      </w:pPr>
      <w:r w:rsidRPr="009B5593">
        <w:rPr>
          <w:sz w:val="20"/>
          <w:szCs w:val="20"/>
        </w:rPr>
        <w:t>Little is known so far about the relation between IOP and CCT in young children with childhood glaucomas [5].</w:t>
      </w:r>
    </w:p>
    <w:p w:rsidR="00407378" w:rsidRPr="009B5593" w:rsidRDefault="00407378" w:rsidP="001C0DBA">
      <w:pPr>
        <w:bidi w:val="0"/>
        <w:snapToGrid w:val="0"/>
        <w:ind w:firstLine="425"/>
        <w:jc w:val="both"/>
        <w:rPr>
          <w:sz w:val="20"/>
          <w:szCs w:val="20"/>
        </w:rPr>
      </w:pPr>
      <w:r w:rsidRPr="009B5593">
        <w:rPr>
          <w:sz w:val="20"/>
          <w:szCs w:val="20"/>
        </w:rPr>
        <w:t>The aim of our study is to detect correlation between central corneal thickness and intraocular pressure in children with congenital glaucoma requiering surgery.</w:t>
      </w:r>
    </w:p>
    <w:p w:rsidR="00215D6B" w:rsidRPr="009B5593" w:rsidRDefault="00215D6B" w:rsidP="001C0DBA">
      <w:pPr>
        <w:bidi w:val="0"/>
        <w:snapToGrid w:val="0"/>
        <w:jc w:val="both"/>
        <w:rPr>
          <w:rFonts w:eastAsiaTheme="minorEastAsia"/>
          <w:b/>
          <w:bCs/>
          <w:sz w:val="20"/>
          <w:szCs w:val="20"/>
          <w:lang w:eastAsia="zh-CN"/>
        </w:rPr>
      </w:pPr>
    </w:p>
    <w:p w:rsidR="00407378" w:rsidRPr="009B5593" w:rsidRDefault="00733738" w:rsidP="00215D6B">
      <w:pPr>
        <w:bidi w:val="0"/>
        <w:snapToGrid w:val="0"/>
        <w:jc w:val="both"/>
        <w:rPr>
          <w:sz w:val="20"/>
          <w:szCs w:val="20"/>
        </w:rPr>
      </w:pPr>
      <w:r w:rsidRPr="009B5593">
        <w:rPr>
          <w:b/>
          <w:bCs/>
          <w:sz w:val="20"/>
          <w:szCs w:val="20"/>
        </w:rPr>
        <w:t>2.</w:t>
      </w:r>
      <w:r w:rsidR="00407378" w:rsidRPr="009B5593">
        <w:rPr>
          <w:b/>
          <w:bCs/>
          <w:sz w:val="20"/>
          <w:szCs w:val="20"/>
        </w:rPr>
        <w:t>Patients and methods</w:t>
      </w:r>
    </w:p>
    <w:p w:rsidR="00407378" w:rsidRPr="009B5593" w:rsidRDefault="00407378" w:rsidP="001C0DBA">
      <w:pPr>
        <w:autoSpaceDE w:val="0"/>
        <w:autoSpaceDN w:val="0"/>
        <w:bidi w:val="0"/>
        <w:adjustRightInd w:val="0"/>
        <w:snapToGrid w:val="0"/>
        <w:ind w:firstLine="425"/>
        <w:jc w:val="both"/>
        <w:rPr>
          <w:sz w:val="20"/>
          <w:szCs w:val="20"/>
        </w:rPr>
      </w:pPr>
      <w:r w:rsidRPr="009B5593">
        <w:rPr>
          <w:sz w:val="20"/>
          <w:szCs w:val="20"/>
        </w:rPr>
        <w:t>This study was done at Ophthalmology department, Menoufia University from January to December 2014, and included 30 patients, 18 males and 12 females. All patients were diagnosed to have primary congenital glaucoma and underwent combined trabeculotomy-trabeculectomy operation.</w:t>
      </w:r>
    </w:p>
    <w:p w:rsidR="00407378" w:rsidRPr="009B5593" w:rsidRDefault="00407378" w:rsidP="001C0DBA">
      <w:pPr>
        <w:autoSpaceDE w:val="0"/>
        <w:autoSpaceDN w:val="0"/>
        <w:bidi w:val="0"/>
        <w:adjustRightInd w:val="0"/>
        <w:snapToGrid w:val="0"/>
        <w:ind w:firstLine="425"/>
        <w:jc w:val="both"/>
        <w:rPr>
          <w:sz w:val="20"/>
          <w:szCs w:val="20"/>
        </w:rPr>
      </w:pPr>
      <w:r w:rsidRPr="009B5593">
        <w:rPr>
          <w:sz w:val="20"/>
          <w:szCs w:val="20"/>
        </w:rPr>
        <w:t>An informed consent was signed by parents of all patients after explaination of the surgical procedure to them. The study was approved by the Research Ethics Committee of Menoufia University.</w:t>
      </w:r>
    </w:p>
    <w:p w:rsidR="00407378" w:rsidRPr="009B5593" w:rsidRDefault="00407378" w:rsidP="001C0DBA">
      <w:pPr>
        <w:autoSpaceDE w:val="0"/>
        <w:autoSpaceDN w:val="0"/>
        <w:bidi w:val="0"/>
        <w:adjustRightInd w:val="0"/>
        <w:snapToGrid w:val="0"/>
        <w:jc w:val="both"/>
        <w:rPr>
          <w:b/>
          <w:bCs/>
          <w:sz w:val="20"/>
          <w:szCs w:val="20"/>
        </w:rPr>
      </w:pPr>
      <w:r w:rsidRPr="009B5593">
        <w:rPr>
          <w:b/>
          <w:bCs/>
          <w:sz w:val="20"/>
          <w:szCs w:val="20"/>
        </w:rPr>
        <w:t>Inclusion criteria:</w:t>
      </w:r>
    </w:p>
    <w:p w:rsidR="00407378" w:rsidRPr="009B5593" w:rsidRDefault="00407378" w:rsidP="001C0DBA">
      <w:pPr>
        <w:bidi w:val="0"/>
        <w:snapToGrid w:val="0"/>
        <w:ind w:firstLine="425"/>
        <w:jc w:val="both"/>
        <w:rPr>
          <w:sz w:val="20"/>
          <w:szCs w:val="20"/>
        </w:rPr>
      </w:pPr>
      <w:r w:rsidRPr="009B5593">
        <w:rPr>
          <w:sz w:val="20"/>
          <w:szCs w:val="20"/>
        </w:rPr>
        <w:t>1- Primary congenital glaucoma.</w:t>
      </w:r>
    </w:p>
    <w:p w:rsidR="00407378" w:rsidRPr="009B5593" w:rsidRDefault="00407378" w:rsidP="001C0DBA">
      <w:pPr>
        <w:bidi w:val="0"/>
        <w:snapToGrid w:val="0"/>
        <w:jc w:val="both"/>
        <w:rPr>
          <w:sz w:val="20"/>
          <w:szCs w:val="20"/>
        </w:rPr>
      </w:pPr>
      <w:r w:rsidRPr="009B5593">
        <w:rPr>
          <w:b/>
          <w:bCs/>
          <w:sz w:val="20"/>
          <w:szCs w:val="20"/>
        </w:rPr>
        <w:lastRenderedPageBreak/>
        <w:t>Exclusion criteria:</w:t>
      </w:r>
    </w:p>
    <w:p w:rsidR="00407378" w:rsidRPr="009B5593" w:rsidRDefault="00407378" w:rsidP="001C0DBA">
      <w:pPr>
        <w:bidi w:val="0"/>
        <w:snapToGrid w:val="0"/>
        <w:ind w:firstLine="425"/>
        <w:jc w:val="both"/>
        <w:rPr>
          <w:b/>
          <w:bCs/>
          <w:sz w:val="20"/>
          <w:szCs w:val="20"/>
        </w:rPr>
      </w:pPr>
      <w:r w:rsidRPr="009B5593">
        <w:rPr>
          <w:sz w:val="20"/>
          <w:szCs w:val="20"/>
        </w:rPr>
        <w:t>1-</w:t>
      </w:r>
      <w:r w:rsidR="00E32BEC" w:rsidRPr="009B5593">
        <w:rPr>
          <w:sz w:val="20"/>
          <w:szCs w:val="20"/>
        </w:rPr>
        <w:t xml:space="preserve"> </w:t>
      </w:r>
      <w:r w:rsidRPr="009B5593">
        <w:rPr>
          <w:sz w:val="20"/>
          <w:szCs w:val="20"/>
        </w:rPr>
        <w:t>Any other types of congenital glaucomas or acquired ones.</w:t>
      </w:r>
    </w:p>
    <w:p w:rsidR="00407378" w:rsidRPr="009B5593" w:rsidRDefault="00407378" w:rsidP="001C0DBA">
      <w:pPr>
        <w:bidi w:val="0"/>
        <w:snapToGrid w:val="0"/>
        <w:ind w:firstLine="425"/>
        <w:jc w:val="both"/>
        <w:rPr>
          <w:b/>
          <w:bCs/>
          <w:sz w:val="20"/>
          <w:szCs w:val="20"/>
        </w:rPr>
      </w:pPr>
      <w:r w:rsidRPr="009B5593">
        <w:rPr>
          <w:sz w:val="20"/>
          <w:szCs w:val="20"/>
        </w:rPr>
        <w:t>2-</w:t>
      </w:r>
      <w:r w:rsidR="00E32BEC" w:rsidRPr="009B5593">
        <w:rPr>
          <w:sz w:val="20"/>
          <w:szCs w:val="20"/>
        </w:rPr>
        <w:t xml:space="preserve"> </w:t>
      </w:r>
      <w:r w:rsidRPr="009B5593">
        <w:rPr>
          <w:sz w:val="20"/>
          <w:szCs w:val="20"/>
        </w:rPr>
        <w:t>Patients with history of any intraocular or corneal surgery.</w:t>
      </w:r>
    </w:p>
    <w:p w:rsidR="00407378" w:rsidRPr="009B5593" w:rsidRDefault="00407378" w:rsidP="001C0DBA">
      <w:pPr>
        <w:bidi w:val="0"/>
        <w:snapToGrid w:val="0"/>
        <w:ind w:firstLine="425"/>
        <w:jc w:val="both"/>
        <w:rPr>
          <w:b/>
          <w:bCs/>
          <w:sz w:val="20"/>
          <w:szCs w:val="20"/>
        </w:rPr>
      </w:pPr>
      <w:r w:rsidRPr="009B5593">
        <w:rPr>
          <w:sz w:val="20"/>
          <w:szCs w:val="20"/>
        </w:rPr>
        <w:t>3-</w:t>
      </w:r>
      <w:r w:rsidR="00E32BEC" w:rsidRPr="009B5593">
        <w:rPr>
          <w:sz w:val="20"/>
          <w:szCs w:val="20"/>
        </w:rPr>
        <w:t xml:space="preserve"> </w:t>
      </w:r>
      <w:r w:rsidRPr="009B5593">
        <w:rPr>
          <w:sz w:val="20"/>
          <w:szCs w:val="20"/>
        </w:rPr>
        <w:t>Corneal opacity.</w:t>
      </w:r>
    </w:p>
    <w:p w:rsidR="00407378" w:rsidRPr="009B5593" w:rsidRDefault="00407378" w:rsidP="001C0DBA">
      <w:pPr>
        <w:bidi w:val="0"/>
        <w:snapToGrid w:val="0"/>
        <w:jc w:val="both"/>
        <w:rPr>
          <w:b/>
          <w:bCs/>
          <w:sz w:val="20"/>
          <w:szCs w:val="20"/>
        </w:rPr>
      </w:pPr>
      <w:r w:rsidRPr="009B5593">
        <w:rPr>
          <w:b/>
          <w:bCs/>
          <w:sz w:val="20"/>
          <w:szCs w:val="20"/>
        </w:rPr>
        <w:t>All 30 patients were subjected to the following:</w:t>
      </w:r>
    </w:p>
    <w:p w:rsidR="00407378" w:rsidRPr="009B5593" w:rsidRDefault="00407378" w:rsidP="001C0DBA">
      <w:pPr>
        <w:bidi w:val="0"/>
        <w:snapToGrid w:val="0"/>
        <w:jc w:val="both"/>
        <w:rPr>
          <w:rFonts w:eastAsia="SymbolMT"/>
          <w:sz w:val="20"/>
          <w:szCs w:val="20"/>
        </w:rPr>
      </w:pPr>
      <w:r w:rsidRPr="009B5593">
        <w:rPr>
          <w:b/>
          <w:bCs/>
          <w:sz w:val="20"/>
          <w:szCs w:val="20"/>
        </w:rPr>
        <w:t>(A) History taking from parents:</w:t>
      </w:r>
    </w:p>
    <w:p w:rsidR="00407378" w:rsidRPr="009B5593" w:rsidRDefault="00407378" w:rsidP="001C0DBA">
      <w:pPr>
        <w:bidi w:val="0"/>
        <w:snapToGrid w:val="0"/>
        <w:ind w:firstLine="425"/>
        <w:jc w:val="both"/>
        <w:rPr>
          <w:b/>
          <w:bCs/>
          <w:sz w:val="20"/>
          <w:szCs w:val="20"/>
        </w:rPr>
      </w:pPr>
      <w:r w:rsidRPr="009B5593">
        <w:rPr>
          <w:rFonts w:eastAsia="SymbolMT"/>
          <w:sz w:val="20"/>
          <w:szCs w:val="20"/>
        </w:rPr>
        <w:t>Age, sex and residence of the patients, family history of glaucoma.</w:t>
      </w:r>
    </w:p>
    <w:p w:rsidR="00407378" w:rsidRPr="009B5593" w:rsidRDefault="00407378" w:rsidP="001C0DBA">
      <w:pPr>
        <w:bidi w:val="0"/>
        <w:snapToGrid w:val="0"/>
        <w:jc w:val="both"/>
        <w:rPr>
          <w:sz w:val="20"/>
          <w:szCs w:val="20"/>
        </w:rPr>
      </w:pPr>
      <w:r w:rsidRPr="009B5593">
        <w:rPr>
          <w:b/>
          <w:bCs/>
          <w:sz w:val="20"/>
          <w:szCs w:val="20"/>
        </w:rPr>
        <w:t>(B) Preoperative Examination:</w:t>
      </w:r>
    </w:p>
    <w:p w:rsidR="00407378" w:rsidRPr="009B5593" w:rsidRDefault="00407378" w:rsidP="001C0DBA">
      <w:pPr>
        <w:bidi w:val="0"/>
        <w:snapToGrid w:val="0"/>
        <w:ind w:firstLine="425"/>
        <w:jc w:val="both"/>
        <w:rPr>
          <w:sz w:val="20"/>
          <w:szCs w:val="20"/>
        </w:rPr>
      </w:pPr>
      <w:r w:rsidRPr="009B5593">
        <w:rPr>
          <w:sz w:val="20"/>
          <w:szCs w:val="20"/>
        </w:rPr>
        <w:t>Ocular examination</w:t>
      </w:r>
      <w:r w:rsidR="00C539A9" w:rsidRPr="009B5593">
        <w:rPr>
          <w:sz w:val="20"/>
          <w:szCs w:val="20"/>
        </w:rPr>
        <w:t xml:space="preserve"> </w:t>
      </w:r>
      <w:r w:rsidRPr="009B5593">
        <w:rPr>
          <w:sz w:val="20"/>
          <w:szCs w:val="20"/>
        </w:rPr>
        <w:t>was done</w:t>
      </w:r>
      <w:r w:rsidR="00C539A9" w:rsidRPr="009B5593">
        <w:rPr>
          <w:sz w:val="20"/>
          <w:szCs w:val="20"/>
        </w:rPr>
        <w:t xml:space="preserve"> </w:t>
      </w:r>
      <w:r w:rsidRPr="009B5593">
        <w:rPr>
          <w:sz w:val="20"/>
          <w:szCs w:val="20"/>
        </w:rPr>
        <w:t>under oral sedation (chloral hydrate) and local anaesthetic eye drops</w:t>
      </w:r>
      <w:r w:rsidR="00C539A9" w:rsidRPr="009B5593">
        <w:rPr>
          <w:sz w:val="20"/>
          <w:szCs w:val="20"/>
        </w:rPr>
        <w:t xml:space="preserve"> </w:t>
      </w:r>
      <w:r w:rsidRPr="009B5593">
        <w:rPr>
          <w:sz w:val="20"/>
          <w:szCs w:val="20"/>
        </w:rPr>
        <w:t>as follows:</w:t>
      </w:r>
      <w:r w:rsidR="00C539A9" w:rsidRPr="009B5593">
        <w:rPr>
          <w:sz w:val="20"/>
          <w:szCs w:val="20"/>
        </w:rPr>
        <w:t xml:space="preserve"> </w:t>
      </w:r>
      <w:r w:rsidRPr="009B5593">
        <w:rPr>
          <w:sz w:val="20"/>
          <w:szCs w:val="20"/>
        </w:rPr>
        <w:t>examination of eye lids, corneal examination, assessment of iris, assessment of anterior chamber, assessment of lens, assessment of pupil, funduscopy, IOP assessment and measurement of CCT.</w:t>
      </w:r>
    </w:p>
    <w:p w:rsidR="00407378" w:rsidRPr="009B5593" w:rsidRDefault="00407378" w:rsidP="001C0DBA">
      <w:pPr>
        <w:autoSpaceDE w:val="0"/>
        <w:autoSpaceDN w:val="0"/>
        <w:bidi w:val="0"/>
        <w:adjustRightInd w:val="0"/>
        <w:snapToGrid w:val="0"/>
        <w:ind w:firstLine="425"/>
        <w:jc w:val="both"/>
        <w:rPr>
          <w:sz w:val="20"/>
          <w:szCs w:val="20"/>
        </w:rPr>
      </w:pPr>
      <w:r w:rsidRPr="009B5593">
        <w:rPr>
          <w:sz w:val="20"/>
          <w:szCs w:val="20"/>
        </w:rPr>
        <w:t>IOP was measured by Perkins hand-held applanation tonometer which is portable and does not require a slitlamp.</w:t>
      </w:r>
      <w:r w:rsidR="001A32BE" w:rsidRPr="009B5593">
        <w:rPr>
          <w:sz w:val="20"/>
          <w:szCs w:val="20"/>
        </w:rPr>
        <w:t xml:space="preserve"> </w:t>
      </w:r>
      <w:r w:rsidRPr="009B5593">
        <w:rPr>
          <w:sz w:val="20"/>
          <w:szCs w:val="20"/>
        </w:rPr>
        <w:t>The patient's cornea was anesthetized by topical anethesia (Benoxinate</w:t>
      </w:r>
      <w:r w:rsidR="00CE3933" w:rsidRPr="009B5593">
        <w:rPr>
          <w:sz w:val="20"/>
          <w:szCs w:val="20"/>
        </w:rPr>
        <w:t xml:space="preserve"> </w:t>
      </w:r>
      <w:r w:rsidRPr="009B5593">
        <w:rPr>
          <w:sz w:val="20"/>
          <w:szCs w:val="20"/>
        </w:rPr>
        <w:t>hydroehloride 0.4%), one drop was placed in the inferior fornix of the eye followed by one drop of fluorescein stain.</w:t>
      </w:r>
      <w:r w:rsidR="006071F1" w:rsidRPr="009B5593">
        <w:rPr>
          <w:rFonts w:eastAsiaTheme="minorEastAsia" w:hint="eastAsia"/>
          <w:sz w:val="20"/>
          <w:szCs w:val="20"/>
          <w:lang w:eastAsia="zh-CN"/>
        </w:rPr>
        <w:t xml:space="preserve"> </w:t>
      </w:r>
      <w:r w:rsidRPr="009B5593">
        <w:rPr>
          <w:sz w:val="20"/>
          <w:szCs w:val="20"/>
        </w:rPr>
        <w:t>The patient was placed in supine position then the applanation head was approached until touch the patient's cornea, when the inner boundaries of the two green h</w:t>
      </w:r>
      <w:r w:rsidR="00D17714" w:rsidRPr="009B5593">
        <w:rPr>
          <w:sz w:val="20"/>
          <w:szCs w:val="20"/>
        </w:rPr>
        <w:t>al</w:t>
      </w:r>
      <w:r w:rsidR="00577D99" w:rsidRPr="009B5593">
        <w:rPr>
          <w:sz w:val="20"/>
          <w:szCs w:val="20"/>
        </w:rPr>
        <w:t xml:space="preserve">f </w:t>
      </w:r>
      <w:r w:rsidRPr="009B5593">
        <w:rPr>
          <w:sz w:val="20"/>
          <w:szCs w:val="20"/>
        </w:rPr>
        <w:t>circles are in contact the reading was taken from the measuring drum and multiplied by 10 to get the IOP in mmHg.</w:t>
      </w:r>
    </w:p>
    <w:p w:rsidR="00407378" w:rsidRPr="009B5593" w:rsidRDefault="00407378" w:rsidP="001C0DBA">
      <w:pPr>
        <w:autoSpaceDE w:val="0"/>
        <w:autoSpaceDN w:val="0"/>
        <w:bidi w:val="0"/>
        <w:adjustRightInd w:val="0"/>
        <w:snapToGrid w:val="0"/>
        <w:ind w:firstLine="425"/>
        <w:jc w:val="both"/>
        <w:rPr>
          <w:sz w:val="20"/>
          <w:szCs w:val="20"/>
        </w:rPr>
      </w:pPr>
      <w:r w:rsidRPr="009B5593">
        <w:rPr>
          <w:sz w:val="20"/>
          <w:szCs w:val="20"/>
        </w:rPr>
        <w:t>The central corneal thickness was measured using PacScan 300 AP ultrasonic pachymetry, Sonomed, USA.</w:t>
      </w:r>
      <w:r w:rsidR="00F43DDB" w:rsidRPr="009B5593">
        <w:rPr>
          <w:sz w:val="20"/>
          <w:szCs w:val="20"/>
        </w:rPr>
        <w:t xml:space="preserve"> </w:t>
      </w:r>
      <w:r w:rsidRPr="009B5593">
        <w:rPr>
          <w:sz w:val="20"/>
          <w:szCs w:val="20"/>
        </w:rPr>
        <w:t>The probe was applied directly to the corneal surface following the instillation of a topical anaesthetic (Benoxinate</w:t>
      </w:r>
      <w:r w:rsidR="00F43DDB" w:rsidRPr="009B5593">
        <w:rPr>
          <w:sz w:val="20"/>
          <w:szCs w:val="20"/>
        </w:rPr>
        <w:t xml:space="preserve"> </w:t>
      </w:r>
      <w:r w:rsidRPr="009B5593">
        <w:rPr>
          <w:sz w:val="20"/>
          <w:szCs w:val="20"/>
        </w:rPr>
        <w:t xml:space="preserve">hydroehloride 0.4%). The probe was applied at the center of the pupil and held at a 90º angle to the corneal apex. The average of three </w:t>
      </w:r>
      <w:r w:rsidRPr="009B5593">
        <w:rPr>
          <w:sz w:val="20"/>
          <w:szCs w:val="20"/>
        </w:rPr>
        <w:lastRenderedPageBreak/>
        <w:t>readings and the time of day were recorded. Measurements were taken after 2 hours of awakening as</w:t>
      </w:r>
      <w:r w:rsidR="006071F1" w:rsidRPr="009B5593">
        <w:rPr>
          <w:sz w:val="20"/>
          <w:szCs w:val="20"/>
        </w:rPr>
        <w:t xml:space="preserve"> </w:t>
      </w:r>
      <w:r w:rsidRPr="009B5593">
        <w:rPr>
          <w:sz w:val="20"/>
          <w:szCs w:val="20"/>
        </w:rPr>
        <w:t>overnight corneal oedema may still be present and will interfere with the readings.</w:t>
      </w:r>
    </w:p>
    <w:p w:rsidR="00407378" w:rsidRPr="009B5593" w:rsidRDefault="00407378" w:rsidP="001C0DBA">
      <w:pPr>
        <w:autoSpaceDE w:val="0"/>
        <w:autoSpaceDN w:val="0"/>
        <w:bidi w:val="0"/>
        <w:adjustRightInd w:val="0"/>
        <w:snapToGrid w:val="0"/>
        <w:jc w:val="both"/>
        <w:rPr>
          <w:b/>
          <w:bCs/>
          <w:sz w:val="20"/>
          <w:szCs w:val="20"/>
        </w:rPr>
      </w:pPr>
      <w:r w:rsidRPr="009B5593">
        <w:rPr>
          <w:b/>
          <w:bCs/>
          <w:sz w:val="20"/>
          <w:szCs w:val="20"/>
        </w:rPr>
        <w:t>C) Operation:</w:t>
      </w:r>
    </w:p>
    <w:p w:rsidR="00407378" w:rsidRPr="009B5593" w:rsidRDefault="00407378" w:rsidP="001C0DBA">
      <w:pPr>
        <w:autoSpaceDE w:val="0"/>
        <w:autoSpaceDN w:val="0"/>
        <w:bidi w:val="0"/>
        <w:adjustRightInd w:val="0"/>
        <w:snapToGrid w:val="0"/>
        <w:ind w:firstLine="425"/>
        <w:jc w:val="both"/>
        <w:rPr>
          <w:sz w:val="20"/>
          <w:szCs w:val="20"/>
        </w:rPr>
      </w:pPr>
      <w:r w:rsidRPr="009B5593">
        <w:rPr>
          <w:sz w:val="20"/>
          <w:szCs w:val="20"/>
        </w:rPr>
        <w:t>Combined trabeculotomy-trabeculectomy operation was performed in all children.</w:t>
      </w:r>
    </w:p>
    <w:p w:rsidR="00407378" w:rsidRPr="009B5593" w:rsidRDefault="00407378" w:rsidP="001C0DBA">
      <w:pPr>
        <w:autoSpaceDE w:val="0"/>
        <w:autoSpaceDN w:val="0"/>
        <w:bidi w:val="0"/>
        <w:adjustRightInd w:val="0"/>
        <w:snapToGrid w:val="0"/>
        <w:jc w:val="both"/>
        <w:rPr>
          <w:b/>
          <w:bCs/>
          <w:sz w:val="20"/>
          <w:szCs w:val="20"/>
        </w:rPr>
      </w:pPr>
      <w:r w:rsidRPr="009B5593">
        <w:rPr>
          <w:b/>
          <w:bCs/>
          <w:sz w:val="20"/>
          <w:szCs w:val="20"/>
        </w:rPr>
        <w:t>D) Postoperative follow up:</w:t>
      </w:r>
    </w:p>
    <w:p w:rsidR="00407378" w:rsidRPr="009B5593" w:rsidRDefault="00407378" w:rsidP="001C0DBA">
      <w:pPr>
        <w:autoSpaceDE w:val="0"/>
        <w:autoSpaceDN w:val="0"/>
        <w:bidi w:val="0"/>
        <w:adjustRightInd w:val="0"/>
        <w:snapToGrid w:val="0"/>
        <w:ind w:firstLine="425"/>
        <w:jc w:val="both"/>
        <w:rPr>
          <w:sz w:val="20"/>
          <w:szCs w:val="20"/>
        </w:rPr>
      </w:pPr>
      <w:r w:rsidRPr="009B5593">
        <w:rPr>
          <w:sz w:val="20"/>
          <w:szCs w:val="20"/>
        </w:rPr>
        <w:t>Follow-up examinations with applanation tonometry for measuring IOP and corneal pachymetry for measuring CCT were scheduled at 2 weeks, 6 weeks, 3 months and 12 months after the operation.</w:t>
      </w:r>
    </w:p>
    <w:p w:rsidR="00407378" w:rsidRPr="009B5593" w:rsidRDefault="00407378" w:rsidP="001C0DBA">
      <w:pPr>
        <w:autoSpaceDE w:val="0"/>
        <w:autoSpaceDN w:val="0"/>
        <w:bidi w:val="0"/>
        <w:adjustRightInd w:val="0"/>
        <w:snapToGrid w:val="0"/>
        <w:jc w:val="both"/>
        <w:rPr>
          <w:sz w:val="20"/>
          <w:szCs w:val="20"/>
        </w:rPr>
      </w:pPr>
      <w:r w:rsidRPr="009B5593">
        <w:rPr>
          <w:b/>
          <w:bCs/>
          <w:sz w:val="20"/>
          <w:szCs w:val="20"/>
        </w:rPr>
        <w:t>Statistical analysis</w:t>
      </w:r>
    </w:p>
    <w:p w:rsidR="00407378" w:rsidRPr="009B5593" w:rsidRDefault="00407378" w:rsidP="001C0DBA">
      <w:pPr>
        <w:bidi w:val="0"/>
        <w:snapToGrid w:val="0"/>
        <w:ind w:firstLine="425"/>
        <w:jc w:val="both"/>
        <w:rPr>
          <w:sz w:val="20"/>
          <w:szCs w:val="20"/>
        </w:rPr>
      </w:pPr>
      <w:r w:rsidRPr="009B5593">
        <w:rPr>
          <w:sz w:val="20"/>
          <w:szCs w:val="20"/>
        </w:rPr>
        <w:t xml:space="preserve">Results were expressed as mean ± standard deviation (mean ± SD). Linear regression analysis was used to assess the relationship between CCT and IOP values. </w:t>
      </w:r>
      <w:r w:rsidRPr="009B5593">
        <w:rPr>
          <w:i/>
          <w:iCs/>
          <w:sz w:val="20"/>
          <w:szCs w:val="20"/>
        </w:rPr>
        <w:t>P</w:t>
      </w:r>
      <w:r w:rsidRPr="009B5593">
        <w:rPr>
          <w:sz w:val="20"/>
          <w:szCs w:val="20"/>
        </w:rPr>
        <w:t>-values ≤ 0.05 were considered statistically significant. Statistical analysis was done using SPSS statistical package version 13 (SPSS Inc, Chicago, IL, USA).</w:t>
      </w:r>
    </w:p>
    <w:p w:rsidR="00ED5BBC" w:rsidRPr="009B5593" w:rsidRDefault="00ED5BBC" w:rsidP="001C0DBA">
      <w:pPr>
        <w:autoSpaceDE w:val="0"/>
        <w:autoSpaceDN w:val="0"/>
        <w:bidi w:val="0"/>
        <w:adjustRightInd w:val="0"/>
        <w:snapToGrid w:val="0"/>
        <w:jc w:val="both"/>
        <w:rPr>
          <w:b/>
          <w:bCs/>
          <w:sz w:val="20"/>
          <w:szCs w:val="20"/>
        </w:rPr>
      </w:pPr>
    </w:p>
    <w:p w:rsidR="00407378" w:rsidRPr="009B5593" w:rsidRDefault="00733738" w:rsidP="001C0DBA">
      <w:pPr>
        <w:autoSpaceDE w:val="0"/>
        <w:autoSpaceDN w:val="0"/>
        <w:bidi w:val="0"/>
        <w:adjustRightInd w:val="0"/>
        <w:snapToGrid w:val="0"/>
        <w:jc w:val="both"/>
        <w:rPr>
          <w:b/>
          <w:bCs/>
          <w:sz w:val="20"/>
          <w:szCs w:val="20"/>
        </w:rPr>
      </w:pPr>
      <w:r w:rsidRPr="009B5593">
        <w:rPr>
          <w:b/>
          <w:bCs/>
          <w:sz w:val="20"/>
          <w:szCs w:val="20"/>
        </w:rPr>
        <w:t>3.</w:t>
      </w:r>
      <w:r w:rsidR="00407378" w:rsidRPr="009B5593">
        <w:rPr>
          <w:b/>
          <w:bCs/>
          <w:sz w:val="20"/>
          <w:szCs w:val="20"/>
        </w:rPr>
        <w:t>Results</w:t>
      </w:r>
    </w:p>
    <w:p w:rsidR="00407378" w:rsidRPr="009B5593" w:rsidRDefault="00407378" w:rsidP="001C0DBA">
      <w:pPr>
        <w:autoSpaceDE w:val="0"/>
        <w:autoSpaceDN w:val="0"/>
        <w:bidi w:val="0"/>
        <w:adjustRightInd w:val="0"/>
        <w:snapToGrid w:val="0"/>
        <w:ind w:firstLine="425"/>
        <w:jc w:val="both"/>
        <w:rPr>
          <w:sz w:val="20"/>
          <w:szCs w:val="20"/>
        </w:rPr>
      </w:pPr>
      <w:r w:rsidRPr="009B5593">
        <w:rPr>
          <w:sz w:val="20"/>
          <w:szCs w:val="20"/>
        </w:rPr>
        <w:t>This study included 30 patients with primary congenital glaucoma and underwent combined trabeculotomy-trabeculectomy</w:t>
      </w:r>
      <w:r w:rsidR="00FA0C8C" w:rsidRPr="009B5593">
        <w:rPr>
          <w:sz w:val="20"/>
          <w:szCs w:val="20"/>
        </w:rPr>
        <w:t xml:space="preserve"> </w:t>
      </w:r>
      <w:r w:rsidRPr="009B5593">
        <w:rPr>
          <w:sz w:val="20"/>
          <w:szCs w:val="20"/>
        </w:rPr>
        <w:t>operation.</w:t>
      </w:r>
    </w:p>
    <w:p w:rsidR="00407378" w:rsidRPr="009B5593" w:rsidRDefault="00407378" w:rsidP="001C0DBA">
      <w:pPr>
        <w:autoSpaceDE w:val="0"/>
        <w:autoSpaceDN w:val="0"/>
        <w:bidi w:val="0"/>
        <w:adjustRightInd w:val="0"/>
        <w:snapToGrid w:val="0"/>
        <w:ind w:firstLine="425"/>
        <w:jc w:val="both"/>
        <w:rPr>
          <w:sz w:val="20"/>
          <w:szCs w:val="20"/>
        </w:rPr>
      </w:pPr>
      <w:r w:rsidRPr="009B5593">
        <w:rPr>
          <w:sz w:val="20"/>
          <w:szCs w:val="20"/>
        </w:rPr>
        <w:t>This study included 18 males and 12 females, with male predominance 60%.</w:t>
      </w:r>
    </w:p>
    <w:p w:rsidR="00407378" w:rsidRPr="009B5593" w:rsidRDefault="00407378" w:rsidP="001C0DBA">
      <w:pPr>
        <w:autoSpaceDE w:val="0"/>
        <w:autoSpaceDN w:val="0"/>
        <w:bidi w:val="0"/>
        <w:adjustRightInd w:val="0"/>
        <w:snapToGrid w:val="0"/>
        <w:ind w:firstLine="425"/>
        <w:jc w:val="both"/>
        <w:rPr>
          <w:sz w:val="20"/>
          <w:szCs w:val="20"/>
        </w:rPr>
      </w:pPr>
      <w:r w:rsidRPr="009B5593">
        <w:rPr>
          <w:sz w:val="20"/>
          <w:szCs w:val="20"/>
        </w:rPr>
        <w:t>In our study there was statistically significant reduction in CCT after operation. The mean initial CCT was 547 μm before operation and decreased to 533.9 μm after operation with</w:t>
      </w:r>
      <w:r w:rsidR="005C646E" w:rsidRPr="009B5593">
        <w:rPr>
          <w:sz w:val="20"/>
          <w:szCs w:val="20"/>
        </w:rPr>
        <w:t xml:space="preserve"> (</w:t>
      </w:r>
      <w:r w:rsidRPr="009B5593">
        <w:rPr>
          <w:i/>
          <w:iCs/>
          <w:sz w:val="20"/>
          <w:szCs w:val="20"/>
        </w:rPr>
        <w:t>P</w:t>
      </w:r>
      <w:r w:rsidRPr="009B5593">
        <w:rPr>
          <w:sz w:val="20"/>
          <w:szCs w:val="20"/>
        </w:rPr>
        <w:t>&lt; 0.01)</w:t>
      </w:r>
      <w:r w:rsidR="005C646E" w:rsidRPr="009B5593">
        <w:rPr>
          <w:sz w:val="20"/>
          <w:szCs w:val="20"/>
        </w:rPr>
        <w:t xml:space="preserve"> </w:t>
      </w:r>
      <w:r w:rsidRPr="009B5593">
        <w:rPr>
          <w:sz w:val="20"/>
          <w:szCs w:val="20"/>
        </w:rPr>
        <w:t>(Table 1).</w:t>
      </w:r>
    </w:p>
    <w:p w:rsidR="00407378" w:rsidRPr="009B5593" w:rsidRDefault="00407378" w:rsidP="001C0DBA">
      <w:pPr>
        <w:autoSpaceDE w:val="0"/>
        <w:autoSpaceDN w:val="0"/>
        <w:bidi w:val="0"/>
        <w:adjustRightInd w:val="0"/>
        <w:snapToGrid w:val="0"/>
        <w:ind w:firstLine="425"/>
        <w:jc w:val="both"/>
        <w:rPr>
          <w:sz w:val="20"/>
          <w:szCs w:val="20"/>
        </w:rPr>
      </w:pPr>
      <w:r w:rsidRPr="009B5593">
        <w:rPr>
          <w:sz w:val="20"/>
          <w:szCs w:val="20"/>
        </w:rPr>
        <w:t>There was statistically significant reduction in IOP after operation. The mean initial IOP was 30.7 mmHg before operation and decreased to 11.8 mmHg after operation with</w:t>
      </w:r>
      <w:r w:rsidR="005C646E" w:rsidRPr="009B5593">
        <w:rPr>
          <w:sz w:val="20"/>
          <w:szCs w:val="20"/>
        </w:rPr>
        <w:t xml:space="preserve"> (</w:t>
      </w:r>
      <w:r w:rsidRPr="009B5593">
        <w:rPr>
          <w:i/>
          <w:iCs/>
          <w:sz w:val="20"/>
          <w:szCs w:val="20"/>
        </w:rPr>
        <w:t>P</w:t>
      </w:r>
      <w:r w:rsidRPr="009B5593">
        <w:rPr>
          <w:sz w:val="20"/>
          <w:szCs w:val="20"/>
        </w:rPr>
        <w:t>&lt; 0.01) (Table 2).</w:t>
      </w:r>
    </w:p>
    <w:p w:rsidR="001C0DBA" w:rsidRPr="009B5593" w:rsidRDefault="001C0DBA" w:rsidP="001C0DBA">
      <w:pPr>
        <w:bidi w:val="0"/>
        <w:snapToGrid w:val="0"/>
        <w:jc w:val="center"/>
        <w:rPr>
          <w:b/>
          <w:bCs/>
          <w:sz w:val="20"/>
          <w:szCs w:val="6"/>
        </w:rPr>
        <w:sectPr w:rsidR="001C0DBA" w:rsidRPr="009B5593" w:rsidSect="006071F1">
          <w:type w:val="continuous"/>
          <w:pgSz w:w="12242" w:h="15842" w:code="1"/>
          <w:pgMar w:top="1440" w:right="1440" w:bottom="1440" w:left="1440" w:header="720" w:footer="720" w:gutter="0"/>
          <w:cols w:num="2" w:space="576"/>
          <w:docGrid w:linePitch="360"/>
        </w:sectPr>
      </w:pPr>
    </w:p>
    <w:p w:rsidR="001D1AFD" w:rsidRPr="009B5593" w:rsidRDefault="001D1AFD" w:rsidP="001C0DBA">
      <w:pPr>
        <w:bidi w:val="0"/>
        <w:snapToGrid w:val="0"/>
        <w:jc w:val="center"/>
        <w:rPr>
          <w:b/>
          <w:bCs/>
          <w:sz w:val="20"/>
          <w:szCs w:val="6"/>
        </w:rPr>
      </w:pPr>
    </w:p>
    <w:p w:rsidR="00407378" w:rsidRPr="009B5593" w:rsidRDefault="00407378" w:rsidP="00215D6B">
      <w:pPr>
        <w:bidi w:val="0"/>
        <w:snapToGrid w:val="0"/>
        <w:jc w:val="center"/>
        <w:rPr>
          <w:sz w:val="18"/>
          <w:szCs w:val="18"/>
        </w:rPr>
      </w:pPr>
      <w:r w:rsidRPr="009B5593">
        <w:rPr>
          <w:b/>
          <w:bCs/>
          <w:sz w:val="18"/>
          <w:szCs w:val="18"/>
        </w:rPr>
        <w:t>Table (1): Comparison between CCT before and 12 months after operation.</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3" w:type="dxa"/>
          <w:right w:w="93" w:type="dxa"/>
        </w:tblCellMar>
        <w:tblLook w:val="0000"/>
      </w:tblPr>
      <w:tblGrid>
        <w:gridCol w:w="3854"/>
        <w:gridCol w:w="1635"/>
        <w:gridCol w:w="1260"/>
        <w:gridCol w:w="1260"/>
        <w:gridCol w:w="1539"/>
      </w:tblGrid>
      <w:tr w:rsidR="00407378" w:rsidRPr="009B5593" w:rsidTr="00053074">
        <w:trPr>
          <w:trHeight w:val="60"/>
          <w:jc w:val="center"/>
        </w:trPr>
        <w:tc>
          <w:tcPr>
            <w:tcW w:w="2018" w:type="pct"/>
            <w:shd w:val="clear" w:color="000000" w:fill="FFFFFF"/>
            <w:vAlign w:val="bottom"/>
          </w:tcPr>
          <w:p w:rsidR="00407378" w:rsidRPr="009B5593" w:rsidRDefault="00407378" w:rsidP="001C0DBA">
            <w:pPr>
              <w:autoSpaceDE w:val="0"/>
              <w:autoSpaceDN w:val="0"/>
              <w:bidi w:val="0"/>
              <w:adjustRightInd w:val="0"/>
              <w:snapToGrid w:val="0"/>
              <w:jc w:val="both"/>
              <w:rPr>
                <w:sz w:val="18"/>
                <w:szCs w:val="18"/>
              </w:rPr>
            </w:pPr>
          </w:p>
        </w:tc>
        <w:tc>
          <w:tcPr>
            <w:tcW w:w="856" w:type="pct"/>
            <w:shd w:val="clear" w:color="000000" w:fill="FFFFFF"/>
            <w:vAlign w:val="center"/>
          </w:tcPr>
          <w:p w:rsidR="00407378" w:rsidRPr="009B5593" w:rsidRDefault="00407378" w:rsidP="001C0DBA">
            <w:pPr>
              <w:autoSpaceDE w:val="0"/>
              <w:autoSpaceDN w:val="0"/>
              <w:bidi w:val="0"/>
              <w:adjustRightInd w:val="0"/>
              <w:snapToGrid w:val="0"/>
              <w:jc w:val="both"/>
              <w:rPr>
                <w:b/>
                <w:bCs/>
                <w:sz w:val="18"/>
                <w:szCs w:val="18"/>
              </w:rPr>
            </w:pPr>
            <w:r w:rsidRPr="009B5593">
              <w:rPr>
                <w:b/>
                <w:bCs/>
                <w:sz w:val="18"/>
                <w:szCs w:val="18"/>
              </w:rPr>
              <w:t>Mean</w:t>
            </w:r>
          </w:p>
        </w:tc>
        <w:tc>
          <w:tcPr>
            <w:tcW w:w="660" w:type="pct"/>
            <w:shd w:val="clear" w:color="000000" w:fill="FFFFFF"/>
            <w:vAlign w:val="center"/>
          </w:tcPr>
          <w:p w:rsidR="00407378" w:rsidRPr="009B5593" w:rsidRDefault="00733738" w:rsidP="001C0DBA">
            <w:pPr>
              <w:autoSpaceDE w:val="0"/>
              <w:autoSpaceDN w:val="0"/>
              <w:bidi w:val="0"/>
              <w:adjustRightInd w:val="0"/>
              <w:snapToGrid w:val="0"/>
              <w:jc w:val="both"/>
              <w:rPr>
                <w:b/>
                <w:bCs/>
                <w:sz w:val="18"/>
                <w:szCs w:val="18"/>
              </w:rPr>
            </w:pPr>
            <w:r w:rsidRPr="009B5593">
              <w:rPr>
                <w:b/>
                <w:bCs/>
                <w:sz w:val="18"/>
                <w:szCs w:val="18"/>
              </w:rPr>
              <w:t>±</w:t>
            </w:r>
            <w:r w:rsidR="00407378" w:rsidRPr="009B5593">
              <w:rPr>
                <w:b/>
                <w:bCs/>
                <w:sz w:val="18"/>
                <w:szCs w:val="18"/>
              </w:rPr>
              <w:t>S. D</w:t>
            </w:r>
          </w:p>
        </w:tc>
        <w:tc>
          <w:tcPr>
            <w:tcW w:w="660" w:type="pct"/>
            <w:shd w:val="clear" w:color="000000" w:fill="FFFFFF"/>
            <w:vAlign w:val="center"/>
          </w:tcPr>
          <w:p w:rsidR="00407378" w:rsidRPr="009B5593" w:rsidRDefault="00407378" w:rsidP="001C0DBA">
            <w:pPr>
              <w:autoSpaceDE w:val="0"/>
              <w:autoSpaceDN w:val="0"/>
              <w:bidi w:val="0"/>
              <w:adjustRightInd w:val="0"/>
              <w:snapToGrid w:val="0"/>
              <w:jc w:val="both"/>
              <w:rPr>
                <w:b/>
                <w:bCs/>
                <w:sz w:val="18"/>
                <w:szCs w:val="18"/>
              </w:rPr>
            </w:pPr>
            <w:r w:rsidRPr="009B5593">
              <w:rPr>
                <w:b/>
                <w:bCs/>
                <w:sz w:val="18"/>
                <w:szCs w:val="18"/>
              </w:rPr>
              <w:t>t.test</w:t>
            </w:r>
          </w:p>
        </w:tc>
        <w:tc>
          <w:tcPr>
            <w:tcW w:w="806" w:type="pct"/>
            <w:shd w:val="clear" w:color="000000" w:fill="FFFFFF"/>
            <w:vAlign w:val="center"/>
          </w:tcPr>
          <w:p w:rsidR="00407378" w:rsidRPr="009B5593" w:rsidRDefault="00407378" w:rsidP="001C0DBA">
            <w:pPr>
              <w:autoSpaceDE w:val="0"/>
              <w:autoSpaceDN w:val="0"/>
              <w:bidi w:val="0"/>
              <w:adjustRightInd w:val="0"/>
              <w:snapToGrid w:val="0"/>
              <w:jc w:val="both"/>
              <w:rPr>
                <w:b/>
                <w:bCs/>
                <w:sz w:val="18"/>
                <w:szCs w:val="18"/>
              </w:rPr>
            </w:pPr>
            <w:r w:rsidRPr="009B5593">
              <w:rPr>
                <w:b/>
                <w:bCs/>
                <w:i/>
                <w:iCs/>
                <w:sz w:val="18"/>
                <w:szCs w:val="18"/>
              </w:rPr>
              <w:t>p</w:t>
            </w:r>
            <w:r w:rsidRPr="009B5593">
              <w:rPr>
                <w:b/>
                <w:bCs/>
                <w:sz w:val="18"/>
                <w:szCs w:val="18"/>
              </w:rPr>
              <w:t>.value</w:t>
            </w:r>
          </w:p>
        </w:tc>
      </w:tr>
      <w:tr w:rsidR="00407378" w:rsidRPr="009B5593" w:rsidTr="00053074">
        <w:trPr>
          <w:trHeight w:val="60"/>
          <w:jc w:val="center"/>
        </w:trPr>
        <w:tc>
          <w:tcPr>
            <w:tcW w:w="2018" w:type="pct"/>
            <w:shd w:val="clear" w:color="000000" w:fill="FFFFFF"/>
            <w:vAlign w:val="center"/>
          </w:tcPr>
          <w:p w:rsidR="00407378" w:rsidRPr="009B5593" w:rsidRDefault="00407378" w:rsidP="001C0DBA">
            <w:pPr>
              <w:autoSpaceDE w:val="0"/>
              <w:autoSpaceDN w:val="0"/>
              <w:bidi w:val="0"/>
              <w:adjustRightInd w:val="0"/>
              <w:snapToGrid w:val="0"/>
              <w:jc w:val="both"/>
              <w:rPr>
                <w:b/>
                <w:bCs/>
                <w:sz w:val="18"/>
                <w:szCs w:val="18"/>
              </w:rPr>
            </w:pPr>
            <w:r w:rsidRPr="009B5593">
              <w:rPr>
                <w:b/>
                <w:bCs/>
                <w:sz w:val="18"/>
                <w:szCs w:val="18"/>
              </w:rPr>
              <w:t>CCT pre</w:t>
            </w:r>
          </w:p>
        </w:tc>
        <w:tc>
          <w:tcPr>
            <w:tcW w:w="856" w:type="pct"/>
            <w:shd w:val="clear" w:color="000000" w:fill="FFFFFF"/>
            <w:vAlign w:val="center"/>
          </w:tcPr>
          <w:p w:rsidR="00407378" w:rsidRPr="009B5593" w:rsidRDefault="00407378" w:rsidP="001C0DBA">
            <w:pPr>
              <w:autoSpaceDE w:val="0"/>
              <w:autoSpaceDN w:val="0"/>
              <w:bidi w:val="0"/>
              <w:adjustRightInd w:val="0"/>
              <w:snapToGrid w:val="0"/>
              <w:jc w:val="both"/>
              <w:rPr>
                <w:sz w:val="18"/>
                <w:szCs w:val="18"/>
              </w:rPr>
            </w:pPr>
            <w:r w:rsidRPr="009B5593">
              <w:rPr>
                <w:sz w:val="18"/>
                <w:szCs w:val="18"/>
              </w:rPr>
              <w:t>547</w:t>
            </w:r>
          </w:p>
        </w:tc>
        <w:tc>
          <w:tcPr>
            <w:tcW w:w="660" w:type="pct"/>
            <w:shd w:val="clear" w:color="000000" w:fill="FFFFFF"/>
            <w:vAlign w:val="center"/>
          </w:tcPr>
          <w:p w:rsidR="00407378" w:rsidRPr="009B5593" w:rsidRDefault="00407378" w:rsidP="001C0DBA">
            <w:pPr>
              <w:autoSpaceDE w:val="0"/>
              <w:autoSpaceDN w:val="0"/>
              <w:bidi w:val="0"/>
              <w:adjustRightInd w:val="0"/>
              <w:snapToGrid w:val="0"/>
              <w:jc w:val="both"/>
              <w:rPr>
                <w:sz w:val="18"/>
                <w:szCs w:val="18"/>
              </w:rPr>
            </w:pPr>
            <w:r w:rsidRPr="009B5593">
              <w:rPr>
                <w:sz w:val="18"/>
                <w:szCs w:val="18"/>
              </w:rPr>
              <w:t>42.4</w:t>
            </w:r>
          </w:p>
        </w:tc>
        <w:tc>
          <w:tcPr>
            <w:tcW w:w="660" w:type="pct"/>
            <w:vMerge w:val="restart"/>
            <w:shd w:val="clear" w:color="000000" w:fill="FFFFFF"/>
            <w:vAlign w:val="center"/>
          </w:tcPr>
          <w:p w:rsidR="00407378" w:rsidRPr="009B5593" w:rsidRDefault="00407378" w:rsidP="001C0DBA">
            <w:pPr>
              <w:autoSpaceDE w:val="0"/>
              <w:autoSpaceDN w:val="0"/>
              <w:bidi w:val="0"/>
              <w:adjustRightInd w:val="0"/>
              <w:snapToGrid w:val="0"/>
              <w:jc w:val="both"/>
              <w:rPr>
                <w:sz w:val="18"/>
                <w:szCs w:val="18"/>
              </w:rPr>
            </w:pPr>
            <w:r w:rsidRPr="009B5593">
              <w:rPr>
                <w:sz w:val="18"/>
                <w:szCs w:val="18"/>
              </w:rPr>
              <w:t>1.6</w:t>
            </w:r>
          </w:p>
        </w:tc>
        <w:tc>
          <w:tcPr>
            <w:tcW w:w="806" w:type="pct"/>
            <w:vMerge w:val="restart"/>
            <w:shd w:val="clear" w:color="000000" w:fill="FFFFFF"/>
            <w:vAlign w:val="center"/>
          </w:tcPr>
          <w:p w:rsidR="00407378" w:rsidRPr="009B5593" w:rsidRDefault="00407378" w:rsidP="001C0DBA">
            <w:pPr>
              <w:autoSpaceDE w:val="0"/>
              <w:autoSpaceDN w:val="0"/>
              <w:bidi w:val="0"/>
              <w:adjustRightInd w:val="0"/>
              <w:snapToGrid w:val="0"/>
              <w:jc w:val="both"/>
              <w:rPr>
                <w:sz w:val="18"/>
                <w:szCs w:val="18"/>
              </w:rPr>
            </w:pPr>
            <w:r w:rsidRPr="009B5593">
              <w:rPr>
                <w:sz w:val="18"/>
                <w:szCs w:val="18"/>
              </w:rPr>
              <w:t>&lt;0.01</w:t>
            </w:r>
          </w:p>
        </w:tc>
      </w:tr>
      <w:tr w:rsidR="00407378" w:rsidRPr="009B5593" w:rsidTr="00053074">
        <w:trPr>
          <w:trHeight w:val="60"/>
          <w:jc w:val="center"/>
        </w:trPr>
        <w:tc>
          <w:tcPr>
            <w:tcW w:w="2018" w:type="pct"/>
            <w:shd w:val="clear" w:color="000000" w:fill="FFFFFF"/>
            <w:vAlign w:val="center"/>
          </w:tcPr>
          <w:p w:rsidR="00407378" w:rsidRPr="009B5593" w:rsidRDefault="00407378" w:rsidP="001C0DBA">
            <w:pPr>
              <w:autoSpaceDE w:val="0"/>
              <w:autoSpaceDN w:val="0"/>
              <w:bidi w:val="0"/>
              <w:adjustRightInd w:val="0"/>
              <w:snapToGrid w:val="0"/>
              <w:jc w:val="both"/>
              <w:rPr>
                <w:b/>
                <w:bCs/>
                <w:sz w:val="18"/>
                <w:szCs w:val="18"/>
              </w:rPr>
            </w:pPr>
            <w:r w:rsidRPr="009B5593">
              <w:rPr>
                <w:b/>
                <w:bCs/>
                <w:sz w:val="18"/>
                <w:szCs w:val="18"/>
              </w:rPr>
              <w:t>CCT post</w:t>
            </w:r>
          </w:p>
        </w:tc>
        <w:tc>
          <w:tcPr>
            <w:tcW w:w="856" w:type="pct"/>
            <w:shd w:val="clear" w:color="000000" w:fill="FFFFFF"/>
            <w:vAlign w:val="center"/>
          </w:tcPr>
          <w:p w:rsidR="00407378" w:rsidRPr="009B5593" w:rsidRDefault="00407378" w:rsidP="001C0DBA">
            <w:pPr>
              <w:autoSpaceDE w:val="0"/>
              <w:autoSpaceDN w:val="0"/>
              <w:bidi w:val="0"/>
              <w:adjustRightInd w:val="0"/>
              <w:snapToGrid w:val="0"/>
              <w:jc w:val="both"/>
              <w:rPr>
                <w:sz w:val="18"/>
                <w:szCs w:val="18"/>
              </w:rPr>
            </w:pPr>
            <w:r w:rsidRPr="009B5593">
              <w:rPr>
                <w:sz w:val="18"/>
                <w:szCs w:val="18"/>
              </w:rPr>
              <w:t>533.9</w:t>
            </w:r>
          </w:p>
        </w:tc>
        <w:tc>
          <w:tcPr>
            <w:tcW w:w="660" w:type="pct"/>
            <w:shd w:val="clear" w:color="000000" w:fill="FFFFFF"/>
            <w:vAlign w:val="center"/>
          </w:tcPr>
          <w:p w:rsidR="00407378" w:rsidRPr="009B5593" w:rsidRDefault="00407378" w:rsidP="001C0DBA">
            <w:pPr>
              <w:autoSpaceDE w:val="0"/>
              <w:autoSpaceDN w:val="0"/>
              <w:bidi w:val="0"/>
              <w:adjustRightInd w:val="0"/>
              <w:snapToGrid w:val="0"/>
              <w:jc w:val="both"/>
              <w:rPr>
                <w:sz w:val="18"/>
                <w:szCs w:val="18"/>
              </w:rPr>
            </w:pPr>
            <w:r w:rsidRPr="009B5593">
              <w:rPr>
                <w:sz w:val="18"/>
                <w:szCs w:val="18"/>
              </w:rPr>
              <w:t>38.6</w:t>
            </w:r>
          </w:p>
        </w:tc>
        <w:tc>
          <w:tcPr>
            <w:tcW w:w="660" w:type="pct"/>
            <w:vMerge/>
            <w:shd w:val="clear" w:color="000000" w:fill="FFFFFF"/>
            <w:vAlign w:val="center"/>
          </w:tcPr>
          <w:p w:rsidR="00407378" w:rsidRPr="009B5593" w:rsidRDefault="00407378" w:rsidP="001C0DBA">
            <w:pPr>
              <w:autoSpaceDE w:val="0"/>
              <w:autoSpaceDN w:val="0"/>
              <w:bidi w:val="0"/>
              <w:adjustRightInd w:val="0"/>
              <w:snapToGrid w:val="0"/>
              <w:jc w:val="both"/>
              <w:rPr>
                <w:sz w:val="18"/>
                <w:szCs w:val="18"/>
              </w:rPr>
            </w:pPr>
          </w:p>
        </w:tc>
        <w:tc>
          <w:tcPr>
            <w:tcW w:w="806" w:type="pct"/>
            <w:vMerge/>
            <w:shd w:val="clear" w:color="000000" w:fill="FFFFFF"/>
            <w:vAlign w:val="center"/>
          </w:tcPr>
          <w:p w:rsidR="00407378" w:rsidRPr="009B5593" w:rsidRDefault="00407378" w:rsidP="001C0DBA">
            <w:pPr>
              <w:autoSpaceDE w:val="0"/>
              <w:autoSpaceDN w:val="0"/>
              <w:bidi w:val="0"/>
              <w:adjustRightInd w:val="0"/>
              <w:snapToGrid w:val="0"/>
              <w:jc w:val="both"/>
              <w:rPr>
                <w:sz w:val="18"/>
                <w:szCs w:val="18"/>
              </w:rPr>
            </w:pPr>
          </w:p>
        </w:tc>
      </w:tr>
    </w:tbl>
    <w:p w:rsidR="00407378" w:rsidRPr="009B5593" w:rsidRDefault="00407378" w:rsidP="001C0DBA">
      <w:pPr>
        <w:autoSpaceDE w:val="0"/>
        <w:autoSpaceDN w:val="0"/>
        <w:bidi w:val="0"/>
        <w:adjustRightInd w:val="0"/>
        <w:snapToGrid w:val="0"/>
        <w:jc w:val="center"/>
        <w:rPr>
          <w:sz w:val="18"/>
          <w:szCs w:val="18"/>
        </w:rPr>
      </w:pPr>
    </w:p>
    <w:p w:rsidR="008F54E3" w:rsidRPr="009B5593" w:rsidRDefault="00407378" w:rsidP="001C0DBA">
      <w:pPr>
        <w:tabs>
          <w:tab w:val="center" w:pos="3643"/>
        </w:tabs>
        <w:autoSpaceDE w:val="0"/>
        <w:autoSpaceDN w:val="0"/>
        <w:bidi w:val="0"/>
        <w:adjustRightInd w:val="0"/>
        <w:snapToGrid w:val="0"/>
        <w:jc w:val="center"/>
        <w:rPr>
          <w:b/>
          <w:bCs/>
          <w:sz w:val="18"/>
          <w:szCs w:val="18"/>
        </w:rPr>
      </w:pPr>
      <w:r w:rsidRPr="009B5593">
        <w:rPr>
          <w:b/>
          <w:bCs/>
          <w:sz w:val="18"/>
          <w:szCs w:val="18"/>
        </w:rPr>
        <w:t>Table (2): Comparison between IOP before and after op</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3" w:type="dxa"/>
          <w:right w:w="93" w:type="dxa"/>
        </w:tblCellMar>
        <w:tblLook w:val="0000"/>
      </w:tblPr>
      <w:tblGrid>
        <w:gridCol w:w="4229"/>
        <w:gridCol w:w="1260"/>
        <w:gridCol w:w="1342"/>
        <w:gridCol w:w="1178"/>
        <w:gridCol w:w="1539"/>
      </w:tblGrid>
      <w:tr w:rsidR="008F54E3" w:rsidRPr="009B5593" w:rsidTr="00053074">
        <w:trPr>
          <w:trHeight w:val="60"/>
          <w:jc w:val="center"/>
        </w:trPr>
        <w:tc>
          <w:tcPr>
            <w:tcW w:w="2214" w:type="pct"/>
            <w:shd w:val="clear" w:color="000000" w:fill="FFFFFF"/>
            <w:vAlign w:val="center"/>
          </w:tcPr>
          <w:p w:rsidR="008F54E3" w:rsidRPr="009B5593" w:rsidRDefault="008F54E3" w:rsidP="001C0DBA">
            <w:pPr>
              <w:autoSpaceDE w:val="0"/>
              <w:autoSpaceDN w:val="0"/>
              <w:bidi w:val="0"/>
              <w:adjustRightInd w:val="0"/>
              <w:snapToGrid w:val="0"/>
              <w:jc w:val="both"/>
              <w:rPr>
                <w:sz w:val="18"/>
                <w:szCs w:val="18"/>
              </w:rPr>
            </w:pPr>
          </w:p>
        </w:tc>
        <w:tc>
          <w:tcPr>
            <w:tcW w:w="660" w:type="pct"/>
            <w:shd w:val="clear" w:color="000000" w:fill="FFFFFF"/>
            <w:vAlign w:val="center"/>
          </w:tcPr>
          <w:p w:rsidR="008F54E3" w:rsidRPr="009B5593" w:rsidRDefault="008F54E3" w:rsidP="001C0DBA">
            <w:pPr>
              <w:autoSpaceDE w:val="0"/>
              <w:autoSpaceDN w:val="0"/>
              <w:bidi w:val="0"/>
              <w:adjustRightInd w:val="0"/>
              <w:snapToGrid w:val="0"/>
              <w:jc w:val="both"/>
              <w:rPr>
                <w:b/>
                <w:bCs/>
                <w:sz w:val="18"/>
                <w:szCs w:val="18"/>
              </w:rPr>
            </w:pPr>
            <w:r w:rsidRPr="009B5593">
              <w:rPr>
                <w:b/>
                <w:bCs/>
                <w:sz w:val="18"/>
                <w:szCs w:val="18"/>
              </w:rPr>
              <w:t>Mean</w:t>
            </w:r>
          </w:p>
        </w:tc>
        <w:tc>
          <w:tcPr>
            <w:tcW w:w="703" w:type="pct"/>
            <w:shd w:val="clear" w:color="000000" w:fill="FFFFFF"/>
            <w:vAlign w:val="center"/>
          </w:tcPr>
          <w:p w:rsidR="008F54E3" w:rsidRPr="009B5593" w:rsidRDefault="008F54E3" w:rsidP="001C0DBA">
            <w:pPr>
              <w:autoSpaceDE w:val="0"/>
              <w:autoSpaceDN w:val="0"/>
              <w:bidi w:val="0"/>
              <w:adjustRightInd w:val="0"/>
              <w:snapToGrid w:val="0"/>
              <w:jc w:val="both"/>
              <w:rPr>
                <w:b/>
                <w:bCs/>
                <w:sz w:val="18"/>
                <w:szCs w:val="18"/>
              </w:rPr>
            </w:pPr>
            <w:r w:rsidRPr="009B5593">
              <w:rPr>
                <w:b/>
                <w:bCs/>
                <w:sz w:val="18"/>
                <w:szCs w:val="18"/>
              </w:rPr>
              <w:t>±S. D</w:t>
            </w:r>
          </w:p>
        </w:tc>
        <w:tc>
          <w:tcPr>
            <w:tcW w:w="617" w:type="pct"/>
            <w:shd w:val="clear" w:color="000000" w:fill="FFFFFF"/>
            <w:vAlign w:val="center"/>
          </w:tcPr>
          <w:p w:rsidR="008F54E3" w:rsidRPr="009B5593" w:rsidRDefault="008F54E3" w:rsidP="001C0DBA">
            <w:pPr>
              <w:autoSpaceDE w:val="0"/>
              <w:autoSpaceDN w:val="0"/>
              <w:bidi w:val="0"/>
              <w:adjustRightInd w:val="0"/>
              <w:snapToGrid w:val="0"/>
              <w:jc w:val="both"/>
              <w:rPr>
                <w:b/>
                <w:bCs/>
                <w:sz w:val="18"/>
                <w:szCs w:val="18"/>
              </w:rPr>
            </w:pPr>
            <w:r w:rsidRPr="009B5593">
              <w:rPr>
                <w:b/>
                <w:bCs/>
                <w:sz w:val="18"/>
                <w:szCs w:val="18"/>
              </w:rPr>
              <w:t>t.test</w:t>
            </w:r>
          </w:p>
        </w:tc>
        <w:tc>
          <w:tcPr>
            <w:tcW w:w="806" w:type="pct"/>
            <w:shd w:val="clear" w:color="000000" w:fill="FFFFFF"/>
            <w:vAlign w:val="center"/>
          </w:tcPr>
          <w:p w:rsidR="008F54E3" w:rsidRPr="009B5593" w:rsidRDefault="008F54E3" w:rsidP="001C0DBA">
            <w:pPr>
              <w:autoSpaceDE w:val="0"/>
              <w:autoSpaceDN w:val="0"/>
              <w:bidi w:val="0"/>
              <w:adjustRightInd w:val="0"/>
              <w:snapToGrid w:val="0"/>
              <w:jc w:val="both"/>
              <w:rPr>
                <w:b/>
                <w:bCs/>
                <w:sz w:val="18"/>
                <w:szCs w:val="18"/>
              </w:rPr>
            </w:pPr>
            <w:r w:rsidRPr="009B5593">
              <w:rPr>
                <w:b/>
                <w:bCs/>
                <w:i/>
                <w:iCs/>
                <w:sz w:val="18"/>
                <w:szCs w:val="18"/>
              </w:rPr>
              <w:t>p</w:t>
            </w:r>
            <w:r w:rsidRPr="009B5593">
              <w:rPr>
                <w:b/>
                <w:bCs/>
                <w:sz w:val="18"/>
                <w:szCs w:val="18"/>
              </w:rPr>
              <w:t>.value</w:t>
            </w:r>
          </w:p>
        </w:tc>
      </w:tr>
      <w:tr w:rsidR="008F54E3" w:rsidRPr="009B5593" w:rsidTr="00053074">
        <w:trPr>
          <w:trHeight w:val="60"/>
          <w:jc w:val="center"/>
        </w:trPr>
        <w:tc>
          <w:tcPr>
            <w:tcW w:w="2214" w:type="pct"/>
            <w:shd w:val="clear" w:color="000000" w:fill="FFFFFF"/>
            <w:vAlign w:val="center"/>
          </w:tcPr>
          <w:p w:rsidR="008F54E3" w:rsidRPr="009B5593" w:rsidRDefault="008F54E3" w:rsidP="001C0DBA">
            <w:pPr>
              <w:autoSpaceDE w:val="0"/>
              <w:autoSpaceDN w:val="0"/>
              <w:bidi w:val="0"/>
              <w:adjustRightInd w:val="0"/>
              <w:snapToGrid w:val="0"/>
              <w:jc w:val="both"/>
              <w:rPr>
                <w:b/>
                <w:bCs/>
                <w:sz w:val="18"/>
                <w:szCs w:val="18"/>
              </w:rPr>
            </w:pPr>
            <w:r w:rsidRPr="009B5593">
              <w:rPr>
                <w:b/>
                <w:bCs/>
                <w:sz w:val="18"/>
                <w:szCs w:val="18"/>
              </w:rPr>
              <w:t>IOP pre</w:t>
            </w:r>
          </w:p>
        </w:tc>
        <w:tc>
          <w:tcPr>
            <w:tcW w:w="660" w:type="pct"/>
            <w:shd w:val="clear" w:color="000000" w:fill="FFFFFF"/>
            <w:vAlign w:val="center"/>
          </w:tcPr>
          <w:p w:rsidR="008F54E3" w:rsidRPr="009B5593" w:rsidRDefault="008F54E3" w:rsidP="001C0DBA">
            <w:pPr>
              <w:autoSpaceDE w:val="0"/>
              <w:autoSpaceDN w:val="0"/>
              <w:bidi w:val="0"/>
              <w:adjustRightInd w:val="0"/>
              <w:snapToGrid w:val="0"/>
              <w:jc w:val="both"/>
              <w:rPr>
                <w:sz w:val="18"/>
                <w:szCs w:val="18"/>
              </w:rPr>
            </w:pPr>
            <w:r w:rsidRPr="009B5593">
              <w:rPr>
                <w:sz w:val="18"/>
                <w:szCs w:val="18"/>
              </w:rPr>
              <w:t>30.7</w:t>
            </w:r>
          </w:p>
        </w:tc>
        <w:tc>
          <w:tcPr>
            <w:tcW w:w="703" w:type="pct"/>
            <w:shd w:val="clear" w:color="000000" w:fill="FFFFFF"/>
            <w:vAlign w:val="center"/>
          </w:tcPr>
          <w:p w:rsidR="008F54E3" w:rsidRPr="009B5593" w:rsidRDefault="008F54E3" w:rsidP="001C0DBA">
            <w:pPr>
              <w:autoSpaceDE w:val="0"/>
              <w:autoSpaceDN w:val="0"/>
              <w:bidi w:val="0"/>
              <w:adjustRightInd w:val="0"/>
              <w:snapToGrid w:val="0"/>
              <w:jc w:val="both"/>
              <w:rPr>
                <w:sz w:val="18"/>
                <w:szCs w:val="18"/>
              </w:rPr>
            </w:pPr>
            <w:r w:rsidRPr="009B5593">
              <w:rPr>
                <w:sz w:val="18"/>
                <w:szCs w:val="18"/>
              </w:rPr>
              <w:t>3.3</w:t>
            </w:r>
          </w:p>
        </w:tc>
        <w:tc>
          <w:tcPr>
            <w:tcW w:w="617" w:type="pct"/>
            <w:vMerge w:val="restart"/>
            <w:shd w:val="clear" w:color="000000" w:fill="FFFFFF"/>
            <w:vAlign w:val="center"/>
          </w:tcPr>
          <w:p w:rsidR="008F54E3" w:rsidRPr="009B5593" w:rsidRDefault="008F54E3" w:rsidP="001C0DBA">
            <w:pPr>
              <w:autoSpaceDE w:val="0"/>
              <w:autoSpaceDN w:val="0"/>
              <w:bidi w:val="0"/>
              <w:adjustRightInd w:val="0"/>
              <w:snapToGrid w:val="0"/>
              <w:jc w:val="both"/>
              <w:rPr>
                <w:sz w:val="18"/>
                <w:szCs w:val="18"/>
              </w:rPr>
            </w:pPr>
            <w:r w:rsidRPr="009B5593">
              <w:rPr>
                <w:sz w:val="18"/>
                <w:szCs w:val="18"/>
              </w:rPr>
              <w:t>1.57</w:t>
            </w:r>
          </w:p>
        </w:tc>
        <w:tc>
          <w:tcPr>
            <w:tcW w:w="806" w:type="pct"/>
            <w:vMerge w:val="restart"/>
            <w:shd w:val="clear" w:color="000000" w:fill="FFFFFF"/>
            <w:vAlign w:val="center"/>
          </w:tcPr>
          <w:p w:rsidR="008F54E3" w:rsidRPr="009B5593" w:rsidRDefault="008F54E3" w:rsidP="001C0DBA">
            <w:pPr>
              <w:autoSpaceDE w:val="0"/>
              <w:autoSpaceDN w:val="0"/>
              <w:bidi w:val="0"/>
              <w:adjustRightInd w:val="0"/>
              <w:snapToGrid w:val="0"/>
              <w:jc w:val="both"/>
              <w:rPr>
                <w:sz w:val="18"/>
                <w:szCs w:val="18"/>
              </w:rPr>
            </w:pPr>
            <w:r w:rsidRPr="009B5593">
              <w:rPr>
                <w:sz w:val="18"/>
                <w:szCs w:val="18"/>
              </w:rPr>
              <w:t>&lt;0.01</w:t>
            </w:r>
          </w:p>
        </w:tc>
      </w:tr>
      <w:tr w:rsidR="008F54E3" w:rsidRPr="009B5593" w:rsidTr="00053074">
        <w:trPr>
          <w:trHeight w:val="60"/>
          <w:jc w:val="center"/>
        </w:trPr>
        <w:tc>
          <w:tcPr>
            <w:tcW w:w="2214" w:type="pct"/>
            <w:shd w:val="clear" w:color="000000" w:fill="FFFFFF"/>
            <w:vAlign w:val="center"/>
          </w:tcPr>
          <w:p w:rsidR="008F54E3" w:rsidRPr="009B5593" w:rsidRDefault="008F54E3" w:rsidP="001C0DBA">
            <w:pPr>
              <w:autoSpaceDE w:val="0"/>
              <w:autoSpaceDN w:val="0"/>
              <w:bidi w:val="0"/>
              <w:adjustRightInd w:val="0"/>
              <w:snapToGrid w:val="0"/>
              <w:jc w:val="both"/>
              <w:rPr>
                <w:b/>
                <w:bCs/>
                <w:sz w:val="18"/>
                <w:szCs w:val="18"/>
              </w:rPr>
            </w:pPr>
            <w:r w:rsidRPr="009B5593">
              <w:rPr>
                <w:b/>
                <w:bCs/>
                <w:sz w:val="18"/>
                <w:szCs w:val="18"/>
              </w:rPr>
              <w:t>IOP post</w:t>
            </w:r>
          </w:p>
        </w:tc>
        <w:tc>
          <w:tcPr>
            <w:tcW w:w="660" w:type="pct"/>
            <w:shd w:val="clear" w:color="000000" w:fill="FFFFFF"/>
            <w:vAlign w:val="center"/>
          </w:tcPr>
          <w:p w:rsidR="008F54E3" w:rsidRPr="009B5593" w:rsidRDefault="008F54E3" w:rsidP="001C0DBA">
            <w:pPr>
              <w:autoSpaceDE w:val="0"/>
              <w:autoSpaceDN w:val="0"/>
              <w:bidi w:val="0"/>
              <w:adjustRightInd w:val="0"/>
              <w:snapToGrid w:val="0"/>
              <w:jc w:val="both"/>
              <w:rPr>
                <w:sz w:val="18"/>
                <w:szCs w:val="18"/>
              </w:rPr>
            </w:pPr>
            <w:r w:rsidRPr="009B5593">
              <w:rPr>
                <w:sz w:val="18"/>
                <w:szCs w:val="18"/>
              </w:rPr>
              <w:t>11.8</w:t>
            </w:r>
          </w:p>
        </w:tc>
        <w:tc>
          <w:tcPr>
            <w:tcW w:w="703" w:type="pct"/>
            <w:shd w:val="clear" w:color="000000" w:fill="FFFFFF"/>
            <w:vAlign w:val="center"/>
          </w:tcPr>
          <w:p w:rsidR="008F54E3" w:rsidRPr="009B5593" w:rsidRDefault="008F54E3" w:rsidP="001C0DBA">
            <w:pPr>
              <w:autoSpaceDE w:val="0"/>
              <w:autoSpaceDN w:val="0"/>
              <w:bidi w:val="0"/>
              <w:adjustRightInd w:val="0"/>
              <w:snapToGrid w:val="0"/>
              <w:jc w:val="both"/>
              <w:rPr>
                <w:sz w:val="18"/>
                <w:szCs w:val="18"/>
              </w:rPr>
            </w:pPr>
            <w:r w:rsidRPr="009B5593">
              <w:rPr>
                <w:sz w:val="18"/>
                <w:szCs w:val="18"/>
              </w:rPr>
              <w:t>1.51</w:t>
            </w:r>
          </w:p>
        </w:tc>
        <w:tc>
          <w:tcPr>
            <w:tcW w:w="617" w:type="pct"/>
            <w:vMerge/>
            <w:shd w:val="clear" w:color="000000" w:fill="FFFFFF"/>
            <w:vAlign w:val="center"/>
          </w:tcPr>
          <w:p w:rsidR="008F54E3" w:rsidRPr="009B5593" w:rsidRDefault="008F54E3" w:rsidP="001C0DBA">
            <w:pPr>
              <w:autoSpaceDE w:val="0"/>
              <w:autoSpaceDN w:val="0"/>
              <w:bidi w:val="0"/>
              <w:adjustRightInd w:val="0"/>
              <w:snapToGrid w:val="0"/>
              <w:jc w:val="both"/>
              <w:rPr>
                <w:sz w:val="18"/>
                <w:szCs w:val="18"/>
              </w:rPr>
            </w:pPr>
          </w:p>
        </w:tc>
        <w:tc>
          <w:tcPr>
            <w:tcW w:w="806" w:type="pct"/>
            <w:vMerge/>
            <w:shd w:val="clear" w:color="000000" w:fill="FFFFFF"/>
            <w:vAlign w:val="center"/>
          </w:tcPr>
          <w:p w:rsidR="008F54E3" w:rsidRPr="009B5593" w:rsidRDefault="008F54E3" w:rsidP="001C0DBA">
            <w:pPr>
              <w:autoSpaceDE w:val="0"/>
              <w:autoSpaceDN w:val="0"/>
              <w:bidi w:val="0"/>
              <w:adjustRightInd w:val="0"/>
              <w:snapToGrid w:val="0"/>
              <w:jc w:val="both"/>
              <w:rPr>
                <w:sz w:val="18"/>
                <w:szCs w:val="18"/>
              </w:rPr>
            </w:pPr>
          </w:p>
        </w:tc>
      </w:tr>
    </w:tbl>
    <w:p w:rsidR="001C0DBA" w:rsidRPr="009B5593" w:rsidRDefault="001C0DBA" w:rsidP="001C0DBA">
      <w:pPr>
        <w:bidi w:val="0"/>
        <w:snapToGrid w:val="0"/>
        <w:ind w:firstLine="425"/>
        <w:jc w:val="both"/>
        <w:rPr>
          <w:rFonts w:eastAsiaTheme="minorEastAsia"/>
          <w:b/>
          <w:bCs/>
          <w:sz w:val="18"/>
          <w:szCs w:val="18"/>
          <w:lang w:eastAsia="zh-CN"/>
        </w:rPr>
      </w:pPr>
    </w:p>
    <w:p w:rsidR="00407378" w:rsidRPr="009B5593" w:rsidRDefault="00407378" w:rsidP="001C0DBA">
      <w:pPr>
        <w:bidi w:val="0"/>
        <w:snapToGrid w:val="0"/>
        <w:jc w:val="center"/>
        <w:rPr>
          <w:sz w:val="18"/>
          <w:szCs w:val="18"/>
        </w:rPr>
      </w:pPr>
      <w:r w:rsidRPr="009B5593">
        <w:rPr>
          <w:b/>
          <w:bCs/>
          <w:sz w:val="18"/>
          <w:szCs w:val="18"/>
        </w:rPr>
        <w:t>Table (3): Correlation between CCT and IOP before operation.</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3" w:type="dxa"/>
          <w:right w:w="93" w:type="dxa"/>
        </w:tblCellMar>
        <w:tblLook w:val="0000"/>
      </w:tblPr>
      <w:tblGrid>
        <w:gridCol w:w="4719"/>
        <w:gridCol w:w="3233"/>
        <w:gridCol w:w="1596"/>
      </w:tblGrid>
      <w:tr w:rsidR="00407378" w:rsidRPr="009B5593" w:rsidTr="00053074">
        <w:trPr>
          <w:trHeight w:val="60"/>
          <w:jc w:val="center"/>
        </w:trPr>
        <w:tc>
          <w:tcPr>
            <w:tcW w:w="2471" w:type="pct"/>
            <w:vMerge w:val="restart"/>
            <w:shd w:val="clear" w:color="000000" w:fill="FFFFFF"/>
            <w:vAlign w:val="center"/>
          </w:tcPr>
          <w:p w:rsidR="00407378" w:rsidRPr="009B5593" w:rsidRDefault="00407378" w:rsidP="001C0DBA">
            <w:pPr>
              <w:autoSpaceDE w:val="0"/>
              <w:autoSpaceDN w:val="0"/>
              <w:bidi w:val="0"/>
              <w:adjustRightInd w:val="0"/>
              <w:snapToGrid w:val="0"/>
              <w:jc w:val="both"/>
              <w:rPr>
                <w:sz w:val="18"/>
                <w:szCs w:val="18"/>
              </w:rPr>
            </w:pPr>
          </w:p>
        </w:tc>
        <w:tc>
          <w:tcPr>
            <w:tcW w:w="2529" w:type="pct"/>
            <w:gridSpan w:val="2"/>
            <w:shd w:val="clear" w:color="000000" w:fill="FFFFFF"/>
            <w:vAlign w:val="center"/>
          </w:tcPr>
          <w:p w:rsidR="00407378" w:rsidRPr="009B5593" w:rsidRDefault="00407378" w:rsidP="001C0DBA">
            <w:pPr>
              <w:autoSpaceDE w:val="0"/>
              <w:autoSpaceDN w:val="0"/>
              <w:bidi w:val="0"/>
              <w:adjustRightInd w:val="0"/>
              <w:snapToGrid w:val="0"/>
              <w:jc w:val="both"/>
              <w:rPr>
                <w:b/>
                <w:bCs/>
                <w:sz w:val="18"/>
                <w:szCs w:val="18"/>
              </w:rPr>
            </w:pPr>
            <w:r w:rsidRPr="009B5593">
              <w:rPr>
                <w:b/>
                <w:bCs/>
                <w:sz w:val="18"/>
                <w:szCs w:val="18"/>
              </w:rPr>
              <w:t>CCT pre</w:t>
            </w:r>
          </w:p>
        </w:tc>
      </w:tr>
      <w:tr w:rsidR="00407378" w:rsidRPr="009B5593" w:rsidTr="00053074">
        <w:trPr>
          <w:trHeight w:val="60"/>
          <w:jc w:val="center"/>
        </w:trPr>
        <w:tc>
          <w:tcPr>
            <w:tcW w:w="2471" w:type="pct"/>
            <w:vMerge/>
            <w:shd w:val="clear" w:color="000000" w:fill="FFFFFF"/>
            <w:vAlign w:val="center"/>
          </w:tcPr>
          <w:p w:rsidR="00407378" w:rsidRPr="009B5593" w:rsidRDefault="00407378" w:rsidP="001C0DBA">
            <w:pPr>
              <w:autoSpaceDE w:val="0"/>
              <w:autoSpaceDN w:val="0"/>
              <w:bidi w:val="0"/>
              <w:adjustRightInd w:val="0"/>
              <w:snapToGrid w:val="0"/>
              <w:jc w:val="both"/>
              <w:rPr>
                <w:sz w:val="18"/>
                <w:szCs w:val="18"/>
              </w:rPr>
            </w:pPr>
          </w:p>
        </w:tc>
        <w:tc>
          <w:tcPr>
            <w:tcW w:w="1693" w:type="pct"/>
            <w:shd w:val="clear" w:color="000000" w:fill="FFFFFF"/>
            <w:vAlign w:val="center"/>
          </w:tcPr>
          <w:p w:rsidR="00407378" w:rsidRPr="009B5593" w:rsidRDefault="00407378" w:rsidP="001C0DBA">
            <w:pPr>
              <w:autoSpaceDE w:val="0"/>
              <w:autoSpaceDN w:val="0"/>
              <w:bidi w:val="0"/>
              <w:adjustRightInd w:val="0"/>
              <w:snapToGrid w:val="0"/>
              <w:jc w:val="both"/>
              <w:rPr>
                <w:sz w:val="18"/>
                <w:szCs w:val="18"/>
              </w:rPr>
            </w:pPr>
            <w:r w:rsidRPr="009B5593">
              <w:rPr>
                <w:sz w:val="18"/>
                <w:szCs w:val="18"/>
              </w:rPr>
              <w:t>r</w:t>
            </w:r>
          </w:p>
        </w:tc>
        <w:tc>
          <w:tcPr>
            <w:tcW w:w="836" w:type="pct"/>
            <w:shd w:val="clear" w:color="000000" w:fill="FFFFFF"/>
            <w:vAlign w:val="center"/>
          </w:tcPr>
          <w:p w:rsidR="00407378" w:rsidRPr="009B5593" w:rsidRDefault="00407378" w:rsidP="001C0DBA">
            <w:pPr>
              <w:autoSpaceDE w:val="0"/>
              <w:autoSpaceDN w:val="0"/>
              <w:bidi w:val="0"/>
              <w:adjustRightInd w:val="0"/>
              <w:snapToGrid w:val="0"/>
              <w:jc w:val="both"/>
              <w:rPr>
                <w:sz w:val="18"/>
                <w:szCs w:val="18"/>
              </w:rPr>
            </w:pPr>
            <w:r w:rsidRPr="009B5593">
              <w:rPr>
                <w:i/>
                <w:iCs/>
                <w:sz w:val="18"/>
                <w:szCs w:val="18"/>
              </w:rPr>
              <w:t>p</w:t>
            </w:r>
            <w:r w:rsidRPr="009B5593">
              <w:rPr>
                <w:sz w:val="18"/>
                <w:szCs w:val="18"/>
              </w:rPr>
              <w:t>.value</w:t>
            </w:r>
          </w:p>
        </w:tc>
      </w:tr>
      <w:tr w:rsidR="00407378" w:rsidRPr="009B5593" w:rsidTr="00053074">
        <w:trPr>
          <w:trHeight w:val="60"/>
          <w:jc w:val="center"/>
        </w:trPr>
        <w:tc>
          <w:tcPr>
            <w:tcW w:w="2471" w:type="pct"/>
            <w:shd w:val="clear" w:color="000000" w:fill="FFFFFF"/>
            <w:vAlign w:val="center"/>
          </w:tcPr>
          <w:p w:rsidR="00407378" w:rsidRPr="009B5593" w:rsidRDefault="00407378" w:rsidP="001C0DBA">
            <w:pPr>
              <w:autoSpaceDE w:val="0"/>
              <w:autoSpaceDN w:val="0"/>
              <w:bidi w:val="0"/>
              <w:adjustRightInd w:val="0"/>
              <w:snapToGrid w:val="0"/>
              <w:jc w:val="both"/>
              <w:rPr>
                <w:sz w:val="18"/>
                <w:szCs w:val="18"/>
              </w:rPr>
            </w:pPr>
            <w:r w:rsidRPr="009B5593">
              <w:rPr>
                <w:b/>
                <w:bCs/>
                <w:sz w:val="18"/>
                <w:szCs w:val="18"/>
              </w:rPr>
              <w:t>IOP pre</w:t>
            </w:r>
          </w:p>
        </w:tc>
        <w:tc>
          <w:tcPr>
            <w:tcW w:w="1693" w:type="pct"/>
            <w:shd w:val="clear" w:color="000000" w:fill="FFFFFF"/>
            <w:vAlign w:val="center"/>
          </w:tcPr>
          <w:p w:rsidR="00407378" w:rsidRPr="009B5593" w:rsidRDefault="00407378" w:rsidP="001C0DBA">
            <w:pPr>
              <w:autoSpaceDE w:val="0"/>
              <w:autoSpaceDN w:val="0"/>
              <w:bidi w:val="0"/>
              <w:adjustRightInd w:val="0"/>
              <w:snapToGrid w:val="0"/>
              <w:jc w:val="both"/>
              <w:rPr>
                <w:sz w:val="18"/>
                <w:szCs w:val="18"/>
              </w:rPr>
            </w:pPr>
            <w:r w:rsidRPr="009B5593">
              <w:rPr>
                <w:sz w:val="18"/>
                <w:szCs w:val="18"/>
              </w:rPr>
              <w:t>-0.105</w:t>
            </w:r>
          </w:p>
        </w:tc>
        <w:tc>
          <w:tcPr>
            <w:tcW w:w="836" w:type="pct"/>
            <w:shd w:val="clear" w:color="000000" w:fill="FFFFFF"/>
            <w:vAlign w:val="center"/>
          </w:tcPr>
          <w:p w:rsidR="00407378" w:rsidRPr="009B5593" w:rsidRDefault="00407378" w:rsidP="001C0DBA">
            <w:pPr>
              <w:autoSpaceDE w:val="0"/>
              <w:autoSpaceDN w:val="0"/>
              <w:bidi w:val="0"/>
              <w:adjustRightInd w:val="0"/>
              <w:snapToGrid w:val="0"/>
              <w:jc w:val="both"/>
              <w:rPr>
                <w:sz w:val="18"/>
                <w:szCs w:val="18"/>
              </w:rPr>
            </w:pPr>
            <w:r w:rsidRPr="009B5593">
              <w:rPr>
                <w:sz w:val="18"/>
                <w:szCs w:val="18"/>
              </w:rPr>
              <w:t>&gt;0.05</w:t>
            </w:r>
          </w:p>
        </w:tc>
      </w:tr>
    </w:tbl>
    <w:p w:rsidR="00407378" w:rsidRPr="009B5593" w:rsidRDefault="00407378" w:rsidP="001C0DBA">
      <w:pPr>
        <w:tabs>
          <w:tab w:val="right" w:pos="567"/>
        </w:tabs>
        <w:autoSpaceDE w:val="0"/>
        <w:autoSpaceDN w:val="0"/>
        <w:bidi w:val="0"/>
        <w:adjustRightInd w:val="0"/>
        <w:snapToGrid w:val="0"/>
        <w:jc w:val="center"/>
        <w:rPr>
          <w:b/>
          <w:bCs/>
          <w:sz w:val="18"/>
          <w:szCs w:val="18"/>
        </w:rPr>
      </w:pPr>
    </w:p>
    <w:p w:rsidR="00407378" w:rsidRPr="009B5593" w:rsidRDefault="00407378" w:rsidP="001C0DBA">
      <w:pPr>
        <w:tabs>
          <w:tab w:val="right" w:pos="567"/>
        </w:tabs>
        <w:autoSpaceDE w:val="0"/>
        <w:autoSpaceDN w:val="0"/>
        <w:bidi w:val="0"/>
        <w:adjustRightInd w:val="0"/>
        <w:snapToGrid w:val="0"/>
        <w:jc w:val="center"/>
        <w:rPr>
          <w:sz w:val="18"/>
          <w:szCs w:val="18"/>
        </w:rPr>
      </w:pPr>
      <w:r w:rsidRPr="009B5593">
        <w:rPr>
          <w:b/>
          <w:bCs/>
          <w:sz w:val="18"/>
          <w:szCs w:val="18"/>
        </w:rPr>
        <w:t>Table (4): Correlation between CCT and IOP after operation.</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3" w:type="dxa"/>
          <w:right w:w="93" w:type="dxa"/>
        </w:tblCellMar>
        <w:tblLook w:val="0000"/>
      </w:tblPr>
      <w:tblGrid>
        <w:gridCol w:w="4719"/>
        <w:gridCol w:w="3233"/>
        <w:gridCol w:w="1596"/>
      </w:tblGrid>
      <w:tr w:rsidR="00407378" w:rsidRPr="009B5593" w:rsidTr="00053074">
        <w:trPr>
          <w:trHeight w:val="60"/>
          <w:jc w:val="center"/>
        </w:trPr>
        <w:tc>
          <w:tcPr>
            <w:tcW w:w="2471" w:type="pct"/>
            <w:vMerge w:val="restart"/>
            <w:shd w:val="clear" w:color="000000" w:fill="FFFFFF"/>
            <w:vAlign w:val="bottom"/>
          </w:tcPr>
          <w:p w:rsidR="00407378" w:rsidRPr="009B5593" w:rsidRDefault="00407378" w:rsidP="001C0DBA">
            <w:pPr>
              <w:autoSpaceDE w:val="0"/>
              <w:autoSpaceDN w:val="0"/>
              <w:bidi w:val="0"/>
              <w:adjustRightInd w:val="0"/>
              <w:snapToGrid w:val="0"/>
              <w:jc w:val="both"/>
              <w:rPr>
                <w:sz w:val="18"/>
                <w:szCs w:val="18"/>
              </w:rPr>
            </w:pPr>
          </w:p>
        </w:tc>
        <w:tc>
          <w:tcPr>
            <w:tcW w:w="2529" w:type="pct"/>
            <w:gridSpan w:val="2"/>
            <w:shd w:val="clear" w:color="000000" w:fill="FFFFFF"/>
            <w:vAlign w:val="center"/>
          </w:tcPr>
          <w:p w:rsidR="00407378" w:rsidRPr="009B5593" w:rsidRDefault="00407378" w:rsidP="001C0DBA">
            <w:pPr>
              <w:autoSpaceDE w:val="0"/>
              <w:autoSpaceDN w:val="0"/>
              <w:bidi w:val="0"/>
              <w:adjustRightInd w:val="0"/>
              <w:snapToGrid w:val="0"/>
              <w:jc w:val="both"/>
              <w:rPr>
                <w:b/>
                <w:bCs/>
                <w:sz w:val="18"/>
                <w:szCs w:val="18"/>
              </w:rPr>
            </w:pPr>
            <w:r w:rsidRPr="009B5593">
              <w:rPr>
                <w:b/>
                <w:bCs/>
                <w:sz w:val="18"/>
                <w:szCs w:val="18"/>
              </w:rPr>
              <w:t>CCT post</w:t>
            </w:r>
          </w:p>
        </w:tc>
      </w:tr>
      <w:tr w:rsidR="00407378" w:rsidRPr="009B5593" w:rsidTr="00053074">
        <w:trPr>
          <w:trHeight w:val="60"/>
          <w:jc w:val="center"/>
        </w:trPr>
        <w:tc>
          <w:tcPr>
            <w:tcW w:w="2471" w:type="pct"/>
            <w:vMerge/>
            <w:shd w:val="clear" w:color="000000" w:fill="FFFFFF"/>
          </w:tcPr>
          <w:p w:rsidR="00407378" w:rsidRPr="009B5593" w:rsidRDefault="00407378" w:rsidP="001C0DBA">
            <w:pPr>
              <w:autoSpaceDE w:val="0"/>
              <w:autoSpaceDN w:val="0"/>
              <w:bidi w:val="0"/>
              <w:adjustRightInd w:val="0"/>
              <w:snapToGrid w:val="0"/>
              <w:jc w:val="both"/>
              <w:rPr>
                <w:sz w:val="18"/>
                <w:szCs w:val="18"/>
              </w:rPr>
            </w:pPr>
          </w:p>
        </w:tc>
        <w:tc>
          <w:tcPr>
            <w:tcW w:w="1693" w:type="pct"/>
            <w:shd w:val="clear" w:color="000000" w:fill="FFFFFF"/>
            <w:vAlign w:val="center"/>
          </w:tcPr>
          <w:p w:rsidR="00407378" w:rsidRPr="009B5593" w:rsidRDefault="00407378" w:rsidP="001C0DBA">
            <w:pPr>
              <w:autoSpaceDE w:val="0"/>
              <w:autoSpaceDN w:val="0"/>
              <w:bidi w:val="0"/>
              <w:adjustRightInd w:val="0"/>
              <w:snapToGrid w:val="0"/>
              <w:jc w:val="both"/>
              <w:rPr>
                <w:sz w:val="18"/>
                <w:szCs w:val="18"/>
              </w:rPr>
            </w:pPr>
            <w:r w:rsidRPr="009B5593">
              <w:rPr>
                <w:sz w:val="18"/>
                <w:szCs w:val="18"/>
              </w:rPr>
              <w:t>r</w:t>
            </w:r>
          </w:p>
        </w:tc>
        <w:tc>
          <w:tcPr>
            <w:tcW w:w="836" w:type="pct"/>
            <w:shd w:val="clear" w:color="000000" w:fill="FFFFFF"/>
            <w:vAlign w:val="center"/>
          </w:tcPr>
          <w:p w:rsidR="00407378" w:rsidRPr="009B5593" w:rsidRDefault="00407378" w:rsidP="001C0DBA">
            <w:pPr>
              <w:autoSpaceDE w:val="0"/>
              <w:autoSpaceDN w:val="0"/>
              <w:bidi w:val="0"/>
              <w:adjustRightInd w:val="0"/>
              <w:snapToGrid w:val="0"/>
              <w:jc w:val="both"/>
              <w:rPr>
                <w:sz w:val="18"/>
                <w:szCs w:val="18"/>
              </w:rPr>
            </w:pPr>
            <w:r w:rsidRPr="009B5593">
              <w:rPr>
                <w:i/>
                <w:iCs/>
                <w:sz w:val="18"/>
                <w:szCs w:val="18"/>
              </w:rPr>
              <w:t>p</w:t>
            </w:r>
            <w:r w:rsidRPr="009B5593">
              <w:rPr>
                <w:sz w:val="18"/>
                <w:szCs w:val="18"/>
              </w:rPr>
              <w:t>.value</w:t>
            </w:r>
          </w:p>
        </w:tc>
      </w:tr>
      <w:tr w:rsidR="00407378" w:rsidRPr="009B5593" w:rsidTr="00053074">
        <w:trPr>
          <w:trHeight w:val="60"/>
          <w:jc w:val="center"/>
        </w:trPr>
        <w:tc>
          <w:tcPr>
            <w:tcW w:w="2471" w:type="pct"/>
            <w:shd w:val="clear" w:color="000000" w:fill="FFFFFF"/>
            <w:vAlign w:val="center"/>
          </w:tcPr>
          <w:p w:rsidR="00407378" w:rsidRPr="009B5593" w:rsidRDefault="00407378" w:rsidP="001C0DBA">
            <w:pPr>
              <w:autoSpaceDE w:val="0"/>
              <w:autoSpaceDN w:val="0"/>
              <w:bidi w:val="0"/>
              <w:adjustRightInd w:val="0"/>
              <w:snapToGrid w:val="0"/>
              <w:jc w:val="both"/>
              <w:rPr>
                <w:sz w:val="18"/>
                <w:szCs w:val="18"/>
              </w:rPr>
            </w:pPr>
            <w:r w:rsidRPr="009B5593">
              <w:rPr>
                <w:b/>
                <w:bCs/>
                <w:sz w:val="18"/>
                <w:szCs w:val="18"/>
              </w:rPr>
              <w:t>IOP mmHg post</w:t>
            </w:r>
          </w:p>
        </w:tc>
        <w:tc>
          <w:tcPr>
            <w:tcW w:w="1693" w:type="pct"/>
            <w:shd w:val="clear" w:color="000000" w:fill="FFFFFF"/>
            <w:vAlign w:val="center"/>
          </w:tcPr>
          <w:p w:rsidR="00407378" w:rsidRPr="009B5593" w:rsidRDefault="00407378" w:rsidP="001C0DBA">
            <w:pPr>
              <w:autoSpaceDE w:val="0"/>
              <w:autoSpaceDN w:val="0"/>
              <w:bidi w:val="0"/>
              <w:adjustRightInd w:val="0"/>
              <w:snapToGrid w:val="0"/>
              <w:jc w:val="both"/>
              <w:rPr>
                <w:sz w:val="18"/>
                <w:szCs w:val="18"/>
              </w:rPr>
            </w:pPr>
            <w:r w:rsidRPr="009B5593">
              <w:rPr>
                <w:sz w:val="18"/>
                <w:szCs w:val="18"/>
              </w:rPr>
              <w:t>0.079</w:t>
            </w:r>
          </w:p>
        </w:tc>
        <w:tc>
          <w:tcPr>
            <w:tcW w:w="836" w:type="pct"/>
            <w:shd w:val="clear" w:color="000000" w:fill="FFFFFF"/>
            <w:vAlign w:val="center"/>
          </w:tcPr>
          <w:p w:rsidR="00407378" w:rsidRPr="009B5593" w:rsidRDefault="00407378" w:rsidP="001C0DBA">
            <w:pPr>
              <w:autoSpaceDE w:val="0"/>
              <w:autoSpaceDN w:val="0"/>
              <w:bidi w:val="0"/>
              <w:adjustRightInd w:val="0"/>
              <w:snapToGrid w:val="0"/>
              <w:jc w:val="both"/>
              <w:rPr>
                <w:sz w:val="18"/>
                <w:szCs w:val="18"/>
              </w:rPr>
            </w:pPr>
            <w:r w:rsidRPr="009B5593">
              <w:rPr>
                <w:sz w:val="18"/>
                <w:szCs w:val="18"/>
              </w:rPr>
              <w:t>&gt;0.05</w:t>
            </w:r>
          </w:p>
        </w:tc>
      </w:tr>
    </w:tbl>
    <w:p w:rsidR="001C0DBA" w:rsidRPr="009B5593" w:rsidRDefault="001C0DBA" w:rsidP="001C0DBA">
      <w:pPr>
        <w:bidi w:val="0"/>
        <w:snapToGrid w:val="0"/>
        <w:ind w:firstLine="425"/>
        <w:jc w:val="both"/>
        <w:rPr>
          <w:rFonts w:eastAsiaTheme="minorEastAsia"/>
          <w:b/>
          <w:bCs/>
          <w:sz w:val="18"/>
          <w:szCs w:val="18"/>
          <w:lang w:eastAsia="zh-CN"/>
        </w:rPr>
      </w:pPr>
    </w:p>
    <w:p w:rsidR="00407378" w:rsidRPr="009B5593" w:rsidRDefault="00407378" w:rsidP="00053074">
      <w:pPr>
        <w:bidi w:val="0"/>
        <w:snapToGrid w:val="0"/>
        <w:jc w:val="center"/>
        <w:rPr>
          <w:b/>
          <w:bCs/>
          <w:sz w:val="18"/>
          <w:szCs w:val="18"/>
        </w:rPr>
      </w:pPr>
      <w:r w:rsidRPr="009B5593">
        <w:rPr>
          <w:b/>
          <w:bCs/>
          <w:sz w:val="18"/>
          <w:szCs w:val="18"/>
        </w:rPr>
        <w:lastRenderedPageBreak/>
        <w:t>Table (5): Correlation between the decrease of CCT and the decrease of IOP after operation.</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3" w:type="dxa"/>
          <w:right w:w="93" w:type="dxa"/>
        </w:tblCellMar>
        <w:tblLook w:val="0000"/>
      </w:tblPr>
      <w:tblGrid>
        <w:gridCol w:w="4719"/>
        <w:gridCol w:w="3233"/>
        <w:gridCol w:w="1596"/>
      </w:tblGrid>
      <w:tr w:rsidR="00407378" w:rsidRPr="009B5593" w:rsidTr="00053074">
        <w:trPr>
          <w:trHeight w:val="60"/>
          <w:jc w:val="center"/>
        </w:trPr>
        <w:tc>
          <w:tcPr>
            <w:tcW w:w="2471" w:type="pct"/>
            <w:vMerge w:val="restart"/>
            <w:shd w:val="clear" w:color="000000" w:fill="FFFFFF"/>
            <w:vAlign w:val="bottom"/>
          </w:tcPr>
          <w:p w:rsidR="00407378" w:rsidRPr="009B5593" w:rsidRDefault="00407378" w:rsidP="001C0DBA">
            <w:pPr>
              <w:autoSpaceDE w:val="0"/>
              <w:autoSpaceDN w:val="0"/>
              <w:bidi w:val="0"/>
              <w:adjustRightInd w:val="0"/>
              <w:snapToGrid w:val="0"/>
              <w:jc w:val="both"/>
              <w:rPr>
                <w:sz w:val="18"/>
                <w:szCs w:val="18"/>
              </w:rPr>
            </w:pPr>
          </w:p>
        </w:tc>
        <w:tc>
          <w:tcPr>
            <w:tcW w:w="2529" w:type="pct"/>
            <w:gridSpan w:val="2"/>
            <w:shd w:val="clear" w:color="000000" w:fill="FFFFFF"/>
            <w:vAlign w:val="center"/>
          </w:tcPr>
          <w:p w:rsidR="00407378" w:rsidRPr="009B5593" w:rsidRDefault="00407378" w:rsidP="001C0DBA">
            <w:pPr>
              <w:autoSpaceDE w:val="0"/>
              <w:autoSpaceDN w:val="0"/>
              <w:bidi w:val="0"/>
              <w:adjustRightInd w:val="0"/>
              <w:snapToGrid w:val="0"/>
              <w:jc w:val="both"/>
              <w:rPr>
                <w:b/>
                <w:bCs/>
                <w:sz w:val="18"/>
                <w:szCs w:val="18"/>
              </w:rPr>
            </w:pPr>
            <w:r w:rsidRPr="009B5593">
              <w:rPr>
                <w:b/>
                <w:bCs/>
                <w:sz w:val="18"/>
                <w:szCs w:val="18"/>
              </w:rPr>
              <w:t>IOP decrease</w:t>
            </w:r>
          </w:p>
        </w:tc>
      </w:tr>
      <w:tr w:rsidR="00407378" w:rsidRPr="009B5593" w:rsidTr="00053074">
        <w:trPr>
          <w:trHeight w:val="60"/>
          <w:jc w:val="center"/>
        </w:trPr>
        <w:tc>
          <w:tcPr>
            <w:tcW w:w="2471" w:type="pct"/>
            <w:vMerge/>
            <w:shd w:val="clear" w:color="000000" w:fill="FFFFFF"/>
          </w:tcPr>
          <w:p w:rsidR="00407378" w:rsidRPr="009B5593" w:rsidRDefault="00407378" w:rsidP="001C0DBA">
            <w:pPr>
              <w:autoSpaceDE w:val="0"/>
              <w:autoSpaceDN w:val="0"/>
              <w:bidi w:val="0"/>
              <w:adjustRightInd w:val="0"/>
              <w:snapToGrid w:val="0"/>
              <w:jc w:val="both"/>
              <w:rPr>
                <w:sz w:val="18"/>
                <w:szCs w:val="18"/>
              </w:rPr>
            </w:pPr>
          </w:p>
        </w:tc>
        <w:tc>
          <w:tcPr>
            <w:tcW w:w="1693" w:type="pct"/>
            <w:shd w:val="clear" w:color="000000" w:fill="FFFFFF"/>
          </w:tcPr>
          <w:p w:rsidR="00407378" w:rsidRPr="009B5593" w:rsidRDefault="00407378" w:rsidP="001C0DBA">
            <w:pPr>
              <w:autoSpaceDE w:val="0"/>
              <w:autoSpaceDN w:val="0"/>
              <w:bidi w:val="0"/>
              <w:adjustRightInd w:val="0"/>
              <w:snapToGrid w:val="0"/>
              <w:jc w:val="both"/>
              <w:rPr>
                <w:sz w:val="18"/>
                <w:szCs w:val="18"/>
              </w:rPr>
            </w:pPr>
            <w:r w:rsidRPr="009B5593">
              <w:rPr>
                <w:sz w:val="18"/>
                <w:szCs w:val="18"/>
              </w:rPr>
              <w:t>r</w:t>
            </w:r>
          </w:p>
        </w:tc>
        <w:tc>
          <w:tcPr>
            <w:tcW w:w="836" w:type="pct"/>
            <w:shd w:val="clear" w:color="000000" w:fill="FFFFFF"/>
            <w:vAlign w:val="center"/>
          </w:tcPr>
          <w:p w:rsidR="00407378" w:rsidRPr="009B5593" w:rsidRDefault="00407378" w:rsidP="001C0DBA">
            <w:pPr>
              <w:autoSpaceDE w:val="0"/>
              <w:autoSpaceDN w:val="0"/>
              <w:bidi w:val="0"/>
              <w:adjustRightInd w:val="0"/>
              <w:snapToGrid w:val="0"/>
              <w:jc w:val="both"/>
              <w:rPr>
                <w:sz w:val="18"/>
                <w:szCs w:val="18"/>
              </w:rPr>
            </w:pPr>
            <w:r w:rsidRPr="009B5593">
              <w:rPr>
                <w:i/>
                <w:iCs/>
                <w:sz w:val="18"/>
                <w:szCs w:val="18"/>
              </w:rPr>
              <w:t>p</w:t>
            </w:r>
            <w:r w:rsidRPr="009B5593">
              <w:rPr>
                <w:sz w:val="18"/>
                <w:szCs w:val="18"/>
              </w:rPr>
              <w:t>.value</w:t>
            </w:r>
          </w:p>
        </w:tc>
      </w:tr>
      <w:tr w:rsidR="00407378" w:rsidRPr="009B5593" w:rsidTr="00053074">
        <w:trPr>
          <w:trHeight w:val="60"/>
          <w:jc w:val="center"/>
        </w:trPr>
        <w:tc>
          <w:tcPr>
            <w:tcW w:w="2471" w:type="pct"/>
            <w:shd w:val="clear" w:color="000000" w:fill="FFFFFF"/>
          </w:tcPr>
          <w:p w:rsidR="00407378" w:rsidRPr="009B5593" w:rsidRDefault="00407378" w:rsidP="001C0DBA">
            <w:pPr>
              <w:autoSpaceDE w:val="0"/>
              <w:autoSpaceDN w:val="0"/>
              <w:bidi w:val="0"/>
              <w:adjustRightInd w:val="0"/>
              <w:snapToGrid w:val="0"/>
              <w:jc w:val="both"/>
              <w:rPr>
                <w:sz w:val="18"/>
                <w:szCs w:val="18"/>
              </w:rPr>
            </w:pPr>
            <w:r w:rsidRPr="009B5593">
              <w:rPr>
                <w:b/>
                <w:bCs/>
                <w:sz w:val="18"/>
                <w:szCs w:val="18"/>
              </w:rPr>
              <w:t>CCT decrease</w:t>
            </w:r>
          </w:p>
        </w:tc>
        <w:tc>
          <w:tcPr>
            <w:tcW w:w="1693" w:type="pct"/>
            <w:shd w:val="clear" w:color="000000" w:fill="FFFFFF"/>
          </w:tcPr>
          <w:p w:rsidR="00407378" w:rsidRPr="009B5593" w:rsidRDefault="00407378" w:rsidP="001C0DBA">
            <w:pPr>
              <w:autoSpaceDE w:val="0"/>
              <w:autoSpaceDN w:val="0"/>
              <w:bidi w:val="0"/>
              <w:adjustRightInd w:val="0"/>
              <w:snapToGrid w:val="0"/>
              <w:jc w:val="both"/>
              <w:rPr>
                <w:sz w:val="18"/>
                <w:szCs w:val="18"/>
              </w:rPr>
            </w:pPr>
            <w:r w:rsidRPr="009B5593">
              <w:rPr>
                <w:sz w:val="18"/>
                <w:szCs w:val="18"/>
              </w:rPr>
              <w:t>-0.139</w:t>
            </w:r>
          </w:p>
        </w:tc>
        <w:tc>
          <w:tcPr>
            <w:tcW w:w="836" w:type="pct"/>
            <w:shd w:val="clear" w:color="000000" w:fill="FFFFFF"/>
            <w:vAlign w:val="center"/>
          </w:tcPr>
          <w:p w:rsidR="00407378" w:rsidRPr="009B5593" w:rsidRDefault="00407378" w:rsidP="001C0DBA">
            <w:pPr>
              <w:autoSpaceDE w:val="0"/>
              <w:autoSpaceDN w:val="0"/>
              <w:bidi w:val="0"/>
              <w:adjustRightInd w:val="0"/>
              <w:snapToGrid w:val="0"/>
              <w:jc w:val="both"/>
              <w:rPr>
                <w:sz w:val="18"/>
                <w:szCs w:val="18"/>
              </w:rPr>
            </w:pPr>
            <w:r w:rsidRPr="009B5593">
              <w:rPr>
                <w:sz w:val="18"/>
                <w:szCs w:val="18"/>
              </w:rPr>
              <w:t>&gt;0.05</w:t>
            </w:r>
          </w:p>
        </w:tc>
      </w:tr>
    </w:tbl>
    <w:p w:rsidR="001C0DBA" w:rsidRPr="009B5593" w:rsidRDefault="001C0DBA" w:rsidP="001C0DBA">
      <w:pPr>
        <w:bidi w:val="0"/>
        <w:snapToGrid w:val="0"/>
        <w:ind w:firstLine="425"/>
        <w:jc w:val="both"/>
        <w:rPr>
          <w:rFonts w:eastAsiaTheme="minorEastAsia"/>
          <w:b/>
          <w:bCs/>
          <w:sz w:val="18"/>
          <w:szCs w:val="18"/>
          <w:lang w:eastAsia="zh-CN"/>
        </w:rPr>
      </w:pPr>
    </w:p>
    <w:p w:rsidR="00215D6B" w:rsidRPr="009B5593" w:rsidRDefault="00215D6B" w:rsidP="00215D6B">
      <w:pPr>
        <w:bidi w:val="0"/>
        <w:snapToGrid w:val="0"/>
        <w:ind w:firstLine="425"/>
        <w:jc w:val="both"/>
        <w:rPr>
          <w:rFonts w:eastAsiaTheme="minorEastAsia"/>
          <w:b/>
          <w:bCs/>
          <w:sz w:val="18"/>
          <w:szCs w:val="18"/>
          <w:lang w:eastAsia="zh-CN"/>
        </w:rPr>
        <w:sectPr w:rsidR="00215D6B" w:rsidRPr="009B5593" w:rsidSect="003653DC">
          <w:headerReference w:type="default" r:id="rId11"/>
          <w:footerReference w:type="default" r:id="rId12"/>
          <w:type w:val="continuous"/>
          <w:pgSz w:w="12242" w:h="15842" w:code="1"/>
          <w:pgMar w:top="1440" w:right="1440" w:bottom="1440" w:left="1440" w:header="720" w:footer="720" w:gutter="0"/>
          <w:cols w:space="708"/>
          <w:bidi/>
          <w:docGrid w:linePitch="360"/>
        </w:sectPr>
      </w:pPr>
    </w:p>
    <w:p w:rsidR="00053074" w:rsidRPr="009B5593" w:rsidRDefault="00053074" w:rsidP="00053074">
      <w:pPr>
        <w:autoSpaceDE w:val="0"/>
        <w:autoSpaceDN w:val="0"/>
        <w:bidi w:val="0"/>
        <w:adjustRightInd w:val="0"/>
        <w:snapToGrid w:val="0"/>
        <w:ind w:firstLine="425"/>
        <w:jc w:val="both"/>
        <w:rPr>
          <w:sz w:val="20"/>
          <w:szCs w:val="20"/>
        </w:rPr>
      </w:pPr>
      <w:r w:rsidRPr="009B5593">
        <w:rPr>
          <w:sz w:val="20"/>
          <w:szCs w:val="20"/>
        </w:rPr>
        <w:lastRenderedPageBreak/>
        <w:t>Our study showed no significant dependence of CCT on IOP values measured with local anaesthesia and sedation before and after operation with (</w:t>
      </w:r>
      <w:r w:rsidRPr="009B5593">
        <w:rPr>
          <w:i/>
          <w:iCs/>
          <w:sz w:val="20"/>
          <w:szCs w:val="20"/>
        </w:rPr>
        <w:t>p</w:t>
      </w:r>
      <w:r w:rsidRPr="009B5593">
        <w:rPr>
          <w:sz w:val="20"/>
          <w:szCs w:val="20"/>
        </w:rPr>
        <w:t>&gt; 0.05) (Tables 3 and 4).</w:t>
      </w:r>
    </w:p>
    <w:p w:rsidR="00053074" w:rsidRPr="009B5593" w:rsidRDefault="00053074" w:rsidP="00053074">
      <w:pPr>
        <w:bidi w:val="0"/>
        <w:snapToGrid w:val="0"/>
        <w:jc w:val="center"/>
        <w:rPr>
          <w:rFonts w:eastAsiaTheme="minorEastAsia"/>
          <w:b/>
          <w:bCs/>
          <w:noProof/>
          <w:sz w:val="18"/>
          <w:szCs w:val="18"/>
          <w:lang w:eastAsia="zh-CN" w:bidi="ar-SA"/>
        </w:rPr>
      </w:pPr>
    </w:p>
    <w:p w:rsidR="00ED5BBC" w:rsidRPr="009B5593" w:rsidRDefault="009B5593" w:rsidP="00053074">
      <w:pPr>
        <w:bidi w:val="0"/>
        <w:snapToGrid w:val="0"/>
        <w:jc w:val="center"/>
        <w:rPr>
          <w:b/>
          <w:bCs/>
          <w:sz w:val="18"/>
          <w:szCs w:val="18"/>
        </w:rPr>
      </w:pPr>
      <w:r>
        <w:rPr>
          <w:b/>
          <w:bCs/>
          <w:noProof/>
          <w:sz w:val="18"/>
          <w:szCs w:val="18"/>
          <w:lang w:eastAsia="zh-CN" w:bidi="ar-SA"/>
        </w:rPr>
        <w:drawing>
          <wp:inline distT="0" distB="0" distL="0" distR="0">
            <wp:extent cx="2655570" cy="166179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srcRect l="18312" t="30624" r="22411" b="7883"/>
                    <a:stretch>
                      <a:fillRect/>
                    </a:stretch>
                  </pic:blipFill>
                  <pic:spPr bwMode="auto">
                    <a:xfrm>
                      <a:off x="0" y="0"/>
                      <a:ext cx="2655570" cy="1661795"/>
                    </a:xfrm>
                    <a:prstGeom prst="rect">
                      <a:avLst/>
                    </a:prstGeom>
                    <a:noFill/>
                    <a:ln w="9525">
                      <a:noFill/>
                      <a:miter lim="800000"/>
                      <a:headEnd/>
                      <a:tailEnd/>
                    </a:ln>
                  </pic:spPr>
                </pic:pic>
              </a:graphicData>
            </a:graphic>
          </wp:inline>
        </w:drawing>
      </w:r>
    </w:p>
    <w:p w:rsidR="00407378" w:rsidRPr="009B5593" w:rsidRDefault="00407378" w:rsidP="00215D6B">
      <w:pPr>
        <w:bidi w:val="0"/>
        <w:snapToGrid w:val="0"/>
        <w:jc w:val="both"/>
        <w:rPr>
          <w:b/>
          <w:bCs/>
          <w:sz w:val="18"/>
          <w:szCs w:val="18"/>
        </w:rPr>
      </w:pPr>
      <w:r w:rsidRPr="009B5593">
        <w:rPr>
          <w:b/>
          <w:bCs/>
          <w:sz w:val="18"/>
          <w:szCs w:val="18"/>
        </w:rPr>
        <w:t>Figure (1) Comparison between CCT before and after operation.</w:t>
      </w:r>
    </w:p>
    <w:p w:rsidR="00407378" w:rsidRPr="009B5593" w:rsidRDefault="00407378" w:rsidP="001C0DBA">
      <w:pPr>
        <w:bidi w:val="0"/>
        <w:snapToGrid w:val="0"/>
        <w:jc w:val="both"/>
        <w:rPr>
          <w:b/>
          <w:bCs/>
          <w:sz w:val="18"/>
          <w:szCs w:val="18"/>
        </w:rPr>
      </w:pPr>
    </w:p>
    <w:p w:rsidR="00407378" w:rsidRPr="009B5593" w:rsidRDefault="009B5593" w:rsidP="001C0DBA">
      <w:pPr>
        <w:bidi w:val="0"/>
        <w:snapToGrid w:val="0"/>
        <w:jc w:val="center"/>
        <w:rPr>
          <w:b/>
          <w:bCs/>
          <w:sz w:val="18"/>
          <w:szCs w:val="18"/>
        </w:rPr>
      </w:pPr>
      <w:r>
        <w:rPr>
          <w:b/>
          <w:bCs/>
          <w:noProof/>
          <w:sz w:val="18"/>
          <w:szCs w:val="18"/>
          <w:lang w:eastAsia="zh-CN" w:bidi="ar-SA"/>
        </w:rPr>
        <w:drawing>
          <wp:inline distT="0" distB="0" distL="0" distR="0">
            <wp:extent cx="2734945" cy="1605915"/>
            <wp:effectExtent l="19050" t="0" r="825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srcRect l="20601" t="25911" r="20000" b="16025"/>
                    <a:stretch>
                      <a:fillRect/>
                    </a:stretch>
                  </pic:blipFill>
                  <pic:spPr bwMode="auto">
                    <a:xfrm>
                      <a:off x="0" y="0"/>
                      <a:ext cx="2734945" cy="1605915"/>
                    </a:xfrm>
                    <a:prstGeom prst="rect">
                      <a:avLst/>
                    </a:prstGeom>
                    <a:noFill/>
                    <a:ln w="9525">
                      <a:noFill/>
                      <a:miter lim="800000"/>
                      <a:headEnd/>
                      <a:tailEnd/>
                    </a:ln>
                  </pic:spPr>
                </pic:pic>
              </a:graphicData>
            </a:graphic>
          </wp:inline>
        </w:drawing>
      </w:r>
    </w:p>
    <w:p w:rsidR="00407378" w:rsidRPr="009B5593" w:rsidRDefault="00407378" w:rsidP="00215D6B">
      <w:pPr>
        <w:bidi w:val="0"/>
        <w:snapToGrid w:val="0"/>
        <w:jc w:val="both"/>
        <w:rPr>
          <w:b/>
          <w:bCs/>
          <w:sz w:val="18"/>
          <w:szCs w:val="18"/>
        </w:rPr>
      </w:pPr>
      <w:r w:rsidRPr="009B5593">
        <w:rPr>
          <w:b/>
          <w:bCs/>
          <w:sz w:val="18"/>
          <w:szCs w:val="18"/>
        </w:rPr>
        <w:t>Figure (2) Comparison between IOP before and after operation.</w:t>
      </w:r>
    </w:p>
    <w:p w:rsidR="00407378" w:rsidRPr="009B5593" w:rsidRDefault="00407378" w:rsidP="001C0DBA">
      <w:pPr>
        <w:bidi w:val="0"/>
        <w:snapToGrid w:val="0"/>
        <w:jc w:val="both"/>
        <w:rPr>
          <w:b/>
          <w:bCs/>
          <w:sz w:val="18"/>
          <w:szCs w:val="18"/>
        </w:rPr>
      </w:pPr>
    </w:p>
    <w:p w:rsidR="00407378" w:rsidRPr="009B5593" w:rsidRDefault="009B5593" w:rsidP="001C0DBA">
      <w:pPr>
        <w:bidi w:val="0"/>
        <w:snapToGrid w:val="0"/>
        <w:jc w:val="center"/>
        <w:rPr>
          <w:b/>
          <w:bCs/>
          <w:sz w:val="18"/>
          <w:szCs w:val="18"/>
        </w:rPr>
      </w:pPr>
      <w:r>
        <w:rPr>
          <w:b/>
          <w:bCs/>
          <w:noProof/>
          <w:sz w:val="18"/>
          <w:szCs w:val="18"/>
          <w:lang w:eastAsia="zh-CN" w:bidi="ar-SA"/>
        </w:rPr>
        <w:drawing>
          <wp:inline distT="0" distB="0" distL="0" distR="0">
            <wp:extent cx="2305685" cy="2218690"/>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srcRect l="30722" t="22282" r="29878" b="8507"/>
                    <a:stretch>
                      <a:fillRect/>
                    </a:stretch>
                  </pic:blipFill>
                  <pic:spPr bwMode="auto">
                    <a:xfrm>
                      <a:off x="0" y="0"/>
                      <a:ext cx="2305685" cy="2218690"/>
                    </a:xfrm>
                    <a:prstGeom prst="rect">
                      <a:avLst/>
                    </a:prstGeom>
                    <a:noFill/>
                    <a:ln w="9525">
                      <a:noFill/>
                      <a:miter lim="800000"/>
                      <a:headEnd/>
                      <a:tailEnd/>
                    </a:ln>
                  </pic:spPr>
                </pic:pic>
              </a:graphicData>
            </a:graphic>
          </wp:inline>
        </w:drawing>
      </w:r>
    </w:p>
    <w:p w:rsidR="00407378" w:rsidRPr="009B5593" w:rsidRDefault="00407378" w:rsidP="00215D6B">
      <w:pPr>
        <w:bidi w:val="0"/>
        <w:snapToGrid w:val="0"/>
        <w:jc w:val="both"/>
        <w:rPr>
          <w:b/>
          <w:bCs/>
          <w:sz w:val="18"/>
          <w:szCs w:val="18"/>
        </w:rPr>
      </w:pPr>
      <w:r w:rsidRPr="009B5593">
        <w:rPr>
          <w:b/>
          <w:bCs/>
          <w:sz w:val="18"/>
          <w:szCs w:val="18"/>
        </w:rPr>
        <w:t>Figure (3)</w:t>
      </w:r>
      <w:r w:rsidR="00ED5BBC" w:rsidRPr="009B5593">
        <w:rPr>
          <w:b/>
          <w:bCs/>
          <w:sz w:val="18"/>
          <w:szCs w:val="18"/>
        </w:rPr>
        <w:t xml:space="preserve"> </w:t>
      </w:r>
      <w:r w:rsidRPr="009B5593">
        <w:rPr>
          <w:b/>
          <w:bCs/>
          <w:sz w:val="18"/>
          <w:szCs w:val="18"/>
        </w:rPr>
        <w:t>Correlation between CCT and IOP before operation.</w:t>
      </w:r>
    </w:p>
    <w:p w:rsidR="00ED5BBC" w:rsidRPr="009B5593" w:rsidRDefault="00ED5BBC" w:rsidP="001C0DBA">
      <w:pPr>
        <w:bidi w:val="0"/>
        <w:snapToGrid w:val="0"/>
        <w:jc w:val="both"/>
        <w:rPr>
          <w:b/>
          <w:bCs/>
          <w:sz w:val="18"/>
          <w:szCs w:val="18"/>
        </w:rPr>
      </w:pPr>
    </w:p>
    <w:p w:rsidR="00407378" w:rsidRPr="009B5593" w:rsidRDefault="009B5593" w:rsidP="001C0DBA">
      <w:pPr>
        <w:bidi w:val="0"/>
        <w:snapToGrid w:val="0"/>
        <w:jc w:val="center"/>
        <w:rPr>
          <w:b/>
          <w:bCs/>
          <w:sz w:val="18"/>
          <w:szCs w:val="18"/>
        </w:rPr>
      </w:pPr>
      <w:r>
        <w:rPr>
          <w:b/>
          <w:bCs/>
          <w:noProof/>
          <w:sz w:val="18"/>
          <w:szCs w:val="18"/>
          <w:lang w:eastAsia="zh-CN" w:bidi="ar-SA"/>
        </w:rPr>
        <w:lastRenderedPageBreak/>
        <w:drawing>
          <wp:inline distT="0" distB="0" distL="0" distR="0">
            <wp:extent cx="2210435" cy="2011680"/>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srcRect l="30360" t="21423" r="29761" b="9636"/>
                    <a:stretch>
                      <a:fillRect/>
                    </a:stretch>
                  </pic:blipFill>
                  <pic:spPr bwMode="auto">
                    <a:xfrm>
                      <a:off x="0" y="0"/>
                      <a:ext cx="2210435" cy="2011680"/>
                    </a:xfrm>
                    <a:prstGeom prst="rect">
                      <a:avLst/>
                    </a:prstGeom>
                    <a:noFill/>
                    <a:ln w="9525">
                      <a:noFill/>
                      <a:miter lim="800000"/>
                      <a:headEnd/>
                      <a:tailEnd/>
                    </a:ln>
                  </pic:spPr>
                </pic:pic>
              </a:graphicData>
            </a:graphic>
          </wp:inline>
        </w:drawing>
      </w:r>
    </w:p>
    <w:p w:rsidR="00407378" w:rsidRPr="009B5593" w:rsidRDefault="00407378" w:rsidP="00215D6B">
      <w:pPr>
        <w:bidi w:val="0"/>
        <w:snapToGrid w:val="0"/>
        <w:jc w:val="both"/>
        <w:rPr>
          <w:rFonts w:eastAsiaTheme="minorEastAsia"/>
          <w:b/>
          <w:bCs/>
          <w:sz w:val="18"/>
          <w:szCs w:val="18"/>
          <w:lang w:eastAsia="zh-CN"/>
        </w:rPr>
      </w:pPr>
      <w:r w:rsidRPr="009B5593">
        <w:rPr>
          <w:b/>
          <w:bCs/>
          <w:sz w:val="18"/>
          <w:szCs w:val="18"/>
        </w:rPr>
        <w:t>Figure (4)</w:t>
      </w:r>
      <w:r w:rsidR="00ED5BBC" w:rsidRPr="009B5593">
        <w:rPr>
          <w:b/>
          <w:bCs/>
          <w:sz w:val="18"/>
          <w:szCs w:val="18"/>
        </w:rPr>
        <w:t xml:space="preserve"> </w:t>
      </w:r>
      <w:r w:rsidRPr="009B5593">
        <w:rPr>
          <w:b/>
          <w:bCs/>
          <w:sz w:val="18"/>
          <w:szCs w:val="18"/>
        </w:rPr>
        <w:t>Correlation between CCT and IOP after operation.</w:t>
      </w:r>
    </w:p>
    <w:p w:rsidR="00215D6B" w:rsidRPr="009B5593" w:rsidRDefault="00215D6B" w:rsidP="00215D6B">
      <w:pPr>
        <w:bidi w:val="0"/>
        <w:snapToGrid w:val="0"/>
        <w:jc w:val="center"/>
        <w:rPr>
          <w:rFonts w:eastAsiaTheme="minorEastAsia"/>
          <w:b/>
          <w:bCs/>
          <w:sz w:val="18"/>
          <w:szCs w:val="18"/>
          <w:lang w:eastAsia="zh-CN"/>
        </w:rPr>
      </w:pPr>
    </w:p>
    <w:p w:rsidR="00407378" w:rsidRPr="009B5593" w:rsidRDefault="009B5593" w:rsidP="001C0DBA">
      <w:pPr>
        <w:bidi w:val="0"/>
        <w:snapToGrid w:val="0"/>
        <w:jc w:val="center"/>
        <w:rPr>
          <w:b/>
          <w:bCs/>
          <w:sz w:val="18"/>
          <w:szCs w:val="18"/>
        </w:rPr>
      </w:pPr>
      <w:r>
        <w:rPr>
          <w:b/>
          <w:bCs/>
          <w:noProof/>
          <w:sz w:val="18"/>
          <w:szCs w:val="18"/>
          <w:lang w:eastAsia="zh-CN" w:bidi="ar-SA"/>
        </w:rPr>
        <w:drawing>
          <wp:inline distT="0" distB="0" distL="0" distR="0">
            <wp:extent cx="2377440" cy="2377440"/>
            <wp:effectExtent l="19050" t="0" r="3810" b="0"/>
            <wp:docPr id="5"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a:srcRect/>
                    <a:stretch>
                      <a:fillRect/>
                    </a:stretch>
                  </pic:blipFill>
                  <pic:spPr bwMode="auto">
                    <a:xfrm>
                      <a:off x="0" y="0"/>
                      <a:ext cx="2377440" cy="2377440"/>
                    </a:xfrm>
                    <a:prstGeom prst="rect">
                      <a:avLst/>
                    </a:prstGeom>
                    <a:noFill/>
                    <a:ln w="9525">
                      <a:noFill/>
                      <a:miter lim="800000"/>
                      <a:headEnd/>
                      <a:tailEnd/>
                    </a:ln>
                  </pic:spPr>
                </pic:pic>
              </a:graphicData>
            </a:graphic>
          </wp:inline>
        </w:drawing>
      </w:r>
    </w:p>
    <w:p w:rsidR="00407378" w:rsidRPr="009B5593" w:rsidRDefault="00407378" w:rsidP="00215D6B">
      <w:pPr>
        <w:bidi w:val="0"/>
        <w:snapToGrid w:val="0"/>
        <w:jc w:val="both"/>
        <w:rPr>
          <w:rFonts w:eastAsiaTheme="minorEastAsia"/>
          <w:b/>
          <w:bCs/>
          <w:sz w:val="18"/>
          <w:szCs w:val="18"/>
          <w:lang w:eastAsia="zh-CN"/>
        </w:rPr>
      </w:pPr>
      <w:r w:rsidRPr="009B5593">
        <w:rPr>
          <w:b/>
          <w:bCs/>
          <w:sz w:val="18"/>
          <w:szCs w:val="18"/>
        </w:rPr>
        <w:t>Figure (5)</w:t>
      </w:r>
      <w:r w:rsidR="00ED5BBC" w:rsidRPr="009B5593">
        <w:rPr>
          <w:b/>
          <w:bCs/>
          <w:sz w:val="18"/>
          <w:szCs w:val="18"/>
        </w:rPr>
        <w:t xml:space="preserve"> </w:t>
      </w:r>
      <w:r w:rsidRPr="009B5593">
        <w:rPr>
          <w:b/>
          <w:bCs/>
          <w:sz w:val="18"/>
          <w:szCs w:val="18"/>
        </w:rPr>
        <w:t>Correlation between the decrease of CCT and the decrease of IOP after operation.</w:t>
      </w:r>
    </w:p>
    <w:p w:rsidR="00053074" w:rsidRPr="009B5593" w:rsidRDefault="00053074" w:rsidP="00053074">
      <w:pPr>
        <w:bidi w:val="0"/>
        <w:snapToGrid w:val="0"/>
        <w:jc w:val="both"/>
        <w:rPr>
          <w:rFonts w:eastAsiaTheme="minorEastAsia"/>
          <w:b/>
          <w:bCs/>
          <w:sz w:val="18"/>
          <w:szCs w:val="18"/>
          <w:lang w:eastAsia="zh-CN"/>
        </w:rPr>
      </w:pPr>
    </w:p>
    <w:p w:rsidR="00053074" w:rsidRPr="009B5593" w:rsidRDefault="00053074" w:rsidP="00053074">
      <w:pPr>
        <w:autoSpaceDE w:val="0"/>
        <w:autoSpaceDN w:val="0"/>
        <w:bidi w:val="0"/>
        <w:adjustRightInd w:val="0"/>
        <w:snapToGrid w:val="0"/>
        <w:ind w:firstLine="425"/>
        <w:jc w:val="both"/>
        <w:rPr>
          <w:sz w:val="20"/>
          <w:szCs w:val="20"/>
        </w:rPr>
      </w:pPr>
      <w:r w:rsidRPr="009B5593">
        <w:rPr>
          <w:sz w:val="20"/>
          <w:szCs w:val="20"/>
        </w:rPr>
        <w:t>Our study showed that there was</w:t>
      </w:r>
      <w:r w:rsidR="006071F1" w:rsidRPr="009B5593">
        <w:rPr>
          <w:rFonts w:eastAsiaTheme="minorEastAsia" w:hint="eastAsia"/>
          <w:sz w:val="20"/>
          <w:szCs w:val="20"/>
          <w:lang w:eastAsia="zh-CN"/>
        </w:rPr>
        <w:t xml:space="preserve"> </w:t>
      </w:r>
      <w:r w:rsidRPr="009B5593">
        <w:rPr>
          <w:sz w:val="20"/>
          <w:szCs w:val="20"/>
        </w:rPr>
        <w:t>no significant</w:t>
      </w:r>
      <w:r w:rsidR="006071F1" w:rsidRPr="009B5593">
        <w:rPr>
          <w:rFonts w:eastAsiaTheme="minorEastAsia" w:hint="eastAsia"/>
          <w:sz w:val="20"/>
          <w:szCs w:val="20"/>
          <w:lang w:eastAsia="zh-CN"/>
        </w:rPr>
        <w:t xml:space="preserve"> </w:t>
      </w:r>
      <w:r w:rsidRPr="009B5593">
        <w:rPr>
          <w:sz w:val="20"/>
          <w:szCs w:val="20"/>
        </w:rPr>
        <w:t>correlation between the decrease of</w:t>
      </w:r>
      <w:r w:rsidR="006071F1" w:rsidRPr="009B5593">
        <w:rPr>
          <w:rFonts w:eastAsiaTheme="minorEastAsia" w:hint="eastAsia"/>
          <w:sz w:val="20"/>
          <w:szCs w:val="20"/>
          <w:lang w:eastAsia="zh-CN"/>
        </w:rPr>
        <w:t xml:space="preserve"> </w:t>
      </w:r>
      <w:r w:rsidRPr="009B5593">
        <w:rPr>
          <w:sz w:val="20"/>
          <w:szCs w:val="20"/>
        </w:rPr>
        <w:t>CCT and the decrease of IOP after operation (</w:t>
      </w:r>
      <w:r w:rsidRPr="009B5593">
        <w:rPr>
          <w:i/>
          <w:iCs/>
          <w:sz w:val="20"/>
          <w:szCs w:val="20"/>
        </w:rPr>
        <w:t>p</w:t>
      </w:r>
      <w:r w:rsidRPr="009B5593">
        <w:rPr>
          <w:sz w:val="20"/>
          <w:szCs w:val="20"/>
        </w:rPr>
        <w:t>&gt;0.05, r= -0.139) regarding IOP data obtained with local anaesthesia and sedation (Table 5).</w:t>
      </w:r>
    </w:p>
    <w:p w:rsidR="00053074" w:rsidRPr="009B5593" w:rsidRDefault="00053074" w:rsidP="00053074">
      <w:pPr>
        <w:autoSpaceDE w:val="0"/>
        <w:autoSpaceDN w:val="0"/>
        <w:bidi w:val="0"/>
        <w:adjustRightInd w:val="0"/>
        <w:snapToGrid w:val="0"/>
        <w:ind w:firstLine="425"/>
        <w:jc w:val="both"/>
        <w:rPr>
          <w:sz w:val="20"/>
          <w:szCs w:val="20"/>
        </w:rPr>
      </w:pPr>
      <w:r w:rsidRPr="009B5593">
        <w:rPr>
          <w:sz w:val="20"/>
          <w:szCs w:val="20"/>
        </w:rPr>
        <w:t>In our study the decrease of CCT level after operation showed a positive significant correlation with the preoperative CCT (</w:t>
      </w:r>
      <w:r w:rsidRPr="009B5593">
        <w:rPr>
          <w:i/>
          <w:iCs/>
          <w:sz w:val="20"/>
          <w:szCs w:val="20"/>
        </w:rPr>
        <w:t>p</w:t>
      </w:r>
      <w:r w:rsidRPr="009B5593">
        <w:rPr>
          <w:sz w:val="20"/>
          <w:szCs w:val="20"/>
        </w:rPr>
        <w:t>-value&lt; 0.01, r =0.87).</w:t>
      </w:r>
    </w:p>
    <w:p w:rsidR="00053074" w:rsidRPr="009B5593" w:rsidRDefault="00053074" w:rsidP="00053074">
      <w:pPr>
        <w:autoSpaceDE w:val="0"/>
        <w:autoSpaceDN w:val="0"/>
        <w:bidi w:val="0"/>
        <w:adjustRightInd w:val="0"/>
        <w:snapToGrid w:val="0"/>
        <w:ind w:firstLine="425"/>
        <w:jc w:val="both"/>
        <w:rPr>
          <w:sz w:val="20"/>
          <w:szCs w:val="20"/>
        </w:rPr>
      </w:pPr>
      <w:r w:rsidRPr="009B5593">
        <w:rPr>
          <w:sz w:val="20"/>
          <w:szCs w:val="20"/>
        </w:rPr>
        <w:t>The decrease of IOP level after operation showed a positive significantcorrelation with the preoperative IOP (</w:t>
      </w:r>
      <w:r w:rsidRPr="009B5593">
        <w:rPr>
          <w:i/>
          <w:iCs/>
          <w:sz w:val="20"/>
          <w:szCs w:val="20"/>
        </w:rPr>
        <w:t>p</w:t>
      </w:r>
      <w:r w:rsidRPr="009B5593">
        <w:rPr>
          <w:sz w:val="20"/>
          <w:szCs w:val="20"/>
        </w:rPr>
        <w:t>&lt;0.05, r=0.43).</w:t>
      </w:r>
    </w:p>
    <w:p w:rsidR="00053074" w:rsidRPr="009B5593" w:rsidRDefault="00053074" w:rsidP="00053074">
      <w:pPr>
        <w:bidi w:val="0"/>
        <w:snapToGrid w:val="0"/>
        <w:jc w:val="both"/>
        <w:rPr>
          <w:rFonts w:eastAsiaTheme="minorEastAsia"/>
          <w:b/>
          <w:bCs/>
          <w:sz w:val="20"/>
          <w:szCs w:val="16"/>
          <w:lang w:eastAsia="zh-CN"/>
        </w:rPr>
      </w:pPr>
    </w:p>
    <w:p w:rsidR="00ED5BBC" w:rsidRPr="009B5593" w:rsidRDefault="00ED5BBC" w:rsidP="001C0DBA">
      <w:pPr>
        <w:autoSpaceDE w:val="0"/>
        <w:autoSpaceDN w:val="0"/>
        <w:bidi w:val="0"/>
        <w:adjustRightInd w:val="0"/>
        <w:snapToGrid w:val="0"/>
        <w:jc w:val="both"/>
        <w:rPr>
          <w:b/>
          <w:bCs/>
          <w:sz w:val="20"/>
          <w:szCs w:val="20"/>
        </w:rPr>
      </w:pPr>
      <w:r w:rsidRPr="009B5593">
        <w:rPr>
          <w:b/>
          <w:bCs/>
          <w:sz w:val="20"/>
          <w:szCs w:val="20"/>
        </w:rPr>
        <w:t>4.Discussion</w:t>
      </w:r>
    </w:p>
    <w:p w:rsidR="00ED5BBC" w:rsidRPr="009B5593" w:rsidRDefault="00ED5BBC" w:rsidP="001C0DBA">
      <w:pPr>
        <w:bidi w:val="0"/>
        <w:snapToGrid w:val="0"/>
        <w:ind w:firstLine="425"/>
        <w:jc w:val="both"/>
        <w:rPr>
          <w:sz w:val="20"/>
          <w:szCs w:val="20"/>
        </w:rPr>
      </w:pPr>
      <w:r w:rsidRPr="009B5593">
        <w:rPr>
          <w:sz w:val="20"/>
          <w:szCs w:val="20"/>
        </w:rPr>
        <w:t xml:space="preserve">Little is known so far about the relation between IOP and CCT in young children with childhood glaucomas. Ultrasound measurements of the CCT </w:t>
      </w:r>
      <w:r w:rsidRPr="009B5593">
        <w:rPr>
          <w:sz w:val="20"/>
          <w:szCs w:val="20"/>
        </w:rPr>
        <w:lastRenderedPageBreak/>
        <w:t>mostly can be taken easily without sedation or anaesthesia, even in very young children [5].</w:t>
      </w:r>
    </w:p>
    <w:p w:rsidR="00ED5BBC" w:rsidRPr="009B5593" w:rsidRDefault="00ED5BBC" w:rsidP="001C0DBA">
      <w:pPr>
        <w:bidi w:val="0"/>
        <w:snapToGrid w:val="0"/>
        <w:ind w:firstLine="425"/>
        <w:jc w:val="both"/>
        <w:rPr>
          <w:sz w:val="20"/>
          <w:szCs w:val="20"/>
        </w:rPr>
      </w:pPr>
      <w:r w:rsidRPr="009B5593">
        <w:rPr>
          <w:sz w:val="20"/>
          <w:szCs w:val="20"/>
        </w:rPr>
        <w:t>This study included 18 males and 12 females, with male predominance 60%. Fung</w:t>
      </w:r>
      <w:r w:rsidRPr="009B5593">
        <w:rPr>
          <w:i/>
          <w:iCs/>
          <w:sz w:val="20"/>
          <w:szCs w:val="20"/>
        </w:rPr>
        <w:t xml:space="preserve"> et al.</w:t>
      </w:r>
      <w:r w:rsidR="009D6CB4" w:rsidRPr="009B5593">
        <w:rPr>
          <w:sz w:val="20"/>
          <w:szCs w:val="20"/>
        </w:rPr>
        <w:t xml:space="preserve"> </w:t>
      </w:r>
      <w:r w:rsidRPr="009B5593">
        <w:rPr>
          <w:sz w:val="20"/>
          <w:szCs w:val="20"/>
        </w:rPr>
        <w:t>(2013) [6]</w:t>
      </w:r>
      <w:r w:rsidR="009D6CB4" w:rsidRPr="009B5593">
        <w:rPr>
          <w:sz w:val="20"/>
          <w:szCs w:val="20"/>
        </w:rPr>
        <w:t xml:space="preserve"> </w:t>
      </w:r>
      <w:r w:rsidRPr="009B5593">
        <w:rPr>
          <w:sz w:val="20"/>
          <w:szCs w:val="20"/>
        </w:rPr>
        <w:t>and Oberacher-Velten</w:t>
      </w:r>
      <w:r w:rsidRPr="009B5593">
        <w:rPr>
          <w:i/>
          <w:iCs/>
          <w:sz w:val="20"/>
          <w:szCs w:val="20"/>
        </w:rPr>
        <w:t xml:space="preserve"> et al.</w:t>
      </w:r>
      <w:r w:rsidR="009D6CB4" w:rsidRPr="009B5593">
        <w:rPr>
          <w:sz w:val="20"/>
          <w:szCs w:val="20"/>
        </w:rPr>
        <w:t xml:space="preserve"> </w:t>
      </w:r>
      <w:r w:rsidRPr="009B5593">
        <w:rPr>
          <w:sz w:val="20"/>
          <w:szCs w:val="20"/>
        </w:rPr>
        <w:t>(2008) [5] confirmed that there was a male predominance in primary congenital glaucoma cases.</w:t>
      </w:r>
    </w:p>
    <w:p w:rsidR="00ED5BBC" w:rsidRPr="009B5593" w:rsidRDefault="00ED5BBC" w:rsidP="001C0DBA">
      <w:pPr>
        <w:bidi w:val="0"/>
        <w:snapToGrid w:val="0"/>
        <w:ind w:firstLine="425"/>
        <w:jc w:val="both"/>
        <w:rPr>
          <w:sz w:val="20"/>
          <w:szCs w:val="20"/>
        </w:rPr>
      </w:pPr>
      <w:r w:rsidRPr="009B5593">
        <w:rPr>
          <w:sz w:val="20"/>
          <w:szCs w:val="20"/>
        </w:rPr>
        <w:t>In our study there was statistically significant reduction in CCT after operation. The mean initial CCT was 547 μm before operation and decreased to 533.9 μm after operation with</w:t>
      </w:r>
      <w:r w:rsidR="0024729A" w:rsidRPr="009B5593">
        <w:rPr>
          <w:i/>
          <w:iCs/>
          <w:sz w:val="20"/>
          <w:szCs w:val="20"/>
        </w:rPr>
        <w:t xml:space="preserve"> </w:t>
      </w:r>
      <w:r w:rsidR="0024729A" w:rsidRPr="009B5593">
        <w:rPr>
          <w:sz w:val="20"/>
          <w:szCs w:val="20"/>
        </w:rPr>
        <w:t>(</w:t>
      </w:r>
      <w:r w:rsidRPr="009B5593">
        <w:rPr>
          <w:i/>
          <w:iCs/>
          <w:sz w:val="20"/>
          <w:szCs w:val="20"/>
        </w:rPr>
        <w:t>P</w:t>
      </w:r>
      <w:r w:rsidRPr="009B5593">
        <w:rPr>
          <w:sz w:val="20"/>
          <w:szCs w:val="20"/>
        </w:rPr>
        <w:t>&lt; 0.01). These results are in agreement with that of Jordan</w:t>
      </w:r>
      <w:r w:rsidRPr="009B5593">
        <w:rPr>
          <w:i/>
          <w:iCs/>
          <w:sz w:val="20"/>
          <w:szCs w:val="20"/>
        </w:rPr>
        <w:t xml:space="preserve"> et al.</w:t>
      </w:r>
      <w:r w:rsidR="0024729A" w:rsidRPr="009B5593">
        <w:rPr>
          <w:sz w:val="20"/>
          <w:szCs w:val="20"/>
        </w:rPr>
        <w:t xml:space="preserve"> </w:t>
      </w:r>
      <w:r w:rsidRPr="009B5593">
        <w:rPr>
          <w:sz w:val="20"/>
          <w:szCs w:val="20"/>
        </w:rPr>
        <w:t>(2005) [7] and Oberacher-Velten</w:t>
      </w:r>
      <w:r w:rsidRPr="009B5593">
        <w:rPr>
          <w:i/>
          <w:iCs/>
          <w:sz w:val="20"/>
          <w:szCs w:val="20"/>
        </w:rPr>
        <w:t xml:space="preserve"> et al.</w:t>
      </w:r>
      <w:r w:rsidR="0024729A" w:rsidRPr="009B5593">
        <w:rPr>
          <w:sz w:val="20"/>
          <w:szCs w:val="20"/>
        </w:rPr>
        <w:t xml:space="preserve"> </w:t>
      </w:r>
      <w:r w:rsidRPr="009B5593">
        <w:rPr>
          <w:sz w:val="20"/>
          <w:szCs w:val="20"/>
        </w:rPr>
        <w:t>(2008) [5]</w:t>
      </w:r>
      <w:r w:rsidR="008A324A" w:rsidRPr="009B5593">
        <w:rPr>
          <w:sz w:val="20"/>
          <w:szCs w:val="20"/>
        </w:rPr>
        <w:t xml:space="preserve"> </w:t>
      </w:r>
      <w:r w:rsidRPr="009B5593">
        <w:rPr>
          <w:sz w:val="20"/>
          <w:szCs w:val="20"/>
        </w:rPr>
        <w:t>who reported that the mean initial CCT was 651.3±138μm before trabeculotomy and decreased to 592.3±119.7 μm after trabeculotomy.</w:t>
      </w:r>
    </w:p>
    <w:p w:rsidR="00ED5BBC" w:rsidRPr="009B5593" w:rsidRDefault="00ED5BBC" w:rsidP="001C0DBA">
      <w:pPr>
        <w:bidi w:val="0"/>
        <w:snapToGrid w:val="0"/>
        <w:ind w:firstLine="425"/>
        <w:jc w:val="both"/>
        <w:rPr>
          <w:sz w:val="20"/>
          <w:szCs w:val="20"/>
        </w:rPr>
      </w:pPr>
      <w:r w:rsidRPr="009B5593">
        <w:rPr>
          <w:sz w:val="20"/>
          <w:szCs w:val="20"/>
        </w:rPr>
        <w:t>In our study there was statistically significant reduction in IOP after operation. The mean initial IOP was 30.7 mmHg before operation and decreased to 11.8 mmHg after operation with</w:t>
      </w:r>
      <w:r w:rsidR="00786D8C" w:rsidRPr="009B5593">
        <w:rPr>
          <w:sz w:val="20"/>
          <w:szCs w:val="20"/>
        </w:rPr>
        <w:t xml:space="preserve"> (</w:t>
      </w:r>
      <w:r w:rsidRPr="009B5593">
        <w:rPr>
          <w:sz w:val="20"/>
          <w:szCs w:val="20"/>
        </w:rPr>
        <w:t>P&lt; 0.01).</w:t>
      </w:r>
      <w:r w:rsidR="00786D8C" w:rsidRPr="009B5593">
        <w:rPr>
          <w:sz w:val="20"/>
          <w:szCs w:val="20"/>
        </w:rPr>
        <w:t xml:space="preserve"> </w:t>
      </w:r>
      <w:r w:rsidRPr="009B5593">
        <w:rPr>
          <w:sz w:val="20"/>
          <w:szCs w:val="20"/>
        </w:rPr>
        <w:t>Oberacher-Velten</w:t>
      </w:r>
      <w:r w:rsidRPr="009B5593">
        <w:rPr>
          <w:i/>
          <w:iCs/>
          <w:sz w:val="20"/>
          <w:szCs w:val="20"/>
        </w:rPr>
        <w:t xml:space="preserve"> et al.</w:t>
      </w:r>
      <w:r w:rsidR="00786D8C" w:rsidRPr="009B5593">
        <w:rPr>
          <w:sz w:val="20"/>
          <w:szCs w:val="20"/>
        </w:rPr>
        <w:t xml:space="preserve"> </w:t>
      </w:r>
      <w:r w:rsidRPr="009B5593">
        <w:rPr>
          <w:sz w:val="20"/>
          <w:szCs w:val="20"/>
        </w:rPr>
        <w:t>(2008) [5]</w:t>
      </w:r>
      <w:r w:rsidR="00786D8C" w:rsidRPr="009B5593">
        <w:rPr>
          <w:sz w:val="20"/>
          <w:szCs w:val="20"/>
        </w:rPr>
        <w:t xml:space="preserve"> </w:t>
      </w:r>
      <w:r w:rsidRPr="009B5593">
        <w:rPr>
          <w:sz w:val="20"/>
          <w:szCs w:val="20"/>
        </w:rPr>
        <w:t>reported that Mean IOP was 18.6±7.5 mmHg before and decreased to 14.8±5.8 mmHg after glaucoma surgery. Moreover,Zhang</w:t>
      </w:r>
      <w:r w:rsidRPr="009B5593">
        <w:rPr>
          <w:i/>
          <w:iCs/>
          <w:sz w:val="20"/>
          <w:szCs w:val="20"/>
        </w:rPr>
        <w:t xml:space="preserve"> et al.</w:t>
      </w:r>
      <w:r w:rsidR="00786D8C" w:rsidRPr="009B5593">
        <w:rPr>
          <w:sz w:val="20"/>
          <w:szCs w:val="20"/>
        </w:rPr>
        <w:t xml:space="preserve"> </w:t>
      </w:r>
      <w:r w:rsidRPr="009B5593">
        <w:rPr>
          <w:sz w:val="20"/>
          <w:szCs w:val="20"/>
        </w:rPr>
        <w:t xml:space="preserve">(2009) [8]reported thatthe mean IOP in all patients declined dramatically after the procedure (31.70 ±9.16 mmHg preoperatively and 19.22 ±8.67 mmHg postoperatively; </w:t>
      </w:r>
      <w:r w:rsidRPr="009B5593">
        <w:rPr>
          <w:b/>
          <w:bCs/>
          <w:i/>
          <w:iCs/>
          <w:sz w:val="20"/>
          <w:szCs w:val="20"/>
        </w:rPr>
        <w:t>P</w:t>
      </w:r>
      <w:r w:rsidRPr="009B5593">
        <w:rPr>
          <w:b/>
          <w:bCs/>
          <w:sz w:val="20"/>
          <w:szCs w:val="20"/>
        </w:rPr>
        <w:t>=0.000</w:t>
      </w:r>
      <w:r w:rsidRPr="009B5593">
        <w:rPr>
          <w:sz w:val="20"/>
          <w:szCs w:val="20"/>
        </w:rPr>
        <w:t>).Ross</w:t>
      </w:r>
      <w:r w:rsidRPr="009B5593">
        <w:rPr>
          <w:i/>
          <w:iCs/>
          <w:sz w:val="20"/>
          <w:szCs w:val="20"/>
        </w:rPr>
        <w:t xml:space="preserve"> et al.</w:t>
      </w:r>
      <w:r w:rsidR="00786D8C" w:rsidRPr="009B5593">
        <w:rPr>
          <w:sz w:val="20"/>
          <w:szCs w:val="20"/>
        </w:rPr>
        <w:t xml:space="preserve"> </w:t>
      </w:r>
      <w:r w:rsidRPr="009B5593">
        <w:rPr>
          <w:sz w:val="20"/>
          <w:szCs w:val="20"/>
        </w:rPr>
        <w:t>(2011) [9] reported that there was a statistically significant reduction in both mean IOP (</w:t>
      </w:r>
      <w:r w:rsidRPr="009B5593">
        <w:rPr>
          <w:i/>
          <w:iCs/>
          <w:sz w:val="20"/>
          <w:szCs w:val="20"/>
        </w:rPr>
        <w:t>p</w:t>
      </w:r>
      <w:r w:rsidRPr="009B5593">
        <w:rPr>
          <w:sz w:val="20"/>
          <w:szCs w:val="20"/>
        </w:rPr>
        <w:t>=0.002) and peak IOP (</w:t>
      </w:r>
      <w:r w:rsidRPr="009B5593">
        <w:rPr>
          <w:i/>
          <w:iCs/>
          <w:sz w:val="20"/>
          <w:szCs w:val="20"/>
        </w:rPr>
        <w:t>p</w:t>
      </w:r>
      <w:r w:rsidRPr="009B5593">
        <w:rPr>
          <w:sz w:val="20"/>
          <w:szCs w:val="20"/>
        </w:rPr>
        <w:t>=0.025) following trabeculectomy.</w:t>
      </w:r>
    </w:p>
    <w:p w:rsidR="00ED5BBC" w:rsidRPr="009B5593" w:rsidRDefault="00ED5BBC" w:rsidP="001C0DBA">
      <w:pPr>
        <w:bidi w:val="0"/>
        <w:snapToGrid w:val="0"/>
        <w:ind w:firstLine="425"/>
        <w:jc w:val="both"/>
        <w:rPr>
          <w:sz w:val="20"/>
          <w:szCs w:val="20"/>
        </w:rPr>
      </w:pPr>
      <w:r w:rsidRPr="009B5593">
        <w:rPr>
          <w:sz w:val="20"/>
          <w:szCs w:val="20"/>
        </w:rPr>
        <w:t xml:space="preserve">Our study showed no significant dependence of CCT on IOP values measured with local anaesthesia and sedation before and after operation with </w:t>
      </w:r>
      <w:r w:rsidRPr="009B5593">
        <w:rPr>
          <w:i/>
          <w:iCs/>
          <w:sz w:val="20"/>
          <w:szCs w:val="20"/>
        </w:rPr>
        <w:t>p</w:t>
      </w:r>
      <w:r w:rsidRPr="009B5593">
        <w:rPr>
          <w:sz w:val="20"/>
          <w:szCs w:val="20"/>
        </w:rPr>
        <w:t>-value(&gt; 0.05). These results are in agreement with that of Oberacher-Velten</w:t>
      </w:r>
      <w:r w:rsidRPr="009B5593">
        <w:rPr>
          <w:i/>
          <w:iCs/>
          <w:sz w:val="20"/>
          <w:szCs w:val="20"/>
        </w:rPr>
        <w:t xml:space="preserve"> et al.</w:t>
      </w:r>
      <w:r w:rsidRPr="009B5593">
        <w:rPr>
          <w:sz w:val="20"/>
          <w:szCs w:val="20"/>
        </w:rPr>
        <w:t>(2008) [5]who reported that regarding the IOP data measured without general anaesthesia, a regression analysis showed no significant dependence of CCT on IOP values.</w:t>
      </w:r>
    </w:p>
    <w:p w:rsidR="00ED5BBC" w:rsidRPr="009B5593" w:rsidRDefault="00ED5BBC" w:rsidP="001C0DBA">
      <w:pPr>
        <w:bidi w:val="0"/>
        <w:snapToGrid w:val="0"/>
        <w:ind w:firstLine="425"/>
        <w:jc w:val="both"/>
        <w:rPr>
          <w:sz w:val="20"/>
          <w:szCs w:val="20"/>
        </w:rPr>
      </w:pPr>
      <w:r w:rsidRPr="009B5593">
        <w:rPr>
          <w:sz w:val="20"/>
          <w:szCs w:val="20"/>
        </w:rPr>
        <w:t>Our study showed that there was no significantcorrelation between the decrease ofCCT and the decrease of IOP after operation (</w:t>
      </w:r>
      <w:r w:rsidRPr="009B5593">
        <w:rPr>
          <w:i/>
          <w:iCs/>
          <w:sz w:val="20"/>
          <w:szCs w:val="20"/>
        </w:rPr>
        <w:t>p</w:t>
      </w:r>
      <w:r w:rsidRPr="009B5593">
        <w:rPr>
          <w:sz w:val="20"/>
          <w:szCs w:val="20"/>
        </w:rPr>
        <w:t>-value &gt;0.05, r= -0.139) regarding IOP data obtained with local anaesthesia and sedation. These results are in agreement with that of Oberacher-Velten</w:t>
      </w:r>
      <w:r w:rsidRPr="009B5593">
        <w:rPr>
          <w:i/>
          <w:iCs/>
          <w:sz w:val="20"/>
          <w:szCs w:val="20"/>
        </w:rPr>
        <w:t xml:space="preserve"> et al.</w:t>
      </w:r>
      <w:r w:rsidRPr="009B5593">
        <w:rPr>
          <w:sz w:val="20"/>
          <w:szCs w:val="20"/>
        </w:rPr>
        <w:t>(2008) [5]who reported that regarding IOP data obtained under general anaesthesia, decrease of CCT was significantly correlated with decrease in IOP.</w:t>
      </w:r>
    </w:p>
    <w:p w:rsidR="00ED5BBC" w:rsidRPr="009B5593" w:rsidRDefault="00ED5BBC" w:rsidP="001C0DBA">
      <w:pPr>
        <w:bidi w:val="0"/>
        <w:snapToGrid w:val="0"/>
        <w:ind w:firstLine="425"/>
        <w:jc w:val="both"/>
        <w:rPr>
          <w:sz w:val="20"/>
          <w:szCs w:val="20"/>
        </w:rPr>
      </w:pPr>
      <w:r w:rsidRPr="009B5593">
        <w:rPr>
          <w:sz w:val="20"/>
          <w:szCs w:val="20"/>
        </w:rPr>
        <w:t>There is a high variability of IOP measurements taken without sedation or anaesthesia. To exclude errors due to this variability, only IOP values taken under same conditions were included [10].</w:t>
      </w:r>
    </w:p>
    <w:p w:rsidR="00ED5BBC" w:rsidRPr="009B5593" w:rsidRDefault="00ED5BBC" w:rsidP="001C0DBA">
      <w:pPr>
        <w:bidi w:val="0"/>
        <w:snapToGrid w:val="0"/>
        <w:ind w:firstLine="425"/>
        <w:jc w:val="both"/>
        <w:rPr>
          <w:sz w:val="20"/>
          <w:szCs w:val="20"/>
        </w:rPr>
      </w:pPr>
      <w:r w:rsidRPr="009B5593">
        <w:rPr>
          <w:sz w:val="20"/>
          <w:szCs w:val="20"/>
        </w:rPr>
        <w:t>Muir</w:t>
      </w:r>
      <w:r w:rsidR="00D33C9E" w:rsidRPr="009B5593">
        <w:rPr>
          <w:i/>
          <w:iCs/>
          <w:sz w:val="20"/>
          <w:szCs w:val="20"/>
        </w:rPr>
        <w:t xml:space="preserve"> </w:t>
      </w:r>
      <w:r w:rsidRPr="009B5593">
        <w:rPr>
          <w:i/>
          <w:iCs/>
          <w:sz w:val="20"/>
          <w:szCs w:val="20"/>
        </w:rPr>
        <w:t>et al.</w:t>
      </w:r>
      <w:r w:rsidR="00FB1992" w:rsidRPr="009B5593">
        <w:rPr>
          <w:sz w:val="20"/>
          <w:szCs w:val="20"/>
        </w:rPr>
        <w:t xml:space="preserve"> </w:t>
      </w:r>
      <w:r w:rsidRPr="009B5593">
        <w:rPr>
          <w:sz w:val="20"/>
          <w:szCs w:val="20"/>
        </w:rPr>
        <w:t xml:space="preserve">(2006) [11] studied racial differences of CCT in children, and correlated those values with applanatory measured IOP values. They found a positive relationship between increasing measured </w:t>
      </w:r>
      <w:r w:rsidRPr="009B5593">
        <w:rPr>
          <w:sz w:val="20"/>
          <w:szCs w:val="20"/>
        </w:rPr>
        <w:lastRenderedPageBreak/>
        <w:t>IOP and CCT among children with normal corneas and anterior segments.</w:t>
      </w:r>
    </w:p>
    <w:p w:rsidR="00ED5BBC" w:rsidRPr="009B5593" w:rsidRDefault="00ED5BBC" w:rsidP="001C0DBA">
      <w:pPr>
        <w:bidi w:val="0"/>
        <w:snapToGrid w:val="0"/>
        <w:ind w:firstLine="425"/>
        <w:jc w:val="both"/>
        <w:rPr>
          <w:sz w:val="20"/>
          <w:szCs w:val="20"/>
        </w:rPr>
      </w:pPr>
      <w:r w:rsidRPr="009B5593">
        <w:rPr>
          <w:sz w:val="20"/>
          <w:szCs w:val="20"/>
        </w:rPr>
        <w:t>Novak-Stroligo</w:t>
      </w:r>
      <w:r w:rsidRPr="009B5593">
        <w:rPr>
          <w:i/>
          <w:iCs/>
          <w:sz w:val="20"/>
          <w:szCs w:val="20"/>
        </w:rPr>
        <w:t xml:space="preserve"> et al. </w:t>
      </w:r>
      <w:r w:rsidRPr="009B5593">
        <w:rPr>
          <w:sz w:val="20"/>
          <w:szCs w:val="20"/>
        </w:rPr>
        <w:t>(2011) [12] reported that in congenital glaucoma group mean central corneal thickness was 513±23 micrometers. In control group result for mean central corneal thickness was 535±27 micrometers. The mean pachymetry values in group with congenital glaucoma was significantly lower than in control group (</w:t>
      </w:r>
      <w:r w:rsidRPr="009B5593">
        <w:rPr>
          <w:i/>
          <w:iCs/>
          <w:sz w:val="20"/>
          <w:szCs w:val="20"/>
        </w:rPr>
        <w:t>p</w:t>
      </w:r>
      <w:r w:rsidRPr="009B5593">
        <w:rPr>
          <w:sz w:val="20"/>
          <w:szCs w:val="20"/>
        </w:rPr>
        <w:t>&lt;0.05). Thinner cornea may be caused by corneal distension which happens in early stage of congenital glaucoma. Lower central corneal thickness values results in lower tonometrically recorded intraocular pressure so it need to be measured and intraocular pressure has to be corrected according to CCT measurements. Also, lower central corneal thickness values should be taken as a part of examination in congenital glaucoma diagnostics.</w:t>
      </w:r>
    </w:p>
    <w:p w:rsidR="00ED5BBC" w:rsidRPr="009B5593" w:rsidRDefault="00ED5BBC" w:rsidP="001C0DBA">
      <w:pPr>
        <w:bidi w:val="0"/>
        <w:snapToGrid w:val="0"/>
        <w:ind w:firstLine="425"/>
        <w:jc w:val="both"/>
        <w:rPr>
          <w:sz w:val="20"/>
          <w:szCs w:val="20"/>
        </w:rPr>
      </w:pPr>
      <w:r w:rsidRPr="009B5593">
        <w:rPr>
          <w:sz w:val="20"/>
          <w:szCs w:val="20"/>
        </w:rPr>
        <w:t>Patel</w:t>
      </w:r>
      <w:r w:rsidRPr="009B5593">
        <w:rPr>
          <w:i/>
          <w:iCs/>
          <w:sz w:val="20"/>
          <w:szCs w:val="20"/>
        </w:rPr>
        <w:t xml:space="preserve"> et al.</w:t>
      </w:r>
      <w:r w:rsidR="00292F62" w:rsidRPr="009B5593">
        <w:rPr>
          <w:i/>
          <w:iCs/>
          <w:sz w:val="20"/>
          <w:szCs w:val="20"/>
        </w:rPr>
        <w:t xml:space="preserve"> </w:t>
      </w:r>
      <w:r w:rsidRPr="009B5593">
        <w:rPr>
          <w:sz w:val="20"/>
          <w:szCs w:val="20"/>
        </w:rPr>
        <w:t>(2013)</w:t>
      </w:r>
      <w:bookmarkStart w:id="0" w:name="_GoBack"/>
      <w:bookmarkEnd w:id="0"/>
      <w:r w:rsidRPr="009B5593">
        <w:rPr>
          <w:sz w:val="20"/>
          <w:szCs w:val="20"/>
        </w:rPr>
        <w:t xml:space="preserve"> [1]</w:t>
      </w:r>
      <w:r w:rsidR="006071F1" w:rsidRPr="009B5593">
        <w:rPr>
          <w:rFonts w:eastAsiaTheme="minorEastAsia" w:hint="eastAsia"/>
          <w:sz w:val="20"/>
          <w:szCs w:val="20"/>
          <w:lang w:eastAsia="zh-CN"/>
        </w:rPr>
        <w:t xml:space="preserve"> </w:t>
      </w:r>
      <w:r w:rsidRPr="009B5593">
        <w:rPr>
          <w:sz w:val="20"/>
          <w:szCs w:val="20"/>
        </w:rPr>
        <w:t>reported that CCT should be routinely taken into consideration as part of the comprehensive eye exam while measuring IOP, as knowledge of an individual's CCT provides valuable information about the accuracy of IOP status.</w:t>
      </w:r>
    </w:p>
    <w:p w:rsidR="00ED5BBC" w:rsidRPr="009B5593" w:rsidRDefault="00ED5BBC" w:rsidP="001C0DBA">
      <w:pPr>
        <w:bidi w:val="0"/>
        <w:snapToGrid w:val="0"/>
        <w:ind w:firstLine="425"/>
        <w:jc w:val="both"/>
        <w:rPr>
          <w:sz w:val="20"/>
          <w:szCs w:val="20"/>
        </w:rPr>
      </w:pPr>
      <w:r w:rsidRPr="009B5593">
        <w:rPr>
          <w:sz w:val="20"/>
          <w:szCs w:val="20"/>
        </w:rPr>
        <w:t>From this study, we cannot conclude whether the non significant relation between the central corneal thickness and intraocular pressure is only caused by equipment measurement errors or because of the variation in the central corneal thickness. The measured intraocular pressure can be underestimated or overestimated than the actual hydrostatic intraocular pressure.</w:t>
      </w:r>
    </w:p>
    <w:p w:rsidR="00215D6B" w:rsidRPr="009B5593" w:rsidRDefault="00215D6B" w:rsidP="001C0DBA">
      <w:pPr>
        <w:bidi w:val="0"/>
        <w:snapToGrid w:val="0"/>
        <w:jc w:val="both"/>
        <w:rPr>
          <w:rFonts w:eastAsiaTheme="minorEastAsia"/>
          <w:b/>
          <w:bCs/>
          <w:sz w:val="20"/>
          <w:szCs w:val="20"/>
          <w:lang w:eastAsia="zh-CN"/>
        </w:rPr>
      </w:pPr>
    </w:p>
    <w:p w:rsidR="00ED5BBC" w:rsidRPr="009B5593" w:rsidRDefault="00ED5BBC" w:rsidP="00215D6B">
      <w:pPr>
        <w:bidi w:val="0"/>
        <w:snapToGrid w:val="0"/>
        <w:jc w:val="both"/>
        <w:rPr>
          <w:b/>
          <w:bCs/>
          <w:sz w:val="20"/>
          <w:szCs w:val="20"/>
        </w:rPr>
      </w:pPr>
      <w:r w:rsidRPr="009B5593">
        <w:rPr>
          <w:b/>
          <w:bCs/>
          <w:sz w:val="20"/>
          <w:szCs w:val="20"/>
        </w:rPr>
        <w:t>Conclusion</w:t>
      </w:r>
    </w:p>
    <w:p w:rsidR="00ED5BBC" w:rsidRPr="001C0DBA" w:rsidRDefault="00ED5BBC" w:rsidP="001C0DBA">
      <w:pPr>
        <w:bidi w:val="0"/>
        <w:snapToGrid w:val="0"/>
        <w:ind w:firstLine="425"/>
        <w:jc w:val="both"/>
        <w:rPr>
          <w:color w:val="000000"/>
          <w:sz w:val="20"/>
          <w:szCs w:val="20"/>
        </w:rPr>
      </w:pPr>
      <w:r w:rsidRPr="009B5593">
        <w:rPr>
          <w:sz w:val="20"/>
          <w:szCs w:val="20"/>
        </w:rPr>
        <w:t>Regarding IOP data obtained with local anaesthesia and oral sedation we cannot depend on central corneal thickness as an independent parameter to monitor the follow up of childhood glaucoma cases after surgery.</w:t>
      </w:r>
      <w:r w:rsidR="001D1AFD" w:rsidRPr="009B5593">
        <w:rPr>
          <w:sz w:val="20"/>
          <w:szCs w:val="20"/>
        </w:rPr>
        <w:t xml:space="preserve"> </w:t>
      </w:r>
      <w:r w:rsidRPr="009B5593">
        <w:rPr>
          <w:sz w:val="20"/>
          <w:szCs w:val="20"/>
        </w:rPr>
        <w:t>Thus, further studies have to investigate the role of CCT as an additional</w:t>
      </w:r>
      <w:r w:rsidR="001D1AFD" w:rsidRPr="009B5593">
        <w:rPr>
          <w:sz w:val="20"/>
          <w:szCs w:val="20"/>
        </w:rPr>
        <w:t xml:space="preserve"> </w:t>
      </w:r>
      <w:r w:rsidRPr="009B5593">
        <w:rPr>
          <w:sz w:val="20"/>
          <w:szCs w:val="20"/>
        </w:rPr>
        <w:t>parameter in congenital glaucoma in more patients at various ages</w:t>
      </w:r>
      <w:r w:rsidRPr="001C0DBA">
        <w:rPr>
          <w:color w:val="141314"/>
          <w:sz w:val="20"/>
          <w:szCs w:val="20"/>
        </w:rPr>
        <w:t>.</w:t>
      </w:r>
    </w:p>
    <w:p w:rsidR="00ED5BBC" w:rsidRPr="001C0DBA" w:rsidRDefault="00ED5BBC" w:rsidP="001C0DBA">
      <w:pPr>
        <w:bidi w:val="0"/>
        <w:snapToGrid w:val="0"/>
        <w:jc w:val="both"/>
        <w:rPr>
          <w:b/>
          <w:bCs/>
          <w:sz w:val="20"/>
          <w:szCs w:val="20"/>
        </w:rPr>
      </w:pPr>
    </w:p>
    <w:p w:rsidR="00ED5BBC" w:rsidRPr="001C0DBA" w:rsidRDefault="00ED5BBC" w:rsidP="001C0DBA">
      <w:pPr>
        <w:bidi w:val="0"/>
        <w:snapToGrid w:val="0"/>
        <w:jc w:val="both"/>
        <w:rPr>
          <w:b/>
          <w:bCs/>
          <w:sz w:val="20"/>
          <w:szCs w:val="20"/>
        </w:rPr>
      </w:pPr>
      <w:r w:rsidRPr="001C0DBA">
        <w:rPr>
          <w:b/>
          <w:bCs/>
          <w:sz w:val="20"/>
          <w:szCs w:val="20"/>
        </w:rPr>
        <w:t>Funds</w:t>
      </w:r>
    </w:p>
    <w:p w:rsidR="00ED5BBC" w:rsidRPr="001C0DBA" w:rsidRDefault="00ED5BBC" w:rsidP="001C0DBA">
      <w:pPr>
        <w:bidi w:val="0"/>
        <w:snapToGrid w:val="0"/>
        <w:ind w:firstLine="425"/>
        <w:jc w:val="both"/>
        <w:rPr>
          <w:sz w:val="20"/>
          <w:szCs w:val="20"/>
        </w:rPr>
      </w:pPr>
      <w:r w:rsidRPr="001C0DBA">
        <w:rPr>
          <w:sz w:val="20"/>
          <w:szCs w:val="20"/>
        </w:rPr>
        <w:t>No funds from governmental or non-governmental authorities.The authors declared clearly no conflict of interest.</w:t>
      </w:r>
    </w:p>
    <w:p w:rsidR="00ED5BBC" w:rsidRPr="001C0DBA" w:rsidRDefault="00ED5BBC" w:rsidP="001C0DBA">
      <w:pPr>
        <w:bidi w:val="0"/>
        <w:snapToGrid w:val="0"/>
        <w:jc w:val="both"/>
        <w:rPr>
          <w:b/>
          <w:bCs/>
          <w:sz w:val="20"/>
          <w:szCs w:val="20"/>
        </w:rPr>
      </w:pPr>
    </w:p>
    <w:p w:rsidR="00ED5BBC" w:rsidRPr="001C0DBA" w:rsidRDefault="00ED5BBC" w:rsidP="00215D6B">
      <w:pPr>
        <w:bidi w:val="0"/>
        <w:snapToGrid w:val="0"/>
        <w:jc w:val="both"/>
        <w:rPr>
          <w:sz w:val="20"/>
          <w:szCs w:val="20"/>
        </w:rPr>
      </w:pPr>
      <w:r w:rsidRPr="001C0DBA">
        <w:rPr>
          <w:b/>
          <w:bCs/>
          <w:sz w:val="20"/>
          <w:szCs w:val="20"/>
        </w:rPr>
        <w:t>Corresponding author</w:t>
      </w:r>
    </w:p>
    <w:p w:rsidR="00ED5BBC" w:rsidRPr="001C0DBA" w:rsidRDefault="00ED5BBC" w:rsidP="00215D6B">
      <w:pPr>
        <w:bidi w:val="0"/>
        <w:snapToGrid w:val="0"/>
        <w:jc w:val="both"/>
        <w:rPr>
          <w:sz w:val="20"/>
          <w:szCs w:val="20"/>
        </w:rPr>
      </w:pPr>
      <w:r w:rsidRPr="001C0DBA">
        <w:rPr>
          <w:sz w:val="20"/>
          <w:szCs w:val="20"/>
        </w:rPr>
        <w:t>Dalia Abbas Ahmed Nagy,</w:t>
      </w:r>
    </w:p>
    <w:p w:rsidR="00ED5BBC" w:rsidRPr="001C0DBA" w:rsidRDefault="00ED5BBC" w:rsidP="00215D6B">
      <w:pPr>
        <w:bidi w:val="0"/>
        <w:snapToGrid w:val="0"/>
        <w:jc w:val="both"/>
        <w:rPr>
          <w:sz w:val="20"/>
          <w:szCs w:val="20"/>
        </w:rPr>
      </w:pPr>
      <w:r w:rsidRPr="001C0DBA">
        <w:rPr>
          <w:sz w:val="20"/>
          <w:szCs w:val="20"/>
        </w:rPr>
        <w:t>Address: Ophthalmology Department, Faculty of Medicine, Menoufia University</w:t>
      </w:r>
      <w:r w:rsidRPr="001C0DBA">
        <w:rPr>
          <w:b/>
          <w:bCs/>
          <w:sz w:val="20"/>
          <w:szCs w:val="20"/>
        </w:rPr>
        <w:t xml:space="preserve">, </w:t>
      </w:r>
      <w:r w:rsidRPr="001C0DBA">
        <w:rPr>
          <w:sz w:val="20"/>
          <w:szCs w:val="20"/>
        </w:rPr>
        <w:t>Egypt.</w:t>
      </w:r>
    </w:p>
    <w:p w:rsidR="00ED5BBC" w:rsidRPr="001C0DBA" w:rsidRDefault="00ED5BBC" w:rsidP="00215D6B">
      <w:pPr>
        <w:bidi w:val="0"/>
        <w:snapToGrid w:val="0"/>
        <w:jc w:val="both"/>
        <w:rPr>
          <w:color w:val="0000CC"/>
          <w:sz w:val="20"/>
          <w:szCs w:val="20"/>
        </w:rPr>
      </w:pPr>
      <w:r w:rsidRPr="001C0DBA">
        <w:rPr>
          <w:sz w:val="20"/>
          <w:szCs w:val="20"/>
        </w:rPr>
        <w:t xml:space="preserve">E.mail: </w:t>
      </w:r>
      <w:hyperlink r:id="rId18" w:history="1">
        <w:r w:rsidRPr="001C0DBA">
          <w:rPr>
            <w:rStyle w:val="Hyperlink"/>
            <w:color w:val="0000CC"/>
            <w:sz w:val="20"/>
            <w:szCs w:val="20"/>
            <w:u w:val="none"/>
          </w:rPr>
          <w:t>drdalianagy@yahoo.com</w:t>
        </w:r>
      </w:hyperlink>
    </w:p>
    <w:p w:rsidR="00ED5BBC" w:rsidRPr="001C0DBA" w:rsidRDefault="00ED5BBC" w:rsidP="001C0DBA">
      <w:pPr>
        <w:bidi w:val="0"/>
        <w:snapToGrid w:val="0"/>
        <w:jc w:val="both"/>
        <w:rPr>
          <w:sz w:val="20"/>
          <w:szCs w:val="20"/>
        </w:rPr>
      </w:pPr>
    </w:p>
    <w:p w:rsidR="00ED5BBC" w:rsidRPr="001C0DBA" w:rsidRDefault="00ED5BBC" w:rsidP="001C0DBA">
      <w:pPr>
        <w:bidi w:val="0"/>
        <w:snapToGrid w:val="0"/>
        <w:jc w:val="both"/>
        <w:rPr>
          <w:b/>
          <w:bCs/>
          <w:sz w:val="20"/>
          <w:szCs w:val="20"/>
        </w:rPr>
      </w:pPr>
      <w:r w:rsidRPr="001C0DBA">
        <w:rPr>
          <w:b/>
          <w:bCs/>
          <w:sz w:val="20"/>
          <w:szCs w:val="20"/>
        </w:rPr>
        <w:t>References</w:t>
      </w:r>
    </w:p>
    <w:p w:rsidR="00ED5BBC" w:rsidRPr="00215D6B" w:rsidRDefault="00ED5BBC" w:rsidP="00215D6B">
      <w:pPr>
        <w:pStyle w:val="desc2"/>
        <w:numPr>
          <w:ilvl w:val="0"/>
          <w:numId w:val="8"/>
        </w:numPr>
        <w:shd w:val="clear" w:color="auto" w:fill="FFFFFF"/>
        <w:snapToGrid w:val="0"/>
        <w:ind w:left="425" w:hanging="425"/>
        <w:jc w:val="both"/>
        <w:rPr>
          <w:sz w:val="20"/>
          <w:szCs w:val="20"/>
        </w:rPr>
      </w:pPr>
      <w:r w:rsidRPr="00215D6B">
        <w:rPr>
          <w:bCs/>
          <w:sz w:val="20"/>
          <w:szCs w:val="20"/>
        </w:rPr>
        <w:t xml:space="preserve">Patel DP, Brahmbhatt JN, Kothari RN, Kumar P, Solanki D, Sharma D. </w:t>
      </w:r>
      <w:r w:rsidRPr="00215D6B">
        <w:rPr>
          <w:sz w:val="20"/>
          <w:szCs w:val="20"/>
        </w:rPr>
        <w:t>Importance</w:t>
      </w:r>
      <w:r w:rsidR="006071F1">
        <w:rPr>
          <w:sz w:val="20"/>
          <w:szCs w:val="20"/>
        </w:rPr>
        <w:t xml:space="preserve"> </w:t>
      </w:r>
      <w:r w:rsidRPr="00215D6B">
        <w:rPr>
          <w:sz w:val="20"/>
          <w:szCs w:val="20"/>
        </w:rPr>
        <w:t>of pachymetry in diagnosis of open angle glaucoma. National Journal Of Medical Research 2013; 3: 216–218.</w:t>
      </w:r>
    </w:p>
    <w:p w:rsidR="00ED5BBC" w:rsidRPr="00215D6B" w:rsidRDefault="00ED5BBC" w:rsidP="00215D6B">
      <w:pPr>
        <w:pStyle w:val="desc2"/>
        <w:numPr>
          <w:ilvl w:val="0"/>
          <w:numId w:val="8"/>
        </w:numPr>
        <w:shd w:val="clear" w:color="auto" w:fill="FFFFFF"/>
        <w:snapToGrid w:val="0"/>
        <w:ind w:left="425" w:hanging="425"/>
        <w:jc w:val="both"/>
        <w:rPr>
          <w:sz w:val="20"/>
          <w:szCs w:val="20"/>
        </w:rPr>
      </w:pPr>
      <w:r w:rsidRPr="00215D6B">
        <w:rPr>
          <w:bCs/>
          <w:sz w:val="20"/>
          <w:szCs w:val="20"/>
        </w:rPr>
        <w:lastRenderedPageBreak/>
        <w:t>Okorie</w:t>
      </w:r>
      <w:r w:rsidR="006071F1">
        <w:rPr>
          <w:bCs/>
          <w:sz w:val="20"/>
          <w:szCs w:val="20"/>
        </w:rPr>
        <w:t xml:space="preserve"> </w:t>
      </w:r>
      <w:r w:rsidRPr="00215D6B">
        <w:rPr>
          <w:bCs/>
          <w:sz w:val="20"/>
          <w:szCs w:val="20"/>
        </w:rPr>
        <w:t xml:space="preserve">AY,Madu AA. </w:t>
      </w:r>
      <w:r w:rsidRPr="00215D6B">
        <w:rPr>
          <w:sz w:val="20"/>
          <w:szCs w:val="20"/>
        </w:rPr>
        <w:t>Diagnosis and treatment of primary congenital glaucoma.Eye Net, American Academy of Ophalmology 2010.</w:t>
      </w:r>
    </w:p>
    <w:p w:rsidR="00ED5BBC" w:rsidRPr="00215D6B" w:rsidRDefault="00ED5BBC" w:rsidP="00215D6B">
      <w:pPr>
        <w:pStyle w:val="desc2"/>
        <w:numPr>
          <w:ilvl w:val="0"/>
          <w:numId w:val="8"/>
        </w:numPr>
        <w:shd w:val="clear" w:color="auto" w:fill="FFFFFF"/>
        <w:snapToGrid w:val="0"/>
        <w:ind w:left="425" w:hanging="425"/>
        <w:jc w:val="both"/>
        <w:rPr>
          <w:bCs/>
          <w:sz w:val="20"/>
          <w:szCs w:val="20"/>
        </w:rPr>
      </w:pPr>
      <w:r w:rsidRPr="00215D6B">
        <w:rPr>
          <w:bCs/>
          <w:sz w:val="20"/>
          <w:szCs w:val="20"/>
        </w:rPr>
        <w:t xml:space="preserve">Bolivar G, Moreno-Arrones JP, Teus MA. </w:t>
      </w:r>
      <w:r w:rsidRPr="00215D6B">
        <w:rPr>
          <w:sz w:val="20"/>
          <w:szCs w:val="20"/>
        </w:rPr>
        <w:t>Cornea and Glaucoma.</w:t>
      </w:r>
      <w:r w:rsidR="00022EAD" w:rsidRPr="00215D6B">
        <w:rPr>
          <w:sz w:val="20"/>
          <w:szCs w:val="20"/>
        </w:rPr>
        <w:t xml:space="preserve"> </w:t>
      </w:r>
      <w:r w:rsidRPr="00215D6B">
        <w:rPr>
          <w:sz w:val="20"/>
          <w:szCs w:val="20"/>
        </w:rPr>
        <w:t>In Tech Journals (</w:t>
      </w:r>
      <w:r w:rsidRPr="00215D6B">
        <w:rPr>
          <w:rStyle w:val="refcomment"/>
          <w:sz w:val="20"/>
          <w:szCs w:val="20"/>
        </w:rPr>
        <w:t>Chapter</w:t>
      </w:r>
      <w:r w:rsidRPr="00215D6B">
        <w:rPr>
          <w:sz w:val="20"/>
          <w:szCs w:val="20"/>
        </w:rPr>
        <w:t xml:space="preserve"> 11) 2013.</w:t>
      </w:r>
    </w:p>
    <w:p w:rsidR="00ED5BBC" w:rsidRPr="00215D6B" w:rsidRDefault="00ED5BBC" w:rsidP="00215D6B">
      <w:pPr>
        <w:pStyle w:val="desc2"/>
        <w:numPr>
          <w:ilvl w:val="0"/>
          <w:numId w:val="8"/>
        </w:numPr>
        <w:shd w:val="clear" w:color="auto" w:fill="FFFFFF"/>
        <w:snapToGrid w:val="0"/>
        <w:ind w:left="425" w:hanging="425"/>
        <w:jc w:val="both"/>
        <w:rPr>
          <w:bCs/>
          <w:sz w:val="20"/>
          <w:szCs w:val="20"/>
        </w:rPr>
      </w:pPr>
      <w:r w:rsidRPr="00215D6B">
        <w:rPr>
          <w:bCs/>
          <w:sz w:val="20"/>
          <w:szCs w:val="20"/>
        </w:rPr>
        <w:t xml:space="preserve">Touboul D, Roberts C, Kerautret J, Garra C, Maurice-Tison S,Saubusse E. </w:t>
      </w:r>
      <w:r w:rsidRPr="00215D6B">
        <w:rPr>
          <w:sz w:val="20"/>
          <w:szCs w:val="20"/>
        </w:rPr>
        <w:t>Correlations between corneal hysteresis, intraocular pressure, and corneal central pachymetry. J Cataract Refract Surg 2008;34: 616–22.</w:t>
      </w:r>
    </w:p>
    <w:p w:rsidR="00ED5BBC" w:rsidRPr="00215D6B" w:rsidRDefault="00ED5BBC" w:rsidP="00215D6B">
      <w:pPr>
        <w:pStyle w:val="desc2"/>
        <w:numPr>
          <w:ilvl w:val="0"/>
          <w:numId w:val="8"/>
        </w:numPr>
        <w:shd w:val="clear" w:color="auto" w:fill="FFFFFF"/>
        <w:snapToGrid w:val="0"/>
        <w:ind w:left="425" w:hanging="425"/>
        <w:jc w:val="both"/>
        <w:rPr>
          <w:sz w:val="20"/>
          <w:szCs w:val="20"/>
        </w:rPr>
      </w:pPr>
      <w:r w:rsidRPr="00215D6B">
        <w:rPr>
          <w:bCs/>
          <w:sz w:val="20"/>
          <w:szCs w:val="20"/>
        </w:rPr>
        <w:t xml:space="preserve">Oberacher-Velten I, Prasser C, Lorenz B. </w:t>
      </w:r>
      <w:r w:rsidRPr="00215D6B">
        <w:rPr>
          <w:sz w:val="20"/>
          <w:szCs w:val="20"/>
        </w:rPr>
        <w:t>Evolution of central corneal thickness in children with congenital glaucoma requiring glaucoma surgery. Graefes Arch Clin</w:t>
      </w:r>
      <w:r w:rsidR="00022EAD" w:rsidRPr="00215D6B">
        <w:rPr>
          <w:sz w:val="20"/>
          <w:szCs w:val="20"/>
        </w:rPr>
        <w:t xml:space="preserve"> </w:t>
      </w:r>
      <w:r w:rsidRPr="00215D6B">
        <w:rPr>
          <w:sz w:val="20"/>
          <w:szCs w:val="20"/>
        </w:rPr>
        <w:t>Exp</w:t>
      </w:r>
      <w:r w:rsidR="00022EAD" w:rsidRPr="00215D6B">
        <w:rPr>
          <w:sz w:val="20"/>
          <w:szCs w:val="20"/>
        </w:rPr>
        <w:t xml:space="preserve"> </w:t>
      </w:r>
      <w:r w:rsidRPr="00215D6B">
        <w:rPr>
          <w:sz w:val="20"/>
          <w:szCs w:val="20"/>
        </w:rPr>
        <w:t>Ophthalmol 2008; 246: 397–403.</w:t>
      </w:r>
    </w:p>
    <w:p w:rsidR="00ED5BBC" w:rsidRPr="00215D6B" w:rsidRDefault="00ED5BBC" w:rsidP="00215D6B">
      <w:pPr>
        <w:pStyle w:val="desc2"/>
        <w:numPr>
          <w:ilvl w:val="0"/>
          <w:numId w:val="8"/>
        </w:numPr>
        <w:shd w:val="clear" w:color="auto" w:fill="FFFFFF"/>
        <w:snapToGrid w:val="0"/>
        <w:ind w:left="425" w:hanging="425"/>
        <w:jc w:val="both"/>
        <w:rPr>
          <w:bCs/>
          <w:sz w:val="20"/>
          <w:szCs w:val="20"/>
        </w:rPr>
      </w:pPr>
      <w:r w:rsidRPr="00215D6B">
        <w:rPr>
          <w:bCs/>
          <w:sz w:val="20"/>
          <w:szCs w:val="20"/>
        </w:rPr>
        <w:t xml:space="preserve">Fung DS, Roensch MA, Kooner KS, Cavanagh HD, Whitson JT. </w:t>
      </w:r>
      <w:r w:rsidRPr="00215D6B">
        <w:rPr>
          <w:sz w:val="20"/>
          <w:szCs w:val="20"/>
        </w:rPr>
        <w:t>Epidemiology and characteristics of childhood glaucoma: results from the Dallas Glaucoma Registry. Clinical Ophthalmology 2013; 7: 1739–1746.</w:t>
      </w:r>
    </w:p>
    <w:p w:rsidR="00ED5BBC" w:rsidRPr="00215D6B" w:rsidRDefault="00ED5BBC" w:rsidP="00215D6B">
      <w:pPr>
        <w:pStyle w:val="desc2"/>
        <w:numPr>
          <w:ilvl w:val="0"/>
          <w:numId w:val="8"/>
        </w:numPr>
        <w:shd w:val="clear" w:color="auto" w:fill="FFFFFF"/>
        <w:snapToGrid w:val="0"/>
        <w:ind w:left="425" w:hanging="425"/>
        <w:jc w:val="both"/>
        <w:rPr>
          <w:bCs/>
          <w:sz w:val="20"/>
          <w:szCs w:val="20"/>
        </w:rPr>
      </w:pPr>
      <w:r w:rsidRPr="00215D6B">
        <w:rPr>
          <w:bCs/>
          <w:sz w:val="20"/>
          <w:szCs w:val="20"/>
        </w:rPr>
        <w:t>Jordan JF, Dietlein TS, Dinslage S,Krieglstein GK.</w:t>
      </w:r>
      <w:r w:rsidR="00EA1DD9" w:rsidRPr="00215D6B">
        <w:rPr>
          <w:sz w:val="20"/>
          <w:szCs w:val="20"/>
        </w:rPr>
        <w:t xml:space="preserve"> </w:t>
      </w:r>
      <w:r w:rsidRPr="00215D6B">
        <w:rPr>
          <w:sz w:val="20"/>
          <w:szCs w:val="20"/>
        </w:rPr>
        <w:t>New aspects of corneal pachymetry in co</w:t>
      </w:r>
      <w:r w:rsidR="00EA1DD9" w:rsidRPr="00215D6B">
        <w:rPr>
          <w:sz w:val="20"/>
          <w:szCs w:val="20"/>
        </w:rPr>
        <w:t xml:space="preserve">ngenital glaucoma and pediatric aphakic </w:t>
      </w:r>
      <w:r w:rsidRPr="00215D6B">
        <w:rPr>
          <w:sz w:val="20"/>
          <w:szCs w:val="20"/>
        </w:rPr>
        <w:t>glaucoma.</w:t>
      </w:r>
      <w:r w:rsidR="00EA1DD9" w:rsidRPr="00215D6B">
        <w:rPr>
          <w:sz w:val="20"/>
          <w:szCs w:val="20"/>
        </w:rPr>
        <w:t xml:space="preserve"> </w:t>
      </w:r>
      <w:r w:rsidRPr="00215D6B">
        <w:rPr>
          <w:sz w:val="20"/>
          <w:szCs w:val="20"/>
        </w:rPr>
        <w:t>Klin</w:t>
      </w:r>
      <w:r w:rsidR="00EA1DD9" w:rsidRPr="00215D6B">
        <w:rPr>
          <w:sz w:val="20"/>
          <w:szCs w:val="20"/>
        </w:rPr>
        <w:t xml:space="preserve"> </w:t>
      </w:r>
      <w:r w:rsidRPr="00215D6B">
        <w:rPr>
          <w:sz w:val="20"/>
          <w:szCs w:val="20"/>
        </w:rPr>
        <w:t>Monatsbl</w:t>
      </w:r>
      <w:r w:rsidR="00EA1DD9" w:rsidRPr="00215D6B">
        <w:rPr>
          <w:sz w:val="20"/>
          <w:szCs w:val="20"/>
        </w:rPr>
        <w:t xml:space="preserve"> </w:t>
      </w:r>
      <w:r w:rsidRPr="00215D6B">
        <w:rPr>
          <w:sz w:val="20"/>
          <w:szCs w:val="20"/>
        </w:rPr>
        <w:t>Augenheilkd 2005; 222: 883–887.</w:t>
      </w:r>
    </w:p>
    <w:p w:rsidR="00ED5BBC" w:rsidRPr="00215D6B" w:rsidRDefault="00ED5BBC" w:rsidP="00215D6B">
      <w:pPr>
        <w:pStyle w:val="desc2"/>
        <w:numPr>
          <w:ilvl w:val="0"/>
          <w:numId w:val="8"/>
        </w:numPr>
        <w:shd w:val="clear" w:color="auto" w:fill="FFFFFF"/>
        <w:snapToGrid w:val="0"/>
        <w:ind w:left="425" w:hanging="425"/>
        <w:jc w:val="both"/>
        <w:rPr>
          <w:sz w:val="20"/>
          <w:szCs w:val="20"/>
        </w:rPr>
      </w:pPr>
      <w:r w:rsidRPr="00215D6B">
        <w:rPr>
          <w:bCs/>
          <w:sz w:val="20"/>
          <w:szCs w:val="20"/>
        </w:rPr>
        <w:lastRenderedPageBreak/>
        <w:t xml:space="preserve">Zhang X, Du S, Fan Q, Peng S, Yu M, Ge J. </w:t>
      </w:r>
      <w:r w:rsidRPr="00215D6B">
        <w:rPr>
          <w:sz w:val="20"/>
          <w:szCs w:val="20"/>
        </w:rPr>
        <w:t>Long-term surgical outcomes of primary congenital glaucoma in China. Clinics 2009; 64: 6.</w:t>
      </w:r>
    </w:p>
    <w:p w:rsidR="00ED5BBC" w:rsidRPr="00215D6B" w:rsidRDefault="00ED5BBC" w:rsidP="00215D6B">
      <w:pPr>
        <w:pStyle w:val="desc2"/>
        <w:numPr>
          <w:ilvl w:val="0"/>
          <w:numId w:val="8"/>
        </w:numPr>
        <w:shd w:val="clear" w:color="auto" w:fill="FFFFFF"/>
        <w:snapToGrid w:val="0"/>
        <w:ind w:left="425" w:hanging="425"/>
        <w:jc w:val="both"/>
        <w:rPr>
          <w:sz w:val="20"/>
          <w:szCs w:val="20"/>
        </w:rPr>
      </w:pPr>
      <w:r w:rsidRPr="00215D6B">
        <w:rPr>
          <w:bCs/>
          <w:sz w:val="20"/>
          <w:szCs w:val="20"/>
        </w:rPr>
        <w:t xml:space="preserve">Ross AH, Jackson TE, Wertheim MS, Spry PG, Sparrow JM, Diamond JP. </w:t>
      </w:r>
      <w:r w:rsidRPr="00215D6B">
        <w:rPr>
          <w:sz w:val="20"/>
          <w:szCs w:val="20"/>
        </w:rPr>
        <w:t>Analysis of the diurnal intraocular pressure profile pre and post trabeculectomy using 24-hour monitoring of intraocular pressure. Eur J Ophthalmol 2011; 21: 400-3.</w:t>
      </w:r>
    </w:p>
    <w:p w:rsidR="00ED5BBC" w:rsidRPr="00215D6B" w:rsidRDefault="00ED5BBC" w:rsidP="00215D6B">
      <w:pPr>
        <w:pStyle w:val="desc2"/>
        <w:numPr>
          <w:ilvl w:val="0"/>
          <w:numId w:val="8"/>
        </w:numPr>
        <w:shd w:val="clear" w:color="auto" w:fill="FFFFFF"/>
        <w:snapToGrid w:val="0"/>
        <w:ind w:left="425" w:hanging="425"/>
        <w:jc w:val="both"/>
        <w:rPr>
          <w:bCs/>
          <w:sz w:val="20"/>
          <w:szCs w:val="20"/>
        </w:rPr>
      </w:pPr>
      <w:r w:rsidRPr="00215D6B">
        <w:rPr>
          <w:bCs/>
          <w:sz w:val="20"/>
          <w:szCs w:val="20"/>
        </w:rPr>
        <w:t>Sator-Katzenschlager S, Deusch E, Dolezal S, Michalek-Sauberer A, Grubmüller R, Heinze G,</w:t>
      </w:r>
      <w:r w:rsidR="006071F1">
        <w:rPr>
          <w:bCs/>
          <w:sz w:val="20"/>
          <w:szCs w:val="20"/>
        </w:rPr>
        <w:t xml:space="preserve"> </w:t>
      </w:r>
      <w:r w:rsidRPr="00215D6B">
        <w:rPr>
          <w:bCs/>
          <w:sz w:val="20"/>
          <w:szCs w:val="20"/>
        </w:rPr>
        <w:t xml:space="preserve">Wedrich A. </w:t>
      </w:r>
      <w:r w:rsidRPr="00215D6B">
        <w:rPr>
          <w:sz w:val="20"/>
          <w:szCs w:val="20"/>
        </w:rPr>
        <w:t>Sevoflurane and propofol decrease intraocular pressure equally during non-ophthalmic surgery and recovery. Br J Anaesth</w:t>
      </w:r>
      <w:r w:rsidR="00F518CA" w:rsidRPr="00215D6B">
        <w:rPr>
          <w:sz w:val="20"/>
          <w:szCs w:val="20"/>
        </w:rPr>
        <w:t xml:space="preserve"> </w:t>
      </w:r>
      <w:r w:rsidRPr="00215D6B">
        <w:rPr>
          <w:sz w:val="20"/>
          <w:szCs w:val="20"/>
        </w:rPr>
        <w:t>2002; 89: 764–766.</w:t>
      </w:r>
    </w:p>
    <w:p w:rsidR="00ED5BBC" w:rsidRPr="00215D6B" w:rsidRDefault="00ED5BBC" w:rsidP="00215D6B">
      <w:pPr>
        <w:pStyle w:val="desc2"/>
        <w:numPr>
          <w:ilvl w:val="0"/>
          <w:numId w:val="8"/>
        </w:numPr>
        <w:shd w:val="clear" w:color="auto" w:fill="FFFFFF"/>
        <w:snapToGrid w:val="0"/>
        <w:ind w:left="425" w:hanging="425"/>
        <w:jc w:val="both"/>
        <w:rPr>
          <w:bCs/>
          <w:sz w:val="20"/>
          <w:szCs w:val="20"/>
        </w:rPr>
      </w:pPr>
      <w:r w:rsidRPr="00215D6B">
        <w:rPr>
          <w:bCs/>
          <w:sz w:val="20"/>
          <w:szCs w:val="20"/>
        </w:rPr>
        <w:t xml:space="preserve">Muir KW, Duncan L, Enyedi LB, Freedman SF. </w:t>
      </w:r>
      <w:r w:rsidRPr="00215D6B">
        <w:rPr>
          <w:sz w:val="20"/>
          <w:szCs w:val="20"/>
        </w:rPr>
        <w:t>Central corneal thickness in children: Racial differences (black vs white)</w:t>
      </w:r>
      <w:r w:rsidR="006071F1">
        <w:rPr>
          <w:rFonts w:eastAsiaTheme="minorEastAsia" w:hint="eastAsia"/>
          <w:sz w:val="20"/>
          <w:szCs w:val="20"/>
          <w:lang w:eastAsia="zh-CN"/>
        </w:rPr>
        <w:t xml:space="preserve"> </w:t>
      </w:r>
      <w:r w:rsidRPr="00215D6B">
        <w:rPr>
          <w:sz w:val="20"/>
          <w:szCs w:val="20"/>
        </w:rPr>
        <w:t>and correlation with measured intraocular pressure. J Glaucoma 2006; 15: 520–523.</w:t>
      </w:r>
    </w:p>
    <w:p w:rsidR="00407378" w:rsidRPr="006071F1" w:rsidRDefault="00ED5BBC" w:rsidP="00215D6B">
      <w:pPr>
        <w:numPr>
          <w:ilvl w:val="0"/>
          <w:numId w:val="8"/>
        </w:numPr>
        <w:bidi w:val="0"/>
        <w:snapToGrid w:val="0"/>
        <w:ind w:left="425" w:hanging="425"/>
        <w:jc w:val="both"/>
        <w:rPr>
          <w:sz w:val="20"/>
          <w:szCs w:val="20"/>
        </w:rPr>
      </w:pPr>
      <w:r w:rsidRPr="006071F1">
        <w:rPr>
          <w:bCs/>
          <w:sz w:val="20"/>
          <w:szCs w:val="20"/>
        </w:rPr>
        <w:t xml:space="preserve">Novak-Stroligo M, Alpeza-Dunato Z, Kovacevice D, Caljkusic-ManceT. </w:t>
      </w:r>
      <w:r w:rsidRPr="006071F1">
        <w:rPr>
          <w:sz w:val="20"/>
          <w:szCs w:val="20"/>
        </w:rPr>
        <w:t>Corneal Thickness in Congenital Glaucoma. Coll</w:t>
      </w:r>
      <w:r w:rsidR="00F518CA" w:rsidRPr="006071F1">
        <w:rPr>
          <w:sz w:val="20"/>
          <w:szCs w:val="20"/>
        </w:rPr>
        <w:t xml:space="preserve"> </w:t>
      </w:r>
      <w:r w:rsidRPr="006071F1">
        <w:rPr>
          <w:sz w:val="20"/>
          <w:szCs w:val="20"/>
        </w:rPr>
        <w:t>Antropol 2011; 35: 305–306.</w:t>
      </w:r>
      <w:r w:rsidR="006071F1" w:rsidRPr="006071F1">
        <w:rPr>
          <w:rFonts w:eastAsiaTheme="minorEastAsia" w:hint="eastAsia"/>
          <w:sz w:val="20"/>
          <w:szCs w:val="20"/>
          <w:lang w:eastAsia="zh-CN"/>
        </w:rPr>
        <w:t xml:space="preserve"> </w:t>
      </w:r>
    </w:p>
    <w:p w:rsidR="00215D6B" w:rsidRDefault="00215D6B" w:rsidP="00215D6B">
      <w:pPr>
        <w:bidi w:val="0"/>
        <w:snapToGrid w:val="0"/>
        <w:ind w:left="425" w:hanging="425"/>
        <w:jc w:val="both"/>
        <w:rPr>
          <w:sz w:val="20"/>
          <w:szCs w:val="20"/>
        </w:rPr>
        <w:sectPr w:rsidR="00215D6B" w:rsidSect="006071F1">
          <w:type w:val="continuous"/>
          <w:pgSz w:w="12242" w:h="15842" w:code="1"/>
          <w:pgMar w:top="1440" w:right="1440" w:bottom="1440" w:left="1440" w:header="720" w:footer="720" w:gutter="0"/>
          <w:cols w:num="2" w:space="576"/>
          <w:docGrid w:linePitch="360"/>
        </w:sectPr>
      </w:pPr>
    </w:p>
    <w:p w:rsidR="00EE0CA7" w:rsidRDefault="00EE0CA7" w:rsidP="00215D6B">
      <w:pPr>
        <w:bidi w:val="0"/>
        <w:snapToGrid w:val="0"/>
        <w:ind w:left="425" w:hanging="425"/>
        <w:jc w:val="both"/>
        <w:rPr>
          <w:rFonts w:eastAsiaTheme="minorEastAsia"/>
          <w:sz w:val="20"/>
          <w:szCs w:val="20"/>
          <w:lang w:eastAsia="zh-CN"/>
        </w:rPr>
      </w:pPr>
    </w:p>
    <w:p w:rsidR="00215D6B" w:rsidRDefault="00215D6B" w:rsidP="00215D6B">
      <w:pPr>
        <w:bidi w:val="0"/>
        <w:snapToGrid w:val="0"/>
        <w:ind w:left="425" w:hanging="425"/>
        <w:jc w:val="both"/>
        <w:rPr>
          <w:rFonts w:eastAsiaTheme="minorEastAsia"/>
          <w:sz w:val="20"/>
          <w:szCs w:val="20"/>
          <w:lang w:eastAsia="zh-CN"/>
        </w:rPr>
      </w:pPr>
    </w:p>
    <w:p w:rsidR="00215D6B" w:rsidRPr="00215D6B" w:rsidRDefault="00215D6B" w:rsidP="00215D6B">
      <w:pPr>
        <w:bidi w:val="0"/>
        <w:snapToGrid w:val="0"/>
        <w:ind w:left="425" w:hanging="425"/>
        <w:jc w:val="both"/>
        <w:rPr>
          <w:rFonts w:eastAsiaTheme="minorEastAsia"/>
          <w:sz w:val="20"/>
          <w:szCs w:val="20"/>
          <w:lang w:eastAsia="zh-CN"/>
        </w:rPr>
      </w:pPr>
    </w:p>
    <w:p w:rsidR="00407378" w:rsidRPr="001C0DBA" w:rsidRDefault="00EE0CA7" w:rsidP="00215D6B">
      <w:pPr>
        <w:bidi w:val="0"/>
        <w:snapToGrid w:val="0"/>
        <w:ind w:left="425" w:hanging="425"/>
        <w:jc w:val="both"/>
        <w:rPr>
          <w:sz w:val="20"/>
          <w:szCs w:val="20"/>
        </w:rPr>
      </w:pPr>
      <w:r w:rsidRPr="001C0DBA">
        <w:rPr>
          <w:sz w:val="20"/>
          <w:szCs w:val="20"/>
        </w:rPr>
        <w:t>6/13/2015</w:t>
      </w:r>
    </w:p>
    <w:sectPr w:rsidR="00407378" w:rsidRPr="001C0DBA" w:rsidSect="003653DC">
      <w:type w:val="continuous"/>
      <w:pgSz w:w="12242" w:h="15842" w:code="1"/>
      <w:pgMar w:top="1440" w:right="1440" w:bottom="1440" w:left="1440" w:header="720" w:footer="720" w:gutter="0"/>
      <w:cols w:space="708"/>
      <w:bidi/>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7689" w:rsidRDefault="00577689" w:rsidP="00C81D04">
      <w:r>
        <w:separator/>
      </w:r>
    </w:p>
  </w:endnote>
  <w:endnote w:type="continuationSeparator" w:id="0">
    <w:p w:rsidR="00577689" w:rsidRDefault="00577689" w:rsidP="00C81D0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SymbolMT">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0DBA" w:rsidRPr="00EE0CA7" w:rsidRDefault="00FD0C9B" w:rsidP="00EE0CA7">
    <w:pPr>
      <w:bidi w:val="0"/>
      <w:jc w:val="center"/>
      <w:rPr>
        <w:sz w:val="20"/>
      </w:rPr>
    </w:pPr>
    <w:r w:rsidRPr="00EE0CA7">
      <w:rPr>
        <w:sz w:val="20"/>
      </w:rPr>
      <w:fldChar w:fldCharType="begin"/>
    </w:r>
    <w:r w:rsidR="001C0DBA" w:rsidRPr="00EE0CA7">
      <w:rPr>
        <w:sz w:val="20"/>
      </w:rPr>
      <w:instrText xml:space="preserve"> page </w:instrText>
    </w:r>
    <w:r w:rsidRPr="00EE0CA7">
      <w:rPr>
        <w:sz w:val="20"/>
      </w:rPr>
      <w:fldChar w:fldCharType="separate"/>
    </w:r>
    <w:r w:rsidR="009F1BAE">
      <w:rPr>
        <w:noProof/>
        <w:sz w:val="20"/>
      </w:rPr>
      <w:t>83</w:t>
    </w:r>
    <w:r w:rsidRPr="00EE0CA7">
      <w:rPr>
        <w:sz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7378" w:rsidRPr="00EE0CA7" w:rsidRDefault="00FD0C9B" w:rsidP="00EE0CA7">
    <w:pPr>
      <w:bidi w:val="0"/>
      <w:jc w:val="center"/>
      <w:rPr>
        <w:sz w:val="20"/>
      </w:rPr>
    </w:pPr>
    <w:r w:rsidRPr="00EE0CA7">
      <w:rPr>
        <w:sz w:val="20"/>
      </w:rPr>
      <w:fldChar w:fldCharType="begin"/>
    </w:r>
    <w:r w:rsidR="00EE0CA7" w:rsidRPr="00EE0CA7">
      <w:rPr>
        <w:sz w:val="20"/>
      </w:rPr>
      <w:instrText xml:space="preserve"> page </w:instrText>
    </w:r>
    <w:r w:rsidRPr="00EE0CA7">
      <w:rPr>
        <w:sz w:val="20"/>
      </w:rPr>
      <w:fldChar w:fldCharType="separate"/>
    </w:r>
    <w:r w:rsidR="009F1BAE">
      <w:rPr>
        <w:noProof/>
        <w:sz w:val="20"/>
      </w:rPr>
      <w:t>87</w:t>
    </w:r>
    <w:r w:rsidRPr="00EE0CA7">
      <w:rPr>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7689" w:rsidRDefault="00577689" w:rsidP="00C81D04">
      <w:r>
        <w:separator/>
      </w:r>
    </w:p>
  </w:footnote>
  <w:footnote w:type="continuationSeparator" w:id="0">
    <w:p w:rsidR="00577689" w:rsidRDefault="00577689" w:rsidP="00C81D0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0DBA" w:rsidRPr="00EE0CA7" w:rsidRDefault="001C0DBA" w:rsidP="00EE0CA7">
    <w:pPr>
      <w:pBdr>
        <w:bottom w:val="thinThickMediumGap" w:sz="12" w:space="1" w:color="auto"/>
      </w:pBdr>
      <w:tabs>
        <w:tab w:val="left" w:pos="851"/>
        <w:tab w:val="right" w:pos="8364"/>
      </w:tabs>
      <w:bidi w:val="0"/>
      <w:adjustRightInd w:val="0"/>
      <w:snapToGrid w:val="0"/>
      <w:jc w:val="both"/>
      <w:rPr>
        <w:sz w:val="20"/>
        <w:szCs w:val="20"/>
      </w:rPr>
    </w:pPr>
    <w:r w:rsidRPr="00EE0CA7">
      <w:rPr>
        <w:rFonts w:hint="eastAsia"/>
        <w:iCs/>
        <w:color w:val="000000"/>
        <w:sz w:val="20"/>
        <w:szCs w:val="20"/>
      </w:rPr>
      <w:tab/>
    </w:r>
    <w:r w:rsidRPr="00EE0CA7">
      <w:rPr>
        <w:sz w:val="20"/>
        <w:szCs w:val="20"/>
      </w:rPr>
      <w:t>Nature and Science 201</w:t>
    </w:r>
    <w:r w:rsidRPr="00EE0CA7">
      <w:rPr>
        <w:rFonts w:hint="eastAsia"/>
        <w:sz w:val="20"/>
        <w:szCs w:val="20"/>
      </w:rPr>
      <w:t>5</w:t>
    </w:r>
    <w:r w:rsidRPr="00EE0CA7">
      <w:rPr>
        <w:sz w:val="20"/>
        <w:szCs w:val="20"/>
      </w:rPr>
      <w:t>;1</w:t>
    </w:r>
    <w:r w:rsidRPr="00EE0CA7">
      <w:rPr>
        <w:rFonts w:hint="eastAsia"/>
        <w:sz w:val="20"/>
        <w:szCs w:val="20"/>
      </w:rPr>
      <w:t>3</w:t>
    </w:r>
    <w:r w:rsidRPr="00EE0CA7">
      <w:rPr>
        <w:sz w:val="20"/>
        <w:szCs w:val="20"/>
      </w:rPr>
      <w:t>(</w:t>
    </w:r>
    <w:r w:rsidRPr="00EE0CA7">
      <w:rPr>
        <w:rFonts w:hint="eastAsia"/>
        <w:sz w:val="20"/>
        <w:szCs w:val="20"/>
      </w:rPr>
      <w:t>7)</w:t>
    </w:r>
    <w:r w:rsidRPr="00EE0CA7">
      <w:rPr>
        <w:color w:val="000000"/>
        <w:sz w:val="20"/>
        <w:szCs w:val="20"/>
      </w:rPr>
      <w:t xml:space="preserve"> </w:t>
    </w:r>
    <w:r w:rsidRPr="00EE0CA7">
      <w:rPr>
        <w:rFonts w:hint="eastAsia"/>
        <w:color w:val="000000"/>
        <w:sz w:val="20"/>
        <w:szCs w:val="20"/>
      </w:rPr>
      <w:tab/>
    </w:r>
    <w:r w:rsidRPr="00EE0CA7">
      <w:rPr>
        <w:color w:val="000000"/>
        <w:sz w:val="20"/>
        <w:szCs w:val="20"/>
      </w:rPr>
      <w:t xml:space="preserve"> </w:t>
    </w:r>
    <w:hyperlink r:id="rId1" w:history="1">
      <w:r w:rsidRPr="00EE0CA7">
        <w:rPr>
          <w:rStyle w:val="Hyperlink"/>
          <w:sz w:val="20"/>
          <w:szCs w:val="20"/>
        </w:rPr>
        <w:t>http://www.sciencepub.net/nature</w:t>
      </w:r>
    </w:hyperlink>
  </w:p>
  <w:p w:rsidR="001C0DBA" w:rsidRPr="00EE0CA7" w:rsidRDefault="001C0DBA" w:rsidP="00EE0CA7">
    <w:pPr>
      <w:tabs>
        <w:tab w:val="left" w:pos="851"/>
        <w:tab w:val="right" w:pos="8364"/>
      </w:tabs>
      <w:bidi w:val="0"/>
      <w:adjustRightInd w:val="0"/>
      <w:snapToGrid w:val="0"/>
      <w:jc w:val="both"/>
      <w:rPr>
        <w:sz w:val="20"/>
        <w:szCs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CA7" w:rsidRPr="00EE0CA7" w:rsidRDefault="00EE0CA7" w:rsidP="00EE0CA7">
    <w:pPr>
      <w:pBdr>
        <w:bottom w:val="thinThickMediumGap" w:sz="12" w:space="1" w:color="auto"/>
      </w:pBdr>
      <w:tabs>
        <w:tab w:val="left" w:pos="851"/>
        <w:tab w:val="right" w:pos="8364"/>
      </w:tabs>
      <w:bidi w:val="0"/>
      <w:adjustRightInd w:val="0"/>
      <w:snapToGrid w:val="0"/>
      <w:jc w:val="both"/>
      <w:rPr>
        <w:sz w:val="20"/>
        <w:szCs w:val="20"/>
      </w:rPr>
    </w:pPr>
    <w:r w:rsidRPr="00EE0CA7">
      <w:rPr>
        <w:rFonts w:hint="eastAsia"/>
        <w:iCs/>
        <w:color w:val="000000"/>
        <w:sz w:val="20"/>
        <w:szCs w:val="20"/>
      </w:rPr>
      <w:tab/>
    </w:r>
    <w:r w:rsidRPr="00EE0CA7">
      <w:rPr>
        <w:sz w:val="20"/>
        <w:szCs w:val="20"/>
      </w:rPr>
      <w:t>Nature and Science 201</w:t>
    </w:r>
    <w:r w:rsidRPr="00EE0CA7">
      <w:rPr>
        <w:rFonts w:hint="eastAsia"/>
        <w:sz w:val="20"/>
        <w:szCs w:val="20"/>
      </w:rPr>
      <w:t>5</w:t>
    </w:r>
    <w:r w:rsidRPr="00EE0CA7">
      <w:rPr>
        <w:sz w:val="20"/>
        <w:szCs w:val="20"/>
      </w:rPr>
      <w:t>;1</w:t>
    </w:r>
    <w:r w:rsidRPr="00EE0CA7">
      <w:rPr>
        <w:rFonts w:hint="eastAsia"/>
        <w:sz w:val="20"/>
        <w:szCs w:val="20"/>
      </w:rPr>
      <w:t>3</w:t>
    </w:r>
    <w:r w:rsidRPr="00EE0CA7">
      <w:rPr>
        <w:sz w:val="20"/>
        <w:szCs w:val="20"/>
      </w:rPr>
      <w:t>(</w:t>
    </w:r>
    <w:r w:rsidRPr="00EE0CA7">
      <w:rPr>
        <w:rFonts w:hint="eastAsia"/>
        <w:sz w:val="20"/>
        <w:szCs w:val="20"/>
      </w:rPr>
      <w:t>7)</w:t>
    </w:r>
    <w:r w:rsidRPr="00EE0CA7">
      <w:rPr>
        <w:color w:val="000000"/>
        <w:sz w:val="20"/>
        <w:szCs w:val="20"/>
      </w:rPr>
      <w:t xml:space="preserve"> </w:t>
    </w:r>
    <w:r w:rsidRPr="00EE0CA7">
      <w:rPr>
        <w:rFonts w:hint="eastAsia"/>
        <w:color w:val="000000"/>
        <w:sz w:val="20"/>
        <w:szCs w:val="20"/>
      </w:rPr>
      <w:tab/>
    </w:r>
    <w:r w:rsidRPr="00EE0CA7">
      <w:rPr>
        <w:color w:val="000000"/>
        <w:sz w:val="20"/>
        <w:szCs w:val="20"/>
      </w:rPr>
      <w:t xml:space="preserve"> </w:t>
    </w:r>
    <w:hyperlink r:id="rId1" w:history="1">
      <w:r w:rsidRPr="00EE0CA7">
        <w:rPr>
          <w:rStyle w:val="Hyperlink"/>
          <w:sz w:val="20"/>
          <w:szCs w:val="20"/>
        </w:rPr>
        <w:t>http://www.sciencepub.net/nature</w:t>
      </w:r>
    </w:hyperlink>
  </w:p>
  <w:p w:rsidR="00EE0CA7" w:rsidRPr="00EE0CA7" w:rsidRDefault="00EE0CA7" w:rsidP="00EE0CA7">
    <w:pPr>
      <w:tabs>
        <w:tab w:val="left" w:pos="851"/>
        <w:tab w:val="right" w:pos="8364"/>
      </w:tabs>
      <w:bidi w:val="0"/>
      <w:adjustRightInd w:val="0"/>
      <w:snapToGrid w:val="0"/>
      <w:jc w:val="both"/>
      <w:rPr>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96437"/>
    <w:multiLevelType w:val="hybridMultilevel"/>
    <w:tmpl w:val="AC12C1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127070"/>
    <w:multiLevelType w:val="hybridMultilevel"/>
    <w:tmpl w:val="B6BA81C4"/>
    <w:lvl w:ilvl="0" w:tplc="DD185DBC">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29F2471"/>
    <w:multiLevelType w:val="hybridMultilevel"/>
    <w:tmpl w:val="5950B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34F5114"/>
    <w:multiLevelType w:val="hybridMultilevel"/>
    <w:tmpl w:val="45E28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8562144"/>
    <w:multiLevelType w:val="hybridMultilevel"/>
    <w:tmpl w:val="FC52A1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4487873"/>
    <w:multiLevelType w:val="hybridMultilevel"/>
    <w:tmpl w:val="982C54AA"/>
    <w:lvl w:ilvl="0" w:tplc="4F4ECDF2">
      <w:start w:val="1"/>
      <w:numFmt w:val="bullet"/>
      <w:lvlText w:val=""/>
      <w:lvlJc w:val="left"/>
      <w:pPr>
        <w:ind w:left="720" w:hanging="360"/>
      </w:pPr>
      <w:rPr>
        <w:rFonts w:ascii="Symbol" w:hAnsi="Symbol" w:hint="default"/>
        <w:sz w:val="2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8230DAC"/>
    <w:multiLevelType w:val="hybridMultilevel"/>
    <w:tmpl w:val="9AB46196"/>
    <w:lvl w:ilvl="0" w:tplc="C6E2444C">
      <w:start w:val="1"/>
      <w:numFmt w:val="upperLetter"/>
      <w:lvlText w:val="(%1)"/>
      <w:lvlJc w:val="left"/>
      <w:pPr>
        <w:ind w:left="750" w:hanging="390"/>
      </w:pPr>
      <w:rPr>
        <w:rFonts w:ascii="Times New Roman" w:eastAsia="Times New Roman" w:hAnsi="Times New Roman"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7626609B"/>
    <w:multiLevelType w:val="hybridMultilevel"/>
    <w:tmpl w:val="ABCAEBE0"/>
    <w:lvl w:ilvl="0" w:tplc="B4E06DDA">
      <w:start w:val="1"/>
      <w:numFmt w:val="decimal"/>
      <w:lvlText w:val="%1."/>
      <w:lvlJc w:val="left"/>
      <w:pPr>
        <w:ind w:left="786" w:hanging="360"/>
      </w:pPr>
      <w:rPr>
        <w:rFonts w:cs="Times New Roman" w:hint="default"/>
        <w:b/>
        <w:bCs/>
        <w:sz w:val="28"/>
        <w:szCs w:val="28"/>
      </w:rPr>
    </w:lvl>
    <w:lvl w:ilvl="1" w:tplc="04090019" w:tentative="1">
      <w:start w:val="1"/>
      <w:numFmt w:val="lowerLetter"/>
      <w:lvlText w:val="%2."/>
      <w:lvlJc w:val="left"/>
      <w:pPr>
        <w:ind w:left="1506" w:hanging="360"/>
      </w:pPr>
      <w:rPr>
        <w:rFonts w:cs="Times New Roman"/>
      </w:rPr>
    </w:lvl>
    <w:lvl w:ilvl="2" w:tplc="0409001B" w:tentative="1">
      <w:start w:val="1"/>
      <w:numFmt w:val="lowerRoman"/>
      <w:lvlText w:val="%3."/>
      <w:lvlJc w:val="right"/>
      <w:pPr>
        <w:ind w:left="2226" w:hanging="180"/>
      </w:pPr>
      <w:rPr>
        <w:rFonts w:cs="Times New Roman"/>
      </w:rPr>
    </w:lvl>
    <w:lvl w:ilvl="3" w:tplc="0409000F" w:tentative="1">
      <w:start w:val="1"/>
      <w:numFmt w:val="decimal"/>
      <w:lvlText w:val="%4."/>
      <w:lvlJc w:val="left"/>
      <w:pPr>
        <w:ind w:left="2946" w:hanging="360"/>
      </w:pPr>
      <w:rPr>
        <w:rFonts w:cs="Times New Roman"/>
      </w:rPr>
    </w:lvl>
    <w:lvl w:ilvl="4" w:tplc="04090019" w:tentative="1">
      <w:start w:val="1"/>
      <w:numFmt w:val="lowerLetter"/>
      <w:lvlText w:val="%5."/>
      <w:lvlJc w:val="left"/>
      <w:pPr>
        <w:ind w:left="3666" w:hanging="360"/>
      </w:pPr>
      <w:rPr>
        <w:rFonts w:cs="Times New Roman"/>
      </w:rPr>
    </w:lvl>
    <w:lvl w:ilvl="5" w:tplc="0409001B" w:tentative="1">
      <w:start w:val="1"/>
      <w:numFmt w:val="lowerRoman"/>
      <w:lvlText w:val="%6."/>
      <w:lvlJc w:val="right"/>
      <w:pPr>
        <w:ind w:left="4386" w:hanging="180"/>
      </w:pPr>
      <w:rPr>
        <w:rFonts w:cs="Times New Roman"/>
      </w:rPr>
    </w:lvl>
    <w:lvl w:ilvl="6" w:tplc="0409000F" w:tentative="1">
      <w:start w:val="1"/>
      <w:numFmt w:val="decimal"/>
      <w:lvlText w:val="%7."/>
      <w:lvlJc w:val="left"/>
      <w:pPr>
        <w:ind w:left="5106" w:hanging="360"/>
      </w:pPr>
      <w:rPr>
        <w:rFonts w:cs="Times New Roman"/>
      </w:rPr>
    </w:lvl>
    <w:lvl w:ilvl="7" w:tplc="04090019" w:tentative="1">
      <w:start w:val="1"/>
      <w:numFmt w:val="lowerLetter"/>
      <w:lvlText w:val="%8."/>
      <w:lvlJc w:val="left"/>
      <w:pPr>
        <w:ind w:left="5826" w:hanging="360"/>
      </w:pPr>
      <w:rPr>
        <w:rFonts w:cs="Times New Roman"/>
      </w:rPr>
    </w:lvl>
    <w:lvl w:ilvl="8" w:tplc="0409001B" w:tentative="1">
      <w:start w:val="1"/>
      <w:numFmt w:val="lowerRoman"/>
      <w:lvlText w:val="%9."/>
      <w:lvlJc w:val="right"/>
      <w:pPr>
        <w:ind w:left="6546" w:hanging="180"/>
      </w:pPr>
      <w:rPr>
        <w:rFonts w:cs="Times New Roman"/>
      </w:rPr>
    </w:lvl>
  </w:abstractNum>
  <w:num w:numId="1">
    <w:abstractNumId w:val="7"/>
  </w:num>
  <w:num w:numId="2">
    <w:abstractNumId w:val="3"/>
  </w:num>
  <w:num w:numId="3">
    <w:abstractNumId w:val="0"/>
  </w:num>
  <w:num w:numId="4">
    <w:abstractNumId w:val="4"/>
  </w:num>
  <w:num w:numId="5">
    <w:abstractNumId w:val="5"/>
  </w:num>
  <w:num w:numId="6">
    <w:abstractNumId w:val="6"/>
  </w:num>
  <w:num w:numId="7">
    <w:abstractNumId w:val="2"/>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ocumentProtection w:edit="readOnly" w:enforcement="0"/>
  <w:defaultTabStop w:val="720"/>
  <w:drawingGridHorizontalSpacing w:val="120"/>
  <w:displayHorizontalDrawingGridEvery w:val="2"/>
  <w:characterSpacingControl w:val="doNotCompress"/>
  <w:hdrShapeDefaults>
    <o:shapedefaults v:ext="edit" spidmax="21505"/>
  </w:hdrShapeDefaults>
  <w:footnotePr>
    <w:footnote w:id="-1"/>
    <w:footnote w:id="0"/>
  </w:footnotePr>
  <w:endnotePr>
    <w:endnote w:id="-1"/>
    <w:endnote w:id="0"/>
  </w:endnotePr>
  <w:compat>
    <w:useFELayout/>
  </w:compat>
  <w:rsids>
    <w:rsidRoot w:val="007B2038"/>
    <w:rsid w:val="00004ECF"/>
    <w:rsid w:val="000076F6"/>
    <w:rsid w:val="00007D9E"/>
    <w:rsid w:val="00012E01"/>
    <w:rsid w:val="00022AEA"/>
    <w:rsid w:val="00022EAD"/>
    <w:rsid w:val="00024D38"/>
    <w:rsid w:val="00037E0E"/>
    <w:rsid w:val="00037F6B"/>
    <w:rsid w:val="00043504"/>
    <w:rsid w:val="00053074"/>
    <w:rsid w:val="00071E6F"/>
    <w:rsid w:val="00081450"/>
    <w:rsid w:val="000B1489"/>
    <w:rsid w:val="000B2838"/>
    <w:rsid w:val="000B51E5"/>
    <w:rsid w:val="000C5BA6"/>
    <w:rsid w:val="000D5E2D"/>
    <w:rsid w:val="000D7C36"/>
    <w:rsid w:val="000E333B"/>
    <w:rsid w:val="000F266C"/>
    <w:rsid w:val="000F3920"/>
    <w:rsid w:val="000F5BA3"/>
    <w:rsid w:val="000F670A"/>
    <w:rsid w:val="00113E7B"/>
    <w:rsid w:val="0012320C"/>
    <w:rsid w:val="00133F56"/>
    <w:rsid w:val="00141457"/>
    <w:rsid w:val="001443E1"/>
    <w:rsid w:val="00144995"/>
    <w:rsid w:val="001834C1"/>
    <w:rsid w:val="00195FC9"/>
    <w:rsid w:val="001A15DB"/>
    <w:rsid w:val="001A32BE"/>
    <w:rsid w:val="001B29DB"/>
    <w:rsid w:val="001B72EE"/>
    <w:rsid w:val="001C0DBA"/>
    <w:rsid w:val="001C36FE"/>
    <w:rsid w:val="001D1AFD"/>
    <w:rsid w:val="001D2593"/>
    <w:rsid w:val="001E0CC0"/>
    <w:rsid w:val="001E37A4"/>
    <w:rsid w:val="002006DE"/>
    <w:rsid w:val="0020685C"/>
    <w:rsid w:val="0021163F"/>
    <w:rsid w:val="00215D6B"/>
    <w:rsid w:val="00237C0C"/>
    <w:rsid w:val="0024729A"/>
    <w:rsid w:val="0027604A"/>
    <w:rsid w:val="00292F62"/>
    <w:rsid w:val="002A33F6"/>
    <w:rsid w:val="002B4B0A"/>
    <w:rsid w:val="002D0C8A"/>
    <w:rsid w:val="002D4D06"/>
    <w:rsid w:val="002D5FF7"/>
    <w:rsid w:val="002E5CDE"/>
    <w:rsid w:val="002F2495"/>
    <w:rsid w:val="002F5FA8"/>
    <w:rsid w:val="00326090"/>
    <w:rsid w:val="00337C39"/>
    <w:rsid w:val="003415F0"/>
    <w:rsid w:val="003653DC"/>
    <w:rsid w:val="00376569"/>
    <w:rsid w:val="0038505F"/>
    <w:rsid w:val="003870BF"/>
    <w:rsid w:val="00391C14"/>
    <w:rsid w:val="003B64F7"/>
    <w:rsid w:val="003C6850"/>
    <w:rsid w:val="003F2CEE"/>
    <w:rsid w:val="003F42A6"/>
    <w:rsid w:val="00407378"/>
    <w:rsid w:val="004119DE"/>
    <w:rsid w:val="004272AB"/>
    <w:rsid w:val="00453DD0"/>
    <w:rsid w:val="00481F94"/>
    <w:rsid w:val="004A0980"/>
    <w:rsid w:val="004F2EC8"/>
    <w:rsid w:val="00511296"/>
    <w:rsid w:val="005374CA"/>
    <w:rsid w:val="005456D0"/>
    <w:rsid w:val="00557B83"/>
    <w:rsid w:val="00577689"/>
    <w:rsid w:val="00577D99"/>
    <w:rsid w:val="005861D6"/>
    <w:rsid w:val="00586897"/>
    <w:rsid w:val="005C646E"/>
    <w:rsid w:val="005E28C2"/>
    <w:rsid w:val="006071F1"/>
    <w:rsid w:val="0061003D"/>
    <w:rsid w:val="00641BA9"/>
    <w:rsid w:val="00647B54"/>
    <w:rsid w:val="00674C7B"/>
    <w:rsid w:val="006767A8"/>
    <w:rsid w:val="00680F00"/>
    <w:rsid w:val="006852B0"/>
    <w:rsid w:val="00695189"/>
    <w:rsid w:val="006A4399"/>
    <w:rsid w:val="006B0E3B"/>
    <w:rsid w:val="006D17F9"/>
    <w:rsid w:val="006D7F00"/>
    <w:rsid w:val="006E7250"/>
    <w:rsid w:val="006F1835"/>
    <w:rsid w:val="007330A9"/>
    <w:rsid w:val="00733738"/>
    <w:rsid w:val="0073461D"/>
    <w:rsid w:val="00773991"/>
    <w:rsid w:val="00781199"/>
    <w:rsid w:val="00786D8C"/>
    <w:rsid w:val="00787C20"/>
    <w:rsid w:val="00792DE9"/>
    <w:rsid w:val="00796A78"/>
    <w:rsid w:val="007A6BD7"/>
    <w:rsid w:val="007B03D5"/>
    <w:rsid w:val="007B2038"/>
    <w:rsid w:val="007B71E6"/>
    <w:rsid w:val="007C7344"/>
    <w:rsid w:val="007D1F3A"/>
    <w:rsid w:val="00803719"/>
    <w:rsid w:val="00827E5A"/>
    <w:rsid w:val="00842D1E"/>
    <w:rsid w:val="0084474B"/>
    <w:rsid w:val="00850F1E"/>
    <w:rsid w:val="00875171"/>
    <w:rsid w:val="008759AE"/>
    <w:rsid w:val="0087626E"/>
    <w:rsid w:val="00877A54"/>
    <w:rsid w:val="0089515B"/>
    <w:rsid w:val="008A324A"/>
    <w:rsid w:val="008A4F35"/>
    <w:rsid w:val="008D4993"/>
    <w:rsid w:val="008F54E3"/>
    <w:rsid w:val="008F6F9C"/>
    <w:rsid w:val="00905F99"/>
    <w:rsid w:val="00917AC1"/>
    <w:rsid w:val="00925149"/>
    <w:rsid w:val="00926077"/>
    <w:rsid w:val="009350AC"/>
    <w:rsid w:val="0094743B"/>
    <w:rsid w:val="00951C4B"/>
    <w:rsid w:val="0096281F"/>
    <w:rsid w:val="00966BF6"/>
    <w:rsid w:val="00972AF1"/>
    <w:rsid w:val="00994D60"/>
    <w:rsid w:val="0099712F"/>
    <w:rsid w:val="00997D89"/>
    <w:rsid w:val="009B386C"/>
    <w:rsid w:val="009B5593"/>
    <w:rsid w:val="009B7D5B"/>
    <w:rsid w:val="009C0EA5"/>
    <w:rsid w:val="009C426B"/>
    <w:rsid w:val="009D6CB4"/>
    <w:rsid w:val="009F1BAE"/>
    <w:rsid w:val="009F7ECA"/>
    <w:rsid w:val="00A0442F"/>
    <w:rsid w:val="00A32F99"/>
    <w:rsid w:val="00A354EB"/>
    <w:rsid w:val="00A4180D"/>
    <w:rsid w:val="00A439D7"/>
    <w:rsid w:val="00A52462"/>
    <w:rsid w:val="00A628D1"/>
    <w:rsid w:val="00A629D4"/>
    <w:rsid w:val="00A656EB"/>
    <w:rsid w:val="00A713FF"/>
    <w:rsid w:val="00A72E4C"/>
    <w:rsid w:val="00A8154A"/>
    <w:rsid w:val="00A84DE7"/>
    <w:rsid w:val="00A96441"/>
    <w:rsid w:val="00A97223"/>
    <w:rsid w:val="00AC1A3F"/>
    <w:rsid w:val="00AD5640"/>
    <w:rsid w:val="00AD586C"/>
    <w:rsid w:val="00B00FAE"/>
    <w:rsid w:val="00B32B92"/>
    <w:rsid w:val="00B41CAA"/>
    <w:rsid w:val="00B533C7"/>
    <w:rsid w:val="00B65327"/>
    <w:rsid w:val="00B65496"/>
    <w:rsid w:val="00B74458"/>
    <w:rsid w:val="00B84B31"/>
    <w:rsid w:val="00B96CBA"/>
    <w:rsid w:val="00BA0BB7"/>
    <w:rsid w:val="00BB03C2"/>
    <w:rsid w:val="00BB1D74"/>
    <w:rsid w:val="00BB2DC9"/>
    <w:rsid w:val="00BD3DD9"/>
    <w:rsid w:val="00BE553A"/>
    <w:rsid w:val="00BE60CB"/>
    <w:rsid w:val="00C06A78"/>
    <w:rsid w:val="00C126A3"/>
    <w:rsid w:val="00C37A23"/>
    <w:rsid w:val="00C37CA6"/>
    <w:rsid w:val="00C417B5"/>
    <w:rsid w:val="00C438CC"/>
    <w:rsid w:val="00C4566A"/>
    <w:rsid w:val="00C539A9"/>
    <w:rsid w:val="00C559FE"/>
    <w:rsid w:val="00C6404B"/>
    <w:rsid w:val="00C646B0"/>
    <w:rsid w:val="00C716A3"/>
    <w:rsid w:val="00C813AD"/>
    <w:rsid w:val="00C81D04"/>
    <w:rsid w:val="00C85DCC"/>
    <w:rsid w:val="00C872EB"/>
    <w:rsid w:val="00C96D22"/>
    <w:rsid w:val="00CC4F63"/>
    <w:rsid w:val="00CC6498"/>
    <w:rsid w:val="00CE3933"/>
    <w:rsid w:val="00D12DBF"/>
    <w:rsid w:val="00D17714"/>
    <w:rsid w:val="00D221BA"/>
    <w:rsid w:val="00D30CA0"/>
    <w:rsid w:val="00D33C9E"/>
    <w:rsid w:val="00D37DE0"/>
    <w:rsid w:val="00D60E90"/>
    <w:rsid w:val="00D60EFB"/>
    <w:rsid w:val="00D808AC"/>
    <w:rsid w:val="00D856CA"/>
    <w:rsid w:val="00D96539"/>
    <w:rsid w:val="00DA4141"/>
    <w:rsid w:val="00DA4609"/>
    <w:rsid w:val="00DD1C3D"/>
    <w:rsid w:val="00E32BEC"/>
    <w:rsid w:val="00E43481"/>
    <w:rsid w:val="00E5274E"/>
    <w:rsid w:val="00E672F4"/>
    <w:rsid w:val="00E863FE"/>
    <w:rsid w:val="00E93CC8"/>
    <w:rsid w:val="00EA1DD9"/>
    <w:rsid w:val="00EB28EC"/>
    <w:rsid w:val="00EB588E"/>
    <w:rsid w:val="00EB7CA7"/>
    <w:rsid w:val="00EC5E11"/>
    <w:rsid w:val="00ED17D8"/>
    <w:rsid w:val="00ED2D68"/>
    <w:rsid w:val="00ED5BBC"/>
    <w:rsid w:val="00ED62EF"/>
    <w:rsid w:val="00EE0CA7"/>
    <w:rsid w:val="00EE25A3"/>
    <w:rsid w:val="00F04DB4"/>
    <w:rsid w:val="00F24E4A"/>
    <w:rsid w:val="00F27F4E"/>
    <w:rsid w:val="00F438B3"/>
    <w:rsid w:val="00F43DDB"/>
    <w:rsid w:val="00F518CA"/>
    <w:rsid w:val="00F55377"/>
    <w:rsid w:val="00F93785"/>
    <w:rsid w:val="00FA0C8C"/>
    <w:rsid w:val="00FB0516"/>
    <w:rsid w:val="00FB1992"/>
    <w:rsid w:val="00FB39FA"/>
    <w:rsid w:val="00FB6CB5"/>
    <w:rsid w:val="00FC6073"/>
    <w:rsid w:val="00FD0C9B"/>
    <w:rsid w:val="00FE6147"/>
  </w:rsids>
  <m:mathPr>
    <m:mathFont m:val="Cambria Math"/>
    <m:brkBin m:val="before"/>
    <m:brkBinSub m:val="--"/>
    <m:smallFrac/>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150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SimSun" w:hAnsi="Calibri" w:cs="Arial"/>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2038"/>
    <w:pPr>
      <w:bidi/>
    </w:pPr>
    <w:rPr>
      <w:rFonts w:ascii="Times New Roman" w:eastAsia="Times New Roman" w:hAnsi="Times New Roman" w:cs="Times New Roman"/>
      <w:sz w:val="24"/>
      <w:szCs w:val="24"/>
      <w:lang w:eastAsia="en-US" w:bidi="ar-E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1B29DB"/>
    <w:pPr>
      <w:spacing w:after="200" w:line="276" w:lineRule="auto"/>
      <w:ind w:left="720"/>
      <w:contextualSpacing/>
    </w:pPr>
    <w:rPr>
      <w:rFonts w:ascii="Calibri" w:eastAsia="Calibri" w:hAnsi="Calibri" w:cs="Arial"/>
      <w:noProof/>
      <w:sz w:val="22"/>
      <w:szCs w:val="22"/>
      <w:lang w:bidi="ar-SA"/>
    </w:rPr>
  </w:style>
  <w:style w:type="paragraph" w:styleId="BalloonText">
    <w:name w:val="Balloon Text"/>
    <w:basedOn w:val="Normal"/>
    <w:link w:val="BalloonTextChar"/>
    <w:uiPriority w:val="99"/>
    <w:semiHidden/>
    <w:rsid w:val="00037F6B"/>
    <w:rPr>
      <w:rFonts w:ascii="Tahoma" w:eastAsia="SimSun" w:hAnsi="Tahoma" w:cs="Tahoma"/>
      <w:sz w:val="16"/>
      <w:szCs w:val="16"/>
    </w:rPr>
  </w:style>
  <w:style w:type="character" w:customStyle="1" w:styleId="BalloonTextChar">
    <w:name w:val="Balloon Text Char"/>
    <w:link w:val="BalloonText"/>
    <w:uiPriority w:val="99"/>
    <w:semiHidden/>
    <w:locked/>
    <w:rsid w:val="00037F6B"/>
    <w:rPr>
      <w:rFonts w:ascii="Tahoma" w:hAnsi="Tahoma" w:cs="Tahoma"/>
      <w:sz w:val="16"/>
      <w:szCs w:val="16"/>
      <w:lang w:bidi="ar-EG"/>
    </w:rPr>
  </w:style>
  <w:style w:type="paragraph" w:styleId="Header">
    <w:name w:val="header"/>
    <w:basedOn w:val="Normal"/>
    <w:link w:val="HeaderChar"/>
    <w:uiPriority w:val="99"/>
    <w:rsid w:val="00C81D04"/>
    <w:pPr>
      <w:tabs>
        <w:tab w:val="center" w:pos="4153"/>
        <w:tab w:val="right" w:pos="8306"/>
      </w:tabs>
    </w:pPr>
    <w:rPr>
      <w:rFonts w:eastAsia="SimSun"/>
    </w:rPr>
  </w:style>
  <w:style w:type="character" w:customStyle="1" w:styleId="HeaderChar">
    <w:name w:val="Header Char"/>
    <w:link w:val="Header"/>
    <w:uiPriority w:val="99"/>
    <w:locked/>
    <w:rsid w:val="00C81D04"/>
    <w:rPr>
      <w:rFonts w:ascii="Times New Roman" w:hAnsi="Times New Roman" w:cs="Times New Roman"/>
      <w:sz w:val="24"/>
      <w:szCs w:val="24"/>
      <w:lang w:bidi="ar-EG"/>
    </w:rPr>
  </w:style>
  <w:style w:type="paragraph" w:styleId="Footer">
    <w:name w:val="footer"/>
    <w:basedOn w:val="Normal"/>
    <w:link w:val="FooterChar"/>
    <w:uiPriority w:val="99"/>
    <w:rsid w:val="00C81D04"/>
    <w:pPr>
      <w:tabs>
        <w:tab w:val="center" w:pos="4153"/>
        <w:tab w:val="right" w:pos="8306"/>
      </w:tabs>
    </w:pPr>
    <w:rPr>
      <w:rFonts w:eastAsia="SimSun"/>
    </w:rPr>
  </w:style>
  <w:style w:type="character" w:customStyle="1" w:styleId="FooterChar">
    <w:name w:val="Footer Char"/>
    <w:link w:val="Footer"/>
    <w:uiPriority w:val="99"/>
    <w:locked/>
    <w:rsid w:val="00C81D04"/>
    <w:rPr>
      <w:rFonts w:ascii="Times New Roman" w:hAnsi="Times New Roman" w:cs="Times New Roman"/>
      <w:sz w:val="24"/>
      <w:szCs w:val="24"/>
      <w:lang w:bidi="ar-EG"/>
    </w:rPr>
  </w:style>
  <w:style w:type="character" w:styleId="Hyperlink">
    <w:name w:val="Hyperlink"/>
    <w:uiPriority w:val="99"/>
    <w:rsid w:val="000F266C"/>
    <w:rPr>
      <w:rFonts w:cs="Times New Roman"/>
      <w:color w:val="0000FF"/>
      <w:u w:val="single"/>
    </w:rPr>
  </w:style>
  <w:style w:type="paragraph" w:customStyle="1" w:styleId="desc2">
    <w:name w:val="desc2"/>
    <w:basedOn w:val="Normal"/>
    <w:uiPriority w:val="99"/>
    <w:rsid w:val="00043504"/>
    <w:pPr>
      <w:bidi w:val="0"/>
    </w:pPr>
    <w:rPr>
      <w:sz w:val="26"/>
      <w:szCs w:val="26"/>
      <w:lang w:bidi="ar-SA"/>
    </w:rPr>
  </w:style>
  <w:style w:type="character" w:customStyle="1" w:styleId="refcomment">
    <w:name w:val="refcomment"/>
    <w:uiPriority w:val="99"/>
    <w:rsid w:val="00E863FE"/>
    <w:rPr>
      <w:rFonts w:cs="Times New Roman"/>
    </w:rPr>
  </w:style>
  <w:style w:type="character" w:styleId="CommentReference">
    <w:name w:val="annotation reference"/>
    <w:uiPriority w:val="99"/>
    <w:semiHidden/>
    <w:unhideWhenUsed/>
    <w:rsid w:val="00733738"/>
    <w:rPr>
      <w:sz w:val="16"/>
      <w:szCs w:val="16"/>
    </w:rPr>
  </w:style>
  <w:style w:type="paragraph" w:styleId="CommentText">
    <w:name w:val="annotation text"/>
    <w:basedOn w:val="Normal"/>
    <w:link w:val="CommentTextChar"/>
    <w:uiPriority w:val="99"/>
    <w:semiHidden/>
    <w:unhideWhenUsed/>
    <w:rsid w:val="00733738"/>
    <w:rPr>
      <w:sz w:val="20"/>
      <w:szCs w:val="20"/>
    </w:rPr>
  </w:style>
  <w:style w:type="character" w:customStyle="1" w:styleId="CommentTextChar">
    <w:name w:val="Comment Text Char"/>
    <w:link w:val="CommentText"/>
    <w:uiPriority w:val="99"/>
    <w:semiHidden/>
    <w:rsid w:val="00733738"/>
    <w:rPr>
      <w:rFonts w:ascii="Times New Roman" w:eastAsia="Times New Roman" w:hAnsi="Times New Roman" w:cs="Times New Roman"/>
      <w:sz w:val="20"/>
      <w:szCs w:val="20"/>
      <w:lang w:bidi="ar-EG"/>
    </w:rPr>
  </w:style>
  <w:style w:type="paragraph" w:styleId="CommentSubject">
    <w:name w:val="annotation subject"/>
    <w:basedOn w:val="CommentText"/>
    <w:next w:val="CommentText"/>
    <w:link w:val="CommentSubjectChar"/>
    <w:uiPriority w:val="99"/>
    <w:semiHidden/>
    <w:unhideWhenUsed/>
    <w:rsid w:val="00733738"/>
    <w:rPr>
      <w:b/>
      <w:bCs/>
    </w:rPr>
  </w:style>
  <w:style w:type="character" w:customStyle="1" w:styleId="CommentSubjectChar">
    <w:name w:val="Comment Subject Char"/>
    <w:link w:val="CommentSubject"/>
    <w:uiPriority w:val="99"/>
    <w:semiHidden/>
    <w:rsid w:val="00733738"/>
    <w:rPr>
      <w:rFonts w:ascii="Times New Roman" w:eastAsia="Times New Roman" w:hAnsi="Times New Roman" w:cs="Times New Roman"/>
      <w:b/>
      <w:bCs/>
      <w:sz w:val="20"/>
      <w:szCs w:val="20"/>
      <w:lang w:bidi="ar-EG"/>
    </w:rPr>
  </w:style>
  <w:style w:type="paragraph" w:styleId="BodyText">
    <w:name w:val="Body Text"/>
    <w:basedOn w:val="Normal"/>
    <w:link w:val="BodyTextChar"/>
    <w:rsid w:val="00F438B3"/>
    <w:pPr>
      <w:suppressAutoHyphens/>
      <w:bidi w:val="0"/>
      <w:spacing w:line="360" w:lineRule="auto"/>
    </w:pPr>
    <w:rPr>
      <w:rFonts w:eastAsia="SimSun"/>
      <w:lang w:eastAsia="ar-SA" w:bidi="ar-SA"/>
    </w:rPr>
  </w:style>
  <w:style w:type="character" w:customStyle="1" w:styleId="BodyTextChar">
    <w:name w:val="Body Text Char"/>
    <w:link w:val="BodyText"/>
    <w:rsid w:val="00F438B3"/>
    <w:rPr>
      <w:rFonts w:ascii="Times New Roman" w:eastAsia="SimSun" w:hAnsi="Times New Roman" w:cs="Times New Roman"/>
      <w:sz w:val="24"/>
      <w:szCs w:val="24"/>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nature" TargetMode="External"/><Relationship Id="rId13" Type="http://schemas.openxmlformats.org/officeDocument/2006/relationships/image" Target="media/image1.png"/><Relationship Id="rId18" Type="http://schemas.openxmlformats.org/officeDocument/2006/relationships/hyperlink" Target="mailto:drdalianagy@yahoo.com" TargetMode="External"/><Relationship Id="rId3" Type="http://schemas.openxmlformats.org/officeDocument/2006/relationships/settings" Target="settings.xml"/><Relationship Id="rId7" Type="http://schemas.openxmlformats.org/officeDocument/2006/relationships/hyperlink" Target="mailto:drdalianagy@yahoo.com" TargetMode="External"/><Relationship Id="rId12" Type="http://schemas.openxmlformats.org/officeDocument/2006/relationships/footer" Target="footer2.xml"/><Relationship Id="rId17" Type="http://schemas.openxmlformats.org/officeDocument/2006/relationships/image" Target="media/image5.emf"/><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image" Target="media/image3.png"/><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2433</Words>
  <Characters>14145</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Correlation between central corneal thickness and intraocular pressure in children with congenital glaucoma</vt:lpstr>
    </vt:vector>
  </TitlesOfParts>
  <Company>微软中国</Company>
  <LinksUpToDate>false</LinksUpToDate>
  <CharactersWithSpaces>16545</CharactersWithSpaces>
  <SharedDoc>false</SharedDoc>
  <HLinks>
    <vt:vector size="24" baseType="variant">
      <vt:variant>
        <vt:i4>458806</vt:i4>
      </vt:variant>
      <vt:variant>
        <vt:i4>6</vt:i4>
      </vt:variant>
      <vt:variant>
        <vt:i4>0</vt:i4>
      </vt:variant>
      <vt:variant>
        <vt:i4>5</vt:i4>
      </vt:variant>
      <vt:variant>
        <vt:lpwstr>mailto:drdalianagy@yahoo.com</vt:lpwstr>
      </vt:variant>
      <vt:variant>
        <vt:lpwstr/>
      </vt:variant>
      <vt:variant>
        <vt:i4>5898325</vt:i4>
      </vt:variant>
      <vt:variant>
        <vt:i4>3</vt:i4>
      </vt:variant>
      <vt:variant>
        <vt:i4>0</vt:i4>
      </vt:variant>
      <vt:variant>
        <vt:i4>5</vt:i4>
      </vt:variant>
      <vt:variant>
        <vt:lpwstr>http://www.sciencepub.net/nature</vt:lpwstr>
      </vt:variant>
      <vt:variant>
        <vt:lpwstr/>
      </vt:variant>
      <vt:variant>
        <vt:i4>458806</vt:i4>
      </vt:variant>
      <vt:variant>
        <vt:i4>0</vt:i4>
      </vt:variant>
      <vt:variant>
        <vt:i4>0</vt:i4>
      </vt:variant>
      <vt:variant>
        <vt:i4>5</vt:i4>
      </vt:variant>
      <vt:variant>
        <vt:lpwstr>mailto:drdalianagy@yahoo.com</vt:lpwstr>
      </vt:variant>
      <vt:variant>
        <vt:lpwstr/>
      </vt:variant>
      <vt:variant>
        <vt:i4>5898325</vt:i4>
      </vt:variant>
      <vt:variant>
        <vt:i4>0</vt:i4>
      </vt:variant>
      <vt:variant>
        <vt:i4>0</vt:i4>
      </vt:variant>
      <vt:variant>
        <vt:i4>5</vt:i4>
      </vt:variant>
      <vt:variant>
        <vt:lpwstr>http://www.sciencepub.net/nature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Correlation between central corneal thickness and intraocular pressure in children with congenital glaucoma</dc:title>
  <dc:creator>dr said</dc:creator>
  <cp:lastModifiedBy>Administrator</cp:lastModifiedBy>
  <cp:revision>2</cp:revision>
  <cp:lastPrinted>2015-06-16T01:15:00Z</cp:lastPrinted>
  <dcterms:created xsi:type="dcterms:W3CDTF">2015-06-21T14:14:00Z</dcterms:created>
  <dcterms:modified xsi:type="dcterms:W3CDTF">2015-06-21T14:14:00Z</dcterms:modified>
</cp:coreProperties>
</file>