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2A" w:rsidRDefault="0081372A" w:rsidP="004E4FEB">
      <w:pPr>
        <w:snapToGrid w:val="0"/>
        <w:jc w:val="center"/>
        <w:rPr>
          <w:rFonts w:eastAsiaTheme="minorEastAsia" w:hint="eastAsia"/>
          <w:b/>
          <w:sz w:val="20"/>
          <w:szCs w:val="20"/>
          <w:lang w:eastAsia="zh-CN"/>
        </w:rPr>
      </w:pPr>
    </w:p>
    <w:p w:rsidR="00EA3773" w:rsidRPr="0081372A" w:rsidRDefault="00EA3773" w:rsidP="004E4FEB">
      <w:pPr>
        <w:snapToGrid w:val="0"/>
        <w:jc w:val="center"/>
        <w:rPr>
          <w:rFonts w:eastAsiaTheme="minorEastAsia" w:hint="eastAsia"/>
          <w:b/>
          <w:sz w:val="20"/>
          <w:szCs w:val="20"/>
          <w:lang w:eastAsia="zh-CN"/>
        </w:rPr>
      </w:pPr>
      <w:r w:rsidRPr="004E4FEB">
        <w:rPr>
          <w:b/>
          <w:sz w:val="20"/>
          <w:szCs w:val="20"/>
        </w:rPr>
        <w:t xml:space="preserve">Effects of </w:t>
      </w:r>
      <w:proofErr w:type="spellStart"/>
      <w:r w:rsidRPr="004E4FEB">
        <w:rPr>
          <w:b/>
          <w:i/>
          <w:sz w:val="20"/>
          <w:szCs w:val="20"/>
        </w:rPr>
        <w:t>Momordica</w:t>
      </w:r>
      <w:proofErr w:type="spellEnd"/>
      <w:r w:rsidRPr="004E4FEB">
        <w:rPr>
          <w:b/>
          <w:i/>
          <w:sz w:val="20"/>
          <w:szCs w:val="20"/>
        </w:rPr>
        <w:t xml:space="preserve"> </w:t>
      </w:r>
      <w:proofErr w:type="spellStart"/>
      <w:r w:rsidRPr="004E4FEB">
        <w:rPr>
          <w:b/>
          <w:i/>
          <w:sz w:val="20"/>
          <w:szCs w:val="20"/>
        </w:rPr>
        <w:t>charantia</w:t>
      </w:r>
      <w:proofErr w:type="spellEnd"/>
      <w:r w:rsidRPr="004E4FEB">
        <w:rPr>
          <w:b/>
          <w:i/>
          <w:sz w:val="20"/>
          <w:szCs w:val="20"/>
        </w:rPr>
        <w:t xml:space="preserve"> </w:t>
      </w:r>
      <w:r w:rsidRPr="004E4FEB">
        <w:rPr>
          <w:b/>
          <w:sz w:val="20"/>
          <w:szCs w:val="20"/>
        </w:rPr>
        <w:t xml:space="preserve">on the serum chemistry and some reproductive parameters in the Female </w:t>
      </w:r>
      <w:proofErr w:type="spellStart"/>
      <w:r w:rsidRPr="004E4FEB">
        <w:rPr>
          <w:b/>
          <w:sz w:val="20"/>
          <w:szCs w:val="20"/>
        </w:rPr>
        <w:t>Wistar</w:t>
      </w:r>
      <w:proofErr w:type="spellEnd"/>
      <w:r w:rsidRPr="004E4FEB">
        <w:rPr>
          <w:b/>
          <w:sz w:val="20"/>
          <w:szCs w:val="20"/>
        </w:rPr>
        <w:t xml:space="preserve"> Rats</w:t>
      </w:r>
    </w:p>
    <w:p w:rsidR="004E4FEB" w:rsidRPr="004E4FEB" w:rsidRDefault="004E4FEB" w:rsidP="004E4FEB">
      <w:pPr>
        <w:snapToGrid w:val="0"/>
        <w:jc w:val="center"/>
        <w:rPr>
          <w:rFonts w:eastAsiaTheme="minorEastAsia"/>
          <w:sz w:val="20"/>
          <w:szCs w:val="20"/>
          <w:lang w:eastAsia="zh-CN"/>
        </w:rPr>
      </w:pPr>
    </w:p>
    <w:p w:rsidR="00EA3773" w:rsidRPr="004E4FEB" w:rsidRDefault="00EA3773" w:rsidP="004E4FEB">
      <w:pPr>
        <w:snapToGrid w:val="0"/>
        <w:jc w:val="center"/>
        <w:rPr>
          <w:sz w:val="20"/>
          <w:szCs w:val="20"/>
        </w:rPr>
      </w:pPr>
      <w:proofErr w:type="spellStart"/>
      <w:r w:rsidRPr="004E4FEB">
        <w:rPr>
          <w:sz w:val="20"/>
          <w:szCs w:val="20"/>
        </w:rPr>
        <w:t>Oyeyemi</w:t>
      </w:r>
      <w:proofErr w:type="spellEnd"/>
      <w:r w:rsidRPr="004E4FEB">
        <w:rPr>
          <w:sz w:val="20"/>
          <w:szCs w:val="20"/>
        </w:rPr>
        <w:t xml:space="preserve"> M.O</w:t>
      </w:r>
      <w:r w:rsidRPr="004E4FEB">
        <w:rPr>
          <w:sz w:val="20"/>
          <w:szCs w:val="20"/>
          <w:vertAlign w:val="superscript"/>
        </w:rPr>
        <w:t>1</w:t>
      </w:r>
      <w:r w:rsidRPr="004E4FEB">
        <w:rPr>
          <w:sz w:val="20"/>
          <w:szCs w:val="20"/>
        </w:rPr>
        <w:t xml:space="preserve">, </w:t>
      </w:r>
      <w:proofErr w:type="spellStart"/>
      <w:r w:rsidRPr="004E4FEB">
        <w:rPr>
          <w:sz w:val="20"/>
          <w:szCs w:val="20"/>
        </w:rPr>
        <w:t>Esan</w:t>
      </w:r>
      <w:proofErr w:type="spellEnd"/>
      <w:r w:rsidRPr="004E4FEB">
        <w:rPr>
          <w:sz w:val="20"/>
          <w:szCs w:val="20"/>
        </w:rPr>
        <w:t xml:space="preserve"> O.O</w:t>
      </w:r>
      <w:r w:rsidRPr="004E4FEB">
        <w:rPr>
          <w:sz w:val="20"/>
          <w:szCs w:val="20"/>
          <w:vertAlign w:val="superscript"/>
        </w:rPr>
        <w:t>2</w:t>
      </w:r>
      <w:r w:rsidRPr="004E4FEB">
        <w:rPr>
          <w:sz w:val="20"/>
          <w:szCs w:val="20"/>
        </w:rPr>
        <w:t xml:space="preserve">, </w:t>
      </w:r>
      <w:proofErr w:type="spellStart"/>
      <w:r w:rsidRPr="004E4FEB">
        <w:rPr>
          <w:sz w:val="20"/>
          <w:szCs w:val="20"/>
        </w:rPr>
        <w:t>Esan</w:t>
      </w:r>
      <w:proofErr w:type="spellEnd"/>
      <w:r w:rsidRPr="004E4FEB">
        <w:rPr>
          <w:sz w:val="20"/>
          <w:szCs w:val="20"/>
        </w:rPr>
        <w:t xml:space="preserve"> O.O</w:t>
      </w:r>
      <w:r w:rsidRPr="004E4FEB">
        <w:rPr>
          <w:sz w:val="20"/>
          <w:szCs w:val="20"/>
          <w:vertAlign w:val="superscript"/>
        </w:rPr>
        <w:t>2</w:t>
      </w:r>
      <w:r w:rsidRPr="004E4FEB">
        <w:rPr>
          <w:sz w:val="20"/>
          <w:szCs w:val="20"/>
        </w:rPr>
        <w:t xml:space="preserve">, </w:t>
      </w:r>
      <w:proofErr w:type="spellStart"/>
      <w:r w:rsidRPr="004E4FEB">
        <w:rPr>
          <w:sz w:val="20"/>
          <w:szCs w:val="20"/>
        </w:rPr>
        <w:t>Oyerinde</w:t>
      </w:r>
      <w:proofErr w:type="spellEnd"/>
      <w:r w:rsidRPr="004E4FEB">
        <w:rPr>
          <w:sz w:val="20"/>
          <w:szCs w:val="20"/>
        </w:rPr>
        <w:t xml:space="preserve"> C.M</w:t>
      </w:r>
      <w:r w:rsidRPr="004E4FEB">
        <w:rPr>
          <w:sz w:val="20"/>
          <w:szCs w:val="20"/>
          <w:vertAlign w:val="superscript"/>
        </w:rPr>
        <w:t>1</w:t>
      </w:r>
      <w:r w:rsidRPr="004E4FEB">
        <w:rPr>
          <w:sz w:val="20"/>
          <w:szCs w:val="20"/>
        </w:rPr>
        <w:t xml:space="preserve">, </w:t>
      </w:r>
      <w:proofErr w:type="spellStart"/>
      <w:r w:rsidRPr="004E4FEB">
        <w:rPr>
          <w:sz w:val="20"/>
          <w:szCs w:val="20"/>
        </w:rPr>
        <w:t>Uwalaka</w:t>
      </w:r>
      <w:proofErr w:type="spellEnd"/>
      <w:r w:rsidRPr="004E4FEB">
        <w:rPr>
          <w:sz w:val="20"/>
          <w:szCs w:val="20"/>
        </w:rPr>
        <w:t xml:space="preserve"> E.C</w:t>
      </w:r>
      <w:r w:rsidRPr="004E4FEB">
        <w:rPr>
          <w:sz w:val="20"/>
          <w:szCs w:val="20"/>
          <w:vertAlign w:val="superscript"/>
        </w:rPr>
        <w:t>3</w:t>
      </w:r>
    </w:p>
    <w:p w:rsidR="00EA3773" w:rsidRPr="004E4FEB" w:rsidRDefault="00EA3773" w:rsidP="004E4FEB">
      <w:pPr>
        <w:snapToGrid w:val="0"/>
        <w:jc w:val="center"/>
        <w:rPr>
          <w:sz w:val="20"/>
          <w:szCs w:val="20"/>
        </w:rPr>
      </w:pPr>
    </w:p>
    <w:p w:rsidR="00EA3773" w:rsidRPr="004E4FEB" w:rsidRDefault="00EA3773" w:rsidP="004E4FEB">
      <w:pPr>
        <w:snapToGrid w:val="0"/>
        <w:jc w:val="center"/>
        <w:rPr>
          <w:sz w:val="20"/>
          <w:szCs w:val="20"/>
        </w:rPr>
      </w:pPr>
      <w:r w:rsidRPr="004E4FEB">
        <w:rPr>
          <w:sz w:val="20"/>
          <w:szCs w:val="20"/>
          <w:vertAlign w:val="superscript"/>
        </w:rPr>
        <w:t>1.</w:t>
      </w:r>
      <w:r w:rsidRPr="004E4FEB">
        <w:rPr>
          <w:sz w:val="20"/>
          <w:szCs w:val="20"/>
        </w:rPr>
        <w:t xml:space="preserve"> Department of Veterinary Surgery and Reproduction, University of Ibadan</w:t>
      </w:r>
    </w:p>
    <w:p w:rsidR="00EA3773" w:rsidRPr="004E4FEB" w:rsidRDefault="00EA3773" w:rsidP="004E4FEB">
      <w:pPr>
        <w:snapToGrid w:val="0"/>
        <w:jc w:val="center"/>
        <w:rPr>
          <w:sz w:val="20"/>
          <w:szCs w:val="20"/>
        </w:rPr>
      </w:pPr>
      <w:r w:rsidRPr="004E4FEB">
        <w:rPr>
          <w:sz w:val="20"/>
          <w:szCs w:val="20"/>
          <w:vertAlign w:val="superscript"/>
        </w:rPr>
        <w:t>2</w:t>
      </w:r>
      <w:r w:rsidRPr="004E4FEB">
        <w:rPr>
          <w:sz w:val="20"/>
          <w:szCs w:val="20"/>
        </w:rPr>
        <w:t xml:space="preserve"> Department of Veterinary Medicine, University of Ibadan</w:t>
      </w:r>
    </w:p>
    <w:p w:rsidR="00EA3773" w:rsidRPr="004E4FEB" w:rsidRDefault="00EA3773" w:rsidP="004E4FEB">
      <w:pPr>
        <w:snapToGrid w:val="0"/>
        <w:jc w:val="center"/>
        <w:rPr>
          <w:sz w:val="20"/>
          <w:szCs w:val="20"/>
        </w:rPr>
      </w:pPr>
      <w:r w:rsidRPr="004E4FEB">
        <w:rPr>
          <w:sz w:val="20"/>
          <w:szCs w:val="20"/>
          <w:vertAlign w:val="superscript"/>
        </w:rPr>
        <w:t>3</w:t>
      </w:r>
      <w:r w:rsidR="0081372A">
        <w:rPr>
          <w:sz w:val="20"/>
          <w:szCs w:val="20"/>
        </w:rPr>
        <w:t xml:space="preserve"> </w:t>
      </w:r>
      <w:proofErr w:type="gramStart"/>
      <w:r w:rsidRPr="004E4FEB">
        <w:rPr>
          <w:sz w:val="20"/>
          <w:szCs w:val="20"/>
        </w:rPr>
        <w:t>Department</w:t>
      </w:r>
      <w:proofErr w:type="gramEnd"/>
      <w:r w:rsidRPr="004E4FEB">
        <w:rPr>
          <w:sz w:val="20"/>
          <w:szCs w:val="20"/>
        </w:rPr>
        <w:t xml:space="preserve"> of Veterinary Microbiology and </w:t>
      </w:r>
      <w:proofErr w:type="spellStart"/>
      <w:r w:rsidRPr="004E4FEB">
        <w:rPr>
          <w:sz w:val="20"/>
          <w:szCs w:val="20"/>
        </w:rPr>
        <w:t>Parasitology</w:t>
      </w:r>
      <w:proofErr w:type="spellEnd"/>
      <w:r w:rsidRPr="004E4FEB">
        <w:rPr>
          <w:sz w:val="20"/>
          <w:szCs w:val="20"/>
        </w:rPr>
        <w:t>, University of Ibadan</w:t>
      </w:r>
    </w:p>
    <w:p w:rsidR="00EA3773" w:rsidRPr="004E4FEB" w:rsidRDefault="000744EE" w:rsidP="004E4FEB">
      <w:pPr>
        <w:snapToGrid w:val="0"/>
        <w:jc w:val="center"/>
        <w:rPr>
          <w:sz w:val="20"/>
          <w:szCs w:val="20"/>
        </w:rPr>
      </w:pPr>
      <w:hyperlink r:id="rId8" w:history="1">
        <w:r w:rsidR="00EA3773" w:rsidRPr="004E4FEB">
          <w:rPr>
            <w:rStyle w:val="Hyperlink"/>
            <w:sz w:val="20"/>
            <w:szCs w:val="20"/>
          </w:rPr>
          <w:t>oiuseunsol@yahoo.co.uk</w:t>
        </w:r>
      </w:hyperlink>
    </w:p>
    <w:p w:rsidR="00EA3773" w:rsidRPr="004E4FEB" w:rsidRDefault="00EA3773" w:rsidP="004E4FEB">
      <w:pPr>
        <w:snapToGrid w:val="0"/>
        <w:jc w:val="center"/>
        <w:rPr>
          <w:sz w:val="20"/>
          <w:szCs w:val="20"/>
        </w:rPr>
      </w:pPr>
    </w:p>
    <w:p w:rsidR="00EA3773" w:rsidRPr="004E4FEB" w:rsidRDefault="00EA3773" w:rsidP="004E4FEB">
      <w:pPr>
        <w:snapToGrid w:val="0"/>
        <w:jc w:val="both"/>
        <w:rPr>
          <w:sz w:val="20"/>
          <w:szCs w:val="20"/>
        </w:rPr>
      </w:pPr>
      <w:r w:rsidRPr="004E4FEB">
        <w:rPr>
          <w:b/>
          <w:sz w:val="20"/>
          <w:szCs w:val="20"/>
        </w:rPr>
        <w:t xml:space="preserve">Abstract: </w:t>
      </w:r>
      <w:proofErr w:type="spellStart"/>
      <w:r w:rsidRPr="004E4FEB">
        <w:rPr>
          <w:i/>
          <w:sz w:val="20"/>
          <w:szCs w:val="20"/>
        </w:rPr>
        <w:t>Momordica</w:t>
      </w:r>
      <w:proofErr w:type="spellEnd"/>
      <w:r w:rsidRPr="004E4FEB">
        <w:rPr>
          <w:i/>
          <w:sz w:val="20"/>
          <w:szCs w:val="20"/>
        </w:rPr>
        <w:t xml:space="preserve"> </w:t>
      </w:r>
      <w:proofErr w:type="spellStart"/>
      <w:r w:rsidRPr="004E4FEB">
        <w:rPr>
          <w:i/>
          <w:sz w:val="20"/>
          <w:szCs w:val="20"/>
        </w:rPr>
        <w:t>charantia</w:t>
      </w:r>
      <w:proofErr w:type="spellEnd"/>
      <w:r w:rsidRPr="004E4FEB">
        <w:rPr>
          <w:sz w:val="20"/>
          <w:szCs w:val="20"/>
        </w:rPr>
        <w:t xml:space="preserve"> (Bitter melon) has been used in African and Asian herbal medicine for a long time. This work is however designed to investigate the effect of </w:t>
      </w:r>
      <w:proofErr w:type="spellStart"/>
      <w:r w:rsidRPr="004E4FEB">
        <w:rPr>
          <w:i/>
          <w:sz w:val="20"/>
          <w:szCs w:val="20"/>
        </w:rPr>
        <w:t>Momordica</w:t>
      </w:r>
      <w:proofErr w:type="spellEnd"/>
      <w:r w:rsidRPr="004E4FEB">
        <w:rPr>
          <w:i/>
          <w:sz w:val="20"/>
          <w:szCs w:val="20"/>
        </w:rPr>
        <w:t xml:space="preserve"> </w:t>
      </w:r>
      <w:proofErr w:type="spellStart"/>
      <w:r w:rsidRPr="004E4FEB">
        <w:rPr>
          <w:i/>
          <w:sz w:val="20"/>
          <w:szCs w:val="20"/>
        </w:rPr>
        <w:t>charantia</w:t>
      </w:r>
      <w:proofErr w:type="spellEnd"/>
      <w:r w:rsidRPr="004E4FEB">
        <w:rPr>
          <w:i/>
          <w:sz w:val="20"/>
          <w:szCs w:val="20"/>
        </w:rPr>
        <w:t xml:space="preserve"> </w:t>
      </w:r>
      <w:r w:rsidRPr="004E4FEB">
        <w:rPr>
          <w:sz w:val="20"/>
          <w:szCs w:val="20"/>
        </w:rPr>
        <w:t xml:space="preserve">leaf extract on the reproductive parameters of the female </w:t>
      </w:r>
      <w:proofErr w:type="spellStart"/>
      <w:r w:rsidRPr="004E4FEB">
        <w:rPr>
          <w:sz w:val="20"/>
          <w:szCs w:val="20"/>
        </w:rPr>
        <w:t>Wistar</w:t>
      </w:r>
      <w:proofErr w:type="spellEnd"/>
      <w:r w:rsidRPr="004E4FEB">
        <w:rPr>
          <w:sz w:val="20"/>
          <w:szCs w:val="20"/>
        </w:rPr>
        <w:t xml:space="preserve"> Rats.</w:t>
      </w:r>
      <w:r w:rsidR="0081372A">
        <w:rPr>
          <w:sz w:val="20"/>
          <w:szCs w:val="20"/>
        </w:rPr>
        <w:t xml:space="preserve"> </w:t>
      </w:r>
      <w:r w:rsidRPr="004E4FEB">
        <w:rPr>
          <w:sz w:val="20"/>
          <w:szCs w:val="20"/>
        </w:rPr>
        <w:t xml:space="preserve">The fifteen female </w:t>
      </w:r>
      <w:proofErr w:type="spellStart"/>
      <w:r w:rsidRPr="004E4FEB">
        <w:rPr>
          <w:sz w:val="20"/>
          <w:szCs w:val="20"/>
        </w:rPr>
        <w:t>wistar</w:t>
      </w:r>
      <w:proofErr w:type="spellEnd"/>
      <w:r w:rsidRPr="004E4FEB">
        <w:rPr>
          <w:sz w:val="20"/>
          <w:szCs w:val="20"/>
        </w:rPr>
        <w:t xml:space="preserve"> rats</w:t>
      </w:r>
      <w:r w:rsidR="0081372A">
        <w:rPr>
          <w:sz w:val="20"/>
          <w:szCs w:val="20"/>
        </w:rPr>
        <w:t xml:space="preserve"> </w:t>
      </w:r>
      <w:r w:rsidRPr="004E4FEB">
        <w:rPr>
          <w:sz w:val="20"/>
          <w:szCs w:val="20"/>
        </w:rPr>
        <w:t>used in this study were divided into 3 groups of five rats each. The rats in groups A and B were treated with a daily dose of 300mg and 600mg per-</w:t>
      </w:r>
      <w:proofErr w:type="spellStart"/>
      <w:r w:rsidRPr="004E4FEB">
        <w:rPr>
          <w:sz w:val="20"/>
          <w:szCs w:val="20"/>
        </w:rPr>
        <w:t>os</w:t>
      </w:r>
      <w:proofErr w:type="spellEnd"/>
      <w:r w:rsidRPr="004E4FEB">
        <w:rPr>
          <w:sz w:val="20"/>
          <w:szCs w:val="20"/>
        </w:rPr>
        <w:t xml:space="preserve"> of the leaf extract for seven (7) days respectively while control group C received distilled water. There was a significant difference (P≤0.05) between the mean packed cell volume, White blood cell Values, Mean corpuscular volume, Mean </w:t>
      </w:r>
      <w:proofErr w:type="spellStart"/>
      <w:r w:rsidRPr="004E4FEB">
        <w:rPr>
          <w:sz w:val="20"/>
          <w:szCs w:val="20"/>
        </w:rPr>
        <w:t>heamatocrit</w:t>
      </w:r>
      <w:proofErr w:type="spellEnd"/>
      <w:r w:rsidRPr="004E4FEB">
        <w:rPr>
          <w:sz w:val="20"/>
          <w:szCs w:val="20"/>
        </w:rPr>
        <w:t xml:space="preserve"> concentration and Mean corpuscular </w:t>
      </w:r>
      <w:proofErr w:type="spellStart"/>
      <w:r w:rsidRPr="004E4FEB">
        <w:rPr>
          <w:sz w:val="20"/>
          <w:szCs w:val="20"/>
        </w:rPr>
        <w:t>heamatocrit</w:t>
      </w:r>
      <w:proofErr w:type="spellEnd"/>
      <w:r w:rsidRPr="004E4FEB">
        <w:rPr>
          <w:sz w:val="20"/>
          <w:szCs w:val="20"/>
        </w:rPr>
        <w:t xml:space="preserve"> concentration of the different groups. There was a significant difference (P≤0.05) in the valves of Protein, Albumin, Globulin, Sodium, Blood urea nitrogen and AST between the groups. The reproductive indices, showed a significant difference (P≤0.05) in the mean value of the length of the uterine horn and diameter of the right ovary whereas; there is no significant difference (P≥0.05) in the mean length values for the other parts of the reproductive tract across the groups. There was a significant difference (P≤0.05) in the mean values of the weight of the left ovary across the groups but between the groups in the right ovary. However, there was no significant difference (P≥0.05) in the mean values of the weight of the left and right kidneys, spleen and the weight of reproductive tract. It is concluded that the leaf extract of </w:t>
      </w:r>
      <w:proofErr w:type="spellStart"/>
      <w:r w:rsidRPr="004E4FEB">
        <w:rPr>
          <w:i/>
          <w:sz w:val="20"/>
          <w:szCs w:val="20"/>
        </w:rPr>
        <w:t>Momordica</w:t>
      </w:r>
      <w:proofErr w:type="spellEnd"/>
      <w:r w:rsidRPr="004E4FEB">
        <w:rPr>
          <w:i/>
          <w:sz w:val="20"/>
          <w:szCs w:val="20"/>
        </w:rPr>
        <w:t xml:space="preserve"> </w:t>
      </w:r>
      <w:proofErr w:type="spellStart"/>
      <w:r w:rsidRPr="004E4FEB">
        <w:rPr>
          <w:i/>
          <w:sz w:val="20"/>
          <w:szCs w:val="20"/>
        </w:rPr>
        <w:t>charantia</w:t>
      </w:r>
      <w:proofErr w:type="spellEnd"/>
      <w:r w:rsidRPr="004E4FEB">
        <w:rPr>
          <w:sz w:val="20"/>
          <w:szCs w:val="20"/>
        </w:rPr>
        <w:t xml:space="preserve"> probably induce follicular growth which may be responsible for the heavier ovaries in the test groups.</w:t>
      </w:r>
    </w:p>
    <w:p w:rsidR="00EA3773" w:rsidRPr="004E4FEB" w:rsidRDefault="00EA3773" w:rsidP="004E4FEB">
      <w:pPr>
        <w:snapToGrid w:val="0"/>
        <w:jc w:val="both"/>
        <w:rPr>
          <w:b/>
          <w:sz w:val="20"/>
          <w:szCs w:val="20"/>
        </w:rPr>
      </w:pPr>
      <w:r w:rsidRPr="004E4FEB">
        <w:rPr>
          <w:color w:val="000000"/>
          <w:sz w:val="20"/>
          <w:szCs w:val="20"/>
        </w:rPr>
        <w:t>[</w:t>
      </w:r>
      <w:proofErr w:type="spellStart"/>
      <w:r w:rsidRPr="004E4FEB">
        <w:rPr>
          <w:sz w:val="20"/>
          <w:szCs w:val="20"/>
        </w:rPr>
        <w:t>Oyeyemi</w:t>
      </w:r>
      <w:proofErr w:type="spellEnd"/>
      <w:r w:rsidRPr="004E4FEB">
        <w:rPr>
          <w:sz w:val="20"/>
          <w:szCs w:val="20"/>
        </w:rPr>
        <w:t xml:space="preserve"> M.O, </w:t>
      </w:r>
      <w:proofErr w:type="spellStart"/>
      <w:r w:rsidRPr="004E4FEB">
        <w:rPr>
          <w:sz w:val="20"/>
          <w:szCs w:val="20"/>
        </w:rPr>
        <w:t>Esan</w:t>
      </w:r>
      <w:proofErr w:type="spellEnd"/>
      <w:r w:rsidRPr="004E4FEB">
        <w:rPr>
          <w:sz w:val="20"/>
          <w:szCs w:val="20"/>
        </w:rPr>
        <w:t xml:space="preserve"> O.O, </w:t>
      </w:r>
      <w:proofErr w:type="spellStart"/>
      <w:r w:rsidRPr="004E4FEB">
        <w:rPr>
          <w:sz w:val="20"/>
          <w:szCs w:val="20"/>
        </w:rPr>
        <w:t>Esan</w:t>
      </w:r>
      <w:proofErr w:type="spellEnd"/>
      <w:r w:rsidRPr="004E4FEB">
        <w:rPr>
          <w:sz w:val="20"/>
          <w:szCs w:val="20"/>
        </w:rPr>
        <w:t xml:space="preserve"> O.O, </w:t>
      </w:r>
      <w:proofErr w:type="spellStart"/>
      <w:r w:rsidRPr="004E4FEB">
        <w:rPr>
          <w:sz w:val="20"/>
          <w:szCs w:val="20"/>
        </w:rPr>
        <w:t>Oyerinde</w:t>
      </w:r>
      <w:proofErr w:type="spellEnd"/>
      <w:r w:rsidRPr="004E4FEB">
        <w:rPr>
          <w:sz w:val="20"/>
          <w:szCs w:val="20"/>
        </w:rPr>
        <w:t xml:space="preserve"> C.M, </w:t>
      </w:r>
      <w:proofErr w:type="spellStart"/>
      <w:r w:rsidRPr="004E4FEB">
        <w:rPr>
          <w:sz w:val="20"/>
          <w:szCs w:val="20"/>
        </w:rPr>
        <w:t>Uwalaka</w:t>
      </w:r>
      <w:proofErr w:type="spellEnd"/>
      <w:r w:rsidRPr="004E4FEB">
        <w:rPr>
          <w:sz w:val="20"/>
          <w:szCs w:val="20"/>
        </w:rPr>
        <w:t xml:space="preserve"> E.C</w:t>
      </w:r>
      <w:r w:rsidR="004E4FEB" w:rsidRPr="004E4FEB">
        <w:rPr>
          <w:rFonts w:eastAsiaTheme="minorEastAsia" w:hint="eastAsia"/>
          <w:sz w:val="20"/>
          <w:szCs w:val="20"/>
          <w:lang w:eastAsia="zh-CN"/>
        </w:rPr>
        <w:t>.</w:t>
      </w:r>
      <w:r w:rsidRPr="004E4FEB">
        <w:rPr>
          <w:sz w:val="20"/>
          <w:szCs w:val="20"/>
        </w:rPr>
        <w:t xml:space="preserve"> </w:t>
      </w:r>
      <w:r w:rsidRPr="004E4FEB">
        <w:rPr>
          <w:b/>
          <w:sz w:val="20"/>
          <w:szCs w:val="20"/>
        </w:rPr>
        <w:t xml:space="preserve">Effects of </w:t>
      </w:r>
      <w:proofErr w:type="spellStart"/>
      <w:r w:rsidRPr="004E4FEB">
        <w:rPr>
          <w:b/>
          <w:i/>
          <w:sz w:val="20"/>
          <w:szCs w:val="20"/>
        </w:rPr>
        <w:t>Momordica</w:t>
      </w:r>
      <w:proofErr w:type="spellEnd"/>
      <w:r w:rsidRPr="004E4FEB">
        <w:rPr>
          <w:b/>
          <w:i/>
          <w:sz w:val="20"/>
          <w:szCs w:val="20"/>
        </w:rPr>
        <w:t xml:space="preserve"> </w:t>
      </w:r>
      <w:proofErr w:type="spellStart"/>
      <w:r w:rsidRPr="004E4FEB">
        <w:rPr>
          <w:b/>
          <w:i/>
          <w:sz w:val="20"/>
          <w:szCs w:val="20"/>
        </w:rPr>
        <w:t>charantia</w:t>
      </w:r>
      <w:proofErr w:type="spellEnd"/>
      <w:r w:rsidRPr="004E4FEB">
        <w:rPr>
          <w:b/>
          <w:i/>
          <w:sz w:val="20"/>
          <w:szCs w:val="20"/>
        </w:rPr>
        <w:t xml:space="preserve"> </w:t>
      </w:r>
      <w:r w:rsidRPr="004E4FEB">
        <w:rPr>
          <w:b/>
          <w:sz w:val="20"/>
          <w:szCs w:val="20"/>
        </w:rPr>
        <w:t>on the serum</w:t>
      </w:r>
    </w:p>
    <w:p w:rsidR="004E4FEB" w:rsidRPr="004E4FEB" w:rsidRDefault="00EA3773" w:rsidP="004E4FEB">
      <w:pPr>
        <w:snapToGrid w:val="0"/>
        <w:jc w:val="both"/>
        <w:rPr>
          <w:rFonts w:eastAsiaTheme="minorEastAsia"/>
          <w:sz w:val="20"/>
          <w:szCs w:val="20"/>
          <w:lang w:eastAsia="zh-CN"/>
        </w:rPr>
      </w:pPr>
      <w:proofErr w:type="gramStart"/>
      <w:r w:rsidRPr="004E4FEB">
        <w:rPr>
          <w:b/>
          <w:sz w:val="20"/>
          <w:szCs w:val="20"/>
        </w:rPr>
        <w:t>chemistry</w:t>
      </w:r>
      <w:proofErr w:type="gramEnd"/>
      <w:r w:rsidRPr="004E4FEB">
        <w:rPr>
          <w:b/>
          <w:sz w:val="20"/>
          <w:szCs w:val="20"/>
        </w:rPr>
        <w:t xml:space="preserve"> and some reproductive parameters in the Female </w:t>
      </w:r>
      <w:proofErr w:type="spellStart"/>
      <w:r w:rsidRPr="004E4FEB">
        <w:rPr>
          <w:b/>
          <w:sz w:val="20"/>
          <w:szCs w:val="20"/>
        </w:rPr>
        <w:t>Wistar</w:t>
      </w:r>
      <w:proofErr w:type="spellEnd"/>
      <w:r w:rsidRPr="004E4FEB">
        <w:rPr>
          <w:b/>
          <w:sz w:val="20"/>
          <w:szCs w:val="20"/>
        </w:rPr>
        <w:t xml:space="preserve"> Rats</w:t>
      </w:r>
      <w:r w:rsidR="004E4FEB" w:rsidRPr="004E4FEB">
        <w:rPr>
          <w:rFonts w:eastAsia="Times New Roman"/>
          <w:b/>
          <w:bCs/>
          <w:sz w:val="20"/>
          <w:szCs w:val="20"/>
          <w:lang w:bidi="fa-IR"/>
        </w:rPr>
        <w:t>.</w:t>
      </w:r>
      <w:r w:rsidR="004E4FEB" w:rsidRPr="004E4FEB">
        <w:rPr>
          <w:rFonts w:hint="eastAsia"/>
          <w:b/>
          <w:bCs/>
          <w:sz w:val="20"/>
          <w:szCs w:val="20"/>
        </w:rPr>
        <w:t xml:space="preserve"> </w:t>
      </w:r>
      <w:r w:rsidR="004E4FEB" w:rsidRPr="004E4FEB">
        <w:rPr>
          <w:rFonts w:eastAsia="Times New Roman"/>
          <w:bCs/>
          <w:i/>
          <w:sz w:val="20"/>
          <w:szCs w:val="20"/>
        </w:rPr>
        <w:t xml:space="preserve">Nat </w:t>
      </w:r>
      <w:proofErr w:type="spellStart"/>
      <w:r w:rsidR="004E4FEB" w:rsidRPr="004E4FEB">
        <w:rPr>
          <w:rFonts w:eastAsia="Times New Roman"/>
          <w:bCs/>
          <w:i/>
          <w:sz w:val="20"/>
          <w:szCs w:val="20"/>
        </w:rPr>
        <w:t>Sci</w:t>
      </w:r>
      <w:proofErr w:type="spellEnd"/>
      <w:r w:rsidR="004E4FEB" w:rsidRPr="004E4FEB">
        <w:rPr>
          <w:rFonts w:eastAsiaTheme="minorEastAsia" w:hint="eastAsia"/>
          <w:bCs/>
          <w:i/>
          <w:sz w:val="20"/>
          <w:szCs w:val="20"/>
        </w:rPr>
        <w:t xml:space="preserve"> </w:t>
      </w:r>
      <w:r w:rsidR="004E4FEB" w:rsidRPr="004E4FEB">
        <w:rPr>
          <w:sz w:val="20"/>
          <w:szCs w:val="20"/>
        </w:rPr>
        <w:t>201</w:t>
      </w:r>
      <w:r w:rsidR="004E4FEB" w:rsidRPr="004E4FEB">
        <w:rPr>
          <w:rFonts w:hint="eastAsia"/>
          <w:sz w:val="20"/>
          <w:szCs w:val="20"/>
        </w:rPr>
        <w:t>5</w:t>
      </w:r>
      <w:r w:rsidR="004E4FEB" w:rsidRPr="004E4FEB">
        <w:rPr>
          <w:sz w:val="20"/>
          <w:szCs w:val="20"/>
        </w:rPr>
        <w:t>;1</w:t>
      </w:r>
      <w:r w:rsidR="004E4FEB" w:rsidRPr="004E4FEB">
        <w:rPr>
          <w:rFonts w:hint="eastAsia"/>
          <w:sz w:val="20"/>
          <w:szCs w:val="20"/>
        </w:rPr>
        <w:t>3</w:t>
      </w:r>
      <w:r w:rsidR="004E4FEB" w:rsidRPr="004E4FEB">
        <w:rPr>
          <w:sz w:val="20"/>
          <w:szCs w:val="20"/>
        </w:rPr>
        <w:t>(</w:t>
      </w:r>
      <w:r w:rsidR="004E4FEB" w:rsidRPr="004E4FEB">
        <w:rPr>
          <w:rFonts w:hint="eastAsia"/>
          <w:sz w:val="20"/>
          <w:szCs w:val="20"/>
        </w:rPr>
        <w:t>4)</w:t>
      </w:r>
      <w:r w:rsidR="004E4FEB" w:rsidRPr="004E4FEB">
        <w:rPr>
          <w:sz w:val="20"/>
          <w:szCs w:val="20"/>
        </w:rPr>
        <w:t>:</w:t>
      </w:r>
      <w:r w:rsidR="00731DE9">
        <w:rPr>
          <w:noProof/>
          <w:color w:val="000000"/>
          <w:sz w:val="20"/>
          <w:szCs w:val="20"/>
        </w:rPr>
        <w:t>119</w:t>
      </w:r>
      <w:r w:rsidR="004E4FEB" w:rsidRPr="004E4FEB">
        <w:rPr>
          <w:color w:val="000000"/>
          <w:sz w:val="20"/>
          <w:szCs w:val="20"/>
        </w:rPr>
        <w:t>-</w:t>
      </w:r>
      <w:r w:rsidR="00731DE9">
        <w:rPr>
          <w:noProof/>
          <w:color w:val="000000"/>
          <w:sz w:val="20"/>
          <w:szCs w:val="20"/>
        </w:rPr>
        <w:t>123</w:t>
      </w:r>
      <w:r w:rsidR="004E4FEB" w:rsidRPr="004E4FEB">
        <w:rPr>
          <w:sz w:val="20"/>
          <w:szCs w:val="20"/>
        </w:rPr>
        <w:t>]</w:t>
      </w:r>
      <w:r w:rsidR="004E4FEB" w:rsidRPr="004E4FEB">
        <w:rPr>
          <w:rFonts w:hint="eastAsia"/>
          <w:sz w:val="20"/>
          <w:szCs w:val="20"/>
        </w:rPr>
        <w:t>.</w:t>
      </w:r>
      <w:r w:rsidR="004E4FEB" w:rsidRPr="004E4FEB">
        <w:rPr>
          <w:sz w:val="20"/>
          <w:szCs w:val="20"/>
        </w:rPr>
        <w:t xml:space="preserve"> (ISSN: 1545-0740).</w:t>
      </w:r>
      <w:r w:rsidR="004E4FEB" w:rsidRPr="004E4FEB">
        <w:rPr>
          <w:color w:val="0000FF"/>
          <w:sz w:val="20"/>
          <w:szCs w:val="20"/>
        </w:rPr>
        <w:t xml:space="preserve"> </w:t>
      </w:r>
      <w:hyperlink r:id="rId9" w:history="1">
        <w:r w:rsidR="004E4FEB" w:rsidRPr="004E4FEB">
          <w:rPr>
            <w:rStyle w:val="Hyperlink"/>
            <w:sz w:val="20"/>
            <w:szCs w:val="20"/>
          </w:rPr>
          <w:t>http://www.sciencepub.net/nature</w:t>
        </w:r>
      </w:hyperlink>
      <w:r w:rsidR="004E4FEB" w:rsidRPr="004E4FEB">
        <w:rPr>
          <w:sz w:val="20"/>
          <w:szCs w:val="20"/>
        </w:rPr>
        <w:t>.</w:t>
      </w:r>
      <w:r w:rsidR="004E4FEB" w:rsidRPr="004E4FEB">
        <w:rPr>
          <w:rFonts w:hint="eastAsia"/>
          <w:sz w:val="20"/>
          <w:szCs w:val="20"/>
        </w:rPr>
        <w:t xml:space="preserve"> </w:t>
      </w:r>
      <w:r w:rsidR="004E4FEB" w:rsidRPr="004E4FEB">
        <w:rPr>
          <w:rFonts w:eastAsiaTheme="minorEastAsia" w:hint="eastAsia"/>
          <w:sz w:val="20"/>
          <w:szCs w:val="20"/>
          <w:lang w:eastAsia="zh-CN"/>
        </w:rPr>
        <w:t>18</w:t>
      </w:r>
    </w:p>
    <w:p w:rsidR="00EA3773" w:rsidRPr="004E4FEB" w:rsidRDefault="00EA3773" w:rsidP="004E4FEB">
      <w:pPr>
        <w:snapToGrid w:val="0"/>
        <w:jc w:val="both"/>
        <w:rPr>
          <w:sz w:val="20"/>
          <w:szCs w:val="20"/>
        </w:rPr>
      </w:pPr>
    </w:p>
    <w:p w:rsidR="00EA3773" w:rsidRPr="004E4FEB" w:rsidRDefault="00EA3773" w:rsidP="004E4FEB">
      <w:pPr>
        <w:snapToGrid w:val="0"/>
        <w:jc w:val="both"/>
        <w:rPr>
          <w:sz w:val="20"/>
          <w:szCs w:val="20"/>
        </w:rPr>
      </w:pPr>
      <w:r w:rsidRPr="004E4FEB">
        <w:rPr>
          <w:b/>
          <w:sz w:val="20"/>
          <w:szCs w:val="20"/>
        </w:rPr>
        <w:t xml:space="preserve">Keywords: </w:t>
      </w:r>
      <w:proofErr w:type="spellStart"/>
      <w:r w:rsidRPr="004E4FEB">
        <w:rPr>
          <w:i/>
          <w:sz w:val="20"/>
          <w:szCs w:val="20"/>
        </w:rPr>
        <w:t>Momordica</w:t>
      </w:r>
      <w:proofErr w:type="spellEnd"/>
      <w:r w:rsidRPr="004E4FEB">
        <w:rPr>
          <w:i/>
          <w:sz w:val="20"/>
          <w:szCs w:val="20"/>
        </w:rPr>
        <w:t xml:space="preserve"> </w:t>
      </w:r>
      <w:proofErr w:type="spellStart"/>
      <w:r w:rsidRPr="004E4FEB">
        <w:rPr>
          <w:i/>
          <w:sz w:val="20"/>
          <w:szCs w:val="20"/>
        </w:rPr>
        <w:t>charantia</w:t>
      </w:r>
      <w:proofErr w:type="spellEnd"/>
      <w:r w:rsidRPr="004E4FEB">
        <w:rPr>
          <w:i/>
          <w:sz w:val="20"/>
          <w:szCs w:val="20"/>
        </w:rPr>
        <w:t xml:space="preserve">, </w:t>
      </w:r>
      <w:r w:rsidRPr="004E4FEB">
        <w:rPr>
          <w:sz w:val="20"/>
          <w:szCs w:val="20"/>
        </w:rPr>
        <w:t xml:space="preserve">Female </w:t>
      </w:r>
      <w:proofErr w:type="spellStart"/>
      <w:r w:rsidRPr="004E4FEB">
        <w:rPr>
          <w:sz w:val="20"/>
          <w:szCs w:val="20"/>
        </w:rPr>
        <w:t>Wistar</w:t>
      </w:r>
      <w:proofErr w:type="spellEnd"/>
      <w:r w:rsidRPr="004E4FEB">
        <w:rPr>
          <w:sz w:val="20"/>
          <w:szCs w:val="20"/>
        </w:rPr>
        <w:t xml:space="preserve"> Rat, Reproductive parameters, Serum </w:t>
      </w:r>
      <w:proofErr w:type="spellStart"/>
      <w:r w:rsidRPr="004E4FEB">
        <w:rPr>
          <w:sz w:val="20"/>
          <w:szCs w:val="20"/>
        </w:rPr>
        <w:t>Chemisty</w:t>
      </w:r>
      <w:proofErr w:type="spellEnd"/>
      <w:r w:rsidRPr="004E4FEB">
        <w:rPr>
          <w:sz w:val="20"/>
          <w:szCs w:val="20"/>
        </w:rPr>
        <w:t>, Ovary.</w:t>
      </w:r>
    </w:p>
    <w:p w:rsidR="004E4FEB" w:rsidRDefault="004E4FEB" w:rsidP="004E4FEB">
      <w:pPr>
        <w:snapToGrid w:val="0"/>
        <w:jc w:val="both"/>
        <w:rPr>
          <w:rFonts w:eastAsiaTheme="minorEastAsia" w:hint="eastAsia"/>
          <w:b/>
          <w:sz w:val="20"/>
          <w:szCs w:val="20"/>
          <w:lang w:eastAsia="zh-CN"/>
        </w:rPr>
      </w:pPr>
    </w:p>
    <w:p w:rsidR="0081372A" w:rsidRPr="0081372A" w:rsidRDefault="0081372A" w:rsidP="004E4FEB">
      <w:pPr>
        <w:snapToGrid w:val="0"/>
        <w:jc w:val="both"/>
        <w:rPr>
          <w:rFonts w:eastAsiaTheme="minorEastAsia" w:hint="eastAsia"/>
          <w:b/>
          <w:sz w:val="20"/>
          <w:szCs w:val="20"/>
          <w:lang w:eastAsia="zh-CN"/>
        </w:rPr>
      </w:pPr>
    </w:p>
    <w:p w:rsidR="004E4FEB" w:rsidRPr="004E4FEB" w:rsidRDefault="004E4FEB" w:rsidP="004E4FEB">
      <w:pPr>
        <w:snapToGrid w:val="0"/>
        <w:jc w:val="both"/>
        <w:rPr>
          <w:b/>
          <w:sz w:val="20"/>
          <w:szCs w:val="20"/>
        </w:rPr>
        <w:sectPr w:rsidR="004E4FEB" w:rsidRPr="004E4FEB" w:rsidSect="00731DE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19"/>
          <w:cols w:space="720"/>
          <w:docGrid w:linePitch="360"/>
        </w:sectPr>
      </w:pPr>
    </w:p>
    <w:p w:rsidR="00EA3773" w:rsidRPr="004E4FEB" w:rsidRDefault="00EA3773" w:rsidP="004E4FEB">
      <w:pPr>
        <w:snapToGrid w:val="0"/>
        <w:jc w:val="both"/>
        <w:rPr>
          <w:b/>
          <w:sz w:val="20"/>
          <w:szCs w:val="20"/>
        </w:rPr>
      </w:pPr>
      <w:r w:rsidRPr="004E4FEB">
        <w:rPr>
          <w:b/>
          <w:sz w:val="20"/>
          <w:szCs w:val="20"/>
        </w:rPr>
        <w:lastRenderedPageBreak/>
        <w:t>1. Introduction</w:t>
      </w:r>
    </w:p>
    <w:p w:rsidR="00EA3773" w:rsidRPr="004E4FEB" w:rsidRDefault="00EA3773" w:rsidP="004E4FEB">
      <w:pPr>
        <w:snapToGrid w:val="0"/>
        <w:ind w:firstLine="425"/>
        <w:jc w:val="both"/>
        <w:rPr>
          <w:sz w:val="20"/>
          <w:szCs w:val="20"/>
        </w:rPr>
      </w:pPr>
      <w:proofErr w:type="spellStart"/>
      <w:r w:rsidRPr="004E4FEB">
        <w:rPr>
          <w:i/>
          <w:sz w:val="20"/>
          <w:szCs w:val="20"/>
        </w:rPr>
        <w:t>Mormodica</w:t>
      </w:r>
      <w:proofErr w:type="spellEnd"/>
      <w:r w:rsidRPr="004E4FEB">
        <w:rPr>
          <w:sz w:val="20"/>
          <w:szCs w:val="20"/>
        </w:rPr>
        <w:t xml:space="preserve"> </w:t>
      </w:r>
      <w:proofErr w:type="spellStart"/>
      <w:r w:rsidRPr="004E4FEB">
        <w:rPr>
          <w:i/>
          <w:sz w:val="20"/>
          <w:szCs w:val="20"/>
        </w:rPr>
        <w:t>charantia</w:t>
      </w:r>
      <w:proofErr w:type="spellEnd"/>
      <w:r w:rsidRPr="004E4FEB">
        <w:rPr>
          <w:sz w:val="20"/>
          <w:szCs w:val="20"/>
        </w:rPr>
        <w:t xml:space="preserve"> (Bitter melon) belongs to the family </w:t>
      </w:r>
      <w:proofErr w:type="spellStart"/>
      <w:r w:rsidRPr="004E4FEB">
        <w:rPr>
          <w:i/>
          <w:sz w:val="20"/>
          <w:szCs w:val="20"/>
        </w:rPr>
        <w:t>cucurbitaceae</w:t>
      </w:r>
      <w:proofErr w:type="spellEnd"/>
      <w:r w:rsidRPr="004E4FEB">
        <w:rPr>
          <w:sz w:val="20"/>
          <w:szCs w:val="20"/>
        </w:rPr>
        <w:t xml:space="preserve"> plant. It is commonly known as bitter melon, bitter gourd, balsam apple. It grows in tropical areas such as part of the Amazon, East Africa, Asia and the Caribbean and also cultivated as food and medicine plant in South America. Bitter melon has been used in various Asian and </w:t>
      </w:r>
      <w:hyperlink r:id="rId13" w:tooltip="Africa" w:history="1">
        <w:r w:rsidRPr="004E4FEB">
          <w:rPr>
            <w:rStyle w:val="Hyperlink"/>
            <w:color w:val="000000"/>
            <w:sz w:val="20"/>
            <w:szCs w:val="20"/>
          </w:rPr>
          <w:t>African</w:t>
        </w:r>
      </w:hyperlink>
      <w:r w:rsidRPr="004E4FEB">
        <w:rPr>
          <w:color w:val="000000"/>
          <w:sz w:val="20"/>
          <w:szCs w:val="20"/>
        </w:rPr>
        <w:t xml:space="preserve"> </w:t>
      </w:r>
      <w:hyperlink r:id="rId14" w:tooltip="Herbal medicine" w:history="1">
        <w:r w:rsidRPr="004E4FEB">
          <w:rPr>
            <w:rStyle w:val="Hyperlink"/>
            <w:color w:val="000000"/>
            <w:sz w:val="20"/>
            <w:szCs w:val="20"/>
          </w:rPr>
          <w:t>herbal medicine</w:t>
        </w:r>
      </w:hyperlink>
      <w:r w:rsidRPr="004E4FEB">
        <w:rPr>
          <w:sz w:val="20"/>
          <w:szCs w:val="20"/>
        </w:rPr>
        <w:t xml:space="preserve"> systems for a long time.</w:t>
      </w:r>
      <w:r w:rsidRPr="004E4FEB">
        <w:rPr>
          <w:rStyle w:val="citationjournal"/>
          <w:sz w:val="20"/>
          <w:szCs w:val="20"/>
        </w:rPr>
        <w:t xml:space="preserve"> (</w:t>
      </w:r>
      <w:proofErr w:type="spellStart"/>
      <w:r w:rsidRPr="004E4FEB">
        <w:rPr>
          <w:rStyle w:val="reference-text"/>
          <w:sz w:val="20"/>
          <w:szCs w:val="20"/>
        </w:rPr>
        <w:t>Ananya</w:t>
      </w:r>
      <w:proofErr w:type="spellEnd"/>
      <w:r w:rsidR="0081372A">
        <w:rPr>
          <w:rStyle w:val="reference-text"/>
          <w:sz w:val="20"/>
          <w:szCs w:val="20"/>
        </w:rPr>
        <w:t xml:space="preserve"> </w:t>
      </w:r>
      <w:r w:rsidRPr="004E4FEB">
        <w:rPr>
          <w:rStyle w:val="reference-text"/>
          <w:sz w:val="20"/>
          <w:szCs w:val="20"/>
        </w:rPr>
        <w:t xml:space="preserve">and </w:t>
      </w:r>
      <w:proofErr w:type="spellStart"/>
      <w:proofErr w:type="gramStart"/>
      <w:r w:rsidRPr="004E4FEB">
        <w:rPr>
          <w:rStyle w:val="reference-text"/>
          <w:sz w:val="20"/>
          <w:szCs w:val="20"/>
        </w:rPr>
        <w:t>Raychaudhuri</w:t>
      </w:r>
      <w:proofErr w:type="spellEnd"/>
      <w:r w:rsidRPr="004E4FEB">
        <w:rPr>
          <w:rStyle w:val="reference-text"/>
          <w:sz w:val="20"/>
          <w:szCs w:val="20"/>
        </w:rPr>
        <w:t>.,</w:t>
      </w:r>
      <w:proofErr w:type="gramEnd"/>
      <w:r w:rsidRPr="004E4FEB">
        <w:rPr>
          <w:rStyle w:val="reference-text"/>
          <w:sz w:val="20"/>
          <w:szCs w:val="20"/>
        </w:rPr>
        <w:t xml:space="preserve"> 2010</w:t>
      </w:r>
      <w:r w:rsidRPr="004E4FEB">
        <w:rPr>
          <w:rStyle w:val="reference-text"/>
          <w:color w:val="000000"/>
          <w:sz w:val="20"/>
          <w:szCs w:val="20"/>
        </w:rPr>
        <w:t xml:space="preserve">; </w:t>
      </w:r>
      <w:proofErr w:type="spellStart"/>
      <w:r w:rsidRPr="004E4FEB">
        <w:rPr>
          <w:rStyle w:val="citationjournal"/>
          <w:sz w:val="20"/>
          <w:szCs w:val="20"/>
        </w:rPr>
        <w:t>Beloin</w:t>
      </w:r>
      <w:proofErr w:type="spellEnd"/>
      <w:r w:rsidRPr="004E4FEB">
        <w:rPr>
          <w:rStyle w:val="citationjournal"/>
          <w:sz w:val="20"/>
          <w:szCs w:val="20"/>
        </w:rPr>
        <w:t xml:space="preserve"> </w:t>
      </w:r>
      <w:r w:rsidRPr="004E4FEB">
        <w:rPr>
          <w:rStyle w:val="citationjournal"/>
          <w:i/>
          <w:sz w:val="20"/>
          <w:szCs w:val="20"/>
        </w:rPr>
        <w:t>et al</w:t>
      </w:r>
      <w:r w:rsidRPr="004E4FEB">
        <w:rPr>
          <w:rStyle w:val="citationjournal"/>
          <w:sz w:val="20"/>
          <w:szCs w:val="20"/>
        </w:rPr>
        <w:t xml:space="preserve">.,2005). </w:t>
      </w:r>
      <w:r w:rsidRPr="004E4FEB">
        <w:rPr>
          <w:sz w:val="20"/>
          <w:szCs w:val="20"/>
        </w:rPr>
        <w:t>In Turkey, it has been used as a folk remedy for a variety of ailments, particularly stomach complaints (</w:t>
      </w:r>
      <w:proofErr w:type="spellStart"/>
      <w:r w:rsidRPr="004E4FEB">
        <w:rPr>
          <w:rStyle w:val="citationjournal"/>
          <w:sz w:val="20"/>
          <w:szCs w:val="20"/>
        </w:rPr>
        <w:t>Semiz</w:t>
      </w:r>
      <w:proofErr w:type="spellEnd"/>
      <w:r w:rsidRPr="004E4FEB">
        <w:rPr>
          <w:rStyle w:val="citationjournal"/>
          <w:sz w:val="20"/>
          <w:szCs w:val="20"/>
        </w:rPr>
        <w:t xml:space="preserve"> and </w:t>
      </w:r>
      <w:proofErr w:type="spellStart"/>
      <w:r w:rsidRPr="004E4FEB">
        <w:rPr>
          <w:rStyle w:val="citationjournal"/>
          <w:sz w:val="20"/>
          <w:szCs w:val="20"/>
        </w:rPr>
        <w:t>Sen</w:t>
      </w:r>
      <w:proofErr w:type="spellEnd"/>
      <w:r w:rsidRPr="004E4FEB">
        <w:rPr>
          <w:rStyle w:val="citationjournal"/>
          <w:sz w:val="20"/>
          <w:szCs w:val="20"/>
        </w:rPr>
        <w:t>, 2007).</w:t>
      </w:r>
      <w:r w:rsidR="0081372A">
        <w:rPr>
          <w:rStyle w:val="citationjournal"/>
          <w:rFonts w:eastAsiaTheme="minorEastAsia" w:hint="eastAsia"/>
          <w:sz w:val="20"/>
          <w:szCs w:val="20"/>
          <w:lang w:eastAsia="zh-CN"/>
        </w:rPr>
        <w:t xml:space="preserve"> </w:t>
      </w:r>
      <w:r w:rsidRPr="004E4FEB">
        <w:rPr>
          <w:sz w:val="20"/>
          <w:szCs w:val="20"/>
        </w:rPr>
        <w:t>The fruit is broken up and soaked in either olive oil or honey.</w:t>
      </w:r>
    </w:p>
    <w:p w:rsidR="00EA3773" w:rsidRPr="004E4FEB" w:rsidRDefault="00EA3773" w:rsidP="004E4FEB">
      <w:pPr>
        <w:snapToGrid w:val="0"/>
        <w:ind w:firstLine="425"/>
        <w:jc w:val="both"/>
        <w:rPr>
          <w:sz w:val="20"/>
          <w:szCs w:val="20"/>
        </w:rPr>
      </w:pPr>
      <w:r w:rsidRPr="004E4FEB">
        <w:rPr>
          <w:sz w:val="20"/>
          <w:szCs w:val="20"/>
        </w:rPr>
        <w:t xml:space="preserve">Bitter melon has been used in various Asian traditional medicine systems for long life (Grover and </w:t>
      </w:r>
      <w:proofErr w:type="spellStart"/>
      <w:r w:rsidRPr="004E4FEB">
        <w:rPr>
          <w:sz w:val="20"/>
          <w:szCs w:val="20"/>
        </w:rPr>
        <w:t>Yadav</w:t>
      </w:r>
      <w:proofErr w:type="spellEnd"/>
      <w:r w:rsidRPr="004E4FEB">
        <w:rPr>
          <w:sz w:val="20"/>
          <w:szCs w:val="20"/>
        </w:rPr>
        <w:t>, 2004).</w:t>
      </w:r>
    </w:p>
    <w:p w:rsidR="00EA3773" w:rsidRPr="004E4FEB" w:rsidRDefault="00EA3773" w:rsidP="004E4FEB">
      <w:pPr>
        <w:snapToGrid w:val="0"/>
        <w:ind w:firstLine="425"/>
        <w:jc w:val="both"/>
        <w:rPr>
          <w:sz w:val="20"/>
          <w:szCs w:val="20"/>
        </w:rPr>
      </w:pPr>
      <w:r w:rsidRPr="004E4FEB">
        <w:rPr>
          <w:sz w:val="20"/>
          <w:szCs w:val="20"/>
        </w:rPr>
        <w:t xml:space="preserve">The plant contains several biologically active compounds, chiefly </w:t>
      </w:r>
      <w:hyperlink r:id="rId15" w:tooltip="Momordicin I" w:history="1">
        <w:proofErr w:type="spellStart"/>
        <w:r w:rsidRPr="004E4FEB">
          <w:rPr>
            <w:rStyle w:val="Hyperlink"/>
            <w:color w:val="000000"/>
            <w:sz w:val="20"/>
            <w:szCs w:val="20"/>
          </w:rPr>
          <w:t>momordicin</w:t>
        </w:r>
        <w:proofErr w:type="spellEnd"/>
        <w:r w:rsidRPr="004E4FEB">
          <w:rPr>
            <w:rStyle w:val="Hyperlink"/>
            <w:color w:val="000000"/>
            <w:sz w:val="20"/>
            <w:szCs w:val="20"/>
          </w:rPr>
          <w:t xml:space="preserve"> I</w:t>
        </w:r>
      </w:hyperlink>
      <w:r w:rsidRPr="004E4FEB">
        <w:rPr>
          <w:sz w:val="20"/>
          <w:szCs w:val="20"/>
        </w:rPr>
        <w:t xml:space="preserve"> and </w:t>
      </w:r>
      <w:hyperlink r:id="rId16" w:tooltip="Momordicin II (page does not exist)" w:history="1">
        <w:proofErr w:type="spellStart"/>
        <w:r w:rsidRPr="004E4FEB">
          <w:rPr>
            <w:rStyle w:val="Hyperlink"/>
            <w:color w:val="000000"/>
            <w:sz w:val="20"/>
            <w:szCs w:val="20"/>
          </w:rPr>
          <w:t>momordicin</w:t>
        </w:r>
        <w:proofErr w:type="spellEnd"/>
        <w:r w:rsidRPr="004E4FEB">
          <w:rPr>
            <w:rStyle w:val="Hyperlink"/>
            <w:color w:val="000000"/>
            <w:sz w:val="20"/>
            <w:szCs w:val="20"/>
          </w:rPr>
          <w:t xml:space="preserve"> II</w:t>
        </w:r>
      </w:hyperlink>
      <w:r w:rsidRPr="004E4FEB">
        <w:rPr>
          <w:sz w:val="20"/>
          <w:szCs w:val="20"/>
        </w:rPr>
        <w:t xml:space="preserve">, and </w:t>
      </w:r>
      <w:proofErr w:type="spellStart"/>
      <w:r w:rsidRPr="004E4FEB">
        <w:rPr>
          <w:color w:val="000000"/>
          <w:sz w:val="20"/>
          <w:szCs w:val="20"/>
        </w:rPr>
        <w:t>cucurbitacin</w:t>
      </w:r>
      <w:proofErr w:type="spellEnd"/>
      <w:r w:rsidRPr="004E4FEB">
        <w:rPr>
          <w:color w:val="000000"/>
          <w:sz w:val="20"/>
          <w:szCs w:val="20"/>
        </w:rPr>
        <w:t xml:space="preserve"> B</w:t>
      </w:r>
      <w:r w:rsidRPr="004E4FEB">
        <w:rPr>
          <w:sz w:val="20"/>
          <w:szCs w:val="20"/>
        </w:rPr>
        <w:t>.</w:t>
      </w:r>
      <w:r w:rsidR="0081372A">
        <w:rPr>
          <w:sz w:val="20"/>
          <w:szCs w:val="20"/>
        </w:rPr>
        <w:t xml:space="preserve"> </w:t>
      </w:r>
      <w:r w:rsidRPr="004E4FEB">
        <w:rPr>
          <w:sz w:val="20"/>
          <w:szCs w:val="20"/>
        </w:rPr>
        <w:t>(</w:t>
      </w:r>
      <w:proofErr w:type="spellStart"/>
      <w:r w:rsidRPr="004E4FEB">
        <w:rPr>
          <w:rStyle w:val="citationjournal"/>
          <w:sz w:val="20"/>
          <w:szCs w:val="20"/>
        </w:rPr>
        <w:t>Fatope</w:t>
      </w:r>
      <w:proofErr w:type="spellEnd"/>
      <w:r w:rsidRPr="004E4FEB">
        <w:rPr>
          <w:rStyle w:val="citationjournal"/>
          <w:sz w:val="20"/>
          <w:szCs w:val="20"/>
        </w:rPr>
        <w:t xml:space="preserve"> </w:t>
      </w:r>
      <w:r w:rsidRPr="004E4FEB">
        <w:rPr>
          <w:rStyle w:val="citationjournal"/>
          <w:i/>
          <w:sz w:val="20"/>
          <w:szCs w:val="20"/>
        </w:rPr>
        <w:t xml:space="preserve">et al., </w:t>
      </w:r>
      <w:r w:rsidRPr="004E4FEB">
        <w:rPr>
          <w:rStyle w:val="citationjournal"/>
          <w:sz w:val="20"/>
          <w:szCs w:val="20"/>
        </w:rPr>
        <w:t>1990).</w:t>
      </w:r>
      <w:r w:rsidRPr="004E4FEB">
        <w:rPr>
          <w:sz w:val="20"/>
          <w:szCs w:val="20"/>
        </w:rPr>
        <w:t xml:space="preserve"> The plants contains also several bioactive </w:t>
      </w:r>
      <w:r w:rsidRPr="004E4FEB">
        <w:rPr>
          <w:color w:val="000000"/>
          <w:sz w:val="20"/>
          <w:szCs w:val="20"/>
        </w:rPr>
        <w:t xml:space="preserve">glycosides including </w:t>
      </w:r>
      <w:hyperlink r:id="rId17" w:tooltip="Momordin (saponin)" w:history="1">
        <w:proofErr w:type="spellStart"/>
        <w:r w:rsidRPr="004E4FEB">
          <w:rPr>
            <w:rStyle w:val="Hyperlink"/>
            <w:color w:val="000000"/>
            <w:sz w:val="20"/>
            <w:szCs w:val="20"/>
          </w:rPr>
          <w:t>momordin</w:t>
        </w:r>
        <w:proofErr w:type="spellEnd"/>
      </w:hyperlink>
      <w:r w:rsidRPr="004E4FEB">
        <w:rPr>
          <w:color w:val="000000"/>
          <w:sz w:val="20"/>
          <w:szCs w:val="20"/>
        </w:rPr>
        <w:t xml:space="preserve">, </w:t>
      </w:r>
      <w:hyperlink r:id="rId18" w:tooltip="Charantin" w:history="1">
        <w:proofErr w:type="spellStart"/>
        <w:r w:rsidRPr="004E4FEB">
          <w:rPr>
            <w:rStyle w:val="Hyperlink"/>
            <w:color w:val="000000"/>
            <w:sz w:val="20"/>
            <w:szCs w:val="20"/>
          </w:rPr>
          <w:t>charantin</w:t>
        </w:r>
        <w:proofErr w:type="spellEnd"/>
      </w:hyperlink>
      <w:r w:rsidRPr="004E4FEB">
        <w:rPr>
          <w:color w:val="000000"/>
          <w:sz w:val="20"/>
          <w:szCs w:val="20"/>
        </w:rPr>
        <w:t xml:space="preserve">, </w:t>
      </w:r>
      <w:hyperlink r:id="rId19" w:tooltip="Charantoside" w:history="1">
        <w:proofErr w:type="spellStart"/>
        <w:r w:rsidRPr="004E4FEB">
          <w:rPr>
            <w:rStyle w:val="Hyperlink"/>
            <w:color w:val="000000"/>
            <w:sz w:val="20"/>
            <w:szCs w:val="20"/>
          </w:rPr>
          <w:t>charantosides</w:t>
        </w:r>
        <w:proofErr w:type="spellEnd"/>
      </w:hyperlink>
      <w:r w:rsidRPr="004E4FEB">
        <w:rPr>
          <w:color w:val="000000"/>
          <w:sz w:val="20"/>
          <w:szCs w:val="20"/>
        </w:rPr>
        <w:t xml:space="preserve">, </w:t>
      </w:r>
      <w:hyperlink r:id="rId20" w:tooltip="Goyaglycoside" w:history="1">
        <w:proofErr w:type="spellStart"/>
        <w:r w:rsidRPr="004E4FEB">
          <w:rPr>
            <w:rStyle w:val="Hyperlink"/>
            <w:color w:val="000000"/>
            <w:sz w:val="20"/>
            <w:szCs w:val="20"/>
          </w:rPr>
          <w:t>goyaglycosides</w:t>
        </w:r>
        <w:proofErr w:type="spellEnd"/>
      </w:hyperlink>
      <w:r w:rsidRPr="004E4FEB">
        <w:rPr>
          <w:color w:val="000000"/>
          <w:sz w:val="20"/>
          <w:szCs w:val="20"/>
        </w:rPr>
        <w:t xml:space="preserve">, </w:t>
      </w:r>
      <w:hyperlink r:id="rId21" w:tooltip="Momordicoside" w:history="1">
        <w:proofErr w:type="spellStart"/>
        <w:r w:rsidRPr="004E4FEB">
          <w:rPr>
            <w:rStyle w:val="Hyperlink"/>
            <w:color w:val="000000"/>
            <w:sz w:val="20"/>
            <w:szCs w:val="20"/>
          </w:rPr>
          <w:t>momordicosides</w:t>
        </w:r>
        <w:proofErr w:type="spellEnd"/>
      </w:hyperlink>
      <w:r w:rsidRPr="004E4FEB">
        <w:rPr>
          <w:color w:val="000000"/>
          <w:sz w:val="20"/>
          <w:szCs w:val="20"/>
        </w:rPr>
        <w:t xml:space="preserve"> and other </w:t>
      </w:r>
      <w:hyperlink r:id="rId22" w:tooltip="Terpenoid" w:history="1">
        <w:proofErr w:type="spellStart"/>
        <w:r w:rsidRPr="004E4FEB">
          <w:rPr>
            <w:rStyle w:val="Hyperlink"/>
            <w:color w:val="000000"/>
            <w:sz w:val="20"/>
            <w:szCs w:val="20"/>
          </w:rPr>
          <w:t>terpenoid</w:t>
        </w:r>
        <w:proofErr w:type="spellEnd"/>
      </w:hyperlink>
      <w:r w:rsidRPr="004E4FEB">
        <w:rPr>
          <w:color w:val="000000"/>
          <w:sz w:val="20"/>
          <w:szCs w:val="20"/>
        </w:rPr>
        <w:t xml:space="preserve"> compounds </w:t>
      </w:r>
      <w:r w:rsidRPr="004E4FEB">
        <w:rPr>
          <w:color w:val="000000"/>
          <w:sz w:val="20"/>
          <w:szCs w:val="20"/>
        </w:rPr>
        <w:lastRenderedPageBreak/>
        <w:t xml:space="preserve">including </w:t>
      </w:r>
      <w:hyperlink r:id="rId23" w:tooltip="Momordicin-28" w:history="1">
        <w:r w:rsidRPr="004E4FEB">
          <w:rPr>
            <w:rStyle w:val="Hyperlink"/>
            <w:color w:val="000000"/>
            <w:sz w:val="20"/>
            <w:szCs w:val="20"/>
          </w:rPr>
          <w:t>momordicin-28</w:t>
        </w:r>
      </w:hyperlink>
      <w:r w:rsidRPr="004E4FEB">
        <w:rPr>
          <w:color w:val="000000"/>
          <w:sz w:val="20"/>
          <w:szCs w:val="20"/>
        </w:rPr>
        <w:t>,</w:t>
      </w:r>
      <w:r w:rsidR="0081372A">
        <w:rPr>
          <w:rFonts w:eastAsiaTheme="minorEastAsia" w:hint="eastAsia"/>
          <w:color w:val="000000"/>
          <w:sz w:val="20"/>
          <w:szCs w:val="20"/>
          <w:lang w:eastAsia="zh-CN"/>
        </w:rPr>
        <w:t xml:space="preserve"> </w:t>
      </w:r>
      <w:hyperlink r:id="rId24" w:tooltip="Momordicinin" w:history="1">
        <w:proofErr w:type="spellStart"/>
        <w:r w:rsidRPr="004E4FEB">
          <w:rPr>
            <w:rStyle w:val="Hyperlink"/>
            <w:color w:val="000000"/>
            <w:sz w:val="20"/>
            <w:szCs w:val="20"/>
          </w:rPr>
          <w:t>momordicinin</w:t>
        </w:r>
        <w:proofErr w:type="spellEnd"/>
      </w:hyperlink>
      <w:r w:rsidRPr="004E4FEB">
        <w:rPr>
          <w:color w:val="000000"/>
          <w:sz w:val="20"/>
          <w:szCs w:val="20"/>
        </w:rPr>
        <w:t>,</w:t>
      </w:r>
      <w:r w:rsidR="0081372A">
        <w:rPr>
          <w:rFonts w:eastAsiaTheme="minorEastAsia" w:hint="eastAsia"/>
          <w:color w:val="000000"/>
          <w:sz w:val="20"/>
          <w:szCs w:val="20"/>
          <w:lang w:eastAsia="zh-CN"/>
        </w:rPr>
        <w:t xml:space="preserve"> </w:t>
      </w:r>
      <w:hyperlink r:id="rId25" w:tooltip="Momordicilin" w:history="1">
        <w:proofErr w:type="spellStart"/>
        <w:r w:rsidRPr="004E4FEB">
          <w:rPr>
            <w:rStyle w:val="Hyperlink"/>
            <w:color w:val="000000"/>
            <w:sz w:val="20"/>
            <w:szCs w:val="20"/>
          </w:rPr>
          <w:t>momordicilin</w:t>
        </w:r>
        <w:proofErr w:type="spellEnd"/>
      </w:hyperlink>
      <w:r w:rsidRPr="004E4FEB">
        <w:rPr>
          <w:color w:val="000000"/>
          <w:sz w:val="20"/>
          <w:szCs w:val="20"/>
        </w:rPr>
        <w:t xml:space="preserve">, </w:t>
      </w:r>
      <w:hyperlink r:id="rId26" w:tooltip="Momordenol" w:history="1">
        <w:proofErr w:type="spellStart"/>
        <w:r w:rsidRPr="004E4FEB">
          <w:rPr>
            <w:rStyle w:val="Hyperlink"/>
            <w:color w:val="000000"/>
            <w:sz w:val="20"/>
            <w:szCs w:val="20"/>
          </w:rPr>
          <w:t>momordenol</w:t>
        </w:r>
        <w:proofErr w:type="spellEnd"/>
      </w:hyperlink>
      <w:r w:rsidRPr="004E4FEB">
        <w:rPr>
          <w:color w:val="000000"/>
          <w:sz w:val="20"/>
          <w:szCs w:val="20"/>
        </w:rPr>
        <w:t xml:space="preserve">, and </w:t>
      </w:r>
      <w:hyperlink r:id="rId27" w:tooltip="Momordol" w:history="1">
        <w:proofErr w:type="spellStart"/>
        <w:r w:rsidRPr="004E4FEB">
          <w:rPr>
            <w:rStyle w:val="Hyperlink"/>
            <w:color w:val="000000"/>
            <w:sz w:val="20"/>
            <w:szCs w:val="20"/>
          </w:rPr>
          <w:t>momordol</w:t>
        </w:r>
        <w:proofErr w:type="spellEnd"/>
      </w:hyperlink>
      <w:r w:rsidRPr="004E4FEB">
        <w:rPr>
          <w:sz w:val="20"/>
          <w:szCs w:val="20"/>
        </w:rPr>
        <w:t xml:space="preserve"> (</w:t>
      </w:r>
      <w:r w:rsidRPr="004E4FEB">
        <w:rPr>
          <w:rStyle w:val="citationjournal"/>
          <w:sz w:val="20"/>
          <w:szCs w:val="20"/>
        </w:rPr>
        <w:t xml:space="preserve">Begum, </w:t>
      </w:r>
      <w:r w:rsidRPr="004E4FEB">
        <w:rPr>
          <w:rStyle w:val="citationjournal"/>
          <w:i/>
          <w:sz w:val="20"/>
          <w:szCs w:val="20"/>
        </w:rPr>
        <w:t>et al.,</w:t>
      </w:r>
      <w:r w:rsidRPr="004E4FEB">
        <w:rPr>
          <w:rStyle w:val="citationjournal"/>
          <w:sz w:val="20"/>
          <w:szCs w:val="20"/>
        </w:rPr>
        <w:t xml:space="preserve"> 1997, Kimura, </w:t>
      </w:r>
      <w:r w:rsidRPr="004E4FEB">
        <w:rPr>
          <w:rStyle w:val="citationjournal"/>
          <w:i/>
          <w:sz w:val="20"/>
          <w:szCs w:val="20"/>
        </w:rPr>
        <w:t>et al.,</w:t>
      </w:r>
      <w:r w:rsidRPr="004E4FEB">
        <w:rPr>
          <w:rStyle w:val="citationjournal"/>
          <w:sz w:val="20"/>
          <w:szCs w:val="20"/>
        </w:rPr>
        <w:t xml:space="preserve"> 2005).</w:t>
      </w:r>
      <w:r w:rsidRPr="004E4FEB">
        <w:rPr>
          <w:sz w:val="20"/>
          <w:szCs w:val="20"/>
        </w:rPr>
        <w:t xml:space="preserve"> It also contains </w:t>
      </w:r>
      <w:proofErr w:type="spellStart"/>
      <w:r w:rsidRPr="004E4FEB">
        <w:rPr>
          <w:sz w:val="20"/>
          <w:szCs w:val="20"/>
        </w:rPr>
        <w:t>cytotoxic</w:t>
      </w:r>
      <w:proofErr w:type="spellEnd"/>
      <w:r w:rsidRPr="004E4FEB">
        <w:rPr>
          <w:sz w:val="20"/>
          <w:szCs w:val="20"/>
        </w:rPr>
        <w:t xml:space="preserve"> (ribosome-inactivating) proteins such as </w:t>
      </w:r>
      <w:proofErr w:type="spellStart"/>
      <w:r w:rsidRPr="004E4FEB">
        <w:rPr>
          <w:sz w:val="20"/>
          <w:szCs w:val="20"/>
        </w:rPr>
        <w:t>momorcharin</w:t>
      </w:r>
      <w:proofErr w:type="spellEnd"/>
      <w:r w:rsidRPr="004E4FEB">
        <w:rPr>
          <w:sz w:val="20"/>
          <w:szCs w:val="20"/>
        </w:rPr>
        <w:t xml:space="preserve"> and </w:t>
      </w:r>
      <w:proofErr w:type="spellStart"/>
      <w:r w:rsidRPr="004E4FEB">
        <w:rPr>
          <w:sz w:val="20"/>
          <w:szCs w:val="20"/>
        </w:rPr>
        <w:t>momordin</w:t>
      </w:r>
      <w:proofErr w:type="spellEnd"/>
      <w:r w:rsidRPr="004E4FEB">
        <w:rPr>
          <w:sz w:val="20"/>
          <w:szCs w:val="20"/>
        </w:rPr>
        <w:t xml:space="preserve">. </w:t>
      </w:r>
      <w:proofErr w:type="spellStart"/>
      <w:r w:rsidRPr="004E4FEB">
        <w:rPr>
          <w:rStyle w:val="citationjournal"/>
          <w:sz w:val="20"/>
          <w:szCs w:val="20"/>
        </w:rPr>
        <w:t>Ortigao</w:t>
      </w:r>
      <w:proofErr w:type="spellEnd"/>
      <w:r w:rsidRPr="004E4FEB">
        <w:rPr>
          <w:rStyle w:val="citationjournal"/>
          <w:sz w:val="20"/>
          <w:szCs w:val="20"/>
        </w:rPr>
        <w:t xml:space="preserve"> and Better (1992) and </w:t>
      </w:r>
      <w:proofErr w:type="spellStart"/>
      <w:r w:rsidRPr="004E4FEB">
        <w:rPr>
          <w:sz w:val="20"/>
          <w:szCs w:val="20"/>
        </w:rPr>
        <w:t>Waako</w:t>
      </w:r>
      <w:proofErr w:type="spellEnd"/>
      <w:r w:rsidRPr="004E4FEB">
        <w:rPr>
          <w:sz w:val="20"/>
          <w:szCs w:val="20"/>
        </w:rPr>
        <w:t xml:space="preserve"> </w:t>
      </w:r>
      <w:r w:rsidRPr="004E4FEB">
        <w:rPr>
          <w:i/>
          <w:sz w:val="20"/>
          <w:szCs w:val="20"/>
        </w:rPr>
        <w:t>et al</w:t>
      </w:r>
      <w:r w:rsidRPr="004E4FEB">
        <w:rPr>
          <w:sz w:val="20"/>
          <w:szCs w:val="20"/>
        </w:rPr>
        <w:t xml:space="preserve"> (2005) reported that various species of bitter melon have anti-malaria activities through human studies have not been published.</w:t>
      </w:r>
    </w:p>
    <w:p w:rsidR="00EA3773" w:rsidRPr="004E4FEB" w:rsidRDefault="00EA3773" w:rsidP="004E4FEB">
      <w:pPr>
        <w:snapToGrid w:val="0"/>
        <w:ind w:firstLine="425"/>
        <w:jc w:val="both"/>
        <w:rPr>
          <w:sz w:val="20"/>
          <w:szCs w:val="20"/>
        </w:rPr>
      </w:pPr>
      <w:r w:rsidRPr="004E4FEB">
        <w:rPr>
          <w:sz w:val="20"/>
          <w:szCs w:val="20"/>
        </w:rPr>
        <w:t>Laboratory tests also suggest that some compounds in bitter melon might be effective for treating Human immunodeficiency virus HIV infection (</w:t>
      </w:r>
      <w:proofErr w:type="spellStart"/>
      <w:r w:rsidRPr="004E4FEB">
        <w:rPr>
          <w:sz w:val="20"/>
          <w:szCs w:val="20"/>
        </w:rPr>
        <w:t>Jiratchariyakul</w:t>
      </w:r>
      <w:proofErr w:type="spellEnd"/>
      <w:r w:rsidRPr="004E4FEB">
        <w:rPr>
          <w:sz w:val="20"/>
          <w:szCs w:val="20"/>
        </w:rPr>
        <w:t xml:space="preserve"> </w:t>
      </w:r>
      <w:r w:rsidRPr="004E4FEB">
        <w:rPr>
          <w:i/>
          <w:sz w:val="20"/>
          <w:szCs w:val="20"/>
        </w:rPr>
        <w:t>et al</w:t>
      </w:r>
      <w:r w:rsidRPr="004E4FEB">
        <w:rPr>
          <w:sz w:val="20"/>
          <w:szCs w:val="20"/>
        </w:rPr>
        <w:t>, 2001). It is used topically for sores, wounds, infections, internally and externally for worms and parasites (Leslie Taylor, 2005).</w:t>
      </w:r>
    </w:p>
    <w:p w:rsidR="00EA3773" w:rsidRPr="004E4FEB" w:rsidRDefault="00EA3773" w:rsidP="004E4FEB">
      <w:pPr>
        <w:snapToGrid w:val="0"/>
        <w:ind w:firstLine="425"/>
        <w:jc w:val="both"/>
        <w:rPr>
          <w:sz w:val="20"/>
          <w:szCs w:val="20"/>
        </w:rPr>
      </w:pPr>
      <w:r w:rsidRPr="004E4FEB">
        <w:rPr>
          <w:sz w:val="20"/>
          <w:szCs w:val="20"/>
        </w:rPr>
        <w:t>Several in-vivo studies have demonstrated the anti-</w:t>
      </w:r>
      <w:proofErr w:type="spellStart"/>
      <w:r w:rsidRPr="004E4FEB">
        <w:rPr>
          <w:sz w:val="20"/>
          <w:szCs w:val="20"/>
        </w:rPr>
        <w:t>tumourous</w:t>
      </w:r>
      <w:proofErr w:type="spellEnd"/>
      <w:r w:rsidRPr="004E4FEB">
        <w:rPr>
          <w:sz w:val="20"/>
          <w:szCs w:val="20"/>
        </w:rPr>
        <w:t xml:space="preserve"> activity of the entire plant of bitter melon. A study showed that a water extract of bitter melon blocks the growth of rat prostate carcinoma; while another study reported that a hot water extract of the entire plant inhibited the development of mammary tumors in mice.</w:t>
      </w:r>
    </w:p>
    <w:p w:rsidR="00EA3773" w:rsidRPr="004E4FEB" w:rsidRDefault="00EA3773" w:rsidP="004E4FEB">
      <w:pPr>
        <w:snapToGrid w:val="0"/>
        <w:ind w:firstLine="425"/>
        <w:jc w:val="both"/>
        <w:rPr>
          <w:sz w:val="20"/>
          <w:szCs w:val="20"/>
        </w:rPr>
      </w:pPr>
      <w:r w:rsidRPr="004E4FEB">
        <w:rPr>
          <w:sz w:val="20"/>
          <w:szCs w:val="20"/>
        </w:rPr>
        <w:lastRenderedPageBreak/>
        <w:t>Other in-vitro studies have also demonstrated the anti-cancerous and anti-leukemia activity of bitter melon against numerous cell lines including liver cancer, human leukemia, melanoma and solid sarcomas (Leslie Taylor, 2005).</w:t>
      </w:r>
    </w:p>
    <w:p w:rsidR="00EA3773" w:rsidRPr="004E4FEB" w:rsidRDefault="00EA3773" w:rsidP="004E4FEB">
      <w:pPr>
        <w:snapToGrid w:val="0"/>
        <w:ind w:firstLine="425"/>
        <w:jc w:val="both"/>
        <w:rPr>
          <w:sz w:val="20"/>
          <w:szCs w:val="20"/>
        </w:rPr>
      </w:pPr>
      <w:r w:rsidRPr="004E4FEB">
        <w:rPr>
          <w:sz w:val="20"/>
          <w:szCs w:val="20"/>
        </w:rPr>
        <w:t xml:space="preserve">In addition to these properties, leaf extracts of bitter melon have demonstrated broad spectrum antimicrobial activity. Various extracts of the leaves have demonstrated in-vitro antibacterial activities against E coli, staphylococcus, pseudomonas, Salmonella, </w:t>
      </w:r>
      <w:proofErr w:type="spellStart"/>
      <w:r w:rsidRPr="004E4FEB">
        <w:rPr>
          <w:sz w:val="20"/>
          <w:szCs w:val="20"/>
        </w:rPr>
        <w:t>Streptobacillus</w:t>
      </w:r>
      <w:proofErr w:type="spellEnd"/>
      <w:r w:rsidRPr="004E4FEB">
        <w:rPr>
          <w:sz w:val="20"/>
          <w:szCs w:val="20"/>
        </w:rPr>
        <w:t xml:space="preserve"> and streptococcus. The entire plant was also shown to have </w:t>
      </w:r>
      <w:proofErr w:type="spellStart"/>
      <w:r w:rsidRPr="004E4FEB">
        <w:rPr>
          <w:sz w:val="20"/>
          <w:szCs w:val="20"/>
        </w:rPr>
        <w:t>antiprotozoal</w:t>
      </w:r>
      <w:proofErr w:type="spellEnd"/>
      <w:r w:rsidRPr="004E4FEB">
        <w:rPr>
          <w:sz w:val="20"/>
          <w:szCs w:val="20"/>
        </w:rPr>
        <w:t xml:space="preserve"> activity against </w:t>
      </w:r>
      <w:proofErr w:type="spellStart"/>
      <w:r w:rsidRPr="004E4FEB">
        <w:rPr>
          <w:i/>
          <w:sz w:val="20"/>
          <w:szCs w:val="20"/>
        </w:rPr>
        <w:t>Entamoeba</w:t>
      </w:r>
      <w:proofErr w:type="spellEnd"/>
      <w:r w:rsidRPr="004E4FEB">
        <w:rPr>
          <w:sz w:val="20"/>
          <w:szCs w:val="20"/>
        </w:rPr>
        <w:t xml:space="preserve"> </w:t>
      </w:r>
      <w:proofErr w:type="spellStart"/>
      <w:r w:rsidRPr="004E4FEB">
        <w:rPr>
          <w:i/>
          <w:sz w:val="20"/>
          <w:szCs w:val="20"/>
        </w:rPr>
        <w:t>histolytica</w:t>
      </w:r>
      <w:proofErr w:type="spellEnd"/>
      <w:r w:rsidRPr="004E4FEB">
        <w:rPr>
          <w:sz w:val="20"/>
          <w:szCs w:val="20"/>
        </w:rPr>
        <w:t xml:space="preserve"> (Leslie Taylor, 2005).</w:t>
      </w:r>
    </w:p>
    <w:p w:rsidR="00EA3773" w:rsidRPr="00BE0EDB" w:rsidRDefault="00EA3773" w:rsidP="004E4FEB">
      <w:pPr>
        <w:snapToGrid w:val="0"/>
        <w:ind w:firstLine="425"/>
        <w:jc w:val="both"/>
        <w:rPr>
          <w:rFonts w:eastAsiaTheme="minorEastAsia"/>
          <w:i/>
          <w:sz w:val="20"/>
          <w:szCs w:val="20"/>
          <w:lang w:eastAsia="zh-CN"/>
        </w:rPr>
      </w:pPr>
      <w:r w:rsidRPr="004E4FEB">
        <w:rPr>
          <w:sz w:val="20"/>
          <w:szCs w:val="20"/>
        </w:rPr>
        <w:t xml:space="preserve">Many in-vivo clinical studies have demonstrated the relatively low toxicity of all parts of bitter melon plant where ingested orally. However, toxicity and even death in laboratory animals has been reported when extract are injected intravenously. Other studies shows that fruit and leaf extracts ingested orally </w:t>
      </w:r>
      <w:proofErr w:type="gramStart"/>
      <w:r w:rsidRPr="004E4FEB">
        <w:rPr>
          <w:sz w:val="20"/>
          <w:szCs w:val="20"/>
        </w:rPr>
        <w:t>is</w:t>
      </w:r>
      <w:proofErr w:type="gramEnd"/>
      <w:r w:rsidRPr="004E4FEB">
        <w:rPr>
          <w:sz w:val="20"/>
          <w:szCs w:val="20"/>
        </w:rPr>
        <w:t xml:space="preserve"> safe during pregnancy while the seed has however demonstrated the ability to induce abortions in rats and mice (</w:t>
      </w:r>
      <w:proofErr w:type="spellStart"/>
      <w:r w:rsidRPr="004E4FEB">
        <w:rPr>
          <w:sz w:val="20"/>
          <w:szCs w:val="20"/>
        </w:rPr>
        <w:t>Bakare</w:t>
      </w:r>
      <w:proofErr w:type="spellEnd"/>
      <w:r w:rsidRPr="004E4FEB">
        <w:rPr>
          <w:sz w:val="20"/>
          <w:szCs w:val="20"/>
        </w:rPr>
        <w:t xml:space="preserve"> </w:t>
      </w:r>
      <w:r w:rsidRPr="004E4FEB">
        <w:rPr>
          <w:i/>
          <w:sz w:val="20"/>
          <w:szCs w:val="20"/>
        </w:rPr>
        <w:t xml:space="preserve">et al., </w:t>
      </w:r>
      <w:r w:rsidRPr="004E4FEB">
        <w:rPr>
          <w:sz w:val="20"/>
          <w:szCs w:val="20"/>
        </w:rPr>
        <w:t xml:space="preserve">2010). Although the </w:t>
      </w:r>
      <w:proofErr w:type="spellStart"/>
      <w:r w:rsidRPr="004E4FEB">
        <w:rPr>
          <w:sz w:val="20"/>
          <w:szCs w:val="20"/>
        </w:rPr>
        <w:t>antiplasmodial</w:t>
      </w:r>
      <w:proofErr w:type="spellEnd"/>
      <w:r w:rsidRPr="004E4FEB">
        <w:rPr>
          <w:sz w:val="20"/>
          <w:szCs w:val="20"/>
        </w:rPr>
        <w:t xml:space="preserve"> and antibacterial activities have been documented, there is a dearth of information in the literature on the reproductive activity of </w:t>
      </w:r>
      <w:proofErr w:type="spellStart"/>
      <w:r w:rsidRPr="004E4FEB">
        <w:rPr>
          <w:i/>
          <w:sz w:val="20"/>
          <w:szCs w:val="20"/>
        </w:rPr>
        <w:t>Momordica</w:t>
      </w:r>
      <w:proofErr w:type="spellEnd"/>
      <w:r w:rsidR="00BE0EDB">
        <w:rPr>
          <w:rFonts w:eastAsiaTheme="minorEastAsia" w:hint="eastAsia"/>
          <w:i/>
          <w:sz w:val="20"/>
          <w:szCs w:val="20"/>
          <w:lang w:eastAsia="zh-CN"/>
        </w:rPr>
        <w:t>.</w:t>
      </w:r>
    </w:p>
    <w:p w:rsidR="004E4FEB" w:rsidRPr="004E4FEB" w:rsidRDefault="004E4FEB" w:rsidP="004E4FEB">
      <w:pPr>
        <w:snapToGrid w:val="0"/>
        <w:ind w:firstLine="425"/>
        <w:jc w:val="both"/>
        <w:rPr>
          <w:rFonts w:eastAsiaTheme="minorEastAsia"/>
          <w:sz w:val="20"/>
          <w:szCs w:val="20"/>
          <w:lang w:eastAsia="zh-CN"/>
        </w:rPr>
      </w:pPr>
    </w:p>
    <w:p w:rsidR="00EA3773" w:rsidRPr="004E4FEB" w:rsidRDefault="00EA3773" w:rsidP="004E4FEB">
      <w:pPr>
        <w:snapToGrid w:val="0"/>
        <w:jc w:val="both"/>
        <w:rPr>
          <w:b/>
          <w:sz w:val="20"/>
          <w:szCs w:val="20"/>
        </w:rPr>
      </w:pPr>
      <w:r w:rsidRPr="004E4FEB">
        <w:rPr>
          <w:b/>
          <w:sz w:val="20"/>
          <w:szCs w:val="20"/>
        </w:rPr>
        <w:t>2. Material and Methods</w:t>
      </w:r>
    </w:p>
    <w:p w:rsidR="00EA3773" w:rsidRPr="004E4FEB" w:rsidRDefault="00EA3773" w:rsidP="004E4FEB">
      <w:pPr>
        <w:snapToGrid w:val="0"/>
        <w:jc w:val="both"/>
        <w:rPr>
          <w:b/>
          <w:sz w:val="20"/>
          <w:szCs w:val="20"/>
        </w:rPr>
      </w:pPr>
      <w:proofErr w:type="gramStart"/>
      <w:r w:rsidRPr="004E4FEB">
        <w:rPr>
          <w:b/>
          <w:sz w:val="20"/>
          <w:szCs w:val="20"/>
        </w:rPr>
        <w:t>Experimental Animals.</w:t>
      </w:r>
      <w:proofErr w:type="gramEnd"/>
    </w:p>
    <w:p w:rsidR="00EA3773" w:rsidRDefault="00EA3773" w:rsidP="004E4FEB">
      <w:pPr>
        <w:snapToGrid w:val="0"/>
        <w:ind w:firstLine="425"/>
        <w:jc w:val="both"/>
        <w:rPr>
          <w:rFonts w:eastAsiaTheme="minorEastAsia" w:hint="eastAsia"/>
          <w:i/>
          <w:sz w:val="20"/>
          <w:szCs w:val="20"/>
          <w:lang w:eastAsia="zh-CN"/>
        </w:rPr>
      </w:pPr>
      <w:r w:rsidRPr="004E4FEB">
        <w:rPr>
          <w:sz w:val="20"/>
          <w:szCs w:val="20"/>
        </w:rPr>
        <w:t xml:space="preserve">Fifteen sexually matured healthy female </w:t>
      </w:r>
      <w:proofErr w:type="spellStart"/>
      <w:r w:rsidRPr="004E4FEB">
        <w:rPr>
          <w:sz w:val="20"/>
          <w:szCs w:val="20"/>
        </w:rPr>
        <w:t>wistar</w:t>
      </w:r>
      <w:proofErr w:type="spellEnd"/>
      <w:r w:rsidRPr="004E4FEB">
        <w:rPr>
          <w:sz w:val="20"/>
          <w:szCs w:val="20"/>
        </w:rPr>
        <w:t xml:space="preserve"> rats between 110 and 150g were obtained from the Laboratory Animal Experimental Unit, University of Ibadan, Ibadan was used for this experiments. They were acclimated to laboratory conditions, housed five per cage and fed </w:t>
      </w:r>
      <w:proofErr w:type="spellStart"/>
      <w:r w:rsidRPr="004E4FEB">
        <w:rPr>
          <w:sz w:val="20"/>
          <w:szCs w:val="20"/>
        </w:rPr>
        <w:t>pelleted</w:t>
      </w:r>
      <w:proofErr w:type="spellEnd"/>
      <w:r w:rsidRPr="004E4FEB">
        <w:rPr>
          <w:sz w:val="20"/>
          <w:szCs w:val="20"/>
        </w:rPr>
        <w:t xml:space="preserve"> feed and water was provided </w:t>
      </w:r>
      <w:r w:rsidRPr="004E4FEB">
        <w:rPr>
          <w:i/>
          <w:sz w:val="20"/>
          <w:szCs w:val="20"/>
        </w:rPr>
        <w:t xml:space="preserve">ad </w:t>
      </w:r>
      <w:proofErr w:type="spellStart"/>
      <w:r w:rsidRPr="004E4FEB">
        <w:rPr>
          <w:i/>
          <w:sz w:val="20"/>
          <w:szCs w:val="20"/>
        </w:rPr>
        <w:t>libitum</w:t>
      </w:r>
      <w:proofErr w:type="spellEnd"/>
      <w:r w:rsidRPr="004E4FEB">
        <w:rPr>
          <w:i/>
          <w:sz w:val="20"/>
          <w:szCs w:val="20"/>
        </w:rPr>
        <w:t>.</w:t>
      </w:r>
    </w:p>
    <w:p w:rsidR="0081372A" w:rsidRPr="0081372A" w:rsidRDefault="0081372A" w:rsidP="004E4FEB">
      <w:pPr>
        <w:snapToGrid w:val="0"/>
        <w:ind w:firstLine="425"/>
        <w:jc w:val="both"/>
        <w:rPr>
          <w:rFonts w:eastAsiaTheme="minorEastAsia" w:hint="eastAsia"/>
          <w:sz w:val="20"/>
          <w:szCs w:val="20"/>
          <w:lang w:eastAsia="zh-CN"/>
        </w:rPr>
      </w:pPr>
    </w:p>
    <w:p w:rsidR="00EA3773" w:rsidRPr="004E4FEB" w:rsidRDefault="00EA3773" w:rsidP="004E4FEB">
      <w:pPr>
        <w:snapToGrid w:val="0"/>
        <w:jc w:val="both"/>
        <w:rPr>
          <w:b/>
          <w:sz w:val="20"/>
          <w:szCs w:val="20"/>
        </w:rPr>
      </w:pPr>
      <w:r w:rsidRPr="004E4FEB">
        <w:rPr>
          <w:b/>
          <w:sz w:val="20"/>
          <w:szCs w:val="20"/>
        </w:rPr>
        <w:t>Plant Material and extract.</w:t>
      </w:r>
    </w:p>
    <w:p w:rsidR="00EA3773" w:rsidRDefault="00EA3773" w:rsidP="004E4FEB">
      <w:pPr>
        <w:snapToGrid w:val="0"/>
        <w:ind w:firstLine="425"/>
        <w:jc w:val="both"/>
        <w:rPr>
          <w:rFonts w:eastAsiaTheme="minorEastAsia" w:hint="eastAsia"/>
          <w:sz w:val="20"/>
          <w:szCs w:val="20"/>
          <w:lang w:eastAsia="zh-CN"/>
        </w:rPr>
      </w:pPr>
      <w:r w:rsidRPr="004E4FEB">
        <w:rPr>
          <w:sz w:val="20"/>
          <w:szCs w:val="20"/>
        </w:rPr>
        <w:t xml:space="preserve">Freshly harvested leaves of </w:t>
      </w:r>
      <w:proofErr w:type="spellStart"/>
      <w:r w:rsidRPr="004E4FEB">
        <w:rPr>
          <w:i/>
          <w:sz w:val="20"/>
          <w:szCs w:val="20"/>
        </w:rPr>
        <w:t>Momordica</w:t>
      </w:r>
      <w:proofErr w:type="spellEnd"/>
      <w:r w:rsidRPr="004E4FEB">
        <w:rPr>
          <w:i/>
          <w:sz w:val="20"/>
          <w:szCs w:val="20"/>
        </w:rPr>
        <w:t xml:space="preserve"> </w:t>
      </w:r>
      <w:proofErr w:type="spellStart"/>
      <w:r w:rsidRPr="004E4FEB">
        <w:rPr>
          <w:i/>
          <w:sz w:val="20"/>
          <w:szCs w:val="20"/>
        </w:rPr>
        <w:t>charantia</w:t>
      </w:r>
      <w:proofErr w:type="spellEnd"/>
      <w:r w:rsidRPr="004E4FEB">
        <w:rPr>
          <w:i/>
          <w:sz w:val="20"/>
          <w:szCs w:val="20"/>
        </w:rPr>
        <w:t xml:space="preserve"> </w:t>
      </w:r>
      <w:r w:rsidRPr="004E4FEB">
        <w:rPr>
          <w:sz w:val="20"/>
          <w:szCs w:val="20"/>
        </w:rPr>
        <w:t>were obtained from within the campus of University of Ibadan. Two different concentrations of 300mg and 600mg were prepared by pulverizing fresh washed 0.3g and 0.6g of leaves respectively into paste with a laboratory mortals and pestle. Each was thoroughly mixed with 10mls of distilled water to produce 300mg and 600mg respectively of the leaf extract.</w:t>
      </w:r>
    </w:p>
    <w:p w:rsidR="0081372A" w:rsidRPr="0081372A" w:rsidRDefault="0081372A" w:rsidP="004E4FEB">
      <w:pPr>
        <w:snapToGrid w:val="0"/>
        <w:ind w:firstLine="425"/>
        <w:jc w:val="both"/>
        <w:rPr>
          <w:rFonts w:eastAsiaTheme="minorEastAsia" w:hint="eastAsia"/>
          <w:sz w:val="20"/>
          <w:szCs w:val="20"/>
          <w:lang w:eastAsia="zh-CN"/>
        </w:rPr>
      </w:pPr>
    </w:p>
    <w:p w:rsidR="00EA3773" w:rsidRPr="004E4FEB" w:rsidRDefault="00EA3773" w:rsidP="004E4FEB">
      <w:pPr>
        <w:snapToGrid w:val="0"/>
        <w:jc w:val="both"/>
        <w:rPr>
          <w:b/>
          <w:sz w:val="20"/>
          <w:szCs w:val="20"/>
        </w:rPr>
      </w:pPr>
      <w:r w:rsidRPr="004E4FEB">
        <w:rPr>
          <w:b/>
          <w:sz w:val="20"/>
          <w:szCs w:val="20"/>
        </w:rPr>
        <w:t>Experimental design</w:t>
      </w:r>
    </w:p>
    <w:p w:rsidR="00EA3773" w:rsidRPr="004E4FEB" w:rsidRDefault="00EA3773" w:rsidP="004E4FEB">
      <w:pPr>
        <w:snapToGrid w:val="0"/>
        <w:ind w:firstLine="425"/>
        <w:jc w:val="both"/>
        <w:rPr>
          <w:sz w:val="20"/>
          <w:szCs w:val="20"/>
        </w:rPr>
      </w:pPr>
      <w:r w:rsidRPr="004E4FEB">
        <w:rPr>
          <w:sz w:val="20"/>
          <w:szCs w:val="20"/>
        </w:rPr>
        <w:t xml:space="preserve">A total of fifteen (15) sexually matured female </w:t>
      </w:r>
      <w:proofErr w:type="spellStart"/>
      <w:r w:rsidRPr="004E4FEB">
        <w:rPr>
          <w:sz w:val="20"/>
          <w:szCs w:val="20"/>
        </w:rPr>
        <w:t>wistar</w:t>
      </w:r>
      <w:proofErr w:type="spellEnd"/>
      <w:r w:rsidRPr="004E4FEB">
        <w:rPr>
          <w:sz w:val="20"/>
          <w:szCs w:val="20"/>
        </w:rPr>
        <w:t xml:space="preserve"> rats divided into three groups of five (5) rats </w:t>
      </w:r>
      <w:r w:rsidRPr="004E4FEB">
        <w:rPr>
          <w:sz w:val="20"/>
          <w:szCs w:val="20"/>
        </w:rPr>
        <w:lastRenderedPageBreak/>
        <w:t xml:space="preserve">each. Group C rats served as the control and received 2mls of distilled </w:t>
      </w:r>
      <w:proofErr w:type="spellStart"/>
      <w:r w:rsidRPr="004E4FEB">
        <w:rPr>
          <w:sz w:val="20"/>
          <w:szCs w:val="20"/>
        </w:rPr>
        <w:t>waster</w:t>
      </w:r>
      <w:proofErr w:type="spellEnd"/>
      <w:r w:rsidRPr="004E4FEB">
        <w:rPr>
          <w:sz w:val="20"/>
          <w:szCs w:val="20"/>
        </w:rPr>
        <w:t xml:space="preserve"> only while groups A and B were administered a daily dose of 2mls of the 300mg and 600mg of </w:t>
      </w:r>
      <w:proofErr w:type="spellStart"/>
      <w:r w:rsidRPr="004E4FEB">
        <w:rPr>
          <w:i/>
          <w:sz w:val="20"/>
          <w:szCs w:val="20"/>
        </w:rPr>
        <w:t>Momordica</w:t>
      </w:r>
      <w:proofErr w:type="spellEnd"/>
      <w:r w:rsidRPr="004E4FEB">
        <w:rPr>
          <w:i/>
          <w:sz w:val="20"/>
          <w:szCs w:val="20"/>
        </w:rPr>
        <w:t xml:space="preserve"> </w:t>
      </w:r>
      <w:proofErr w:type="spellStart"/>
      <w:r w:rsidRPr="004E4FEB">
        <w:rPr>
          <w:i/>
          <w:sz w:val="20"/>
          <w:szCs w:val="20"/>
        </w:rPr>
        <w:t>charantia</w:t>
      </w:r>
      <w:proofErr w:type="spellEnd"/>
      <w:r w:rsidRPr="004E4FEB">
        <w:rPr>
          <w:i/>
          <w:sz w:val="20"/>
          <w:szCs w:val="20"/>
        </w:rPr>
        <w:t xml:space="preserve"> </w:t>
      </w:r>
      <w:r w:rsidRPr="004E4FEB">
        <w:rPr>
          <w:sz w:val="20"/>
          <w:szCs w:val="20"/>
        </w:rPr>
        <w:t xml:space="preserve">respectively for seven (7) consecutive days. Stomach </w:t>
      </w:r>
      <w:proofErr w:type="spellStart"/>
      <w:r w:rsidRPr="004E4FEB">
        <w:rPr>
          <w:sz w:val="20"/>
          <w:szCs w:val="20"/>
        </w:rPr>
        <w:t>canula</w:t>
      </w:r>
      <w:proofErr w:type="spellEnd"/>
      <w:r w:rsidRPr="004E4FEB">
        <w:rPr>
          <w:sz w:val="20"/>
          <w:szCs w:val="20"/>
        </w:rPr>
        <w:t xml:space="preserve"> was used to carefully administer the dose to each rat. At the end of the treatment, the rats were bled through the orbital sinus using a capillary tube. Blood was collected into bottles containing EDTA for </w:t>
      </w:r>
      <w:proofErr w:type="spellStart"/>
      <w:r w:rsidRPr="004E4FEB">
        <w:rPr>
          <w:sz w:val="20"/>
          <w:szCs w:val="20"/>
        </w:rPr>
        <w:t>haematological</w:t>
      </w:r>
      <w:proofErr w:type="spellEnd"/>
      <w:r w:rsidRPr="004E4FEB">
        <w:rPr>
          <w:sz w:val="20"/>
          <w:szCs w:val="20"/>
        </w:rPr>
        <w:t xml:space="preserve"> studies while plain bottles were used to collect blood for serum chemistry.</w:t>
      </w:r>
    </w:p>
    <w:p w:rsidR="00EA3773" w:rsidRDefault="00EA3773" w:rsidP="004E4FEB">
      <w:pPr>
        <w:snapToGrid w:val="0"/>
        <w:ind w:firstLine="425"/>
        <w:jc w:val="both"/>
        <w:rPr>
          <w:rFonts w:eastAsiaTheme="minorEastAsia" w:hint="eastAsia"/>
          <w:sz w:val="20"/>
          <w:szCs w:val="20"/>
          <w:lang w:eastAsia="zh-CN"/>
        </w:rPr>
      </w:pPr>
      <w:r w:rsidRPr="004E4FEB">
        <w:rPr>
          <w:sz w:val="20"/>
          <w:szCs w:val="20"/>
        </w:rPr>
        <w:t>Each rat was sacrificed by cervical dislocation, the rats were dissected and the entire reproductive tract was removed from each rat and weighed before separating into its various parts; the left and right ovaries, the uterine body, the left and the right uterine horns and the cervix. Individual weight and or length of these parts were obtained. Other samples collected were; the left and right kidneys, spleen and the liver. The weight of these organs were obtained and recorded.</w:t>
      </w:r>
    </w:p>
    <w:p w:rsidR="0081372A" w:rsidRPr="0081372A" w:rsidRDefault="0081372A" w:rsidP="004E4FEB">
      <w:pPr>
        <w:snapToGrid w:val="0"/>
        <w:ind w:firstLine="425"/>
        <w:jc w:val="both"/>
        <w:rPr>
          <w:rFonts w:eastAsiaTheme="minorEastAsia" w:hint="eastAsia"/>
          <w:sz w:val="20"/>
          <w:szCs w:val="20"/>
          <w:lang w:eastAsia="zh-CN"/>
        </w:rPr>
      </w:pPr>
    </w:p>
    <w:p w:rsidR="00EA3773" w:rsidRPr="004E4FEB" w:rsidRDefault="00EA3773" w:rsidP="004E4FEB">
      <w:pPr>
        <w:snapToGrid w:val="0"/>
        <w:jc w:val="both"/>
        <w:rPr>
          <w:b/>
          <w:sz w:val="20"/>
          <w:szCs w:val="20"/>
        </w:rPr>
      </w:pPr>
      <w:r w:rsidRPr="004E4FEB">
        <w:rPr>
          <w:b/>
          <w:sz w:val="20"/>
          <w:szCs w:val="20"/>
        </w:rPr>
        <w:t>Data analysis</w:t>
      </w:r>
    </w:p>
    <w:p w:rsidR="00EA3773" w:rsidRPr="004E4FEB" w:rsidRDefault="00EA3773" w:rsidP="004E4FEB">
      <w:pPr>
        <w:snapToGrid w:val="0"/>
        <w:ind w:firstLine="425"/>
        <w:jc w:val="both"/>
        <w:rPr>
          <w:sz w:val="20"/>
          <w:szCs w:val="20"/>
        </w:rPr>
      </w:pPr>
      <w:r w:rsidRPr="004E4FEB">
        <w:rPr>
          <w:sz w:val="20"/>
          <w:szCs w:val="20"/>
        </w:rPr>
        <w:t xml:space="preserve">The </w:t>
      </w:r>
      <w:proofErr w:type="spellStart"/>
      <w:r w:rsidRPr="004E4FEB">
        <w:rPr>
          <w:sz w:val="20"/>
          <w:szCs w:val="20"/>
        </w:rPr>
        <w:t>organosomatic</w:t>
      </w:r>
      <w:proofErr w:type="spellEnd"/>
      <w:r w:rsidRPr="004E4FEB">
        <w:rPr>
          <w:sz w:val="20"/>
          <w:szCs w:val="20"/>
        </w:rPr>
        <w:t xml:space="preserve"> indices were obtained by dividing the weight of individual organ by the body weight of the particular rat. Data were </w:t>
      </w:r>
      <w:proofErr w:type="spellStart"/>
      <w:r w:rsidRPr="004E4FEB">
        <w:rPr>
          <w:sz w:val="20"/>
          <w:szCs w:val="20"/>
        </w:rPr>
        <w:t>analysed</w:t>
      </w:r>
      <w:proofErr w:type="spellEnd"/>
      <w:r w:rsidRPr="004E4FEB">
        <w:rPr>
          <w:sz w:val="20"/>
          <w:szCs w:val="20"/>
        </w:rPr>
        <w:t xml:space="preserve"> using ANOVA test of statistics and the SPSS data analysis package.</w:t>
      </w:r>
    </w:p>
    <w:p w:rsidR="00EA3773" w:rsidRPr="004E4FEB" w:rsidRDefault="00EA3773" w:rsidP="004E4FEB">
      <w:pPr>
        <w:snapToGrid w:val="0"/>
        <w:jc w:val="both"/>
        <w:rPr>
          <w:sz w:val="20"/>
          <w:szCs w:val="20"/>
        </w:rPr>
      </w:pPr>
    </w:p>
    <w:p w:rsidR="00EA3773" w:rsidRPr="004E4FEB" w:rsidRDefault="00EA3773" w:rsidP="004E4FEB">
      <w:pPr>
        <w:snapToGrid w:val="0"/>
        <w:jc w:val="both"/>
        <w:rPr>
          <w:b/>
          <w:sz w:val="20"/>
          <w:szCs w:val="20"/>
        </w:rPr>
      </w:pPr>
      <w:r w:rsidRPr="004E4FEB">
        <w:rPr>
          <w:b/>
          <w:sz w:val="20"/>
          <w:szCs w:val="20"/>
        </w:rPr>
        <w:t>3. Results</w:t>
      </w:r>
    </w:p>
    <w:p w:rsidR="00EA3773" w:rsidRPr="004E4FEB" w:rsidRDefault="00EA3773" w:rsidP="004E4FEB">
      <w:pPr>
        <w:snapToGrid w:val="0"/>
        <w:jc w:val="both"/>
        <w:rPr>
          <w:sz w:val="20"/>
          <w:szCs w:val="20"/>
        </w:rPr>
      </w:pPr>
      <w:r w:rsidRPr="004E4FEB">
        <w:rPr>
          <w:b/>
          <w:sz w:val="20"/>
          <w:szCs w:val="20"/>
        </w:rPr>
        <w:t xml:space="preserve">Effects of </w:t>
      </w:r>
      <w:proofErr w:type="spellStart"/>
      <w:r w:rsidRPr="004E4FEB">
        <w:rPr>
          <w:b/>
          <w:i/>
          <w:sz w:val="20"/>
          <w:szCs w:val="20"/>
        </w:rPr>
        <w:t>Mormodica</w:t>
      </w:r>
      <w:proofErr w:type="spellEnd"/>
      <w:r w:rsidRPr="004E4FEB">
        <w:rPr>
          <w:b/>
          <w:i/>
          <w:sz w:val="20"/>
          <w:szCs w:val="20"/>
        </w:rPr>
        <w:t xml:space="preserve"> </w:t>
      </w:r>
      <w:proofErr w:type="spellStart"/>
      <w:r w:rsidRPr="004E4FEB">
        <w:rPr>
          <w:b/>
          <w:i/>
          <w:sz w:val="20"/>
          <w:szCs w:val="20"/>
        </w:rPr>
        <w:t>charantia</w:t>
      </w:r>
      <w:proofErr w:type="spellEnd"/>
      <w:r w:rsidRPr="004E4FEB">
        <w:rPr>
          <w:b/>
          <w:sz w:val="20"/>
          <w:szCs w:val="20"/>
        </w:rPr>
        <w:t xml:space="preserve"> on </w:t>
      </w:r>
      <w:proofErr w:type="spellStart"/>
      <w:r w:rsidRPr="004E4FEB">
        <w:rPr>
          <w:b/>
          <w:sz w:val="20"/>
          <w:szCs w:val="20"/>
        </w:rPr>
        <w:t>haematological</w:t>
      </w:r>
      <w:proofErr w:type="spellEnd"/>
      <w:r w:rsidRPr="004E4FEB">
        <w:rPr>
          <w:b/>
          <w:sz w:val="20"/>
          <w:szCs w:val="20"/>
        </w:rPr>
        <w:t xml:space="preserve"> parameters</w:t>
      </w:r>
      <w:r w:rsidRPr="004E4FEB">
        <w:rPr>
          <w:sz w:val="20"/>
          <w:szCs w:val="20"/>
        </w:rPr>
        <w:t>:</w:t>
      </w:r>
    </w:p>
    <w:p w:rsidR="00EA3773" w:rsidRPr="004E4FEB" w:rsidRDefault="00EA3773" w:rsidP="004E4FEB">
      <w:pPr>
        <w:snapToGrid w:val="0"/>
        <w:ind w:firstLine="425"/>
        <w:jc w:val="both"/>
        <w:rPr>
          <w:sz w:val="20"/>
          <w:szCs w:val="20"/>
        </w:rPr>
      </w:pPr>
      <w:r w:rsidRPr="004E4FEB">
        <w:rPr>
          <w:sz w:val="20"/>
          <w:szCs w:val="20"/>
        </w:rPr>
        <w:t xml:space="preserve">There was no significant difference (P≥0.05) in the value of Red Blood Cells (RBC), Mean corpuscular </w:t>
      </w:r>
      <w:proofErr w:type="spellStart"/>
      <w:r w:rsidRPr="004E4FEB">
        <w:rPr>
          <w:sz w:val="20"/>
          <w:szCs w:val="20"/>
        </w:rPr>
        <w:t>Haemoglobin</w:t>
      </w:r>
      <w:proofErr w:type="spellEnd"/>
      <w:r w:rsidRPr="004E4FEB">
        <w:rPr>
          <w:sz w:val="20"/>
          <w:szCs w:val="20"/>
        </w:rPr>
        <w:t xml:space="preserve"> (MCH), Mean corpuscular </w:t>
      </w:r>
      <w:proofErr w:type="spellStart"/>
      <w:r w:rsidRPr="004E4FEB">
        <w:rPr>
          <w:sz w:val="20"/>
          <w:szCs w:val="20"/>
        </w:rPr>
        <w:t>Haemoglobin</w:t>
      </w:r>
      <w:proofErr w:type="spellEnd"/>
      <w:r w:rsidRPr="004E4FEB">
        <w:rPr>
          <w:sz w:val="20"/>
          <w:szCs w:val="20"/>
        </w:rPr>
        <w:t xml:space="preserve"> Concentration (MCHC) and Platelet between the control (Group C) and the test groups A and </w:t>
      </w:r>
      <w:proofErr w:type="gramStart"/>
      <w:r w:rsidRPr="004E4FEB">
        <w:rPr>
          <w:sz w:val="20"/>
          <w:szCs w:val="20"/>
        </w:rPr>
        <w:t>B</w:t>
      </w:r>
      <w:r w:rsidR="0081372A">
        <w:rPr>
          <w:sz w:val="20"/>
          <w:szCs w:val="20"/>
        </w:rPr>
        <w:t xml:space="preserve"> </w:t>
      </w:r>
      <w:r w:rsidRPr="004E4FEB">
        <w:rPr>
          <w:sz w:val="20"/>
          <w:szCs w:val="20"/>
        </w:rPr>
        <w:t xml:space="preserve"> respectively</w:t>
      </w:r>
      <w:proofErr w:type="gramEnd"/>
      <w:r w:rsidRPr="004E4FEB">
        <w:rPr>
          <w:sz w:val="20"/>
          <w:szCs w:val="20"/>
        </w:rPr>
        <w:t xml:space="preserve"> (Table 1)</w:t>
      </w:r>
      <w:r w:rsidR="0081372A">
        <w:rPr>
          <w:rFonts w:eastAsiaTheme="minorEastAsia" w:hint="eastAsia"/>
          <w:sz w:val="20"/>
          <w:szCs w:val="20"/>
          <w:lang w:eastAsia="zh-CN"/>
        </w:rPr>
        <w:t>.</w:t>
      </w:r>
      <w:r w:rsidRPr="004E4FEB">
        <w:rPr>
          <w:sz w:val="20"/>
          <w:szCs w:val="20"/>
        </w:rPr>
        <w:t xml:space="preserve"> There was a significant difference (P≤0.05) between the mean PCV and </w:t>
      </w:r>
      <w:proofErr w:type="spellStart"/>
      <w:r w:rsidRPr="004E4FEB">
        <w:rPr>
          <w:sz w:val="20"/>
          <w:szCs w:val="20"/>
        </w:rPr>
        <w:t>Neutrophil</w:t>
      </w:r>
      <w:proofErr w:type="spellEnd"/>
      <w:r w:rsidRPr="004E4FEB">
        <w:rPr>
          <w:sz w:val="20"/>
          <w:szCs w:val="20"/>
        </w:rPr>
        <w:t xml:space="preserve"> of the Control group and the test groups (Table 1).</w:t>
      </w:r>
    </w:p>
    <w:p w:rsidR="00EA3773" w:rsidRPr="004E4FEB" w:rsidRDefault="00EA3773" w:rsidP="0081372A">
      <w:pPr>
        <w:snapToGrid w:val="0"/>
        <w:ind w:firstLine="425"/>
        <w:jc w:val="both"/>
        <w:rPr>
          <w:sz w:val="20"/>
          <w:szCs w:val="20"/>
        </w:rPr>
      </w:pPr>
      <w:r w:rsidRPr="004E4FEB">
        <w:rPr>
          <w:sz w:val="20"/>
          <w:szCs w:val="20"/>
        </w:rPr>
        <w:t>There is a significant difference (P≤0.05) in the value of the WBC between the control (group C) and test (group A) but there is no significant difference (P≥0.05) between the control and the test (group B). There was a lower significant difference between the MCV (P≥0.05) of the (Control group C) and the test (group B) whereas there is no significant difference (P≥0.05) between Control and group A (Table 1)</w:t>
      </w:r>
      <w:r w:rsidR="0081372A">
        <w:rPr>
          <w:rFonts w:eastAsiaTheme="minorEastAsia" w:hint="eastAsia"/>
          <w:sz w:val="20"/>
          <w:szCs w:val="20"/>
          <w:lang w:eastAsia="zh-CN"/>
        </w:rPr>
        <w:t xml:space="preserve">. </w:t>
      </w:r>
    </w:p>
    <w:p w:rsidR="0081372A" w:rsidRDefault="0081372A" w:rsidP="00BE0EDB">
      <w:pPr>
        <w:snapToGrid w:val="0"/>
        <w:jc w:val="center"/>
        <w:rPr>
          <w:b/>
          <w:sz w:val="20"/>
          <w:szCs w:val="20"/>
        </w:rPr>
        <w:sectPr w:rsidR="0081372A" w:rsidSect="0081372A">
          <w:headerReference w:type="default" r:id="rId28"/>
          <w:footerReference w:type="even" r:id="rId29"/>
          <w:footerReference w:type="default" r:id="rId30"/>
          <w:type w:val="continuous"/>
          <w:pgSz w:w="12240" w:h="15840" w:code="1"/>
          <w:pgMar w:top="1440" w:right="1440" w:bottom="1440" w:left="1440" w:header="720" w:footer="720" w:gutter="0"/>
          <w:cols w:num="2" w:space="576"/>
          <w:docGrid w:linePitch="360"/>
        </w:sectPr>
      </w:pPr>
    </w:p>
    <w:p w:rsidR="0081372A" w:rsidRDefault="0081372A" w:rsidP="00BE0EDB">
      <w:pPr>
        <w:snapToGrid w:val="0"/>
        <w:jc w:val="center"/>
        <w:rPr>
          <w:rFonts w:eastAsiaTheme="minorEastAsia" w:hint="eastAsia"/>
          <w:b/>
          <w:sz w:val="20"/>
          <w:szCs w:val="20"/>
          <w:lang w:eastAsia="zh-CN"/>
        </w:rPr>
      </w:pPr>
    </w:p>
    <w:p w:rsidR="0081372A" w:rsidRDefault="0081372A" w:rsidP="0081372A">
      <w:pPr>
        <w:snapToGrid w:val="0"/>
        <w:jc w:val="both"/>
        <w:rPr>
          <w:rFonts w:eastAsiaTheme="minorEastAsia" w:hint="eastAsia"/>
          <w:b/>
          <w:sz w:val="20"/>
          <w:szCs w:val="20"/>
          <w:lang w:eastAsia="zh-CN"/>
        </w:rPr>
      </w:pPr>
    </w:p>
    <w:p w:rsidR="0081372A" w:rsidRDefault="0081372A" w:rsidP="0081372A">
      <w:pPr>
        <w:snapToGrid w:val="0"/>
        <w:jc w:val="both"/>
        <w:rPr>
          <w:rFonts w:eastAsiaTheme="minorEastAsia" w:hint="eastAsia"/>
          <w:b/>
          <w:sz w:val="20"/>
          <w:szCs w:val="20"/>
          <w:lang w:eastAsia="zh-CN"/>
        </w:rPr>
      </w:pPr>
    </w:p>
    <w:p w:rsidR="0081372A" w:rsidRDefault="0081372A" w:rsidP="0081372A">
      <w:pPr>
        <w:snapToGrid w:val="0"/>
        <w:jc w:val="both"/>
        <w:rPr>
          <w:rFonts w:eastAsiaTheme="minorEastAsia" w:hint="eastAsia"/>
          <w:b/>
          <w:sz w:val="20"/>
          <w:szCs w:val="20"/>
          <w:lang w:eastAsia="zh-CN"/>
        </w:rPr>
      </w:pPr>
    </w:p>
    <w:p w:rsidR="0081372A" w:rsidRDefault="0081372A" w:rsidP="0081372A">
      <w:pPr>
        <w:snapToGrid w:val="0"/>
        <w:jc w:val="both"/>
        <w:rPr>
          <w:rFonts w:eastAsiaTheme="minorEastAsia" w:hint="eastAsia"/>
          <w:b/>
          <w:sz w:val="20"/>
          <w:szCs w:val="20"/>
          <w:lang w:eastAsia="zh-CN"/>
        </w:rPr>
      </w:pPr>
    </w:p>
    <w:p w:rsidR="0081372A" w:rsidRDefault="0081372A" w:rsidP="0081372A">
      <w:pPr>
        <w:snapToGrid w:val="0"/>
        <w:jc w:val="both"/>
        <w:rPr>
          <w:rFonts w:eastAsiaTheme="minorEastAsia" w:hint="eastAsia"/>
          <w:b/>
          <w:sz w:val="20"/>
          <w:szCs w:val="20"/>
          <w:lang w:eastAsia="zh-CN"/>
        </w:rPr>
      </w:pPr>
    </w:p>
    <w:p w:rsidR="0081372A" w:rsidRPr="004E4FEB" w:rsidRDefault="0081372A" w:rsidP="0081372A">
      <w:pPr>
        <w:snapToGrid w:val="0"/>
        <w:jc w:val="both"/>
        <w:rPr>
          <w:sz w:val="20"/>
          <w:szCs w:val="20"/>
        </w:rPr>
      </w:pPr>
      <w:proofErr w:type="gramStart"/>
      <w:r w:rsidRPr="004E4FEB">
        <w:rPr>
          <w:b/>
          <w:sz w:val="20"/>
          <w:szCs w:val="20"/>
        </w:rPr>
        <w:t>Table 1:</w:t>
      </w:r>
      <w:r w:rsidRPr="004E4FEB">
        <w:rPr>
          <w:sz w:val="20"/>
          <w:szCs w:val="20"/>
        </w:rPr>
        <w:t xml:space="preserve"> </w:t>
      </w:r>
      <w:proofErr w:type="spellStart"/>
      <w:r w:rsidRPr="004E4FEB">
        <w:rPr>
          <w:sz w:val="20"/>
          <w:szCs w:val="20"/>
        </w:rPr>
        <w:t>Haematological</w:t>
      </w:r>
      <w:proofErr w:type="spellEnd"/>
      <w:r w:rsidRPr="004E4FEB">
        <w:rPr>
          <w:sz w:val="20"/>
          <w:szCs w:val="20"/>
        </w:rPr>
        <w:t xml:space="preserve"> parameters for the three groups.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283"/>
        <w:gridCol w:w="2415"/>
        <w:gridCol w:w="2394"/>
      </w:tblGrid>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p>
        </w:tc>
        <w:tc>
          <w:tcPr>
            <w:tcW w:w="3703" w:type="pct"/>
            <w:gridSpan w:val="3"/>
            <w:vAlign w:val="center"/>
          </w:tcPr>
          <w:p w:rsidR="0081372A" w:rsidRPr="00BE0EDB" w:rsidRDefault="0081372A" w:rsidP="002B1D07">
            <w:pPr>
              <w:snapToGrid w:val="0"/>
              <w:jc w:val="both"/>
              <w:rPr>
                <w:color w:val="000000"/>
                <w:sz w:val="18"/>
                <w:szCs w:val="20"/>
              </w:rPr>
            </w:pPr>
            <w:r w:rsidRPr="00BE0EDB">
              <w:rPr>
                <w:color w:val="000000"/>
                <w:sz w:val="18"/>
                <w:szCs w:val="20"/>
              </w:rPr>
              <w:t>Mean ± Standard Deviation</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Group A</w:t>
            </w:r>
          </w:p>
          <w:p w:rsidR="0081372A" w:rsidRPr="00BE0EDB" w:rsidRDefault="0081372A" w:rsidP="002B1D07">
            <w:pPr>
              <w:snapToGrid w:val="0"/>
              <w:jc w:val="both"/>
              <w:rPr>
                <w:color w:val="000000"/>
                <w:sz w:val="18"/>
                <w:szCs w:val="20"/>
              </w:rPr>
            </w:pPr>
            <w:r w:rsidRPr="00BE0EDB">
              <w:rPr>
                <w:color w:val="000000"/>
                <w:sz w:val="18"/>
                <w:szCs w:val="20"/>
              </w:rPr>
              <w:t>(300mg)</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Group B</w:t>
            </w:r>
          </w:p>
          <w:p w:rsidR="0081372A" w:rsidRPr="00BE0EDB" w:rsidRDefault="0081372A" w:rsidP="002B1D07">
            <w:pPr>
              <w:snapToGrid w:val="0"/>
              <w:jc w:val="both"/>
              <w:rPr>
                <w:color w:val="000000"/>
                <w:sz w:val="18"/>
                <w:szCs w:val="20"/>
              </w:rPr>
            </w:pPr>
            <w:r w:rsidRPr="00BE0EDB">
              <w:rPr>
                <w:color w:val="000000"/>
                <w:sz w:val="18"/>
                <w:szCs w:val="20"/>
              </w:rPr>
              <w:t>(600mg)</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Group C</w:t>
            </w:r>
          </w:p>
          <w:p w:rsidR="0081372A" w:rsidRPr="00BE0EDB" w:rsidRDefault="0081372A" w:rsidP="002B1D07">
            <w:pPr>
              <w:snapToGrid w:val="0"/>
              <w:jc w:val="both"/>
              <w:rPr>
                <w:color w:val="000000"/>
                <w:sz w:val="18"/>
                <w:szCs w:val="20"/>
              </w:rPr>
            </w:pPr>
            <w:r w:rsidRPr="00BE0EDB">
              <w:rPr>
                <w:color w:val="000000"/>
                <w:sz w:val="18"/>
                <w:szCs w:val="20"/>
              </w:rPr>
              <w:t>(Control)</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PCV</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33.6 ± 2.1</w:t>
            </w:r>
            <w:r w:rsidRPr="00BE0EDB">
              <w:rPr>
                <w:color w:val="000000"/>
                <w:sz w:val="18"/>
                <w:szCs w:val="20"/>
                <w:vertAlign w:val="superscript"/>
              </w:rPr>
              <w:t xml:space="preserve"> b</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40.0 ± 3.8ª</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38.0 ± 1.4ª</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HB</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11.1± 0.8</w:t>
            </w:r>
            <w:r w:rsidRPr="00BE0EDB">
              <w:rPr>
                <w:color w:val="000000"/>
                <w:sz w:val="18"/>
                <w:szCs w:val="20"/>
                <w:vertAlign w:val="superscript"/>
              </w:rPr>
              <w:t xml:space="preserve"> b</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13.3 ± 1.3ª</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12.6 ± 0.6 ª</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RBC</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10.2 ± 2.0</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10.6 ± 1.5</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11.3 ± 3.7</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WBC</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15.2 ± 3.0ª</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8.52 ± 0.9</w:t>
            </w:r>
            <w:r w:rsidRPr="00BE0EDB">
              <w:rPr>
                <w:color w:val="000000"/>
                <w:sz w:val="18"/>
                <w:szCs w:val="20"/>
                <w:vertAlign w:val="superscript"/>
              </w:rPr>
              <w:t>b</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8.8 ± 2.2</w:t>
            </w:r>
            <w:r w:rsidRPr="00BE0EDB">
              <w:rPr>
                <w:color w:val="000000"/>
                <w:sz w:val="18"/>
                <w:szCs w:val="20"/>
                <w:vertAlign w:val="superscript"/>
              </w:rPr>
              <w:t>b</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Platelet</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11.0 ± 3.3</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13.4 ± 4.2</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10.4 ± 0.9</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MCV</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34.8 ± 5.4ª</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19.0 ± 14.4</w:t>
            </w:r>
            <w:r w:rsidRPr="00BE0EDB">
              <w:rPr>
                <w:color w:val="000000"/>
                <w:sz w:val="18"/>
                <w:szCs w:val="20"/>
                <w:vertAlign w:val="superscript"/>
              </w:rPr>
              <w:t>b</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35.8 ± 11.3ª</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MCH</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11.0 ± 2.0</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13.6 ± 3.4</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11.6 ± 3.6</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MCHC</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33.0 ± 0.0ª</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33.0 ± 0.0ª</w:t>
            </w:r>
          </w:p>
        </w:tc>
        <w:tc>
          <w:tcPr>
            <w:tcW w:w="1250" w:type="pct"/>
            <w:vAlign w:val="center"/>
          </w:tcPr>
          <w:p w:rsidR="0081372A" w:rsidRPr="00BE0EDB" w:rsidRDefault="0081372A" w:rsidP="002B1D07">
            <w:pPr>
              <w:snapToGrid w:val="0"/>
              <w:jc w:val="both"/>
              <w:rPr>
                <w:b/>
                <w:color w:val="000000"/>
                <w:sz w:val="18"/>
                <w:szCs w:val="20"/>
              </w:rPr>
            </w:pPr>
            <w:r w:rsidRPr="00BE0EDB">
              <w:rPr>
                <w:color w:val="000000"/>
                <w:sz w:val="18"/>
                <w:szCs w:val="20"/>
              </w:rPr>
              <w:t>32.4 ± 0.6</w:t>
            </w:r>
            <w:r w:rsidRPr="00BE0EDB">
              <w:rPr>
                <w:color w:val="000000"/>
                <w:sz w:val="18"/>
                <w:szCs w:val="20"/>
                <w:vertAlign w:val="superscript"/>
              </w:rPr>
              <w:t>b</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r w:rsidRPr="00BE0EDB">
              <w:rPr>
                <w:color w:val="000000"/>
                <w:sz w:val="18"/>
                <w:szCs w:val="20"/>
              </w:rPr>
              <w:t>Lymphocyte</w:t>
            </w:r>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70.8 ± 4.2ª</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62.2 ± 6.4</w:t>
            </w:r>
            <w:r w:rsidRPr="00BE0EDB">
              <w:rPr>
                <w:color w:val="000000"/>
                <w:sz w:val="18"/>
                <w:szCs w:val="20"/>
                <w:vertAlign w:val="superscript"/>
              </w:rPr>
              <w:t>b</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63.6 ± 2.1</w:t>
            </w:r>
            <w:r w:rsidRPr="00BE0EDB">
              <w:rPr>
                <w:color w:val="000000"/>
                <w:sz w:val="18"/>
                <w:szCs w:val="20"/>
                <w:vertAlign w:val="superscript"/>
              </w:rPr>
              <w:t>b</w:t>
            </w:r>
          </w:p>
        </w:tc>
      </w:tr>
      <w:tr w:rsidR="0081372A" w:rsidRPr="00BE0EDB" w:rsidTr="002B1D07">
        <w:trPr>
          <w:jc w:val="center"/>
        </w:trPr>
        <w:tc>
          <w:tcPr>
            <w:tcW w:w="1297" w:type="pct"/>
            <w:vAlign w:val="center"/>
          </w:tcPr>
          <w:p w:rsidR="0081372A" w:rsidRPr="00BE0EDB" w:rsidRDefault="0081372A" w:rsidP="002B1D07">
            <w:pPr>
              <w:snapToGrid w:val="0"/>
              <w:jc w:val="both"/>
              <w:rPr>
                <w:color w:val="000000"/>
                <w:sz w:val="18"/>
                <w:szCs w:val="20"/>
              </w:rPr>
            </w:pPr>
            <w:proofErr w:type="spellStart"/>
            <w:r w:rsidRPr="00BE0EDB">
              <w:rPr>
                <w:color w:val="000000"/>
                <w:sz w:val="18"/>
                <w:szCs w:val="20"/>
              </w:rPr>
              <w:t>Neutrophils</w:t>
            </w:r>
            <w:proofErr w:type="spellEnd"/>
          </w:p>
        </w:tc>
        <w:tc>
          <w:tcPr>
            <w:tcW w:w="1192" w:type="pct"/>
            <w:vAlign w:val="center"/>
          </w:tcPr>
          <w:p w:rsidR="0081372A" w:rsidRPr="00BE0EDB" w:rsidRDefault="0081372A" w:rsidP="002B1D07">
            <w:pPr>
              <w:snapToGrid w:val="0"/>
              <w:jc w:val="both"/>
              <w:rPr>
                <w:color w:val="000000"/>
                <w:sz w:val="18"/>
                <w:szCs w:val="20"/>
              </w:rPr>
            </w:pPr>
            <w:r w:rsidRPr="00BE0EDB">
              <w:rPr>
                <w:color w:val="000000"/>
                <w:sz w:val="18"/>
                <w:szCs w:val="20"/>
              </w:rPr>
              <w:t>29.2 ± 4.2</w:t>
            </w:r>
            <w:r w:rsidRPr="00BE0EDB">
              <w:rPr>
                <w:color w:val="000000"/>
                <w:sz w:val="18"/>
                <w:szCs w:val="20"/>
                <w:vertAlign w:val="superscript"/>
              </w:rPr>
              <w:t xml:space="preserve"> b</w:t>
            </w:r>
          </w:p>
        </w:tc>
        <w:tc>
          <w:tcPr>
            <w:tcW w:w="1261" w:type="pct"/>
            <w:vAlign w:val="center"/>
          </w:tcPr>
          <w:p w:rsidR="0081372A" w:rsidRPr="00BE0EDB" w:rsidRDefault="0081372A" w:rsidP="002B1D07">
            <w:pPr>
              <w:snapToGrid w:val="0"/>
              <w:jc w:val="both"/>
              <w:rPr>
                <w:color w:val="000000"/>
                <w:sz w:val="18"/>
                <w:szCs w:val="20"/>
              </w:rPr>
            </w:pPr>
            <w:r w:rsidRPr="00BE0EDB">
              <w:rPr>
                <w:color w:val="000000"/>
                <w:sz w:val="18"/>
                <w:szCs w:val="20"/>
              </w:rPr>
              <w:t>37.4 ± 6.7ª</w:t>
            </w:r>
          </w:p>
        </w:tc>
        <w:tc>
          <w:tcPr>
            <w:tcW w:w="1250" w:type="pct"/>
            <w:vAlign w:val="center"/>
          </w:tcPr>
          <w:p w:rsidR="0081372A" w:rsidRPr="00BE0EDB" w:rsidRDefault="0081372A" w:rsidP="002B1D07">
            <w:pPr>
              <w:snapToGrid w:val="0"/>
              <w:jc w:val="both"/>
              <w:rPr>
                <w:color w:val="000000"/>
                <w:sz w:val="18"/>
                <w:szCs w:val="20"/>
              </w:rPr>
            </w:pPr>
            <w:r w:rsidRPr="00BE0EDB">
              <w:rPr>
                <w:color w:val="000000"/>
                <w:sz w:val="18"/>
                <w:szCs w:val="20"/>
              </w:rPr>
              <w:t>35.4 ± 2.3ª</w:t>
            </w:r>
            <w:r w:rsidRPr="00BE0EDB">
              <w:rPr>
                <w:color w:val="000000"/>
                <w:sz w:val="18"/>
                <w:szCs w:val="20"/>
                <w:vertAlign w:val="superscript"/>
              </w:rPr>
              <w:t>b</w:t>
            </w:r>
          </w:p>
        </w:tc>
      </w:tr>
    </w:tbl>
    <w:p w:rsidR="0081372A" w:rsidRDefault="0081372A" w:rsidP="0081372A">
      <w:pPr>
        <w:snapToGrid w:val="0"/>
        <w:jc w:val="both"/>
        <w:rPr>
          <w:rFonts w:eastAsiaTheme="minorEastAsia" w:hint="eastAsia"/>
          <w:sz w:val="20"/>
          <w:szCs w:val="20"/>
          <w:lang w:eastAsia="zh-CN"/>
        </w:rPr>
      </w:pPr>
      <w:r w:rsidRPr="004E4FEB">
        <w:rPr>
          <w:b/>
          <w:sz w:val="20"/>
          <w:szCs w:val="20"/>
        </w:rPr>
        <w:t xml:space="preserve">Legend: PCV- </w:t>
      </w:r>
      <w:r w:rsidRPr="004E4FEB">
        <w:rPr>
          <w:sz w:val="20"/>
          <w:szCs w:val="20"/>
        </w:rPr>
        <w:t xml:space="preserve">Packed cell volume, </w:t>
      </w:r>
      <w:r w:rsidRPr="004E4FEB">
        <w:rPr>
          <w:b/>
          <w:sz w:val="20"/>
          <w:szCs w:val="20"/>
        </w:rPr>
        <w:t xml:space="preserve">HB- </w:t>
      </w:r>
      <w:proofErr w:type="spellStart"/>
      <w:r w:rsidRPr="004E4FEB">
        <w:rPr>
          <w:b/>
          <w:sz w:val="20"/>
          <w:szCs w:val="20"/>
        </w:rPr>
        <w:t>Haemoglobin</w:t>
      </w:r>
      <w:proofErr w:type="spellEnd"/>
      <w:r w:rsidRPr="004E4FEB">
        <w:rPr>
          <w:sz w:val="20"/>
          <w:szCs w:val="20"/>
        </w:rPr>
        <w:t xml:space="preserve">, </w:t>
      </w:r>
      <w:r w:rsidRPr="004E4FEB">
        <w:rPr>
          <w:b/>
          <w:sz w:val="20"/>
          <w:szCs w:val="20"/>
        </w:rPr>
        <w:t xml:space="preserve">RBC- </w:t>
      </w:r>
      <w:r w:rsidRPr="004E4FEB">
        <w:rPr>
          <w:sz w:val="20"/>
          <w:szCs w:val="20"/>
        </w:rPr>
        <w:t xml:space="preserve">Red Blood Cells, </w:t>
      </w:r>
      <w:r w:rsidRPr="004E4FEB">
        <w:rPr>
          <w:b/>
          <w:sz w:val="20"/>
          <w:szCs w:val="20"/>
        </w:rPr>
        <w:t>WBC</w:t>
      </w:r>
      <w:r w:rsidRPr="004E4FEB">
        <w:rPr>
          <w:sz w:val="20"/>
          <w:szCs w:val="20"/>
        </w:rPr>
        <w:t xml:space="preserve">- White Blood Cells, </w:t>
      </w:r>
      <w:r w:rsidRPr="004E4FEB">
        <w:rPr>
          <w:b/>
          <w:sz w:val="20"/>
          <w:szCs w:val="20"/>
        </w:rPr>
        <w:t>MCH</w:t>
      </w:r>
      <w:r w:rsidRPr="004E4FEB">
        <w:rPr>
          <w:sz w:val="20"/>
          <w:szCs w:val="20"/>
        </w:rPr>
        <w:t xml:space="preserve">- Mean corpuscular </w:t>
      </w:r>
      <w:proofErr w:type="spellStart"/>
      <w:r w:rsidRPr="004E4FEB">
        <w:rPr>
          <w:sz w:val="20"/>
          <w:szCs w:val="20"/>
        </w:rPr>
        <w:t>Haemoglobin</w:t>
      </w:r>
      <w:proofErr w:type="spellEnd"/>
      <w:r w:rsidRPr="004E4FEB">
        <w:rPr>
          <w:sz w:val="20"/>
          <w:szCs w:val="20"/>
        </w:rPr>
        <w:t xml:space="preserve">, </w:t>
      </w:r>
      <w:r w:rsidRPr="004E4FEB">
        <w:rPr>
          <w:b/>
          <w:sz w:val="20"/>
          <w:szCs w:val="20"/>
        </w:rPr>
        <w:t>MCHC</w:t>
      </w:r>
      <w:r w:rsidRPr="004E4FEB">
        <w:rPr>
          <w:sz w:val="20"/>
          <w:szCs w:val="20"/>
        </w:rPr>
        <w:t xml:space="preserve">- Mean corpuscular </w:t>
      </w:r>
      <w:proofErr w:type="spellStart"/>
      <w:r w:rsidRPr="004E4FEB">
        <w:rPr>
          <w:sz w:val="20"/>
          <w:szCs w:val="20"/>
        </w:rPr>
        <w:t>Haemoglobin</w:t>
      </w:r>
      <w:proofErr w:type="spellEnd"/>
      <w:r w:rsidRPr="004E4FEB">
        <w:rPr>
          <w:sz w:val="20"/>
          <w:szCs w:val="20"/>
        </w:rPr>
        <w:t xml:space="preserve"> Concentration, </w:t>
      </w:r>
      <w:r w:rsidRPr="004E4FEB">
        <w:rPr>
          <w:b/>
          <w:sz w:val="20"/>
          <w:szCs w:val="20"/>
        </w:rPr>
        <w:t>MCV</w:t>
      </w:r>
      <w:r w:rsidRPr="004E4FEB">
        <w:rPr>
          <w:sz w:val="20"/>
          <w:szCs w:val="20"/>
        </w:rPr>
        <w:t>- Mean corpuscular Volume</w:t>
      </w:r>
      <w:r>
        <w:rPr>
          <w:rFonts w:eastAsiaTheme="minorEastAsia" w:hint="eastAsia"/>
          <w:sz w:val="20"/>
          <w:szCs w:val="20"/>
          <w:lang w:eastAsia="zh-CN"/>
        </w:rPr>
        <w:t>.</w:t>
      </w:r>
    </w:p>
    <w:p w:rsidR="0081372A" w:rsidRDefault="0081372A" w:rsidP="0081372A">
      <w:pPr>
        <w:snapToGrid w:val="0"/>
        <w:jc w:val="both"/>
        <w:rPr>
          <w:rFonts w:eastAsiaTheme="minorEastAsia" w:hint="eastAsia"/>
          <w:sz w:val="20"/>
          <w:szCs w:val="20"/>
          <w:lang w:eastAsia="zh-CN"/>
        </w:rPr>
      </w:pPr>
    </w:p>
    <w:p w:rsidR="0081372A" w:rsidRPr="0081372A" w:rsidRDefault="0081372A" w:rsidP="0081372A">
      <w:pPr>
        <w:snapToGrid w:val="0"/>
        <w:jc w:val="both"/>
        <w:rPr>
          <w:rFonts w:eastAsiaTheme="minorEastAsia" w:hint="eastAsia"/>
          <w:sz w:val="20"/>
          <w:szCs w:val="20"/>
          <w:lang w:eastAsia="zh-CN"/>
        </w:rPr>
      </w:pPr>
    </w:p>
    <w:p w:rsidR="0081372A" w:rsidRPr="004E4FEB" w:rsidRDefault="0081372A" w:rsidP="0081372A">
      <w:pPr>
        <w:snapToGrid w:val="0"/>
        <w:jc w:val="both"/>
        <w:rPr>
          <w:sz w:val="20"/>
          <w:szCs w:val="20"/>
        </w:rPr>
      </w:pPr>
      <w:r w:rsidRPr="004E4FEB">
        <w:rPr>
          <w:b/>
          <w:sz w:val="20"/>
          <w:szCs w:val="20"/>
        </w:rPr>
        <w:t>Serum Chemistry:</w:t>
      </w:r>
    </w:p>
    <w:p w:rsidR="0081372A" w:rsidRPr="004E4FEB" w:rsidRDefault="0081372A" w:rsidP="0081372A">
      <w:pPr>
        <w:snapToGrid w:val="0"/>
        <w:ind w:firstLine="425"/>
        <w:jc w:val="both"/>
        <w:rPr>
          <w:sz w:val="20"/>
          <w:szCs w:val="20"/>
        </w:rPr>
      </w:pPr>
      <w:r w:rsidRPr="004E4FEB">
        <w:rPr>
          <w:sz w:val="20"/>
          <w:szCs w:val="20"/>
        </w:rPr>
        <w:t xml:space="preserve">There was no significant difference (P≥0.05) in the value of Potassium, </w:t>
      </w:r>
      <w:proofErr w:type="spellStart"/>
      <w:r w:rsidRPr="004E4FEB">
        <w:rPr>
          <w:sz w:val="20"/>
          <w:szCs w:val="20"/>
        </w:rPr>
        <w:t>Creatine</w:t>
      </w:r>
      <w:proofErr w:type="spellEnd"/>
      <w:r w:rsidRPr="004E4FEB">
        <w:rPr>
          <w:sz w:val="20"/>
          <w:szCs w:val="20"/>
        </w:rPr>
        <w:t xml:space="preserve">, ALT, </w:t>
      </w:r>
      <w:proofErr w:type="gramStart"/>
      <w:r w:rsidRPr="004E4FEB">
        <w:rPr>
          <w:sz w:val="20"/>
          <w:szCs w:val="20"/>
        </w:rPr>
        <w:t>AST</w:t>
      </w:r>
      <w:proofErr w:type="gramEnd"/>
      <w:r w:rsidRPr="004E4FEB">
        <w:rPr>
          <w:sz w:val="20"/>
          <w:szCs w:val="20"/>
        </w:rPr>
        <w:t xml:space="preserve"> between and across the groups (Table 2).</w:t>
      </w:r>
    </w:p>
    <w:p w:rsidR="0081372A" w:rsidRPr="004E4FEB" w:rsidRDefault="0081372A" w:rsidP="0081372A">
      <w:pPr>
        <w:snapToGrid w:val="0"/>
        <w:ind w:firstLine="425"/>
        <w:jc w:val="both"/>
        <w:rPr>
          <w:sz w:val="20"/>
          <w:szCs w:val="20"/>
        </w:rPr>
      </w:pPr>
      <w:r w:rsidRPr="004E4FEB">
        <w:rPr>
          <w:sz w:val="20"/>
          <w:szCs w:val="20"/>
        </w:rPr>
        <w:t xml:space="preserve">There is a significant difference (P≤0.05) in protein and globulin Values of the test group B and that of group A and group C (control) respectively (Table 2). There is no significant difference (P≥0.05) in the Values of Sodium and BUN between the Group C (Control) and the test group A but, the value of the test group B was significantly higher (P≤0.05) to the value of group C (Control) and test group A respectively. </w:t>
      </w:r>
      <w:proofErr w:type="gramStart"/>
      <w:r w:rsidRPr="004E4FEB">
        <w:rPr>
          <w:sz w:val="20"/>
          <w:szCs w:val="20"/>
        </w:rPr>
        <w:t>(Table 2).</w:t>
      </w:r>
      <w:proofErr w:type="gramEnd"/>
    </w:p>
    <w:p w:rsidR="0081372A" w:rsidRDefault="0081372A" w:rsidP="0081372A">
      <w:pPr>
        <w:snapToGrid w:val="0"/>
        <w:ind w:firstLine="425"/>
        <w:jc w:val="both"/>
        <w:rPr>
          <w:rFonts w:eastAsiaTheme="minorEastAsia" w:hint="eastAsia"/>
          <w:sz w:val="20"/>
          <w:szCs w:val="20"/>
          <w:lang w:eastAsia="zh-CN"/>
        </w:rPr>
      </w:pPr>
      <w:r w:rsidRPr="004E4FEB">
        <w:rPr>
          <w:sz w:val="20"/>
          <w:szCs w:val="20"/>
        </w:rPr>
        <w:t>There is no significant difference (P≥0.05) in the value of ZST of groups A and B respectively, while that of the group C (control) is significantly lower (P≥0.05) than that of groups A and B. Also, the value of albumin did not significantly differ (P≥0.05) between the Group C (control) and Group B but that of group A has higher significant value from both of them (P≤0.05).</w:t>
      </w:r>
      <w:r>
        <w:rPr>
          <w:rFonts w:eastAsiaTheme="minorEastAsia" w:hint="eastAsia"/>
          <w:sz w:val="20"/>
          <w:szCs w:val="20"/>
          <w:lang w:eastAsia="zh-CN"/>
        </w:rPr>
        <w:t xml:space="preserve"> </w:t>
      </w:r>
    </w:p>
    <w:p w:rsidR="0081372A" w:rsidRDefault="0081372A" w:rsidP="00BE0EDB">
      <w:pPr>
        <w:snapToGrid w:val="0"/>
        <w:jc w:val="center"/>
        <w:rPr>
          <w:rFonts w:eastAsiaTheme="minorEastAsia" w:hint="eastAsia"/>
          <w:b/>
          <w:sz w:val="20"/>
          <w:szCs w:val="20"/>
          <w:lang w:eastAsia="zh-CN"/>
        </w:rPr>
      </w:pPr>
    </w:p>
    <w:p w:rsidR="0081372A" w:rsidRDefault="0081372A" w:rsidP="00BE0EDB">
      <w:pPr>
        <w:snapToGrid w:val="0"/>
        <w:jc w:val="center"/>
        <w:rPr>
          <w:rFonts w:eastAsiaTheme="minorEastAsia" w:hint="eastAsia"/>
          <w:b/>
          <w:sz w:val="20"/>
          <w:szCs w:val="20"/>
          <w:lang w:eastAsia="zh-CN"/>
        </w:rPr>
      </w:pPr>
    </w:p>
    <w:p w:rsidR="0081372A" w:rsidRPr="00BE0EDB" w:rsidRDefault="0081372A" w:rsidP="0081372A">
      <w:pPr>
        <w:snapToGrid w:val="0"/>
        <w:jc w:val="center"/>
        <w:rPr>
          <w:b/>
          <w:sz w:val="20"/>
          <w:szCs w:val="20"/>
        </w:rPr>
      </w:pPr>
      <w:r w:rsidRPr="00BE0EDB">
        <w:rPr>
          <w:b/>
          <w:sz w:val="20"/>
          <w:szCs w:val="20"/>
        </w:rPr>
        <w:t>Table 2:</w:t>
      </w:r>
      <w:r>
        <w:rPr>
          <w:b/>
          <w:sz w:val="20"/>
          <w:szCs w:val="20"/>
        </w:rPr>
        <w:t xml:space="preserve"> </w:t>
      </w:r>
      <w:r w:rsidRPr="00BE0EDB">
        <w:rPr>
          <w:sz w:val="20"/>
          <w:szCs w:val="20"/>
        </w:rPr>
        <w:t>Serum chemistry for the three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2522"/>
        <w:gridCol w:w="2513"/>
        <w:gridCol w:w="2534"/>
      </w:tblGrid>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p>
        </w:tc>
        <w:tc>
          <w:tcPr>
            <w:tcW w:w="3952" w:type="pct"/>
            <w:gridSpan w:val="3"/>
            <w:vAlign w:val="center"/>
          </w:tcPr>
          <w:p w:rsidR="0081372A" w:rsidRPr="00BE0EDB" w:rsidRDefault="0081372A" w:rsidP="002B1D07">
            <w:pPr>
              <w:snapToGrid w:val="0"/>
              <w:jc w:val="both"/>
              <w:rPr>
                <w:color w:val="000000"/>
                <w:sz w:val="18"/>
                <w:szCs w:val="20"/>
              </w:rPr>
            </w:pPr>
            <w:r w:rsidRPr="00BE0EDB">
              <w:rPr>
                <w:color w:val="000000"/>
                <w:sz w:val="18"/>
                <w:szCs w:val="20"/>
              </w:rPr>
              <w:t>Mean ± Standard Deviation</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Group A (300mg)</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Group B (600mg)</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Group C (control)</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Protein</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4.8</w:t>
            </w:r>
            <w:r w:rsidRPr="00BE0EDB">
              <w:rPr>
                <w:color w:val="000000"/>
                <w:sz w:val="18"/>
                <w:szCs w:val="20"/>
                <w:vertAlign w:val="superscript"/>
              </w:rPr>
              <w:t xml:space="preserve"> </w:t>
            </w:r>
            <w:r w:rsidRPr="00BE0EDB">
              <w:rPr>
                <w:color w:val="000000"/>
                <w:sz w:val="18"/>
                <w:szCs w:val="20"/>
              </w:rPr>
              <w:t>± 0.5</w:t>
            </w:r>
            <w:r w:rsidRPr="00BE0EDB">
              <w:rPr>
                <w:color w:val="000000"/>
                <w:sz w:val="18"/>
                <w:szCs w:val="20"/>
                <w:vertAlign w:val="superscript"/>
              </w:rPr>
              <w:t>b</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5.5 ± 0.2</w:t>
            </w:r>
            <w:r w:rsidRPr="00BE0EDB">
              <w:rPr>
                <w:color w:val="000000"/>
                <w:sz w:val="18"/>
                <w:szCs w:val="20"/>
                <w:vertAlign w:val="superscript"/>
              </w:rPr>
              <w:t>a</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4.4</w:t>
            </w:r>
            <w:r w:rsidRPr="00BE0EDB">
              <w:rPr>
                <w:color w:val="000000"/>
                <w:sz w:val="18"/>
                <w:szCs w:val="20"/>
                <w:vertAlign w:val="superscript"/>
              </w:rPr>
              <w:t xml:space="preserve"> </w:t>
            </w:r>
            <w:r w:rsidRPr="00BE0EDB">
              <w:rPr>
                <w:color w:val="000000"/>
                <w:sz w:val="18"/>
                <w:szCs w:val="20"/>
              </w:rPr>
              <w:t>± 0.6</w:t>
            </w:r>
            <w:r w:rsidRPr="00BE0EDB">
              <w:rPr>
                <w:color w:val="000000"/>
                <w:sz w:val="18"/>
                <w:szCs w:val="20"/>
                <w:vertAlign w:val="superscript"/>
              </w:rPr>
              <w:t>b</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Albumin</w:t>
            </w:r>
          </w:p>
        </w:tc>
        <w:tc>
          <w:tcPr>
            <w:tcW w:w="1317" w:type="pct"/>
            <w:vAlign w:val="center"/>
          </w:tcPr>
          <w:p w:rsidR="0081372A" w:rsidRPr="00BE0EDB" w:rsidRDefault="0081372A" w:rsidP="002B1D07">
            <w:pPr>
              <w:snapToGrid w:val="0"/>
              <w:jc w:val="both"/>
              <w:rPr>
                <w:color w:val="000000"/>
                <w:sz w:val="18"/>
                <w:szCs w:val="20"/>
                <w:vertAlign w:val="superscript"/>
              </w:rPr>
            </w:pPr>
            <w:r w:rsidRPr="00BE0EDB">
              <w:rPr>
                <w:color w:val="000000"/>
                <w:sz w:val="18"/>
                <w:szCs w:val="20"/>
              </w:rPr>
              <w:t>2.0± 0.2</w:t>
            </w:r>
            <w:r w:rsidRPr="00BE0EDB">
              <w:rPr>
                <w:color w:val="000000"/>
                <w:sz w:val="18"/>
                <w:szCs w:val="20"/>
                <w:vertAlign w:val="superscript"/>
              </w:rPr>
              <w:t>a</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1.1</w:t>
            </w:r>
            <w:r w:rsidRPr="00BE0EDB">
              <w:rPr>
                <w:color w:val="000000"/>
                <w:sz w:val="18"/>
                <w:szCs w:val="20"/>
                <w:vertAlign w:val="superscript"/>
              </w:rPr>
              <w:t xml:space="preserve"> </w:t>
            </w:r>
            <w:r w:rsidRPr="00BE0EDB">
              <w:rPr>
                <w:color w:val="000000"/>
                <w:sz w:val="18"/>
                <w:szCs w:val="20"/>
              </w:rPr>
              <w:t>± 0.1</w:t>
            </w:r>
            <w:r w:rsidRPr="00BE0EDB">
              <w:rPr>
                <w:color w:val="000000"/>
                <w:sz w:val="18"/>
                <w:szCs w:val="20"/>
                <w:vertAlign w:val="superscript"/>
              </w:rPr>
              <w:t>b</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1.1</w:t>
            </w:r>
            <w:r w:rsidRPr="00BE0EDB">
              <w:rPr>
                <w:color w:val="000000"/>
                <w:sz w:val="18"/>
                <w:szCs w:val="20"/>
                <w:vertAlign w:val="superscript"/>
              </w:rPr>
              <w:t xml:space="preserve"> </w:t>
            </w:r>
            <w:r w:rsidRPr="00BE0EDB">
              <w:rPr>
                <w:color w:val="000000"/>
                <w:sz w:val="18"/>
                <w:szCs w:val="20"/>
              </w:rPr>
              <w:t>± 0.1</w:t>
            </w:r>
            <w:r w:rsidRPr="00BE0EDB">
              <w:rPr>
                <w:color w:val="000000"/>
                <w:sz w:val="18"/>
                <w:szCs w:val="20"/>
                <w:vertAlign w:val="superscript"/>
              </w:rPr>
              <w:t>b</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Globulin</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2.8</w:t>
            </w:r>
            <w:r w:rsidRPr="00BE0EDB">
              <w:rPr>
                <w:color w:val="000000"/>
                <w:sz w:val="18"/>
                <w:szCs w:val="20"/>
                <w:vertAlign w:val="superscript"/>
              </w:rPr>
              <w:t xml:space="preserve"> </w:t>
            </w:r>
            <w:r w:rsidRPr="00BE0EDB">
              <w:rPr>
                <w:color w:val="000000"/>
                <w:sz w:val="18"/>
                <w:szCs w:val="20"/>
              </w:rPr>
              <w:t>± 0.5</w:t>
            </w:r>
            <w:r w:rsidRPr="00BE0EDB">
              <w:rPr>
                <w:color w:val="000000"/>
                <w:sz w:val="18"/>
                <w:szCs w:val="20"/>
                <w:vertAlign w:val="superscript"/>
              </w:rPr>
              <w:t>b</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4.4</w:t>
            </w:r>
            <w:r w:rsidRPr="00BE0EDB">
              <w:rPr>
                <w:color w:val="000000"/>
                <w:sz w:val="18"/>
                <w:szCs w:val="20"/>
                <w:vertAlign w:val="superscript"/>
              </w:rPr>
              <w:t xml:space="preserve"> </w:t>
            </w:r>
            <w:r w:rsidRPr="00BE0EDB">
              <w:rPr>
                <w:color w:val="000000"/>
                <w:sz w:val="18"/>
                <w:szCs w:val="20"/>
              </w:rPr>
              <w:t>± 0.3</w:t>
            </w:r>
            <w:r w:rsidRPr="00BE0EDB">
              <w:rPr>
                <w:color w:val="000000"/>
                <w:sz w:val="18"/>
                <w:szCs w:val="20"/>
                <w:vertAlign w:val="superscript"/>
              </w:rPr>
              <w:t>a</w:t>
            </w:r>
          </w:p>
        </w:tc>
        <w:tc>
          <w:tcPr>
            <w:tcW w:w="1323" w:type="pct"/>
            <w:vAlign w:val="center"/>
          </w:tcPr>
          <w:p w:rsidR="0081372A" w:rsidRPr="00BE0EDB" w:rsidRDefault="0081372A" w:rsidP="002B1D07">
            <w:pPr>
              <w:snapToGrid w:val="0"/>
              <w:jc w:val="both"/>
              <w:rPr>
                <w:b/>
                <w:color w:val="000000"/>
                <w:sz w:val="18"/>
                <w:szCs w:val="20"/>
              </w:rPr>
            </w:pPr>
            <w:r w:rsidRPr="00BE0EDB">
              <w:rPr>
                <w:color w:val="000000"/>
                <w:sz w:val="18"/>
                <w:szCs w:val="20"/>
              </w:rPr>
              <w:t>3.3</w:t>
            </w:r>
            <w:r w:rsidRPr="00BE0EDB">
              <w:rPr>
                <w:color w:val="000000"/>
                <w:sz w:val="18"/>
                <w:szCs w:val="20"/>
                <w:vertAlign w:val="superscript"/>
              </w:rPr>
              <w:t xml:space="preserve"> </w:t>
            </w:r>
            <w:r w:rsidRPr="00BE0EDB">
              <w:rPr>
                <w:color w:val="000000"/>
                <w:sz w:val="18"/>
                <w:szCs w:val="20"/>
              </w:rPr>
              <w:t>± 0.6</w:t>
            </w:r>
            <w:r w:rsidRPr="00BE0EDB">
              <w:rPr>
                <w:color w:val="000000"/>
                <w:sz w:val="18"/>
                <w:szCs w:val="20"/>
                <w:vertAlign w:val="superscript"/>
              </w:rPr>
              <w:t>b</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Potassium</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75.6 ± 7.8</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78.0 ± 7.8</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62.4 ±18.2</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Sodium</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91.8 ± 9.0</w:t>
            </w:r>
            <w:r w:rsidRPr="00BE0EDB">
              <w:rPr>
                <w:color w:val="000000"/>
                <w:sz w:val="18"/>
                <w:szCs w:val="20"/>
                <w:vertAlign w:val="superscript"/>
              </w:rPr>
              <w:t>ab</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96.6 ± 13.0</w:t>
            </w:r>
            <w:r w:rsidRPr="00BE0EDB">
              <w:rPr>
                <w:color w:val="000000"/>
                <w:sz w:val="18"/>
                <w:szCs w:val="20"/>
                <w:vertAlign w:val="superscript"/>
              </w:rPr>
              <w:t>a</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75.6</w:t>
            </w:r>
            <w:r w:rsidRPr="00BE0EDB">
              <w:rPr>
                <w:color w:val="000000"/>
                <w:sz w:val="18"/>
                <w:szCs w:val="20"/>
                <w:vertAlign w:val="superscript"/>
              </w:rPr>
              <w:t xml:space="preserve"> </w:t>
            </w:r>
            <w:r w:rsidRPr="00BE0EDB">
              <w:rPr>
                <w:color w:val="000000"/>
                <w:sz w:val="18"/>
                <w:szCs w:val="20"/>
              </w:rPr>
              <w:t>±19.6</w:t>
            </w:r>
            <w:r w:rsidRPr="00BE0EDB">
              <w:rPr>
                <w:color w:val="000000"/>
                <w:sz w:val="18"/>
                <w:szCs w:val="20"/>
                <w:vertAlign w:val="superscript"/>
              </w:rPr>
              <w:t>b</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proofErr w:type="spellStart"/>
            <w:r w:rsidRPr="00BE0EDB">
              <w:rPr>
                <w:color w:val="000000"/>
                <w:sz w:val="18"/>
                <w:szCs w:val="20"/>
              </w:rPr>
              <w:t>Creatinine</w:t>
            </w:r>
            <w:proofErr w:type="spellEnd"/>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1.2 ± 0.1</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1.2 ± 0.1</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1.5 ± 0.6</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ALT</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32.4 ±10.8</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40.8 ± 8.3</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40.0 ± 3.8</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AST</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63.0 ± 13.6</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65.6 ± 13.7</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72.8 ± 7.6</w:t>
            </w:r>
          </w:p>
        </w:tc>
      </w:tr>
      <w:tr w:rsidR="0081372A" w:rsidRPr="00BE0EDB" w:rsidTr="002B1D07">
        <w:trPr>
          <w:jc w:val="center"/>
        </w:trPr>
        <w:tc>
          <w:tcPr>
            <w:tcW w:w="1048" w:type="pct"/>
            <w:vAlign w:val="center"/>
          </w:tcPr>
          <w:p w:rsidR="0081372A" w:rsidRPr="00BE0EDB" w:rsidRDefault="0081372A" w:rsidP="002B1D07">
            <w:pPr>
              <w:snapToGrid w:val="0"/>
              <w:jc w:val="both"/>
              <w:rPr>
                <w:color w:val="000000"/>
                <w:sz w:val="18"/>
                <w:szCs w:val="20"/>
              </w:rPr>
            </w:pPr>
            <w:r w:rsidRPr="00BE0EDB">
              <w:rPr>
                <w:color w:val="000000"/>
                <w:sz w:val="18"/>
                <w:szCs w:val="20"/>
              </w:rPr>
              <w:t>BUN</w:t>
            </w:r>
          </w:p>
        </w:tc>
        <w:tc>
          <w:tcPr>
            <w:tcW w:w="1317" w:type="pct"/>
            <w:vAlign w:val="center"/>
          </w:tcPr>
          <w:p w:rsidR="0081372A" w:rsidRPr="00BE0EDB" w:rsidRDefault="0081372A" w:rsidP="002B1D07">
            <w:pPr>
              <w:snapToGrid w:val="0"/>
              <w:jc w:val="both"/>
              <w:rPr>
                <w:color w:val="000000"/>
                <w:sz w:val="18"/>
                <w:szCs w:val="20"/>
              </w:rPr>
            </w:pPr>
            <w:r w:rsidRPr="00BE0EDB">
              <w:rPr>
                <w:color w:val="000000"/>
                <w:sz w:val="18"/>
                <w:szCs w:val="20"/>
              </w:rPr>
              <w:t>1.9 ± 0.5</w:t>
            </w:r>
            <w:r w:rsidRPr="00BE0EDB">
              <w:rPr>
                <w:color w:val="000000"/>
                <w:sz w:val="18"/>
                <w:szCs w:val="20"/>
                <w:vertAlign w:val="superscript"/>
              </w:rPr>
              <w:t>ab</w:t>
            </w:r>
          </w:p>
        </w:tc>
        <w:tc>
          <w:tcPr>
            <w:tcW w:w="1312" w:type="pct"/>
            <w:vAlign w:val="center"/>
          </w:tcPr>
          <w:p w:rsidR="0081372A" w:rsidRPr="00BE0EDB" w:rsidRDefault="0081372A" w:rsidP="002B1D07">
            <w:pPr>
              <w:snapToGrid w:val="0"/>
              <w:jc w:val="both"/>
              <w:rPr>
                <w:color w:val="000000"/>
                <w:sz w:val="18"/>
                <w:szCs w:val="20"/>
              </w:rPr>
            </w:pPr>
            <w:r w:rsidRPr="00BE0EDB">
              <w:rPr>
                <w:color w:val="000000"/>
                <w:sz w:val="18"/>
                <w:szCs w:val="20"/>
              </w:rPr>
              <w:t>2.1 ±0.7</w:t>
            </w:r>
            <w:r w:rsidRPr="00BE0EDB">
              <w:rPr>
                <w:color w:val="000000"/>
                <w:sz w:val="18"/>
                <w:szCs w:val="20"/>
                <w:vertAlign w:val="superscript"/>
              </w:rPr>
              <w:t>a</w:t>
            </w:r>
          </w:p>
        </w:tc>
        <w:tc>
          <w:tcPr>
            <w:tcW w:w="1323" w:type="pct"/>
            <w:vAlign w:val="center"/>
          </w:tcPr>
          <w:p w:rsidR="0081372A" w:rsidRPr="00BE0EDB" w:rsidRDefault="0081372A" w:rsidP="002B1D07">
            <w:pPr>
              <w:snapToGrid w:val="0"/>
              <w:jc w:val="both"/>
              <w:rPr>
                <w:color w:val="000000"/>
                <w:sz w:val="18"/>
                <w:szCs w:val="20"/>
              </w:rPr>
            </w:pPr>
            <w:r w:rsidRPr="00BE0EDB">
              <w:rPr>
                <w:color w:val="000000"/>
                <w:sz w:val="18"/>
                <w:szCs w:val="20"/>
              </w:rPr>
              <w:t>1.2</w:t>
            </w:r>
            <w:r w:rsidRPr="00BE0EDB">
              <w:rPr>
                <w:color w:val="000000"/>
                <w:sz w:val="18"/>
                <w:szCs w:val="20"/>
                <w:vertAlign w:val="superscript"/>
              </w:rPr>
              <w:t xml:space="preserve"> </w:t>
            </w:r>
            <w:r w:rsidRPr="00BE0EDB">
              <w:rPr>
                <w:color w:val="000000"/>
                <w:sz w:val="18"/>
                <w:szCs w:val="20"/>
              </w:rPr>
              <w:t>± 0.4</w:t>
            </w:r>
            <w:r w:rsidRPr="00BE0EDB">
              <w:rPr>
                <w:color w:val="000000"/>
                <w:sz w:val="18"/>
                <w:szCs w:val="20"/>
                <w:vertAlign w:val="superscript"/>
              </w:rPr>
              <w:t>b</w:t>
            </w:r>
          </w:p>
        </w:tc>
      </w:tr>
    </w:tbl>
    <w:p w:rsidR="0081372A" w:rsidRDefault="0081372A" w:rsidP="0081372A">
      <w:pPr>
        <w:snapToGrid w:val="0"/>
        <w:jc w:val="both"/>
        <w:rPr>
          <w:rFonts w:eastAsiaTheme="minorEastAsia" w:hint="eastAsia"/>
          <w:sz w:val="20"/>
          <w:szCs w:val="20"/>
          <w:lang w:eastAsia="zh-CN"/>
        </w:rPr>
      </w:pPr>
      <w:r w:rsidRPr="004E4FEB">
        <w:rPr>
          <w:b/>
          <w:sz w:val="20"/>
          <w:szCs w:val="20"/>
        </w:rPr>
        <w:t xml:space="preserve">Legend: ALT- </w:t>
      </w:r>
      <w:proofErr w:type="spellStart"/>
      <w:r w:rsidRPr="004E4FEB">
        <w:rPr>
          <w:sz w:val="20"/>
          <w:szCs w:val="20"/>
        </w:rPr>
        <w:t>Alanine</w:t>
      </w:r>
      <w:proofErr w:type="spellEnd"/>
      <w:r w:rsidRPr="004E4FEB">
        <w:rPr>
          <w:sz w:val="20"/>
          <w:szCs w:val="20"/>
        </w:rPr>
        <w:t xml:space="preserve"> </w:t>
      </w:r>
      <w:proofErr w:type="spellStart"/>
      <w:r w:rsidRPr="004E4FEB">
        <w:rPr>
          <w:sz w:val="20"/>
          <w:szCs w:val="20"/>
        </w:rPr>
        <w:t>aminotransferase</w:t>
      </w:r>
      <w:proofErr w:type="spellEnd"/>
      <w:r w:rsidRPr="004E4FEB">
        <w:rPr>
          <w:sz w:val="20"/>
          <w:szCs w:val="20"/>
        </w:rPr>
        <w:t xml:space="preserve">, AST- </w:t>
      </w:r>
      <w:proofErr w:type="spellStart"/>
      <w:r w:rsidRPr="004E4FEB">
        <w:rPr>
          <w:sz w:val="20"/>
          <w:szCs w:val="20"/>
        </w:rPr>
        <w:t>Aspartate</w:t>
      </w:r>
      <w:proofErr w:type="spellEnd"/>
      <w:r w:rsidRPr="004E4FEB">
        <w:rPr>
          <w:sz w:val="20"/>
          <w:szCs w:val="20"/>
        </w:rPr>
        <w:t xml:space="preserve"> </w:t>
      </w:r>
      <w:proofErr w:type="spellStart"/>
      <w:r w:rsidRPr="004E4FEB">
        <w:rPr>
          <w:sz w:val="20"/>
          <w:szCs w:val="20"/>
        </w:rPr>
        <w:t>aminotransferase</w:t>
      </w:r>
      <w:proofErr w:type="spellEnd"/>
      <w:r w:rsidRPr="004E4FEB">
        <w:rPr>
          <w:sz w:val="20"/>
          <w:szCs w:val="20"/>
        </w:rPr>
        <w:t>, BUN- Blood urea nitrogen.</w:t>
      </w:r>
    </w:p>
    <w:p w:rsidR="0081372A" w:rsidRDefault="0081372A" w:rsidP="0081372A">
      <w:pPr>
        <w:snapToGrid w:val="0"/>
        <w:jc w:val="both"/>
        <w:rPr>
          <w:rFonts w:eastAsiaTheme="minorEastAsia" w:hint="eastAsia"/>
          <w:sz w:val="20"/>
          <w:szCs w:val="20"/>
          <w:lang w:eastAsia="zh-CN"/>
        </w:rPr>
      </w:pPr>
    </w:p>
    <w:p w:rsidR="0081372A" w:rsidRPr="0081372A" w:rsidRDefault="0081372A" w:rsidP="0081372A">
      <w:pPr>
        <w:snapToGrid w:val="0"/>
        <w:jc w:val="both"/>
        <w:rPr>
          <w:rFonts w:eastAsiaTheme="minorEastAsia" w:hint="eastAsia"/>
          <w:sz w:val="20"/>
          <w:szCs w:val="20"/>
          <w:lang w:eastAsia="zh-CN"/>
        </w:rPr>
      </w:pPr>
    </w:p>
    <w:p w:rsidR="0081372A" w:rsidRPr="004E4FEB" w:rsidRDefault="0081372A" w:rsidP="0081372A">
      <w:pPr>
        <w:snapToGrid w:val="0"/>
        <w:jc w:val="both"/>
        <w:rPr>
          <w:b/>
          <w:sz w:val="20"/>
          <w:szCs w:val="20"/>
        </w:rPr>
      </w:pPr>
      <w:r w:rsidRPr="004E4FEB">
        <w:rPr>
          <w:b/>
          <w:sz w:val="20"/>
          <w:szCs w:val="20"/>
        </w:rPr>
        <w:t xml:space="preserve">Reproductive Organ </w:t>
      </w:r>
      <w:proofErr w:type="spellStart"/>
      <w:r w:rsidRPr="004E4FEB">
        <w:rPr>
          <w:b/>
          <w:sz w:val="20"/>
          <w:szCs w:val="20"/>
        </w:rPr>
        <w:t>Morphometrics</w:t>
      </w:r>
      <w:proofErr w:type="spellEnd"/>
      <w:r w:rsidRPr="004E4FEB">
        <w:rPr>
          <w:b/>
          <w:sz w:val="20"/>
          <w:szCs w:val="20"/>
        </w:rPr>
        <w:t>:</w:t>
      </w:r>
    </w:p>
    <w:p w:rsidR="0081372A" w:rsidRPr="004E4FEB" w:rsidRDefault="0081372A" w:rsidP="0081372A">
      <w:pPr>
        <w:snapToGrid w:val="0"/>
        <w:ind w:firstLine="425"/>
        <w:jc w:val="both"/>
        <w:rPr>
          <w:sz w:val="20"/>
          <w:szCs w:val="20"/>
        </w:rPr>
      </w:pPr>
      <w:r w:rsidRPr="004E4FEB">
        <w:rPr>
          <w:sz w:val="20"/>
          <w:szCs w:val="20"/>
        </w:rPr>
        <w:t>There is a significant difference (P≤0.05) between the value of Length of Right Uterine horn (LLUH) in the control and that of groups A and B respectively (Table 3).</w:t>
      </w:r>
    </w:p>
    <w:p w:rsidR="0081372A" w:rsidRDefault="0081372A" w:rsidP="0081372A">
      <w:pPr>
        <w:snapToGrid w:val="0"/>
        <w:ind w:firstLine="425"/>
        <w:jc w:val="both"/>
        <w:rPr>
          <w:rFonts w:eastAsiaTheme="minorEastAsia"/>
          <w:sz w:val="20"/>
          <w:szCs w:val="20"/>
          <w:lang w:eastAsia="zh-CN"/>
        </w:rPr>
      </w:pPr>
      <w:r w:rsidRPr="004E4FEB">
        <w:rPr>
          <w:sz w:val="20"/>
          <w:szCs w:val="20"/>
        </w:rPr>
        <w:t xml:space="preserve">The value of Diameter of Right Ovary (DRO) of the group C (control) is not significantly different (P≥0.05) from that of the group B but was significantly deference (P≤0.05) to that of Group </w:t>
      </w:r>
      <w:proofErr w:type="gramStart"/>
      <w:r w:rsidRPr="004E4FEB">
        <w:rPr>
          <w:sz w:val="20"/>
          <w:szCs w:val="20"/>
        </w:rPr>
        <w:t>A</w:t>
      </w:r>
      <w:proofErr w:type="gramEnd"/>
      <w:r w:rsidRPr="004E4FEB">
        <w:rPr>
          <w:sz w:val="20"/>
          <w:szCs w:val="20"/>
        </w:rPr>
        <w:t xml:space="preserve"> (Table 3). There are no significant differences (P≥0.05) in the mean values of all the other parts of the reproductive tract across the three groups.</w:t>
      </w:r>
    </w:p>
    <w:p w:rsidR="0081372A" w:rsidRDefault="0081372A" w:rsidP="00BE0EDB">
      <w:pPr>
        <w:snapToGrid w:val="0"/>
        <w:jc w:val="center"/>
        <w:rPr>
          <w:rFonts w:eastAsiaTheme="minorEastAsia" w:hint="eastAsia"/>
          <w:b/>
          <w:sz w:val="20"/>
          <w:szCs w:val="20"/>
          <w:lang w:eastAsia="zh-CN"/>
        </w:rPr>
      </w:pPr>
    </w:p>
    <w:p w:rsidR="0081372A" w:rsidRDefault="0081372A" w:rsidP="00BE0EDB">
      <w:pPr>
        <w:snapToGrid w:val="0"/>
        <w:jc w:val="center"/>
        <w:rPr>
          <w:rFonts w:eastAsiaTheme="minorEastAsia" w:hint="eastAsia"/>
          <w:b/>
          <w:sz w:val="20"/>
          <w:szCs w:val="20"/>
          <w:lang w:eastAsia="zh-CN"/>
        </w:rPr>
      </w:pPr>
    </w:p>
    <w:p w:rsidR="00E57B7B" w:rsidRDefault="00E57B7B" w:rsidP="00BE0EDB">
      <w:pPr>
        <w:snapToGrid w:val="0"/>
        <w:jc w:val="center"/>
        <w:rPr>
          <w:rFonts w:eastAsiaTheme="minorEastAsia" w:hint="eastAsia"/>
          <w:b/>
          <w:sz w:val="20"/>
          <w:szCs w:val="20"/>
          <w:lang w:eastAsia="zh-CN"/>
        </w:rPr>
      </w:pPr>
    </w:p>
    <w:p w:rsidR="00EA3773" w:rsidRPr="0081372A" w:rsidRDefault="00EA3773" w:rsidP="00BE0EDB">
      <w:pPr>
        <w:snapToGrid w:val="0"/>
        <w:jc w:val="center"/>
        <w:rPr>
          <w:sz w:val="20"/>
          <w:szCs w:val="20"/>
        </w:rPr>
      </w:pPr>
      <w:r w:rsidRPr="0081372A">
        <w:rPr>
          <w:b/>
          <w:sz w:val="20"/>
          <w:szCs w:val="20"/>
        </w:rPr>
        <w:t>Table 3:</w:t>
      </w:r>
      <w:r w:rsidRPr="0081372A">
        <w:rPr>
          <w:sz w:val="20"/>
          <w:szCs w:val="20"/>
        </w:rPr>
        <w:t xml:space="preserve"> Reproductive Organ </w:t>
      </w:r>
      <w:proofErr w:type="spellStart"/>
      <w:r w:rsidRPr="0081372A">
        <w:rPr>
          <w:sz w:val="20"/>
          <w:szCs w:val="20"/>
        </w:rPr>
        <w:t>Morphometrics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9"/>
        <w:gridCol w:w="1871"/>
        <w:gridCol w:w="2059"/>
        <w:gridCol w:w="1867"/>
      </w:tblGrid>
      <w:tr w:rsidR="00EA3773"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p>
        </w:tc>
        <w:tc>
          <w:tcPr>
            <w:tcW w:w="3027" w:type="pct"/>
            <w:gridSpan w:val="3"/>
            <w:vAlign w:val="center"/>
          </w:tcPr>
          <w:p w:rsidR="00EA3773" w:rsidRPr="0081372A" w:rsidRDefault="00EA3773" w:rsidP="00BE0EDB">
            <w:pPr>
              <w:snapToGrid w:val="0"/>
              <w:jc w:val="both"/>
              <w:rPr>
                <w:color w:val="000000"/>
                <w:sz w:val="20"/>
                <w:szCs w:val="20"/>
              </w:rPr>
            </w:pPr>
            <w:r w:rsidRPr="0081372A">
              <w:rPr>
                <w:color w:val="000000"/>
                <w:sz w:val="20"/>
                <w:szCs w:val="20"/>
              </w:rPr>
              <w:t>Mean ± Standard Deviation</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Group A (300mg)</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Group B (600mg)</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Group C (control)</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Length of right uterine Horn</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3.1 ± 0.4</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3.9 ± 0.5</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3.4 ± 0.9</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Length of Left uterine Horn</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3.1 ± 0.4</w:t>
            </w:r>
            <w:r w:rsidRPr="0081372A">
              <w:rPr>
                <w:color w:val="000000"/>
                <w:sz w:val="20"/>
                <w:szCs w:val="20"/>
                <w:vertAlign w:val="superscript"/>
              </w:rPr>
              <w:t>ab</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3.0 ± 0.6</w:t>
            </w:r>
            <w:r w:rsidRPr="0081372A">
              <w:rPr>
                <w:color w:val="000000"/>
                <w:sz w:val="20"/>
                <w:szCs w:val="20"/>
                <w:vertAlign w:val="superscript"/>
              </w:rPr>
              <w:t>b</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4.0 ± 0.9</w:t>
            </w:r>
            <w:r w:rsidRPr="0081372A">
              <w:rPr>
                <w:color w:val="000000"/>
                <w:sz w:val="20"/>
                <w:szCs w:val="20"/>
                <w:vertAlign w:val="superscript"/>
              </w:rPr>
              <w:t>a</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Diameter of right uterine Horn</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2.2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2.3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2.4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Diameter of left uterine Horn</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0.2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0.2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0.2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Length of uterine body</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Diameter of uterine body</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Length of right ovary</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0.5 ± 0.6</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Length of left ovary</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Diameter of right ovary</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0.3 ± 0.1</w:t>
            </w:r>
            <w:r w:rsidRPr="0081372A">
              <w:rPr>
                <w:color w:val="000000"/>
                <w:sz w:val="20"/>
                <w:szCs w:val="20"/>
                <w:vertAlign w:val="superscript"/>
              </w:rPr>
              <w:t>b</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0.0</w:t>
            </w:r>
            <w:r w:rsidRPr="0081372A">
              <w:rPr>
                <w:color w:val="000000"/>
                <w:sz w:val="20"/>
                <w:szCs w:val="20"/>
                <w:vertAlign w:val="superscript"/>
              </w:rPr>
              <w:t>a</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r w:rsidRPr="0081372A">
              <w:rPr>
                <w:color w:val="000000"/>
                <w:sz w:val="20"/>
                <w:szCs w:val="20"/>
                <w:vertAlign w:val="superscript"/>
              </w:rPr>
              <w:t>a</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Diameter of left ovary</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0.02</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Length of cervix</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0.4 ± 0.04</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r>
      <w:tr w:rsidR="0081372A" w:rsidRPr="0081372A" w:rsidTr="0081372A">
        <w:trPr>
          <w:jc w:val="center"/>
        </w:trPr>
        <w:tc>
          <w:tcPr>
            <w:tcW w:w="1973" w:type="pct"/>
            <w:vAlign w:val="center"/>
          </w:tcPr>
          <w:p w:rsidR="00EA3773" w:rsidRPr="0081372A" w:rsidRDefault="00EA3773" w:rsidP="00BE0EDB">
            <w:pPr>
              <w:snapToGrid w:val="0"/>
              <w:jc w:val="both"/>
              <w:rPr>
                <w:color w:val="000000"/>
                <w:sz w:val="20"/>
                <w:szCs w:val="20"/>
              </w:rPr>
            </w:pPr>
            <w:r w:rsidRPr="0081372A">
              <w:rPr>
                <w:color w:val="000000"/>
                <w:sz w:val="20"/>
                <w:szCs w:val="20"/>
              </w:rPr>
              <w:t>Diameter of cervix</w:t>
            </w:r>
          </w:p>
        </w:tc>
        <w:tc>
          <w:tcPr>
            <w:tcW w:w="977"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c>
          <w:tcPr>
            <w:tcW w:w="1075"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975"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r>
    </w:tbl>
    <w:p w:rsidR="00EA3773" w:rsidRPr="0081372A" w:rsidRDefault="00EA3773" w:rsidP="004E4FEB">
      <w:pPr>
        <w:snapToGrid w:val="0"/>
        <w:ind w:firstLine="425"/>
        <w:jc w:val="both"/>
        <w:rPr>
          <w:sz w:val="20"/>
          <w:szCs w:val="20"/>
        </w:rPr>
      </w:pPr>
    </w:p>
    <w:p w:rsidR="00EA3773" w:rsidRPr="0081372A" w:rsidRDefault="00EA3773" w:rsidP="004E4FEB">
      <w:pPr>
        <w:snapToGrid w:val="0"/>
        <w:jc w:val="both"/>
        <w:rPr>
          <w:b/>
          <w:sz w:val="20"/>
          <w:szCs w:val="20"/>
        </w:rPr>
      </w:pPr>
      <w:proofErr w:type="spellStart"/>
      <w:r w:rsidRPr="0081372A">
        <w:rPr>
          <w:b/>
          <w:sz w:val="20"/>
          <w:szCs w:val="20"/>
        </w:rPr>
        <w:t>Organosomatic</w:t>
      </w:r>
      <w:proofErr w:type="spellEnd"/>
      <w:r w:rsidRPr="0081372A">
        <w:rPr>
          <w:b/>
          <w:sz w:val="20"/>
          <w:szCs w:val="20"/>
        </w:rPr>
        <w:t xml:space="preserve"> indices:</w:t>
      </w:r>
    </w:p>
    <w:p w:rsidR="00BE0EDB" w:rsidRPr="0081372A" w:rsidRDefault="00BE0EDB" w:rsidP="004E4FEB">
      <w:pPr>
        <w:snapToGrid w:val="0"/>
        <w:jc w:val="center"/>
        <w:rPr>
          <w:rFonts w:eastAsiaTheme="minorEastAsia"/>
          <w:sz w:val="20"/>
          <w:szCs w:val="20"/>
          <w:lang w:eastAsia="zh-CN"/>
        </w:rPr>
      </w:pPr>
    </w:p>
    <w:p w:rsidR="00EA3773" w:rsidRPr="0081372A" w:rsidRDefault="00EA3773" w:rsidP="004E4FEB">
      <w:pPr>
        <w:snapToGrid w:val="0"/>
        <w:jc w:val="center"/>
        <w:rPr>
          <w:sz w:val="20"/>
          <w:szCs w:val="20"/>
        </w:rPr>
      </w:pPr>
      <w:r w:rsidRPr="0081372A">
        <w:rPr>
          <w:b/>
          <w:sz w:val="20"/>
          <w:szCs w:val="20"/>
        </w:rPr>
        <w:t>Table 4:</w:t>
      </w:r>
      <w:r w:rsidRPr="0081372A">
        <w:rPr>
          <w:sz w:val="20"/>
          <w:szCs w:val="20"/>
        </w:rPr>
        <w:t xml:space="preserve"> </w:t>
      </w:r>
      <w:proofErr w:type="spellStart"/>
      <w:r w:rsidRPr="0081372A">
        <w:rPr>
          <w:sz w:val="20"/>
          <w:szCs w:val="20"/>
        </w:rPr>
        <w:t>Organosomatic</w:t>
      </w:r>
      <w:proofErr w:type="spellEnd"/>
      <w:r w:rsidRPr="0081372A">
        <w:rPr>
          <w:sz w:val="20"/>
          <w:szCs w:val="20"/>
        </w:rPr>
        <w:t xml:space="preserve"> indices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37"/>
        <w:gridCol w:w="2134"/>
        <w:gridCol w:w="2317"/>
      </w:tblGrid>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p>
        </w:tc>
        <w:tc>
          <w:tcPr>
            <w:tcW w:w="3440" w:type="pct"/>
            <w:gridSpan w:val="3"/>
            <w:vAlign w:val="center"/>
          </w:tcPr>
          <w:p w:rsidR="00EA3773" w:rsidRPr="0081372A" w:rsidRDefault="00EA3773" w:rsidP="00BE0EDB">
            <w:pPr>
              <w:snapToGrid w:val="0"/>
              <w:jc w:val="both"/>
              <w:rPr>
                <w:color w:val="000000"/>
                <w:sz w:val="20"/>
                <w:szCs w:val="20"/>
              </w:rPr>
            </w:pPr>
            <w:r w:rsidRPr="0081372A">
              <w:rPr>
                <w:color w:val="000000"/>
                <w:sz w:val="20"/>
                <w:szCs w:val="20"/>
              </w:rPr>
              <w:t>Mean ± Standard Deviation</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Group A (300mg)</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Group B (600mg)</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Group C (control)</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reproductive tract</w:t>
            </w: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0.5 ± 0.1</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0.3 ± 0.1</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left ovary</w:t>
            </w:r>
          </w:p>
        </w:tc>
        <w:tc>
          <w:tcPr>
            <w:tcW w:w="1116" w:type="pct"/>
            <w:vAlign w:val="center"/>
          </w:tcPr>
          <w:p w:rsidR="00EA3773" w:rsidRPr="0081372A" w:rsidRDefault="00EA3773" w:rsidP="00BE0EDB">
            <w:pPr>
              <w:snapToGrid w:val="0"/>
              <w:jc w:val="both"/>
              <w:rPr>
                <w:b/>
                <w:color w:val="000000"/>
                <w:sz w:val="20"/>
                <w:szCs w:val="20"/>
              </w:rPr>
            </w:pPr>
            <w:r w:rsidRPr="0081372A">
              <w:rPr>
                <w:color w:val="000000"/>
                <w:sz w:val="20"/>
                <w:szCs w:val="20"/>
              </w:rPr>
              <w:t>0.03 ± 0.01</w:t>
            </w:r>
            <w:r w:rsidRPr="0081372A">
              <w:rPr>
                <w:color w:val="000000"/>
                <w:sz w:val="20"/>
                <w:szCs w:val="20"/>
                <w:vertAlign w:val="superscript"/>
              </w:rPr>
              <w:t>b</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0.05 ± 0.02</w:t>
            </w:r>
            <w:r w:rsidRPr="0081372A">
              <w:rPr>
                <w:color w:val="000000"/>
                <w:sz w:val="20"/>
                <w:szCs w:val="20"/>
                <w:vertAlign w:val="superscript"/>
              </w:rPr>
              <w:t>a</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0.03 ± 0.004</w:t>
            </w:r>
            <w:r w:rsidRPr="0081372A">
              <w:rPr>
                <w:color w:val="000000"/>
                <w:sz w:val="20"/>
                <w:szCs w:val="20"/>
                <w:vertAlign w:val="superscript"/>
              </w:rPr>
              <w:t>b</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right ovary</w:t>
            </w: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0.03 ± 0.01</w:t>
            </w:r>
            <w:r w:rsidRPr="0081372A">
              <w:rPr>
                <w:color w:val="000000"/>
                <w:sz w:val="20"/>
                <w:szCs w:val="20"/>
                <w:vertAlign w:val="superscript"/>
              </w:rPr>
              <w:t>b</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0.05 ± 0.02</w:t>
            </w:r>
            <w:r w:rsidRPr="0081372A">
              <w:rPr>
                <w:color w:val="000000"/>
                <w:sz w:val="20"/>
                <w:szCs w:val="20"/>
                <w:vertAlign w:val="superscript"/>
              </w:rPr>
              <w:t>a</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0.03 ± 0.01</w:t>
            </w:r>
            <w:r w:rsidRPr="0081372A">
              <w:rPr>
                <w:color w:val="000000"/>
                <w:sz w:val="20"/>
                <w:szCs w:val="20"/>
                <w:vertAlign w:val="superscript"/>
              </w:rPr>
              <w:t>b</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left kidney</w:t>
            </w: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0.3 ± 0.04</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0.3 ± 0.1</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0.3 ± 0.04</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right kidney</w:t>
            </w: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0.4 ± 0.3</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0.3 ± 0.1</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0.3 ± 0.1</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spleen</w:t>
            </w: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0.3 ± 0.04</w:t>
            </w:r>
            <w:r w:rsidRPr="0081372A">
              <w:rPr>
                <w:color w:val="000000"/>
                <w:sz w:val="20"/>
                <w:szCs w:val="20"/>
                <w:vertAlign w:val="superscript"/>
              </w:rPr>
              <w:t>b</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0.4 ± 0.04</w:t>
            </w:r>
            <w:r w:rsidRPr="0081372A">
              <w:rPr>
                <w:color w:val="000000"/>
                <w:sz w:val="20"/>
                <w:szCs w:val="20"/>
                <w:vertAlign w:val="superscript"/>
              </w:rPr>
              <w:t>a</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0.4 ± 0.1</w:t>
            </w:r>
            <w:r w:rsidRPr="0081372A">
              <w:rPr>
                <w:color w:val="000000"/>
                <w:sz w:val="20"/>
                <w:szCs w:val="20"/>
                <w:vertAlign w:val="superscript"/>
              </w:rPr>
              <w:t>a</w:t>
            </w:r>
          </w:p>
        </w:tc>
      </w:tr>
      <w:tr w:rsidR="00EA3773" w:rsidRPr="0081372A" w:rsidTr="0081372A">
        <w:trPr>
          <w:jc w:val="center"/>
        </w:trPr>
        <w:tc>
          <w:tcPr>
            <w:tcW w:w="1560" w:type="pct"/>
            <w:vAlign w:val="center"/>
          </w:tcPr>
          <w:p w:rsidR="00EA3773" w:rsidRPr="0081372A" w:rsidRDefault="00EA3773" w:rsidP="00BE0EDB">
            <w:pPr>
              <w:snapToGrid w:val="0"/>
              <w:jc w:val="both"/>
              <w:rPr>
                <w:color w:val="000000"/>
                <w:sz w:val="20"/>
                <w:szCs w:val="20"/>
              </w:rPr>
            </w:pPr>
            <w:r w:rsidRPr="0081372A">
              <w:rPr>
                <w:color w:val="000000"/>
                <w:sz w:val="20"/>
                <w:szCs w:val="20"/>
              </w:rPr>
              <w:t>Weight of liver</w:t>
            </w:r>
          </w:p>
        </w:tc>
        <w:tc>
          <w:tcPr>
            <w:tcW w:w="1116" w:type="pct"/>
            <w:vAlign w:val="center"/>
          </w:tcPr>
          <w:p w:rsidR="00EA3773" w:rsidRPr="0081372A" w:rsidRDefault="00EA3773" w:rsidP="00BE0EDB">
            <w:pPr>
              <w:snapToGrid w:val="0"/>
              <w:jc w:val="both"/>
              <w:rPr>
                <w:color w:val="000000"/>
                <w:sz w:val="20"/>
                <w:szCs w:val="20"/>
              </w:rPr>
            </w:pPr>
            <w:r w:rsidRPr="0081372A">
              <w:rPr>
                <w:color w:val="000000"/>
                <w:sz w:val="20"/>
                <w:szCs w:val="20"/>
              </w:rPr>
              <w:t>3.5 ± 0.6</w:t>
            </w:r>
          </w:p>
        </w:tc>
        <w:tc>
          <w:tcPr>
            <w:tcW w:w="1114" w:type="pct"/>
            <w:vAlign w:val="center"/>
          </w:tcPr>
          <w:p w:rsidR="00EA3773" w:rsidRPr="0081372A" w:rsidRDefault="00EA3773" w:rsidP="00BE0EDB">
            <w:pPr>
              <w:snapToGrid w:val="0"/>
              <w:jc w:val="both"/>
              <w:rPr>
                <w:color w:val="000000"/>
                <w:sz w:val="20"/>
                <w:szCs w:val="20"/>
              </w:rPr>
            </w:pPr>
            <w:r w:rsidRPr="0081372A">
              <w:rPr>
                <w:color w:val="000000"/>
                <w:sz w:val="20"/>
                <w:szCs w:val="20"/>
              </w:rPr>
              <w:t>3.5 ± 0.6</w:t>
            </w:r>
          </w:p>
        </w:tc>
        <w:tc>
          <w:tcPr>
            <w:tcW w:w="1209" w:type="pct"/>
            <w:vAlign w:val="center"/>
          </w:tcPr>
          <w:p w:rsidR="00EA3773" w:rsidRPr="0081372A" w:rsidRDefault="00EA3773" w:rsidP="00BE0EDB">
            <w:pPr>
              <w:snapToGrid w:val="0"/>
              <w:jc w:val="both"/>
              <w:rPr>
                <w:color w:val="000000"/>
                <w:sz w:val="20"/>
                <w:szCs w:val="20"/>
              </w:rPr>
            </w:pPr>
            <w:r w:rsidRPr="0081372A">
              <w:rPr>
                <w:color w:val="000000"/>
                <w:sz w:val="20"/>
                <w:szCs w:val="20"/>
              </w:rPr>
              <w:t>3.8 ± 0.6</w:t>
            </w:r>
          </w:p>
        </w:tc>
      </w:tr>
    </w:tbl>
    <w:p w:rsidR="00EA3773" w:rsidRDefault="00EA3773" w:rsidP="004E4FEB">
      <w:pPr>
        <w:snapToGrid w:val="0"/>
        <w:jc w:val="both"/>
        <w:rPr>
          <w:rFonts w:eastAsiaTheme="minorEastAsia" w:hint="eastAsia"/>
          <w:b/>
          <w:sz w:val="20"/>
          <w:szCs w:val="20"/>
          <w:lang w:eastAsia="zh-CN"/>
        </w:rPr>
      </w:pPr>
    </w:p>
    <w:p w:rsidR="00E57B7B" w:rsidRPr="0081372A" w:rsidRDefault="00E57B7B" w:rsidP="004E4FEB">
      <w:pPr>
        <w:snapToGrid w:val="0"/>
        <w:jc w:val="both"/>
        <w:rPr>
          <w:rFonts w:eastAsiaTheme="minorEastAsia"/>
          <w:b/>
          <w:sz w:val="20"/>
          <w:szCs w:val="20"/>
          <w:lang w:eastAsia="zh-CN"/>
        </w:rPr>
      </w:pPr>
    </w:p>
    <w:p w:rsidR="0081372A" w:rsidRDefault="0081372A" w:rsidP="00BE0EDB">
      <w:pPr>
        <w:snapToGrid w:val="0"/>
        <w:ind w:firstLine="425"/>
        <w:jc w:val="both"/>
        <w:rPr>
          <w:sz w:val="20"/>
          <w:szCs w:val="20"/>
        </w:rPr>
        <w:sectPr w:rsidR="0081372A" w:rsidSect="0081372A">
          <w:type w:val="continuous"/>
          <w:pgSz w:w="12240" w:h="15840" w:code="1"/>
          <w:pgMar w:top="1440" w:right="1440" w:bottom="1440" w:left="1440" w:header="720" w:footer="720" w:gutter="0"/>
          <w:cols w:space="576"/>
          <w:docGrid w:linePitch="360"/>
        </w:sectPr>
      </w:pPr>
    </w:p>
    <w:p w:rsidR="00BE0EDB" w:rsidRPr="004E4FEB" w:rsidRDefault="00BE0EDB" w:rsidP="00BE0EDB">
      <w:pPr>
        <w:snapToGrid w:val="0"/>
        <w:ind w:firstLine="425"/>
        <w:jc w:val="both"/>
        <w:rPr>
          <w:sz w:val="20"/>
          <w:szCs w:val="20"/>
        </w:rPr>
      </w:pPr>
      <w:r w:rsidRPr="004E4FEB">
        <w:rPr>
          <w:sz w:val="20"/>
          <w:szCs w:val="20"/>
        </w:rPr>
        <w:lastRenderedPageBreak/>
        <w:t>There is no significant difference (P≥0.05) in the value of Weight of reproductive tract (WRT), Weight of left kidney (WLK), Weight of right kidney (WRK), and Weight of Liver (WL) across the 3 groups (Table 4).</w:t>
      </w:r>
    </w:p>
    <w:p w:rsidR="00BE0EDB" w:rsidRPr="004E4FEB" w:rsidRDefault="00BE0EDB" w:rsidP="00BE0EDB">
      <w:pPr>
        <w:snapToGrid w:val="0"/>
        <w:ind w:firstLine="425"/>
        <w:jc w:val="both"/>
        <w:rPr>
          <w:sz w:val="20"/>
          <w:szCs w:val="20"/>
        </w:rPr>
      </w:pPr>
      <w:r w:rsidRPr="004E4FEB">
        <w:rPr>
          <w:sz w:val="20"/>
          <w:szCs w:val="20"/>
        </w:rPr>
        <w:t>There is a significant difference (P≤0.05) in the value of Weight of left ovary (WLO) and Weight of right ovary (WRO) of the group B to the values of groups A and C (control) respectively.</w:t>
      </w:r>
    </w:p>
    <w:p w:rsidR="00BE0EDB" w:rsidRDefault="00BE0EDB" w:rsidP="00BE0EDB">
      <w:pPr>
        <w:snapToGrid w:val="0"/>
        <w:ind w:firstLine="425"/>
        <w:jc w:val="both"/>
        <w:rPr>
          <w:rFonts w:eastAsiaTheme="minorEastAsia"/>
          <w:sz w:val="20"/>
          <w:szCs w:val="20"/>
          <w:lang w:eastAsia="zh-CN"/>
        </w:rPr>
      </w:pPr>
      <w:r w:rsidRPr="004E4FEB">
        <w:rPr>
          <w:sz w:val="20"/>
          <w:szCs w:val="20"/>
        </w:rPr>
        <w:t>There is also a significant difference (P≤0.05) in the value of Weight of spleen (WS) of group A to that of Group B and C (control) respectively (Table 4).</w:t>
      </w:r>
    </w:p>
    <w:p w:rsidR="00BE0EDB" w:rsidRPr="00BE0EDB" w:rsidRDefault="00BE0EDB" w:rsidP="004E4FEB">
      <w:pPr>
        <w:snapToGrid w:val="0"/>
        <w:jc w:val="both"/>
        <w:rPr>
          <w:rFonts w:eastAsiaTheme="minorEastAsia"/>
          <w:b/>
          <w:sz w:val="20"/>
          <w:szCs w:val="20"/>
          <w:lang w:eastAsia="zh-CN"/>
        </w:rPr>
      </w:pPr>
    </w:p>
    <w:p w:rsidR="00EA3773" w:rsidRPr="004E4FEB" w:rsidRDefault="00EA3773" w:rsidP="004E4FEB">
      <w:pPr>
        <w:snapToGrid w:val="0"/>
        <w:jc w:val="both"/>
        <w:rPr>
          <w:b/>
          <w:sz w:val="20"/>
          <w:szCs w:val="20"/>
        </w:rPr>
      </w:pPr>
      <w:r w:rsidRPr="004E4FEB">
        <w:rPr>
          <w:b/>
          <w:sz w:val="20"/>
          <w:szCs w:val="20"/>
        </w:rPr>
        <w:t>4. Discussions</w:t>
      </w:r>
    </w:p>
    <w:p w:rsidR="00EA3773" w:rsidRPr="004E4FEB" w:rsidRDefault="00EA3773" w:rsidP="004E4FEB">
      <w:pPr>
        <w:snapToGrid w:val="0"/>
        <w:ind w:firstLine="425"/>
        <w:jc w:val="both"/>
        <w:rPr>
          <w:sz w:val="20"/>
          <w:szCs w:val="20"/>
        </w:rPr>
      </w:pPr>
      <w:r w:rsidRPr="004E4FEB">
        <w:rPr>
          <w:sz w:val="20"/>
          <w:szCs w:val="20"/>
        </w:rPr>
        <w:t xml:space="preserve">The </w:t>
      </w:r>
      <w:proofErr w:type="spellStart"/>
      <w:r w:rsidRPr="004E4FEB">
        <w:rPr>
          <w:sz w:val="20"/>
          <w:szCs w:val="20"/>
        </w:rPr>
        <w:t>haematology</w:t>
      </w:r>
      <w:proofErr w:type="spellEnd"/>
      <w:r w:rsidRPr="004E4FEB">
        <w:rPr>
          <w:sz w:val="20"/>
          <w:szCs w:val="20"/>
        </w:rPr>
        <w:t xml:space="preserve"> result showed that </w:t>
      </w:r>
      <w:proofErr w:type="spellStart"/>
      <w:r w:rsidRPr="004E4FEB">
        <w:rPr>
          <w:sz w:val="20"/>
          <w:szCs w:val="20"/>
        </w:rPr>
        <w:t>wistar</w:t>
      </w:r>
      <w:proofErr w:type="spellEnd"/>
      <w:r w:rsidRPr="004E4FEB">
        <w:rPr>
          <w:sz w:val="20"/>
          <w:szCs w:val="20"/>
        </w:rPr>
        <w:t xml:space="preserve"> rats were able to survive irrespective of the dose of </w:t>
      </w:r>
      <w:proofErr w:type="spellStart"/>
      <w:r w:rsidRPr="004E4FEB">
        <w:rPr>
          <w:i/>
          <w:sz w:val="20"/>
          <w:szCs w:val="20"/>
        </w:rPr>
        <w:t>Mormordica</w:t>
      </w:r>
      <w:proofErr w:type="spellEnd"/>
      <w:r w:rsidRPr="004E4FEB">
        <w:rPr>
          <w:i/>
          <w:sz w:val="20"/>
          <w:szCs w:val="20"/>
        </w:rPr>
        <w:t xml:space="preserve"> </w:t>
      </w:r>
      <w:proofErr w:type="spellStart"/>
      <w:r w:rsidRPr="004E4FEB">
        <w:rPr>
          <w:i/>
          <w:sz w:val="20"/>
          <w:szCs w:val="20"/>
        </w:rPr>
        <w:t>charantia</w:t>
      </w:r>
      <w:proofErr w:type="spellEnd"/>
      <w:r w:rsidRPr="004E4FEB">
        <w:rPr>
          <w:i/>
          <w:sz w:val="20"/>
          <w:szCs w:val="20"/>
        </w:rPr>
        <w:t xml:space="preserve"> </w:t>
      </w:r>
      <w:r w:rsidRPr="004E4FEB">
        <w:rPr>
          <w:sz w:val="20"/>
          <w:szCs w:val="20"/>
        </w:rPr>
        <w:t xml:space="preserve">although at 300mg concentration of the extract induced sight anemia and lower </w:t>
      </w:r>
      <w:proofErr w:type="spellStart"/>
      <w:r w:rsidRPr="004E4FEB">
        <w:rPr>
          <w:sz w:val="20"/>
          <w:szCs w:val="20"/>
        </w:rPr>
        <w:t>haemoglobin</w:t>
      </w:r>
      <w:proofErr w:type="spellEnd"/>
      <w:r w:rsidRPr="004E4FEB">
        <w:rPr>
          <w:sz w:val="20"/>
          <w:szCs w:val="20"/>
        </w:rPr>
        <w:t xml:space="preserve"> value.</w:t>
      </w:r>
    </w:p>
    <w:p w:rsidR="00EA3773" w:rsidRPr="004E4FEB" w:rsidRDefault="00EA3773" w:rsidP="004E4FEB">
      <w:pPr>
        <w:snapToGrid w:val="0"/>
        <w:ind w:firstLine="425"/>
        <w:jc w:val="both"/>
        <w:rPr>
          <w:sz w:val="20"/>
          <w:szCs w:val="20"/>
        </w:rPr>
      </w:pPr>
      <w:r w:rsidRPr="004E4FEB">
        <w:rPr>
          <w:sz w:val="20"/>
          <w:szCs w:val="20"/>
        </w:rPr>
        <w:t>Also, increased protein and albumin concentration was observed at the dose of 600mg and 300mg respectively which may be due to the effect of the chemical composition of the plant extract which has been reported to contain considerable amount of</w:t>
      </w:r>
      <w:r w:rsidR="0081372A">
        <w:rPr>
          <w:sz w:val="20"/>
          <w:szCs w:val="20"/>
        </w:rPr>
        <w:t xml:space="preserve"> </w:t>
      </w:r>
      <w:r w:rsidRPr="004E4FEB">
        <w:rPr>
          <w:sz w:val="20"/>
          <w:szCs w:val="20"/>
        </w:rPr>
        <w:t xml:space="preserve">carbohydrate, protein, Vitamins A, E, C, K and folic acid. </w:t>
      </w:r>
      <w:proofErr w:type="gramStart"/>
      <w:r w:rsidRPr="004E4FEB">
        <w:rPr>
          <w:sz w:val="20"/>
          <w:szCs w:val="20"/>
        </w:rPr>
        <w:t>(</w:t>
      </w:r>
      <w:proofErr w:type="spellStart"/>
      <w:r w:rsidRPr="004E4FEB">
        <w:rPr>
          <w:sz w:val="20"/>
          <w:szCs w:val="20"/>
        </w:rPr>
        <w:t>Bakare</w:t>
      </w:r>
      <w:proofErr w:type="spellEnd"/>
      <w:r w:rsidR="0081372A">
        <w:rPr>
          <w:sz w:val="20"/>
          <w:szCs w:val="20"/>
        </w:rPr>
        <w:t xml:space="preserve"> </w:t>
      </w:r>
      <w:r w:rsidRPr="004E4FEB">
        <w:rPr>
          <w:i/>
          <w:sz w:val="20"/>
          <w:szCs w:val="20"/>
        </w:rPr>
        <w:t>et al.,</w:t>
      </w:r>
      <w:r w:rsidRPr="004E4FEB">
        <w:rPr>
          <w:sz w:val="20"/>
          <w:szCs w:val="20"/>
        </w:rPr>
        <w:t xml:space="preserve"> 2010).</w:t>
      </w:r>
      <w:proofErr w:type="gramEnd"/>
    </w:p>
    <w:p w:rsidR="00EA3773" w:rsidRPr="004E4FEB" w:rsidRDefault="00EA3773" w:rsidP="004E4FEB">
      <w:pPr>
        <w:snapToGrid w:val="0"/>
        <w:ind w:firstLine="425"/>
        <w:jc w:val="both"/>
        <w:rPr>
          <w:sz w:val="20"/>
          <w:szCs w:val="20"/>
        </w:rPr>
      </w:pPr>
      <w:r w:rsidRPr="004E4FEB">
        <w:rPr>
          <w:sz w:val="20"/>
          <w:szCs w:val="20"/>
        </w:rPr>
        <w:lastRenderedPageBreak/>
        <w:t xml:space="preserve">Moderate </w:t>
      </w:r>
      <w:proofErr w:type="spellStart"/>
      <w:r w:rsidRPr="004E4FEB">
        <w:rPr>
          <w:sz w:val="20"/>
          <w:szCs w:val="20"/>
        </w:rPr>
        <w:t>azotaemia</w:t>
      </w:r>
      <w:proofErr w:type="spellEnd"/>
      <w:r w:rsidRPr="004E4FEB">
        <w:rPr>
          <w:sz w:val="20"/>
          <w:szCs w:val="20"/>
        </w:rPr>
        <w:t xml:space="preserve"> was observed in the test groups which may be as a result of moderate renal toxicity of the plant extract.</w:t>
      </w:r>
    </w:p>
    <w:p w:rsidR="00EA3773" w:rsidRPr="004E4FEB" w:rsidRDefault="00EA3773" w:rsidP="004E4FEB">
      <w:pPr>
        <w:snapToGrid w:val="0"/>
        <w:ind w:firstLine="425"/>
        <w:jc w:val="both"/>
        <w:rPr>
          <w:sz w:val="20"/>
          <w:szCs w:val="20"/>
        </w:rPr>
      </w:pPr>
      <w:r w:rsidRPr="004E4FEB">
        <w:rPr>
          <w:sz w:val="20"/>
          <w:szCs w:val="20"/>
        </w:rPr>
        <w:t xml:space="preserve">Shortening of uterine horn length was observed in both test groups as oppose to the control group. This is in contrast to the increased uterine weight and micrometric measurements as reported by </w:t>
      </w:r>
      <w:proofErr w:type="spellStart"/>
      <w:r w:rsidRPr="004E4FEB">
        <w:rPr>
          <w:sz w:val="20"/>
          <w:szCs w:val="20"/>
        </w:rPr>
        <w:t>Sharanabasapp</w:t>
      </w:r>
      <w:proofErr w:type="spellEnd"/>
      <w:r w:rsidRPr="004E4FEB">
        <w:rPr>
          <w:sz w:val="20"/>
          <w:szCs w:val="20"/>
        </w:rPr>
        <w:t xml:space="preserve"> </w:t>
      </w:r>
      <w:r w:rsidRPr="004E4FEB">
        <w:rPr>
          <w:i/>
          <w:sz w:val="20"/>
          <w:szCs w:val="20"/>
        </w:rPr>
        <w:t>et al.,</w:t>
      </w:r>
      <w:r w:rsidRPr="004E4FEB">
        <w:rPr>
          <w:sz w:val="20"/>
          <w:szCs w:val="20"/>
        </w:rPr>
        <w:t xml:space="preserve"> 2002 following a thirty days (30) administration of seed extract of </w:t>
      </w:r>
      <w:proofErr w:type="spellStart"/>
      <w:r w:rsidRPr="004E4FEB">
        <w:rPr>
          <w:i/>
          <w:sz w:val="20"/>
          <w:szCs w:val="20"/>
        </w:rPr>
        <w:t>Mormordica</w:t>
      </w:r>
      <w:proofErr w:type="spellEnd"/>
      <w:r w:rsidRPr="004E4FEB">
        <w:rPr>
          <w:i/>
          <w:sz w:val="20"/>
          <w:szCs w:val="20"/>
        </w:rPr>
        <w:t xml:space="preserve"> </w:t>
      </w:r>
      <w:proofErr w:type="spellStart"/>
      <w:r w:rsidRPr="004E4FEB">
        <w:rPr>
          <w:i/>
          <w:sz w:val="20"/>
          <w:szCs w:val="20"/>
        </w:rPr>
        <w:t>charantia</w:t>
      </w:r>
      <w:proofErr w:type="spellEnd"/>
      <w:r w:rsidRPr="004E4FEB">
        <w:rPr>
          <w:sz w:val="20"/>
          <w:szCs w:val="20"/>
        </w:rPr>
        <w:t>.</w:t>
      </w:r>
    </w:p>
    <w:p w:rsidR="00EA3773" w:rsidRPr="004E4FEB" w:rsidRDefault="00EA3773" w:rsidP="004E4FEB">
      <w:pPr>
        <w:snapToGrid w:val="0"/>
        <w:ind w:firstLine="425"/>
        <w:jc w:val="both"/>
        <w:rPr>
          <w:sz w:val="20"/>
          <w:szCs w:val="20"/>
        </w:rPr>
      </w:pPr>
      <w:r w:rsidRPr="004E4FEB">
        <w:rPr>
          <w:sz w:val="20"/>
          <w:szCs w:val="20"/>
        </w:rPr>
        <w:t>An increase ovarian weight was observed in the test groups, which showed that the extract probably induces follicular growth which might be responsible for the heavier ovaries in the test groups.</w:t>
      </w:r>
    </w:p>
    <w:p w:rsidR="00EA3773" w:rsidRPr="004E4FEB" w:rsidRDefault="00EA3773" w:rsidP="004E4FEB">
      <w:pPr>
        <w:snapToGrid w:val="0"/>
        <w:ind w:firstLine="425"/>
        <w:jc w:val="both"/>
        <w:rPr>
          <w:sz w:val="20"/>
          <w:szCs w:val="20"/>
        </w:rPr>
      </w:pPr>
      <w:r w:rsidRPr="004E4FEB">
        <w:rPr>
          <w:sz w:val="20"/>
          <w:szCs w:val="20"/>
        </w:rPr>
        <w:t xml:space="preserve">This is equally in contrast to the report by </w:t>
      </w:r>
      <w:proofErr w:type="spellStart"/>
      <w:r w:rsidRPr="004E4FEB">
        <w:rPr>
          <w:sz w:val="20"/>
          <w:szCs w:val="20"/>
        </w:rPr>
        <w:t>Sharanabasapp</w:t>
      </w:r>
      <w:proofErr w:type="spellEnd"/>
      <w:r w:rsidRPr="004E4FEB">
        <w:rPr>
          <w:sz w:val="20"/>
          <w:szCs w:val="20"/>
        </w:rPr>
        <w:t xml:space="preserve"> </w:t>
      </w:r>
      <w:r w:rsidRPr="004E4FEB">
        <w:rPr>
          <w:i/>
          <w:sz w:val="20"/>
          <w:szCs w:val="20"/>
        </w:rPr>
        <w:t>et al.,</w:t>
      </w:r>
      <w:r w:rsidRPr="004E4FEB">
        <w:rPr>
          <w:sz w:val="20"/>
          <w:szCs w:val="20"/>
        </w:rPr>
        <w:t xml:space="preserve"> 2002 that a reduced ovarian weight was observed at autopsy following a thirty (30) days administration of seed extract of </w:t>
      </w:r>
      <w:proofErr w:type="spellStart"/>
      <w:r w:rsidRPr="004E4FEB">
        <w:rPr>
          <w:i/>
          <w:sz w:val="20"/>
          <w:szCs w:val="20"/>
        </w:rPr>
        <w:t>Mormordica</w:t>
      </w:r>
      <w:proofErr w:type="spellEnd"/>
      <w:r w:rsidRPr="004E4FEB">
        <w:rPr>
          <w:i/>
          <w:sz w:val="20"/>
          <w:szCs w:val="20"/>
        </w:rPr>
        <w:t xml:space="preserve"> </w:t>
      </w:r>
      <w:proofErr w:type="spellStart"/>
      <w:r w:rsidRPr="004E4FEB">
        <w:rPr>
          <w:i/>
          <w:sz w:val="20"/>
          <w:szCs w:val="20"/>
        </w:rPr>
        <w:t>charantia</w:t>
      </w:r>
      <w:proofErr w:type="spellEnd"/>
      <w:r w:rsidR="0081372A">
        <w:rPr>
          <w:sz w:val="20"/>
          <w:szCs w:val="20"/>
        </w:rPr>
        <w:t>.</w:t>
      </w:r>
    </w:p>
    <w:p w:rsidR="00EA3773" w:rsidRDefault="00EA3773" w:rsidP="004E4FEB">
      <w:pPr>
        <w:snapToGrid w:val="0"/>
        <w:jc w:val="both"/>
        <w:rPr>
          <w:rFonts w:eastAsiaTheme="minorEastAsia" w:hint="eastAsia"/>
          <w:sz w:val="20"/>
          <w:szCs w:val="20"/>
          <w:lang w:eastAsia="zh-CN"/>
        </w:rPr>
      </w:pPr>
    </w:p>
    <w:p w:rsidR="00E57B7B" w:rsidRDefault="00E57B7B" w:rsidP="004E4FEB">
      <w:pPr>
        <w:snapToGrid w:val="0"/>
        <w:jc w:val="both"/>
        <w:rPr>
          <w:rFonts w:eastAsiaTheme="minorEastAsia" w:hint="eastAsia"/>
          <w:sz w:val="20"/>
          <w:szCs w:val="20"/>
          <w:lang w:eastAsia="zh-CN"/>
        </w:rPr>
      </w:pPr>
    </w:p>
    <w:p w:rsidR="00E57B7B" w:rsidRPr="00E57B7B" w:rsidRDefault="00E57B7B" w:rsidP="004E4FEB">
      <w:pPr>
        <w:snapToGrid w:val="0"/>
        <w:jc w:val="both"/>
        <w:rPr>
          <w:rFonts w:eastAsiaTheme="minorEastAsia" w:hint="eastAsia"/>
          <w:sz w:val="20"/>
          <w:szCs w:val="20"/>
          <w:lang w:eastAsia="zh-CN"/>
        </w:rPr>
      </w:pPr>
    </w:p>
    <w:p w:rsidR="00EA3773" w:rsidRPr="004E4FEB" w:rsidRDefault="00EA3773" w:rsidP="00BE0EDB">
      <w:pPr>
        <w:snapToGrid w:val="0"/>
        <w:jc w:val="both"/>
        <w:rPr>
          <w:b/>
          <w:sz w:val="20"/>
          <w:szCs w:val="20"/>
        </w:rPr>
      </w:pPr>
      <w:r w:rsidRPr="004E4FEB">
        <w:rPr>
          <w:b/>
          <w:sz w:val="20"/>
          <w:szCs w:val="20"/>
        </w:rPr>
        <w:t>Corresponding Author:</w:t>
      </w:r>
    </w:p>
    <w:p w:rsidR="00EA3773" w:rsidRPr="004E4FEB" w:rsidRDefault="00EA3773" w:rsidP="00BE0EDB">
      <w:pPr>
        <w:snapToGrid w:val="0"/>
        <w:jc w:val="both"/>
        <w:rPr>
          <w:sz w:val="20"/>
          <w:szCs w:val="20"/>
        </w:rPr>
      </w:pPr>
      <w:r w:rsidRPr="004E4FEB">
        <w:rPr>
          <w:sz w:val="20"/>
          <w:szCs w:val="20"/>
        </w:rPr>
        <w:t xml:space="preserve">Dr. </w:t>
      </w:r>
      <w:proofErr w:type="spellStart"/>
      <w:r w:rsidRPr="004E4FEB">
        <w:rPr>
          <w:sz w:val="20"/>
          <w:szCs w:val="20"/>
        </w:rPr>
        <w:t>Esan</w:t>
      </w:r>
      <w:proofErr w:type="spellEnd"/>
      <w:r w:rsidRPr="004E4FEB">
        <w:rPr>
          <w:sz w:val="20"/>
          <w:szCs w:val="20"/>
        </w:rPr>
        <w:t xml:space="preserve"> </w:t>
      </w:r>
      <w:proofErr w:type="spellStart"/>
      <w:r w:rsidRPr="004E4FEB">
        <w:rPr>
          <w:sz w:val="20"/>
          <w:szCs w:val="20"/>
        </w:rPr>
        <w:t>Oluwaseun</w:t>
      </w:r>
      <w:proofErr w:type="spellEnd"/>
      <w:r w:rsidR="0081372A">
        <w:rPr>
          <w:sz w:val="20"/>
          <w:szCs w:val="20"/>
        </w:rPr>
        <w:t xml:space="preserve"> </w:t>
      </w:r>
      <w:r w:rsidRPr="004E4FEB">
        <w:rPr>
          <w:sz w:val="20"/>
          <w:szCs w:val="20"/>
        </w:rPr>
        <w:t>O</w:t>
      </w:r>
    </w:p>
    <w:p w:rsidR="00EA3773" w:rsidRPr="004E4FEB" w:rsidRDefault="00EA3773" w:rsidP="00BE0EDB">
      <w:pPr>
        <w:snapToGrid w:val="0"/>
        <w:jc w:val="both"/>
        <w:rPr>
          <w:sz w:val="20"/>
          <w:szCs w:val="20"/>
        </w:rPr>
      </w:pPr>
      <w:r w:rsidRPr="004E4FEB">
        <w:rPr>
          <w:sz w:val="20"/>
          <w:szCs w:val="20"/>
        </w:rPr>
        <w:t>Department of Veterinary Medicine,</w:t>
      </w:r>
    </w:p>
    <w:p w:rsidR="00EA3773" w:rsidRPr="004E4FEB" w:rsidRDefault="00EA3773" w:rsidP="00BE0EDB">
      <w:pPr>
        <w:snapToGrid w:val="0"/>
        <w:jc w:val="both"/>
        <w:rPr>
          <w:sz w:val="20"/>
          <w:szCs w:val="20"/>
        </w:rPr>
      </w:pPr>
      <w:r w:rsidRPr="004E4FEB">
        <w:rPr>
          <w:sz w:val="20"/>
          <w:szCs w:val="20"/>
        </w:rPr>
        <w:t>University of Ibadan, Nigeria.</w:t>
      </w:r>
    </w:p>
    <w:p w:rsidR="00EA3773" w:rsidRPr="004E4FEB" w:rsidRDefault="00EA3773" w:rsidP="00BE0EDB">
      <w:pPr>
        <w:snapToGrid w:val="0"/>
        <w:jc w:val="both"/>
        <w:rPr>
          <w:sz w:val="20"/>
          <w:szCs w:val="20"/>
        </w:rPr>
      </w:pPr>
      <w:r w:rsidRPr="004E4FEB">
        <w:rPr>
          <w:sz w:val="20"/>
          <w:szCs w:val="20"/>
        </w:rPr>
        <w:t xml:space="preserve">E-mail: </w:t>
      </w:r>
      <w:hyperlink r:id="rId31" w:history="1">
        <w:r w:rsidRPr="004E4FEB">
          <w:rPr>
            <w:rStyle w:val="Hyperlink"/>
            <w:sz w:val="20"/>
            <w:szCs w:val="20"/>
          </w:rPr>
          <w:t>oiuseunsol@yahoo.co.uk</w:t>
        </w:r>
      </w:hyperlink>
    </w:p>
    <w:p w:rsidR="00EA3773" w:rsidRPr="004E4FEB" w:rsidRDefault="00EA3773" w:rsidP="004E4FEB">
      <w:pPr>
        <w:snapToGrid w:val="0"/>
        <w:jc w:val="both"/>
        <w:rPr>
          <w:sz w:val="20"/>
          <w:szCs w:val="20"/>
        </w:rPr>
      </w:pPr>
    </w:p>
    <w:p w:rsidR="00EA3773" w:rsidRPr="004E4FEB" w:rsidRDefault="00EA3773" w:rsidP="004E4FEB">
      <w:pPr>
        <w:snapToGrid w:val="0"/>
        <w:jc w:val="both"/>
        <w:rPr>
          <w:b/>
          <w:sz w:val="20"/>
          <w:szCs w:val="20"/>
        </w:rPr>
      </w:pPr>
      <w:r w:rsidRPr="004E4FEB">
        <w:rPr>
          <w:b/>
          <w:sz w:val="20"/>
          <w:szCs w:val="20"/>
        </w:rPr>
        <w:lastRenderedPageBreak/>
        <w:t>References</w:t>
      </w:r>
    </w:p>
    <w:p w:rsidR="00EA3773" w:rsidRPr="00BE0EDB" w:rsidRDefault="00EA3773" w:rsidP="004E4FEB">
      <w:pPr>
        <w:numPr>
          <w:ilvl w:val="0"/>
          <w:numId w:val="1"/>
        </w:numPr>
        <w:snapToGrid w:val="0"/>
        <w:ind w:left="425" w:hanging="425"/>
        <w:jc w:val="both"/>
        <w:rPr>
          <w:rStyle w:val="citationjournal"/>
          <w:sz w:val="20"/>
          <w:szCs w:val="20"/>
        </w:rPr>
      </w:pPr>
      <w:r w:rsidRPr="004E4FEB">
        <w:rPr>
          <w:rStyle w:val="citationjournal"/>
          <w:sz w:val="20"/>
          <w:szCs w:val="20"/>
        </w:rPr>
        <w:t>A</w:t>
      </w:r>
      <w:r w:rsidRPr="00BE0EDB">
        <w:rPr>
          <w:rStyle w:val="citationjournal"/>
          <w:sz w:val="20"/>
          <w:szCs w:val="20"/>
        </w:rPr>
        <w:t xml:space="preserve">kihisa, Toshihiro; Higo, Naoki; </w:t>
      </w:r>
      <w:proofErr w:type="spellStart"/>
      <w:r w:rsidRPr="00BE0EDB">
        <w:rPr>
          <w:rStyle w:val="citationjournal"/>
          <w:sz w:val="20"/>
          <w:szCs w:val="20"/>
        </w:rPr>
        <w:t>Tokuda</w:t>
      </w:r>
      <w:proofErr w:type="spellEnd"/>
      <w:r w:rsidRPr="00BE0EDB">
        <w:rPr>
          <w:rStyle w:val="citationjournal"/>
          <w:sz w:val="20"/>
          <w:szCs w:val="20"/>
        </w:rPr>
        <w:t xml:space="preserve">, </w:t>
      </w:r>
      <w:proofErr w:type="spellStart"/>
      <w:r w:rsidRPr="00BE0EDB">
        <w:rPr>
          <w:rStyle w:val="citationjournal"/>
          <w:sz w:val="20"/>
          <w:szCs w:val="20"/>
        </w:rPr>
        <w:t>Harukuni</w:t>
      </w:r>
      <w:proofErr w:type="spellEnd"/>
      <w:r w:rsidRPr="00BE0EDB">
        <w:rPr>
          <w:rStyle w:val="citationjournal"/>
          <w:sz w:val="20"/>
          <w:szCs w:val="20"/>
        </w:rPr>
        <w:t xml:space="preserve">; </w:t>
      </w:r>
      <w:proofErr w:type="spellStart"/>
      <w:r w:rsidRPr="00BE0EDB">
        <w:rPr>
          <w:rStyle w:val="citationjournal"/>
          <w:sz w:val="20"/>
          <w:szCs w:val="20"/>
        </w:rPr>
        <w:t>Ukiya</w:t>
      </w:r>
      <w:proofErr w:type="spellEnd"/>
      <w:r w:rsidRPr="00BE0EDB">
        <w:rPr>
          <w:rStyle w:val="citationjournal"/>
          <w:sz w:val="20"/>
          <w:szCs w:val="20"/>
        </w:rPr>
        <w:t xml:space="preserve">, </w:t>
      </w:r>
      <w:proofErr w:type="spellStart"/>
      <w:r w:rsidRPr="00BE0EDB">
        <w:rPr>
          <w:rStyle w:val="citationjournal"/>
          <w:sz w:val="20"/>
          <w:szCs w:val="20"/>
        </w:rPr>
        <w:t>Motohiko</w:t>
      </w:r>
      <w:proofErr w:type="spellEnd"/>
      <w:r w:rsidRPr="00BE0EDB">
        <w:rPr>
          <w:rStyle w:val="citationjournal"/>
          <w:sz w:val="20"/>
          <w:szCs w:val="20"/>
        </w:rPr>
        <w:t xml:space="preserve">; </w:t>
      </w:r>
      <w:proofErr w:type="spellStart"/>
      <w:r w:rsidRPr="00BE0EDB">
        <w:rPr>
          <w:rStyle w:val="citationjournal"/>
          <w:sz w:val="20"/>
          <w:szCs w:val="20"/>
        </w:rPr>
        <w:t>Akazawa</w:t>
      </w:r>
      <w:proofErr w:type="spellEnd"/>
      <w:r w:rsidRPr="00BE0EDB">
        <w:rPr>
          <w:rStyle w:val="citationjournal"/>
          <w:sz w:val="20"/>
          <w:szCs w:val="20"/>
        </w:rPr>
        <w:t>, Hiroyuki; Tochigi, Yuichi; Kimura, Yumiko; Suzuki, Takashi et al. (2007). "</w:t>
      </w:r>
      <w:proofErr w:type="spellStart"/>
      <w:r w:rsidRPr="00BE0EDB">
        <w:rPr>
          <w:rStyle w:val="citationjournal"/>
          <w:sz w:val="20"/>
          <w:szCs w:val="20"/>
        </w:rPr>
        <w:t>Cucurbitane</w:t>
      </w:r>
      <w:proofErr w:type="spellEnd"/>
      <w:r w:rsidRPr="00BE0EDB">
        <w:rPr>
          <w:rStyle w:val="citationjournal"/>
          <w:sz w:val="20"/>
          <w:szCs w:val="20"/>
        </w:rPr>
        <w:t xml:space="preserve">-type </w:t>
      </w:r>
      <w:proofErr w:type="spellStart"/>
      <w:r w:rsidRPr="00BE0EDB">
        <w:rPr>
          <w:rStyle w:val="citationjournal"/>
          <w:sz w:val="20"/>
          <w:szCs w:val="20"/>
        </w:rPr>
        <w:t>triterpenoids</w:t>
      </w:r>
      <w:proofErr w:type="spellEnd"/>
      <w:r w:rsidRPr="00BE0EDB">
        <w:rPr>
          <w:rStyle w:val="citationjournal"/>
          <w:sz w:val="20"/>
          <w:szCs w:val="20"/>
        </w:rPr>
        <w:t xml:space="preserve"> from the fruits of </w:t>
      </w:r>
      <w:proofErr w:type="spellStart"/>
      <w:r w:rsidRPr="00BE0EDB">
        <w:rPr>
          <w:rStyle w:val="citationjournal"/>
          <w:i/>
          <w:iCs/>
          <w:sz w:val="20"/>
          <w:szCs w:val="20"/>
        </w:rPr>
        <w:t>Momordica</w:t>
      </w:r>
      <w:proofErr w:type="spellEnd"/>
      <w:r w:rsidRPr="00BE0EDB">
        <w:rPr>
          <w:rStyle w:val="citationjournal"/>
          <w:i/>
          <w:iCs/>
          <w:sz w:val="20"/>
          <w:szCs w:val="20"/>
        </w:rPr>
        <w:t xml:space="preserve"> </w:t>
      </w:r>
      <w:proofErr w:type="spellStart"/>
      <w:r w:rsidRPr="00BE0EDB">
        <w:rPr>
          <w:rStyle w:val="citationjournal"/>
          <w:i/>
          <w:iCs/>
          <w:sz w:val="20"/>
          <w:szCs w:val="20"/>
        </w:rPr>
        <w:t>charantia</w:t>
      </w:r>
      <w:proofErr w:type="spellEnd"/>
      <w:r w:rsidRPr="00BE0EDB">
        <w:rPr>
          <w:rStyle w:val="citationjournal"/>
          <w:sz w:val="20"/>
          <w:szCs w:val="20"/>
        </w:rPr>
        <w:t xml:space="preserve"> and their cancer </w:t>
      </w:r>
      <w:proofErr w:type="spellStart"/>
      <w:r w:rsidRPr="00BE0EDB">
        <w:rPr>
          <w:rStyle w:val="citationjournal"/>
          <w:sz w:val="20"/>
          <w:szCs w:val="20"/>
        </w:rPr>
        <w:t>chemopreventive</w:t>
      </w:r>
      <w:proofErr w:type="spellEnd"/>
      <w:r w:rsidRPr="00BE0EDB">
        <w:rPr>
          <w:rStyle w:val="citationjournal"/>
          <w:sz w:val="20"/>
          <w:szCs w:val="20"/>
        </w:rPr>
        <w:t xml:space="preserve"> effects". </w:t>
      </w:r>
      <w:r w:rsidRPr="00BE0EDB">
        <w:rPr>
          <w:rStyle w:val="citationjournal"/>
          <w:i/>
          <w:iCs/>
          <w:sz w:val="20"/>
          <w:szCs w:val="20"/>
        </w:rPr>
        <w:t>Journal of Natural Products</w:t>
      </w:r>
      <w:r w:rsidRPr="00BE0EDB">
        <w:rPr>
          <w:rStyle w:val="citationjournal"/>
          <w:bCs/>
          <w:sz w:val="20"/>
          <w:szCs w:val="20"/>
        </w:rPr>
        <w:t>70</w:t>
      </w:r>
      <w:r w:rsidRPr="00BE0EDB">
        <w:rPr>
          <w:rStyle w:val="citationjournal"/>
          <w:sz w:val="20"/>
          <w:szCs w:val="20"/>
        </w:rPr>
        <w:t>: 1233–1239. DOI</w:t>
      </w:r>
      <w:proofErr w:type="gramStart"/>
      <w:r w:rsidRPr="00BE0EDB">
        <w:rPr>
          <w:rStyle w:val="citationjournal"/>
          <w:sz w:val="20"/>
          <w:szCs w:val="20"/>
        </w:rPr>
        <w:t>:10.1021</w:t>
      </w:r>
      <w:proofErr w:type="gramEnd"/>
      <w:r w:rsidRPr="00BE0EDB">
        <w:rPr>
          <w:rStyle w:val="citationjournal"/>
          <w:sz w:val="20"/>
          <w:szCs w:val="20"/>
        </w:rPr>
        <w:t>/np068075p. PMID 17685651</w:t>
      </w:r>
      <w:r w:rsidR="0081372A">
        <w:rPr>
          <w:rStyle w:val="citationjournal"/>
          <w:rFonts w:eastAsiaTheme="minorEastAsia" w:hint="eastAsia"/>
          <w:sz w:val="20"/>
          <w:szCs w:val="20"/>
          <w:lang w:eastAsia="zh-CN"/>
        </w:rPr>
        <w:t>.</w:t>
      </w:r>
    </w:p>
    <w:p w:rsidR="00EA3773" w:rsidRPr="00BE0EDB" w:rsidRDefault="00EA3773" w:rsidP="004E4FEB">
      <w:pPr>
        <w:numPr>
          <w:ilvl w:val="0"/>
          <w:numId w:val="1"/>
        </w:numPr>
        <w:snapToGrid w:val="0"/>
        <w:ind w:left="425" w:hanging="425"/>
        <w:jc w:val="both"/>
        <w:rPr>
          <w:rStyle w:val="reference-text"/>
          <w:sz w:val="20"/>
          <w:szCs w:val="20"/>
        </w:rPr>
      </w:pPr>
      <w:proofErr w:type="spellStart"/>
      <w:r w:rsidRPr="00BE0EDB">
        <w:rPr>
          <w:rStyle w:val="reference-text"/>
          <w:sz w:val="20"/>
          <w:szCs w:val="20"/>
        </w:rPr>
        <w:t>Ananya</w:t>
      </w:r>
      <w:proofErr w:type="spellEnd"/>
      <w:r w:rsidRPr="00BE0EDB">
        <w:rPr>
          <w:rStyle w:val="reference-text"/>
          <w:sz w:val="20"/>
          <w:szCs w:val="20"/>
        </w:rPr>
        <w:t xml:space="preserve"> Paul and </w:t>
      </w:r>
      <w:proofErr w:type="spellStart"/>
      <w:r w:rsidRPr="00BE0EDB">
        <w:rPr>
          <w:rStyle w:val="reference-text"/>
          <w:sz w:val="20"/>
          <w:szCs w:val="20"/>
        </w:rPr>
        <w:t>Sarmistha</w:t>
      </w:r>
      <w:proofErr w:type="spellEnd"/>
      <w:r w:rsidRPr="00BE0EDB">
        <w:rPr>
          <w:rStyle w:val="reference-text"/>
          <w:sz w:val="20"/>
          <w:szCs w:val="20"/>
        </w:rPr>
        <w:t xml:space="preserve"> </w:t>
      </w:r>
      <w:proofErr w:type="spellStart"/>
      <w:r w:rsidRPr="00BE0EDB">
        <w:rPr>
          <w:rStyle w:val="reference-text"/>
          <w:sz w:val="20"/>
          <w:szCs w:val="20"/>
        </w:rPr>
        <w:t>Sen</w:t>
      </w:r>
      <w:proofErr w:type="spellEnd"/>
      <w:r w:rsidRPr="00BE0EDB">
        <w:rPr>
          <w:rStyle w:val="reference-text"/>
          <w:sz w:val="20"/>
          <w:szCs w:val="20"/>
        </w:rPr>
        <w:t xml:space="preserve"> </w:t>
      </w:r>
      <w:proofErr w:type="spellStart"/>
      <w:r w:rsidRPr="00BE0EDB">
        <w:rPr>
          <w:rStyle w:val="reference-text"/>
          <w:sz w:val="20"/>
          <w:szCs w:val="20"/>
        </w:rPr>
        <w:t>Raychaudhuri</w:t>
      </w:r>
      <w:proofErr w:type="spellEnd"/>
      <w:r w:rsidRPr="00BE0EDB">
        <w:rPr>
          <w:rStyle w:val="reference-text"/>
          <w:sz w:val="20"/>
          <w:szCs w:val="20"/>
        </w:rPr>
        <w:t xml:space="preserve"> (2010</w:t>
      </w:r>
      <w:r w:rsidRPr="00BE0EDB">
        <w:rPr>
          <w:rStyle w:val="reference-text"/>
          <w:color w:val="000000"/>
          <w:sz w:val="20"/>
          <w:szCs w:val="20"/>
        </w:rPr>
        <w:t xml:space="preserve">), </w:t>
      </w:r>
      <w:hyperlink r:id="rId32" w:history="1">
        <w:r w:rsidRPr="00BE0EDB">
          <w:rPr>
            <w:rStyle w:val="reference-text"/>
            <w:iCs/>
            <w:color w:val="000000"/>
            <w:sz w:val="20"/>
            <w:szCs w:val="20"/>
          </w:rPr>
          <w:t>Medicinal uses and molecular identification of two</w:t>
        </w:r>
        <w:r w:rsidRPr="00BE0EDB">
          <w:rPr>
            <w:rStyle w:val="reference-text"/>
            <w:color w:val="000000"/>
            <w:sz w:val="20"/>
            <w:szCs w:val="20"/>
          </w:rPr>
          <w:t xml:space="preserve"> </w:t>
        </w:r>
        <w:proofErr w:type="spellStart"/>
        <w:r w:rsidRPr="00BE0EDB">
          <w:rPr>
            <w:rStyle w:val="reference-text"/>
            <w:color w:val="000000"/>
            <w:sz w:val="20"/>
            <w:szCs w:val="20"/>
          </w:rPr>
          <w:t>Momordica</w:t>
        </w:r>
        <w:proofErr w:type="spellEnd"/>
        <w:r w:rsidRPr="00BE0EDB">
          <w:rPr>
            <w:rStyle w:val="reference-text"/>
            <w:color w:val="000000"/>
            <w:sz w:val="20"/>
            <w:szCs w:val="20"/>
          </w:rPr>
          <w:t xml:space="preserve"> </w:t>
        </w:r>
        <w:proofErr w:type="spellStart"/>
        <w:r w:rsidRPr="00BE0EDB">
          <w:rPr>
            <w:rStyle w:val="reference-text"/>
            <w:color w:val="000000"/>
            <w:sz w:val="20"/>
            <w:szCs w:val="20"/>
          </w:rPr>
          <w:t>charantia</w:t>
        </w:r>
        <w:proofErr w:type="spellEnd"/>
        <w:r w:rsidRPr="00BE0EDB">
          <w:rPr>
            <w:rStyle w:val="reference-text"/>
            <w:color w:val="000000"/>
            <w:sz w:val="20"/>
            <w:szCs w:val="20"/>
          </w:rPr>
          <w:t xml:space="preserve"> </w:t>
        </w:r>
        <w:r w:rsidRPr="00BE0EDB">
          <w:rPr>
            <w:rStyle w:val="reference-text"/>
            <w:iCs/>
            <w:color w:val="000000"/>
            <w:sz w:val="20"/>
            <w:szCs w:val="20"/>
          </w:rPr>
          <w:t>varieties – a review</w:t>
        </w:r>
      </w:hyperlink>
      <w:r w:rsidRPr="00BE0EDB">
        <w:rPr>
          <w:rStyle w:val="reference-text"/>
          <w:color w:val="000000"/>
          <w:sz w:val="20"/>
          <w:szCs w:val="20"/>
        </w:rPr>
        <w:t xml:space="preserve">. </w:t>
      </w:r>
      <w:r w:rsidRPr="00BE0EDB">
        <w:rPr>
          <w:rStyle w:val="reference-text"/>
          <w:sz w:val="20"/>
          <w:szCs w:val="20"/>
        </w:rPr>
        <w:t>Electronic Journal of Biology, volume 6, issue 2, pages 43-51.</w:t>
      </w:r>
    </w:p>
    <w:p w:rsidR="00EA3773" w:rsidRPr="00BE0EDB" w:rsidRDefault="00EA3773" w:rsidP="004E4FEB">
      <w:pPr>
        <w:numPr>
          <w:ilvl w:val="0"/>
          <w:numId w:val="1"/>
        </w:numPr>
        <w:autoSpaceDE w:val="0"/>
        <w:autoSpaceDN w:val="0"/>
        <w:adjustRightInd w:val="0"/>
        <w:snapToGrid w:val="0"/>
        <w:ind w:left="425" w:hanging="425"/>
        <w:jc w:val="both"/>
        <w:rPr>
          <w:sz w:val="20"/>
          <w:szCs w:val="20"/>
        </w:rPr>
      </w:pPr>
      <w:proofErr w:type="spellStart"/>
      <w:r w:rsidRPr="00BE0EDB">
        <w:rPr>
          <w:bCs/>
          <w:sz w:val="20"/>
          <w:szCs w:val="20"/>
        </w:rPr>
        <w:t>Bakare</w:t>
      </w:r>
      <w:proofErr w:type="spellEnd"/>
      <w:r w:rsidRPr="00BE0EDB">
        <w:rPr>
          <w:bCs/>
          <w:sz w:val="20"/>
          <w:szCs w:val="20"/>
        </w:rPr>
        <w:t xml:space="preserve"> R. </w:t>
      </w:r>
      <w:proofErr w:type="spellStart"/>
      <w:r w:rsidRPr="00BE0EDB">
        <w:rPr>
          <w:bCs/>
          <w:sz w:val="20"/>
          <w:szCs w:val="20"/>
        </w:rPr>
        <w:t>I.</w:t>
      </w:r>
      <w:proofErr w:type="gramStart"/>
      <w:r w:rsidRPr="00BE0EDB">
        <w:rPr>
          <w:bCs/>
          <w:sz w:val="20"/>
          <w:szCs w:val="20"/>
        </w:rPr>
        <w:t>,Magbagbeola</w:t>
      </w:r>
      <w:proofErr w:type="spellEnd"/>
      <w:proofErr w:type="gramEnd"/>
      <w:r w:rsidRPr="00BE0EDB">
        <w:rPr>
          <w:bCs/>
          <w:sz w:val="20"/>
          <w:szCs w:val="20"/>
        </w:rPr>
        <w:t xml:space="preserve"> O. </w:t>
      </w:r>
      <w:proofErr w:type="spellStart"/>
      <w:r w:rsidRPr="00BE0EDB">
        <w:rPr>
          <w:bCs/>
          <w:sz w:val="20"/>
          <w:szCs w:val="20"/>
        </w:rPr>
        <w:t>A.,Akinwande</w:t>
      </w:r>
      <w:proofErr w:type="spellEnd"/>
      <w:r w:rsidRPr="00BE0EDB">
        <w:rPr>
          <w:bCs/>
          <w:sz w:val="20"/>
          <w:szCs w:val="20"/>
        </w:rPr>
        <w:t xml:space="preserve"> A. I and </w:t>
      </w:r>
      <w:proofErr w:type="spellStart"/>
      <w:r w:rsidRPr="00BE0EDB">
        <w:rPr>
          <w:bCs/>
          <w:sz w:val="20"/>
          <w:szCs w:val="20"/>
        </w:rPr>
        <w:t>Okunowo</w:t>
      </w:r>
      <w:proofErr w:type="spellEnd"/>
      <w:r w:rsidRPr="00BE0EDB">
        <w:rPr>
          <w:bCs/>
          <w:sz w:val="20"/>
          <w:szCs w:val="20"/>
        </w:rPr>
        <w:t xml:space="preserve"> O. W. (2010).Nutritional and chemical evaluation of </w:t>
      </w:r>
      <w:proofErr w:type="spellStart"/>
      <w:r w:rsidRPr="00BE0EDB">
        <w:rPr>
          <w:bCs/>
          <w:i/>
          <w:iCs/>
          <w:sz w:val="20"/>
          <w:szCs w:val="20"/>
        </w:rPr>
        <w:t>Momordica</w:t>
      </w:r>
      <w:proofErr w:type="spellEnd"/>
      <w:r w:rsidRPr="00BE0EDB">
        <w:rPr>
          <w:bCs/>
          <w:i/>
          <w:iCs/>
          <w:sz w:val="20"/>
          <w:szCs w:val="20"/>
        </w:rPr>
        <w:t xml:space="preserve"> </w:t>
      </w:r>
      <w:proofErr w:type="spellStart"/>
      <w:r w:rsidRPr="00BE0EDB">
        <w:rPr>
          <w:bCs/>
          <w:i/>
          <w:iCs/>
          <w:sz w:val="20"/>
          <w:szCs w:val="20"/>
        </w:rPr>
        <w:t>charantia</w:t>
      </w:r>
      <w:proofErr w:type="spellEnd"/>
      <w:r w:rsidRPr="00BE0EDB">
        <w:rPr>
          <w:bCs/>
          <w:i/>
          <w:iCs/>
          <w:sz w:val="20"/>
          <w:szCs w:val="20"/>
        </w:rPr>
        <w:t xml:space="preserve">. </w:t>
      </w:r>
      <w:r w:rsidRPr="00BE0EDB">
        <w:rPr>
          <w:sz w:val="20"/>
          <w:szCs w:val="20"/>
        </w:rPr>
        <w:t>Journal of Medicinal Plants Research Vol. 4(21), pp. 2189-2193, 4 November, 2010. Available online at http://www.academicjournals.org/JMPR.</w:t>
      </w:r>
    </w:p>
    <w:p w:rsidR="00EA3773" w:rsidRPr="00BE0EDB" w:rsidRDefault="00EA3773" w:rsidP="004E4FEB">
      <w:pPr>
        <w:numPr>
          <w:ilvl w:val="0"/>
          <w:numId w:val="1"/>
        </w:numPr>
        <w:snapToGrid w:val="0"/>
        <w:ind w:left="425" w:hanging="425"/>
        <w:jc w:val="both"/>
        <w:rPr>
          <w:sz w:val="20"/>
          <w:szCs w:val="20"/>
        </w:rPr>
      </w:pPr>
      <w:r w:rsidRPr="00BE0EDB">
        <w:rPr>
          <w:rStyle w:val="citationjournal"/>
          <w:sz w:val="20"/>
          <w:szCs w:val="20"/>
        </w:rPr>
        <w:t xml:space="preserve">Begum, </w:t>
      </w:r>
      <w:proofErr w:type="spellStart"/>
      <w:r w:rsidRPr="00BE0EDB">
        <w:rPr>
          <w:rStyle w:val="citationjournal"/>
          <w:sz w:val="20"/>
          <w:szCs w:val="20"/>
        </w:rPr>
        <w:t>Sabira</w:t>
      </w:r>
      <w:proofErr w:type="spellEnd"/>
      <w:r w:rsidRPr="00BE0EDB">
        <w:rPr>
          <w:rStyle w:val="citationjournal"/>
          <w:sz w:val="20"/>
          <w:szCs w:val="20"/>
        </w:rPr>
        <w:t xml:space="preserve">; Ahmed, </w:t>
      </w:r>
      <w:proofErr w:type="spellStart"/>
      <w:r w:rsidRPr="00BE0EDB">
        <w:rPr>
          <w:rStyle w:val="citationjournal"/>
          <w:sz w:val="20"/>
          <w:szCs w:val="20"/>
        </w:rPr>
        <w:t>Mansour</w:t>
      </w:r>
      <w:proofErr w:type="spellEnd"/>
      <w:r w:rsidRPr="00BE0EDB">
        <w:rPr>
          <w:rStyle w:val="citationjournal"/>
          <w:sz w:val="20"/>
          <w:szCs w:val="20"/>
        </w:rPr>
        <w:t xml:space="preserve">; </w:t>
      </w:r>
      <w:proofErr w:type="spellStart"/>
      <w:r w:rsidRPr="00BE0EDB">
        <w:rPr>
          <w:rStyle w:val="citationjournal"/>
          <w:sz w:val="20"/>
          <w:szCs w:val="20"/>
        </w:rPr>
        <w:t>Siddiqui</w:t>
      </w:r>
      <w:proofErr w:type="spellEnd"/>
      <w:r w:rsidRPr="00BE0EDB">
        <w:rPr>
          <w:rStyle w:val="citationjournal"/>
          <w:sz w:val="20"/>
          <w:szCs w:val="20"/>
        </w:rPr>
        <w:t xml:space="preserve">, </w:t>
      </w:r>
      <w:proofErr w:type="spellStart"/>
      <w:r w:rsidRPr="00BE0EDB">
        <w:rPr>
          <w:rStyle w:val="citationjournal"/>
          <w:sz w:val="20"/>
          <w:szCs w:val="20"/>
        </w:rPr>
        <w:t>Bina</w:t>
      </w:r>
      <w:proofErr w:type="spellEnd"/>
      <w:r w:rsidRPr="00BE0EDB">
        <w:rPr>
          <w:rStyle w:val="citationjournal"/>
          <w:sz w:val="20"/>
          <w:szCs w:val="20"/>
        </w:rPr>
        <w:t xml:space="preserve"> S.; Khan, Abdullah; </w:t>
      </w:r>
      <w:proofErr w:type="spellStart"/>
      <w:r w:rsidRPr="00BE0EDB">
        <w:rPr>
          <w:rStyle w:val="citationjournal"/>
          <w:sz w:val="20"/>
          <w:szCs w:val="20"/>
        </w:rPr>
        <w:t>Saify</w:t>
      </w:r>
      <w:proofErr w:type="spellEnd"/>
      <w:r w:rsidRPr="00BE0EDB">
        <w:rPr>
          <w:rStyle w:val="citationjournal"/>
          <w:sz w:val="20"/>
          <w:szCs w:val="20"/>
        </w:rPr>
        <w:t xml:space="preserve">, </w:t>
      </w:r>
      <w:proofErr w:type="spellStart"/>
      <w:r w:rsidRPr="00BE0EDB">
        <w:rPr>
          <w:rStyle w:val="citationjournal"/>
          <w:sz w:val="20"/>
          <w:szCs w:val="20"/>
        </w:rPr>
        <w:t>Zafar</w:t>
      </w:r>
      <w:proofErr w:type="spellEnd"/>
      <w:r w:rsidRPr="00BE0EDB">
        <w:rPr>
          <w:rStyle w:val="citationjournal"/>
          <w:sz w:val="20"/>
          <w:szCs w:val="20"/>
        </w:rPr>
        <w:t xml:space="preserve"> S.; </w:t>
      </w:r>
      <w:proofErr w:type="spellStart"/>
      <w:r w:rsidRPr="00BE0EDB">
        <w:rPr>
          <w:rStyle w:val="citationjournal"/>
          <w:sz w:val="20"/>
          <w:szCs w:val="20"/>
        </w:rPr>
        <w:t>Arif</w:t>
      </w:r>
      <w:proofErr w:type="spellEnd"/>
      <w:r w:rsidRPr="00BE0EDB">
        <w:rPr>
          <w:rStyle w:val="citationjournal"/>
          <w:sz w:val="20"/>
          <w:szCs w:val="20"/>
        </w:rPr>
        <w:t>, Mohammed (1997). "</w:t>
      </w:r>
      <w:proofErr w:type="spellStart"/>
      <w:r w:rsidRPr="00BE0EDB">
        <w:rPr>
          <w:rStyle w:val="citationjournal"/>
          <w:sz w:val="20"/>
          <w:szCs w:val="20"/>
        </w:rPr>
        <w:t>Triterpenes</w:t>
      </w:r>
      <w:proofErr w:type="spellEnd"/>
      <w:r w:rsidRPr="00BE0EDB">
        <w:rPr>
          <w:rStyle w:val="citationjournal"/>
          <w:sz w:val="20"/>
          <w:szCs w:val="20"/>
        </w:rPr>
        <w:t xml:space="preserve">, a sterol, and a monocyclic alcohol from </w:t>
      </w:r>
      <w:proofErr w:type="spellStart"/>
      <w:r w:rsidRPr="00BE0EDB">
        <w:rPr>
          <w:rStyle w:val="citationjournal"/>
          <w:i/>
          <w:iCs/>
          <w:sz w:val="20"/>
          <w:szCs w:val="20"/>
        </w:rPr>
        <w:t>Momordica</w:t>
      </w:r>
      <w:proofErr w:type="spellEnd"/>
      <w:r w:rsidRPr="00BE0EDB">
        <w:rPr>
          <w:rStyle w:val="citationjournal"/>
          <w:i/>
          <w:iCs/>
          <w:sz w:val="20"/>
          <w:szCs w:val="20"/>
        </w:rPr>
        <w:t xml:space="preserve"> </w:t>
      </w:r>
      <w:proofErr w:type="spellStart"/>
      <w:r w:rsidRPr="00BE0EDB">
        <w:rPr>
          <w:rStyle w:val="citationjournal"/>
          <w:i/>
          <w:iCs/>
          <w:sz w:val="20"/>
          <w:szCs w:val="20"/>
        </w:rPr>
        <w:t>charantia</w:t>
      </w:r>
      <w:proofErr w:type="spellEnd"/>
      <w:r w:rsidRPr="00BE0EDB">
        <w:rPr>
          <w:rStyle w:val="citationjournal"/>
          <w:sz w:val="20"/>
          <w:szCs w:val="20"/>
        </w:rPr>
        <w:t xml:space="preserve">". </w:t>
      </w:r>
      <w:proofErr w:type="spellStart"/>
      <w:r w:rsidRPr="00BE0EDB">
        <w:rPr>
          <w:rStyle w:val="citationjournal"/>
          <w:i/>
          <w:iCs/>
          <w:sz w:val="20"/>
          <w:szCs w:val="20"/>
        </w:rPr>
        <w:t>Phytochemistry</w:t>
      </w:r>
      <w:proofErr w:type="spellEnd"/>
      <w:r w:rsidRPr="00BE0EDB">
        <w:rPr>
          <w:rStyle w:val="citationjournal"/>
          <w:sz w:val="20"/>
          <w:szCs w:val="20"/>
        </w:rPr>
        <w:t xml:space="preserve"> </w:t>
      </w:r>
      <w:r w:rsidRPr="00BE0EDB">
        <w:rPr>
          <w:rStyle w:val="citationjournal"/>
          <w:bCs/>
          <w:sz w:val="20"/>
          <w:szCs w:val="20"/>
        </w:rPr>
        <w:t>44</w:t>
      </w:r>
      <w:r w:rsidRPr="00BE0EDB">
        <w:rPr>
          <w:rStyle w:val="citationjournal"/>
          <w:sz w:val="20"/>
          <w:szCs w:val="20"/>
        </w:rPr>
        <w:t xml:space="preserve"> (7): 1313–1320.</w:t>
      </w:r>
    </w:p>
    <w:p w:rsidR="00EA3773" w:rsidRPr="00BE0EDB" w:rsidRDefault="00EA3773" w:rsidP="004E4FEB">
      <w:pPr>
        <w:numPr>
          <w:ilvl w:val="0"/>
          <w:numId w:val="1"/>
        </w:numPr>
        <w:snapToGrid w:val="0"/>
        <w:ind w:left="425" w:hanging="425"/>
        <w:jc w:val="both"/>
        <w:rPr>
          <w:sz w:val="20"/>
          <w:szCs w:val="20"/>
        </w:rPr>
      </w:pPr>
      <w:proofErr w:type="spellStart"/>
      <w:r w:rsidRPr="00BE0EDB">
        <w:rPr>
          <w:rStyle w:val="citationjournal"/>
          <w:sz w:val="20"/>
          <w:szCs w:val="20"/>
        </w:rPr>
        <w:t>Beloin</w:t>
      </w:r>
      <w:proofErr w:type="spellEnd"/>
      <w:r w:rsidRPr="00BE0EDB">
        <w:rPr>
          <w:rStyle w:val="citationjournal"/>
          <w:sz w:val="20"/>
          <w:szCs w:val="20"/>
        </w:rPr>
        <w:t xml:space="preserve">, N.; </w:t>
      </w:r>
      <w:proofErr w:type="spellStart"/>
      <w:r w:rsidRPr="00BE0EDB">
        <w:rPr>
          <w:rStyle w:val="citationjournal"/>
          <w:sz w:val="20"/>
          <w:szCs w:val="20"/>
        </w:rPr>
        <w:t>Gbeassor</w:t>
      </w:r>
      <w:proofErr w:type="spellEnd"/>
      <w:r w:rsidRPr="00BE0EDB">
        <w:rPr>
          <w:rStyle w:val="citationjournal"/>
          <w:sz w:val="20"/>
          <w:szCs w:val="20"/>
        </w:rPr>
        <w:t xml:space="preserve">, M.; </w:t>
      </w:r>
      <w:proofErr w:type="spellStart"/>
      <w:r w:rsidRPr="00BE0EDB">
        <w:rPr>
          <w:rStyle w:val="citationjournal"/>
          <w:sz w:val="20"/>
          <w:szCs w:val="20"/>
        </w:rPr>
        <w:t>Akpagana</w:t>
      </w:r>
      <w:proofErr w:type="spellEnd"/>
      <w:r w:rsidRPr="00BE0EDB">
        <w:rPr>
          <w:rStyle w:val="citationjournal"/>
          <w:sz w:val="20"/>
          <w:szCs w:val="20"/>
        </w:rPr>
        <w:t xml:space="preserve">, K.; Hudson, J.; De </w:t>
      </w:r>
      <w:proofErr w:type="spellStart"/>
      <w:r w:rsidRPr="00BE0EDB">
        <w:rPr>
          <w:rStyle w:val="citationjournal"/>
          <w:sz w:val="20"/>
          <w:szCs w:val="20"/>
        </w:rPr>
        <w:t>Soussa</w:t>
      </w:r>
      <w:proofErr w:type="spellEnd"/>
      <w:r w:rsidRPr="00BE0EDB">
        <w:rPr>
          <w:rStyle w:val="citationjournal"/>
          <w:sz w:val="20"/>
          <w:szCs w:val="20"/>
        </w:rPr>
        <w:t xml:space="preserve">, K.; </w:t>
      </w:r>
      <w:proofErr w:type="spellStart"/>
      <w:r w:rsidRPr="00BE0EDB">
        <w:rPr>
          <w:rStyle w:val="citationjournal"/>
          <w:sz w:val="20"/>
          <w:szCs w:val="20"/>
        </w:rPr>
        <w:t>Koumaglo</w:t>
      </w:r>
      <w:proofErr w:type="spellEnd"/>
      <w:r w:rsidRPr="00BE0EDB">
        <w:rPr>
          <w:rStyle w:val="citationjournal"/>
          <w:sz w:val="20"/>
          <w:szCs w:val="20"/>
        </w:rPr>
        <w:t xml:space="preserve">, K.; </w:t>
      </w:r>
      <w:proofErr w:type="spellStart"/>
      <w:r w:rsidRPr="00BE0EDB">
        <w:rPr>
          <w:rStyle w:val="citationjournal"/>
          <w:sz w:val="20"/>
          <w:szCs w:val="20"/>
        </w:rPr>
        <w:t>Arnason</w:t>
      </w:r>
      <w:proofErr w:type="spellEnd"/>
      <w:r w:rsidRPr="00BE0EDB">
        <w:rPr>
          <w:rStyle w:val="citationjournal"/>
          <w:sz w:val="20"/>
          <w:szCs w:val="20"/>
        </w:rPr>
        <w:t>, J. T. (2005). "</w:t>
      </w:r>
      <w:proofErr w:type="spellStart"/>
      <w:r w:rsidRPr="00BE0EDB">
        <w:rPr>
          <w:rStyle w:val="citationjournal"/>
          <w:sz w:val="20"/>
          <w:szCs w:val="20"/>
        </w:rPr>
        <w:t>Ethnomedicinal</w:t>
      </w:r>
      <w:proofErr w:type="spellEnd"/>
      <w:r w:rsidRPr="00BE0EDB">
        <w:rPr>
          <w:rStyle w:val="citationjournal"/>
          <w:sz w:val="20"/>
          <w:szCs w:val="20"/>
        </w:rPr>
        <w:t xml:space="preserve"> uses of </w:t>
      </w:r>
      <w:proofErr w:type="spellStart"/>
      <w:r w:rsidRPr="00BE0EDB">
        <w:rPr>
          <w:rStyle w:val="citationjournal"/>
          <w:sz w:val="20"/>
          <w:szCs w:val="20"/>
        </w:rPr>
        <w:t>Momordica</w:t>
      </w:r>
      <w:proofErr w:type="spellEnd"/>
      <w:r w:rsidRPr="00BE0EDB">
        <w:rPr>
          <w:rStyle w:val="citationjournal"/>
          <w:sz w:val="20"/>
          <w:szCs w:val="20"/>
        </w:rPr>
        <w:t xml:space="preserve"> </w:t>
      </w:r>
      <w:proofErr w:type="spellStart"/>
      <w:r w:rsidRPr="00BE0EDB">
        <w:rPr>
          <w:rStyle w:val="citationjournal"/>
          <w:sz w:val="20"/>
          <w:szCs w:val="20"/>
        </w:rPr>
        <w:t>charantia</w:t>
      </w:r>
      <w:proofErr w:type="spellEnd"/>
      <w:r w:rsidRPr="00BE0EDB">
        <w:rPr>
          <w:rStyle w:val="citationjournal"/>
          <w:sz w:val="20"/>
          <w:szCs w:val="20"/>
        </w:rPr>
        <w:t xml:space="preserve"> (</w:t>
      </w:r>
      <w:proofErr w:type="spellStart"/>
      <w:r w:rsidRPr="00BE0EDB">
        <w:rPr>
          <w:rStyle w:val="citationjournal"/>
          <w:sz w:val="20"/>
          <w:szCs w:val="20"/>
        </w:rPr>
        <w:t>Cucurbitaceae</w:t>
      </w:r>
      <w:proofErr w:type="spellEnd"/>
      <w:r w:rsidRPr="00BE0EDB">
        <w:rPr>
          <w:rStyle w:val="citationjournal"/>
          <w:sz w:val="20"/>
          <w:szCs w:val="20"/>
        </w:rPr>
        <w:t xml:space="preserve">) in Togo and relation to its </w:t>
      </w:r>
      <w:proofErr w:type="spellStart"/>
      <w:r w:rsidRPr="00BE0EDB">
        <w:rPr>
          <w:rStyle w:val="citationjournal"/>
          <w:sz w:val="20"/>
          <w:szCs w:val="20"/>
        </w:rPr>
        <w:t>phytochemistry</w:t>
      </w:r>
      <w:proofErr w:type="spellEnd"/>
      <w:r w:rsidRPr="00BE0EDB">
        <w:rPr>
          <w:rStyle w:val="citationjournal"/>
          <w:sz w:val="20"/>
          <w:szCs w:val="20"/>
        </w:rPr>
        <w:t xml:space="preserve"> and biological activity". </w:t>
      </w:r>
      <w:r w:rsidRPr="00BE0EDB">
        <w:rPr>
          <w:rStyle w:val="citationjournal"/>
          <w:i/>
          <w:iCs/>
          <w:sz w:val="20"/>
          <w:szCs w:val="20"/>
        </w:rPr>
        <w:t xml:space="preserve">Journal of </w:t>
      </w:r>
      <w:proofErr w:type="spellStart"/>
      <w:r w:rsidRPr="00BE0EDB">
        <w:rPr>
          <w:rStyle w:val="citationjournal"/>
          <w:i/>
          <w:iCs/>
          <w:sz w:val="20"/>
          <w:szCs w:val="20"/>
        </w:rPr>
        <w:t>Ethnopharmacology</w:t>
      </w:r>
      <w:proofErr w:type="spellEnd"/>
      <w:r w:rsidRPr="00BE0EDB">
        <w:rPr>
          <w:rStyle w:val="citationjournal"/>
          <w:sz w:val="20"/>
          <w:szCs w:val="20"/>
        </w:rPr>
        <w:t xml:space="preserve"> </w:t>
      </w:r>
      <w:r w:rsidRPr="00BE0EDB">
        <w:rPr>
          <w:rStyle w:val="citationjournal"/>
          <w:bCs/>
          <w:sz w:val="20"/>
          <w:szCs w:val="20"/>
        </w:rPr>
        <w:t>96</w:t>
      </w:r>
      <w:r w:rsidRPr="00BE0EDB">
        <w:rPr>
          <w:rStyle w:val="citationjournal"/>
          <w:sz w:val="20"/>
          <w:szCs w:val="20"/>
        </w:rPr>
        <w:t xml:space="preserve"> (1–2): 49–55.</w:t>
      </w:r>
      <w:r w:rsidRPr="00BE0EDB">
        <w:rPr>
          <w:rStyle w:val="citationjournal"/>
          <w:color w:val="000000"/>
          <w:sz w:val="20"/>
          <w:szCs w:val="20"/>
        </w:rPr>
        <w:t xml:space="preserve"> </w:t>
      </w:r>
      <w:hyperlink r:id="rId33" w:tooltip="Digital object identifier" w:history="1">
        <w:r w:rsidRPr="00BE0EDB">
          <w:rPr>
            <w:rStyle w:val="Hyperlink"/>
            <w:color w:val="000000"/>
            <w:sz w:val="20"/>
            <w:szCs w:val="20"/>
          </w:rPr>
          <w:t>DOI</w:t>
        </w:r>
      </w:hyperlink>
      <w:proofErr w:type="gramStart"/>
      <w:r w:rsidRPr="00BE0EDB">
        <w:rPr>
          <w:rStyle w:val="citationjournal"/>
          <w:color w:val="000000"/>
          <w:sz w:val="20"/>
          <w:szCs w:val="20"/>
        </w:rPr>
        <w:t>:</w:t>
      </w:r>
      <w:proofErr w:type="gramEnd"/>
      <w:r w:rsidR="000744EE">
        <w:fldChar w:fldCharType="begin"/>
      </w:r>
      <w:r w:rsidR="00673A0A">
        <w:instrText>HYPERLINK "http://dx.doi.org/10.1016%2Fj.jep.2004.08.009"</w:instrText>
      </w:r>
      <w:r w:rsidR="000744EE">
        <w:fldChar w:fldCharType="separate"/>
      </w:r>
      <w:r w:rsidRPr="00BE0EDB">
        <w:rPr>
          <w:rStyle w:val="citationjournal"/>
          <w:color w:val="000000"/>
          <w:sz w:val="20"/>
          <w:szCs w:val="20"/>
        </w:rPr>
        <w:t>10.1016/j.jep.2004.08.009</w:t>
      </w:r>
      <w:r w:rsidR="000744EE">
        <w:fldChar w:fldCharType="end"/>
      </w:r>
      <w:r w:rsidRPr="00BE0EDB">
        <w:rPr>
          <w:rStyle w:val="citationjournal"/>
          <w:color w:val="000000"/>
          <w:sz w:val="20"/>
          <w:szCs w:val="20"/>
        </w:rPr>
        <w:t xml:space="preserve">. </w:t>
      </w:r>
      <w:hyperlink r:id="rId34" w:tooltip="PubMed Identifier" w:history="1">
        <w:r w:rsidRPr="00BE0EDB">
          <w:rPr>
            <w:rStyle w:val="citationjournal"/>
            <w:color w:val="000000"/>
            <w:sz w:val="20"/>
            <w:szCs w:val="20"/>
          </w:rPr>
          <w:t>PMID</w:t>
        </w:r>
      </w:hyperlink>
      <w:r w:rsidRPr="00BE0EDB">
        <w:rPr>
          <w:rStyle w:val="citationjournal"/>
          <w:color w:val="000000"/>
          <w:sz w:val="20"/>
          <w:szCs w:val="20"/>
        </w:rPr>
        <w:t xml:space="preserve"> </w:t>
      </w:r>
      <w:hyperlink r:id="rId35" w:history="1">
        <w:r w:rsidRPr="00BE0EDB">
          <w:rPr>
            <w:rStyle w:val="citationjournal"/>
            <w:color w:val="000000"/>
            <w:sz w:val="20"/>
            <w:szCs w:val="20"/>
          </w:rPr>
          <w:t>15588650</w:t>
        </w:r>
      </w:hyperlink>
      <w:r w:rsidRPr="00BE0EDB">
        <w:rPr>
          <w:rStyle w:val="citationjournal"/>
          <w:color w:val="000000"/>
          <w:sz w:val="20"/>
          <w:szCs w:val="20"/>
        </w:rPr>
        <w:t>.</w:t>
      </w:r>
      <w:r w:rsidRPr="00BE0EDB">
        <w:rPr>
          <w:rStyle w:val="z3988"/>
          <w:vanish/>
          <w:color w:val="000000"/>
          <w:sz w:val="20"/>
          <w:szCs w:val="20"/>
        </w:rPr>
        <w:t xml:space="preserve"> </w:t>
      </w:r>
      <w:hyperlink r:id="rId36" w:history="1">
        <w:proofErr w:type="gramStart"/>
        <w:r w:rsidRPr="00BE0EDB">
          <w:rPr>
            <w:rStyle w:val="plainlinksnoprint"/>
            <w:color w:val="000000"/>
            <w:sz w:val="20"/>
            <w:szCs w:val="20"/>
          </w:rPr>
          <w:t>edit</w:t>
        </w:r>
        <w:proofErr w:type="gramEnd"/>
      </w:hyperlink>
      <w:r w:rsidR="0081372A">
        <w:rPr>
          <w:rFonts w:eastAsiaTheme="minorEastAsia" w:hint="eastAsia"/>
          <w:lang w:eastAsia="zh-CN"/>
        </w:rPr>
        <w:t>.</w:t>
      </w:r>
    </w:p>
    <w:p w:rsidR="00EA3773" w:rsidRPr="00BE0EDB" w:rsidRDefault="00EA3773" w:rsidP="004E4FEB">
      <w:pPr>
        <w:numPr>
          <w:ilvl w:val="0"/>
          <w:numId w:val="1"/>
        </w:numPr>
        <w:snapToGrid w:val="0"/>
        <w:ind w:left="425" w:hanging="425"/>
        <w:jc w:val="both"/>
        <w:rPr>
          <w:sz w:val="20"/>
          <w:szCs w:val="20"/>
        </w:rPr>
      </w:pPr>
      <w:r w:rsidRPr="00BE0EDB">
        <w:rPr>
          <w:rStyle w:val="citationjournal"/>
          <w:sz w:val="20"/>
          <w:szCs w:val="20"/>
        </w:rPr>
        <w:t xml:space="preserve">Chang, Chi-I; Chen, </w:t>
      </w:r>
      <w:proofErr w:type="spellStart"/>
      <w:r w:rsidRPr="00BE0EDB">
        <w:rPr>
          <w:rStyle w:val="citationjournal"/>
          <w:sz w:val="20"/>
          <w:szCs w:val="20"/>
        </w:rPr>
        <w:t>Chiy-Rong</w:t>
      </w:r>
      <w:proofErr w:type="spellEnd"/>
      <w:r w:rsidRPr="00BE0EDB">
        <w:rPr>
          <w:rStyle w:val="citationjournal"/>
          <w:sz w:val="20"/>
          <w:szCs w:val="20"/>
        </w:rPr>
        <w:t xml:space="preserve">; Liao, </w:t>
      </w:r>
      <w:proofErr w:type="spellStart"/>
      <w:r w:rsidRPr="00BE0EDB">
        <w:rPr>
          <w:rStyle w:val="citationjournal"/>
          <w:sz w:val="20"/>
          <w:szCs w:val="20"/>
        </w:rPr>
        <w:t>Yun-Wen</w:t>
      </w:r>
      <w:proofErr w:type="spellEnd"/>
      <w:r w:rsidRPr="00BE0EDB">
        <w:rPr>
          <w:rStyle w:val="citationjournal"/>
          <w:sz w:val="20"/>
          <w:szCs w:val="20"/>
        </w:rPr>
        <w:t xml:space="preserve">; Cheng, </w:t>
      </w:r>
      <w:proofErr w:type="spellStart"/>
      <w:r w:rsidRPr="00BE0EDB">
        <w:rPr>
          <w:rStyle w:val="citationjournal"/>
          <w:sz w:val="20"/>
          <w:szCs w:val="20"/>
        </w:rPr>
        <w:t>Hsueh</w:t>
      </w:r>
      <w:proofErr w:type="spellEnd"/>
      <w:r w:rsidRPr="00BE0EDB">
        <w:rPr>
          <w:rStyle w:val="citationjournal"/>
          <w:sz w:val="20"/>
          <w:szCs w:val="20"/>
        </w:rPr>
        <w:t xml:space="preserve">-Ling; Chen, </w:t>
      </w:r>
      <w:proofErr w:type="spellStart"/>
      <w:r w:rsidRPr="00BE0EDB">
        <w:rPr>
          <w:rStyle w:val="citationjournal"/>
          <w:sz w:val="20"/>
          <w:szCs w:val="20"/>
        </w:rPr>
        <w:t>Yo-Chia</w:t>
      </w:r>
      <w:proofErr w:type="spellEnd"/>
      <w:r w:rsidRPr="00BE0EDB">
        <w:rPr>
          <w:rStyle w:val="citationjournal"/>
          <w:sz w:val="20"/>
          <w:szCs w:val="20"/>
        </w:rPr>
        <w:t>; Chou, Chang-Hung (2008). "</w:t>
      </w:r>
      <w:proofErr w:type="spellStart"/>
      <w:r w:rsidRPr="00BE0EDB">
        <w:rPr>
          <w:rStyle w:val="citationjournal"/>
          <w:sz w:val="20"/>
          <w:szCs w:val="20"/>
        </w:rPr>
        <w:t>Cucurbitane</w:t>
      </w:r>
      <w:proofErr w:type="spellEnd"/>
      <w:r w:rsidRPr="00BE0EDB">
        <w:rPr>
          <w:rStyle w:val="citationjournal"/>
          <w:sz w:val="20"/>
          <w:szCs w:val="20"/>
        </w:rPr>
        <w:t xml:space="preserve">-type </w:t>
      </w:r>
      <w:proofErr w:type="spellStart"/>
      <w:r w:rsidRPr="00BE0EDB">
        <w:rPr>
          <w:rStyle w:val="citationjournal"/>
          <w:sz w:val="20"/>
          <w:szCs w:val="20"/>
        </w:rPr>
        <w:t>triterpenoids</w:t>
      </w:r>
      <w:proofErr w:type="spellEnd"/>
      <w:r w:rsidRPr="00BE0EDB">
        <w:rPr>
          <w:rStyle w:val="citationjournal"/>
          <w:sz w:val="20"/>
          <w:szCs w:val="20"/>
        </w:rPr>
        <w:t xml:space="preserve"> from the stems of </w:t>
      </w:r>
      <w:proofErr w:type="spellStart"/>
      <w:r w:rsidRPr="00BE0EDB">
        <w:rPr>
          <w:rStyle w:val="citationjournal"/>
          <w:i/>
          <w:iCs/>
          <w:sz w:val="20"/>
          <w:szCs w:val="20"/>
        </w:rPr>
        <w:t>Momordica</w:t>
      </w:r>
      <w:proofErr w:type="spellEnd"/>
      <w:r w:rsidRPr="00BE0EDB">
        <w:rPr>
          <w:rStyle w:val="citationjournal"/>
          <w:i/>
          <w:iCs/>
          <w:sz w:val="20"/>
          <w:szCs w:val="20"/>
        </w:rPr>
        <w:t xml:space="preserve"> </w:t>
      </w:r>
      <w:proofErr w:type="spellStart"/>
      <w:r w:rsidRPr="00BE0EDB">
        <w:rPr>
          <w:rStyle w:val="citationjournal"/>
          <w:i/>
          <w:iCs/>
          <w:sz w:val="20"/>
          <w:szCs w:val="20"/>
        </w:rPr>
        <w:t>charantia</w:t>
      </w:r>
      <w:proofErr w:type="spellEnd"/>
      <w:r w:rsidRPr="00BE0EDB">
        <w:rPr>
          <w:rStyle w:val="citationjournal"/>
          <w:sz w:val="20"/>
          <w:szCs w:val="20"/>
        </w:rPr>
        <w:t xml:space="preserve">". </w:t>
      </w:r>
      <w:r w:rsidRPr="00BE0EDB">
        <w:rPr>
          <w:rStyle w:val="citationjournal"/>
          <w:i/>
          <w:iCs/>
          <w:sz w:val="20"/>
          <w:szCs w:val="20"/>
        </w:rPr>
        <w:t>Journal of Natural Products</w:t>
      </w:r>
      <w:r w:rsidRPr="00BE0EDB">
        <w:rPr>
          <w:rStyle w:val="citationjournal"/>
          <w:sz w:val="20"/>
          <w:szCs w:val="20"/>
        </w:rPr>
        <w:t xml:space="preserve"> </w:t>
      </w:r>
      <w:r w:rsidRPr="00BE0EDB">
        <w:rPr>
          <w:rStyle w:val="citationjournal"/>
          <w:bCs/>
          <w:sz w:val="20"/>
          <w:szCs w:val="20"/>
        </w:rPr>
        <w:t>71</w:t>
      </w:r>
      <w:r w:rsidRPr="00BE0EDB">
        <w:rPr>
          <w:rStyle w:val="citationjournal"/>
          <w:sz w:val="20"/>
          <w:szCs w:val="20"/>
        </w:rPr>
        <w:t xml:space="preserve"> (8): 1327–1330. DOI</w:t>
      </w:r>
      <w:proofErr w:type="gramStart"/>
      <w:r w:rsidRPr="00BE0EDB">
        <w:rPr>
          <w:rStyle w:val="citationjournal"/>
          <w:sz w:val="20"/>
          <w:szCs w:val="20"/>
        </w:rPr>
        <w:t>:10.1021</w:t>
      </w:r>
      <w:proofErr w:type="gramEnd"/>
      <w:r w:rsidRPr="00BE0EDB">
        <w:rPr>
          <w:rStyle w:val="citationjournal"/>
          <w:sz w:val="20"/>
          <w:szCs w:val="20"/>
        </w:rPr>
        <w:t>/np070532u.</w:t>
      </w:r>
    </w:p>
    <w:p w:rsidR="00EA3773" w:rsidRPr="00BE0EDB" w:rsidRDefault="00EA3773" w:rsidP="004E4FEB">
      <w:pPr>
        <w:numPr>
          <w:ilvl w:val="0"/>
          <w:numId w:val="1"/>
        </w:numPr>
        <w:snapToGrid w:val="0"/>
        <w:ind w:left="425" w:hanging="425"/>
        <w:jc w:val="both"/>
        <w:rPr>
          <w:rStyle w:val="citationjournal"/>
          <w:sz w:val="20"/>
          <w:szCs w:val="20"/>
        </w:rPr>
      </w:pPr>
      <w:proofErr w:type="spellStart"/>
      <w:r w:rsidRPr="00BE0EDB">
        <w:rPr>
          <w:rStyle w:val="citationjournal"/>
          <w:sz w:val="20"/>
          <w:szCs w:val="20"/>
        </w:rPr>
        <w:t>Fatope</w:t>
      </w:r>
      <w:proofErr w:type="spellEnd"/>
      <w:r w:rsidRPr="00BE0EDB">
        <w:rPr>
          <w:rStyle w:val="citationjournal"/>
          <w:sz w:val="20"/>
          <w:szCs w:val="20"/>
        </w:rPr>
        <w:t xml:space="preserve">, </w:t>
      </w:r>
      <w:proofErr w:type="spellStart"/>
      <w:r w:rsidRPr="00BE0EDB">
        <w:rPr>
          <w:rStyle w:val="citationjournal"/>
          <w:sz w:val="20"/>
          <w:szCs w:val="20"/>
        </w:rPr>
        <w:t>Majekodunmi</w:t>
      </w:r>
      <w:proofErr w:type="spellEnd"/>
      <w:r w:rsidRPr="00BE0EDB">
        <w:rPr>
          <w:rStyle w:val="citationjournal"/>
          <w:sz w:val="20"/>
          <w:szCs w:val="20"/>
        </w:rPr>
        <w:t xml:space="preserve">; Takeda, Yoshio; Yamashita, Hiroyasu; Okabe, </w:t>
      </w:r>
      <w:proofErr w:type="spellStart"/>
      <w:r w:rsidRPr="00BE0EDB">
        <w:rPr>
          <w:rStyle w:val="citationjournal"/>
          <w:sz w:val="20"/>
          <w:szCs w:val="20"/>
        </w:rPr>
        <w:t>Hikaru</w:t>
      </w:r>
      <w:proofErr w:type="spellEnd"/>
      <w:r w:rsidRPr="00BE0EDB">
        <w:rPr>
          <w:rStyle w:val="citationjournal"/>
          <w:sz w:val="20"/>
          <w:szCs w:val="20"/>
        </w:rPr>
        <w:t xml:space="preserve">; Yamauchi, </w:t>
      </w:r>
      <w:r w:rsidRPr="00BE0EDB">
        <w:rPr>
          <w:rStyle w:val="citationjournal"/>
          <w:sz w:val="20"/>
          <w:szCs w:val="20"/>
        </w:rPr>
        <w:lastRenderedPageBreak/>
        <w:t xml:space="preserve">Tatsuo (1990). "New </w:t>
      </w:r>
      <w:proofErr w:type="spellStart"/>
      <w:r w:rsidRPr="00BE0EDB">
        <w:rPr>
          <w:rStyle w:val="citationjournal"/>
          <w:sz w:val="20"/>
          <w:szCs w:val="20"/>
        </w:rPr>
        <w:t>cucurbitane</w:t>
      </w:r>
      <w:proofErr w:type="spellEnd"/>
      <w:r w:rsidRPr="00BE0EDB">
        <w:rPr>
          <w:rStyle w:val="citationjournal"/>
          <w:sz w:val="20"/>
          <w:szCs w:val="20"/>
        </w:rPr>
        <w:t xml:space="preserve"> </w:t>
      </w:r>
      <w:proofErr w:type="spellStart"/>
      <w:r w:rsidRPr="00BE0EDB">
        <w:rPr>
          <w:rStyle w:val="citationjournal"/>
          <w:sz w:val="20"/>
          <w:szCs w:val="20"/>
        </w:rPr>
        <w:t>triterpenoids</w:t>
      </w:r>
      <w:proofErr w:type="spellEnd"/>
      <w:r w:rsidRPr="00BE0EDB">
        <w:rPr>
          <w:rStyle w:val="citationjournal"/>
          <w:sz w:val="20"/>
          <w:szCs w:val="20"/>
        </w:rPr>
        <w:t xml:space="preserve"> from </w:t>
      </w:r>
      <w:proofErr w:type="spellStart"/>
      <w:r w:rsidRPr="00BE0EDB">
        <w:rPr>
          <w:rStyle w:val="citationjournal"/>
          <w:i/>
          <w:iCs/>
          <w:sz w:val="20"/>
          <w:szCs w:val="20"/>
        </w:rPr>
        <w:t>Momordica</w:t>
      </w:r>
      <w:proofErr w:type="spellEnd"/>
      <w:r w:rsidRPr="00BE0EDB">
        <w:rPr>
          <w:rStyle w:val="citationjournal"/>
          <w:i/>
          <w:iCs/>
          <w:sz w:val="20"/>
          <w:szCs w:val="20"/>
        </w:rPr>
        <w:t xml:space="preserve"> </w:t>
      </w:r>
      <w:proofErr w:type="spellStart"/>
      <w:r w:rsidRPr="00BE0EDB">
        <w:rPr>
          <w:rStyle w:val="citationjournal"/>
          <w:i/>
          <w:iCs/>
          <w:sz w:val="20"/>
          <w:szCs w:val="20"/>
        </w:rPr>
        <w:t>charantia</w:t>
      </w:r>
      <w:proofErr w:type="spellEnd"/>
      <w:r w:rsidRPr="00BE0EDB">
        <w:rPr>
          <w:rStyle w:val="citationjournal"/>
          <w:sz w:val="20"/>
          <w:szCs w:val="20"/>
        </w:rPr>
        <w:t xml:space="preserve">". </w:t>
      </w:r>
      <w:hyperlink r:id="rId37" w:tooltip="Journal of Natural Products" w:history="1">
        <w:r w:rsidRPr="00BE0EDB">
          <w:rPr>
            <w:rStyle w:val="Hyperlink"/>
            <w:iCs/>
            <w:color w:val="000000"/>
            <w:sz w:val="20"/>
            <w:szCs w:val="20"/>
          </w:rPr>
          <w:t>Journal of Natural Products</w:t>
        </w:r>
      </w:hyperlink>
      <w:r w:rsidRPr="00BE0EDB">
        <w:rPr>
          <w:rStyle w:val="citationjournal"/>
          <w:sz w:val="20"/>
          <w:szCs w:val="20"/>
        </w:rPr>
        <w:t xml:space="preserve"> </w:t>
      </w:r>
      <w:r w:rsidRPr="00BE0EDB">
        <w:rPr>
          <w:rStyle w:val="citationjournal"/>
          <w:bCs/>
          <w:sz w:val="20"/>
          <w:szCs w:val="20"/>
        </w:rPr>
        <w:t>53</w:t>
      </w:r>
      <w:r w:rsidRPr="00BE0EDB">
        <w:rPr>
          <w:rStyle w:val="citationjournal"/>
          <w:sz w:val="20"/>
          <w:szCs w:val="20"/>
        </w:rPr>
        <w:t xml:space="preserve"> (6): 1491–1497.</w:t>
      </w:r>
    </w:p>
    <w:p w:rsidR="00EA3773" w:rsidRPr="00BE0EDB" w:rsidRDefault="00EA3773" w:rsidP="004E4FEB">
      <w:pPr>
        <w:numPr>
          <w:ilvl w:val="0"/>
          <w:numId w:val="1"/>
        </w:numPr>
        <w:snapToGrid w:val="0"/>
        <w:ind w:left="425" w:hanging="425"/>
        <w:jc w:val="both"/>
        <w:rPr>
          <w:sz w:val="20"/>
          <w:szCs w:val="20"/>
        </w:rPr>
      </w:pPr>
      <w:r w:rsidRPr="00BE0EDB">
        <w:rPr>
          <w:rStyle w:val="citationjournal"/>
          <w:sz w:val="20"/>
          <w:szCs w:val="20"/>
        </w:rPr>
        <w:t xml:space="preserve">Grover, J. K.; </w:t>
      </w:r>
      <w:proofErr w:type="spellStart"/>
      <w:r w:rsidRPr="00BE0EDB">
        <w:rPr>
          <w:rStyle w:val="citationjournal"/>
          <w:sz w:val="20"/>
          <w:szCs w:val="20"/>
        </w:rPr>
        <w:t>Yadav</w:t>
      </w:r>
      <w:proofErr w:type="spellEnd"/>
      <w:r w:rsidRPr="00BE0EDB">
        <w:rPr>
          <w:rStyle w:val="citationjournal"/>
          <w:sz w:val="20"/>
          <w:szCs w:val="20"/>
        </w:rPr>
        <w:t xml:space="preserve">, S. P. (2004). "Pharmacological actions and potential uses of </w:t>
      </w:r>
      <w:proofErr w:type="spellStart"/>
      <w:r w:rsidRPr="00BE0EDB">
        <w:rPr>
          <w:rStyle w:val="citationjournal"/>
          <w:sz w:val="20"/>
          <w:szCs w:val="20"/>
        </w:rPr>
        <w:t>Momordica</w:t>
      </w:r>
      <w:proofErr w:type="spellEnd"/>
      <w:r w:rsidRPr="00BE0EDB">
        <w:rPr>
          <w:rStyle w:val="citationjournal"/>
          <w:sz w:val="20"/>
          <w:szCs w:val="20"/>
        </w:rPr>
        <w:t xml:space="preserve"> </w:t>
      </w:r>
      <w:proofErr w:type="spellStart"/>
      <w:r w:rsidRPr="00BE0EDB">
        <w:rPr>
          <w:rStyle w:val="citationjournal"/>
          <w:sz w:val="20"/>
          <w:szCs w:val="20"/>
        </w:rPr>
        <w:t>charantia</w:t>
      </w:r>
      <w:proofErr w:type="spellEnd"/>
      <w:r w:rsidRPr="00BE0EDB">
        <w:rPr>
          <w:rStyle w:val="citationjournal"/>
          <w:sz w:val="20"/>
          <w:szCs w:val="20"/>
        </w:rPr>
        <w:t xml:space="preserve">: A review". </w:t>
      </w:r>
      <w:r w:rsidRPr="00BE0EDB">
        <w:rPr>
          <w:rStyle w:val="citationjournal"/>
          <w:i/>
          <w:iCs/>
          <w:sz w:val="20"/>
          <w:szCs w:val="20"/>
        </w:rPr>
        <w:t xml:space="preserve">Journal of </w:t>
      </w:r>
      <w:proofErr w:type="spellStart"/>
      <w:r w:rsidRPr="00BE0EDB">
        <w:rPr>
          <w:rStyle w:val="citationjournal"/>
          <w:i/>
          <w:iCs/>
          <w:sz w:val="20"/>
          <w:szCs w:val="20"/>
        </w:rPr>
        <w:t>Ethnopharmacology</w:t>
      </w:r>
      <w:proofErr w:type="spellEnd"/>
      <w:r w:rsidRPr="00BE0EDB">
        <w:rPr>
          <w:rStyle w:val="citationjournal"/>
          <w:sz w:val="20"/>
          <w:szCs w:val="20"/>
        </w:rPr>
        <w:t xml:space="preserve"> </w:t>
      </w:r>
      <w:r w:rsidRPr="00BE0EDB">
        <w:rPr>
          <w:rStyle w:val="citationjournal"/>
          <w:bCs/>
          <w:sz w:val="20"/>
          <w:szCs w:val="20"/>
        </w:rPr>
        <w:t>93</w:t>
      </w:r>
      <w:r w:rsidRPr="00BE0EDB">
        <w:rPr>
          <w:rStyle w:val="citationjournal"/>
          <w:sz w:val="20"/>
          <w:szCs w:val="20"/>
        </w:rPr>
        <w:t xml:space="preserve"> (1): 123–132. </w:t>
      </w:r>
      <w:hyperlink r:id="rId38" w:tooltip="Digital object identifier" w:history="1">
        <w:r w:rsidRPr="00BE0EDB">
          <w:rPr>
            <w:rStyle w:val="Hyperlink"/>
            <w:color w:val="000000"/>
            <w:sz w:val="20"/>
            <w:szCs w:val="20"/>
          </w:rPr>
          <w:t>DOI</w:t>
        </w:r>
      </w:hyperlink>
      <w:proofErr w:type="gramStart"/>
      <w:r w:rsidRPr="00BE0EDB">
        <w:rPr>
          <w:rStyle w:val="citationjournal"/>
          <w:color w:val="000000"/>
          <w:sz w:val="20"/>
          <w:szCs w:val="20"/>
        </w:rPr>
        <w:t>:</w:t>
      </w:r>
      <w:proofErr w:type="gramEnd"/>
      <w:r w:rsidR="000744EE">
        <w:fldChar w:fldCharType="begin"/>
      </w:r>
      <w:r w:rsidR="00673A0A">
        <w:instrText>HYPERLINK "http://dx.doi.org/10.1016%2Fj.jep.2004.03.035"</w:instrText>
      </w:r>
      <w:r w:rsidR="000744EE">
        <w:fldChar w:fldCharType="separate"/>
      </w:r>
      <w:r w:rsidRPr="00BE0EDB">
        <w:rPr>
          <w:rStyle w:val="Hyperlink"/>
          <w:color w:val="000000"/>
          <w:sz w:val="20"/>
          <w:szCs w:val="20"/>
        </w:rPr>
        <w:t>10.1016/j.jep.2004.03.035</w:t>
      </w:r>
      <w:r w:rsidR="000744EE">
        <w:fldChar w:fldCharType="end"/>
      </w:r>
      <w:r w:rsidRPr="00BE0EDB">
        <w:rPr>
          <w:rStyle w:val="citationjournal"/>
          <w:color w:val="000000"/>
          <w:sz w:val="20"/>
          <w:szCs w:val="20"/>
        </w:rPr>
        <w:t xml:space="preserve">. </w:t>
      </w:r>
      <w:hyperlink r:id="rId39" w:tooltip="PubMed Identifier" w:history="1">
        <w:r w:rsidRPr="00BE0EDB">
          <w:rPr>
            <w:rStyle w:val="Hyperlink"/>
            <w:color w:val="000000"/>
            <w:sz w:val="20"/>
            <w:szCs w:val="20"/>
          </w:rPr>
          <w:t>PMID</w:t>
        </w:r>
      </w:hyperlink>
      <w:r w:rsidRPr="00BE0EDB">
        <w:rPr>
          <w:rStyle w:val="citationjournal"/>
          <w:color w:val="000000"/>
          <w:sz w:val="20"/>
          <w:szCs w:val="20"/>
        </w:rPr>
        <w:t xml:space="preserve"> </w:t>
      </w:r>
      <w:hyperlink r:id="rId40" w:history="1">
        <w:r w:rsidRPr="00BE0EDB">
          <w:rPr>
            <w:rStyle w:val="Hyperlink"/>
            <w:color w:val="000000"/>
            <w:sz w:val="20"/>
            <w:szCs w:val="20"/>
          </w:rPr>
          <w:t>15182917</w:t>
        </w:r>
      </w:hyperlink>
      <w:r w:rsidRPr="00BE0EDB">
        <w:rPr>
          <w:rStyle w:val="citationjournal"/>
          <w:color w:val="000000"/>
          <w:sz w:val="20"/>
          <w:szCs w:val="20"/>
        </w:rPr>
        <w:t>.</w:t>
      </w:r>
      <w:r w:rsidRPr="00BE0EDB">
        <w:rPr>
          <w:rStyle w:val="z3988"/>
          <w:vanish/>
          <w:color w:val="000000"/>
          <w:sz w:val="20"/>
          <w:szCs w:val="20"/>
        </w:rPr>
        <w:t xml:space="preserve"> </w:t>
      </w:r>
      <w:hyperlink r:id="rId41" w:history="1">
        <w:proofErr w:type="gramStart"/>
        <w:r w:rsidRPr="00BE0EDB">
          <w:rPr>
            <w:rStyle w:val="plainlinksnoprint"/>
            <w:color w:val="000000"/>
            <w:sz w:val="20"/>
            <w:szCs w:val="20"/>
          </w:rPr>
          <w:t>edit</w:t>
        </w:r>
        <w:proofErr w:type="gramEnd"/>
      </w:hyperlink>
      <w:r w:rsidR="0081372A">
        <w:rPr>
          <w:rFonts w:eastAsiaTheme="minorEastAsia" w:hint="eastAsia"/>
          <w:lang w:eastAsia="zh-CN"/>
        </w:rPr>
        <w:t>.</w:t>
      </w:r>
    </w:p>
    <w:p w:rsidR="00EA3773" w:rsidRPr="00BE0EDB" w:rsidRDefault="00EA3773" w:rsidP="004E4FEB">
      <w:pPr>
        <w:numPr>
          <w:ilvl w:val="0"/>
          <w:numId w:val="1"/>
        </w:numPr>
        <w:snapToGrid w:val="0"/>
        <w:ind w:left="425" w:hanging="425"/>
        <w:jc w:val="both"/>
        <w:rPr>
          <w:color w:val="000000"/>
          <w:sz w:val="20"/>
          <w:szCs w:val="20"/>
        </w:rPr>
      </w:pPr>
      <w:r w:rsidRPr="00BE0EDB">
        <w:rPr>
          <w:rStyle w:val="citationjournal"/>
          <w:sz w:val="20"/>
          <w:szCs w:val="20"/>
        </w:rPr>
        <w:t xml:space="preserve">Kimura, Yumiko; Akihisa, Toshihiro; Yuasa, Noriko; </w:t>
      </w:r>
      <w:proofErr w:type="spellStart"/>
      <w:r w:rsidRPr="00BE0EDB">
        <w:rPr>
          <w:rStyle w:val="citationjournal"/>
          <w:sz w:val="20"/>
          <w:szCs w:val="20"/>
        </w:rPr>
        <w:t>Ukiya</w:t>
      </w:r>
      <w:proofErr w:type="spellEnd"/>
      <w:r w:rsidRPr="00BE0EDB">
        <w:rPr>
          <w:rStyle w:val="citationjournal"/>
          <w:sz w:val="20"/>
          <w:szCs w:val="20"/>
        </w:rPr>
        <w:t xml:space="preserve">, </w:t>
      </w:r>
      <w:proofErr w:type="spellStart"/>
      <w:r w:rsidRPr="00BE0EDB">
        <w:rPr>
          <w:rStyle w:val="citationjournal"/>
          <w:sz w:val="20"/>
          <w:szCs w:val="20"/>
        </w:rPr>
        <w:t>Motohiko</w:t>
      </w:r>
      <w:proofErr w:type="spellEnd"/>
      <w:r w:rsidRPr="00BE0EDB">
        <w:rPr>
          <w:rStyle w:val="citationjournal"/>
          <w:sz w:val="20"/>
          <w:szCs w:val="20"/>
        </w:rPr>
        <w:t xml:space="preserve">; Suzuki, Takashi; </w:t>
      </w:r>
      <w:proofErr w:type="spellStart"/>
      <w:r w:rsidRPr="00BE0EDB">
        <w:rPr>
          <w:rStyle w:val="citationjournal"/>
          <w:sz w:val="20"/>
          <w:szCs w:val="20"/>
        </w:rPr>
        <w:t>Toriyama</w:t>
      </w:r>
      <w:proofErr w:type="spellEnd"/>
      <w:r w:rsidRPr="00BE0EDB">
        <w:rPr>
          <w:rStyle w:val="citationjournal"/>
          <w:sz w:val="20"/>
          <w:szCs w:val="20"/>
        </w:rPr>
        <w:t xml:space="preserve">, </w:t>
      </w:r>
      <w:proofErr w:type="spellStart"/>
      <w:r w:rsidRPr="00BE0EDB">
        <w:rPr>
          <w:rStyle w:val="citationjournal"/>
          <w:sz w:val="20"/>
          <w:szCs w:val="20"/>
        </w:rPr>
        <w:t>Masaharu</w:t>
      </w:r>
      <w:proofErr w:type="spellEnd"/>
      <w:r w:rsidRPr="00BE0EDB">
        <w:rPr>
          <w:rStyle w:val="citationjournal"/>
          <w:sz w:val="20"/>
          <w:szCs w:val="20"/>
        </w:rPr>
        <w:t xml:space="preserve">; </w:t>
      </w:r>
      <w:proofErr w:type="spellStart"/>
      <w:r w:rsidRPr="00BE0EDB">
        <w:rPr>
          <w:rStyle w:val="citationjournal"/>
          <w:sz w:val="20"/>
          <w:szCs w:val="20"/>
        </w:rPr>
        <w:t>Motohashi</w:t>
      </w:r>
      <w:proofErr w:type="spellEnd"/>
      <w:r w:rsidRPr="00BE0EDB">
        <w:rPr>
          <w:rStyle w:val="citationjournal"/>
          <w:sz w:val="20"/>
          <w:szCs w:val="20"/>
        </w:rPr>
        <w:t xml:space="preserve">, </w:t>
      </w:r>
      <w:proofErr w:type="spellStart"/>
      <w:r w:rsidRPr="00BE0EDB">
        <w:rPr>
          <w:rStyle w:val="citationjournal"/>
          <w:sz w:val="20"/>
          <w:szCs w:val="20"/>
        </w:rPr>
        <w:t>Shigeyasu</w:t>
      </w:r>
      <w:proofErr w:type="spellEnd"/>
      <w:r w:rsidRPr="00BE0EDB">
        <w:rPr>
          <w:rStyle w:val="citationjournal"/>
          <w:sz w:val="20"/>
          <w:szCs w:val="20"/>
        </w:rPr>
        <w:t xml:space="preserve">; </w:t>
      </w:r>
      <w:proofErr w:type="spellStart"/>
      <w:r w:rsidRPr="00BE0EDB">
        <w:rPr>
          <w:rStyle w:val="citationjournal"/>
          <w:sz w:val="20"/>
          <w:szCs w:val="20"/>
        </w:rPr>
        <w:t>Tokuda</w:t>
      </w:r>
      <w:proofErr w:type="spellEnd"/>
      <w:r w:rsidRPr="00BE0EDB">
        <w:rPr>
          <w:rStyle w:val="citationjournal"/>
          <w:sz w:val="20"/>
          <w:szCs w:val="20"/>
        </w:rPr>
        <w:t xml:space="preserve">, </w:t>
      </w:r>
      <w:proofErr w:type="spellStart"/>
      <w:r w:rsidRPr="00BE0EDB">
        <w:rPr>
          <w:rStyle w:val="citationjournal"/>
          <w:sz w:val="20"/>
          <w:szCs w:val="20"/>
        </w:rPr>
        <w:t>Harukuni</w:t>
      </w:r>
      <w:proofErr w:type="spellEnd"/>
      <w:r w:rsidRPr="00BE0EDB">
        <w:rPr>
          <w:rStyle w:val="citationjournal"/>
          <w:sz w:val="20"/>
          <w:szCs w:val="20"/>
        </w:rPr>
        <w:t xml:space="preserve"> (2005). </w:t>
      </w:r>
      <w:hyperlink r:id="rId42" w:history="1">
        <w:r w:rsidRPr="00BE0EDB">
          <w:rPr>
            <w:rStyle w:val="Hyperlink"/>
            <w:color w:val="000000"/>
            <w:sz w:val="20"/>
            <w:szCs w:val="20"/>
          </w:rPr>
          <w:t xml:space="preserve">"Cucurbitane-type triterpenoids from the fruit of </w:t>
        </w:r>
        <w:r w:rsidRPr="00BE0EDB">
          <w:rPr>
            <w:rStyle w:val="Hyperlink"/>
            <w:iCs/>
            <w:color w:val="000000"/>
            <w:sz w:val="20"/>
            <w:szCs w:val="20"/>
          </w:rPr>
          <w:t>Momordica charantia</w:t>
        </w:r>
        <w:r w:rsidRPr="00BE0EDB">
          <w:rPr>
            <w:rStyle w:val="Hyperlink"/>
            <w:color w:val="000000"/>
            <w:sz w:val="20"/>
            <w:szCs w:val="20"/>
          </w:rPr>
          <w:t>"</w:t>
        </w:r>
      </w:hyperlink>
      <w:r w:rsidRPr="00BE0EDB">
        <w:rPr>
          <w:rStyle w:val="citationjournal"/>
          <w:color w:val="000000"/>
          <w:sz w:val="20"/>
          <w:szCs w:val="20"/>
        </w:rPr>
        <w:t xml:space="preserve">. </w:t>
      </w:r>
      <w:r w:rsidRPr="00BE0EDB">
        <w:rPr>
          <w:rStyle w:val="citationjournal"/>
          <w:iCs/>
          <w:color w:val="000000"/>
          <w:sz w:val="20"/>
          <w:szCs w:val="20"/>
        </w:rPr>
        <w:t>Journal of Natural Product</w:t>
      </w:r>
      <w:r w:rsidRPr="00BE0EDB">
        <w:rPr>
          <w:rStyle w:val="citationjournal"/>
          <w:i/>
          <w:iCs/>
          <w:color w:val="000000"/>
          <w:sz w:val="20"/>
          <w:szCs w:val="20"/>
        </w:rPr>
        <w:t>s</w:t>
      </w:r>
      <w:r w:rsidRPr="00BE0EDB">
        <w:rPr>
          <w:rStyle w:val="citationjournal"/>
          <w:color w:val="000000"/>
          <w:sz w:val="20"/>
          <w:szCs w:val="20"/>
        </w:rPr>
        <w:t xml:space="preserve"> </w:t>
      </w:r>
      <w:r w:rsidRPr="00BE0EDB">
        <w:rPr>
          <w:rStyle w:val="citationjournal"/>
          <w:bCs/>
          <w:color w:val="000000"/>
          <w:sz w:val="20"/>
          <w:szCs w:val="20"/>
        </w:rPr>
        <w:t>68</w:t>
      </w:r>
      <w:r w:rsidRPr="00BE0EDB">
        <w:rPr>
          <w:rStyle w:val="citationjournal"/>
          <w:color w:val="000000"/>
          <w:sz w:val="20"/>
          <w:szCs w:val="20"/>
        </w:rPr>
        <w:t xml:space="preserve"> (5): 807–809. </w:t>
      </w:r>
      <w:hyperlink r:id="rId43" w:tooltip="Digital object identifier" w:history="1">
        <w:r w:rsidRPr="00BE0EDB">
          <w:rPr>
            <w:rStyle w:val="Hyperlink"/>
            <w:color w:val="000000"/>
            <w:sz w:val="20"/>
            <w:szCs w:val="20"/>
          </w:rPr>
          <w:t>DOI</w:t>
        </w:r>
      </w:hyperlink>
      <w:proofErr w:type="gramStart"/>
      <w:r w:rsidRPr="00BE0EDB">
        <w:rPr>
          <w:rStyle w:val="citationjournal"/>
          <w:color w:val="000000"/>
          <w:sz w:val="20"/>
          <w:szCs w:val="20"/>
        </w:rPr>
        <w:t>:</w:t>
      </w:r>
      <w:proofErr w:type="gramEnd"/>
      <w:hyperlink r:id="rId44" w:history="1">
        <w:r w:rsidRPr="00BE0EDB">
          <w:rPr>
            <w:rStyle w:val="Hyperlink"/>
            <w:color w:val="000000"/>
            <w:sz w:val="20"/>
            <w:szCs w:val="20"/>
          </w:rPr>
          <w:t>10.1021/np040218p</w:t>
        </w:r>
      </w:hyperlink>
      <w:r w:rsidRPr="00BE0EDB">
        <w:rPr>
          <w:rStyle w:val="printonly"/>
          <w:color w:val="000000"/>
          <w:sz w:val="20"/>
          <w:szCs w:val="20"/>
        </w:rPr>
        <w:t xml:space="preserve">. </w:t>
      </w:r>
      <w:hyperlink r:id="rId45" w:history="1">
        <w:r w:rsidRPr="00BE0EDB">
          <w:rPr>
            <w:rStyle w:val="Hyperlink"/>
            <w:color w:val="000000"/>
            <w:sz w:val="20"/>
            <w:szCs w:val="20"/>
          </w:rPr>
          <w:t>http://pubs.acs.org/doi/pdf/10.1021/np040218p</w:t>
        </w:r>
      </w:hyperlink>
      <w:r w:rsidRPr="00BE0EDB">
        <w:rPr>
          <w:rStyle w:val="citationjournal"/>
          <w:color w:val="000000"/>
          <w:sz w:val="20"/>
          <w:szCs w:val="20"/>
        </w:rPr>
        <w:t>.</w:t>
      </w:r>
    </w:p>
    <w:p w:rsidR="00EA3773" w:rsidRPr="00BE0EDB" w:rsidRDefault="000744EE" w:rsidP="004E4FEB">
      <w:pPr>
        <w:numPr>
          <w:ilvl w:val="0"/>
          <w:numId w:val="1"/>
        </w:numPr>
        <w:snapToGrid w:val="0"/>
        <w:ind w:left="425" w:hanging="425"/>
        <w:jc w:val="both"/>
        <w:rPr>
          <w:rStyle w:val="citationweb"/>
          <w:sz w:val="20"/>
          <w:szCs w:val="20"/>
        </w:rPr>
      </w:pPr>
      <w:hyperlink r:id="rId46" w:history="1">
        <w:r w:rsidR="00EA3773" w:rsidRPr="00BE0EDB">
          <w:rPr>
            <w:rStyle w:val="Hyperlink"/>
            <w:color w:val="000000"/>
            <w:sz w:val="20"/>
            <w:szCs w:val="20"/>
          </w:rPr>
          <w:t>Kudret Narı Faydaları"</w:t>
        </w:r>
      </w:hyperlink>
      <w:r w:rsidR="00EA3773" w:rsidRPr="00BE0EDB">
        <w:rPr>
          <w:rStyle w:val="citationweb"/>
          <w:color w:val="000000"/>
          <w:sz w:val="20"/>
          <w:szCs w:val="20"/>
        </w:rPr>
        <w:t xml:space="preserve">. </w:t>
      </w:r>
      <w:hyperlink r:id="rId47" w:tooltip="Beslenme Desteği (page does not exist)" w:history="1">
        <w:r w:rsidR="00EA3773" w:rsidRPr="00BE0EDB">
          <w:rPr>
            <w:rStyle w:val="Hyperlink"/>
            <w:color w:val="000000"/>
            <w:sz w:val="20"/>
            <w:szCs w:val="20"/>
          </w:rPr>
          <w:t>Beslenme Desteği</w:t>
        </w:r>
      </w:hyperlink>
      <w:r w:rsidR="00EA3773" w:rsidRPr="00BE0EDB">
        <w:rPr>
          <w:rStyle w:val="printonly"/>
          <w:color w:val="000000"/>
          <w:sz w:val="20"/>
          <w:szCs w:val="20"/>
        </w:rPr>
        <w:t>. http://www.beslenmedestegi.com/bitkisel-ilaclar/kudret-nari-faydalari.Retrieved 2011-10-03</w:t>
      </w:r>
      <w:r w:rsidR="00EA3773" w:rsidRPr="00BE0EDB">
        <w:rPr>
          <w:rStyle w:val="citationweb"/>
          <w:sz w:val="20"/>
          <w:szCs w:val="20"/>
        </w:rPr>
        <w:t>.</w:t>
      </w:r>
    </w:p>
    <w:p w:rsidR="00EA3773" w:rsidRPr="00BE0EDB" w:rsidRDefault="00EA3773" w:rsidP="004E4FEB">
      <w:pPr>
        <w:numPr>
          <w:ilvl w:val="0"/>
          <w:numId w:val="1"/>
        </w:numPr>
        <w:snapToGrid w:val="0"/>
        <w:ind w:left="425" w:hanging="425"/>
        <w:jc w:val="both"/>
        <w:rPr>
          <w:sz w:val="20"/>
          <w:szCs w:val="20"/>
        </w:rPr>
      </w:pPr>
      <w:r w:rsidRPr="00BE0EDB">
        <w:rPr>
          <w:sz w:val="20"/>
          <w:szCs w:val="20"/>
        </w:rPr>
        <w:t xml:space="preserve">Taylor L (2005). Bitter melon: Herbal properties and actions. In: The healing power of rainforest herbs. </w:t>
      </w:r>
      <w:proofErr w:type="spellStart"/>
      <w:r w:rsidRPr="00BE0EDB">
        <w:rPr>
          <w:sz w:val="20"/>
          <w:szCs w:val="20"/>
        </w:rPr>
        <w:t>Raintree</w:t>
      </w:r>
      <w:proofErr w:type="spellEnd"/>
      <w:r w:rsidRPr="00BE0EDB">
        <w:rPr>
          <w:sz w:val="20"/>
          <w:szCs w:val="20"/>
        </w:rPr>
        <w:t xml:space="preserve"> Nutrition Inc. Square one Publ. Inc. New York, pp. 1-5.</w:t>
      </w:r>
    </w:p>
    <w:p w:rsidR="00EA3773" w:rsidRPr="00BE0EDB" w:rsidRDefault="00EA3773" w:rsidP="004E4FEB">
      <w:pPr>
        <w:numPr>
          <w:ilvl w:val="0"/>
          <w:numId w:val="1"/>
        </w:numPr>
        <w:snapToGrid w:val="0"/>
        <w:ind w:left="425" w:hanging="425"/>
        <w:jc w:val="both"/>
        <w:rPr>
          <w:sz w:val="20"/>
          <w:szCs w:val="20"/>
        </w:rPr>
      </w:pPr>
      <w:r w:rsidRPr="00BE0EDB">
        <w:rPr>
          <w:rStyle w:val="citationjournal"/>
          <w:sz w:val="20"/>
          <w:szCs w:val="20"/>
        </w:rPr>
        <w:t xml:space="preserve">Okabe, H.; Miyahara, Y.; </w:t>
      </w:r>
      <w:proofErr w:type="spellStart"/>
      <w:r w:rsidRPr="00BE0EDB">
        <w:rPr>
          <w:rStyle w:val="citationjournal"/>
          <w:sz w:val="20"/>
          <w:szCs w:val="20"/>
        </w:rPr>
        <w:t>Yamauci</w:t>
      </w:r>
      <w:proofErr w:type="spellEnd"/>
      <w:r w:rsidRPr="00BE0EDB">
        <w:rPr>
          <w:rStyle w:val="citationjournal"/>
          <w:sz w:val="20"/>
          <w:szCs w:val="20"/>
        </w:rPr>
        <w:t xml:space="preserve">, T. (1982). "Studies on the constituents of </w:t>
      </w:r>
      <w:proofErr w:type="spellStart"/>
      <w:r w:rsidRPr="00BE0EDB">
        <w:rPr>
          <w:rStyle w:val="citationjournal"/>
          <w:i/>
          <w:iCs/>
          <w:sz w:val="20"/>
          <w:szCs w:val="20"/>
        </w:rPr>
        <w:t>Momordica</w:t>
      </w:r>
      <w:proofErr w:type="spellEnd"/>
      <w:r w:rsidRPr="00BE0EDB">
        <w:rPr>
          <w:rStyle w:val="citationjournal"/>
          <w:i/>
          <w:iCs/>
          <w:sz w:val="20"/>
          <w:szCs w:val="20"/>
        </w:rPr>
        <w:t xml:space="preserve"> </w:t>
      </w:r>
      <w:proofErr w:type="spellStart"/>
      <w:r w:rsidRPr="00BE0EDB">
        <w:rPr>
          <w:rStyle w:val="citationjournal"/>
          <w:i/>
          <w:iCs/>
          <w:sz w:val="20"/>
          <w:szCs w:val="20"/>
        </w:rPr>
        <w:t>charantia</w:t>
      </w:r>
      <w:proofErr w:type="spellEnd"/>
      <w:r w:rsidRPr="00BE0EDB">
        <w:rPr>
          <w:rStyle w:val="citationjournal"/>
          <w:sz w:val="20"/>
          <w:szCs w:val="20"/>
        </w:rPr>
        <w:t xml:space="preserve"> L.". </w:t>
      </w:r>
      <w:r w:rsidRPr="00BE0EDB">
        <w:rPr>
          <w:rStyle w:val="citationjournal"/>
          <w:i/>
          <w:iCs/>
          <w:sz w:val="20"/>
          <w:szCs w:val="20"/>
        </w:rPr>
        <w:t>Chemical Pharmacology Bulletin</w:t>
      </w:r>
      <w:r w:rsidRPr="00BE0EDB">
        <w:rPr>
          <w:rStyle w:val="citationjournal"/>
          <w:sz w:val="20"/>
          <w:szCs w:val="20"/>
        </w:rPr>
        <w:t xml:space="preserve"> </w:t>
      </w:r>
      <w:r w:rsidRPr="00BE0EDB">
        <w:rPr>
          <w:rStyle w:val="citationjournal"/>
          <w:bCs/>
          <w:sz w:val="20"/>
          <w:szCs w:val="20"/>
        </w:rPr>
        <w:t>30</w:t>
      </w:r>
      <w:r w:rsidRPr="00BE0EDB">
        <w:rPr>
          <w:rStyle w:val="citationjournal"/>
          <w:sz w:val="20"/>
          <w:szCs w:val="20"/>
        </w:rPr>
        <w:t xml:space="preserve"> (12): 4334–4340.</w:t>
      </w:r>
    </w:p>
    <w:p w:rsidR="00EA3773" w:rsidRPr="00BE0EDB" w:rsidRDefault="000744EE" w:rsidP="004E4FEB">
      <w:pPr>
        <w:numPr>
          <w:ilvl w:val="0"/>
          <w:numId w:val="1"/>
        </w:numPr>
        <w:snapToGrid w:val="0"/>
        <w:ind w:left="425" w:hanging="425"/>
        <w:jc w:val="both"/>
        <w:rPr>
          <w:sz w:val="20"/>
          <w:szCs w:val="20"/>
        </w:rPr>
      </w:pPr>
      <w:hyperlink r:id="rId48" w:anchor="cite_ref-ortigao_13-0" w:history="1"/>
      <w:proofErr w:type="spellStart"/>
      <w:r w:rsidR="00EA3773" w:rsidRPr="00BE0EDB">
        <w:rPr>
          <w:rStyle w:val="citationjournal"/>
          <w:sz w:val="20"/>
          <w:szCs w:val="20"/>
        </w:rPr>
        <w:t>Ortigao</w:t>
      </w:r>
      <w:proofErr w:type="spellEnd"/>
      <w:r w:rsidR="00EA3773" w:rsidRPr="00BE0EDB">
        <w:rPr>
          <w:rStyle w:val="citationjournal"/>
          <w:sz w:val="20"/>
          <w:szCs w:val="20"/>
        </w:rPr>
        <w:t xml:space="preserve">, Marcelo; Better, Marc (1992). </w:t>
      </w:r>
      <w:hyperlink r:id="rId49" w:history="1">
        <w:r w:rsidR="00EA3773" w:rsidRPr="00BE0EDB">
          <w:rPr>
            <w:rStyle w:val="Hyperlink"/>
            <w:color w:val="000000"/>
            <w:sz w:val="20"/>
            <w:szCs w:val="20"/>
          </w:rPr>
          <w:t xml:space="preserve">"Momordin II, a ribosome inactivating protein from </w:t>
        </w:r>
        <w:r w:rsidR="00EA3773" w:rsidRPr="00BE0EDB">
          <w:rPr>
            <w:rStyle w:val="Hyperlink"/>
            <w:i/>
            <w:iCs/>
            <w:color w:val="000000"/>
            <w:sz w:val="20"/>
            <w:szCs w:val="20"/>
          </w:rPr>
          <w:t>Momordica balsamina</w:t>
        </w:r>
        <w:r w:rsidR="00EA3773" w:rsidRPr="00BE0EDB">
          <w:rPr>
            <w:rStyle w:val="Hyperlink"/>
            <w:color w:val="000000"/>
            <w:sz w:val="20"/>
            <w:szCs w:val="20"/>
          </w:rPr>
          <w:t>, is homologous to other plant proteins"</w:t>
        </w:r>
      </w:hyperlink>
      <w:r w:rsidR="00EA3773" w:rsidRPr="00BE0EDB">
        <w:rPr>
          <w:rStyle w:val="citationjournal"/>
          <w:color w:val="000000"/>
          <w:sz w:val="20"/>
          <w:szCs w:val="20"/>
        </w:rPr>
        <w:t xml:space="preserve">. </w:t>
      </w:r>
      <w:r w:rsidR="00EA3773" w:rsidRPr="00BE0EDB">
        <w:rPr>
          <w:rStyle w:val="citationjournal"/>
          <w:i/>
          <w:iCs/>
          <w:color w:val="000000"/>
          <w:sz w:val="20"/>
          <w:szCs w:val="20"/>
        </w:rPr>
        <w:t>Nucleic Acids Research</w:t>
      </w:r>
      <w:r w:rsidR="00EA3773" w:rsidRPr="00BE0EDB">
        <w:rPr>
          <w:rStyle w:val="citationjournal"/>
          <w:color w:val="000000"/>
          <w:sz w:val="20"/>
          <w:szCs w:val="20"/>
        </w:rPr>
        <w:t xml:space="preserve"> </w:t>
      </w:r>
      <w:r w:rsidR="00EA3773" w:rsidRPr="00BE0EDB">
        <w:rPr>
          <w:rStyle w:val="citationjournal"/>
          <w:bCs/>
          <w:color w:val="000000"/>
          <w:sz w:val="20"/>
          <w:szCs w:val="20"/>
        </w:rPr>
        <w:t>20</w:t>
      </w:r>
      <w:r w:rsidR="00EA3773" w:rsidRPr="00BE0EDB">
        <w:rPr>
          <w:rStyle w:val="citationjournal"/>
          <w:color w:val="000000"/>
          <w:sz w:val="20"/>
          <w:szCs w:val="20"/>
        </w:rPr>
        <w:t xml:space="preserve"> (17): 4662</w:t>
      </w:r>
      <w:r w:rsidR="00EA3773" w:rsidRPr="00BE0EDB">
        <w:rPr>
          <w:rStyle w:val="printonly"/>
          <w:color w:val="000000"/>
          <w:sz w:val="20"/>
          <w:szCs w:val="20"/>
        </w:rPr>
        <w:t xml:space="preserve">. </w:t>
      </w:r>
      <w:hyperlink r:id="rId50" w:history="1">
        <w:r w:rsidR="00EA3773" w:rsidRPr="00BE0EDB">
          <w:rPr>
            <w:rStyle w:val="Hyperlink"/>
            <w:color w:val="000000"/>
            <w:sz w:val="20"/>
            <w:szCs w:val="20"/>
          </w:rPr>
          <w:t>http://nar.oxfordjournals.org/cgi/reprint/20/17/4662.pdf</w:t>
        </w:r>
      </w:hyperlink>
      <w:r w:rsidR="00EA3773" w:rsidRPr="00BE0EDB">
        <w:rPr>
          <w:rStyle w:val="citationjournal"/>
          <w:sz w:val="20"/>
          <w:szCs w:val="20"/>
        </w:rPr>
        <w:t>.</w:t>
      </w:r>
    </w:p>
    <w:p w:rsidR="00EA3773" w:rsidRPr="00BE0EDB" w:rsidRDefault="00EA3773" w:rsidP="004E4FEB">
      <w:pPr>
        <w:numPr>
          <w:ilvl w:val="0"/>
          <w:numId w:val="1"/>
        </w:numPr>
        <w:snapToGrid w:val="0"/>
        <w:ind w:left="425" w:hanging="425"/>
        <w:jc w:val="both"/>
        <w:rPr>
          <w:rStyle w:val="citationjournal"/>
          <w:sz w:val="20"/>
          <w:szCs w:val="20"/>
        </w:rPr>
      </w:pPr>
      <w:proofErr w:type="spellStart"/>
      <w:r w:rsidRPr="00BE0EDB">
        <w:rPr>
          <w:rStyle w:val="citationjournal"/>
          <w:sz w:val="20"/>
          <w:szCs w:val="20"/>
        </w:rPr>
        <w:t>Semiz</w:t>
      </w:r>
      <w:proofErr w:type="spellEnd"/>
      <w:r w:rsidRPr="00BE0EDB">
        <w:rPr>
          <w:rStyle w:val="citationjournal"/>
          <w:sz w:val="20"/>
          <w:szCs w:val="20"/>
        </w:rPr>
        <w:t xml:space="preserve">, A, </w:t>
      </w:r>
      <w:proofErr w:type="spellStart"/>
      <w:r w:rsidRPr="00BE0EDB">
        <w:rPr>
          <w:rStyle w:val="citationjournal"/>
          <w:sz w:val="20"/>
          <w:szCs w:val="20"/>
        </w:rPr>
        <w:t>Sen</w:t>
      </w:r>
      <w:proofErr w:type="spellEnd"/>
      <w:r w:rsidRPr="00BE0EDB">
        <w:rPr>
          <w:rStyle w:val="citationjournal"/>
          <w:sz w:val="20"/>
          <w:szCs w:val="20"/>
        </w:rPr>
        <w:t xml:space="preserve"> A. (February 2007). "Antioxidant and </w:t>
      </w:r>
      <w:proofErr w:type="spellStart"/>
      <w:r w:rsidRPr="00BE0EDB">
        <w:rPr>
          <w:rStyle w:val="citationjournal"/>
          <w:sz w:val="20"/>
          <w:szCs w:val="20"/>
        </w:rPr>
        <w:t>chemoprotective</w:t>
      </w:r>
      <w:proofErr w:type="spellEnd"/>
      <w:r w:rsidRPr="00BE0EDB">
        <w:rPr>
          <w:rStyle w:val="citationjournal"/>
          <w:sz w:val="20"/>
          <w:szCs w:val="20"/>
        </w:rPr>
        <w:t xml:space="preserve"> properties of </w:t>
      </w:r>
      <w:proofErr w:type="spellStart"/>
      <w:r w:rsidRPr="00BE0EDB">
        <w:rPr>
          <w:rStyle w:val="citationjournal"/>
          <w:sz w:val="20"/>
          <w:szCs w:val="20"/>
        </w:rPr>
        <w:t>Momordica</w:t>
      </w:r>
      <w:proofErr w:type="spellEnd"/>
      <w:r w:rsidRPr="00BE0EDB">
        <w:rPr>
          <w:rStyle w:val="citationjournal"/>
          <w:sz w:val="20"/>
          <w:szCs w:val="20"/>
        </w:rPr>
        <w:t xml:space="preserve"> </w:t>
      </w:r>
      <w:proofErr w:type="spellStart"/>
      <w:r w:rsidRPr="00BE0EDB">
        <w:rPr>
          <w:rStyle w:val="citationjournal"/>
          <w:sz w:val="20"/>
          <w:szCs w:val="20"/>
        </w:rPr>
        <w:t>charantia</w:t>
      </w:r>
      <w:proofErr w:type="spellEnd"/>
      <w:r w:rsidRPr="00BE0EDB">
        <w:rPr>
          <w:rStyle w:val="citationjournal"/>
          <w:sz w:val="20"/>
          <w:szCs w:val="20"/>
        </w:rPr>
        <w:t xml:space="preserve"> L. (bitter melon) fruit extract". </w:t>
      </w:r>
      <w:r w:rsidRPr="00BE0EDB">
        <w:rPr>
          <w:rStyle w:val="citationjournal"/>
          <w:i/>
          <w:iCs/>
          <w:sz w:val="20"/>
          <w:szCs w:val="20"/>
        </w:rPr>
        <w:t>African Journal of Biotechnology</w:t>
      </w:r>
      <w:r w:rsidRPr="00BE0EDB">
        <w:rPr>
          <w:rStyle w:val="citationjournal"/>
          <w:sz w:val="20"/>
          <w:szCs w:val="20"/>
        </w:rPr>
        <w:t xml:space="preserve"> </w:t>
      </w:r>
      <w:r w:rsidRPr="00BE0EDB">
        <w:rPr>
          <w:rStyle w:val="citationjournal"/>
          <w:bCs/>
          <w:sz w:val="20"/>
          <w:szCs w:val="20"/>
        </w:rPr>
        <w:t>6</w:t>
      </w:r>
      <w:r w:rsidRPr="00BE0EDB">
        <w:rPr>
          <w:rStyle w:val="citationjournal"/>
          <w:sz w:val="20"/>
          <w:szCs w:val="20"/>
        </w:rPr>
        <w:t xml:space="preserve"> (3): 273–277</w:t>
      </w:r>
      <w:r w:rsidR="0081372A">
        <w:rPr>
          <w:rStyle w:val="citationjournal"/>
          <w:rFonts w:eastAsiaTheme="minorEastAsia" w:hint="eastAsia"/>
          <w:sz w:val="20"/>
          <w:szCs w:val="20"/>
          <w:lang w:eastAsia="zh-CN"/>
        </w:rPr>
        <w:t>.</w:t>
      </w:r>
    </w:p>
    <w:p w:rsidR="004E4FEB" w:rsidRPr="00BE0EDB" w:rsidRDefault="004E4FEB" w:rsidP="00BE0EDB">
      <w:pPr>
        <w:numPr>
          <w:ilvl w:val="0"/>
          <w:numId w:val="1"/>
        </w:numPr>
        <w:snapToGrid w:val="0"/>
        <w:ind w:left="425" w:hanging="425"/>
        <w:jc w:val="both"/>
        <w:rPr>
          <w:sz w:val="20"/>
        </w:rPr>
        <w:sectPr w:rsidR="004E4FEB" w:rsidRPr="00BE0EDB" w:rsidSect="0081372A">
          <w:type w:val="continuous"/>
          <w:pgSz w:w="12240" w:h="15840" w:code="1"/>
          <w:pgMar w:top="1440" w:right="1440" w:bottom="1440" w:left="1440" w:header="720" w:footer="720" w:gutter="0"/>
          <w:cols w:num="2" w:space="576"/>
          <w:docGrid w:linePitch="360"/>
        </w:sectPr>
      </w:pPr>
    </w:p>
    <w:p w:rsidR="004E4FEB" w:rsidRPr="00BE0EDB" w:rsidRDefault="004E4FEB" w:rsidP="004E4FEB">
      <w:pPr>
        <w:snapToGrid w:val="0"/>
        <w:ind w:left="425" w:hanging="425"/>
        <w:jc w:val="both"/>
        <w:rPr>
          <w:rFonts w:eastAsiaTheme="minorEastAsia"/>
          <w:sz w:val="20"/>
          <w:lang w:eastAsia="zh-CN"/>
        </w:rPr>
      </w:pPr>
    </w:p>
    <w:p w:rsidR="004E4FEB" w:rsidRPr="00BE0EDB" w:rsidRDefault="004E4FEB" w:rsidP="004E4FEB">
      <w:pPr>
        <w:snapToGrid w:val="0"/>
        <w:ind w:left="425" w:hanging="425"/>
        <w:jc w:val="both"/>
        <w:rPr>
          <w:rFonts w:eastAsiaTheme="minorEastAsia"/>
          <w:sz w:val="20"/>
          <w:lang w:eastAsia="zh-CN"/>
        </w:rPr>
      </w:pPr>
    </w:p>
    <w:p w:rsidR="004E4FEB" w:rsidRPr="004E4FEB" w:rsidRDefault="004E4FEB" w:rsidP="004E4FEB">
      <w:pPr>
        <w:snapToGrid w:val="0"/>
        <w:ind w:left="425" w:hanging="425"/>
        <w:jc w:val="both"/>
        <w:rPr>
          <w:rFonts w:eastAsiaTheme="minorEastAsia"/>
          <w:sz w:val="20"/>
          <w:lang w:eastAsia="zh-CN"/>
        </w:rPr>
      </w:pPr>
    </w:p>
    <w:p w:rsidR="0073722A" w:rsidRPr="004E4FEB" w:rsidRDefault="004E4FEB" w:rsidP="004E4FEB">
      <w:pPr>
        <w:snapToGrid w:val="0"/>
        <w:ind w:left="425" w:hanging="425"/>
        <w:jc w:val="both"/>
        <w:rPr>
          <w:sz w:val="20"/>
        </w:rPr>
      </w:pPr>
      <w:r w:rsidRPr="004E4FEB">
        <w:rPr>
          <w:sz w:val="20"/>
        </w:rPr>
        <w:t>4/</w:t>
      </w:r>
      <w:r w:rsidRPr="004E4FEB">
        <w:rPr>
          <w:rFonts w:eastAsiaTheme="minorEastAsia" w:hint="eastAsia"/>
          <w:sz w:val="20"/>
          <w:lang w:eastAsia="zh-CN"/>
        </w:rPr>
        <w:t>6</w:t>
      </w:r>
      <w:r w:rsidRPr="004E4FEB">
        <w:rPr>
          <w:sz w:val="20"/>
        </w:rPr>
        <w:t>/2015</w:t>
      </w:r>
    </w:p>
    <w:sectPr w:rsidR="0073722A" w:rsidRPr="004E4FEB" w:rsidSect="000E775D">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187" w:rsidRDefault="00E45187" w:rsidP="00522A0E">
      <w:r>
        <w:separator/>
      </w:r>
    </w:p>
  </w:endnote>
  <w:endnote w:type="continuationSeparator" w:id="0">
    <w:p w:rsidR="00E45187" w:rsidRDefault="00E45187" w:rsidP="00522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Default="000744EE" w:rsidP="00B3167C">
    <w:pPr>
      <w:pStyle w:val="Footer"/>
      <w:framePr w:wrap="around" w:vAnchor="text" w:hAnchor="margin" w:xAlign="center" w:y="1"/>
      <w:rPr>
        <w:rStyle w:val="PageNumber"/>
      </w:rPr>
    </w:pPr>
    <w:r>
      <w:rPr>
        <w:rStyle w:val="PageNumber"/>
      </w:rPr>
      <w:fldChar w:fldCharType="begin"/>
    </w:r>
    <w:r w:rsidR="004E4FEB">
      <w:rPr>
        <w:rStyle w:val="PageNumber"/>
      </w:rPr>
      <w:instrText xml:space="preserve">PAGE  </w:instrText>
    </w:r>
    <w:r>
      <w:rPr>
        <w:rStyle w:val="PageNumber"/>
      </w:rPr>
      <w:fldChar w:fldCharType="end"/>
    </w:r>
  </w:p>
  <w:p w:rsidR="004E4FEB" w:rsidRDefault="004E4F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Pr="004E4FEB" w:rsidRDefault="000744EE" w:rsidP="004E4FEB">
    <w:pPr>
      <w:jc w:val="center"/>
      <w:rPr>
        <w:sz w:val="20"/>
      </w:rPr>
    </w:pPr>
    <w:r w:rsidRPr="004E4FEB">
      <w:rPr>
        <w:sz w:val="20"/>
      </w:rPr>
      <w:fldChar w:fldCharType="begin"/>
    </w:r>
    <w:r w:rsidR="004E4FEB" w:rsidRPr="004E4FEB">
      <w:rPr>
        <w:sz w:val="20"/>
      </w:rPr>
      <w:instrText xml:space="preserve"> page </w:instrText>
    </w:r>
    <w:r w:rsidRPr="004E4FEB">
      <w:rPr>
        <w:sz w:val="20"/>
      </w:rPr>
      <w:fldChar w:fldCharType="separate"/>
    </w:r>
    <w:r w:rsidR="00E57B7B">
      <w:rPr>
        <w:noProof/>
        <w:sz w:val="20"/>
      </w:rPr>
      <w:t>119</w:t>
    </w:r>
    <w:r w:rsidRPr="004E4FE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Default="000744EE" w:rsidP="00B3167C">
    <w:pPr>
      <w:pStyle w:val="Footer"/>
      <w:framePr w:wrap="around" w:vAnchor="text" w:hAnchor="margin" w:xAlign="center" w:y="1"/>
      <w:rPr>
        <w:rStyle w:val="PageNumber"/>
      </w:rPr>
    </w:pPr>
    <w:r>
      <w:rPr>
        <w:rStyle w:val="PageNumber"/>
      </w:rPr>
      <w:fldChar w:fldCharType="begin"/>
    </w:r>
    <w:r w:rsidR="004E4FEB">
      <w:rPr>
        <w:rStyle w:val="PageNumber"/>
      </w:rPr>
      <w:instrText xml:space="preserve">PAGE  </w:instrText>
    </w:r>
    <w:r>
      <w:rPr>
        <w:rStyle w:val="PageNumber"/>
      </w:rPr>
      <w:fldChar w:fldCharType="end"/>
    </w:r>
  </w:p>
  <w:p w:rsidR="004E4FEB" w:rsidRDefault="004E4FE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Pr="004E4FEB" w:rsidRDefault="000744EE" w:rsidP="004E4FEB">
    <w:pPr>
      <w:jc w:val="center"/>
      <w:rPr>
        <w:sz w:val="20"/>
      </w:rPr>
    </w:pPr>
    <w:r w:rsidRPr="004E4FEB">
      <w:rPr>
        <w:sz w:val="20"/>
      </w:rPr>
      <w:fldChar w:fldCharType="begin"/>
    </w:r>
    <w:r w:rsidR="004E4FEB" w:rsidRPr="004E4FEB">
      <w:rPr>
        <w:sz w:val="20"/>
      </w:rPr>
      <w:instrText xml:space="preserve"> page </w:instrText>
    </w:r>
    <w:r w:rsidRPr="004E4FEB">
      <w:rPr>
        <w:sz w:val="20"/>
      </w:rPr>
      <w:fldChar w:fldCharType="separate"/>
    </w:r>
    <w:r w:rsidR="00E57B7B">
      <w:rPr>
        <w:noProof/>
        <w:sz w:val="20"/>
      </w:rPr>
      <w:t>123</w:t>
    </w:r>
    <w:r w:rsidRPr="004E4FE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6B" w:rsidRDefault="000744EE" w:rsidP="00B3167C">
    <w:pPr>
      <w:pStyle w:val="Footer"/>
      <w:framePr w:wrap="around" w:vAnchor="text" w:hAnchor="margin" w:xAlign="center" w:y="1"/>
      <w:rPr>
        <w:rStyle w:val="PageNumber"/>
      </w:rPr>
    </w:pPr>
    <w:r>
      <w:rPr>
        <w:rStyle w:val="PageNumber"/>
      </w:rPr>
      <w:fldChar w:fldCharType="begin"/>
    </w:r>
    <w:r w:rsidR="00EA3773">
      <w:rPr>
        <w:rStyle w:val="PageNumber"/>
      </w:rPr>
      <w:instrText xml:space="preserve">PAGE  </w:instrText>
    </w:r>
    <w:r>
      <w:rPr>
        <w:rStyle w:val="PageNumber"/>
      </w:rPr>
      <w:fldChar w:fldCharType="end"/>
    </w:r>
  </w:p>
  <w:p w:rsidR="00D0636B" w:rsidRDefault="00E57B7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6B" w:rsidRPr="004E4FEB" w:rsidRDefault="000744EE" w:rsidP="004E4FEB">
    <w:pPr>
      <w:jc w:val="center"/>
      <w:rPr>
        <w:sz w:val="20"/>
      </w:rPr>
    </w:pPr>
    <w:r w:rsidRPr="004E4FEB">
      <w:rPr>
        <w:sz w:val="20"/>
      </w:rPr>
      <w:fldChar w:fldCharType="begin"/>
    </w:r>
    <w:r w:rsidR="004E4FEB" w:rsidRPr="004E4FEB">
      <w:rPr>
        <w:sz w:val="20"/>
      </w:rPr>
      <w:instrText xml:space="preserve"> page </w:instrText>
    </w:r>
    <w:r w:rsidRPr="004E4FEB">
      <w:rPr>
        <w:sz w:val="20"/>
      </w:rPr>
      <w:fldChar w:fldCharType="separate"/>
    </w:r>
    <w:r w:rsidR="004E4FEB">
      <w:rPr>
        <w:noProof/>
        <w:sz w:val="20"/>
      </w:rPr>
      <w:t>1</w:t>
    </w:r>
    <w:r w:rsidRPr="004E4F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187" w:rsidRDefault="00E45187" w:rsidP="00522A0E">
      <w:r>
        <w:separator/>
      </w:r>
    </w:p>
  </w:footnote>
  <w:footnote w:type="continuationSeparator" w:id="0">
    <w:p w:rsidR="00E45187" w:rsidRDefault="00E45187" w:rsidP="00522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Pr="004E4FEB" w:rsidRDefault="004E4FEB" w:rsidP="004E4FEB">
    <w:pPr>
      <w:pBdr>
        <w:bottom w:val="thinThickMediumGap" w:sz="12" w:space="1" w:color="auto"/>
      </w:pBdr>
      <w:tabs>
        <w:tab w:val="left" w:pos="851"/>
        <w:tab w:val="right" w:pos="8364"/>
      </w:tabs>
      <w:adjustRightInd w:val="0"/>
      <w:snapToGrid w:val="0"/>
      <w:jc w:val="both"/>
      <w:rPr>
        <w:sz w:val="20"/>
        <w:szCs w:val="20"/>
      </w:rPr>
    </w:pPr>
    <w:r w:rsidRPr="004E4FEB">
      <w:rPr>
        <w:rFonts w:hint="eastAsia"/>
        <w:iCs/>
        <w:color w:val="000000"/>
        <w:sz w:val="20"/>
        <w:szCs w:val="20"/>
      </w:rPr>
      <w:tab/>
    </w:r>
    <w:r w:rsidRPr="004E4FEB">
      <w:rPr>
        <w:sz w:val="20"/>
        <w:szCs w:val="20"/>
      </w:rPr>
      <w:t>Nature and Science 201</w:t>
    </w:r>
    <w:r w:rsidRPr="004E4FEB">
      <w:rPr>
        <w:rFonts w:hint="eastAsia"/>
        <w:sz w:val="20"/>
        <w:szCs w:val="20"/>
      </w:rPr>
      <w:t>5</w:t>
    </w:r>
    <w:proofErr w:type="gramStart"/>
    <w:r w:rsidRPr="004E4FEB">
      <w:rPr>
        <w:sz w:val="20"/>
        <w:szCs w:val="20"/>
      </w:rPr>
      <w:t>;1</w:t>
    </w:r>
    <w:r w:rsidRPr="004E4FEB">
      <w:rPr>
        <w:rFonts w:hint="eastAsia"/>
        <w:sz w:val="20"/>
        <w:szCs w:val="20"/>
      </w:rPr>
      <w:t>3</w:t>
    </w:r>
    <w:proofErr w:type="gramEnd"/>
    <w:r w:rsidRPr="004E4FEB">
      <w:rPr>
        <w:sz w:val="20"/>
        <w:szCs w:val="20"/>
      </w:rPr>
      <w:t>(</w:t>
    </w:r>
    <w:r w:rsidRPr="004E4FEB">
      <w:rPr>
        <w:rFonts w:hint="eastAsia"/>
        <w:sz w:val="20"/>
        <w:szCs w:val="20"/>
      </w:rPr>
      <w:t>4)</w:t>
    </w:r>
    <w:r w:rsidRPr="004E4FEB">
      <w:rPr>
        <w:color w:val="000000"/>
        <w:sz w:val="20"/>
        <w:szCs w:val="20"/>
      </w:rPr>
      <w:t xml:space="preserve"> </w:t>
    </w:r>
    <w:r w:rsidRPr="004E4FEB">
      <w:rPr>
        <w:rFonts w:hint="eastAsia"/>
        <w:color w:val="000000"/>
        <w:sz w:val="20"/>
        <w:szCs w:val="20"/>
      </w:rPr>
      <w:tab/>
    </w:r>
    <w:r w:rsidRPr="004E4FEB">
      <w:rPr>
        <w:color w:val="000000"/>
        <w:sz w:val="20"/>
        <w:szCs w:val="20"/>
      </w:rPr>
      <w:t xml:space="preserve"> </w:t>
    </w:r>
    <w:hyperlink r:id="rId1" w:history="1">
      <w:r w:rsidRPr="004E4FEB">
        <w:rPr>
          <w:rStyle w:val="Hyperlink"/>
          <w:sz w:val="20"/>
          <w:szCs w:val="20"/>
        </w:rPr>
        <w:t>http://www.sciencepub.net/nature</w:t>
      </w:r>
    </w:hyperlink>
  </w:p>
  <w:p w:rsidR="004E4FEB" w:rsidRPr="004E4FEB" w:rsidRDefault="004E4FEB" w:rsidP="004E4FE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Pr="004E4FEB" w:rsidRDefault="004E4FEB" w:rsidP="004E4FEB">
    <w:pPr>
      <w:pBdr>
        <w:bottom w:val="thinThickMediumGap" w:sz="12" w:space="1" w:color="auto"/>
      </w:pBdr>
      <w:tabs>
        <w:tab w:val="left" w:pos="851"/>
        <w:tab w:val="right" w:pos="8364"/>
      </w:tabs>
      <w:adjustRightInd w:val="0"/>
      <w:snapToGrid w:val="0"/>
      <w:jc w:val="both"/>
      <w:rPr>
        <w:sz w:val="20"/>
        <w:szCs w:val="20"/>
      </w:rPr>
    </w:pPr>
    <w:r w:rsidRPr="004E4FEB">
      <w:rPr>
        <w:rFonts w:hint="eastAsia"/>
        <w:iCs/>
        <w:color w:val="000000"/>
        <w:sz w:val="20"/>
        <w:szCs w:val="20"/>
      </w:rPr>
      <w:tab/>
    </w:r>
    <w:r w:rsidRPr="004E4FEB">
      <w:rPr>
        <w:sz w:val="20"/>
        <w:szCs w:val="20"/>
      </w:rPr>
      <w:t>Nature and Science 201</w:t>
    </w:r>
    <w:r w:rsidRPr="004E4FEB">
      <w:rPr>
        <w:rFonts w:hint="eastAsia"/>
        <w:sz w:val="20"/>
        <w:szCs w:val="20"/>
      </w:rPr>
      <w:t>5</w:t>
    </w:r>
    <w:proofErr w:type="gramStart"/>
    <w:r w:rsidRPr="004E4FEB">
      <w:rPr>
        <w:sz w:val="20"/>
        <w:szCs w:val="20"/>
      </w:rPr>
      <w:t>;1</w:t>
    </w:r>
    <w:r w:rsidRPr="004E4FEB">
      <w:rPr>
        <w:rFonts w:hint="eastAsia"/>
        <w:sz w:val="20"/>
        <w:szCs w:val="20"/>
      </w:rPr>
      <w:t>3</w:t>
    </w:r>
    <w:proofErr w:type="gramEnd"/>
    <w:r w:rsidRPr="004E4FEB">
      <w:rPr>
        <w:sz w:val="20"/>
        <w:szCs w:val="20"/>
      </w:rPr>
      <w:t>(</w:t>
    </w:r>
    <w:r w:rsidRPr="004E4FEB">
      <w:rPr>
        <w:rFonts w:hint="eastAsia"/>
        <w:sz w:val="20"/>
        <w:szCs w:val="20"/>
      </w:rPr>
      <w:t>4)</w:t>
    </w:r>
    <w:r w:rsidRPr="004E4FEB">
      <w:rPr>
        <w:color w:val="000000"/>
        <w:sz w:val="20"/>
        <w:szCs w:val="20"/>
      </w:rPr>
      <w:t xml:space="preserve"> </w:t>
    </w:r>
    <w:r w:rsidRPr="004E4FEB">
      <w:rPr>
        <w:rFonts w:hint="eastAsia"/>
        <w:color w:val="000000"/>
        <w:sz w:val="20"/>
        <w:szCs w:val="20"/>
      </w:rPr>
      <w:tab/>
    </w:r>
    <w:r w:rsidRPr="004E4FEB">
      <w:rPr>
        <w:color w:val="000000"/>
        <w:sz w:val="20"/>
        <w:szCs w:val="20"/>
      </w:rPr>
      <w:t xml:space="preserve"> </w:t>
    </w:r>
    <w:hyperlink r:id="rId1" w:history="1">
      <w:r w:rsidRPr="004E4FEB">
        <w:rPr>
          <w:rStyle w:val="Hyperlink"/>
          <w:sz w:val="20"/>
          <w:szCs w:val="20"/>
        </w:rPr>
        <w:t>http://www.sciencepub.net/nature</w:t>
      </w:r>
    </w:hyperlink>
  </w:p>
  <w:p w:rsidR="004E4FEB" w:rsidRPr="004E4FEB" w:rsidRDefault="004E4FEB" w:rsidP="004E4FEB">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B" w:rsidRPr="004E4FEB" w:rsidRDefault="004E4FEB" w:rsidP="004E4FEB">
    <w:pPr>
      <w:pBdr>
        <w:bottom w:val="thinThickMediumGap" w:sz="12" w:space="1" w:color="auto"/>
      </w:pBdr>
      <w:tabs>
        <w:tab w:val="left" w:pos="851"/>
        <w:tab w:val="right" w:pos="8364"/>
      </w:tabs>
      <w:adjustRightInd w:val="0"/>
      <w:snapToGrid w:val="0"/>
      <w:jc w:val="both"/>
      <w:rPr>
        <w:sz w:val="20"/>
        <w:szCs w:val="20"/>
      </w:rPr>
    </w:pPr>
    <w:r w:rsidRPr="004E4FEB">
      <w:rPr>
        <w:rFonts w:hint="eastAsia"/>
        <w:iCs/>
        <w:color w:val="000000"/>
        <w:sz w:val="20"/>
        <w:szCs w:val="20"/>
      </w:rPr>
      <w:tab/>
    </w:r>
    <w:r w:rsidRPr="004E4FEB">
      <w:rPr>
        <w:sz w:val="20"/>
        <w:szCs w:val="20"/>
      </w:rPr>
      <w:t>Nature and Science 201</w:t>
    </w:r>
    <w:r w:rsidRPr="004E4FEB">
      <w:rPr>
        <w:rFonts w:hint="eastAsia"/>
        <w:sz w:val="20"/>
        <w:szCs w:val="20"/>
      </w:rPr>
      <w:t>5</w:t>
    </w:r>
    <w:proofErr w:type="gramStart"/>
    <w:r w:rsidRPr="004E4FEB">
      <w:rPr>
        <w:sz w:val="20"/>
        <w:szCs w:val="20"/>
      </w:rPr>
      <w:t>;1</w:t>
    </w:r>
    <w:r w:rsidRPr="004E4FEB">
      <w:rPr>
        <w:rFonts w:hint="eastAsia"/>
        <w:sz w:val="20"/>
        <w:szCs w:val="20"/>
      </w:rPr>
      <w:t>3</w:t>
    </w:r>
    <w:proofErr w:type="gramEnd"/>
    <w:r w:rsidRPr="004E4FEB">
      <w:rPr>
        <w:sz w:val="20"/>
        <w:szCs w:val="20"/>
      </w:rPr>
      <w:t>(</w:t>
    </w:r>
    <w:r w:rsidRPr="004E4FEB">
      <w:rPr>
        <w:rFonts w:hint="eastAsia"/>
        <w:sz w:val="20"/>
        <w:szCs w:val="20"/>
      </w:rPr>
      <w:t>4)</w:t>
    </w:r>
    <w:r w:rsidRPr="004E4FEB">
      <w:rPr>
        <w:color w:val="000000"/>
        <w:sz w:val="20"/>
        <w:szCs w:val="20"/>
      </w:rPr>
      <w:t xml:space="preserve"> </w:t>
    </w:r>
    <w:r w:rsidRPr="004E4FEB">
      <w:rPr>
        <w:rFonts w:hint="eastAsia"/>
        <w:color w:val="000000"/>
        <w:sz w:val="20"/>
        <w:szCs w:val="20"/>
      </w:rPr>
      <w:tab/>
    </w:r>
    <w:r w:rsidRPr="004E4FEB">
      <w:rPr>
        <w:color w:val="000000"/>
        <w:sz w:val="20"/>
        <w:szCs w:val="20"/>
      </w:rPr>
      <w:t xml:space="preserve"> </w:t>
    </w:r>
    <w:hyperlink r:id="rId1" w:history="1">
      <w:r w:rsidRPr="004E4FEB">
        <w:rPr>
          <w:rStyle w:val="Hyperlink"/>
          <w:sz w:val="20"/>
          <w:szCs w:val="20"/>
        </w:rPr>
        <w:t>http://www.sciencepub.net/nature</w:t>
      </w:r>
    </w:hyperlink>
  </w:p>
  <w:p w:rsidR="004E4FEB" w:rsidRPr="004E4FEB" w:rsidRDefault="004E4FEB" w:rsidP="004E4FE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EA3773"/>
    <w:rsid w:val="00037098"/>
    <w:rsid w:val="000744EE"/>
    <w:rsid w:val="000E775D"/>
    <w:rsid w:val="000F3ACD"/>
    <w:rsid w:val="002A79A0"/>
    <w:rsid w:val="002E6B80"/>
    <w:rsid w:val="004E4FEB"/>
    <w:rsid w:val="00522A0E"/>
    <w:rsid w:val="005B1A20"/>
    <w:rsid w:val="00673A0A"/>
    <w:rsid w:val="00731DE9"/>
    <w:rsid w:val="0073722A"/>
    <w:rsid w:val="007817B4"/>
    <w:rsid w:val="0081372A"/>
    <w:rsid w:val="00955CE6"/>
    <w:rsid w:val="00995FB3"/>
    <w:rsid w:val="00AC7E75"/>
    <w:rsid w:val="00BE0EDB"/>
    <w:rsid w:val="00BE6205"/>
    <w:rsid w:val="00CD5C8B"/>
    <w:rsid w:val="00E45187"/>
    <w:rsid w:val="00E57B7B"/>
    <w:rsid w:val="00EA3773"/>
    <w:rsid w:val="00EC4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73"/>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EA37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A3773"/>
  </w:style>
  <w:style w:type="character" w:styleId="Hyperlink">
    <w:name w:val="Hyperlink"/>
    <w:basedOn w:val="DefaultParagraphFont"/>
    <w:rsid w:val="00EA3773"/>
    <w:rPr>
      <w:color w:val="0000FF"/>
      <w:u w:val="single"/>
    </w:rPr>
  </w:style>
  <w:style w:type="paragraph" w:styleId="Header">
    <w:name w:val="header"/>
    <w:basedOn w:val="Normal"/>
    <w:next w:val="Heading1"/>
    <w:link w:val="HeaderChar"/>
    <w:rsid w:val="00EA3773"/>
    <w:pPr>
      <w:tabs>
        <w:tab w:val="center" w:pos="4320"/>
        <w:tab w:val="right" w:pos="8640"/>
      </w:tabs>
    </w:pPr>
  </w:style>
  <w:style w:type="character" w:customStyle="1" w:styleId="HeaderChar">
    <w:name w:val="Header Char"/>
    <w:basedOn w:val="DefaultParagraphFont"/>
    <w:link w:val="Header"/>
    <w:rsid w:val="00EA3773"/>
    <w:rPr>
      <w:rFonts w:ascii="Times New Roman" w:eastAsia="SimSun" w:hAnsi="Times New Roman" w:cs="Times New Roman"/>
      <w:sz w:val="24"/>
      <w:szCs w:val="24"/>
      <w:lang w:eastAsia="ar-SA"/>
    </w:rPr>
  </w:style>
  <w:style w:type="paragraph" w:styleId="Footer">
    <w:name w:val="footer"/>
    <w:basedOn w:val="Normal"/>
    <w:link w:val="FooterChar"/>
    <w:rsid w:val="00EA3773"/>
    <w:pPr>
      <w:tabs>
        <w:tab w:val="center" w:pos="4320"/>
        <w:tab w:val="right" w:pos="8640"/>
      </w:tabs>
    </w:pPr>
    <w:rPr>
      <w:sz w:val="32"/>
    </w:rPr>
  </w:style>
  <w:style w:type="character" w:customStyle="1" w:styleId="FooterChar">
    <w:name w:val="Footer Char"/>
    <w:basedOn w:val="DefaultParagraphFont"/>
    <w:link w:val="Footer"/>
    <w:rsid w:val="00EA3773"/>
    <w:rPr>
      <w:rFonts w:ascii="Times New Roman" w:eastAsia="SimSun" w:hAnsi="Times New Roman" w:cs="Times New Roman"/>
      <w:sz w:val="32"/>
      <w:szCs w:val="24"/>
      <w:lang w:eastAsia="ar-SA"/>
    </w:rPr>
  </w:style>
  <w:style w:type="character" w:customStyle="1" w:styleId="reference-text">
    <w:name w:val="reference-text"/>
    <w:basedOn w:val="DefaultParagraphFont"/>
    <w:rsid w:val="00EA3773"/>
  </w:style>
  <w:style w:type="character" w:customStyle="1" w:styleId="citationjournal">
    <w:name w:val="citation journal"/>
    <w:basedOn w:val="DefaultParagraphFont"/>
    <w:rsid w:val="00EA3773"/>
  </w:style>
  <w:style w:type="character" w:customStyle="1" w:styleId="z3988">
    <w:name w:val="z3988"/>
    <w:basedOn w:val="DefaultParagraphFont"/>
    <w:rsid w:val="00EA3773"/>
  </w:style>
  <w:style w:type="character" w:customStyle="1" w:styleId="plainlinksnoprint">
    <w:name w:val="plainlinks noprint"/>
    <w:basedOn w:val="DefaultParagraphFont"/>
    <w:rsid w:val="00EA3773"/>
  </w:style>
  <w:style w:type="character" w:customStyle="1" w:styleId="printonly">
    <w:name w:val="printonly"/>
    <w:basedOn w:val="DefaultParagraphFont"/>
    <w:rsid w:val="00EA3773"/>
  </w:style>
  <w:style w:type="character" w:customStyle="1" w:styleId="citationweb">
    <w:name w:val="citation web"/>
    <w:basedOn w:val="DefaultParagraphFont"/>
    <w:rsid w:val="00EA3773"/>
  </w:style>
  <w:style w:type="character" w:customStyle="1" w:styleId="Heading1Char">
    <w:name w:val="Heading 1 Char"/>
    <w:basedOn w:val="DefaultParagraphFont"/>
    <w:link w:val="Heading1"/>
    <w:uiPriority w:val="9"/>
    <w:rsid w:val="00EA3773"/>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037098"/>
    <w:rPr>
      <w:rFonts w:ascii="Tahoma" w:hAnsi="Tahoma" w:cs="Tahoma"/>
      <w:sz w:val="16"/>
      <w:szCs w:val="16"/>
    </w:rPr>
  </w:style>
  <w:style w:type="character" w:customStyle="1" w:styleId="BalloonTextChar">
    <w:name w:val="Balloon Text Char"/>
    <w:basedOn w:val="DefaultParagraphFont"/>
    <w:link w:val="BalloonText"/>
    <w:uiPriority w:val="99"/>
    <w:semiHidden/>
    <w:rsid w:val="00037098"/>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frica" TargetMode="External"/><Relationship Id="rId18" Type="http://schemas.openxmlformats.org/officeDocument/2006/relationships/hyperlink" Target="http://en.wikipedia.org/wiki/Charantin" TargetMode="External"/><Relationship Id="rId26" Type="http://schemas.openxmlformats.org/officeDocument/2006/relationships/hyperlink" Target="http://en.wikipedia.org/wiki/Momordenol" TargetMode="External"/><Relationship Id="rId39" Type="http://schemas.openxmlformats.org/officeDocument/2006/relationships/hyperlink" Target="http://en.wikipedia.org/wiki/PubMed_Identifier" TargetMode="External"/><Relationship Id="rId21" Type="http://schemas.openxmlformats.org/officeDocument/2006/relationships/hyperlink" Target="http://en.wikipedia.org/wiki/Momordicoside" TargetMode="External"/><Relationship Id="rId34" Type="http://schemas.openxmlformats.org/officeDocument/2006/relationships/hyperlink" Target="http://en.wikipedia.org/wiki/PubMed_Identifier" TargetMode="External"/><Relationship Id="rId42" Type="http://schemas.openxmlformats.org/officeDocument/2006/relationships/hyperlink" Target="http://pubs.acs.org/doi/pdf/10.1021/np040218p" TargetMode="External"/><Relationship Id="rId47" Type="http://schemas.openxmlformats.org/officeDocument/2006/relationships/hyperlink" Target="http://en.wikipedia.org/w/index.php?title=Beslenme_Deste%C4%9Fi&amp;action=edit&amp;redlink=1" TargetMode="External"/><Relationship Id="rId50" Type="http://schemas.openxmlformats.org/officeDocument/2006/relationships/hyperlink" Target="http://nar.oxfordjournals.org/cgi/reprint/20/17/4662.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wikipedia.org/wiki/Momordin_(saponin)" TargetMode="External"/><Relationship Id="rId25" Type="http://schemas.openxmlformats.org/officeDocument/2006/relationships/hyperlink" Target="http://en.wikipedia.org/wiki/Momordicilin" TargetMode="External"/><Relationship Id="rId33" Type="http://schemas.openxmlformats.org/officeDocument/2006/relationships/hyperlink" Target="http://en.wikipedia.org/wiki/Digital_object_identifier" TargetMode="External"/><Relationship Id="rId38" Type="http://schemas.openxmlformats.org/officeDocument/2006/relationships/hyperlink" Target="http://en.wikipedia.org/wiki/Digital_object_identifier" TargetMode="External"/><Relationship Id="rId46" Type="http://schemas.openxmlformats.org/officeDocument/2006/relationships/hyperlink" Target="file:///C:\Users\Administrator\Downloads\Kudret%20Nar&#305;%20Faydalar&#305;%22" TargetMode="External"/><Relationship Id="rId2" Type="http://schemas.openxmlformats.org/officeDocument/2006/relationships/numbering" Target="numbering.xml"/><Relationship Id="rId16" Type="http://schemas.openxmlformats.org/officeDocument/2006/relationships/hyperlink" Target="http://en.wikipedia.org/w/index.php?title=Momordicin_II&amp;action=edit&amp;redlink=1" TargetMode="External"/><Relationship Id="rId20" Type="http://schemas.openxmlformats.org/officeDocument/2006/relationships/hyperlink" Target="http://en.wikipedia.org/wiki/Goyaglycoside" TargetMode="External"/><Relationship Id="rId29" Type="http://schemas.openxmlformats.org/officeDocument/2006/relationships/footer" Target="footer3.xml"/><Relationship Id="rId41" Type="http://schemas.openxmlformats.org/officeDocument/2006/relationships/hyperlink" Target="http://en.wikipedia.org/w/index.php?title=Template:Cite_pmid/15182917&amp;action=edit&amp;editintro=Template:Cite_pmid/editintro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wikipedia.org/wiki/Momordicinin" TargetMode="External"/><Relationship Id="rId32" Type="http://schemas.openxmlformats.org/officeDocument/2006/relationships/hyperlink" Target="http://www.ejbio.com/pps/2010/43.pdf" TargetMode="External"/><Relationship Id="rId37" Type="http://schemas.openxmlformats.org/officeDocument/2006/relationships/hyperlink" Target="http://en.wikipedia.org/wiki/Journal_of_Natural_Products" TargetMode="External"/><Relationship Id="rId40" Type="http://schemas.openxmlformats.org/officeDocument/2006/relationships/hyperlink" Target="http://www.ncbi.nlm.nih.gov/pubmed/15182917" TargetMode="External"/><Relationship Id="rId45" Type="http://schemas.openxmlformats.org/officeDocument/2006/relationships/hyperlink" Target="http://pubs.acs.org/doi/pdf/10.1021/np040218p"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en.wikipedia.org/wiki/Momordicin_I" TargetMode="External"/><Relationship Id="rId23" Type="http://schemas.openxmlformats.org/officeDocument/2006/relationships/hyperlink" Target="http://en.wikipedia.org/wiki/Momordicin-28" TargetMode="External"/><Relationship Id="rId28" Type="http://schemas.openxmlformats.org/officeDocument/2006/relationships/header" Target="header2.xml"/><Relationship Id="rId36" Type="http://schemas.openxmlformats.org/officeDocument/2006/relationships/hyperlink" Target="http://en.wikipedia.org/w/index.php?title=Template:Cite_doi/10.1016.2Fj.jep.2004.08.009&amp;action=edit&amp;editintro=Template:Cite_doi/editintro2" TargetMode="External"/><Relationship Id="rId49" Type="http://schemas.openxmlformats.org/officeDocument/2006/relationships/hyperlink" Target="http://nar.oxfordjournals.org/cgi/reprint/20/17/4662.pdf" TargetMode="External"/><Relationship Id="rId10" Type="http://schemas.openxmlformats.org/officeDocument/2006/relationships/header" Target="header1.xml"/><Relationship Id="rId19" Type="http://schemas.openxmlformats.org/officeDocument/2006/relationships/hyperlink" Target="http://en.wikipedia.org/wiki/Charantoside" TargetMode="External"/><Relationship Id="rId31" Type="http://schemas.openxmlformats.org/officeDocument/2006/relationships/hyperlink" Target="mailto:oiuseunsol@yahoo.co.uk" TargetMode="External"/><Relationship Id="rId44" Type="http://schemas.openxmlformats.org/officeDocument/2006/relationships/hyperlink" Target="http://dx.doi.org/10.1021%2Fnp040218p"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en.wikipedia.org/wiki/Herbal_medicine" TargetMode="External"/><Relationship Id="rId22" Type="http://schemas.openxmlformats.org/officeDocument/2006/relationships/hyperlink" Target="http://en.wikipedia.org/wiki/Terpenoid" TargetMode="External"/><Relationship Id="rId27" Type="http://schemas.openxmlformats.org/officeDocument/2006/relationships/hyperlink" Target="http://en.wikipedia.org/wiki/Momordol" TargetMode="External"/><Relationship Id="rId30" Type="http://schemas.openxmlformats.org/officeDocument/2006/relationships/footer" Target="footer4.xml"/><Relationship Id="rId35" Type="http://schemas.openxmlformats.org/officeDocument/2006/relationships/hyperlink" Target="http://www.ncbi.nlm.nih.gov/pubmed/15588650" TargetMode="External"/><Relationship Id="rId43" Type="http://schemas.openxmlformats.org/officeDocument/2006/relationships/hyperlink" Target="http://en.wikipedia.org/wiki/Digital_object_identifier" TargetMode="External"/><Relationship Id="rId48" Type="http://schemas.openxmlformats.org/officeDocument/2006/relationships/hyperlink" Target="http://en.wikipedia.org/wiki/Bitter_melon" TargetMode="External"/><Relationship Id="rId8" Type="http://schemas.openxmlformats.org/officeDocument/2006/relationships/hyperlink" Target="mailto:oiuseunsol@yahoo.co.uk" TargetMode="External"/><Relationship Id="rId51" Type="http://schemas.openxmlformats.org/officeDocument/2006/relationships/header" Target="header3.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3F25F-AF43-444A-9BA8-CC514C83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3217</Words>
  <Characters>18339</Characters>
  <Application>Microsoft Office Word</Application>
  <DocSecurity>0</DocSecurity>
  <Lines>152</Lines>
  <Paragraphs>43</Paragraphs>
  <ScaleCrop>false</ScaleCrop>
  <Company>微软中国</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2015-04-08T02:44:00Z</cp:lastPrinted>
  <dcterms:created xsi:type="dcterms:W3CDTF">2015-04-08T07:53:00Z</dcterms:created>
  <dcterms:modified xsi:type="dcterms:W3CDTF">2015-04-08T02:44:00Z</dcterms:modified>
</cp:coreProperties>
</file>