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DD" w:rsidRPr="00884FF1" w:rsidRDefault="00D772DD" w:rsidP="00884FF1">
      <w:pPr>
        <w:bidi w:val="0"/>
        <w:snapToGrid w:val="0"/>
        <w:jc w:val="center"/>
        <w:rPr>
          <w:b/>
          <w:bCs/>
          <w:sz w:val="20"/>
          <w:szCs w:val="20"/>
          <w:lang w:bidi="ar-EG"/>
        </w:rPr>
      </w:pPr>
      <w:bookmarkStart w:id="0" w:name="_GoBack"/>
      <w:bookmarkEnd w:id="0"/>
      <w:r w:rsidRPr="00884FF1">
        <w:rPr>
          <w:b/>
          <w:bCs/>
          <w:sz w:val="20"/>
          <w:szCs w:val="20"/>
          <w:lang w:bidi="ar-EG"/>
        </w:rPr>
        <w:t>Peripartum Acute Kidney Injury</w:t>
      </w:r>
    </w:p>
    <w:p w:rsidR="00D772DD" w:rsidRPr="00884FF1" w:rsidRDefault="00D772DD" w:rsidP="00884FF1">
      <w:pPr>
        <w:bidi w:val="0"/>
        <w:snapToGrid w:val="0"/>
        <w:jc w:val="center"/>
        <w:rPr>
          <w:b/>
          <w:bCs/>
          <w:sz w:val="20"/>
          <w:szCs w:val="20"/>
          <w:lang w:bidi="ar-EG"/>
        </w:rPr>
      </w:pPr>
    </w:p>
    <w:p w:rsidR="0024720E" w:rsidRPr="00884FF1" w:rsidRDefault="00D772DD" w:rsidP="00884FF1">
      <w:pPr>
        <w:bidi w:val="0"/>
        <w:snapToGrid w:val="0"/>
        <w:jc w:val="center"/>
        <w:rPr>
          <w:sz w:val="20"/>
          <w:szCs w:val="20"/>
          <w:lang w:bidi="ar-EG"/>
        </w:rPr>
      </w:pPr>
      <w:r w:rsidRPr="00884FF1">
        <w:rPr>
          <w:sz w:val="20"/>
          <w:szCs w:val="20"/>
          <w:lang w:bidi="ar-EG"/>
        </w:rPr>
        <w:t>Said Sayed Ahmed Khamis</w:t>
      </w:r>
      <w:r w:rsidR="00867E68" w:rsidRPr="00884FF1">
        <w:rPr>
          <w:sz w:val="20"/>
          <w:szCs w:val="20"/>
          <w:vertAlign w:val="superscript"/>
          <w:lang w:bidi="ar-EG"/>
        </w:rPr>
        <w:t>1</w:t>
      </w:r>
      <w:r w:rsidRPr="00884FF1">
        <w:rPr>
          <w:sz w:val="20"/>
          <w:szCs w:val="20"/>
          <w:lang w:bidi="ar-EG"/>
        </w:rPr>
        <w:t xml:space="preserve">, Mahmoud </w:t>
      </w:r>
      <w:r w:rsidR="00F707FB" w:rsidRPr="00884FF1">
        <w:rPr>
          <w:sz w:val="20"/>
          <w:szCs w:val="20"/>
          <w:lang w:bidi="ar-EG"/>
        </w:rPr>
        <w:t>Mohammed Emara</w:t>
      </w:r>
      <w:r w:rsidR="00867E68" w:rsidRPr="00884FF1">
        <w:rPr>
          <w:sz w:val="20"/>
          <w:szCs w:val="20"/>
          <w:vertAlign w:val="superscript"/>
          <w:lang w:bidi="ar-EG"/>
        </w:rPr>
        <w:t>1</w:t>
      </w:r>
      <w:r w:rsidR="00F707FB" w:rsidRPr="00884FF1">
        <w:rPr>
          <w:sz w:val="20"/>
          <w:szCs w:val="20"/>
          <w:lang w:bidi="ar-EG"/>
        </w:rPr>
        <w:t>, Mohammed Abdel-Ghani Emara</w:t>
      </w:r>
      <w:r w:rsidR="00BF4721" w:rsidRPr="00884FF1">
        <w:rPr>
          <w:sz w:val="20"/>
          <w:szCs w:val="20"/>
          <w:vertAlign w:val="superscript"/>
          <w:lang w:bidi="ar-EG"/>
        </w:rPr>
        <w:t>2</w:t>
      </w:r>
      <w:r w:rsidR="00F707FB" w:rsidRPr="00884FF1">
        <w:rPr>
          <w:sz w:val="20"/>
          <w:szCs w:val="20"/>
          <w:lang w:bidi="ar-EG"/>
        </w:rPr>
        <w:t xml:space="preserve"> and </w:t>
      </w:r>
      <w:r w:rsidR="00377A05" w:rsidRPr="00884FF1">
        <w:rPr>
          <w:sz w:val="20"/>
          <w:szCs w:val="20"/>
          <w:lang w:bidi="ar-EG"/>
        </w:rPr>
        <w:t>Mona Mohamed El-Yamany El-Naggar</w:t>
      </w:r>
      <w:r w:rsidR="00BF4721" w:rsidRPr="00884FF1">
        <w:rPr>
          <w:sz w:val="20"/>
          <w:szCs w:val="20"/>
          <w:vertAlign w:val="superscript"/>
          <w:lang w:bidi="ar-EG"/>
        </w:rPr>
        <w:t>1</w:t>
      </w:r>
    </w:p>
    <w:p w:rsidR="0024720E" w:rsidRPr="00884FF1" w:rsidRDefault="0024720E" w:rsidP="00884FF1">
      <w:pPr>
        <w:bidi w:val="0"/>
        <w:snapToGrid w:val="0"/>
        <w:jc w:val="center"/>
        <w:rPr>
          <w:sz w:val="20"/>
          <w:szCs w:val="20"/>
          <w:lang w:bidi="ar-EG"/>
        </w:rPr>
      </w:pPr>
    </w:p>
    <w:p w:rsidR="0024720E" w:rsidRPr="00884FF1" w:rsidRDefault="00867E68" w:rsidP="00884FF1">
      <w:pPr>
        <w:bidi w:val="0"/>
        <w:snapToGrid w:val="0"/>
        <w:jc w:val="center"/>
        <w:rPr>
          <w:sz w:val="20"/>
          <w:szCs w:val="20"/>
          <w:lang w:bidi="ar-EG"/>
        </w:rPr>
      </w:pPr>
      <w:r w:rsidRPr="00884FF1">
        <w:rPr>
          <w:b/>
          <w:bCs/>
          <w:sz w:val="20"/>
          <w:szCs w:val="20"/>
          <w:vertAlign w:val="superscript"/>
          <w:lang w:bidi="ar-EG"/>
        </w:rPr>
        <w:t>1</w:t>
      </w:r>
      <w:r w:rsidR="0024720E" w:rsidRPr="00884FF1">
        <w:rPr>
          <w:sz w:val="20"/>
          <w:szCs w:val="20"/>
          <w:lang w:bidi="ar-EG"/>
        </w:rPr>
        <w:t xml:space="preserve">Internal Medicine Dep-Faculty of </w:t>
      </w:r>
      <w:r w:rsidRPr="00884FF1">
        <w:rPr>
          <w:sz w:val="20"/>
          <w:szCs w:val="20"/>
          <w:lang w:bidi="ar-EG"/>
        </w:rPr>
        <w:t>M</w:t>
      </w:r>
      <w:r w:rsidR="0024720E" w:rsidRPr="00884FF1">
        <w:rPr>
          <w:sz w:val="20"/>
          <w:szCs w:val="20"/>
          <w:lang w:bidi="ar-EG"/>
        </w:rPr>
        <w:t>edicine-Menoufia University</w:t>
      </w:r>
      <w:r w:rsidR="0024720E" w:rsidRPr="00884FF1">
        <w:rPr>
          <w:b/>
          <w:bCs/>
          <w:sz w:val="20"/>
          <w:szCs w:val="20"/>
          <w:lang w:bidi="ar-EG"/>
        </w:rPr>
        <w:t>-</w:t>
      </w:r>
      <w:r w:rsidR="0024720E" w:rsidRPr="00884FF1">
        <w:rPr>
          <w:sz w:val="20"/>
          <w:szCs w:val="20"/>
          <w:lang w:bidi="ar-EG"/>
        </w:rPr>
        <w:t>Egypt</w:t>
      </w:r>
    </w:p>
    <w:p w:rsidR="004C7FB1" w:rsidRPr="00884FF1" w:rsidRDefault="00867E68" w:rsidP="00884FF1">
      <w:pPr>
        <w:bidi w:val="0"/>
        <w:snapToGrid w:val="0"/>
        <w:jc w:val="center"/>
        <w:rPr>
          <w:sz w:val="20"/>
          <w:szCs w:val="20"/>
          <w:lang w:bidi="ar-EG"/>
        </w:rPr>
      </w:pPr>
      <w:r w:rsidRPr="00884FF1">
        <w:rPr>
          <w:sz w:val="20"/>
          <w:szCs w:val="20"/>
          <w:vertAlign w:val="superscript"/>
          <w:lang w:bidi="ar-EG"/>
        </w:rPr>
        <w:t>2</w:t>
      </w:r>
      <w:r w:rsidR="004C7FB1" w:rsidRPr="00884FF1">
        <w:rPr>
          <w:sz w:val="20"/>
          <w:szCs w:val="20"/>
          <w:lang w:bidi="ar-EG"/>
        </w:rPr>
        <w:t xml:space="preserve">Obstetric and </w:t>
      </w:r>
      <w:r w:rsidRPr="00884FF1">
        <w:rPr>
          <w:sz w:val="20"/>
          <w:szCs w:val="20"/>
          <w:lang w:bidi="ar-EG"/>
        </w:rPr>
        <w:t>G</w:t>
      </w:r>
      <w:r w:rsidR="004C7FB1" w:rsidRPr="00884FF1">
        <w:rPr>
          <w:sz w:val="20"/>
          <w:szCs w:val="20"/>
          <w:lang w:bidi="ar-EG"/>
        </w:rPr>
        <w:t xml:space="preserve">ynecology Dep- Faculty of </w:t>
      </w:r>
      <w:r w:rsidRPr="00884FF1">
        <w:rPr>
          <w:sz w:val="20"/>
          <w:szCs w:val="20"/>
          <w:lang w:bidi="ar-EG"/>
        </w:rPr>
        <w:t xml:space="preserve">Medicine </w:t>
      </w:r>
      <w:r w:rsidR="004C7FB1" w:rsidRPr="00884FF1">
        <w:rPr>
          <w:sz w:val="20"/>
          <w:szCs w:val="20"/>
          <w:lang w:bidi="ar-EG"/>
        </w:rPr>
        <w:t>-Menoufia University</w:t>
      </w:r>
      <w:r w:rsidR="004C7FB1" w:rsidRPr="00884FF1">
        <w:rPr>
          <w:b/>
          <w:bCs/>
          <w:sz w:val="20"/>
          <w:szCs w:val="20"/>
          <w:lang w:bidi="ar-EG"/>
        </w:rPr>
        <w:t>-</w:t>
      </w:r>
      <w:r w:rsidR="004C7FB1" w:rsidRPr="00884FF1">
        <w:rPr>
          <w:sz w:val="20"/>
          <w:szCs w:val="20"/>
          <w:lang w:bidi="ar-EG"/>
        </w:rPr>
        <w:t>Egypt</w:t>
      </w:r>
    </w:p>
    <w:p w:rsidR="0033192B" w:rsidRPr="00884FF1" w:rsidRDefault="00903289" w:rsidP="00884FF1">
      <w:pPr>
        <w:pStyle w:val="ListParagraph"/>
        <w:bidi w:val="0"/>
        <w:snapToGrid w:val="0"/>
        <w:ind w:left="0"/>
        <w:jc w:val="center"/>
        <w:rPr>
          <w:sz w:val="20"/>
          <w:szCs w:val="20"/>
          <w:lang w:bidi="ar-EG"/>
        </w:rPr>
      </w:pPr>
      <w:hyperlink r:id="rId7" w:history="1">
        <w:r w:rsidR="00C53DBB" w:rsidRPr="00884FF1">
          <w:rPr>
            <w:rStyle w:val="Hyperlink"/>
            <w:color w:val="auto"/>
            <w:sz w:val="20"/>
            <w:szCs w:val="20"/>
            <w:u w:val="none"/>
            <w:lang w:bidi="ar-EG"/>
          </w:rPr>
          <w:t>monaelnaggar82@yahoo.com</w:t>
        </w:r>
      </w:hyperlink>
      <w:r w:rsidR="00DE6F54">
        <w:t xml:space="preserve"> </w:t>
      </w:r>
    </w:p>
    <w:p w:rsidR="00F546DB" w:rsidRPr="00884FF1" w:rsidRDefault="00F546DB" w:rsidP="00884FF1">
      <w:pPr>
        <w:bidi w:val="0"/>
        <w:snapToGrid w:val="0"/>
        <w:jc w:val="center"/>
        <w:rPr>
          <w:rFonts w:eastAsia="Gungsuh"/>
          <w:sz w:val="20"/>
          <w:szCs w:val="20"/>
          <w:lang w:bidi="ar-EG"/>
        </w:rPr>
      </w:pPr>
    </w:p>
    <w:p w:rsidR="00150CAA" w:rsidRPr="00884FF1" w:rsidRDefault="001F006E" w:rsidP="00884FF1">
      <w:pPr>
        <w:bidi w:val="0"/>
        <w:snapToGrid w:val="0"/>
        <w:jc w:val="both"/>
        <w:rPr>
          <w:sz w:val="20"/>
          <w:szCs w:val="20"/>
        </w:rPr>
      </w:pPr>
      <w:r w:rsidRPr="00884FF1">
        <w:rPr>
          <w:b/>
          <w:bCs/>
          <w:sz w:val="20"/>
          <w:szCs w:val="20"/>
          <w:lang w:bidi="ar-EG"/>
        </w:rPr>
        <w:t>Abstract</w:t>
      </w:r>
      <w:r w:rsidR="00F707FB" w:rsidRPr="00884FF1">
        <w:rPr>
          <w:b/>
          <w:bCs/>
          <w:sz w:val="20"/>
          <w:szCs w:val="20"/>
          <w:lang w:bidi="ar-EG"/>
        </w:rPr>
        <w:t>:</w:t>
      </w:r>
      <w:r w:rsidR="00F707FB" w:rsidRPr="00884FF1">
        <w:rPr>
          <w:b/>
          <w:bCs/>
          <w:sz w:val="20"/>
          <w:szCs w:val="20"/>
        </w:rPr>
        <w:t xml:space="preserve"> </w:t>
      </w:r>
      <w:r w:rsidRPr="00884FF1">
        <w:rPr>
          <w:b/>
          <w:bCs/>
          <w:sz w:val="20"/>
          <w:szCs w:val="20"/>
        </w:rPr>
        <w:t>Objectives</w:t>
      </w:r>
      <w:r w:rsidR="007330A4" w:rsidRPr="00884FF1">
        <w:rPr>
          <w:sz w:val="20"/>
          <w:szCs w:val="20"/>
          <w:lang w:bidi="ar-EG"/>
        </w:rPr>
        <w:t>:</w:t>
      </w:r>
      <w:r w:rsidRPr="00884FF1">
        <w:rPr>
          <w:sz w:val="20"/>
          <w:szCs w:val="20"/>
          <w:lang w:bidi="ar-EG"/>
        </w:rPr>
        <w:t xml:space="preserve"> This work aimed to study positive cases of peripartum acute kidney injury, how to diagnose, manage each case and identify the factors related to the unfavorable evolution.</w:t>
      </w:r>
      <w:r w:rsidR="00867E68" w:rsidRPr="00884FF1">
        <w:rPr>
          <w:b/>
          <w:bCs/>
          <w:sz w:val="20"/>
          <w:szCs w:val="20"/>
        </w:rPr>
        <w:t xml:space="preserve"> </w:t>
      </w:r>
      <w:r w:rsidR="007330A4" w:rsidRPr="00884FF1">
        <w:rPr>
          <w:b/>
          <w:bCs/>
          <w:sz w:val="20"/>
          <w:szCs w:val="20"/>
        </w:rPr>
        <w:t>Background:</w:t>
      </w:r>
      <w:r w:rsidR="00B52B41" w:rsidRPr="00884FF1">
        <w:rPr>
          <w:sz w:val="20"/>
          <w:szCs w:val="20"/>
          <w:lang w:bidi="ar-EG"/>
        </w:rPr>
        <w:t xml:space="preserve"> Acute kidney injury (AKI) is one of the most challenging and serious complications of pregnancy and </w:t>
      </w:r>
      <w:r w:rsidR="00F707FB" w:rsidRPr="00884FF1">
        <w:rPr>
          <w:sz w:val="20"/>
          <w:szCs w:val="20"/>
          <w:lang w:bidi="ar-EG"/>
        </w:rPr>
        <w:t>postpartum period</w:t>
      </w:r>
      <w:r w:rsidR="00B52B41" w:rsidRPr="00884FF1">
        <w:rPr>
          <w:sz w:val="20"/>
          <w:szCs w:val="20"/>
          <w:lang w:bidi="ar-EG"/>
        </w:rPr>
        <w:t>.</w:t>
      </w:r>
      <w:r w:rsidR="00B52B41" w:rsidRPr="00884FF1">
        <w:rPr>
          <w:sz w:val="20"/>
          <w:szCs w:val="20"/>
        </w:rPr>
        <w:t xml:space="preserve"> It reflects the absence of prenatal care and early detection of high-risk pregnancies, the delay in transfer of patients and the paucity of relevant human and material resources. It is certainly a treatable and curable complication, but one that imposes a heavy burden of maternal morbidity and mortality if its diagnosis and treatment are delayed. The best treatment remains prevention, a goal very difficult to attain in the developing countries.</w:t>
      </w:r>
      <w:r w:rsidR="00867E68" w:rsidRPr="00884FF1">
        <w:rPr>
          <w:b/>
          <w:bCs/>
          <w:sz w:val="20"/>
          <w:szCs w:val="20"/>
        </w:rPr>
        <w:t xml:space="preserve"> </w:t>
      </w:r>
      <w:r w:rsidR="00B52B41" w:rsidRPr="00884FF1">
        <w:rPr>
          <w:b/>
          <w:bCs/>
          <w:sz w:val="20"/>
          <w:szCs w:val="20"/>
        </w:rPr>
        <w:t>Patients and methods:</w:t>
      </w:r>
      <w:r w:rsidR="00CF168D" w:rsidRPr="00884FF1">
        <w:rPr>
          <w:sz w:val="20"/>
          <w:szCs w:val="20"/>
          <w:lang w:bidi="ar-EG"/>
        </w:rPr>
        <w:t xml:space="preserve"> This study included 120 female patients during the peripartum period,</w:t>
      </w:r>
      <w:r w:rsidR="00CF168D" w:rsidRPr="00884FF1">
        <w:rPr>
          <w:rFonts w:eastAsia="MS Mincho"/>
          <w:sz w:val="20"/>
          <w:szCs w:val="20"/>
        </w:rPr>
        <w:t xml:space="preserve"> </w:t>
      </w:r>
      <w:r w:rsidR="00CF168D" w:rsidRPr="00884FF1">
        <w:rPr>
          <w:sz w:val="20"/>
          <w:szCs w:val="20"/>
          <w:lang w:bidi="ar-EG"/>
        </w:rPr>
        <w:t>divided into 2 groups;</w:t>
      </w:r>
      <w:r w:rsidR="00CF168D" w:rsidRPr="00884FF1">
        <w:rPr>
          <w:sz w:val="20"/>
          <w:szCs w:val="20"/>
        </w:rPr>
        <w:t xml:space="preserve"> The acute kidney injury group of patients </w:t>
      </w:r>
      <w:r w:rsidR="00CF168D" w:rsidRPr="00884FF1">
        <w:rPr>
          <w:b/>
          <w:bCs/>
          <w:sz w:val="20"/>
          <w:szCs w:val="20"/>
        </w:rPr>
        <w:t>(AKI Group)</w:t>
      </w:r>
      <w:r w:rsidR="00CF168D" w:rsidRPr="00884FF1">
        <w:rPr>
          <w:sz w:val="20"/>
          <w:szCs w:val="20"/>
        </w:rPr>
        <w:t xml:space="preserve"> included 49 patients and the non acute kidney injury </w:t>
      </w:r>
      <w:r w:rsidR="00CF168D" w:rsidRPr="00884FF1">
        <w:rPr>
          <w:b/>
          <w:bCs/>
          <w:sz w:val="20"/>
          <w:szCs w:val="20"/>
        </w:rPr>
        <w:t>(Non AKI Group)</w:t>
      </w:r>
      <w:r w:rsidR="00CF168D" w:rsidRPr="00884FF1">
        <w:rPr>
          <w:sz w:val="20"/>
          <w:szCs w:val="20"/>
        </w:rPr>
        <w:t xml:space="preserve"> group of patients included 71patients. </w:t>
      </w:r>
      <w:r w:rsidR="00CF168D" w:rsidRPr="00884FF1">
        <w:rPr>
          <w:sz w:val="20"/>
          <w:szCs w:val="20"/>
          <w:lang w:bidi="ar-EG"/>
        </w:rPr>
        <w:t>In this study measurement serum creatinine, blood urea nitrogen, arterial blood gases, serum albumin, prothrombin time, international normalize ratio(INR), Complete blood count,</w:t>
      </w:r>
      <w:r w:rsidR="00867E68" w:rsidRPr="00884FF1">
        <w:rPr>
          <w:sz w:val="20"/>
          <w:szCs w:val="20"/>
          <w:lang w:bidi="ar-EG"/>
        </w:rPr>
        <w:t xml:space="preserve"> </w:t>
      </w:r>
      <w:r w:rsidR="00CF168D" w:rsidRPr="00884FF1">
        <w:rPr>
          <w:sz w:val="20"/>
          <w:szCs w:val="20"/>
          <w:lang w:bidi="ar-EG"/>
        </w:rPr>
        <w:t>complete urine analysis</w:t>
      </w:r>
      <w:r w:rsidR="00DE6F54">
        <w:rPr>
          <w:sz w:val="20"/>
          <w:szCs w:val="20"/>
          <w:lang w:bidi="ar-EG"/>
        </w:rPr>
        <w:t xml:space="preserve"> </w:t>
      </w:r>
      <w:r w:rsidR="00CF168D" w:rsidRPr="00884FF1">
        <w:rPr>
          <w:sz w:val="20"/>
          <w:szCs w:val="20"/>
          <w:lang w:bidi="ar-EG"/>
        </w:rPr>
        <w:t>and urine albumin to creatinine ratio was determined in all participants.</w:t>
      </w:r>
      <w:r w:rsidR="00867E68" w:rsidRPr="00884FF1">
        <w:rPr>
          <w:b/>
          <w:bCs/>
          <w:sz w:val="20"/>
          <w:szCs w:val="20"/>
        </w:rPr>
        <w:t xml:space="preserve"> </w:t>
      </w:r>
      <w:r w:rsidR="00DC640C" w:rsidRPr="00884FF1">
        <w:rPr>
          <w:b/>
          <w:bCs/>
          <w:sz w:val="20"/>
          <w:szCs w:val="20"/>
        </w:rPr>
        <w:t>Results:</w:t>
      </w:r>
      <w:r w:rsidR="00075469" w:rsidRPr="00884FF1">
        <w:rPr>
          <w:sz w:val="20"/>
          <w:szCs w:val="20"/>
        </w:rPr>
        <w:t xml:space="preserve"> There is no specific significant independent risk factor for AKI which means that the prediction of AKI is multi factorial such as </w:t>
      </w:r>
      <w:r w:rsidR="006738AA" w:rsidRPr="00884FF1">
        <w:rPr>
          <w:sz w:val="20"/>
          <w:szCs w:val="20"/>
        </w:rPr>
        <w:t>hypertension</w:t>
      </w:r>
      <w:r w:rsidR="0004240E" w:rsidRPr="00884FF1">
        <w:rPr>
          <w:sz w:val="20"/>
          <w:szCs w:val="20"/>
        </w:rPr>
        <w:t>, diabetes</w:t>
      </w:r>
      <w:r w:rsidR="00075469" w:rsidRPr="00884FF1">
        <w:rPr>
          <w:sz w:val="20"/>
          <w:szCs w:val="20"/>
        </w:rPr>
        <w:t>,</w:t>
      </w:r>
      <w:r w:rsidR="0004240E" w:rsidRPr="00884FF1">
        <w:rPr>
          <w:sz w:val="20"/>
          <w:szCs w:val="20"/>
        </w:rPr>
        <w:t xml:space="preserve"> </w:t>
      </w:r>
      <w:r w:rsidR="00075469" w:rsidRPr="00884FF1">
        <w:rPr>
          <w:sz w:val="20"/>
          <w:szCs w:val="20"/>
        </w:rPr>
        <w:t>preeclampsia, increased serum creatinine 48 hours postpartum and other factors. This means that the summation of more than one factor together increases the risk of AKI incidence in pregnant female. Also we found that the percentage of preecla</w:t>
      </w:r>
      <w:r w:rsidR="0004240E" w:rsidRPr="00884FF1">
        <w:rPr>
          <w:sz w:val="20"/>
          <w:szCs w:val="20"/>
        </w:rPr>
        <w:t>mpsia among AKI group is highly</w:t>
      </w:r>
      <w:r w:rsidR="00075469" w:rsidRPr="00884FF1">
        <w:rPr>
          <w:sz w:val="20"/>
          <w:szCs w:val="20"/>
        </w:rPr>
        <w:t xml:space="preserve"> significant (83.7%</w:t>
      </w:r>
      <w:r w:rsidR="00075469" w:rsidRPr="00884FF1">
        <w:rPr>
          <w:sz w:val="20"/>
          <w:szCs w:val="20"/>
          <w:lang w:bidi="ar-EG"/>
        </w:rPr>
        <w:t>) this means that the preeclampsia is one of the most common causes of peripartum AKI. The outcome was favorable, with a complete renal function recovery for (71.4%) of patients. Poor prognosis for mother and fetus and prediction of heamodialysis in AKI patients with DM, hypertension, increased serum cr</w:t>
      </w:r>
      <w:r w:rsidR="00045901" w:rsidRPr="00884FF1">
        <w:rPr>
          <w:sz w:val="20"/>
          <w:szCs w:val="20"/>
          <w:lang w:bidi="ar-EG"/>
        </w:rPr>
        <w:t>eatinine 48 hrs post partum and</w:t>
      </w:r>
      <w:r w:rsidR="00075469" w:rsidRPr="00884FF1">
        <w:rPr>
          <w:sz w:val="20"/>
          <w:szCs w:val="20"/>
          <w:lang w:bidi="ar-EG"/>
        </w:rPr>
        <w:t xml:space="preserve"> increased</w:t>
      </w:r>
      <w:r w:rsidR="00DE6F54">
        <w:rPr>
          <w:sz w:val="20"/>
          <w:szCs w:val="20"/>
          <w:lang w:bidi="ar-EG"/>
        </w:rPr>
        <w:t xml:space="preserve"> </w:t>
      </w:r>
      <w:r w:rsidR="00075469" w:rsidRPr="00884FF1">
        <w:rPr>
          <w:sz w:val="20"/>
          <w:szCs w:val="20"/>
          <w:lang w:bidi="ar-EG"/>
        </w:rPr>
        <w:t>ser</w:t>
      </w:r>
      <w:r w:rsidR="008715FC" w:rsidRPr="00884FF1">
        <w:rPr>
          <w:sz w:val="20"/>
          <w:szCs w:val="20"/>
          <w:lang w:bidi="ar-EG"/>
        </w:rPr>
        <w:t>um uric acid. Fourteen patients</w:t>
      </w:r>
      <w:r w:rsidR="00075469" w:rsidRPr="00884FF1">
        <w:rPr>
          <w:sz w:val="20"/>
          <w:szCs w:val="20"/>
          <w:lang w:bidi="ar-EG"/>
        </w:rPr>
        <w:t xml:space="preserve"> who went heamodialysis were followed up after 6 weeks and up to 3 </w:t>
      </w:r>
      <w:r w:rsidR="006738AA" w:rsidRPr="00884FF1">
        <w:rPr>
          <w:sz w:val="20"/>
          <w:szCs w:val="20"/>
          <w:lang w:bidi="ar-EG"/>
        </w:rPr>
        <w:t>months</w:t>
      </w:r>
      <w:r w:rsidR="00075469" w:rsidRPr="00884FF1">
        <w:rPr>
          <w:sz w:val="20"/>
          <w:szCs w:val="20"/>
          <w:lang w:bidi="ar-EG"/>
        </w:rPr>
        <w:t xml:space="preserve"> of delive</w:t>
      </w:r>
      <w:r w:rsidR="008715FC" w:rsidRPr="00884FF1">
        <w:rPr>
          <w:sz w:val="20"/>
          <w:szCs w:val="20"/>
          <w:lang w:bidi="ar-EG"/>
        </w:rPr>
        <w:t>ry which revealed that 6</w:t>
      </w:r>
      <w:r w:rsidR="00075469" w:rsidRPr="00884FF1">
        <w:rPr>
          <w:sz w:val="20"/>
          <w:szCs w:val="20"/>
          <w:lang w:bidi="ar-EG"/>
        </w:rPr>
        <w:t xml:space="preserve"> patients r</w:t>
      </w:r>
      <w:r w:rsidR="008715FC" w:rsidRPr="00884FF1">
        <w:rPr>
          <w:sz w:val="20"/>
          <w:szCs w:val="20"/>
          <w:lang w:bidi="ar-EG"/>
        </w:rPr>
        <w:t>ecovered completely while 5</w:t>
      </w:r>
      <w:r w:rsidR="00045901" w:rsidRPr="00884FF1">
        <w:rPr>
          <w:sz w:val="20"/>
          <w:szCs w:val="20"/>
          <w:lang w:bidi="ar-EG"/>
        </w:rPr>
        <w:t xml:space="preserve"> </w:t>
      </w:r>
      <w:r w:rsidR="00075469" w:rsidRPr="00884FF1">
        <w:rPr>
          <w:sz w:val="20"/>
          <w:szCs w:val="20"/>
          <w:lang w:bidi="ar-EG"/>
        </w:rPr>
        <w:t>patients c</w:t>
      </w:r>
      <w:r w:rsidR="008715FC" w:rsidRPr="00884FF1">
        <w:rPr>
          <w:sz w:val="20"/>
          <w:szCs w:val="20"/>
          <w:lang w:bidi="ar-EG"/>
        </w:rPr>
        <w:t xml:space="preserve">ompletely </w:t>
      </w:r>
      <w:r w:rsidR="00045901" w:rsidRPr="00884FF1">
        <w:rPr>
          <w:sz w:val="20"/>
          <w:szCs w:val="20"/>
          <w:lang w:bidi="ar-EG"/>
        </w:rPr>
        <w:t>recovered,</w:t>
      </w:r>
      <w:r w:rsidR="008715FC" w:rsidRPr="00884FF1">
        <w:rPr>
          <w:sz w:val="20"/>
          <w:szCs w:val="20"/>
          <w:lang w:bidi="ar-EG"/>
        </w:rPr>
        <w:t xml:space="preserve"> 2</w:t>
      </w:r>
      <w:r w:rsidR="00075469" w:rsidRPr="00884FF1">
        <w:rPr>
          <w:sz w:val="20"/>
          <w:szCs w:val="20"/>
          <w:lang w:bidi="ar-EG"/>
        </w:rPr>
        <w:t xml:space="preserve"> patients became chronic kidne</w:t>
      </w:r>
      <w:r w:rsidR="008715FC" w:rsidRPr="00884FF1">
        <w:rPr>
          <w:sz w:val="20"/>
          <w:szCs w:val="20"/>
          <w:lang w:bidi="ar-EG"/>
        </w:rPr>
        <w:t>y diseased patients and 1</w:t>
      </w:r>
      <w:r w:rsidR="00075469" w:rsidRPr="00884FF1">
        <w:rPr>
          <w:sz w:val="20"/>
          <w:szCs w:val="20"/>
          <w:lang w:bidi="ar-EG"/>
        </w:rPr>
        <w:t xml:space="preserve"> patient became End Stage Renal Diseased patient after 3 </w:t>
      </w:r>
      <w:r w:rsidR="006738AA" w:rsidRPr="00884FF1">
        <w:rPr>
          <w:sz w:val="20"/>
          <w:szCs w:val="20"/>
          <w:lang w:bidi="ar-EG"/>
        </w:rPr>
        <w:t>months</w:t>
      </w:r>
      <w:r w:rsidR="00075469" w:rsidRPr="00884FF1">
        <w:rPr>
          <w:sz w:val="20"/>
          <w:szCs w:val="20"/>
          <w:lang w:bidi="ar-EG"/>
        </w:rPr>
        <w:t xml:space="preserve"> of follow up.</w:t>
      </w:r>
    </w:p>
    <w:p w:rsidR="008E2CDB" w:rsidRPr="00884FF1" w:rsidRDefault="003435CA" w:rsidP="00884FF1">
      <w:pPr>
        <w:bidi w:val="0"/>
        <w:snapToGrid w:val="0"/>
        <w:jc w:val="both"/>
        <w:rPr>
          <w:sz w:val="20"/>
          <w:szCs w:val="20"/>
        </w:rPr>
      </w:pPr>
      <w:r w:rsidRPr="00884FF1">
        <w:rPr>
          <w:b/>
          <w:bCs/>
          <w:sz w:val="20"/>
          <w:szCs w:val="20"/>
        </w:rPr>
        <w:t>Conclus</w:t>
      </w:r>
      <w:r w:rsidR="00150CAA" w:rsidRPr="00884FF1">
        <w:rPr>
          <w:b/>
          <w:bCs/>
          <w:sz w:val="20"/>
          <w:szCs w:val="20"/>
        </w:rPr>
        <w:t>ion:</w:t>
      </w:r>
      <w:r w:rsidR="00150CAA" w:rsidRPr="00884FF1">
        <w:rPr>
          <w:sz w:val="20"/>
          <w:szCs w:val="20"/>
        </w:rPr>
        <w:t xml:space="preserve"> </w:t>
      </w:r>
      <w:r w:rsidR="0055039F" w:rsidRPr="00884FF1">
        <w:rPr>
          <w:sz w:val="20"/>
          <w:szCs w:val="20"/>
        </w:rPr>
        <w:t xml:space="preserve">AKI complicated </w:t>
      </w:r>
      <w:r w:rsidR="00562019" w:rsidRPr="00884FF1">
        <w:rPr>
          <w:sz w:val="20"/>
          <w:szCs w:val="20"/>
        </w:rPr>
        <w:t>40.8</w:t>
      </w:r>
      <w:r w:rsidR="0055039F" w:rsidRPr="00884FF1">
        <w:rPr>
          <w:sz w:val="20"/>
          <w:szCs w:val="20"/>
        </w:rPr>
        <w:t xml:space="preserve">% of total delivery in </w:t>
      </w:r>
      <w:r w:rsidR="00562019" w:rsidRPr="00884FF1">
        <w:rPr>
          <w:sz w:val="20"/>
          <w:szCs w:val="20"/>
        </w:rPr>
        <w:t>the peripartum period</w:t>
      </w:r>
      <w:r w:rsidR="0055039F" w:rsidRPr="00884FF1">
        <w:rPr>
          <w:sz w:val="20"/>
          <w:szCs w:val="20"/>
        </w:rPr>
        <w:t xml:space="preserve">. Preeclampsia was the most common cause of </w:t>
      </w:r>
      <w:r w:rsidR="00562019" w:rsidRPr="00884FF1">
        <w:rPr>
          <w:sz w:val="20"/>
          <w:szCs w:val="20"/>
        </w:rPr>
        <w:t>AKI</w:t>
      </w:r>
      <w:r w:rsidR="0055039F" w:rsidRPr="00884FF1">
        <w:rPr>
          <w:sz w:val="20"/>
          <w:szCs w:val="20"/>
        </w:rPr>
        <w:t>.</w:t>
      </w:r>
      <w:r w:rsidR="00562019" w:rsidRPr="00884FF1">
        <w:rPr>
          <w:sz w:val="20"/>
          <w:szCs w:val="20"/>
          <w:lang w:bidi="ar-EG"/>
        </w:rPr>
        <w:t xml:space="preserve"> Poor prognosis for mother and fetus and </w:t>
      </w:r>
      <w:r w:rsidR="00045901" w:rsidRPr="00884FF1">
        <w:rPr>
          <w:sz w:val="20"/>
          <w:szCs w:val="20"/>
          <w:lang w:bidi="ar-EG"/>
        </w:rPr>
        <w:t>prediction of heamodialysis in</w:t>
      </w:r>
      <w:r w:rsidR="00DE6F54">
        <w:rPr>
          <w:sz w:val="20"/>
          <w:szCs w:val="20"/>
          <w:lang w:bidi="ar-EG"/>
        </w:rPr>
        <w:t xml:space="preserve"> </w:t>
      </w:r>
      <w:r w:rsidR="00562019" w:rsidRPr="00884FF1">
        <w:rPr>
          <w:sz w:val="20"/>
          <w:szCs w:val="20"/>
          <w:lang w:bidi="ar-EG"/>
        </w:rPr>
        <w:t>28.5% of AKI group of patients.</w:t>
      </w:r>
    </w:p>
    <w:p w:rsidR="00E16BF6" w:rsidRPr="00884FF1" w:rsidRDefault="00C53DBB" w:rsidP="00884FF1">
      <w:pPr>
        <w:bidi w:val="0"/>
        <w:snapToGrid w:val="0"/>
        <w:jc w:val="both"/>
        <w:rPr>
          <w:rFonts w:eastAsiaTheme="minorEastAsia"/>
          <w:sz w:val="20"/>
          <w:szCs w:val="20"/>
          <w:lang w:eastAsia="zh-CN"/>
        </w:rPr>
      </w:pPr>
      <w:r w:rsidRPr="00884FF1">
        <w:rPr>
          <w:sz w:val="20"/>
          <w:szCs w:val="20"/>
          <w:lang w:bidi="ar-EG"/>
        </w:rPr>
        <w:t>[</w:t>
      </w:r>
      <w:r w:rsidR="00F707FB" w:rsidRPr="00884FF1">
        <w:rPr>
          <w:sz w:val="20"/>
          <w:szCs w:val="20"/>
          <w:lang w:bidi="ar-EG"/>
        </w:rPr>
        <w:t>Said Sayed Ahmed Khamis, Ahmed Zahran</w:t>
      </w:r>
      <w:r w:rsidR="00DE6F54">
        <w:rPr>
          <w:sz w:val="20"/>
          <w:szCs w:val="20"/>
          <w:lang w:bidi="ar-EG"/>
        </w:rPr>
        <w:t>,</w:t>
      </w:r>
      <w:r w:rsidR="00F707FB" w:rsidRPr="00884FF1">
        <w:rPr>
          <w:sz w:val="20"/>
          <w:szCs w:val="20"/>
          <w:lang w:bidi="ar-EG"/>
        </w:rPr>
        <w:t xml:space="preserve"> Mahmoud Mohammed Emara, Mohammed Abdel-Ghani Emara and Mona Mohamed El-Yamany El-Naggar</w:t>
      </w:r>
      <w:r w:rsidR="00A24675">
        <w:rPr>
          <w:rFonts w:eastAsiaTheme="minorEastAsia" w:hint="eastAsia"/>
          <w:sz w:val="20"/>
          <w:szCs w:val="20"/>
          <w:lang w:eastAsia="zh-CN" w:bidi="ar-EG"/>
        </w:rPr>
        <w:t>.</w:t>
      </w:r>
      <w:r w:rsidR="00DE6F54">
        <w:rPr>
          <w:sz w:val="20"/>
          <w:szCs w:val="20"/>
          <w:vertAlign w:val="superscript"/>
          <w:lang w:bidi="ar-EG"/>
        </w:rPr>
        <w:t xml:space="preserve"> </w:t>
      </w:r>
      <w:r w:rsidR="00F707FB" w:rsidRPr="00884FF1">
        <w:rPr>
          <w:b/>
          <w:bCs/>
          <w:sz w:val="20"/>
          <w:szCs w:val="20"/>
          <w:lang w:bidi="ar-EG"/>
        </w:rPr>
        <w:t>Peripartum Acute Kidney Injury</w:t>
      </w:r>
      <w:r w:rsidR="00E16BF6" w:rsidRPr="00884FF1">
        <w:rPr>
          <w:b/>
          <w:bCs/>
          <w:sz w:val="20"/>
          <w:szCs w:val="20"/>
          <w:lang w:bidi="fa-IR"/>
        </w:rPr>
        <w:t>.</w:t>
      </w:r>
      <w:r w:rsidR="00E16BF6" w:rsidRPr="00884FF1">
        <w:rPr>
          <w:rFonts w:hint="eastAsia"/>
          <w:b/>
          <w:bCs/>
          <w:sz w:val="20"/>
          <w:szCs w:val="20"/>
        </w:rPr>
        <w:t xml:space="preserve"> </w:t>
      </w:r>
      <w:r w:rsidR="00E16BF6" w:rsidRPr="00884FF1">
        <w:rPr>
          <w:bCs/>
          <w:i/>
          <w:sz w:val="20"/>
          <w:szCs w:val="20"/>
        </w:rPr>
        <w:t>Nat Sci</w:t>
      </w:r>
      <w:r w:rsidR="00E16BF6" w:rsidRPr="00884FF1">
        <w:rPr>
          <w:rFonts w:eastAsiaTheme="minorEastAsia" w:hint="eastAsia"/>
          <w:bCs/>
          <w:i/>
          <w:sz w:val="20"/>
          <w:szCs w:val="20"/>
        </w:rPr>
        <w:t xml:space="preserve"> </w:t>
      </w:r>
      <w:r w:rsidR="00E16BF6" w:rsidRPr="00884FF1">
        <w:rPr>
          <w:sz w:val="20"/>
          <w:szCs w:val="20"/>
        </w:rPr>
        <w:t>201</w:t>
      </w:r>
      <w:r w:rsidR="00E16BF6" w:rsidRPr="00884FF1">
        <w:rPr>
          <w:rFonts w:hint="eastAsia"/>
          <w:sz w:val="20"/>
          <w:szCs w:val="20"/>
        </w:rPr>
        <w:t>5</w:t>
      </w:r>
      <w:r w:rsidR="00E16BF6" w:rsidRPr="00884FF1">
        <w:rPr>
          <w:sz w:val="20"/>
          <w:szCs w:val="20"/>
        </w:rPr>
        <w:t>;1</w:t>
      </w:r>
      <w:r w:rsidR="00E16BF6" w:rsidRPr="00884FF1">
        <w:rPr>
          <w:rFonts w:hint="eastAsia"/>
          <w:sz w:val="20"/>
          <w:szCs w:val="20"/>
        </w:rPr>
        <w:t>3</w:t>
      </w:r>
      <w:r w:rsidR="00E16BF6" w:rsidRPr="00884FF1">
        <w:rPr>
          <w:sz w:val="20"/>
          <w:szCs w:val="20"/>
        </w:rPr>
        <w:t>(</w:t>
      </w:r>
      <w:r w:rsidR="00E16BF6" w:rsidRPr="00884FF1">
        <w:rPr>
          <w:rFonts w:hint="eastAsia"/>
          <w:sz w:val="20"/>
          <w:szCs w:val="20"/>
        </w:rPr>
        <w:t>3)</w:t>
      </w:r>
      <w:r w:rsidR="00E16BF6" w:rsidRPr="00884FF1">
        <w:rPr>
          <w:sz w:val="20"/>
          <w:szCs w:val="20"/>
        </w:rPr>
        <w:t>:</w:t>
      </w:r>
      <w:r w:rsidR="00BD61EC">
        <w:rPr>
          <w:noProof/>
          <w:color w:val="000000"/>
          <w:sz w:val="20"/>
          <w:szCs w:val="20"/>
        </w:rPr>
        <w:t>1</w:t>
      </w:r>
      <w:r w:rsidR="00E16BF6" w:rsidRPr="00884FF1">
        <w:rPr>
          <w:color w:val="000000"/>
          <w:sz w:val="20"/>
          <w:szCs w:val="20"/>
        </w:rPr>
        <w:t>-</w:t>
      </w:r>
      <w:r w:rsidR="00BD61EC">
        <w:rPr>
          <w:noProof/>
          <w:color w:val="000000"/>
          <w:sz w:val="20"/>
          <w:szCs w:val="20"/>
        </w:rPr>
        <w:t>10</w:t>
      </w:r>
      <w:r w:rsidR="00E16BF6" w:rsidRPr="00884FF1">
        <w:rPr>
          <w:sz w:val="20"/>
          <w:szCs w:val="20"/>
        </w:rPr>
        <w:t>]</w:t>
      </w:r>
      <w:r w:rsidR="00E16BF6" w:rsidRPr="00884FF1">
        <w:rPr>
          <w:rFonts w:hint="eastAsia"/>
          <w:sz w:val="20"/>
          <w:szCs w:val="20"/>
        </w:rPr>
        <w:t>.</w:t>
      </w:r>
      <w:r w:rsidR="00E16BF6" w:rsidRPr="00884FF1">
        <w:rPr>
          <w:sz w:val="20"/>
          <w:szCs w:val="20"/>
        </w:rPr>
        <w:t xml:space="preserve"> (ISSN: 1545-0740).</w:t>
      </w:r>
      <w:r w:rsidR="00E16BF6" w:rsidRPr="00884FF1">
        <w:rPr>
          <w:color w:val="0000FF"/>
          <w:sz w:val="20"/>
          <w:szCs w:val="20"/>
        </w:rPr>
        <w:t xml:space="preserve"> </w:t>
      </w:r>
      <w:hyperlink r:id="rId8" w:history="1">
        <w:r w:rsidR="00E16BF6" w:rsidRPr="00884FF1">
          <w:rPr>
            <w:rStyle w:val="Hyperlink"/>
            <w:color w:val="0000FF"/>
            <w:sz w:val="20"/>
            <w:szCs w:val="20"/>
          </w:rPr>
          <w:t>http://www.sciencepub.net/nature</w:t>
        </w:r>
      </w:hyperlink>
      <w:r w:rsidR="00E16BF6" w:rsidRPr="00884FF1">
        <w:rPr>
          <w:sz w:val="20"/>
          <w:szCs w:val="20"/>
        </w:rPr>
        <w:t>.</w:t>
      </w:r>
      <w:r w:rsidR="00E16BF6" w:rsidRPr="00884FF1">
        <w:rPr>
          <w:rFonts w:hint="eastAsia"/>
          <w:sz w:val="20"/>
          <w:szCs w:val="20"/>
        </w:rPr>
        <w:t xml:space="preserve"> </w:t>
      </w:r>
      <w:r w:rsidR="00884FF1" w:rsidRPr="00884FF1">
        <w:rPr>
          <w:rFonts w:eastAsiaTheme="minorEastAsia" w:hint="eastAsia"/>
          <w:sz w:val="20"/>
          <w:szCs w:val="20"/>
          <w:lang w:eastAsia="zh-CN"/>
        </w:rPr>
        <w:t>1</w:t>
      </w:r>
    </w:p>
    <w:p w:rsidR="00F707FB" w:rsidRPr="00884FF1" w:rsidRDefault="00F707FB" w:rsidP="00884FF1">
      <w:pPr>
        <w:bidi w:val="0"/>
        <w:snapToGrid w:val="0"/>
        <w:jc w:val="both"/>
        <w:rPr>
          <w:sz w:val="20"/>
          <w:szCs w:val="20"/>
        </w:rPr>
      </w:pPr>
    </w:p>
    <w:p w:rsidR="00EB5758" w:rsidRPr="00884FF1" w:rsidRDefault="008E2CDB" w:rsidP="00884FF1">
      <w:pPr>
        <w:bidi w:val="0"/>
        <w:snapToGrid w:val="0"/>
        <w:jc w:val="both"/>
        <w:rPr>
          <w:sz w:val="20"/>
          <w:szCs w:val="20"/>
        </w:rPr>
      </w:pPr>
      <w:r w:rsidRPr="00884FF1">
        <w:rPr>
          <w:b/>
          <w:bCs/>
          <w:sz w:val="20"/>
          <w:szCs w:val="20"/>
        </w:rPr>
        <w:t>Key word</w:t>
      </w:r>
      <w:r w:rsidRPr="00884FF1">
        <w:rPr>
          <w:sz w:val="20"/>
          <w:szCs w:val="20"/>
        </w:rPr>
        <w:t>: peripartum – AKI</w:t>
      </w:r>
      <w:r w:rsidR="00F724CA">
        <w:rPr>
          <w:sz w:val="20"/>
          <w:szCs w:val="20"/>
        </w:rPr>
        <w:t xml:space="preserve">; </w:t>
      </w:r>
      <w:r w:rsidR="00F724CA" w:rsidRPr="00F724CA">
        <w:rPr>
          <w:bCs/>
          <w:sz w:val="20"/>
          <w:szCs w:val="20"/>
          <w:lang w:bidi="ar-EG"/>
        </w:rPr>
        <w:t>Peripartum</w:t>
      </w:r>
      <w:r w:rsidR="00F724CA">
        <w:rPr>
          <w:bCs/>
          <w:sz w:val="20"/>
          <w:szCs w:val="20"/>
          <w:lang w:bidi="ar-EG"/>
        </w:rPr>
        <w:t>;</w:t>
      </w:r>
      <w:r w:rsidR="00F724CA" w:rsidRPr="00F724CA">
        <w:rPr>
          <w:bCs/>
          <w:sz w:val="20"/>
          <w:szCs w:val="20"/>
          <w:lang w:bidi="ar-EG"/>
        </w:rPr>
        <w:t xml:space="preserve"> Kidney</w:t>
      </w:r>
      <w:r w:rsidR="00F724CA">
        <w:rPr>
          <w:bCs/>
          <w:sz w:val="20"/>
          <w:szCs w:val="20"/>
          <w:lang w:bidi="ar-EG"/>
        </w:rPr>
        <w:t>;</w:t>
      </w:r>
      <w:r w:rsidR="00F724CA" w:rsidRPr="00F724CA">
        <w:rPr>
          <w:bCs/>
          <w:sz w:val="20"/>
          <w:szCs w:val="20"/>
          <w:lang w:bidi="ar-EG"/>
        </w:rPr>
        <w:t xml:space="preserve"> Injury</w:t>
      </w:r>
    </w:p>
    <w:p w:rsidR="00F707FB" w:rsidRPr="00884FF1" w:rsidRDefault="00F707FB" w:rsidP="00884FF1">
      <w:pPr>
        <w:bidi w:val="0"/>
        <w:snapToGrid w:val="0"/>
        <w:jc w:val="both"/>
        <w:rPr>
          <w:b/>
          <w:bCs/>
          <w:sz w:val="20"/>
          <w:szCs w:val="20"/>
        </w:rPr>
      </w:pPr>
    </w:p>
    <w:p w:rsidR="00884FF1" w:rsidRDefault="00884FF1" w:rsidP="00884FF1">
      <w:pPr>
        <w:bidi w:val="0"/>
        <w:snapToGrid w:val="0"/>
        <w:jc w:val="both"/>
        <w:rPr>
          <w:b/>
          <w:bCs/>
          <w:sz w:val="20"/>
          <w:szCs w:val="20"/>
        </w:rPr>
        <w:sectPr w:rsidR="00884FF1" w:rsidSect="009D2530">
          <w:headerReference w:type="default" r:id="rId9"/>
          <w:footerReference w:type="default" r:id="rId10"/>
          <w:type w:val="continuous"/>
          <w:pgSz w:w="12242" w:h="15842" w:code="1"/>
          <w:pgMar w:top="1440" w:right="1440" w:bottom="1440" w:left="1440" w:header="720" w:footer="720" w:gutter="0"/>
          <w:cols w:space="708"/>
          <w:bidi/>
          <w:docGrid w:linePitch="360"/>
        </w:sectPr>
      </w:pPr>
    </w:p>
    <w:p w:rsidR="00EB5758" w:rsidRPr="00884FF1" w:rsidRDefault="00867E68" w:rsidP="00884FF1">
      <w:pPr>
        <w:bidi w:val="0"/>
        <w:snapToGrid w:val="0"/>
        <w:jc w:val="both"/>
        <w:rPr>
          <w:b/>
          <w:bCs/>
          <w:sz w:val="20"/>
          <w:szCs w:val="20"/>
        </w:rPr>
      </w:pPr>
      <w:r w:rsidRPr="00884FF1">
        <w:rPr>
          <w:b/>
          <w:bCs/>
          <w:sz w:val="20"/>
          <w:szCs w:val="20"/>
        </w:rPr>
        <w:lastRenderedPageBreak/>
        <w:t>1.</w:t>
      </w:r>
      <w:r w:rsidR="00884FF1">
        <w:rPr>
          <w:rFonts w:eastAsiaTheme="minorEastAsia" w:hint="eastAsia"/>
          <w:b/>
          <w:bCs/>
          <w:sz w:val="20"/>
          <w:szCs w:val="20"/>
          <w:lang w:eastAsia="zh-CN"/>
        </w:rPr>
        <w:t xml:space="preserve"> </w:t>
      </w:r>
      <w:r w:rsidR="00EB5758" w:rsidRPr="00884FF1">
        <w:rPr>
          <w:b/>
          <w:bCs/>
          <w:sz w:val="20"/>
          <w:szCs w:val="20"/>
        </w:rPr>
        <w:t>Introduction:</w:t>
      </w:r>
    </w:p>
    <w:p w:rsidR="00EB5758" w:rsidRPr="00884FF1" w:rsidRDefault="00867E68" w:rsidP="00884FF1">
      <w:pPr>
        <w:autoSpaceDE w:val="0"/>
        <w:autoSpaceDN w:val="0"/>
        <w:bidi w:val="0"/>
        <w:adjustRightInd w:val="0"/>
        <w:snapToGrid w:val="0"/>
        <w:ind w:firstLine="425"/>
        <w:jc w:val="both"/>
        <w:rPr>
          <w:sz w:val="20"/>
          <w:szCs w:val="20"/>
        </w:rPr>
      </w:pPr>
      <w:r w:rsidRPr="00884FF1">
        <w:rPr>
          <w:sz w:val="20"/>
          <w:szCs w:val="20"/>
        </w:rPr>
        <w:t>T</w:t>
      </w:r>
      <w:r w:rsidR="00EB5758" w:rsidRPr="00884FF1">
        <w:rPr>
          <w:sz w:val="20"/>
          <w:szCs w:val="20"/>
        </w:rPr>
        <w:t>here is a high degree of heterogeneity of diagnostic definitions of renal diseases in pregnancy and therefore there is no validated definition for acute kidney injury</w:t>
      </w:r>
      <w:r w:rsidR="00EB5758" w:rsidRPr="00884FF1">
        <w:rPr>
          <w:b/>
          <w:bCs/>
          <w:sz w:val="20"/>
          <w:szCs w:val="20"/>
        </w:rPr>
        <w:t xml:space="preserve"> (AKI)</w:t>
      </w:r>
      <w:r w:rsidR="00EB5758" w:rsidRPr="00884FF1">
        <w:rPr>
          <w:sz w:val="20"/>
          <w:szCs w:val="20"/>
        </w:rPr>
        <w:t xml:space="preserve"> </w:t>
      </w:r>
      <w:r w:rsidR="00EB5758" w:rsidRPr="00884FF1">
        <w:rPr>
          <w:b/>
          <w:bCs/>
          <w:sz w:val="20"/>
          <w:szCs w:val="20"/>
          <w:vertAlign w:val="superscript"/>
        </w:rPr>
        <w:t>(</w:t>
      </w:r>
      <w:r w:rsidR="00E201E7" w:rsidRPr="00884FF1">
        <w:rPr>
          <w:b/>
          <w:bCs/>
          <w:sz w:val="20"/>
          <w:szCs w:val="20"/>
          <w:vertAlign w:val="superscript"/>
        </w:rPr>
        <w:t>1</w:t>
      </w:r>
      <w:r w:rsidR="00EB5758" w:rsidRPr="00884FF1">
        <w:rPr>
          <w:b/>
          <w:bCs/>
          <w:sz w:val="20"/>
          <w:szCs w:val="20"/>
          <w:vertAlign w:val="superscript"/>
        </w:rPr>
        <w:t>)</w:t>
      </w:r>
    </w:p>
    <w:p w:rsidR="00EB5758" w:rsidRPr="00884FF1" w:rsidRDefault="00EB5758" w:rsidP="00884FF1">
      <w:pPr>
        <w:autoSpaceDE w:val="0"/>
        <w:autoSpaceDN w:val="0"/>
        <w:bidi w:val="0"/>
        <w:adjustRightInd w:val="0"/>
        <w:snapToGrid w:val="0"/>
        <w:jc w:val="both"/>
        <w:rPr>
          <w:sz w:val="20"/>
          <w:szCs w:val="20"/>
        </w:rPr>
      </w:pPr>
      <w:r w:rsidRPr="00884FF1">
        <w:rPr>
          <w:b/>
          <w:bCs/>
          <w:sz w:val="20"/>
          <w:szCs w:val="20"/>
        </w:rPr>
        <w:t>Peripartum period</w:t>
      </w:r>
      <w:r w:rsidRPr="00884FF1">
        <w:rPr>
          <w:sz w:val="20"/>
          <w:szCs w:val="20"/>
        </w:rPr>
        <w:t xml:space="preserve"> is defined as a period of few days before the onset </w:t>
      </w:r>
      <w:r w:rsidR="00F707FB" w:rsidRPr="00884FF1">
        <w:rPr>
          <w:sz w:val="20"/>
          <w:szCs w:val="20"/>
        </w:rPr>
        <w:t>of labour</w:t>
      </w:r>
      <w:r w:rsidRPr="00884FF1">
        <w:rPr>
          <w:sz w:val="20"/>
          <w:szCs w:val="20"/>
        </w:rPr>
        <w:t xml:space="preserve"> till 6 weeks after </w:t>
      </w:r>
      <w:r w:rsidR="00446847" w:rsidRPr="00884FF1">
        <w:rPr>
          <w:sz w:val="20"/>
          <w:szCs w:val="20"/>
        </w:rPr>
        <w:t xml:space="preserve">delivery </w:t>
      </w:r>
      <w:r w:rsidR="00446847" w:rsidRPr="00884FF1">
        <w:rPr>
          <w:sz w:val="20"/>
          <w:szCs w:val="20"/>
          <w:vertAlign w:val="superscript"/>
        </w:rPr>
        <w:t>(</w:t>
      </w:r>
      <w:r w:rsidR="00E201E7" w:rsidRPr="00884FF1">
        <w:rPr>
          <w:b/>
          <w:bCs/>
          <w:sz w:val="20"/>
          <w:szCs w:val="20"/>
          <w:vertAlign w:val="superscript"/>
        </w:rPr>
        <w:t>2</w:t>
      </w:r>
      <w:r w:rsidRPr="00884FF1">
        <w:rPr>
          <w:b/>
          <w:bCs/>
          <w:sz w:val="20"/>
          <w:szCs w:val="20"/>
          <w:vertAlign w:val="superscript"/>
        </w:rPr>
        <w:t>).</w:t>
      </w:r>
    </w:p>
    <w:p w:rsidR="006D116B" w:rsidRPr="00884FF1" w:rsidRDefault="00EB5758" w:rsidP="00884FF1">
      <w:pPr>
        <w:autoSpaceDE w:val="0"/>
        <w:autoSpaceDN w:val="0"/>
        <w:bidi w:val="0"/>
        <w:adjustRightInd w:val="0"/>
        <w:snapToGrid w:val="0"/>
        <w:ind w:firstLine="425"/>
        <w:jc w:val="both"/>
        <w:rPr>
          <w:b/>
          <w:bCs/>
          <w:sz w:val="20"/>
          <w:szCs w:val="20"/>
        </w:rPr>
      </w:pPr>
      <w:r w:rsidRPr="00884FF1">
        <w:rPr>
          <w:sz w:val="20"/>
          <w:szCs w:val="20"/>
        </w:rPr>
        <w:t xml:space="preserve">The use of the RIFLE classification, which focuses on the plasma creatinine percentage change and on the development of oliguria, is not consensual and further studies are necessary to demonstrate its usefulness in pregnant women. A creatinine level of ≥1 mg/dL or a rapid rise (by definition, in 48 hours) of 0.5 mg/dL above baseline should be investigated </w:t>
      </w:r>
      <w:r w:rsidRPr="00884FF1">
        <w:rPr>
          <w:b/>
          <w:bCs/>
          <w:sz w:val="20"/>
          <w:szCs w:val="20"/>
          <w:vertAlign w:val="superscript"/>
        </w:rPr>
        <w:t>(</w:t>
      </w:r>
      <w:r w:rsidR="009C2823" w:rsidRPr="00884FF1">
        <w:rPr>
          <w:b/>
          <w:bCs/>
          <w:sz w:val="20"/>
          <w:szCs w:val="20"/>
          <w:vertAlign w:val="superscript"/>
        </w:rPr>
        <w:t>3</w:t>
      </w:r>
      <w:r w:rsidRPr="00884FF1">
        <w:rPr>
          <w:b/>
          <w:bCs/>
          <w:sz w:val="20"/>
          <w:szCs w:val="20"/>
          <w:vertAlign w:val="superscript"/>
        </w:rPr>
        <w:t>)</w:t>
      </w:r>
      <w:r w:rsidRPr="00884FF1">
        <w:rPr>
          <w:b/>
          <w:bCs/>
          <w:sz w:val="20"/>
          <w:szCs w:val="20"/>
        </w:rPr>
        <w:t>.</w:t>
      </w:r>
      <w:r w:rsidR="006D116B" w:rsidRPr="00884FF1">
        <w:rPr>
          <w:sz w:val="20"/>
          <w:szCs w:val="20"/>
        </w:rPr>
        <w:t xml:space="preserve"> In developing </w:t>
      </w:r>
      <w:r w:rsidR="00F707FB" w:rsidRPr="00884FF1">
        <w:rPr>
          <w:sz w:val="20"/>
          <w:szCs w:val="20"/>
        </w:rPr>
        <w:t>countries pregnancy</w:t>
      </w:r>
      <w:r w:rsidR="006D116B" w:rsidRPr="00884FF1">
        <w:rPr>
          <w:sz w:val="20"/>
          <w:szCs w:val="20"/>
        </w:rPr>
        <w:t xml:space="preserve"> related AKI despite a </w:t>
      </w:r>
      <w:r w:rsidR="006D116B" w:rsidRPr="00884FF1">
        <w:rPr>
          <w:sz w:val="20"/>
          <w:szCs w:val="20"/>
        </w:rPr>
        <w:lastRenderedPageBreak/>
        <w:t xml:space="preserve">decrease in renal cortical necrosis following obstetrical complication </w:t>
      </w:r>
      <w:r w:rsidR="006D116B" w:rsidRPr="00884FF1">
        <w:rPr>
          <w:b/>
          <w:bCs/>
          <w:sz w:val="20"/>
          <w:szCs w:val="20"/>
          <w:vertAlign w:val="superscript"/>
        </w:rPr>
        <w:t>(</w:t>
      </w:r>
      <w:r w:rsidR="009C2823" w:rsidRPr="00884FF1">
        <w:rPr>
          <w:b/>
          <w:bCs/>
          <w:sz w:val="20"/>
          <w:szCs w:val="20"/>
          <w:vertAlign w:val="superscript"/>
        </w:rPr>
        <w:t>4</w:t>
      </w:r>
      <w:r w:rsidR="006D116B" w:rsidRPr="00884FF1">
        <w:rPr>
          <w:b/>
          <w:bCs/>
          <w:sz w:val="20"/>
          <w:szCs w:val="20"/>
          <w:vertAlign w:val="superscript"/>
        </w:rPr>
        <w:t>)</w:t>
      </w:r>
      <w:r w:rsidR="006D116B" w:rsidRPr="00884FF1">
        <w:rPr>
          <w:b/>
          <w:bCs/>
          <w:sz w:val="20"/>
          <w:szCs w:val="20"/>
        </w:rPr>
        <w:t>,</w:t>
      </w:r>
      <w:r w:rsidR="006D116B" w:rsidRPr="00884FF1">
        <w:rPr>
          <w:sz w:val="20"/>
          <w:szCs w:val="20"/>
        </w:rPr>
        <w:t xml:space="preserve"> Still accounts for 5–20% of total AKI </w:t>
      </w:r>
      <w:r w:rsidR="006D116B" w:rsidRPr="00884FF1">
        <w:rPr>
          <w:b/>
          <w:bCs/>
          <w:sz w:val="20"/>
          <w:szCs w:val="20"/>
          <w:vertAlign w:val="superscript"/>
        </w:rPr>
        <w:t>(</w:t>
      </w:r>
      <w:r w:rsidR="009C2823" w:rsidRPr="00884FF1">
        <w:rPr>
          <w:b/>
          <w:bCs/>
          <w:sz w:val="20"/>
          <w:szCs w:val="20"/>
          <w:vertAlign w:val="superscript"/>
        </w:rPr>
        <w:t>5</w:t>
      </w:r>
      <w:r w:rsidR="006D116B" w:rsidRPr="00884FF1">
        <w:rPr>
          <w:b/>
          <w:bCs/>
          <w:sz w:val="20"/>
          <w:szCs w:val="20"/>
          <w:vertAlign w:val="superscript"/>
        </w:rPr>
        <w:t>)</w:t>
      </w:r>
      <w:r w:rsidR="006D116B" w:rsidRPr="00884FF1">
        <w:rPr>
          <w:b/>
          <w:bCs/>
          <w:sz w:val="20"/>
          <w:szCs w:val="20"/>
        </w:rPr>
        <w:t>.</w:t>
      </w:r>
      <w:r w:rsidR="006D116B" w:rsidRPr="00884FF1">
        <w:rPr>
          <w:sz w:val="20"/>
          <w:szCs w:val="20"/>
        </w:rPr>
        <w:t xml:space="preserve"> Simultaneously, mortality decreased from 70% in1984–1994 to 10–35% in 1995–2005 </w:t>
      </w:r>
      <w:r w:rsidR="006D116B" w:rsidRPr="00884FF1">
        <w:rPr>
          <w:b/>
          <w:bCs/>
          <w:sz w:val="20"/>
          <w:szCs w:val="20"/>
          <w:vertAlign w:val="superscript"/>
        </w:rPr>
        <w:t>(</w:t>
      </w:r>
      <w:r w:rsidR="009C2823" w:rsidRPr="00884FF1">
        <w:rPr>
          <w:b/>
          <w:bCs/>
          <w:sz w:val="20"/>
          <w:szCs w:val="20"/>
          <w:vertAlign w:val="superscript"/>
        </w:rPr>
        <w:t>6</w:t>
      </w:r>
      <w:r w:rsidR="006D116B" w:rsidRPr="00884FF1">
        <w:rPr>
          <w:b/>
          <w:bCs/>
          <w:sz w:val="20"/>
          <w:szCs w:val="20"/>
          <w:vertAlign w:val="superscript"/>
        </w:rPr>
        <w:t>).</w:t>
      </w:r>
    </w:p>
    <w:p w:rsidR="006D116B" w:rsidRPr="00884FF1" w:rsidRDefault="006D116B" w:rsidP="00884FF1">
      <w:pPr>
        <w:autoSpaceDE w:val="0"/>
        <w:autoSpaceDN w:val="0"/>
        <w:bidi w:val="0"/>
        <w:adjustRightInd w:val="0"/>
        <w:snapToGrid w:val="0"/>
        <w:ind w:firstLine="425"/>
        <w:jc w:val="both"/>
        <w:rPr>
          <w:sz w:val="20"/>
          <w:szCs w:val="20"/>
        </w:rPr>
      </w:pPr>
      <w:r w:rsidRPr="00884FF1">
        <w:rPr>
          <w:sz w:val="20"/>
          <w:szCs w:val="20"/>
        </w:rPr>
        <w:t>Usually, the</w:t>
      </w:r>
      <w:r w:rsidR="00DE6F54">
        <w:rPr>
          <w:sz w:val="20"/>
          <w:szCs w:val="20"/>
        </w:rPr>
        <w:t xml:space="preserve"> </w:t>
      </w:r>
      <w:r w:rsidRPr="00884FF1">
        <w:rPr>
          <w:sz w:val="20"/>
          <w:szCs w:val="20"/>
        </w:rPr>
        <w:t xml:space="preserve">development of peripartum </w:t>
      </w:r>
      <w:r w:rsidR="00F707FB" w:rsidRPr="00884FF1">
        <w:rPr>
          <w:sz w:val="20"/>
          <w:szCs w:val="20"/>
        </w:rPr>
        <w:t>AKI in</w:t>
      </w:r>
      <w:r w:rsidRPr="00884FF1">
        <w:rPr>
          <w:sz w:val="20"/>
          <w:szCs w:val="20"/>
        </w:rPr>
        <w:t xml:space="preserve"> the third trimester, due to late obstetric complications. As in the general population, the causes of AKI in pregnant women are divided into 3 groups: prerenal, intrarenal and postrenal </w:t>
      </w:r>
      <w:r w:rsidRPr="00884FF1">
        <w:rPr>
          <w:b/>
          <w:bCs/>
          <w:sz w:val="20"/>
          <w:szCs w:val="20"/>
          <w:vertAlign w:val="superscript"/>
        </w:rPr>
        <w:t>(</w:t>
      </w:r>
      <w:r w:rsidR="009C2823" w:rsidRPr="00884FF1">
        <w:rPr>
          <w:b/>
          <w:bCs/>
          <w:sz w:val="20"/>
          <w:szCs w:val="20"/>
          <w:vertAlign w:val="superscript"/>
        </w:rPr>
        <w:t>7</w:t>
      </w:r>
      <w:r w:rsidRPr="00884FF1">
        <w:rPr>
          <w:b/>
          <w:bCs/>
          <w:sz w:val="20"/>
          <w:szCs w:val="20"/>
          <w:vertAlign w:val="superscript"/>
        </w:rPr>
        <w:t>)</w:t>
      </w:r>
      <w:r w:rsidRPr="00884FF1">
        <w:rPr>
          <w:b/>
          <w:bCs/>
          <w:sz w:val="20"/>
          <w:szCs w:val="20"/>
        </w:rPr>
        <w:t>.</w:t>
      </w:r>
    </w:p>
    <w:p w:rsidR="006D116B" w:rsidRPr="00884FF1" w:rsidRDefault="006D116B" w:rsidP="00884FF1">
      <w:pPr>
        <w:autoSpaceDE w:val="0"/>
        <w:autoSpaceDN w:val="0"/>
        <w:bidi w:val="0"/>
        <w:adjustRightInd w:val="0"/>
        <w:snapToGrid w:val="0"/>
        <w:ind w:firstLine="425"/>
        <w:jc w:val="both"/>
        <w:rPr>
          <w:b/>
          <w:bCs/>
          <w:sz w:val="20"/>
          <w:szCs w:val="20"/>
        </w:rPr>
      </w:pPr>
      <w:r w:rsidRPr="00884FF1">
        <w:rPr>
          <w:sz w:val="20"/>
          <w:szCs w:val="20"/>
        </w:rPr>
        <w:t xml:space="preserve">The prerenal causes are more common in the earlier stage of pregnancy due to hyperemesis gravidarum or acute tubular necrosis in the context of septic abortion. In the later stages, AKI development is more frequent and usually associated with preeclampsia, acute fatty liver of pregnancy, hemolytic uremic syndrome (HUS) and sepsis </w:t>
      </w:r>
      <w:r w:rsidR="009C2823" w:rsidRPr="00884FF1">
        <w:rPr>
          <w:b/>
          <w:bCs/>
          <w:sz w:val="20"/>
          <w:szCs w:val="20"/>
          <w:vertAlign w:val="superscript"/>
        </w:rPr>
        <w:t>(8</w:t>
      </w:r>
      <w:r w:rsidRPr="00884FF1">
        <w:rPr>
          <w:b/>
          <w:bCs/>
          <w:sz w:val="20"/>
          <w:szCs w:val="20"/>
          <w:vertAlign w:val="superscript"/>
        </w:rPr>
        <w:t>)</w:t>
      </w:r>
      <w:r w:rsidRPr="00884FF1">
        <w:rPr>
          <w:b/>
          <w:bCs/>
          <w:sz w:val="20"/>
          <w:szCs w:val="20"/>
        </w:rPr>
        <w:t>.</w:t>
      </w:r>
    </w:p>
    <w:p w:rsidR="00A05985" w:rsidRPr="00884FF1" w:rsidRDefault="00A05985" w:rsidP="00884FF1">
      <w:pPr>
        <w:autoSpaceDE w:val="0"/>
        <w:autoSpaceDN w:val="0"/>
        <w:bidi w:val="0"/>
        <w:adjustRightInd w:val="0"/>
        <w:snapToGrid w:val="0"/>
        <w:ind w:firstLine="425"/>
        <w:jc w:val="both"/>
        <w:rPr>
          <w:sz w:val="20"/>
          <w:szCs w:val="20"/>
        </w:rPr>
      </w:pPr>
      <w:r w:rsidRPr="00884FF1">
        <w:rPr>
          <w:sz w:val="20"/>
          <w:szCs w:val="20"/>
        </w:rPr>
        <w:lastRenderedPageBreak/>
        <w:t xml:space="preserve">There are 3 aspects to consider in the management of AKI related to pregnancy: </w:t>
      </w:r>
      <w:r w:rsidRPr="00884FF1">
        <w:rPr>
          <w:b/>
          <w:bCs/>
          <w:sz w:val="20"/>
          <w:szCs w:val="20"/>
        </w:rPr>
        <w:t>(a)</w:t>
      </w:r>
      <w:r w:rsidR="00045901" w:rsidRPr="00884FF1">
        <w:rPr>
          <w:sz w:val="20"/>
          <w:szCs w:val="20"/>
        </w:rPr>
        <w:t xml:space="preserve"> R</w:t>
      </w:r>
      <w:r w:rsidRPr="00884FF1">
        <w:rPr>
          <w:sz w:val="20"/>
          <w:szCs w:val="20"/>
        </w:rPr>
        <w:t>enal function supportive measures</w:t>
      </w:r>
      <w:r w:rsidR="005B4E2D" w:rsidRPr="00884FF1">
        <w:rPr>
          <w:sz w:val="20"/>
          <w:szCs w:val="20"/>
        </w:rPr>
        <w:t xml:space="preserve"> </w:t>
      </w:r>
      <w:r w:rsidRPr="00884FF1">
        <w:rPr>
          <w:sz w:val="20"/>
          <w:szCs w:val="20"/>
        </w:rPr>
        <w:t>s</w:t>
      </w:r>
      <w:r w:rsidR="005B4E2D" w:rsidRPr="00884FF1">
        <w:rPr>
          <w:sz w:val="20"/>
          <w:szCs w:val="20"/>
        </w:rPr>
        <w:t xml:space="preserve">uch as: </w:t>
      </w:r>
      <w:r w:rsidRPr="00884FF1">
        <w:rPr>
          <w:sz w:val="20"/>
          <w:szCs w:val="20"/>
        </w:rPr>
        <w:t>etiology treatment, suspension of nephrotoxic drugs or treatment of an infectious disease)</w:t>
      </w:r>
      <w:r w:rsidR="00DE6F54">
        <w:rPr>
          <w:sz w:val="20"/>
          <w:szCs w:val="20"/>
        </w:rPr>
        <w:t>.</w:t>
      </w:r>
      <w:r w:rsidRPr="00884FF1">
        <w:rPr>
          <w:sz w:val="20"/>
          <w:szCs w:val="20"/>
        </w:rPr>
        <w:t>These general measures are followed by pharmacologic therapy of AKI and its known complications: hypertension, hyperkalemia, metabolic acidosis and anemia.</w:t>
      </w:r>
      <w:r w:rsidR="005B4E2D" w:rsidRPr="00884FF1">
        <w:rPr>
          <w:b/>
          <w:bCs/>
          <w:sz w:val="20"/>
          <w:szCs w:val="20"/>
        </w:rPr>
        <w:t xml:space="preserve"> </w:t>
      </w:r>
      <w:r w:rsidRPr="00884FF1">
        <w:rPr>
          <w:b/>
          <w:bCs/>
          <w:sz w:val="20"/>
          <w:szCs w:val="20"/>
        </w:rPr>
        <w:t>(b)</w:t>
      </w:r>
      <w:r w:rsidR="005B4E2D" w:rsidRPr="00884FF1">
        <w:rPr>
          <w:sz w:val="20"/>
          <w:szCs w:val="20"/>
        </w:rPr>
        <w:t xml:space="preserve"> </w:t>
      </w:r>
      <w:r w:rsidR="00045901" w:rsidRPr="00884FF1">
        <w:rPr>
          <w:sz w:val="20"/>
          <w:szCs w:val="20"/>
        </w:rPr>
        <w:t>D</w:t>
      </w:r>
      <w:r w:rsidR="004D2FB4" w:rsidRPr="00884FF1">
        <w:rPr>
          <w:sz w:val="20"/>
          <w:szCs w:val="20"/>
        </w:rPr>
        <w:t>ialysis :</w:t>
      </w:r>
      <w:r w:rsidR="004C03F4" w:rsidRPr="00884FF1">
        <w:rPr>
          <w:sz w:val="20"/>
          <w:szCs w:val="20"/>
        </w:rPr>
        <w:t>i</w:t>
      </w:r>
      <w:r w:rsidRPr="00884FF1">
        <w:rPr>
          <w:sz w:val="20"/>
          <w:szCs w:val="20"/>
        </w:rPr>
        <w:t>f the previous procedures</w:t>
      </w:r>
      <w:r w:rsidR="00DE6F54">
        <w:rPr>
          <w:sz w:val="20"/>
          <w:szCs w:val="20"/>
        </w:rPr>
        <w:t xml:space="preserve"> </w:t>
      </w:r>
      <w:r w:rsidRPr="00884FF1">
        <w:rPr>
          <w:sz w:val="20"/>
          <w:szCs w:val="20"/>
        </w:rPr>
        <w:t>prove</w:t>
      </w:r>
      <w:r w:rsidR="005B4E2D" w:rsidRPr="00884FF1">
        <w:rPr>
          <w:sz w:val="20"/>
          <w:szCs w:val="20"/>
        </w:rPr>
        <w:t xml:space="preserve"> to be insufficient. </w:t>
      </w:r>
      <w:r w:rsidRPr="00884FF1">
        <w:rPr>
          <w:b/>
          <w:bCs/>
          <w:sz w:val="20"/>
          <w:szCs w:val="20"/>
        </w:rPr>
        <w:t xml:space="preserve">(c) </w:t>
      </w:r>
      <w:r w:rsidR="00045901" w:rsidRPr="00884FF1">
        <w:rPr>
          <w:sz w:val="20"/>
          <w:szCs w:val="20"/>
        </w:rPr>
        <w:t>T</w:t>
      </w:r>
      <w:r w:rsidRPr="00884FF1">
        <w:rPr>
          <w:sz w:val="20"/>
          <w:szCs w:val="20"/>
        </w:rPr>
        <w:t xml:space="preserve">reatment of the underlying disease </w:t>
      </w:r>
      <w:r w:rsidRPr="00884FF1">
        <w:rPr>
          <w:b/>
          <w:bCs/>
          <w:sz w:val="20"/>
          <w:szCs w:val="20"/>
          <w:vertAlign w:val="superscript"/>
        </w:rPr>
        <w:t>(</w:t>
      </w:r>
      <w:r w:rsidR="009C2823" w:rsidRPr="00884FF1">
        <w:rPr>
          <w:b/>
          <w:bCs/>
          <w:sz w:val="20"/>
          <w:szCs w:val="20"/>
          <w:vertAlign w:val="superscript"/>
        </w:rPr>
        <w:t>9</w:t>
      </w:r>
      <w:r w:rsidRPr="00884FF1">
        <w:rPr>
          <w:b/>
          <w:bCs/>
          <w:sz w:val="20"/>
          <w:szCs w:val="20"/>
          <w:vertAlign w:val="superscript"/>
        </w:rPr>
        <w:t>)</w:t>
      </w:r>
      <w:r w:rsidRPr="00884FF1">
        <w:rPr>
          <w:b/>
          <w:bCs/>
          <w:sz w:val="20"/>
          <w:szCs w:val="20"/>
        </w:rPr>
        <w:t>.</w:t>
      </w:r>
    </w:p>
    <w:p w:rsidR="00A05985" w:rsidRPr="00884FF1" w:rsidRDefault="00A05985" w:rsidP="00884FF1">
      <w:pPr>
        <w:autoSpaceDE w:val="0"/>
        <w:autoSpaceDN w:val="0"/>
        <w:bidi w:val="0"/>
        <w:adjustRightInd w:val="0"/>
        <w:snapToGrid w:val="0"/>
        <w:ind w:firstLine="425"/>
        <w:jc w:val="both"/>
        <w:rPr>
          <w:sz w:val="20"/>
          <w:szCs w:val="20"/>
        </w:rPr>
      </w:pPr>
      <w:r w:rsidRPr="00884FF1">
        <w:rPr>
          <w:sz w:val="20"/>
          <w:szCs w:val="20"/>
        </w:rPr>
        <w:t>Understanding</w:t>
      </w:r>
      <w:r w:rsidR="00045901" w:rsidRPr="00884FF1">
        <w:rPr>
          <w:sz w:val="20"/>
          <w:szCs w:val="20"/>
        </w:rPr>
        <w:t xml:space="preserve"> </w:t>
      </w:r>
      <w:r w:rsidRPr="00884FF1">
        <w:rPr>
          <w:sz w:val="20"/>
          <w:szCs w:val="20"/>
        </w:rPr>
        <w:t>normal physiology during</w:t>
      </w:r>
      <w:r w:rsidR="00DE6F54">
        <w:rPr>
          <w:sz w:val="20"/>
          <w:szCs w:val="20"/>
        </w:rPr>
        <w:t xml:space="preserve"> </w:t>
      </w:r>
      <w:r w:rsidRPr="00884FF1">
        <w:rPr>
          <w:sz w:val="20"/>
          <w:szCs w:val="20"/>
        </w:rPr>
        <w:t>pregnancy provides a context to further describe changes in pregnancy that lead to renal dysfunction and may provide clues to better management</w:t>
      </w:r>
      <w:r w:rsidRPr="00884FF1">
        <w:rPr>
          <w:sz w:val="20"/>
          <w:szCs w:val="20"/>
          <w:vertAlign w:val="superscript"/>
        </w:rPr>
        <w:t>.</w:t>
      </w:r>
      <w:r w:rsidR="009C2823" w:rsidRPr="00884FF1">
        <w:rPr>
          <w:b/>
          <w:bCs/>
          <w:sz w:val="20"/>
          <w:szCs w:val="20"/>
          <w:vertAlign w:val="superscript"/>
        </w:rPr>
        <w:t>(10</w:t>
      </w:r>
      <w:r w:rsidRPr="00884FF1">
        <w:rPr>
          <w:b/>
          <w:bCs/>
          <w:sz w:val="20"/>
          <w:szCs w:val="20"/>
          <w:vertAlign w:val="superscript"/>
        </w:rPr>
        <w:t>)</w:t>
      </w:r>
      <w:r w:rsidR="00516213" w:rsidRPr="00884FF1">
        <w:rPr>
          <w:b/>
          <w:bCs/>
          <w:sz w:val="20"/>
          <w:szCs w:val="20"/>
        </w:rPr>
        <w:t>.</w:t>
      </w:r>
    </w:p>
    <w:p w:rsidR="00F707FB" w:rsidRPr="00884FF1" w:rsidRDefault="00F707FB" w:rsidP="00884FF1">
      <w:pPr>
        <w:bidi w:val="0"/>
        <w:snapToGrid w:val="0"/>
        <w:jc w:val="both"/>
        <w:rPr>
          <w:b/>
          <w:bCs/>
          <w:sz w:val="20"/>
          <w:szCs w:val="20"/>
          <w:lang w:bidi="ar-EG"/>
        </w:rPr>
      </w:pPr>
    </w:p>
    <w:p w:rsidR="00D55212" w:rsidRPr="00884FF1" w:rsidRDefault="004546D5" w:rsidP="00884FF1">
      <w:pPr>
        <w:bidi w:val="0"/>
        <w:snapToGrid w:val="0"/>
        <w:jc w:val="both"/>
        <w:rPr>
          <w:b/>
          <w:bCs/>
          <w:sz w:val="20"/>
          <w:szCs w:val="20"/>
          <w:lang w:bidi="ar-EG"/>
        </w:rPr>
      </w:pPr>
      <w:r w:rsidRPr="00884FF1">
        <w:rPr>
          <w:b/>
          <w:bCs/>
          <w:sz w:val="20"/>
          <w:szCs w:val="20"/>
          <w:lang w:bidi="ar-EG"/>
        </w:rPr>
        <w:t>2.</w:t>
      </w:r>
      <w:r w:rsidR="00F707FB" w:rsidRPr="00884FF1">
        <w:rPr>
          <w:b/>
          <w:bCs/>
          <w:sz w:val="20"/>
          <w:szCs w:val="20"/>
          <w:lang w:bidi="ar-EG"/>
        </w:rPr>
        <w:t xml:space="preserve"> Patients and methods</w:t>
      </w:r>
    </w:p>
    <w:p w:rsidR="00D55212" w:rsidRPr="00884FF1" w:rsidRDefault="00D55212" w:rsidP="00884FF1">
      <w:pPr>
        <w:autoSpaceDE w:val="0"/>
        <w:autoSpaceDN w:val="0"/>
        <w:bidi w:val="0"/>
        <w:adjustRightInd w:val="0"/>
        <w:snapToGrid w:val="0"/>
        <w:ind w:firstLine="425"/>
        <w:jc w:val="both"/>
        <w:rPr>
          <w:sz w:val="20"/>
          <w:szCs w:val="20"/>
        </w:rPr>
      </w:pPr>
      <w:r w:rsidRPr="00884FF1">
        <w:rPr>
          <w:sz w:val="20"/>
          <w:szCs w:val="20"/>
        </w:rPr>
        <w:t xml:space="preserve">This study was conducted on 120 female patients during the peripartum period selected from the Gynacology and Obstetric Department &amp; Nephrology Unit of Meoufiya University Hospitals and Shebien Elkom Teaching Hospital during the period from </w:t>
      </w:r>
      <w:r w:rsidR="00F707FB" w:rsidRPr="00884FF1">
        <w:rPr>
          <w:sz w:val="20"/>
          <w:szCs w:val="20"/>
        </w:rPr>
        <w:t>December,</w:t>
      </w:r>
      <w:r w:rsidRPr="00884FF1">
        <w:rPr>
          <w:sz w:val="20"/>
          <w:szCs w:val="20"/>
        </w:rPr>
        <w:t xml:space="preserve"> 2012 to August, 2014.</w:t>
      </w:r>
    </w:p>
    <w:p w:rsidR="00D55212" w:rsidRPr="00884FF1" w:rsidRDefault="00D55212" w:rsidP="00884FF1">
      <w:pPr>
        <w:widowControl w:val="0"/>
        <w:autoSpaceDE w:val="0"/>
        <w:autoSpaceDN w:val="0"/>
        <w:bidi w:val="0"/>
        <w:adjustRightInd w:val="0"/>
        <w:snapToGrid w:val="0"/>
        <w:ind w:firstLine="425"/>
        <w:jc w:val="both"/>
        <w:rPr>
          <w:sz w:val="20"/>
          <w:szCs w:val="20"/>
          <w:lang w:bidi="ar-EG"/>
        </w:rPr>
      </w:pPr>
      <w:r w:rsidRPr="00884FF1">
        <w:rPr>
          <w:sz w:val="20"/>
          <w:szCs w:val="20"/>
        </w:rPr>
        <w:t xml:space="preserve">The study population was divided into 2 </w:t>
      </w:r>
      <w:r w:rsidR="00F707FB" w:rsidRPr="00884FF1">
        <w:rPr>
          <w:sz w:val="20"/>
          <w:szCs w:val="20"/>
        </w:rPr>
        <w:t>groups:</w:t>
      </w:r>
    </w:p>
    <w:p w:rsidR="00D55212" w:rsidRPr="00884FF1" w:rsidRDefault="00D55212" w:rsidP="00884FF1">
      <w:pPr>
        <w:autoSpaceDE w:val="0"/>
        <w:autoSpaceDN w:val="0"/>
        <w:bidi w:val="0"/>
        <w:adjustRightInd w:val="0"/>
        <w:snapToGrid w:val="0"/>
        <w:ind w:firstLine="425"/>
        <w:jc w:val="both"/>
        <w:rPr>
          <w:sz w:val="20"/>
          <w:szCs w:val="20"/>
        </w:rPr>
      </w:pPr>
      <w:r w:rsidRPr="00884FF1">
        <w:rPr>
          <w:sz w:val="20"/>
          <w:szCs w:val="20"/>
        </w:rPr>
        <w:t>*</w:t>
      </w:r>
      <w:r w:rsidRPr="00884FF1">
        <w:rPr>
          <w:b/>
          <w:bCs/>
          <w:sz w:val="20"/>
          <w:szCs w:val="20"/>
        </w:rPr>
        <w:t>Group 1</w:t>
      </w:r>
      <w:r w:rsidRPr="00884FF1">
        <w:rPr>
          <w:sz w:val="20"/>
          <w:szCs w:val="20"/>
        </w:rPr>
        <w:t xml:space="preserve"> patients with acute kidney injury </w:t>
      </w:r>
      <w:r w:rsidRPr="00884FF1">
        <w:rPr>
          <w:b/>
          <w:bCs/>
          <w:sz w:val="20"/>
          <w:szCs w:val="20"/>
        </w:rPr>
        <w:t>(AKI Group)</w:t>
      </w:r>
      <w:r w:rsidRPr="00884FF1">
        <w:rPr>
          <w:sz w:val="20"/>
          <w:szCs w:val="20"/>
        </w:rPr>
        <w:t>: included 49 patients (40.8%).</w:t>
      </w:r>
    </w:p>
    <w:p w:rsidR="00D55212" w:rsidRPr="00884FF1" w:rsidRDefault="00D55212" w:rsidP="00884FF1">
      <w:pPr>
        <w:bidi w:val="0"/>
        <w:snapToGrid w:val="0"/>
        <w:ind w:firstLine="425"/>
        <w:jc w:val="both"/>
        <w:rPr>
          <w:sz w:val="20"/>
          <w:szCs w:val="20"/>
          <w:lang w:bidi="ar-EG"/>
        </w:rPr>
      </w:pPr>
      <w:r w:rsidRPr="00884FF1">
        <w:rPr>
          <w:sz w:val="20"/>
          <w:szCs w:val="20"/>
        </w:rPr>
        <w:t>*</w:t>
      </w:r>
      <w:r w:rsidRPr="00884FF1">
        <w:rPr>
          <w:b/>
          <w:bCs/>
          <w:sz w:val="20"/>
          <w:szCs w:val="20"/>
        </w:rPr>
        <w:t>Group 2</w:t>
      </w:r>
      <w:r w:rsidRPr="00884FF1">
        <w:rPr>
          <w:sz w:val="20"/>
          <w:szCs w:val="20"/>
        </w:rPr>
        <w:t xml:space="preserve"> patients with non acute kidney injury </w:t>
      </w:r>
      <w:r w:rsidRPr="00884FF1">
        <w:rPr>
          <w:b/>
          <w:bCs/>
          <w:sz w:val="20"/>
          <w:szCs w:val="20"/>
        </w:rPr>
        <w:t>(Non AKI Group)</w:t>
      </w:r>
      <w:r w:rsidRPr="00884FF1">
        <w:rPr>
          <w:sz w:val="20"/>
          <w:szCs w:val="20"/>
        </w:rPr>
        <w:t>: included 71patients (59.2%)</w:t>
      </w:r>
      <w:r w:rsidRPr="00884FF1">
        <w:rPr>
          <w:sz w:val="20"/>
          <w:szCs w:val="20"/>
          <w:lang w:bidi="ar-EG"/>
        </w:rPr>
        <w:t>.</w:t>
      </w:r>
    </w:p>
    <w:p w:rsidR="00D55212" w:rsidRPr="00884FF1" w:rsidRDefault="00D55212" w:rsidP="00884FF1">
      <w:pPr>
        <w:autoSpaceDE w:val="0"/>
        <w:autoSpaceDN w:val="0"/>
        <w:bidi w:val="0"/>
        <w:adjustRightInd w:val="0"/>
        <w:snapToGrid w:val="0"/>
        <w:jc w:val="both"/>
        <w:rPr>
          <w:b/>
          <w:bCs/>
          <w:sz w:val="20"/>
          <w:szCs w:val="20"/>
        </w:rPr>
      </w:pPr>
      <w:r w:rsidRPr="00884FF1">
        <w:rPr>
          <w:b/>
          <w:bCs/>
          <w:sz w:val="20"/>
          <w:szCs w:val="20"/>
        </w:rPr>
        <w:t>Inclusion criteria:</w:t>
      </w:r>
    </w:p>
    <w:p w:rsidR="00D55212" w:rsidRPr="00884FF1" w:rsidRDefault="00D55212" w:rsidP="00884FF1">
      <w:pPr>
        <w:autoSpaceDE w:val="0"/>
        <w:autoSpaceDN w:val="0"/>
        <w:bidi w:val="0"/>
        <w:adjustRightInd w:val="0"/>
        <w:snapToGrid w:val="0"/>
        <w:ind w:firstLine="425"/>
        <w:jc w:val="both"/>
        <w:rPr>
          <w:sz w:val="20"/>
          <w:szCs w:val="20"/>
        </w:rPr>
      </w:pPr>
      <w:r w:rsidRPr="00884FF1">
        <w:rPr>
          <w:sz w:val="20"/>
          <w:szCs w:val="20"/>
        </w:rPr>
        <w:t>1-</w:t>
      </w:r>
      <w:r w:rsidR="00DE6F54">
        <w:rPr>
          <w:sz w:val="20"/>
          <w:szCs w:val="20"/>
        </w:rPr>
        <w:t xml:space="preserve"> </w:t>
      </w:r>
      <w:r w:rsidRPr="00884FF1">
        <w:rPr>
          <w:sz w:val="20"/>
          <w:szCs w:val="20"/>
        </w:rPr>
        <w:t>Chronic hypertensive patients.</w:t>
      </w:r>
    </w:p>
    <w:p w:rsidR="00D55212" w:rsidRPr="00884FF1" w:rsidRDefault="00D55212" w:rsidP="00884FF1">
      <w:pPr>
        <w:autoSpaceDE w:val="0"/>
        <w:autoSpaceDN w:val="0"/>
        <w:bidi w:val="0"/>
        <w:adjustRightInd w:val="0"/>
        <w:snapToGrid w:val="0"/>
        <w:ind w:firstLine="425"/>
        <w:jc w:val="both"/>
        <w:rPr>
          <w:sz w:val="20"/>
          <w:szCs w:val="20"/>
        </w:rPr>
      </w:pPr>
      <w:r w:rsidRPr="00884FF1">
        <w:rPr>
          <w:sz w:val="20"/>
          <w:szCs w:val="20"/>
        </w:rPr>
        <w:t>2- Diabetic patients.</w:t>
      </w:r>
    </w:p>
    <w:p w:rsidR="00D55212" w:rsidRPr="00884FF1" w:rsidRDefault="00D55212" w:rsidP="00884FF1">
      <w:pPr>
        <w:autoSpaceDE w:val="0"/>
        <w:autoSpaceDN w:val="0"/>
        <w:bidi w:val="0"/>
        <w:adjustRightInd w:val="0"/>
        <w:snapToGrid w:val="0"/>
        <w:ind w:firstLine="425"/>
        <w:jc w:val="both"/>
        <w:rPr>
          <w:sz w:val="20"/>
          <w:szCs w:val="20"/>
        </w:rPr>
      </w:pPr>
      <w:r w:rsidRPr="00884FF1">
        <w:rPr>
          <w:sz w:val="20"/>
          <w:szCs w:val="20"/>
        </w:rPr>
        <w:t>3- Patients with autoimmune diseases (systemic lupus or antiphospholipid).</w:t>
      </w:r>
    </w:p>
    <w:p w:rsidR="00D55212" w:rsidRPr="00884FF1" w:rsidRDefault="00D55212" w:rsidP="00884FF1">
      <w:pPr>
        <w:autoSpaceDE w:val="0"/>
        <w:autoSpaceDN w:val="0"/>
        <w:bidi w:val="0"/>
        <w:adjustRightInd w:val="0"/>
        <w:snapToGrid w:val="0"/>
        <w:ind w:firstLine="425"/>
        <w:jc w:val="both"/>
        <w:rPr>
          <w:sz w:val="20"/>
          <w:szCs w:val="20"/>
        </w:rPr>
      </w:pPr>
      <w:r w:rsidRPr="00884FF1">
        <w:rPr>
          <w:sz w:val="20"/>
          <w:szCs w:val="20"/>
        </w:rPr>
        <w:t>4-Patients with preeclampsia (previous history or current preeclampsia).</w:t>
      </w:r>
    </w:p>
    <w:p w:rsidR="00D55212" w:rsidRPr="00884FF1" w:rsidRDefault="00D55212" w:rsidP="00884FF1">
      <w:pPr>
        <w:autoSpaceDE w:val="0"/>
        <w:autoSpaceDN w:val="0"/>
        <w:bidi w:val="0"/>
        <w:adjustRightInd w:val="0"/>
        <w:snapToGrid w:val="0"/>
        <w:ind w:firstLine="425"/>
        <w:jc w:val="both"/>
        <w:rPr>
          <w:sz w:val="20"/>
          <w:szCs w:val="20"/>
        </w:rPr>
      </w:pPr>
      <w:r w:rsidRPr="00884FF1">
        <w:rPr>
          <w:sz w:val="20"/>
          <w:szCs w:val="20"/>
        </w:rPr>
        <w:t>5-Cases of antepartum hemorrhage.</w:t>
      </w:r>
    </w:p>
    <w:p w:rsidR="00D55212" w:rsidRPr="00884FF1" w:rsidRDefault="00D55212" w:rsidP="00884FF1">
      <w:pPr>
        <w:autoSpaceDE w:val="0"/>
        <w:autoSpaceDN w:val="0"/>
        <w:bidi w:val="0"/>
        <w:adjustRightInd w:val="0"/>
        <w:snapToGrid w:val="0"/>
        <w:ind w:firstLine="425"/>
        <w:jc w:val="both"/>
        <w:rPr>
          <w:sz w:val="20"/>
          <w:szCs w:val="20"/>
        </w:rPr>
      </w:pPr>
      <w:r w:rsidRPr="00884FF1">
        <w:rPr>
          <w:sz w:val="20"/>
          <w:szCs w:val="20"/>
        </w:rPr>
        <w:t>6-Fatty liver with pregnancy.</w:t>
      </w:r>
    </w:p>
    <w:p w:rsidR="00D55212" w:rsidRPr="00884FF1" w:rsidRDefault="00D55212" w:rsidP="00884FF1">
      <w:pPr>
        <w:autoSpaceDE w:val="0"/>
        <w:autoSpaceDN w:val="0"/>
        <w:bidi w:val="0"/>
        <w:adjustRightInd w:val="0"/>
        <w:snapToGrid w:val="0"/>
        <w:ind w:firstLine="425"/>
        <w:jc w:val="both"/>
        <w:rPr>
          <w:sz w:val="20"/>
          <w:szCs w:val="20"/>
        </w:rPr>
      </w:pPr>
      <w:r w:rsidRPr="00884FF1">
        <w:rPr>
          <w:sz w:val="20"/>
          <w:szCs w:val="20"/>
        </w:rPr>
        <w:t>7-Patients with coagulation disorders.</w:t>
      </w:r>
    </w:p>
    <w:p w:rsidR="00D55212" w:rsidRPr="00884FF1" w:rsidRDefault="00D55212" w:rsidP="00884FF1">
      <w:pPr>
        <w:autoSpaceDE w:val="0"/>
        <w:autoSpaceDN w:val="0"/>
        <w:bidi w:val="0"/>
        <w:adjustRightInd w:val="0"/>
        <w:snapToGrid w:val="0"/>
        <w:jc w:val="both"/>
        <w:rPr>
          <w:sz w:val="20"/>
          <w:szCs w:val="20"/>
        </w:rPr>
      </w:pPr>
      <w:r w:rsidRPr="00884FF1">
        <w:rPr>
          <w:b/>
          <w:bCs/>
          <w:sz w:val="20"/>
          <w:szCs w:val="20"/>
        </w:rPr>
        <w:t>Exclusion criteria:</w:t>
      </w:r>
    </w:p>
    <w:p w:rsidR="00D55212" w:rsidRPr="00884FF1" w:rsidRDefault="00D55212" w:rsidP="00884FF1">
      <w:pPr>
        <w:numPr>
          <w:ilvl w:val="0"/>
          <w:numId w:val="4"/>
        </w:numPr>
        <w:autoSpaceDE w:val="0"/>
        <w:autoSpaceDN w:val="0"/>
        <w:bidi w:val="0"/>
        <w:adjustRightInd w:val="0"/>
        <w:snapToGrid w:val="0"/>
        <w:ind w:left="0" w:firstLine="425"/>
        <w:jc w:val="both"/>
        <w:rPr>
          <w:sz w:val="20"/>
          <w:szCs w:val="20"/>
        </w:rPr>
      </w:pPr>
      <w:r w:rsidRPr="00884FF1">
        <w:rPr>
          <w:sz w:val="20"/>
          <w:szCs w:val="20"/>
        </w:rPr>
        <w:t>Patients with chronic kidney disease(CKD)</w:t>
      </w:r>
      <w:r w:rsidR="00DE6F54">
        <w:rPr>
          <w:sz w:val="20"/>
          <w:szCs w:val="20"/>
        </w:rPr>
        <w:t>.</w:t>
      </w:r>
    </w:p>
    <w:p w:rsidR="00D55212" w:rsidRPr="00884FF1" w:rsidRDefault="00D55212" w:rsidP="00884FF1">
      <w:pPr>
        <w:numPr>
          <w:ilvl w:val="0"/>
          <w:numId w:val="4"/>
        </w:numPr>
        <w:autoSpaceDE w:val="0"/>
        <w:autoSpaceDN w:val="0"/>
        <w:bidi w:val="0"/>
        <w:adjustRightInd w:val="0"/>
        <w:snapToGrid w:val="0"/>
        <w:ind w:left="0" w:firstLine="425"/>
        <w:jc w:val="both"/>
        <w:rPr>
          <w:sz w:val="20"/>
          <w:szCs w:val="20"/>
        </w:rPr>
      </w:pPr>
      <w:r w:rsidRPr="00884FF1">
        <w:rPr>
          <w:sz w:val="20"/>
          <w:szCs w:val="20"/>
        </w:rPr>
        <w:t>Patients with end stage renal disease (ESRD).</w:t>
      </w:r>
    </w:p>
    <w:p w:rsidR="00D55212" w:rsidRPr="00884FF1" w:rsidRDefault="00D55212" w:rsidP="00884FF1">
      <w:pPr>
        <w:widowControl w:val="0"/>
        <w:autoSpaceDE w:val="0"/>
        <w:autoSpaceDN w:val="0"/>
        <w:bidi w:val="0"/>
        <w:adjustRightInd w:val="0"/>
        <w:snapToGrid w:val="0"/>
        <w:jc w:val="both"/>
        <w:rPr>
          <w:sz w:val="20"/>
          <w:szCs w:val="20"/>
          <w:lang w:bidi="ar-EG"/>
        </w:rPr>
      </w:pPr>
      <w:r w:rsidRPr="00884FF1">
        <w:rPr>
          <w:b/>
          <w:bCs/>
          <w:sz w:val="20"/>
          <w:szCs w:val="20"/>
        </w:rPr>
        <w:t>All the studied groups were subjected to the followin</w:t>
      </w:r>
      <w:r w:rsidR="008A359D" w:rsidRPr="00884FF1">
        <w:rPr>
          <w:b/>
          <w:bCs/>
          <w:sz w:val="20"/>
          <w:szCs w:val="20"/>
        </w:rPr>
        <w:t>g:</w:t>
      </w:r>
    </w:p>
    <w:p w:rsidR="00D55212" w:rsidRPr="00884FF1" w:rsidRDefault="00D55212" w:rsidP="00884FF1">
      <w:pPr>
        <w:autoSpaceDE w:val="0"/>
        <w:autoSpaceDN w:val="0"/>
        <w:bidi w:val="0"/>
        <w:adjustRightInd w:val="0"/>
        <w:snapToGrid w:val="0"/>
        <w:jc w:val="both"/>
        <w:rPr>
          <w:b/>
          <w:bCs/>
          <w:sz w:val="20"/>
          <w:szCs w:val="20"/>
        </w:rPr>
      </w:pPr>
      <w:r w:rsidRPr="00884FF1">
        <w:rPr>
          <w:b/>
          <w:bCs/>
          <w:sz w:val="20"/>
          <w:szCs w:val="20"/>
        </w:rPr>
        <w:t xml:space="preserve">1- Full history taking </w:t>
      </w:r>
      <w:r w:rsidR="00F707FB" w:rsidRPr="00884FF1">
        <w:rPr>
          <w:b/>
          <w:bCs/>
          <w:sz w:val="20"/>
          <w:szCs w:val="20"/>
        </w:rPr>
        <w:t>including:</w:t>
      </w:r>
    </w:p>
    <w:p w:rsidR="00D55212" w:rsidRPr="00884FF1" w:rsidRDefault="00D55212" w:rsidP="00884FF1">
      <w:pPr>
        <w:autoSpaceDE w:val="0"/>
        <w:autoSpaceDN w:val="0"/>
        <w:bidi w:val="0"/>
        <w:adjustRightInd w:val="0"/>
        <w:snapToGrid w:val="0"/>
        <w:ind w:firstLine="425"/>
        <w:jc w:val="both"/>
        <w:rPr>
          <w:sz w:val="20"/>
          <w:szCs w:val="20"/>
        </w:rPr>
      </w:pPr>
      <w:r w:rsidRPr="00884FF1">
        <w:rPr>
          <w:sz w:val="20"/>
          <w:szCs w:val="20"/>
        </w:rPr>
        <w:t>Age, Sex</w:t>
      </w:r>
      <w:r w:rsidR="00DE6F54">
        <w:rPr>
          <w:sz w:val="20"/>
          <w:szCs w:val="20"/>
        </w:rPr>
        <w:t>,</w:t>
      </w:r>
      <w:r w:rsidRPr="00884FF1">
        <w:rPr>
          <w:sz w:val="20"/>
          <w:szCs w:val="20"/>
        </w:rPr>
        <w:t xml:space="preserve"> gynecological and obstetric history, past history, family history,</w:t>
      </w:r>
      <w:r w:rsidR="00DE6F54">
        <w:rPr>
          <w:sz w:val="20"/>
          <w:szCs w:val="20"/>
        </w:rPr>
        <w:t xml:space="preserve"> </w:t>
      </w:r>
      <w:r w:rsidRPr="00884FF1">
        <w:rPr>
          <w:sz w:val="20"/>
          <w:szCs w:val="20"/>
        </w:rPr>
        <w:t>body weight, Cardiovascular diseases, (e.g. chronic hypertension)</w:t>
      </w:r>
      <w:r w:rsidR="004318DA" w:rsidRPr="00884FF1">
        <w:rPr>
          <w:sz w:val="20"/>
          <w:szCs w:val="20"/>
        </w:rPr>
        <w:t>, Pre-existing chronic kidney disease or genitourinary symptoms,</w:t>
      </w:r>
      <w:r w:rsidR="00DE6F54">
        <w:rPr>
          <w:sz w:val="20"/>
          <w:szCs w:val="20"/>
        </w:rPr>
        <w:t>,</w:t>
      </w:r>
      <w:r w:rsidR="004318DA" w:rsidRPr="00884FF1">
        <w:rPr>
          <w:sz w:val="20"/>
          <w:szCs w:val="20"/>
        </w:rPr>
        <w:t xml:space="preserve"> serum creatinine, urine output, RRT, Pre-existing chronic disease (e.g Diabetes mellitus) Autoimmune diseases (e.g, antiphospholipid, systemic lupus),Preeclampsia (previous history and current preeclampsia)</w:t>
      </w:r>
    </w:p>
    <w:p w:rsidR="00D55212" w:rsidRPr="00884FF1" w:rsidRDefault="00D55212" w:rsidP="00884FF1">
      <w:pPr>
        <w:widowControl w:val="0"/>
        <w:autoSpaceDE w:val="0"/>
        <w:autoSpaceDN w:val="0"/>
        <w:bidi w:val="0"/>
        <w:adjustRightInd w:val="0"/>
        <w:snapToGrid w:val="0"/>
        <w:jc w:val="both"/>
        <w:rPr>
          <w:b/>
          <w:bCs/>
          <w:sz w:val="20"/>
          <w:szCs w:val="20"/>
        </w:rPr>
      </w:pPr>
      <w:r w:rsidRPr="00884FF1">
        <w:rPr>
          <w:b/>
          <w:bCs/>
          <w:sz w:val="20"/>
          <w:szCs w:val="20"/>
        </w:rPr>
        <w:t>2-</w:t>
      </w:r>
      <w:r w:rsidR="00F707FB" w:rsidRPr="00884FF1">
        <w:rPr>
          <w:b/>
          <w:bCs/>
          <w:sz w:val="20"/>
          <w:szCs w:val="20"/>
        </w:rPr>
        <w:t>Thorough physical examination</w:t>
      </w:r>
      <w:r w:rsidRPr="00884FF1">
        <w:rPr>
          <w:b/>
          <w:bCs/>
          <w:sz w:val="20"/>
          <w:szCs w:val="20"/>
        </w:rPr>
        <w:t>.</w:t>
      </w:r>
    </w:p>
    <w:p w:rsidR="00D55212" w:rsidRPr="00884FF1" w:rsidRDefault="00D55212" w:rsidP="00884FF1">
      <w:pPr>
        <w:widowControl w:val="0"/>
        <w:autoSpaceDE w:val="0"/>
        <w:autoSpaceDN w:val="0"/>
        <w:bidi w:val="0"/>
        <w:adjustRightInd w:val="0"/>
        <w:snapToGrid w:val="0"/>
        <w:jc w:val="both"/>
        <w:rPr>
          <w:rFonts w:eastAsia="MS Mincho"/>
          <w:sz w:val="20"/>
          <w:szCs w:val="20"/>
        </w:rPr>
      </w:pPr>
      <w:r w:rsidRPr="00884FF1">
        <w:rPr>
          <w:b/>
          <w:bCs/>
          <w:sz w:val="20"/>
          <w:szCs w:val="20"/>
        </w:rPr>
        <w:t xml:space="preserve">3-Laboratory </w:t>
      </w:r>
      <w:r w:rsidR="00F707FB" w:rsidRPr="00884FF1">
        <w:rPr>
          <w:b/>
          <w:bCs/>
          <w:sz w:val="20"/>
          <w:szCs w:val="20"/>
        </w:rPr>
        <w:t>Investigatio</w:t>
      </w:r>
      <w:r w:rsidR="00F707FB" w:rsidRPr="00884FF1">
        <w:rPr>
          <w:rFonts w:eastAsia="MS Mincho"/>
          <w:b/>
          <w:bCs/>
          <w:sz w:val="20"/>
          <w:szCs w:val="20"/>
        </w:rPr>
        <w:t>ns:</w:t>
      </w:r>
    </w:p>
    <w:p w:rsidR="00D55212" w:rsidRPr="00884FF1" w:rsidRDefault="00D55212" w:rsidP="00884FF1">
      <w:pPr>
        <w:autoSpaceDE w:val="0"/>
        <w:autoSpaceDN w:val="0"/>
        <w:bidi w:val="0"/>
        <w:adjustRightInd w:val="0"/>
        <w:snapToGrid w:val="0"/>
        <w:jc w:val="both"/>
        <w:rPr>
          <w:b/>
          <w:bCs/>
          <w:sz w:val="20"/>
          <w:szCs w:val="20"/>
        </w:rPr>
      </w:pPr>
      <w:r w:rsidRPr="00884FF1">
        <w:rPr>
          <w:b/>
          <w:bCs/>
          <w:sz w:val="20"/>
          <w:szCs w:val="20"/>
        </w:rPr>
        <w:t>A-Venous &amp;arterial blood samples were taken.</w:t>
      </w:r>
    </w:p>
    <w:p w:rsidR="00D55212" w:rsidRPr="00884FF1" w:rsidRDefault="00D55212" w:rsidP="00884FF1">
      <w:pPr>
        <w:numPr>
          <w:ilvl w:val="0"/>
          <w:numId w:val="5"/>
        </w:numPr>
        <w:tabs>
          <w:tab w:val="clear" w:pos="870"/>
          <w:tab w:val="num" w:pos="284"/>
        </w:tabs>
        <w:autoSpaceDE w:val="0"/>
        <w:autoSpaceDN w:val="0"/>
        <w:bidi w:val="0"/>
        <w:adjustRightInd w:val="0"/>
        <w:snapToGrid w:val="0"/>
        <w:ind w:left="0" w:firstLine="425"/>
        <w:jc w:val="both"/>
        <w:rPr>
          <w:sz w:val="20"/>
          <w:szCs w:val="20"/>
        </w:rPr>
      </w:pPr>
      <w:r w:rsidRPr="00884FF1">
        <w:rPr>
          <w:sz w:val="20"/>
          <w:szCs w:val="20"/>
        </w:rPr>
        <w:lastRenderedPageBreak/>
        <w:t>Serum creatinine</w:t>
      </w:r>
      <w:r w:rsidR="00DE6F54">
        <w:rPr>
          <w:sz w:val="20"/>
          <w:szCs w:val="20"/>
        </w:rPr>
        <w:t>.</w:t>
      </w:r>
      <w:r w:rsidRPr="00884FF1">
        <w:rPr>
          <w:sz w:val="20"/>
          <w:szCs w:val="20"/>
        </w:rPr>
        <w:t xml:space="preserve">( Estimated at first visit, intrapartum, 6weeks after delivery and follow up to AKI group of patients for more than 3 </w:t>
      </w:r>
      <w:r w:rsidR="006738AA" w:rsidRPr="00884FF1">
        <w:rPr>
          <w:sz w:val="20"/>
          <w:szCs w:val="20"/>
        </w:rPr>
        <w:t>months</w:t>
      </w:r>
      <w:r w:rsidRPr="00884FF1">
        <w:rPr>
          <w:sz w:val="20"/>
          <w:szCs w:val="20"/>
        </w:rPr>
        <w:t>)</w:t>
      </w:r>
      <w:r w:rsidR="00107BF8" w:rsidRPr="00884FF1">
        <w:rPr>
          <w:sz w:val="20"/>
          <w:szCs w:val="20"/>
        </w:rPr>
        <w:t>,</w:t>
      </w:r>
      <w:r w:rsidRPr="00884FF1">
        <w:rPr>
          <w:sz w:val="20"/>
          <w:szCs w:val="20"/>
        </w:rPr>
        <w:t>Blood urea nitrogen</w:t>
      </w:r>
      <w:r w:rsidR="00DE6F54">
        <w:rPr>
          <w:sz w:val="20"/>
          <w:szCs w:val="20"/>
        </w:rPr>
        <w:t>,</w:t>
      </w:r>
      <w:r w:rsidRPr="00884FF1">
        <w:rPr>
          <w:sz w:val="20"/>
          <w:szCs w:val="20"/>
        </w:rPr>
        <w:t>Arterial blood gases</w:t>
      </w:r>
      <w:r w:rsidR="00DE6F54">
        <w:rPr>
          <w:sz w:val="20"/>
          <w:szCs w:val="20"/>
        </w:rPr>
        <w:t>,</w:t>
      </w:r>
      <w:r w:rsidRPr="00884FF1">
        <w:rPr>
          <w:sz w:val="20"/>
          <w:szCs w:val="20"/>
        </w:rPr>
        <w:t>Liver funct</w:t>
      </w:r>
      <w:r w:rsidR="004318DA" w:rsidRPr="00884FF1">
        <w:rPr>
          <w:sz w:val="20"/>
          <w:szCs w:val="20"/>
        </w:rPr>
        <w:t>ion tests e.g.Serum billirubin</w:t>
      </w:r>
      <w:r w:rsidR="00DE6F54">
        <w:rPr>
          <w:sz w:val="20"/>
          <w:szCs w:val="20"/>
        </w:rPr>
        <w:t xml:space="preserve"> </w:t>
      </w:r>
      <w:r w:rsidRPr="00884FF1">
        <w:rPr>
          <w:sz w:val="20"/>
          <w:szCs w:val="20"/>
        </w:rPr>
        <w:t>and serum albumin</w:t>
      </w:r>
      <w:r w:rsidR="00DE6F54">
        <w:rPr>
          <w:sz w:val="20"/>
          <w:szCs w:val="20"/>
        </w:rPr>
        <w:t>,</w:t>
      </w:r>
      <w:r w:rsidR="00107BF8" w:rsidRPr="00884FF1">
        <w:rPr>
          <w:sz w:val="20"/>
          <w:szCs w:val="20"/>
        </w:rPr>
        <w:t>Prothrombin time (PT)</w:t>
      </w:r>
      <w:r w:rsidR="00DE6F54">
        <w:rPr>
          <w:sz w:val="20"/>
          <w:szCs w:val="20"/>
        </w:rPr>
        <w:t>,</w:t>
      </w:r>
      <w:r w:rsidRPr="00884FF1">
        <w:rPr>
          <w:sz w:val="20"/>
          <w:szCs w:val="20"/>
        </w:rPr>
        <w:t xml:space="preserve"> international normalize ratio (INR)</w:t>
      </w:r>
      <w:r w:rsidR="00107BF8" w:rsidRPr="00884FF1">
        <w:rPr>
          <w:sz w:val="20"/>
          <w:szCs w:val="20"/>
        </w:rPr>
        <w:t xml:space="preserve"> and </w:t>
      </w:r>
      <w:r w:rsidRPr="00884FF1">
        <w:rPr>
          <w:sz w:val="20"/>
          <w:szCs w:val="20"/>
        </w:rPr>
        <w:t>Complete blood count</w:t>
      </w:r>
    </w:p>
    <w:p w:rsidR="00D55212" w:rsidRPr="00884FF1" w:rsidRDefault="00D55212" w:rsidP="00884FF1">
      <w:pPr>
        <w:autoSpaceDE w:val="0"/>
        <w:autoSpaceDN w:val="0"/>
        <w:bidi w:val="0"/>
        <w:adjustRightInd w:val="0"/>
        <w:snapToGrid w:val="0"/>
        <w:jc w:val="both"/>
        <w:rPr>
          <w:sz w:val="20"/>
          <w:szCs w:val="20"/>
        </w:rPr>
      </w:pPr>
      <w:r w:rsidRPr="00884FF1">
        <w:rPr>
          <w:b/>
          <w:bCs/>
          <w:sz w:val="20"/>
          <w:szCs w:val="20"/>
        </w:rPr>
        <w:t>B-Complete urine analysis</w:t>
      </w:r>
      <w:r w:rsidR="008A359D" w:rsidRPr="00884FF1">
        <w:rPr>
          <w:sz w:val="20"/>
          <w:szCs w:val="20"/>
        </w:rPr>
        <w:t>.</w:t>
      </w:r>
    </w:p>
    <w:p w:rsidR="00D55212" w:rsidRPr="00884FF1" w:rsidRDefault="00D55212" w:rsidP="00884FF1">
      <w:pPr>
        <w:autoSpaceDE w:val="0"/>
        <w:autoSpaceDN w:val="0"/>
        <w:bidi w:val="0"/>
        <w:adjustRightInd w:val="0"/>
        <w:snapToGrid w:val="0"/>
        <w:jc w:val="both"/>
        <w:rPr>
          <w:b/>
          <w:bCs/>
          <w:sz w:val="20"/>
          <w:szCs w:val="20"/>
        </w:rPr>
      </w:pPr>
      <w:r w:rsidRPr="00884FF1">
        <w:rPr>
          <w:b/>
          <w:bCs/>
          <w:sz w:val="20"/>
          <w:szCs w:val="20"/>
        </w:rPr>
        <w:t>C- Urine Albumin to Creatinine ratio.</w:t>
      </w:r>
    </w:p>
    <w:p w:rsidR="00D55212" w:rsidRPr="00884FF1" w:rsidRDefault="00D55212" w:rsidP="00884FF1">
      <w:pPr>
        <w:autoSpaceDE w:val="0"/>
        <w:autoSpaceDN w:val="0"/>
        <w:bidi w:val="0"/>
        <w:adjustRightInd w:val="0"/>
        <w:snapToGrid w:val="0"/>
        <w:ind w:firstLine="425"/>
        <w:jc w:val="both"/>
        <w:rPr>
          <w:sz w:val="20"/>
          <w:szCs w:val="20"/>
        </w:rPr>
      </w:pPr>
      <w:r w:rsidRPr="00884FF1">
        <w:rPr>
          <w:b/>
          <w:bCs/>
          <w:sz w:val="20"/>
          <w:szCs w:val="20"/>
        </w:rPr>
        <w:t>(</w:t>
      </w:r>
      <w:r w:rsidRPr="00884FF1">
        <w:rPr>
          <w:sz w:val="20"/>
          <w:szCs w:val="20"/>
        </w:rPr>
        <w:t xml:space="preserve">In cases of creatinine exceeding 1.5 mg/dl or </w:t>
      </w:r>
      <w:r w:rsidR="006738AA" w:rsidRPr="00884FF1">
        <w:rPr>
          <w:sz w:val="20"/>
          <w:szCs w:val="20"/>
        </w:rPr>
        <w:t>hypertension</w:t>
      </w:r>
      <w:r w:rsidRPr="00884FF1">
        <w:rPr>
          <w:sz w:val="20"/>
          <w:szCs w:val="20"/>
        </w:rPr>
        <w:t xml:space="preserve"> &gt; 140/90 mmHg.).</w:t>
      </w:r>
    </w:p>
    <w:p w:rsidR="008A359D" w:rsidRPr="00884FF1" w:rsidRDefault="008A359D" w:rsidP="00884FF1">
      <w:pPr>
        <w:autoSpaceDE w:val="0"/>
        <w:autoSpaceDN w:val="0"/>
        <w:bidi w:val="0"/>
        <w:adjustRightInd w:val="0"/>
        <w:snapToGrid w:val="0"/>
        <w:jc w:val="both"/>
        <w:rPr>
          <w:sz w:val="20"/>
          <w:szCs w:val="20"/>
        </w:rPr>
      </w:pPr>
      <w:r w:rsidRPr="00884FF1">
        <w:rPr>
          <w:b/>
          <w:bCs/>
          <w:sz w:val="20"/>
          <w:szCs w:val="20"/>
        </w:rPr>
        <w:t>Sampling</w:t>
      </w:r>
      <w:r w:rsidRPr="00884FF1">
        <w:rPr>
          <w:sz w:val="20"/>
          <w:szCs w:val="20"/>
        </w:rPr>
        <w:t>:</w:t>
      </w:r>
    </w:p>
    <w:p w:rsidR="00765CAC" w:rsidRPr="00884FF1" w:rsidRDefault="008A359D" w:rsidP="00884FF1">
      <w:pPr>
        <w:autoSpaceDE w:val="0"/>
        <w:autoSpaceDN w:val="0"/>
        <w:bidi w:val="0"/>
        <w:adjustRightInd w:val="0"/>
        <w:snapToGrid w:val="0"/>
        <w:ind w:firstLine="425"/>
        <w:jc w:val="both"/>
        <w:rPr>
          <w:sz w:val="20"/>
          <w:szCs w:val="20"/>
        </w:rPr>
      </w:pPr>
      <w:r w:rsidRPr="00884FF1">
        <w:rPr>
          <w:sz w:val="20"/>
          <w:szCs w:val="20"/>
        </w:rPr>
        <w:t xml:space="preserve">Mid-stream urine samples were obtained from the studied subjects in sterile containers after instructing them to clean the genital area with soap and tap water. Morning urine samples were obtained whenever possible, in case of catheterized patients, the urine samples were collected after 30 minutes of clamping the catheter, through a syringe and needle inserted proximal to the site of clamping under all aseptic precautions. Urine samples were examined either immediately (within 2 hours) or, if not possible, refrigerated at 4ºC to be examined within 24 hours </w:t>
      </w:r>
      <w:r w:rsidRPr="00884FF1">
        <w:rPr>
          <w:b/>
          <w:bCs/>
          <w:i/>
          <w:iCs/>
          <w:sz w:val="20"/>
          <w:szCs w:val="20"/>
        </w:rPr>
        <w:t>(7).</w:t>
      </w:r>
      <w:r w:rsidR="00DE6F54">
        <w:rPr>
          <w:b/>
          <w:bCs/>
          <w:i/>
          <w:iCs/>
          <w:sz w:val="20"/>
          <w:szCs w:val="20"/>
        </w:rPr>
        <w:t xml:space="preserve"> </w:t>
      </w:r>
      <w:r w:rsidR="00765CAC" w:rsidRPr="00884FF1">
        <w:rPr>
          <w:sz w:val="20"/>
          <w:szCs w:val="20"/>
        </w:rPr>
        <w:t>measured by ichromia</w:t>
      </w:r>
      <w:r w:rsidR="00765CAC" w:rsidRPr="00884FF1">
        <w:rPr>
          <w:sz w:val="20"/>
          <w:szCs w:val="20"/>
          <w:vertAlign w:val="superscript"/>
        </w:rPr>
        <w:t>TM</w:t>
      </w:r>
      <w:r w:rsidR="00765CAC" w:rsidRPr="00884FF1">
        <w:rPr>
          <w:sz w:val="20"/>
          <w:szCs w:val="20"/>
        </w:rPr>
        <w:t xml:space="preserve"> Microalbumin along with ichromia</w:t>
      </w:r>
      <w:r w:rsidR="00765CAC" w:rsidRPr="00884FF1">
        <w:rPr>
          <w:sz w:val="20"/>
          <w:szCs w:val="20"/>
          <w:vertAlign w:val="superscript"/>
        </w:rPr>
        <w:t xml:space="preserve">TM </w:t>
      </w:r>
      <w:r w:rsidR="00765CAC" w:rsidRPr="00884FF1">
        <w:rPr>
          <w:sz w:val="20"/>
          <w:szCs w:val="20"/>
        </w:rPr>
        <w:t>Reader is a fluorescence immunoassay that measures concentration of Microalbumin in human urine.</w:t>
      </w:r>
    </w:p>
    <w:p w:rsidR="00A61ACB" w:rsidRPr="00884FF1" w:rsidRDefault="00A61ACB" w:rsidP="00884FF1">
      <w:pPr>
        <w:autoSpaceDE w:val="0"/>
        <w:autoSpaceDN w:val="0"/>
        <w:bidi w:val="0"/>
        <w:adjustRightInd w:val="0"/>
        <w:snapToGrid w:val="0"/>
        <w:jc w:val="both"/>
        <w:rPr>
          <w:b/>
          <w:bCs/>
          <w:sz w:val="20"/>
          <w:szCs w:val="20"/>
        </w:rPr>
      </w:pPr>
      <w:r w:rsidRPr="00884FF1">
        <w:rPr>
          <w:b/>
          <w:bCs/>
          <w:sz w:val="20"/>
          <w:szCs w:val="20"/>
        </w:rPr>
        <w:t>Statistical analysis of the collected data:-</w:t>
      </w:r>
    </w:p>
    <w:p w:rsidR="00A61ACB" w:rsidRPr="00884FF1" w:rsidRDefault="00A61ACB" w:rsidP="00884FF1">
      <w:pPr>
        <w:tabs>
          <w:tab w:val="right" w:pos="284"/>
        </w:tabs>
        <w:autoSpaceDE w:val="0"/>
        <w:autoSpaceDN w:val="0"/>
        <w:bidi w:val="0"/>
        <w:adjustRightInd w:val="0"/>
        <w:snapToGrid w:val="0"/>
        <w:ind w:firstLine="425"/>
        <w:jc w:val="both"/>
        <w:rPr>
          <w:sz w:val="20"/>
          <w:szCs w:val="20"/>
        </w:rPr>
      </w:pPr>
      <w:r w:rsidRPr="00884FF1">
        <w:rPr>
          <w:sz w:val="20"/>
          <w:szCs w:val="20"/>
        </w:rPr>
        <w:t>Data were collected, tabulated, statistically analyzed by computer using SPSS version 16. The quantitative data were expressed as mean and standard deviation (Mean ±SD). The qualitative data were expressed as number and percentage and analyzed by the chi-square test (x</w:t>
      </w:r>
      <w:r w:rsidRPr="00884FF1">
        <w:rPr>
          <w:sz w:val="20"/>
          <w:szCs w:val="20"/>
          <w:vertAlign w:val="superscript"/>
        </w:rPr>
        <w:t>2</w:t>
      </w:r>
      <w:r w:rsidRPr="00884FF1">
        <w:rPr>
          <w:sz w:val="20"/>
          <w:szCs w:val="20"/>
        </w:rPr>
        <w:t>) and the student's t test for the normally distributed variables and The Mann Whitney test was used for the non normally distributed variables.</w:t>
      </w:r>
      <w:r w:rsidR="004546D5" w:rsidRPr="00884FF1">
        <w:rPr>
          <w:sz w:val="20"/>
          <w:szCs w:val="20"/>
        </w:rPr>
        <w:t xml:space="preserve"> </w:t>
      </w:r>
      <w:r w:rsidRPr="00884FF1">
        <w:rPr>
          <w:sz w:val="20"/>
          <w:szCs w:val="20"/>
        </w:rPr>
        <w:t>The student t-test for comparison between two</w:t>
      </w:r>
      <w:r w:rsidR="004546D5" w:rsidRPr="00884FF1">
        <w:rPr>
          <w:sz w:val="20"/>
          <w:szCs w:val="20"/>
        </w:rPr>
        <w:t xml:space="preserve"> </w:t>
      </w:r>
      <w:r w:rsidRPr="00884FF1">
        <w:rPr>
          <w:sz w:val="20"/>
          <w:szCs w:val="20"/>
        </w:rPr>
        <w:t xml:space="preserve">means. All these tests were used as tests of significance at </w:t>
      </w:r>
      <w:r w:rsidRPr="00884FF1">
        <w:rPr>
          <w:i/>
          <w:iCs/>
          <w:sz w:val="20"/>
          <w:szCs w:val="20"/>
        </w:rPr>
        <w:t>p</w:t>
      </w:r>
      <w:r w:rsidRPr="00884FF1">
        <w:rPr>
          <w:sz w:val="20"/>
          <w:szCs w:val="20"/>
        </w:rPr>
        <w:t>&lt;0.05 level.</w:t>
      </w:r>
    </w:p>
    <w:p w:rsidR="007604E7" w:rsidRPr="00884FF1" w:rsidRDefault="007604E7" w:rsidP="00884FF1">
      <w:pPr>
        <w:bidi w:val="0"/>
        <w:snapToGrid w:val="0"/>
        <w:jc w:val="both"/>
        <w:rPr>
          <w:sz w:val="20"/>
          <w:szCs w:val="20"/>
          <w:lang w:bidi="ar-EG"/>
        </w:rPr>
      </w:pPr>
    </w:p>
    <w:p w:rsidR="007604E7" w:rsidRPr="00884FF1" w:rsidRDefault="00F707FB" w:rsidP="00884FF1">
      <w:pPr>
        <w:bidi w:val="0"/>
        <w:snapToGrid w:val="0"/>
        <w:jc w:val="both"/>
        <w:rPr>
          <w:b/>
          <w:bCs/>
          <w:sz w:val="20"/>
          <w:szCs w:val="20"/>
          <w:lang w:bidi="ar-EG"/>
        </w:rPr>
      </w:pPr>
      <w:r w:rsidRPr="00884FF1">
        <w:rPr>
          <w:b/>
          <w:bCs/>
          <w:sz w:val="20"/>
          <w:szCs w:val="20"/>
          <w:lang w:bidi="ar-EG"/>
        </w:rPr>
        <w:t>3. Results:</w:t>
      </w:r>
    </w:p>
    <w:p w:rsidR="007604E7" w:rsidRPr="00884FF1" w:rsidRDefault="007604E7" w:rsidP="00884FF1">
      <w:pPr>
        <w:autoSpaceDE w:val="0"/>
        <w:autoSpaceDN w:val="0"/>
        <w:bidi w:val="0"/>
        <w:adjustRightInd w:val="0"/>
        <w:snapToGrid w:val="0"/>
        <w:ind w:firstLine="425"/>
        <w:jc w:val="both"/>
        <w:rPr>
          <w:sz w:val="20"/>
          <w:szCs w:val="20"/>
        </w:rPr>
      </w:pPr>
      <w:r w:rsidRPr="00884FF1">
        <w:rPr>
          <w:sz w:val="20"/>
          <w:szCs w:val="20"/>
        </w:rPr>
        <w:t>Our study was conducted on 120 pregnant female patients during the peripartum period In this study16 patients (13.3%</w:t>
      </w:r>
      <w:r w:rsidR="00F707FB" w:rsidRPr="00884FF1">
        <w:rPr>
          <w:sz w:val="20"/>
          <w:szCs w:val="20"/>
        </w:rPr>
        <w:t>) were</w:t>
      </w:r>
      <w:r w:rsidRPr="00884FF1">
        <w:rPr>
          <w:sz w:val="20"/>
          <w:szCs w:val="20"/>
        </w:rPr>
        <w:t xml:space="preserve"> diabetic and 55 patients (45.8%) were hypertensive. Mean age of patients was </w:t>
      </w:r>
      <w:r w:rsidRPr="00884FF1">
        <w:rPr>
          <w:sz w:val="20"/>
          <w:szCs w:val="20"/>
          <w:lang w:bidi="ar-EG"/>
        </w:rPr>
        <w:t>27.61 ± 4.0</w:t>
      </w:r>
      <w:r w:rsidRPr="00884FF1">
        <w:rPr>
          <w:sz w:val="20"/>
          <w:szCs w:val="20"/>
        </w:rPr>
        <w:t xml:space="preserve"> years old ranging between 22-38 years old. The patients in this study were </w:t>
      </w:r>
      <w:r w:rsidR="00F707FB" w:rsidRPr="00884FF1">
        <w:rPr>
          <w:sz w:val="20"/>
          <w:szCs w:val="20"/>
        </w:rPr>
        <w:t>divided according</w:t>
      </w:r>
      <w:r w:rsidRPr="00884FF1">
        <w:rPr>
          <w:sz w:val="20"/>
          <w:szCs w:val="20"/>
        </w:rPr>
        <w:t xml:space="preserve"> to absolute increase in serum creatinine of =or&gt;0.3 mg/dl or a percentage increase in serum creatinine of=or&gt;50% (1.5-fold from baseline) (two creatinine values within 48 hours) into 2 groups:</w:t>
      </w:r>
    </w:p>
    <w:p w:rsidR="007604E7" w:rsidRPr="00884FF1" w:rsidRDefault="007604E7" w:rsidP="00884FF1">
      <w:pPr>
        <w:autoSpaceDE w:val="0"/>
        <w:autoSpaceDN w:val="0"/>
        <w:bidi w:val="0"/>
        <w:adjustRightInd w:val="0"/>
        <w:snapToGrid w:val="0"/>
        <w:ind w:firstLine="425"/>
        <w:jc w:val="both"/>
        <w:rPr>
          <w:sz w:val="20"/>
          <w:szCs w:val="20"/>
        </w:rPr>
      </w:pPr>
      <w:r w:rsidRPr="00884FF1">
        <w:rPr>
          <w:sz w:val="20"/>
          <w:szCs w:val="20"/>
        </w:rPr>
        <w:t>*</w:t>
      </w:r>
      <w:r w:rsidRPr="00884FF1">
        <w:rPr>
          <w:b/>
          <w:bCs/>
          <w:sz w:val="20"/>
          <w:szCs w:val="20"/>
        </w:rPr>
        <w:t>Group 1</w:t>
      </w:r>
      <w:r w:rsidRPr="00884FF1">
        <w:rPr>
          <w:sz w:val="20"/>
          <w:szCs w:val="20"/>
        </w:rPr>
        <w:t xml:space="preserve"> patients with acute kidney injury </w:t>
      </w:r>
      <w:r w:rsidRPr="00884FF1">
        <w:rPr>
          <w:b/>
          <w:bCs/>
          <w:sz w:val="20"/>
          <w:szCs w:val="20"/>
        </w:rPr>
        <w:t>(AKI Group)</w:t>
      </w:r>
      <w:r w:rsidRPr="00884FF1">
        <w:rPr>
          <w:sz w:val="20"/>
          <w:szCs w:val="20"/>
        </w:rPr>
        <w:t>: included 49 patients (40.8%).</w:t>
      </w:r>
    </w:p>
    <w:p w:rsidR="007604E7" w:rsidRDefault="007604E7" w:rsidP="00884FF1">
      <w:pPr>
        <w:bidi w:val="0"/>
        <w:snapToGrid w:val="0"/>
        <w:ind w:firstLine="425"/>
        <w:jc w:val="both"/>
        <w:rPr>
          <w:rFonts w:eastAsiaTheme="minorEastAsia"/>
          <w:sz w:val="20"/>
          <w:szCs w:val="20"/>
          <w:lang w:eastAsia="zh-CN" w:bidi="ar-EG"/>
        </w:rPr>
      </w:pPr>
      <w:r w:rsidRPr="00884FF1">
        <w:rPr>
          <w:sz w:val="20"/>
          <w:szCs w:val="20"/>
        </w:rPr>
        <w:t>*</w:t>
      </w:r>
      <w:r w:rsidRPr="00884FF1">
        <w:rPr>
          <w:b/>
          <w:bCs/>
          <w:sz w:val="20"/>
          <w:szCs w:val="20"/>
        </w:rPr>
        <w:t>Group 2</w:t>
      </w:r>
      <w:r w:rsidRPr="00884FF1">
        <w:rPr>
          <w:sz w:val="20"/>
          <w:szCs w:val="20"/>
        </w:rPr>
        <w:t xml:space="preserve"> patients with non acute kidney injury </w:t>
      </w:r>
      <w:r w:rsidRPr="00884FF1">
        <w:rPr>
          <w:b/>
          <w:bCs/>
          <w:sz w:val="20"/>
          <w:szCs w:val="20"/>
        </w:rPr>
        <w:t>(Non AKI Group)</w:t>
      </w:r>
      <w:r w:rsidRPr="00884FF1">
        <w:rPr>
          <w:sz w:val="20"/>
          <w:szCs w:val="20"/>
        </w:rPr>
        <w:t>: included 71patients (59.2%)</w:t>
      </w:r>
      <w:r w:rsidRPr="00884FF1">
        <w:rPr>
          <w:sz w:val="20"/>
          <w:szCs w:val="20"/>
          <w:lang w:bidi="ar-EG"/>
        </w:rPr>
        <w:t>.</w:t>
      </w:r>
    </w:p>
    <w:p w:rsidR="00A24675" w:rsidRPr="00884FF1" w:rsidRDefault="00A24675" w:rsidP="00A24675">
      <w:pPr>
        <w:bidi w:val="0"/>
        <w:snapToGrid w:val="0"/>
        <w:ind w:firstLine="425"/>
        <w:jc w:val="both"/>
        <w:rPr>
          <w:sz w:val="20"/>
          <w:szCs w:val="20"/>
          <w:lang w:bidi="ar-EG"/>
        </w:rPr>
      </w:pPr>
      <w:r w:rsidRPr="00884FF1">
        <w:rPr>
          <w:sz w:val="20"/>
          <w:szCs w:val="20"/>
          <w:lang w:bidi="ar-EG"/>
        </w:rPr>
        <w:lastRenderedPageBreak/>
        <w:t>Our study revealed that The group with AKI is of significantly higher age, systolic blood pressure, diastolic blood pressure</w:t>
      </w:r>
      <w:r w:rsidR="00DE6F54">
        <w:rPr>
          <w:sz w:val="20"/>
          <w:szCs w:val="20"/>
          <w:lang w:bidi="ar-EG"/>
        </w:rPr>
        <w:t>,</w:t>
      </w:r>
      <w:r w:rsidRPr="00884FF1">
        <w:rPr>
          <w:sz w:val="20"/>
          <w:szCs w:val="20"/>
          <w:lang w:bidi="ar-EG"/>
        </w:rPr>
        <w:t xml:space="preserve"> mean blood pressure</w:t>
      </w:r>
      <w:r w:rsidRPr="00884FF1">
        <w:rPr>
          <w:sz w:val="20"/>
          <w:szCs w:val="20"/>
        </w:rPr>
        <w:t>, diabetes mellitus, the percentage of preeclampsia, the heamodialysis and IUFD than non AKI group of patients.(Table1).</w:t>
      </w:r>
      <w:r w:rsidRPr="00884FF1">
        <w:rPr>
          <w:sz w:val="20"/>
          <w:szCs w:val="20"/>
          <w:lang w:bidi="ar-EG"/>
        </w:rPr>
        <w:t xml:space="preserve">also </w:t>
      </w:r>
      <w:r w:rsidRPr="00884FF1">
        <w:rPr>
          <w:sz w:val="20"/>
          <w:szCs w:val="20"/>
        </w:rPr>
        <w:t>the group with AKI is</w:t>
      </w:r>
      <w:r w:rsidR="00DE6F54">
        <w:rPr>
          <w:sz w:val="20"/>
          <w:szCs w:val="20"/>
        </w:rPr>
        <w:t xml:space="preserve"> </w:t>
      </w:r>
      <w:r w:rsidRPr="00884FF1">
        <w:rPr>
          <w:sz w:val="20"/>
          <w:szCs w:val="20"/>
        </w:rPr>
        <w:t>of significantly higher levels of serum creatinine 48 hours post partum, serum creatinine</w:t>
      </w:r>
      <w:r w:rsidR="00DE6F54">
        <w:rPr>
          <w:sz w:val="20"/>
          <w:szCs w:val="20"/>
        </w:rPr>
        <w:t xml:space="preserve"> </w:t>
      </w:r>
      <w:r w:rsidRPr="00884FF1">
        <w:rPr>
          <w:sz w:val="20"/>
          <w:szCs w:val="20"/>
        </w:rPr>
        <w:t>during 6 weeks after delivery, BUN 48hrs postpartum, BUN during 6 weeks after delivery, uric acid, blood glucose, albumin to creatinine ratio in urine,</w:t>
      </w:r>
      <w:r w:rsidR="00DE6F54">
        <w:rPr>
          <w:sz w:val="20"/>
          <w:szCs w:val="20"/>
        </w:rPr>
        <w:t xml:space="preserve"> </w:t>
      </w:r>
      <w:r w:rsidRPr="00884FF1">
        <w:rPr>
          <w:sz w:val="20"/>
          <w:szCs w:val="20"/>
        </w:rPr>
        <w:t>urine albumin to creatinine ratio during 6 weeks after delivery</w:t>
      </w:r>
      <w:r w:rsidRPr="00884FF1">
        <w:rPr>
          <w:sz w:val="20"/>
          <w:szCs w:val="20"/>
          <w:lang w:bidi="ar-EG"/>
        </w:rPr>
        <w:t xml:space="preserve"> (Table 2).</w:t>
      </w:r>
      <w:r w:rsidRPr="00884FF1">
        <w:rPr>
          <w:sz w:val="20"/>
          <w:szCs w:val="20"/>
        </w:rPr>
        <w:t xml:space="preserve"> There is no specific significant independent risk factor for AKI which means that the prediction of AKI is multi factorial such as hypertension, diabetes</w:t>
      </w:r>
      <w:r w:rsidR="00DE6F54">
        <w:rPr>
          <w:sz w:val="20"/>
          <w:szCs w:val="20"/>
        </w:rPr>
        <w:t>,</w:t>
      </w:r>
      <w:r w:rsidRPr="00884FF1">
        <w:rPr>
          <w:sz w:val="20"/>
          <w:szCs w:val="20"/>
        </w:rPr>
        <w:t xml:space="preserve">preeclampsia, increased serum creatinine 48 hours postpartum and other factors </w:t>
      </w:r>
      <w:r w:rsidRPr="00884FF1">
        <w:rPr>
          <w:sz w:val="20"/>
          <w:szCs w:val="20"/>
          <w:lang w:bidi="ar-EG"/>
        </w:rPr>
        <w:t xml:space="preserve">( Table 3).our study </w:t>
      </w:r>
      <w:r w:rsidRPr="00884FF1">
        <w:rPr>
          <w:sz w:val="20"/>
          <w:szCs w:val="20"/>
        </w:rPr>
        <w:t xml:space="preserve">shows that the group of patients with AKI needing heamodialysis is of significantly higher systolic, and mean blood pressure, hypertension, </w:t>
      </w:r>
      <w:r w:rsidRPr="00884FF1">
        <w:rPr>
          <w:sz w:val="20"/>
          <w:szCs w:val="20"/>
        </w:rPr>
        <w:lastRenderedPageBreak/>
        <w:t>diabetes</w:t>
      </w:r>
      <w:r w:rsidR="00DE6F54">
        <w:rPr>
          <w:sz w:val="20"/>
          <w:szCs w:val="20"/>
        </w:rPr>
        <w:t>,</w:t>
      </w:r>
      <w:r w:rsidRPr="00884FF1">
        <w:rPr>
          <w:sz w:val="20"/>
          <w:szCs w:val="20"/>
        </w:rPr>
        <w:t>preeclampsia than the group of patients with AKI not needing heamodialysis</w:t>
      </w:r>
      <w:r w:rsidRPr="00884FF1">
        <w:rPr>
          <w:sz w:val="20"/>
          <w:szCs w:val="20"/>
          <w:lang w:bidi="ar-EG"/>
        </w:rPr>
        <w:t xml:space="preserve">.(Table 4).And our study revealed that </w:t>
      </w:r>
      <w:r w:rsidRPr="00884FF1">
        <w:rPr>
          <w:sz w:val="20"/>
          <w:szCs w:val="20"/>
        </w:rPr>
        <w:t>serum creatinine 48 hrs post partum,Serum creatinine during 6 weeks after delivery, BUN 48hrs postpartum, BUN during 6 weeks after delivery</w:t>
      </w:r>
      <w:r w:rsidRPr="00884FF1">
        <w:rPr>
          <w:b/>
          <w:bCs/>
          <w:sz w:val="20"/>
          <w:szCs w:val="20"/>
        </w:rPr>
        <w:t xml:space="preserve">, </w:t>
      </w:r>
      <w:r w:rsidRPr="00884FF1">
        <w:rPr>
          <w:sz w:val="20"/>
          <w:szCs w:val="20"/>
        </w:rPr>
        <w:t>serum uric acid and urine albumin to creatinine ratio during 6 weeks after delivery are highly significant in AKI group.(Table 5).</w:t>
      </w:r>
      <w:r w:rsidRPr="00884FF1">
        <w:rPr>
          <w:sz w:val="20"/>
          <w:szCs w:val="20"/>
          <w:lang w:bidi="ar-EG"/>
        </w:rPr>
        <w:t xml:space="preserve"> DM, hypertension, serum creatinine 48 hrs post partum and uric acid are significant independent risk factors for prediction of heamodialysis patients with odds ratio (1.82, 2.34, 2.11, 1.73) respectively</w:t>
      </w:r>
      <w:r w:rsidRPr="00884FF1">
        <w:rPr>
          <w:rFonts w:hint="cs"/>
          <w:sz w:val="20"/>
          <w:szCs w:val="20"/>
          <w:lang w:bidi="ar-EG"/>
        </w:rPr>
        <w:t>)</w:t>
      </w:r>
      <w:r w:rsidRPr="00884FF1">
        <w:rPr>
          <w:sz w:val="20"/>
          <w:szCs w:val="20"/>
          <w:lang w:bidi="ar-EG"/>
        </w:rPr>
        <w:t>Table 6). 14 patients who went heamodialysis were followed up after 6 weeks and up to 3 months of delivery which revealed that 6 (42.9%) patients recovered completely while 5 (35.7%)</w:t>
      </w:r>
      <w:r w:rsidR="00DE6F54">
        <w:rPr>
          <w:sz w:val="20"/>
          <w:szCs w:val="20"/>
          <w:lang w:bidi="ar-EG"/>
        </w:rPr>
        <w:t xml:space="preserve"> </w:t>
      </w:r>
      <w:r w:rsidRPr="00884FF1">
        <w:rPr>
          <w:sz w:val="20"/>
          <w:szCs w:val="20"/>
          <w:lang w:bidi="ar-EG"/>
        </w:rPr>
        <w:t>patients completely recovered</w:t>
      </w:r>
      <w:r w:rsidR="00DE6F54">
        <w:rPr>
          <w:sz w:val="20"/>
          <w:szCs w:val="20"/>
          <w:lang w:bidi="ar-EG"/>
        </w:rPr>
        <w:t>,</w:t>
      </w:r>
      <w:r w:rsidRPr="00884FF1">
        <w:rPr>
          <w:sz w:val="20"/>
          <w:szCs w:val="20"/>
          <w:lang w:bidi="ar-EG"/>
        </w:rPr>
        <w:t xml:space="preserve"> 2 (14.3%) patients became Chronic Kidney Diseased patients and 1 (7.1%) patient became End Stage Renal Diseased patient after 3 months of follow up. (Table 7).</w:t>
      </w:r>
    </w:p>
    <w:p w:rsidR="00884FF1" w:rsidRDefault="00884FF1" w:rsidP="00884FF1">
      <w:pPr>
        <w:bidi w:val="0"/>
        <w:snapToGrid w:val="0"/>
        <w:jc w:val="center"/>
        <w:rPr>
          <w:b/>
          <w:bCs/>
          <w:sz w:val="20"/>
          <w:szCs w:val="20"/>
          <w:lang w:bidi="ar-EG"/>
        </w:rPr>
        <w:sectPr w:rsidR="00884FF1" w:rsidSect="00DE6F54">
          <w:type w:val="continuous"/>
          <w:pgSz w:w="12242" w:h="15842" w:code="1"/>
          <w:pgMar w:top="1440" w:right="1440" w:bottom="1440" w:left="1440" w:header="720" w:footer="720" w:gutter="0"/>
          <w:cols w:num="2" w:space="600"/>
          <w:docGrid w:linePitch="360"/>
        </w:sectPr>
      </w:pPr>
    </w:p>
    <w:p w:rsidR="00446847" w:rsidRPr="00884FF1" w:rsidRDefault="00446847" w:rsidP="00884FF1">
      <w:pPr>
        <w:bidi w:val="0"/>
        <w:snapToGrid w:val="0"/>
        <w:jc w:val="center"/>
        <w:rPr>
          <w:b/>
          <w:bCs/>
          <w:sz w:val="20"/>
          <w:szCs w:val="20"/>
          <w:lang w:bidi="ar-EG"/>
        </w:rPr>
      </w:pPr>
    </w:p>
    <w:p w:rsidR="00446847" w:rsidRPr="00A24675" w:rsidRDefault="00446847" w:rsidP="00884FF1">
      <w:pPr>
        <w:bidi w:val="0"/>
        <w:snapToGrid w:val="0"/>
        <w:jc w:val="both"/>
        <w:rPr>
          <w:b/>
          <w:bCs/>
          <w:sz w:val="19"/>
          <w:szCs w:val="19"/>
          <w:lang w:bidi="ar-EG"/>
        </w:rPr>
      </w:pPr>
      <w:r w:rsidRPr="00A24675">
        <w:rPr>
          <w:b/>
          <w:bCs/>
          <w:sz w:val="19"/>
          <w:szCs w:val="19"/>
          <w:lang w:bidi="ar-EG"/>
        </w:rPr>
        <w:t>Table (1) Comparison between cases with acute and non acute kidney injury regarding to some clinical parameters.(N=120)</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106"/>
        <w:gridCol w:w="858"/>
        <w:gridCol w:w="2971"/>
        <w:gridCol w:w="1720"/>
        <w:gridCol w:w="2923"/>
      </w:tblGrid>
      <w:tr w:rsidR="00446847" w:rsidRPr="00A24675" w:rsidTr="00A24675">
        <w:trPr>
          <w:jc w:val="center"/>
        </w:trPr>
        <w:tc>
          <w:tcPr>
            <w:tcW w:w="577" w:type="pct"/>
            <w:vMerge w:val="restart"/>
            <w:vAlign w:val="center"/>
          </w:tcPr>
          <w:p w:rsidR="00446847" w:rsidRPr="00A24675" w:rsidRDefault="00446847" w:rsidP="00884FF1">
            <w:pPr>
              <w:bidi w:val="0"/>
              <w:snapToGrid w:val="0"/>
              <w:jc w:val="both"/>
              <w:rPr>
                <w:b/>
                <w:bCs/>
                <w:color w:val="000000"/>
                <w:sz w:val="19"/>
                <w:szCs w:val="19"/>
                <w:lang w:bidi="ar-EG"/>
              </w:rPr>
            </w:pPr>
            <w:r w:rsidRPr="00A24675">
              <w:rPr>
                <w:b/>
                <w:bCs/>
                <w:i/>
                <w:iCs/>
                <w:color w:val="000000"/>
                <w:sz w:val="19"/>
                <w:szCs w:val="19"/>
                <w:lang w:bidi="ar-EG"/>
              </w:rPr>
              <w:t>P</w:t>
            </w:r>
            <w:r w:rsidRPr="00A24675">
              <w:rPr>
                <w:b/>
                <w:bCs/>
                <w:color w:val="000000"/>
                <w:sz w:val="19"/>
                <w:szCs w:val="19"/>
                <w:lang w:bidi="ar-EG"/>
              </w:rPr>
              <w:t xml:space="preserve"> value</w:t>
            </w:r>
          </w:p>
        </w:tc>
        <w:tc>
          <w:tcPr>
            <w:tcW w:w="448" w:type="pct"/>
            <w:vMerge w:val="restar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t-test</w:t>
            </w:r>
          </w:p>
        </w:tc>
        <w:tc>
          <w:tcPr>
            <w:tcW w:w="1551"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Group 2Non AKI(N=71)</w:t>
            </w:r>
          </w:p>
        </w:tc>
        <w:tc>
          <w:tcPr>
            <w:tcW w:w="898" w:type="pct"/>
            <w:vAlign w:val="center"/>
          </w:tcPr>
          <w:p w:rsidR="00446847" w:rsidRPr="00A24675" w:rsidRDefault="00446847" w:rsidP="00884FF1">
            <w:pPr>
              <w:tabs>
                <w:tab w:val="left" w:pos="540"/>
                <w:tab w:val="left" w:pos="585"/>
                <w:tab w:val="center" w:pos="1312"/>
              </w:tabs>
              <w:bidi w:val="0"/>
              <w:snapToGrid w:val="0"/>
              <w:jc w:val="both"/>
              <w:rPr>
                <w:b/>
                <w:bCs/>
                <w:color w:val="000000"/>
                <w:sz w:val="19"/>
                <w:szCs w:val="19"/>
                <w:lang w:bidi="ar-EG"/>
              </w:rPr>
            </w:pPr>
            <w:r w:rsidRPr="00A24675">
              <w:rPr>
                <w:b/>
                <w:bCs/>
                <w:color w:val="000000"/>
                <w:sz w:val="19"/>
                <w:szCs w:val="19"/>
                <w:lang w:bidi="ar-EG"/>
              </w:rPr>
              <w:t>Group 1</w:t>
            </w:r>
          </w:p>
          <w:p w:rsidR="00446847" w:rsidRPr="00A24675" w:rsidRDefault="00446847" w:rsidP="00884FF1">
            <w:pPr>
              <w:tabs>
                <w:tab w:val="left" w:pos="540"/>
                <w:tab w:val="left" w:pos="585"/>
                <w:tab w:val="center" w:pos="1312"/>
              </w:tabs>
              <w:bidi w:val="0"/>
              <w:snapToGrid w:val="0"/>
              <w:jc w:val="both"/>
              <w:rPr>
                <w:b/>
                <w:bCs/>
                <w:color w:val="000000"/>
                <w:sz w:val="19"/>
                <w:szCs w:val="19"/>
                <w:lang w:bidi="ar-EG"/>
              </w:rPr>
            </w:pPr>
            <w:r w:rsidRPr="00A24675">
              <w:rPr>
                <w:b/>
                <w:bCs/>
                <w:color w:val="000000"/>
                <w:sz w:val="19"/>
                <w:szCs w:val="19"/>
                <w:lang w:bidi="ar-EG"/>
              </w:rPr>
              <w:t>AKI(N=49)</w:t>
            </w:r>
          </w:p>
        </w:tc>
        <w:tc>
          <w:tcPr>
            <w:tcW w:w="1527" w:type="pct"/>
            <w:vAlign w:val="center"/>
          </w:tcPr>
          <w:p w:rsidR="00446847" w:rsidRPr="00A24675" w:rsidRDefault="00446847" w:rsidP="00884FF1">
            <w:pPr>
              <w:tabs>
                <w:tab w:val="right" w:pos="2620"/>
              </w:tabs>
              <w:bidi w:val="0"/>
              <w:snapToGrid w:val="0"/>
              <w:jc w:val="both"/>
              <w:rPr>
                <w:b/>
                <w:bCs/>
                <w:color w:val="000000"/>
                <w:sz w:val="19"/>
                <w:szCs w:val="19"/>
                <w:lang w:bidi="ar-EG"/>
              </w:rPr>
            </w:pPr>
            <w:r w:rsidRPr="00A24675">
              <w:rPr>
                <w:b/>
                <w:bCs/>
                <w:color w:val="000000"/>
                <w:sz w:val="19"/>
                <w:szCs w:val="19"/>
                <w:lang w:bidi="ar-EG"/>
              </w:rPr>
              <w:t>Variable</w:t>
            </w:r>
          </w:p>
        </w:tc>
      </w:tr>
      <w:tr w:rsidR="00446847" w:rsidRPr="00A24675" w:rsidTr="00A24675">
        <w:trPr>
          <w:jc w:val="center"/>
        </w:trPr>
        <w:tc>
          <w:tcPr>
            <w:tcW w:w="577" w:type="pct"/>
            <w:vMerge/>
            <w:vAlign w:val="center"/>
          </w:tcPr>
          <w:p w:rsidR="00446847" w:rsidRPr="00A24675" w:rsidRDefault="00446847" w:rsidP="00884FF1">
            <w:pPr>
              <w:bidi w:val="0"/>
              <w:snapToGrid w:val="0"/>
              <w:jc w:val="both"/>
              <w:rPr>
                <w:b/>
                <w:bCs/>
                <w:color w:val="000000"/>
                <w:sz w:val="19"/>
                <w:szCs w:val="19"/>
                <w:lang w:bidi="ar-EG"/>
              </w:rPr>
            </w:pPr>
          </w:p>
        </w:tc>
        <w:tc>
          <w:tcPr>
            <w:tcW w:w="448" w:type="pct"/>
            <w:vMerge/>
            <w:vAlign w:val="center"/>
          </w:tcPr>
          <w:p w:rsidR="00446847" w:rsidRPr="00A24675" w:rsidRDefault="00446847" w:rsidP="00884FF1">
            <w:pPr>
              <w:bidi w:val="0"/>
              <w:snapToGrid w:val="0"/>
              <w:jc w:val="both"/>
              <w:rPr>
                <w:b/>
                <w:bCs/>
                <w:color w:val="000000"/>
                <w:sz w:val="19"/>
                <w:szCs w:val="19"/>
                <w:lang w:bidi="ar-EG"/>
              </w:rPr>
            </w:pPr>
          </w:p>
        </w:tc>
        <w:tc>
          <w:tcPr>
            <w:tcW w:w="1551" w:type="pct"/>
            <w:vAlign w:val="center"/>
          </w:tcPr>
          <w:p w:rsidR="00446847" w:rsidRPr="00A24675" w:rsidRDefault="00446847" w:rsidP="00884FF1">
            <w:pPr>
              <w:tabs>
                <w:tab w:val="left" w:pos="585"/>
                <w:tab w:val="center" w:pos="1312"/>
              </w:tabs>
              <w:bidi w:val="0"/>
              <w:snapToGrid w:val="0"/>
              <w:jc w:val="both"/>
              <w:rPr>
                <w:b/>
                <w:bCs/>
                <w:color w:val="000000"/>
                <w:sz w:val="19"/>
                <w:szCs w:val="19"/>
                <w:lang w:bidi="ar-EG"/>
              </w:rPr>
            </w:pPr>
            <w:r w:rsidRPr="00A24675">
              <w:rPr>
                <w:b/>
                <w:bCs/>
                <w:color w:val="000000"/>
                <w:sz w:val="19"/>
                <w:szCs w:val="19"/>
                <w:lang w:bidi="ar-EG"/>
              </w:rPr>
              <w:t>Mean</w:t>
            </w:r>
            <w:r w:rsidR="00903289" w:rsidRPr="00A24675">
              <w:rPr>
                <w:b/>
                <w:bCs/>
                <w:color w:val="000000"/>
                <w:sz w:val="19"/>
                <w:szCs w:val="19"/>
                <w:lang w:bidi="ar-EG"/>
              </w:rPr>
              <w:fldChar w:fldCharType="begin"/>
            </w:r>
            <w:r w:rsidRPr="00A24675">
              <w:rPr>
                <w:b/>
                <w:bCs/>
                <w:color w:val="000000"/>
                <w:sz w:val="19"/>
                <w:szCs w:val="19"/>
                <w:lang w:bidi="ar-EG"/>
              </w:rPr>
              <w:instrText xml:space="preserve"> QUOTE </w:instrText>
            </w:r>
            <w:r w:rsidRPr="00A24675">
              <w:rPr>
                <w:noProof/>
                <w:color w:val="000000"/>
                <w:sz w:val="19"/>
                <w:szCs w:val="19"/>
                <w:lang w:eastAsia="zh-CN"/>
              </w:rPr>
              <w:drawing>
                <wp:inline distT="0" distB="0" distL="0" distR="0">
                  <wp:extent cx="158750" cy="1390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A24675">
              <w:rPr>
                <w:b/>
                <w:bCs/>
                <w:color w:val="000000"/>
                <w:sz w:val="19"/>
                <w:szCs w:val="19"/>
                <w:lang w:bidi="ar-EG"/>
              </w:rPr>
              <w:fldChar w:fldCharType="separate"/>
            </w:r>
            <w:r w:rsidRPr="00A24675">
              <w:rPr>
                <w:noProof/>
                <w:color w:val="000000"/>
                <w:sz w:val="19"/>
                <w:szCs w:val="19"/>
                <w:lang w:eastAsia="zh-CN"/>
              </w:rPr>
              <w:drawing>
                <wp:inline distT="0" distB="0" distL="0" distR="0">
                  <wp:extent cx="158750" cy="1390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A24675">
              <w:rPr>
                <w:b/>
                <w:bCs/>
                <w:color w:val="000000"/>
                <w:sz w:val="19"/>
                <w:szCs w:val="19"/>
                <w:lang w:bidi="ar-EG"/>
              </w:rPr>
              <w:fldChar w:fldCharType="end"/>
            </w:r>
            <w:r w:rsidRPr="00A24675">
              <w:rPr>
                <w:b/>
                <w:bCs/>
                <w:color w:val="000000"/>
                <w:sz w:val="19"/>
                <w:szCs w:val="19"/>
                <w:lang w:bidi="ar-EG"/>
              </w:rPr>
              <w:t xml:space="preserve"> SD</w:t>
            </w:r>
          </w:p>
        </w:tc>
        <w:tc>
          <w:tcPr>
            <w:tcW w:w="898" w:type="pct"/>
            <w:vAlign w:val="center"/>
          </w:tcPr>
          <w:p w:rsidR="00446847" w:rsidRPr="00A24675" w:rsidRDefault="00446847" w:rsidP="00884FF1">
            <w:pPr>
              <w:tabs>
                <w:tab w:val="left" w:pos="585"/>
                <w:tab w:val="center" w:pos="1312"/>
              </w:tabs>
              <w:bidi w:val="0"/>
              <w:snapToGrid w:val="0"/>
              <w:jc w:val="both"/>
              <w:rPr>
                <w:b/>
                <w:bCs/>
                <w:color w:val="000000"/>
                <w:sz w:val="19"/>
                <w:szCs w:val="19"/>
                <w:lang w:bidi="ar-EG"/>
              </w:rPr>
            </w:pPr>
            <w:r w:rsidRPr="00A24675">
              <w:rPr>
                <w:b/>
                <w:bCs/>
                <w:color w:val="000000"/>
                <w:sz w:val="19"/>
                <w:szCs w:val="19"/>
                <w:lang w:bidi="ar-EG"/>
              </w:rPr>
              <w:t>Mean</w:t>
            </w:r>
            <w:r w:rsidR="00903289" w:rsidRPr="00A24675">
              <w:rPr>
                <w:b/>
                <w:bCs/>
                <w:color w:val="000000"/>
                <w:sz w:val="19"/>
                <w:szCs w:val="19"/>
                <w:lang w:bidi="ar-EG"/>
              </w:rPr>
              <w:fldChar w:fldCharType="begin"/>
            </w:r>
            <w:r w:rsidRPr="00A24675">
              <w:rPr>
                <w:b/>
                <w:bCs/>
                <w:color w:val="000000"/>
                <w:sz w:val="19"/>
                <w:szCs w:val="19"/>
                <w:lang w:bidi="ar-EG"/>
              </w:rPr>
              <w:instrText xml:space="preserve"> QUOTE </w:instrText>
            </w:r>
            <w:r w:rsidRPr="00A24675">
              <w:rPr>
                <w:noProof/>
                <w:color w:val="000000"/>
                <w:sz w:val="19"/>
                <w:szCs w:val="19"/>
                <w:lang w:eastAsia="zh-CN"/>
              </w:rPr>
              <w:drawing>
                <wp:inline distT="0" distB="0" distL="0" distR="0">
                  <wp:extent cx="158750" cy="1390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A24675">
              <w:rPr>
                <w:b/>
                <w:bCs/>
                <w:color w:val="000000"/>
                <w:sz w:val="19"/>
                <w:szCs w:val="19"/>
                <w:lang w:bidi="ar-EG"/>
              </w:rPr>
              <w:fldChar w:fldCharType="separate"/>
            </w:r>
            <w:r w:rsidRPr="00A24675">
              <w:rPr>
                <w:noProof/>
                <w:color w:val="000000"/>
                <w:sz w:val="19"/>
                <w:szCs w:val="19"/>
                <w:lang w:eastAsia="zh-CN"/>
              </w:rPr>
              <w:drawing>
                <wp:inline distT="0" distB="0" distL="0" distR="0">
                  <wp:extent cx="158750" cy="1390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A24675">
              <w:rPr>
                <w:b/>
                <w:bCs/>
                <w:color w:val="000000"/>
                <w:sz w:val="19"/>
                <w:szCs w:val="19"/>
                <w:lang w:bidi="ar-EG"/>
              </w:rPr>
              <w:fldChar w:fldCharType="end"/>
            </w:r>
            <w:r w:rsidRPr="00A24675">
              <w:rPr>
                <w:b/>
                <w:bCs/>
                <w:color w:val="000000"/>
                <w:sz w:val="19"/>
                <w:szCs w:val="19"/>
                <w:lang w:bidi="ar-EG"/>
              </w:rPr>
              <w:t xml:space="preserve"> SD</w:t>
            </w:r>
          </w:p>
        </w:tc>
        <w:tc>
          <w:tcPr>
            <w:tcW w:w="1527" w:type="pct"/>
            <w:vAlign w:val="center"/>
          </w:tcPr>
          <w:p w:rsidR="00446847" w:rsidRPr="00A24675" w:rsidRDefault="00446847" w:rsidP="00884FF1">
            <w:pPr>
              <w:tabs>
                <w:tab w:val="right" w:pos="2620"/>
              </w:tabs>
              <w:bidi w:val="0"/>
              <w:snapToGrid w:val="0"/>
              <w:jc w:val="both"/>
              <w:rPr>
                <w:b/>
                <w:bCs/>
                <w:color w:val="000000"/>
                <w:sz w:val="19"/>
                <w:szCs w:val="19"/>
                <w:lang w:bidi="ar-EG"/>
              </w:rPr>
            </w:pPr>
          </w:p>
        </w:tc>
      </w:tr>
      <w:tr w:rsidR="00446847" w:rsidRPr="00A24675" w:rsidTr="00A24675">
        <w:trPr>
          <w:jc w:val="center"/>
        </w:trPr>
        <w:tc>
          <w:tcPr>
            <w:tcW w:w="577" w:type="pct"/>
            <w:vAlign w:val="center"/>
          </w:tcPr>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&lt;0.001</w:t>
            </w:r>
          </w:p>
        </w:tc>
        <w:tc>
          <w:tcPr>
            <w:tcW w:w="448" w:type="pct"/>
            <w:vAlign w:val="center"/>
          </w:tcPr>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6.60</w:t>
            </w:r>
          </w:p>
        </w:tc>
        <w:tc>
          <w:tcPr>
            <w:tcW w:w="1551" w:type="pct"/>
            <w:vAlign w:val="center"/>
          </w:tcPr>
          <w:p w:rsidR="00446847" w:rsidRPr="00A24675" w:rsidRDefault="00446847" w:rsidP="00884FF1">
            <w:pPr>
              <w:bidi w:val="0"/>
              <w:snapToGrid w:val="0"/>
              <w:jc w:val="both"/>
              <w:rPr>
                <w:b/>
                <w:bCs/>
                <w:color w:val="000000"/>
                <w:sz w:val="19"/>
                <w:szCs w:val="19"/>
                <w:lang w:bidi="ar-EG"/>
              </w:rPr>
            </w:pPr>
            <w:r w:rsidRPr="00A24675">
              <w:rPr>
                <w:color w:val="000000"/>
                <w:sz w:val="19"/>
                <w:szCs w:val="19"/>
                <w:lang w:bidi="ar-EG"/>
              </w:rPr>
              <w:t>25.77±2.5</w:t>
            </w:r>
          </w:p>
        </w:tc>
        <w:tc>
          <w:tcPr>
            <w:tcW w:w="898" w:type="pct"/>
            <w:vAlign w:val="center"/>
          </w:tcPr>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30.27±4.29</w:t>
            </w:r>
          </w:p>
        </w:tc>
        <w:tc>
          <w:tcPr>
            <w:tcW w:w="1527"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Age</w:t>
            </w:r>
          </w:p>
        </w:tc>
      </w:tr>
      <w:tr w:rsidR="00446847" w:rsidRPr="00A24675" w:rsidTr="00A24675">
        <w:trPr>
          <w:jc w:val="center"/>
        </w:trPr>
        <w:tc>
          <w:tcPr>
            <w:tcW w:w="577" w:type="pct"/>
            <w:vAlign w:val="center"/>
          </w:tcPr>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&lt;0.001</w:t>
            </w:r>
          </w:p>
        </w:tc>
        <w:tc>
          <w:tcPr>
            <w:tcW w:w="448" w:type="pct"/>
            <w:vAlign w:val="center"/>
          </w:tcPr>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5.35</w:t>
            </w:r>
          </w:p>
        </w:tc>
        <w:tc>
          <w:tcPr>
            <w:tcW w:w="1551" w:type="pct"/>
            <w:vAlign w:val="center"/>
          </w:tcPr>
          <w:p w:rsidR="00446847" w:rsidRPr="00A24675" w:rsidRDefault="00446847" w:rsidP="00884FF1">
            <w:pPr>
              <w:bidi w:val="0"/>
              <w:snapToGrid w:val="0"/>
              <w:jc w:val="both"/>
              <w:rPr>
                <w:b/>
                <w:bCs/>
                <w:color w:val="000000"/>
                <w:sz w:val="19"/>
                <w:szCs w:val="19"/>
                <w:lang w:bidi="ar-EG"/>
              </w:rPr>
            </w:pPr>
            <w:r w:rsidRPr="00A24675">
              <w:rPr>
                <w:color w:val="000000"/>
                <w:sz w:val="19"/>
                <w:szCs w:val="19"/>
                <w:lang w:bidi="ar-EG"/>
              </w:rPr>
              <w:t>154.79±12.29</w:t>
            </w:r>
          </w:p>
        </w:tc>
        <w:tc>
          <w:tcPr>
            <w:tcW w:w="898" w:type="pct"/>
            <w:vAlign w:val="center"/>
          </w:tcPr>
          <w:p w:rsidR="00446847" w:rsidRPr="00A24675" w:rsidRDefault="00446847" w:rsidP="00884FF1">
            <w:pPr>
              <w:bidi w:val="0"/>
              <w:snapToGrid w:val="0"/>
              <w:jc w:val="both"/>
              <w:rPr>
                <w:b/>
                <w:bCs/>
                <w:color w:val="000000"/>
                <w:sz w:val="19"/>
                <w:szCs w:val="19"/>
                <w:lang w:bidi="ar-EG"/>
              </w:rPr>
            </w:pPr>
            <w:r w:rsidRPr="00A24675">
              <w:rPr>
                <w:color w:val="000000"/>
                <w:sz w:val="19"/>
                <w:szCs w:val="19"/>
                <w:lang w:bidi="ar-EG"/>
              </w:rPr>
              <w:t>167.55±13.62</w:t>
            </w:r>
          </w:p>
        </w:tc>
        <w:tc>
          <w:tcPr>
            <w:tcW w:w="1527"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Systolic blood pressure</w:t>
            </w:r>
          </w:p>
        </w:tc>
      </w:tr>
      <w:tr w:rsidR="00446847" w:rsidRPr="00A24675" w:rsidTr="00A24675">
        <w:trPr>
          <w:jc w:val="center"/>
        </w:trPr>
        <w:tc>
          <w:tcPr>
            <w:tcW w:w="577" w:type="pct"/>
            <w:vAlign w:val="center"/>
          </w:tcPr>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&lt;0.001</w:t>
            </w:r>
          </w:p>
        </w:tc>
        <w:tc>
          <w:tcPr>
            <w:tcW w:w="448" w:type="pct"/>
            <w:vAlign w:val="center"/>
          </w:tcPr>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4.73</w:t>
            </w:r>
          </w:p>
        </w:tc>
        <w:tc>
          <w:tcPr>
            <w:tcW w:w="1551" w:type="pct"/>
            <w:vAlign w:val="center"/>
          </w:tcPr>
          <w:p w:rsidR="00446847" w:rsidRPr="00A24675" w:rsidRDefault="00446847" w:rsidP="00884FF1">
            <w:pPr>
              <w:bidi w:val="0"/>
              <w:snapToGrid w:val="0"/>
              <w:jc w:val="both"/>
              <w:rPr>
                <w:b/>
                <w:bCs/>
                <w:color w:val="000000"/>
                <w:sz w:val="19"/>
                <w:szCs w:val="19"/>
                <w:lang w:bidi="ar-EG"/>
              </w:rPr>
            </w:pPr>
            <w:r w:rsidRPr="00A24675">
              <w:rPr>
                <w:color w:val="000000"/>
                <w:sz w:val="19"/>
                <w:szCs w:val="19"/>
                <w:lang w:bidi="ar-EG"/>
              </w:rPr>
              <w:t>93.38±5.33</w:t>
            </w:r>
          </w:p>
        </w:tc>
        <w:tc>
          <w:tcPr>
            <w:tcW w:w="898" w:type="pct"/>
            <w:vAlign w:val="center"/>
          </w:tcPr>
          <w:p w:rsidR="00446847" w:rsidRPr="00A24675" w:rsidRDefault="00446847" w:rsidP="00884FF1">
            <w:pPr>
              <w:bidi w:val="0"/>
              <w:snapToGrid w:val="0"/>
              <w:jc w:val="both"/>
              <w:rPr>
                <w:b/>
                <w:bCs/>
                <w:color w:val="000000"/>
                <w:sz w:val="19"/>
                <w:szCs w:val="19"/>
                <w:lang w:bidi="ar-EG"/>
              </w:rPr>
            </w:pPr>
            <w:r w:rsidRPr="00A24675">
              <w:rPr>
                <w:color w:val="000000"/>
                <w:sz w:val="19"/>
                <w:szCs w:val="19"/>
                <w:lang w:bidi="ar-EG"/>
              </w:rPr>
              <w:t>99.18±8.12</w:t>
            </w:r>
          </w:p>
        </w:tc>
        <w:tc>
          <w:tcPr>
            <w:tcW w:w="1527"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Diastolic blood pressure</w:t>
            </w:r>
          </w:p>
        </w:tc>
      </w:tr>
      <w:tr w:rsidR="00446847" w:rsidRPr="00A24675" w:rsidTr="00A24675">
        <w:trPr>
          <w:jc w:val="center"/>
        </w:trPr>
        <w:tc>
          <w:tcPr>
            <w:tcW w:w="577" w:type="pct"/>
            <w:vAlign w:val="center"/>
          </w:tcPr>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&lt;0.001</w:t>
            </w:r>
          </w:p>
        </w:tc>
        <w:tc>
          <w:tcPr>
            <w:tcW w:w="448"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5.59</w:t>
            </w:r>
          </w:p>
        </w:tc>
        <w:tc>
          <w:tcPr>
            <w:tcW w:w="1551"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113.85</w:t>
            </w:r>
            <w:r w:rsidRPr="00A24675">
              <w:rPr>
                <w:color w:val="000000"/>
                <w:sz w:val="19"/>
                <w:szCs w:val="19"/>
                <w:lang w:bidi="ar-EG"/>
              </w:rPr>
              <w:t>±6.56</w:t>
            </w:r>
          </w:p>
        </w:tc>
        <w:tc>
          <w:tcPr>
            <w:tcW w:w="898"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121.97</w:t>
            </w:r>
            <w:r w:rsidRPr="00A24675">
              <w:rPr>
                <w:color w:val="000000"/>
                <w:sz w:val="19"/>
                <w:szCs w:val="19"/>
                <w:lang w:bidi="ar-EG"/>
              </w:rPr>
              <w:t>± 9.38</w:t>
            </w:r>
          </w:p>
        </w:tc>
        <w:tc>
          <w:tcPr>
            <w:tcW w:w="1527"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Mean blood pressure</w:t>
            </w:r>
          </w:p>
        </w:tc>
      </w:tr>
    </w:tbl>
    <w:p w:rsidR="00A24675" w:rsidRPr="00A24675" w:rsidRDefault="00A24675">
      <w:pPr>
        <w:rPr>
          <w:sz w:val="19"/>
          <w:szCs w:val="19"/>
        </w:rPr>
      </w:pP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24"/>
        <w:gridCol w:w="736"/>
        <w:gridCol w:w="1366"/>
        <w:gridCol w:w="1121"/>
        <w:gridCol w:w="709"/>
        <w:gridCol w:w="582"/>
        <w:gridCol w:w="4140"/>
      </w:tblGrid>
      <w:tr w:rsidR="00446847" w:rsidRPr="00A24675" w:rsidTr="00A24675">
        <w:trPr>
          <w:jc w:val="center"/>
        </w:trPr>
        <w:tc>
          <w:tcPr>
            <w:tcW w:w="483" w:type="pct"/>
            <w:vMerge w:val="restart"/>
            <w:vAlign w:val="center"/>
          </w:tcPr>
          <w:p w:rsidR="00446847" w:rsidRPr="00A24675" w:rsidRDefault="00446847" w:rsidP="00884FF1">
            <w:pPr>
              <w:bidi w:val="0"/>
              <w:snapToGrid w:val="0"/>
              <w:jc w:val="both"/>
              <w:rPr>
                <w:b/>
                <w:bCs/>
                <w:color w:val="000000"/>
                <w:sz w:val="19"/>
                <w:szCs w:val="19"/>
                <w:lang w:bidi="ar-EG"/>
              </w:rPr>
            </w:pPr>
            <w:r w:rsidRPr="00A24675">
              <w:rPr>
                <w:color w:val="000000"/>
                <w:sz w:val="19"/>
                <w:szCs w:val="19"/>
              </w:rPr>
              <w:br w:type="page"/>
            </w:r>
            <w:r w:rsidRPr="00A24675">
              <w:rPr>
                <w:b/>
                <w:bCs/>
                <w:i/>
                <w:iCs/>
                <w:color w:val="000000"/>
                <w:sz w:val="19"/>
                <w:szCs w:val="19"/>
                <w:lang w:bidi="ar-EG"/>
              </w:rPr>
              <w:t>P</w:t>
            </w:r>
            <w:r w:rsidRPr="00A24675">
              <w:rPr>
                <w:b/>
                <w:bCs/>
                <w:color w:val="000000"/>
                <w:sz w:val="19"/>
                <w:szCs w:val="19"/>
                <w:lang w:bidi="ar-EG"/>
              </w:rPr>
              <w:t xml:space="preserve"> value</w:t>
            </w:r>
          </w:p>
        </w:tc>
        <w:tc>
          <w:tcPr>
            <w:tcW w:w="384" w:type="pct"/>
            <w:vMerge w:val="restar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X</w:t>
            </w:r>
            <w:r w:rsidRPr="00A24675">
              <w:rPr>
                <w:b/>
                <w:bCs/>
                <w:color w:val="000000"/>
                <w:sz w:val="19"/>
                <w:szCs w:val="19"/>
                <w:vertAlign w:val="superscript"/>
                <w:lang w:bidi="ar-EG"/>
              </w:rPr>
              <w:t>2</w:t>
            </w:r>
          </w:p>
        </w:tc>
        <w:tc>
          <w:tcPr>
            <w:tcW w:w="1298" w:type="pct"/>
            <w:gridSpan w:val="2"/>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Group 2Non AKI(N=71)</w:t>
            </w:r>
          </w:p>
        </w:tc>
        <w:tc>
          <w:tcPr>
            <w:tcW w:w="673" w:type="pct"/>
            <w:gridSpan w:val="2"/>
            <w:vAlign w:val="center"/>
          </w:tcPr>
          <w:p w:rsidR="00446847" w:rsidRPr="00A24675" w:rsidRDefault="00446847" w:rsidP="00884FF1">
            <w:pPr>
              <w:tabs>
                <w:tab w:val="left" w:pos="540"/>
                <w:tab w:val="left" w:pos="585"/>
                <w:tab w:val="center" w:pos="1312"/>
              </w:tabs>
              <w:bidi w:val="0"/>
              <w:snapToGrid w:val="0"/>
              <w:jc w:val="both"/>
              <w:rPr>
                <w:b/>
                <w:bCs/>
                <w:color w:val="000000"/>
                <w:sz w:val="19"/>
                <w:szCs w:val="19"/>
                <w:lang w:bidi="ar-EG"/>
              </w:rPr>
            </w:pPr>
            <w:r w:rsidRPr="00A24675">
              <w:rPr>
                <w:b/>
                <w:bCs/>
                <w:color w:val="000000"/>
                <w:sz w:val="19"/>
                <w:szCs w:val="19"/>
                <w:lang w:bidi="ar-EG"/>
              </w:rPr>
              <w:t>Group 1</w:t>
            </w:r>
          </w:p>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AKI(N=49)</w:t>
            </w:r>
          </w:p>
        </w:tc>
        <w:tc>
          <w:tcPr>
            <w:tcW w:w="2161" w:type="pct"/>
            <w:vMerge w:val="restar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Variable</w:t>
            </w:r>
          </w:p>
        </w:tc>
      </w:tr>
      <w:tr w:rsidR="00446847" w:rsidRPr="00A24675" w:rsidTr="00A24675">
        <w:trPr>
          <w:jc w:val="center"/>
        </w:trPr>
        <w:tc>
          <w:tcPr>
            <w:tcW w:w="483" w:type="pct"/>
            <w:vMerge/>
            <w:vAlign w:val="center"/>
          </w:tcPr>
          <w:p w:rsidR="00446847" w:rsidRPr="00A24675" w:rsidRDefault="00446847" w:rsidP="00884FF1">
            <w:pPr>
              <w:bidi w:val="0"/>
              <w:snapToGrid w:val="0"/>
              <w:jc w:val="both"/>
              <w:rPr>
                <w:b/>
                <w:bCs/>
                <w:color w:val="000000"/>
                <w:sz w:val="19"/>
                <w:szCs w:val="19"/>
                <w:lang w:bidi="ar-EG"/>
              </w:rPr>
            </w:pPr>
          </w:p>
        </w:tc>
        <w:tc>
          <w:tcPr>
            <w:tcW w:w="384" w:type="pct"/>
            <w:vMerge/>
            <w:vAlign w:val="center"/>
          </w:tcPr>
          <w:p w:rsidR="00446847" w:rsidRPr="00A24675" w:rsidRDefault="00446847" w:rsidP="00884FF1">
            <w:pPr>
              <w:bidi w:val="0"/>
              <w:snapToGrid w:val="0"/>
              <w:jc w:val="both"/>
              <w:rPr>
                <w:b/>
                <w:bCs/>
                <w:color w:val="000000"/>
                <w:sz w:val="19"/>
                <w:szCs w:val="19"/>
                <w:lang w:bidi="ar-EG"/>
              </w:rPr>
            </w:pPr>
          </w:p>
        </w:tc>
        <w:tc>
          <w:tcPr>
            <w:tcW w:w="713" w:type="pct"/>
            <w:vAlign w:val="center"/>
          </w:tcPr>
          <w:p w:rsidR="00446847" w:rsidRPr="00A24675" w:rsidRDefault="00446847" w:rsidP="00884FF1">
            <w:pPr>
              <w:bidi w:val="0"/>
              <w:snapToGrid w:val="0"/>
              <w:jc w:val="both"/>
              <w:rPr>
                <w:b/>
                <w:bCs/>
                <w:color w:val="000000"/>
                <w:sz w:val="19"/>
                <w:szCs w:val="19"/>
                <w:lang w:bidi="ar-EG"/>
              </w:rPr>
            </w:pPr>
            <w:r w:rsidRPr="00A24675">
              <w:rPr>
                <w:noProof/>
                <w:color w:val="000000"/>
                <w:sz w:val="19"/>
                <w:szCs w:val="19"/>
                <w:lang w:eastAsia="zh-CN"/>
              </w:rPr>
              <w:drawing>
                <wp:inline distT="0" distB="0" distL="0" distR="0">
                  <wp:extent cx="139065" cy="13906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585"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No</w:t>
            </w:r>
          </w:p>
        </w:tc>
        <w:tc>
          <w:tcPr>
            <w:tcW w:w="370" w:type="pct"/>
            <w:vAlign w:val="center"/>
          </w:tcPr>
          <w:p w:rsidR="00446847" w:rsidRPr="00A24675" w:rsidRDefault="00446847" w:rsidP="00884FF1">
            <w:pPr>
              <w:bidi w:val="0"/>
              <w:snapToGrid w:val="0"/>
              <w:jc w:val="both"/>
              <w:rPr>
                <w:b/>
                <w:bCs/>
                <w:color w:val="000000"/>
                <w:sz w:val="19"/>
                <w:szCs w:val="19"/>
                <w:lang w:bidi="ar-EG"/>
              </w:rPr>
            </w:pPr>
            <w:r w:rsidRPr="00A24675">
              <w:rPr>
                <w:noProof/>
                <w:color w:val="000000"/>
                <w:sz w:val="19"/>
                <w:szCs w:val="19"/>
                <w:lang w:eastAsia="zh-CN"/>
              </w:rPr>
              <w:drawing>
                <wp:inline distT="0" distB="0" distL="0" distR="0">
                  <wp:extent cx="139065" cy="13906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304"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No</w:t>
            </w:r>
          </w:p>
        </w:tc>
        <w:tc>
          <w:tcPr>
            <w:tcW w:w="2161" w:type="pct"/>
            <w:vMerge/>
            <w:vAlign w:val="center"/>
          </w:tcPr>
          <w:p w:rsidR="00446847" w:rsidRPr="00A24675" w:rsidRDefault="00446847" w:rsidP="00884FF1">
            <w:pPr>
              <w:bidi w:val="0"/>
              <w:snapToGrid w:val="0"/>
              <w:jc w:val="both"/>
              <w:rPr>
                <w:b/>
                <w:bCs/>
                <w:color w:val="000000"/>
                <w:sz w:val="19"/>
                <w:szCs w:val="19"/>
                <w:lang w:bidi="ar-EG"/>
              </w:rPr>
            </w:pPr>
          </w:p>
        </w:tc>
      </w:tr>
      <w:tr w:rsidR="00446847" w:rsidRPr="00A24675" w:rsidTr="00A24675">
        <w:trPr>
          <w:jc w:val="center"/>
        </w:trPr>
        <w:tc>
          <w:tcPr>
            <w:tcW w:w="483"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&lt;0.001</w:t>
            </w:r>
          </w:p>
        </w:tc>
        <w:tc>
          <w:tcPr>
            <w:tcW w:w="38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21.4</w:t>
            </w:r>
          </w:p>
        </w:tc>
        <w:tc>
          <w:tcPr>
            <w:tcW w:w="713"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1.4</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98.6</w:t>
            </w:r>
          </w:p>
        </w:tc>
        <w:tc>
          <w:tcPr>
            <w:tcW w:w="585"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70</w:t>
            </w:r>
          </w:p>
        </w:tc>
        <w:tc>
          <w:tcPr>
            <w:tcW w:w="370"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30.6</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69.4</w:t>
            </w:r>
          </w:p>
        </w:tc>
        <w:tc>
          <w:tcPr>
            <w:tcW w:w="30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15</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34</w:t>
            </w:r>
          </w:p>
        </w:tc>
        <w:tc>
          <w:tcPr>
            <w:tcW w:w="2161"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DM</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Positive</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Negative</w:t>
            </w:r>
          </w:p>
        </w:tc>
      </w:tr>
      <w:tr w:rsidR="00446847" w:rsidRPr="00A24675" w:rsidTr="00A24675">
        <w:trPr>
          <w:jc w:val="center"/>
        </w:trPr>
        <w:tc>
          <w:tcPr>
            <w:tcW w:w="483"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&lt;0.001</w:t>
            </w:r>
          </w:p>
        </w:tc>
        <w:tc>
          <w:tcPr>
            <w:tcW w:w="38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21.9</w:t>
            </w:r>
          </w:p>
        </w:tc>
        <w:tc>
          <w:tcPr>
            <w:tcW w:w="713"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28.3</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71.7</w:t>
            </w:r>
          </w:p>
        </w:tc>
        <w:tc>
          <w:tcPr>
            <w:tcW w:w="585"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20</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51</w:t>
            </w:r>
          </w:p>
        </w:tc>
        <w:tc>
          <w:tcPr>
            <w:tcW w:w="370"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71.4</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28.6</w:t>
            </w:r>
          </w:p>
        </w:tc>
        <w:tc>
          <w:tcPr>
            <w:tcW w:w="30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35</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14</w:t>
            </w:r>
          </w:p>
        </w:tc>
        <w:tc>
          <w:tcPr>
            <w:tcW w:w="2161"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Hypertension</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Positive</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Negative</w:t>
            </w:r>
          </w:p>
        </w:tc>
      </w:tr>
      <w:tr w:rsidR="00446847" w:rsidRPr="00A24675" w:rsidTr="00A24675">
        <w:trPr>
          <w:jc w:val="center"/>
        </w:trPr>
        <w:tc>
          <w:tcPr>
            <w:tcW w:w="483"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0.04S</w:t>
            </w:r>
          </w:p>
        </w:tc>
        <w:tc>
          <w:tcPr>
            <w:tcW w:w="38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3.91</w:t>
            </w:r>
          </w:p>
        </w:tc>
        <w:tc>
          <w:tcPr>
            <w:tcW w:w="713"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67.6</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32.4</w:t>
            </w:r>
          </w:p>
        </w:tc>
        <w:tc>
          <w:tcPr>
            <w:tcW w:w="585"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48</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23</w:t>
            </w:r>
          </w:p>
        </w:tc>
        <w:tc>
          <w:tcPr>
            <w:tcW w:w="370"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83.7</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16.3</w:t>
            </w:r>
          </w:p>
        </w:tc>
        <w:tc>
          <w:tcPr>
            <w:tcW w:w="30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41</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8</w:t>
            </w:r>
          </w:p>
        </w:tc>
        <w:tc>
          <w:tcPr>
            <w:tcW w:w="2161"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Preeclampsia</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Positive</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Negative</w:t>
            </w:r>
          </w:p>
        </w:tc>
      </w:tr>
      <w:tr w:rsidR="00446847" w:rsidRPr="00A24675" w:rsidTr="00A24675">
        <w:trPr>
          <w:jc w:val="center"/>
        </w:trPr>
        <w:tc>
          <w:tcPr>
            <w:tcW w:w="483"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&lt;0.001</w:t>
            </w:r>
          </w:p>
        </w:tc>
        <w:tc>
          <w:tcPr>
            <w:tcW w:w="38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64.2</w:t>
            </w:r>
          </w:p>
        </w:tc>
        <w:tc>
          <w:tcPr>
            <w:tcW w:w="713"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85.9</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11.3</w:t>
            </w:r>
          </w:p>
          <w:p w:rsidR="00446847" w:rsidRPr="00A24675" w:rsidRDefault="00446847" w:rsidP="00884FF1">
            <w:pPr>
              <w:bidi w:val="0"/>
              <w:snapToGrid w:val="0"/>
              <w:jc w:val="both"/>
              <w:rPr>
                <w:b/>
                <w:bCs/>
                <w:color w:val="000000"/>
                <w:sz w:val="19"/>
                <w:szCs w:val="19"/>
                <w:lang w:bidi="ar-EG"/>
              </w:rPr>
            </w:pPr>
            <w:r w:rsidRPr="00A24675">
              <w:rPr>
                <w:color w:val="000000"/>
                <w:sz w:val="19"/>
                <w:szCs w:val="19"/>
                <w:lang w:bidi="ar-EG"/>
              </w:rPr>
              <w:t>2.8</w:t>
            </w:r>
          </w:p>
        </w:tc>
        <w:tc>
          <w:tcPr>
            <w:tcW w:w="585"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61</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8</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w:t>
            </w:r>
          </w:p>
        </w:tc>
        <w:tc>
          <w:tcPr>
            <w:tcW w:w="370"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12.2</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59.2</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28.6</w:t>
            </w:r>
          </w:p>
        </w:tc>
        <w:tc>
          <w:tcPr>
            <w:tcW w:w="30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6</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29</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14</w:t>
            </w:r>
          </w:p>
        </w:tc>
        <w:tc>
          <w:tcPr>
            <w:tcW w:w="2161"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Drugs</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No drugs</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Antihypertensive</w:t>
            </w:r>
          </w:p>
          <w:p w:rsidR="00446847" w:rsidRPr="00A24675" w:rsidRDefault="00446847" w:rsidP="00884FF1">
            <w:pPr>
              <w:bidi w:val="0"/>
              <w:snapToGrid w:val="0"/>
              <w:jc w:val="both"/>
              <w:rPr>
                <w:b/>
                <w:bCs/>
                <w:color w:val="000000"/>
                <w:sz w:val="19"/>
                <w:szCs w:val="19"/>
                <w:lang w:bidi="ar-EG"/>
              </w:rPr>
            </w:pPr>
            <w:r w:rsidRPr="00A24675">
              <w:rPr>
                <w:color w:val="000000"/>
                <w:sz w:val="19"/>
                <w:szCs w:val="19"/>
                <w:lang w:bidi="ar-EG"/>
              </w:rPr>
              <w:t>Insulin + Antihypertensive</w:t>
            </w:r>
          </w:p>
        </w:tc>
      </w:tr>
      <w:tr w:rsidR="00446847" w:rsidRPr="00A24675" w:rsidTr="00A24675">
        <w:trPr>
          <w:jc w:val="center"/>
        </w:trPr>
        <w:tc>
          <w:tcPr>
            <w:tcW w:w="483"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&lt;0.001</w:t>
            </w:r>
          </w:p>
        </w:tc>
        <w:tc>
          <w:tcPr>
            <w:tcW w:w="38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22.96</w:t>
            </w:r>
          </w:p>
        </w:tc>
        <w:tc>
          <w:tcPr>
            <w:tcW w:w="713" w:type="pct"/>
            <w:vAlign w:val="center"/>
          </w:tcPr>
          <w:p w:rsidR="00446847" w:rsidRPr="00A24675" w:rsidRDefault="00446847" w:rsidP="00884FF1">
            <w:pPr>
              <w:bidi w:val="0"/>
              <w:snapToGrid w:val="0"/>
              <w:jc w:val="both"/>
              <w:rPr>
                <w:b/>
                <w:bCs/>
                <w:color w:val="000000"/>
                <w:sz w:val="19"/>
                <w:szCs w:val="19"/>
                <w:lang w:bidi="ar-EG"/>
              </w:rPr>
            </w:pPr>
          </w:p>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0.0</w:t>
            </w:r>
          </w:p>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100</w:t>
            </w:r>
          </w:p>
        </w:tc>
        <w:tc>
          <w:tcPr>
            <w:tcW w:w="585" w:type="pct"/>
            <w:vAlign w:val="center"/>
          </w:tcPr>
          <w:p w:rsidR="00446847" w:rsidRPr="00A24675" w:rsidRDefault="00446847" w:rsidP="00884FF1">
            <w:pPr>
              <w:bidi w:val="0"/>
              <w:snapToGrid w:val="0"/>
              <w:jc w:val="both"/>
              <w:rPr>
                <w:b/>
                <w:bCs/>
                <w:color w:val="000000"/>
                <w:sz w:val="19"/>
                <w:szCs w:val="19"/>
                <w:lang w:bidi="ar-EG"/>
              </w:rPr>
            </w:pPr>
          </w:p>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0</w:t>
            </w:r>
          </w:p>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71</w:t>
            </w:r>
          </w:p>
        </w:tc>
        <w:tc>
          <w:tcPr>
            <w:tcW w:w="370"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28.6</w:t>
            </w:r>
          </w:p>
          <w:p w:rsidR="00446847" w:rsidRPr="00A24675" w:rsidRDefault="00446847" w:rsidP="00884FF1">
            <w:pPr>
              <w:bidi w:val="0"/>
              <w:snapToGrid w:val="0"/>
              <w:jc w:val="both"/>
              <w:rPr>
                <w:b/>
                <w:bCs/>
                <w:color w:val="000000"/>
                <w:sz w:val="19"/>
                <w:szCs w:val="19"/>
                <w:lang w:bidi="ar-EG"/>
              </w:rPr>
            </w:pPr>
            <w:r w:rsidRPr="00A24675">
              <w:rPr>
                <w:color w:val="000000"/>
                <w:sz w:val="19"/>
                <w:szCs w:val="19"/>
                <w:lang w:bidi="ar-EG"/>
              </w:rPr>
              <w:t>71.4</w:t>
            </w:r>
          </w:p>
        </w:tc>
        <w:tc>
          <w:tcPr>
            <w:tcW w:w="30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14</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35</w:t>
            </w:r>
          </w:p>
        </w:tc>
        <w:tc>
          <w:tcPr>
            <w:tcW w:w="2161"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Heamodialysis</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Positive</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 xml:space="preserve">Negative(complete </w:t>
            </w:r>
            <w:r w:rsidR="006738AA" w:rsidRPr="00A24675">
              <w:rPr>
                <w:color w:val="000000"/>
                <w:sz w:val="19"/>
                <w:szCs w:val="19"/>
                <w:lang w:bidi="ar-EG"/>
              </w:rPr>
              <w:t>recovered</w:t>
            </w:r>
            <w:r w:rsidRPr="00A24675">
              <w:rPr>
                <w:color w:val="000000"/>
                <w:sz w:val="19"/>
                <w:szCs w:val="19"/>
                <w:lang w:bidi="ar-EG"/>
              </w:rPr>
              <w:t xml:space="preserve"> conservatively)</w:t>
            </w:r>
          </w:p>
        </w:tc>
      </w:tr>
      <w:tr w:rsidR="00446847" w:rsidRPr="00A24675" w:rsidTr="00A24675">
        <w:trPr>
          <w:jc w:val="center"/>
        </w:trPr>
        <w:tc>
          <w:tcPr>
            <w:tcW w:w="483"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&lt;0.001</w:t>
            </w:r>
          </w:p>
        </w:tc>
        <w:tc>
          <w:tcPr>
            <w:tcW w:w="38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15.8</w:t>
            </w:r>
          </w:p>
        </w:tc>
        <w:tc>
          <w:tcPr>
            <w:tcW w:w="713"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100</w:t>
            </w:r>
          </w:p>
          <w:p w:rsidR="00446847" w:rsidRPr="00A24675" w:rsidRDefault="00446847" w:rsidP="00884FF1">
            <w:pPr>
              <w:bidi w:val="0"/>
              <w:snapToGrid w:val="0"/>
              <w:jc w:val="both"/>
              <w:rPr>
                <w:b/>
                <w:bCs/>
                <w:color w:val="000000"/>
                <w:sz w:val="19"/>
                <w:szCs w:val="19"/>
                <w:lang w:bidi="ar-EG"/>
              </w:rPr>
            </w:pPr>
            <w:r w:rsidRPr="00A24675">
              <w:rPr>
                <w:color w:val="000000"/>
                <w:sz w:val="19"/>
                <w:szCs w:val="19"/>
                <w:lang w:bidi="ar-EG"/>
              </w:rPr>
              <w:t>0.0</w:t>
            </w:r>
          </w:p>
        </w:tc>
        <w:tc>
          <w:tcPr>
            <w:tcW w:w="585"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71</w:t>
            </w:r>
          </w:p>
          <w:p w:rsidR="00446847" w:rsidRPr="00A24675" w:rsidRDefault="00446847" w:rsidP="00884FF1">
            <w:pPr>
              <w:bidi w:val="0"/>
              <w:snapToGrid w:val="0"/>
              <w:jc w:val="both"/>
              <w:rPr>
                <w:b/>
                <w:bCs/>
                <w:color w:val="000000"/>
                <w:sz w:val="19"/>
                <w:szCs w:val="19"/>
                <w:lang w:bidi="ar-EG"/>
              </w:rPr>
            </w:pPr>
            <w:r w:rsidRPr="00A24675">
              <w:rPr>
                <w:color w:val="000000"/>
                <w:sz w:val="19"/>
                <w:szCs w:val="19"/>
                <w:lang w:bidi="ar-EG"/>
              </w:rPr>
              <w:t>0</w:t>
            </w:r>
          </w:p>
        </w:tc>
        <w:tc>
          <w:tcPr>
            <w:tcW w:w="370"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79.6</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20.4</w:t>
            </w:r>
          </w:p>
        </w:tc>
        <w:tc>
          <w:tcPr>
            <w:tcW w:w="304" w:type="pct"/>
            <w:vAlign w:val="center"/>
          </w:tcPr>
          <w:p w:rsidR="00446847" w:rsidRPr="00A24675" w:rsidRDefault="00446847" w:rsidP="00884FF1">
            <w:pPr>
              <w:bidi w:val="0"/>
              <w:snapToGrid w:val="0"/>
              <w:jc w:val="both"/>
              <w:rPr>
                <w:color w:val="000000"/>
                <w:sz w:val="19"/>
                <w:szCs w:val="19"/>
                <w:lang w:bidi="ar-EG"/>
              </w:rPr>
            </w:pP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39</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10</w:t>
            </w:r>
          </w:p>
        </w:tc>
        <w:tc>
          <w:tcPr>
            <w:tcW w:w="2161" w:type="pct"/>
            <w:vAlign w:val="center"/>
          </w:tcPr>
          <w:p w:rsidR="00446847" w:rsidRPr="00A24675" w:rsidRDefault="00446847" w:rsidP="00884FF1">
            <w:pPr>
              <w:bidi w:val="0"/>
              <w:snapToGrid w:val="0"/>
              <w:jc w:val="both"/>
              <w:rPr>
                <w:b/>
                <w:bCs/>
                <w:color w:val="000000"/>
                <w:sz w:val="19"/>
                <w:szCs w:val="19"/>
                <w:lang w:bidi="ar-EG"/>
              </w:rPr>
            </w:pPr>
            <w:r w:rsidRPr="00A24675">
              <w:rPr>
                <w:b/>
                <w:bCs/>
                <w:color w:val="000000"/>
                <w:sz w:val="19"/>
                <w:szCs w:val="19"/>
                <w:lang w:bidi="ar-EG"/>
              </w:rPr>
              <w:t>Feotal Outcome</w:t>
            </w:r>
          </w:p>
          <w:p w:rsidR="00446847" w:rsidRPr="00A24675" w:rsidRDefault="00446847" w:rsidP="00884FF1">
            <w:pPr>
              <w:bidi w:val="0"/>
              <w:snapToGrid w:val="0"/>
              <w:jc w:val="both"/>
              <w:rPr>
                <w:color w:val="000000"/>
                <w:sz w:val="19"/>
                <w:szCs w:val="19"/>
                <w:lang w:bidi="ar-EG"/>
              </w:rPr>
            </w:pPr>
            <w:r w:rsidRPr="00A24675">
              <w:rPr>
                <w:color w:val="000000"/>
                <w:sz w:val="19"/>
                <w:szCs w:val="19"/>
                <w:lang w:bidi="ar-EG"/>
              </w:rPr>
              <w:t>Living fetus</w:t>
            </w:r>
          </w:p>
          <w:p w:rsidR="00446847" w:rsidRPr="00A24675" w:rsidRDefault="00446847" w:rsidP="00884FF1">
            <w:pPr>
              <w:bidi w:val="0"/>
              <w:snapToGrid w:val="0"/>
              <w:jc w:val="both"/>
              <w:rPr>
                <w:b/>
                <w:bCs/>
                <w:color w:val="000000"/>
                <w:sz w:val="19"/>
                <w:szCs w:val="19"/>
                <w:lang w:bidi="ar-EG"/>
              </w:rPr>
            </w:pPr>
            <w:r w:rsidRPr="00A24675">
              <w:rPr>
                <w:color w:val="000000"/>
                <w:sz w:val="19"/>
                <w:szCs w:val="19"/>
                <w:lang w:bidi="ar-EG"/>
              </w:rPr>
              <w:t>IUFD</w:t>
            </w:r>
          </w:p>
        </w:tc>
      </w:tr>
    </w:tbl>
    <w:p w:rsidR="00446847" w:rsidRPr="00A24675" w:rsidRDefault="00446847" w:rsidP="00884FF1">
      <w:pPr>
        <w:bidi w:val="0"/>
        <w:snapToGrid w:val="0"/>
        <w:jc w:val="center"/>
        <w:rPr>
          <w:rFonts w:eastAsiaTheme="minorEastAsia"/>
          <w:b/>
          <w:bCs/>
          <w:sz w:val="19"/>
          <w:szCs w:val="19"/>
          <w:lang w:eastAsia="zh-CN" w:bidi="ar-EG"/>
        </w:rPr>
      </w:pPr>
    </w:p>
    <w:p w:rsidR="00A24675" w:rsidRDefault="00A24675" w:rsidP="00A24675">
      <w:pPr>
        <w:bidi w:val="0"/>
        <w:snapToGrid w:val="0"/>
        <w:jc w:val="center"/>
        <w:rPr>
          <w:rFonts w:eastAsiaTheme="minorEastAsia"/>
          <w:b/>
          <w:bCs/>
          <w:sz w:val="18"/>
          <w:szCs w:val="18"/>
          <w:lang w:eastAsia="zh-CN" w:bidi="ar-EG"/>
        </w:rPr>
      </w:pPr>
    </w:p>
    <w:p w:rsidR="00DE6F54" w:rsidRDefault="00DE6F54" w:rsidP="00884FF1">
      <w:pPr>
        <w:bidi w:val="0"/>
        <w:snapToGrid w:val="0"/>
        <w:jc w:val="center"/>
        <w:rPr>
          <w:b/>
          <w:bCs/>
          <w:sz w:val="18"/>
          <w:szCs w:val="18"/>
          <w:lang w:bidi="ar-EG"/>
        </w:rPr>
      </w:pPr>
    </w:p>
    <w:p w:rsidR="00446847" w:rsidRPr="00884FF1" w:rsidRDefault="00446847" w:rsidP="00DE6F54">
      <w:pPr>
        <w:bidi w:val="0"/>
        <w:snapToGrid w:val="0"/>
        <w:jc w:val="center"/>
        <w:rPr>
          <w:b/>
          <w:bCs/>
          <w:sz w:val="18"/>
          <w:szCs w:val="18"/>
          <w:lang w:bidi="ar-EG"/>
        </w:rPr>
      </w:pPr>
      <w:r w:rsidRPr="00884FF1">
        <w:rPr>
          <w:b/>
          <w:bCs/>
          <w:sz w:val="18"/>
          <w:szCs w:val="18"/>
          <w:lang w:bidi="ar-EG"/>
        </w:rPr>
        <w:t>Table (2) Comparison between cases with acute and non acute kidney injury regarding to laboratory parameters.(N=120)</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817"/>
        <w:gridCol w:w="1764"/>
        <w:gridCol w:w="835"/>
        <w:gridCol w:w="686"/>
        <w:gridCol w:w="695"/>
        <w:gridCol w:w="571"/>
        <w:gridCol w:w="4210"/>
      </w:tblGrid>
      <w:tr w:rsidR="00446847" w:rsidRPr="00884FF1" w:rsidTr="00A24675">
        <w:trPr>
          <w:jc w:val="center"/>
        </w:trPr>
        <w:tc>
          <w:tcPr>
            <w:tcW w:w="426" w:type="pct"/>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i/>
                <w:iCs/>
                <w:color w:val="000000"/>
                <w:sz w:val="18"/>
                <w:szCs w:val="18"/>
                <w:lang w:bidi="ar-EG"/>
              </w:rPr>
              <w:t xml:space="preserve">P </w:t>
            </w:r>
            <w:r w:rsidRPr="00884FF1">
              <w:rPr>
                <w:b/>
                <w:bCs/>
                <w:color w:val="000000"/>
                <w:sz w:val="18"/>
                <w:szCs w:val="18"/>
                <w:lang w:bidi="ar-EG"/>
              </w:rPr>
              <w:t>value</w:t>
            </w:r>
          </w:p>
        </w:tc>
        <w:tc>
          <w:tcPr>
            <w:tcW w:w="921" w:type="pct"/>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Test of significance</w:t>
            </w:r>
          </w:p>
        </w:tc>
        <w:tc>
          <w:tcPr>
            <w:tcW w:w="794" w:type="pct"/>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Group 2</w:t>
            </w: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Non AKI(N=71)</w:t>
            </w:r>
          </w:p>
        </w:tc>
        <w:tc>
          <w:tcPr>
            <w:tcW w:w="661" w:type="pct"/>
            <w:gridSpan w:val="2"/>
            <w:vAlign w:val="center"/>
          </w:tcPr>
          <w:p w:rsidR="00446847" w:rsidRPr="00884FF1" w:rsidRDefault="00446847" w:rsidP="00884FF1">
            <w:pPr>
              <w:tabs>
                <w:tab w:val="left" w:pos="540"/>
                <w:tab w:val="left" w:pos="585"/>
                <w:tab w:val="center" w:pos="1312"/>
              </w:tabs>
              <w:bidi w:val="0"/>
              <w:snapToGrid w:val="0"/>
              <w:jc w:val="both"/>
              <w:rPr>
                <w:b/>
                <w:bCs/>
                <w:color w:val="000000"/>
                <w:sz w:val="18"/>
                <w:szCs w:val="18"/>
                <w:lang w:bidi="ar-EG"/>
              </w:rPr>
            </w:pPr>
            <w:r w:rsidRPr="00884FF1">
              <w:rPr>
                <w:b/>
                <w:bCs/>
                <w:color w:val="000000"/>
                <w:sz w:val="18"/>
                <w:szCs w:val="18"/>
                <w:lang w:bidi="ar-EG"/>
              </w:rPr>
              <w:t>Group 1</w:t>
            </w:r>
          </w:p>
          <w:p w:rsidR="00446847" w:rsidRPr="00884FF1" w:rsidRDefault="00446847" w:rsidP="00884FF1">
            <w:pPr>
              <w:tabs>
                <w:tab w:val="left" w:pos="540"/>
                <w:tab w:val="left" w:pos="585"/>
                <w:tab w:val="center" w:pos="1312"/>
              </w:tabs>
              <w:bidi w:val="0"/>
              <w:snapToGrid w:val="0"/>
              <w:jc w:val="both"/>
              <w:rPr>
                <w:b/>
                <w:bCs/>
                <w:color w:val="000000"/>
                <w:sz w:val="18"/>
                <w:szCs w:val="18"/>
                <w:lang w:bidi="ar-EG"/>
              </w:rPr>
            </w:pPr>
            <w:r w:rsidRPr="00884FF1">
              <w:rPr>
                <w:b/>
                <w:bCs/>
                <w:color w:val="000000"/>
                <w:sz w:val="18"/>
                <w:szCs w:val="18"/>
                <w:lang w:bidi="ar-EG"/>
              </w:rPr>
              <w:t>AKI(N=49)</w:t>
            </w:r>
          </w:p>
        </w:tc>
        <w:tc>
          <w:tcPr>
            <w:tcW w:w="2198" w:type="pct"/>
            <w:vMerge w:val="restart"/>
            <w:vAlign w:val="center"/>
          </w:tcPr>
          <w:p w:rsidR="00446847" w:rsidRPr="00884FF1" w:rsidRDefault="00446847" w:rsidP="00884FF1">
            <w:pPr>
              <w:tabs>
                <w:tab w:val="right" w:pos="2620"/>
              </w:tabs>
              <w:bidi w:val="0"/>
              <w:snapToGrid w:val="0"/>
              <w:jc w:val="both"/>
              <w:rPr>
                <w:b/>
                <w:bCs/>
                <w:color w:val="000000"/>
                <w:sz w:val="18"/>
                <w:szCs w:val="18"/>
                <w:lang w:bidi="ar-EG"/>
              </w:rPr>
            </w:pPr>
            <w:r w:rsidRPr="00884FF1">
              <w:rPr>
                <w:b/>
                <w:bCs/>
                <w:color w:val="000000"/>
                <w:sz w:val="18"/>
                <w:szCs w:val="18"/>
                <w:lang w:bidi="ar-EG"/>
              </w:rPr>
              <w:t>Variable</w:t>
            </w:r>
          </w:p>
        </w:tc>
      </w:tr>
      <w:tr w:rsidR="00446847" w:rsidRPr="00884FF1" w:rsidTr="00A24675">
        <w:trPr>
          <w:jc w:val="center"/>
        </w:trPr>
        <w:tc>
          <w:tcPr>
            <w:tcW w:w="426" w:type="pct"/>
            <w:vMerge/>
            <w:vAlign w:val="center"/>
          </w:tcPr>
          <w:p w:rsidR="00446847" w:rsidRPr="00884FF1" w:rsidRDefault="00446847" w:rsidP="00884FF1">
            <w:pPr>
              <w:bidi w:val="0"/>
              <w:snapToGrid w:val="0"/>
              <w:jc w:val="both"/>
              <w:rPr>
                <w:b/>
                <w:bCs/>
                <w:color w:val="000000"/>
                <w:sz w:val="18"/>
                <w:szCs w:val="18"/>
                <w:lang w:bidi="ar-EG"/>
              </w:rPr>
            </w:pPr>
          </w:p>
        </w:tc>
        <w:tc>
          <w:tcPr>
            <w:tcW w:w="921" w:type="pct"/>
            <w:vMerge/>
            <w:vAlign w:val="center"/>
          </w:tcPr>
          <w:p w:rsidR="00446847" w:rsidRPr="00884FF1" w:rsidRDefault="00446847" w:rsidP="00884FF1">
            <w:pPr>
              <w:bidi w:val="0"/>
              <w:snapToGrid w:val="0"/>
              <w:jc w:val="both"/>
              <w:rPr>
                <w:b/>
                <w:bCs/>
                <w:color w:val="000000"/>
                <w:sz w:val="18"/>
                <w:szCs w:val="18"/>
                <w:lang w:bidi="ar-EG"/>
              </w:rPr>
            </w:pPr>
          </w:p>
        </w:tc>
        <w:tc>
          <w:tcPr>
            <w:tcW w:w="794" w:type="pct"/>
            <w:gridSpan w:val="2"/>
            <w:vAlign w:val="center"/>
          </w:tcPr>
          <w:p w:rsidR="00446847" w:rsidRPr="00884FF1" w:rsidRDefault="00522806" w:rsidP="00884FF1">
            <w:pPr>
              <w:tabs>
                <w:tab w:val="left" w:pos="585"/>
                <w:tab w:val="center" w:pos="1312"/>
              </w:tabs>
              <w:bidi w:val="0"/>
              <w:snapToGrid w:val="0"/>
              <w:jc w:val="both"/>
              <w:rPr>
                <w:b/>
                <w:bCs/>
                <w:color w:val="000000"/>
                <w:sz w:val="18"/>
                <w:szCs w:val="18"/>
                <w:lang w:bidi="ar-EG"/>
              </w:rPr>
            </w:pPr>
            <w:r w:rsidRPr="00884FF1">
              <w:rPr>
                <w:b/>
                <w:bCs/>
                <w:color w:val="000000"/>
                <w:sz w:val="18"/>
                <w:szCs w:val="18"/>
                <w:lang w:bidi="ar-EG"/>
              </w:rPr>
              <w:t>Mean</w:t>
            </w:r>
            <w:r w:rsidR="00903289" w:rsidRPr="00884FF1">
              <w:rPr>
                <w:b/>
                <w:bCs/>
                <w:color w:val="000000"/>
                <w:sz w:val="18"/>
                <w:szCs w:val="18"/>
                <w:lang w:bidi="ar-EG"/>
              </w:rPr>
              <w:fldChar w:fldCharType="begin"/>
            </w:r>
            <w:r w:rsidRPr="00884FF1">
              <w:rPr>
                <w:b/>
                <w:bCs/>
                <w:color w:val="000000"/>
                <w:sz w:val="18"/>
                <w:szCs w:val="18"/>
                <w:lang w:bidi="ar-EG"/>
              </w:rPr>
              <w:instrText xml:space="preserve"> QUOTE </w:instrText>
            </w:r>
            <w:r w:rsidRPr="00884FF1">
              <w:rPr>
                <w:b/>
                <w:bCs/>
                <w:noProof/>
                <w:color w:val="000000"/>
                <w:sz w:val="18"/>
                <w:szCs w:val="18"/>
                <w:lang w:eastAsia="zh-CN"/>
              </w:rPr>
              <w:drawing>
                <wp:inline distT="0" distB="0" distL="0" distR="0">
                  <wp:extent cx="158750" cy="139065"/>
                  <wp:effectExtent l="19050" t="0" r="0" b="0"/>
                  <wp:docPr id="1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separate"/>
            </w:r>
            <w:r w:rsidRPr="00884FF1">
              <w:rPr>
                <w:b/>
                <w:bCs/>
                <w:noProof/>
                <w:color w:val="000000"/>
                <w:sz w:val="18"/>
                <w:szCs w:val="18"/>
                <w:lang w:eastAsia="zh-CN"/>
              </w:rPr>
              <w:drawing>
                <wp:inline distT="0" distB="0" distL="0" distR="0">
                  <wp:extent cx="158750" cy="139065"/>
                  <wp:effectExtent l="19050" t="0" r="0" b="0"/>
                  <wp:docPr id="1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end"/>
            </w:r>
            <w:r w:rsidRPr="00884FF1">
              <w:rPr>
                <w:b/>
                <w:bCs/>
                <w:color w:val="000000"/>
                <w:sz w:val="18"/>
                <w:szCs w:val="18"/>
                <w:lang w:bidi="ar-EG"/>
              </w:rPr>
              <w:t xml:space="preserve"> SD</w:t>
            </w:r>
          </w:p>
        </w:tc>
        <w:tc>
          <w:tcPr>
            <w:tcW w:w="661" w:type="pct"/>
            <w:gridSpan w:val="2"/>
            <w:vAlign w:val="center"/>
          </w:tcPr>
          <w:p w:rsidR="00446847" w:rsidRPr="00884FF1" w:rsidRDefault="00522806" w:rsidP="00884FF1">
            <w:pPr>
              <w:tabs>
                <w:tab w:val="left" w:pos="585"/>
                <w:tab w:val="center" w:pos="1312"/>
              </w:tabs>
              <w:bidi w:val="0"/>
              <w:snapToGrid w:val="0"/>
              <w:jc w:val="both"/>
              <w:rPr>
                <w:b/>
                <w:bCs/>
                <w:color w:val="000000"/>
                <w:sz w:val="18"/>
                <w:szCs w:val="18"/>
                <w:lang w:bidi="ar-EG"/>
              </w:rPr>
            </w:pPr>
            <w:r w:rsidRPr="00884FF1">
              <w:rPr>
                <w:b/>
                <w:bCs/>
                <w:color w:val="000000"/>
                <w:sz w:val="18"/>
                <w:szCs w:val="18"/>
                <w:lang w:bidi="ar-EG"/>
              </w:rPr>
              <w:t>Mean</w:t>
            </w:r>
            <w:r w:rsidR="00903289" w:rsidRPr="00884FF1">
              <w:rPr>
                <w:b/>
                <w:bCs/>
                <w:color w:val="000000"/>
                <w:sz w:val="18"/>
                <w:szCs w:val="18"/>
                <w:lang w:bidi="ar-EG"/>
              </w:rPr>
              <w:fldChar w:fldCharType="begin"/>
            </w:r>
            <w:r w:rsidRPr="00884FF1">
              <w:rPr>
                <w:b/>
                <w:bCs/>
                <w:color w:val="000000"/>
                <w:sz w:val="18"/>
                <w:szCs w:val="18"/>
                <w:lang w:bidi="ar-EG"/>
              </w:rPr>
              <w:instrText xml:space="preserve"> QUOTE </w:instrText>
            </w:r>
            <w:r w:rsidRPr="00884FF1">
              <w:rPr>
                <w:b/>
                <w:bCs/>
                <w:noProof/>
                <w:color w:val="000000"/>
                <w:sz w:val="18"/>
                <w:szCs w:val="18"/>
                <w:lang w:eastAsia="zh-CN"/>
              </w:rPr>
              <w:drawing>
                <wp:inline distT="0" distB="0" distL="0" distR="0">
                  <wp:extent cx="158750" cy="139065"/>
                  <wp:effectExtent l="19050" t="0" r="0" b="0"/>
                  <wp:docPr id="1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separate"/>
            </w:r>
            <w:r w:rsidRPr="00884FF1">
              <w:rPr>
                <w:b/>
                <w:bCs/>
                <w:noProof/>
                <w:color w:val="000000"/>
                <w:sz w:val="18"/>
                <w:szCs w:val="18"/>
                <w:lang w:eastAsia="zh-CN"/>
              </w:rPr>
              <w:drawing>
                <wp:inline distT="0" distB="0" distL="0" distR="0">
                  <wp:extent cx="158750" cy="139065"/>
                  <wp:effectExtent l="19050" t="0" r="0" b="0"/>
                  <wp:docPr id="1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end"/>
            </w:r>
            <w:r w:rsidRPr="00884FF1">
              <w:rPr>
                <w:b/>
                <w:bCs/>
                <w:color w:val="000000"/>
                <w:sz w:val="18"/>
                <w:szCs w:val="18"/>
                <w:lang w:bidi="ar-EG"/>
              </w:rPr>
              <w:t xml:space="preserve"> SD</w:t>
            </w:r>
          </w:p>
        </w:tc>
        <w:tc>
          <w:tcPr>
            <w:tcW w:w="2198" w:type="pct"/>
            <w:vMerge/>
            <w:vAlign w:val="center"/>
          </w:tcPr>
          <w:p w:rsidR="00446847" w:rsidRPr="00884FF1" w:rsidRDefault="00446847" w:rsidP="00884FF1">
            <w:pPr>
              <w:tabs>
                <w:tab w:val="right" w:pos="2620"/>
              </w:tabs>
              <w:bidi w:val="0"/>
              <w:snapToGrid w:val="0"/>
              <w:jc w:val="both"/>
              <w:rPr>
                <w:b/>
                <w:bCs/>
                <w:color w:val="000000"/>
                <w:sz w:val="18"/>
                <w:szCs w:val="18"/>
                <w:lang w:bidi="ar-EG"/>
              </w:rPr>
            </w:pP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0.06</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1.92#</w:t>
            </w:r>
          </w:p>
        </w:tc>
        <w:tc>
          <w:tcPr>
            <w:tcW w:w="794" w:type="pct"/>
            <w:gridSpan w:val="2"/>
            <w:vAlign w:val="center"/>
          </w:tcPr>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255.46±61.99</w:t>
            </w:r>
          </w:p>
        </w:tc>
        <w:tc>
          <w:tcPr>
            <w:tcW w:w="661" w:type="pct"/>
            <w:gridSpan w:val="2"/>
            <w:vAlign w:val="center"/>
          </w:tcPr>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233.98±81.13</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Platelets</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0.36</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0.92*</w:t>
            </w:r>
          </w:p>
        </w:tc>
        <w:tc>
          <w:tcPr>
            <w:tcW w:w="794" w:type="pct"/>
            <w:gridSpan w:val="2"/>
            <w:vAlign w:val="center"/>
          </w:tcPr>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10.69±1.07</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10.90±1.35</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Hb</w:t>
            </w:r>
          </w:p>
        </w:tc>
      </w:tr>
      <w:tr w:rsidR="00446847" w:rsidRPr="00884FF1" w:rsidTr="00A24675">
        <w:trPr>
          <w:cantSplit/>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0.21</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1.25*</w:t>
            </w:r>
          </w:p>
        </w:tc>
        <w:tc>
          <w:tcPr>
            <w:tcW w:w="794" w:type="pct"/>
            <w:gridSpan w:val="2"/>
            <w:vAlign w:val="center"/>
          </w:tcPr>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0.66±0.09</w:t>
            </w:r>
          </w:p>
        </w:tc>
        <w:tc>
          <w:tcPr>
            <w:tcW w:w="661" w:type="pct"/>
            <w:gridSpan w:val="2"/>
            <w:vAlign w:val="center"/>
          </w:tcPr>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0.69±0.10</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Serum creatinine 1st visit</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15.3*</w:t>
            </w:r>
          </w:p>
        </w:tc>
        <w:tc>
          <w:tcPr>
            <w:tcW w:w="794" w:type="pct"/>
            <w:gridSpan w:val="2"/>
            <w:vAlign w:val="center"/>
          </w:tcPr>
          <w:p w:rsidR="00446847" w:rsidRPr="00884FF1" w:rsidRDefault="00605216" w:rsidP="00884FF1">
            <w:pPr>
              <w:bidi w:val="0"/>
              <w:snapToGrid w:val="0"/>
              <w:jc w:val="both"/>
              <w:rPr>
                <w:color w:val="000000"/>
                <w:sz w:val="18"/>
                <w:szCs w:val="18"/>
                <w:lang w:bidi="ar-EG"/>
              </w:rPr>
            </w:pPr>
            <w:r w:rsidRPr="00884FF1">
              <w:rPr>
                <w:color w:val="000000"/>
                <w:sz w:val="18"/>
                <w:szCs w:val="18"/>
                <w:lang w:bidi="ar-EG"/>
              </w:rPr>
              <w:t>0.77±0.08</w:t>
            </w:r>
          </w:p>
        </w:tc>
        <w:tc>
          <w:tcPr>
            <w:tcW w:w="661" w:type="pct"/>
            <w:gridSpan w:val="2"/>
            <w:vAlign w:val="center"/>
          </w:tcPr>
          <w:p w:rsidR="00446847" w:rsidRPr="00884FF1" w:rsidRDefault="00605216" w:rsidP="00884FF1">
            <w:pPr>
              <w:bidi w:val="0"/>
              <w:snapToGrid w:val="0"/>
              <w:jc w:val="both"/>
              <w:rPr>
                <w:color w:val="000000"/>
                <w:sz w:val="18"/>
                <w:szCs w:val="18"/>
                <w:lang w:bidi="ar-EG"/>
              </w:rPr>
            </w:pPr>
            <w:r w:rsidRPr="00884FF1">
              <w:rPr>
                <w:color w:val="000000"/>
                <w:sz w:val="18"/>
                <w:szCs w:val="18"/>
                <w:lang w:bidi="ar-EG"/>
              </w:rPr>
              <w:t>1.42±0.35</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Serum creatinine 48hrs postpartum</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9.12#</w:t>
            </w:r>
          </w:p>
        </w:tc>
        <w:tc>
          <w:tcPr>
            <w:tcW w:w="794" w:type="pct"/>
            <w:gridSpan w:val="2"/>
            <w:vAlign w:val="center"/>
          </w:tcPr>
          <w:p w:rsidR="00446847" w:rsidRPr="00DE6F54" w:rsidRDefault="00446847" w:rsidP="00884FF1">
            <w:pPr>
              <w:bidi w:val="0"/>
              <w:snapToGrid w:val="0"/>
              <w:jc w:val="both"/>
              <w:rPr>
                <w:color w:val="000000"/>
                <w:sz w:val="18"/>
                <w:szCs w:val="18"/>
                <w:lang w:bidi="ar-EG"/>
              </w:rPr>
            </w:pPr>
            <w:r w:rsidRPr="00884FF1">
              <w:rPr>
                <w:color w:val="000000"/>
                <w:sz w:val="18"/>
                <w:szCs w:val="18"/>
                <w:lang w:bidi="ar-EG"/>
              </w:rPr>
              <w:t>0.85 ±0.21</w:t>
            </w:r>
          </w:p>
        </w:tc>
        <w:tc>
          <w:tcPr>
            <w:tcW w:w="661" w:type="pct"/>
            <w:gridSpan w:val="2"/>
            <w:vAlign w:val="center"/>
          </w:tcPr>
          <w:p w:rsidR="00446847" w:rsidRPr="00DE6F54" w:rsidRDefault="00446847" w:rsidP="00884FF1">
            <w:pPr>
              <w:bidi w:val="0"/>
              <w:snapToGrid w:val="0"/>
              <w:jc w:val="both"/>
              <w:rPr>
                <w:color w:val="000000"/>
                <w:sz w:val="18"/>
                <w:szCs w:val="18"/>
                <w:lang w:bidi="ar-EG"/>
              </w:rPr>
            </w:pPr>
            <w:r w:rsidRPr="00884FF1">
              <w:rPr>
                <w:color w:val="000000"/>
                <w:sz w:val="18"/>
                <w:szCs w:val="18"/>
                <w:lang w:bidi="ar-EG"/>
              </w:rPr>
              <w:t>3.53±2.28</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Serum creatinine 6 weeks after delivery</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3.78#</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43.72±9.13</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67.63±36.80</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BUN 48hrs postpartum</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3.80#</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63.38±9.32</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87.55±37.17</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BUN during 6 weeks after delivery</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0.002</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3.23</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7.02±1.87</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8.08±1.59</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Uric acid</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3.86</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102.37±23.83</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142.98±52.52</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blood glucose</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3.69</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3.09 ±0.36</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2.86±0.28</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Albumin</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0.28</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1.08*</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2.86±0.28</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3.09±0.36</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Total bilirubin</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0.13</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1.48#</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28.70±12.82</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32.33±11.79</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ALT</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0.06</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1.92*</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41.93±11.90</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46.22±12.32</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AST</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0.44</w:t>
            </w:r>
          </w:p>
        </w:tc>
        <w:tc>
          <w:tcPr>
            <w:tcW w:w="921" w:type="pct"/>
            <w:vAlign w:val="center"/>
          </w:tcPr>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1.1</w:t>
            </w:r>
          </w:p>
        </w:tc>
        <w:tc>
          <w:tcPr>
            <w:tcW w:w="794" w:type="pct"/>
            <w:gridSpan w:val="2"/>
            <w:vAlign w:val="center"/>
          </w:tcPr>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1.01±0.04</w:t>
            </w:r>
          </w:p>
        </w:tc>
        <w:tc>
          <w:tcPr>
            <w:tcW w:w="661" w:type="pct"/>
            <w:gridSpan w:val="2"/>
            <w:vAlign w:val="center"/>
          </w:tcPr>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1.0±0.0</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INR</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0.18</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1.37</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7.42±0.02</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7.4±0.07</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PH</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0.32</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1.01</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37.68±2.29</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38.39±4.54</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PCO2</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0.09</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1.72</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24.79±2.82</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23.47±4.84</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HCO3</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9.01</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80.35±31.09</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289.90±75.16</w:t>
            </w:r>
          </w:p>
        </w:tc>
        <w:tc>
          <w:tcPr>
            <w:tcW w:w="2198" w:type="pct"/>
            <w:vAlign w:val="center"/>
          </w:tcPr>
          <w:p w:rsidR="00446847" w:rsidRPr="00884FF1" w:rsidRDefault="00446847" w:rsidP="00884FF1">
            <w:pPr>
              <w:bidi w:val="0"/>
              <w:snapToGrid w:val="0"/>
              <w:jc w:val="both"/>
              <w:rPr>
                <w:b/>
                <w:bCs/>
                <w:color w:val="000000"/>
                <w:sz w:val="18"/>
                <w:szCs w:val="18"/>
              </w:rPr>
            </w:pPr>
            <w:r w:rsidRPr="00884FF1">
              <w:rPr>
                <w:b/>
                <w:bCs/>
                <w:color w:val="000000"/>
                <w:sz w:val="18"/>
                <w:szCs w:val="18"/>
                <w:lang w:bidi="ar-EG"/>
              </w:rPr>
              <w:t>Albumine / creatinine ratio</w:t>
            </w: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921"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8.95#</w:t>
            </w:r>
          </w:p>
        </w:tc>
        <w:tc>
          <w:tcPr>
            <w:tcW w:w="794"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48.93±24.89</w:t>
            </w:r>
          </w:p>
        </w:tc>
        <w:tc>
          <w:tcPr>
            <w:tcW w:w="661" w:type="pct"/>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221.43±74.91</w:t>
            </w:r>
          </w:p>
        </w:tc>
        <w:tc>
          <w:tcPr>
            <w:tcW w:w="2198" w:type="pct"/>
            <w:vAlign w:val="center"/>
          </w:tcPr>
          <w:p w:rsidR="00446847" w:rsidRPr="00884FF1" w:rsidRDefault="00446847" w:rsidP="00884FF1">
            <w:pPr>
              <w:bidi w:val="0"/>
              <w:snapToGrid w:val="0"/>
              <w:jc w:val="both"/>
              <w:rPr>
                <w:b/>
                <w:bCs/>
                <w:color w:val="000000"/>
                <w:sz w:val="18"/>
                <w:szCs w:val="18"/>
              </w:rPr>
            </w:pPr>
            <w:r w:rsidRPr="00884FF1">
              <w:rPr>
                <w:b/>
                <w:bCs/>
                <w:color w:val="000000"/>
                <w:sz w:val="18"/>
                <w:szCs w:val="18"/>
                <w:lang w:bidi="ar-EG"/>
              </w:rPr>
              <w:t>Urine Alb / creatinine ratio 6 weeks after delivery</w:t>
            </w:r>
          </w:p>
        </w:tc>
      </w:tr>
      <w:tr w:rsidR="00446847" w:rsidRPr="00884FF1" w:rsidTr="00A24675">
        <w:trPr>
          <w:jc w:val="center"/>
        </w:trPr>
        <w:tc>
          <w:tcPr>
            <w:tcW w:w="426" w:type="pct"/>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P value</w:t>
            </w:r>
          </w:p>
        </w:tc>
        <w:tc>
          <w:tcPr>
            <w:tcW w:w="921" w:type="pct"/>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X</w:t>
            </w:r>
            <w:r w:rsidRPr="00884FF1">
              <w:rPr>
                <w:b/>
                <w:bCs/>
                <w:color w:val="000000"/>
                <w:sz w:val="18"/>
                <w:szCs w:val="18"/>
                <w:vertAlign w:val="superscript"/>
                <w:lang w:bidi="ar-EG"/>
              </w:rPr>
              <w:t>2</w:t>
            </w:r>
          </w:p>
        </w:tc>
        <w:tc>
          <w:tcPr>
            <w:tcW w:w="794" w:type="pct"/>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Group 2</w:t>
            </w: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Non AKI(N=71)</w:t>
            </w:r>
          </w:p>
        </w:tc>
        <w:tc>
          <w:tcPr>
            <w:tcW w:w="661" w:type="pct"/>
            <w:gridSpan w:val="2"/>
            <w:vAlign w:val="center"/>
          </w:tcPr>
          <w:p w:rsidR="00446847" w:rsidRPr="00884FF1" w:rsidRDefault="00446847" w:rsidP="00884FF1">
            <w:pPr>
              <w:tabs>
                <w:tab w:val="left" w:pos="540"/>
                <w:tab w:val="left" w:pos="585"/>
                <w:tab w:val="center" w:pos="1312"/>
              </w:tabs>
              <w:bidi w:val="0"/>
              <w:snapToGrid w:val="0"/>
              <w:jc w:val="both"/>
              <w:rPr>
                <w:b/>
                <w:bCs/>
                <w:color w:val="000000"/>
                <w:sz w:val="18"/>
                <w:szCs w:val="18"/>
                <w:lang w:bidi="ar-EG"/>
              </w:rPr>
            </w:pPr>
            <w:r w:rsidRPr="00884FF1">
              <w:rPr>
                <w:b/>
                <w:bCs/>
                <w:color w:val="000000"/>
                <w:sz w:val="18"/>
                <w:szCs w:val="18"/>
                <w:lang w:bidi="ar-EG"/>
              </w:rPr>
              <w:t>Group 1</w:t>
            </w: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AKI(N=49)</w:t>
            </w:r>
          </w:p>
        </w:tc>
        <w:tc>
          <w:tcPr>
            <w:tcW w:w="2198" w:type="pct"/>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Variable</w:t>
            </w:r>
          </w:p>
        </w:tc>
      </w:tr>
      <w:tr w:rsidR="00446847" w:rsidRPr="00884FF1" w:rsidTr="00A24675">
        <w:trPr>
          <w:jc w:val="center"/>
        </w:trPr>
        <w:tc>
          <w:tcPr>
            <w:tcW w:w="426" w:type="pct"/>
            <w:vMerge/>
            <w:vAlign w:val="center"/>
          </w:tcPr>
          <w:p w:rsidR="00446847" w:rsidRPr="00884FF1" w:rsidRDefault="00446847" w:rsidP="00884FF1">
            <w:pPr>
              <w:bidi w:val="0"/>
              <w:snapToGrid w:val="0"/>
              <w:jc w:val="both"/>
              <w:rPr>
                <w:b/>
                <w:bCs/>
                <w:color w:val="000000"/>
                <w:sz w:val="18"/>
                <w:szCs w:val="18"/>
                <w:lang w:bidi="ar-EG"/>
              </w:rPr>
            </w:pPr>
          </w:p>
        </w:tc>
        <w:tc>
          <w:tcPr>
            <w:tcW w:w="921" w:type="pct"/>
            <w:vMerge/>
            <w:vAlign w:val="center"/>
          </w:tcPr>
          <w:p w:rsidR="00446847" w:rsidRPr="00884FF1" w:rsidRDefault="00446847" w:rsidP="00884FF1">
            <w:pPr>
              <w:bidi w:val="0"/>
              <w:snapToGrid w:val="0"/>
              <w:jc w:val="both"/>
              <w:rPr>
                <w:b/>
                <w:bCs/>
                <w:color w:val="000000"/>
                <w:sz w:val="18"/>
                <w:szCs w:val="18"/>
                <w:lang w:bidi="ar-EG"/>
              </w:rPr>
            </w:pPr>
          </w:p>
        </w:tc>
        <w:tc>
          <w:tcPr>
            <w:tcW w:w="436" w:type="pct"/>
            <w:vAlign w:val="center"/>
          </w:tcPr>
          <w:p w:rsidR="00446847" w:rsidRPr="00884FF1" w:rsidRDefault="00446847" w:rsidP="00884FF1">
            <w:pPr>
              <w:bidi w:val="0"/>
              <w:snapToGrid w:val="0"/>
              <w:jc w:val="both"/>
              <w:rPr>
                <w:b/>
                <w:bCs/>
                <w:color w:val="000000"/>
                <w:sz w:val="18"/>
                <w:szCs w:val="18"/>
                <w:lang w:bidi="ar-EG"/>
              </w:rPr>
            </w:pPr>
            <w:r w:rsidRPr="00884FF1">
              <w:rPr>
                <w:noProof/>
                <w:color w:val="000000"/>
                <w:sz w:val="18"/>
                <w:szCs w:val="18"/>
                <w:lang w:eastAsia="zh-CN"/>
              </w:rPr>
              <w:drawing>
                <wp:inline distT="0" distB="0" distL="0" distR="0">
                  <wp:extent cx="139065" cy="13906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35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No</w:t>
            </w:r>
          </w:p>
        </w:tc>
        <w:tc>
          <w:tcPr>
            <w:tcW w:w="363" w:type="pct"/>
            <w:vAlign w:val="center"/>
          </w:tcPr>
          <w:p w:rsidR="00446847" w:rsidRPr="00884FF1" w:rsidRDefault="00446847" w:rsidP="00884FF1">
            <w:pPr>
              <w:bidi w:val="0"/>
              <w:snapToGrid w:val="0"/>
              <w:jc w:val="both"/>
              <w:rPr>
                <w:b/>
                <w:bCs/>
                <w:color w:val="000000"/>
                <w:sz w:val="18"/>
                <w:szCs w:val="18"/>
                <w:lang w:bidi="ar-EG"/>
              </w:rPr>
            </w:pPr>
            <w:r w:rsidRPr="00884FF1">
              <w:rPr>
                <w:noProof/>
                <w:color w:val="000000"/>
                <w:sz w:val="18"/>
                <w:szCs w:val="18"/>
                <w:lang w:eastAsia="zh-CN"/>
              </w:rPr>
              <w:drawing>
                <wp:inline distT="0" distB="0" distL="0" distR="0">
                  <wp:extent cx="139065" cy="13906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2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No</w:t>
            </w:r>
          </w:p>
        </w:tc>
        <w:tc>
          <w:tcPr>
            <w:tcW w:w="2198" w:type="pct"/>
            <w:vMerge/>
            <w:vAlign w:val="center"/>
          </w:tcPr>
          <w:p w:rsidR="00446847" w:rsidRPr="00884FF1" w:rsidRDefault="00446847" w:rsidP="00884FF1">
            <w:pPr>
              <w:bidi w:val="0"/>
              <w:snapToGrid w:val="0"/>
              <w:jc w:val="both"/>
              <w:rPr>
                <w:b/>
                <w:bCs/>
                <w:color w:val="000000"/>
                <w:sz w:val="18"/>
                <w:szCs w:val="18"/>
                <w:lang w:bidi="ar-EG"/>
              </w:rPr>
            </w:pPr>
          </w:p>
        </w:tc>
      </w:tr>
      <w:tr w:rsidR="00446847" w:rsidRPr="00884FF1" w:rsidTr="00A24675">
        <w:trPr>
          <w:jc w:val="center"/>
        </w:trPr>
        <w:tc>
          <w:tcPr>
            <w:tcW w:w="426"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921"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17.7</w:t>
            </w:r>
          </w:p>
        </w:tc>
        <w:tc>
          <w:tcPr>
            <w:tcW w:w="436"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32.4</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67.6</w:t>
            </w:r>
          </w:p>
        </w:tc>
        <w:tc>
          <w:tcPr>
            <w:tcW w:w="358"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23</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48</w:t>
            </w:r>
          </w:p>
        </w:tc>
        <w:tc>
          <w:tcPr>
            <w:tcW w:w="363"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71.4</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28.6</w:t>
            </w:r>
          </w:p>
        </w:tc>
        <w:tc>
          <w:tcPr>
            <w:tcW w:w="298"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35</w:t>
            </w:r>
          </w:p>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14</w:t>
            </w:r>
          </w:p>
        </w:tc>
        <w:tc>
          <w:tcPr>
            <w:tcW w:w="219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Pus cells</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Positive</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Negative</w:t>
            </w:r>
          </w:p>
        </w:tc>
      </w:tr>
    </w:tbl>
    <w:p w:rsidR="00446847" w:rsidRPr="00884FF1" w:rsidRDefault="00446847" w:rsidP="00884FF1">
      <w:pPr>
        <w:bidi w:val="0"/>
        <w:snapToGrid w:val="0"/>
        <w:jc w:val="both"/>
        <w:rPr>
          <w:b/>
          <w:bCs/>
          <w:sz w:val="18"/>
          <w:szCs w:val="18"/>
          <w:lang w:bidi="ar-EG"/>
        </w:rPr>
      </w:pPr>
      <w:r w:rsidRPr="00884FF1">
        <w:rPr>
          <w:b/>
          <w:bCs/>
          <w:sz w:val="18"/>
          <w:szCs w:val="18"/>
          <w:lang w:bidi="ar-EG"/>
        </w:rPr>
        <w:t>*= t test</w:t>
      </w:r>
    </w:p>
    <w:p w:rsidR="00446847" w:rsidRPr="00884FF1" w:rsidRDefault="00446847" w:rsidP="00884FF1">
      <w:pPr>
        <w:bidi w:val="0"/>
        <w:snapToGrid w:val="0"/>
        <w:jc w:val="both"/>
        <w:rPr>
          <w:b/>
          <w:bCs/>
          <w:sz w:val="18"/>
          <w:szCs w:val="18"/>
          <w:lang w:bidi="ar-EG"/>
        </w:rPr>
      </w:pPr>
      <w:r w:rsidRPr="00884FF1">
        <w:rPr>
          <w:b/>
          <w:bCs/>
          <w:sz w:val="18"/>
          <w:szCs w:val="18"/>
          <w:lang w:bidi="ar-EG"/>
        </w:rPr>
        <w:t># = Mann Whitney U test</w:t>
      </w:r>
    </w:p>
    <w:p w:rsidR="00021927" w:rsidRPr="00884FF1" w:rsidRDefault="00021927" w:rsidP="00884FF1">
      <w:pPr>
        <w:bidi w:val="0"/>
        <w:snapToGrid w:val="0"/>
        <w:jc w:val="center"/>
        <w:rPr>
          <w:b/>
          <w:bCs/>
          <w:sz w:val="18"/>
          <w:szCs w:val="18"/>
          <w:lang w:bidi="ar-EG"/>
        </w:rPr>
      </w:pPr>
    </w:p>
    <w:p w:rsidR="00446847" w:rsidRPr="00884FF1" w:rsidRDefault="00446847" w:rsidP="00884FF1">
      <w:pPr>
        <w:bidi w:val="0"/>
        <w:snapToGrid w:val="0"/>
        <w:jc w:val="center"/>
        <w:rPr>
          <w:b/>
          <w:bCs/>
          <w:sz w:val="18"/>
          <w:szCs w:val="18"/>
          <w:lang w:bidi="ar-EG"/>
        </w:rPr>
      </w:pPr>
      <w:r w:rsidRPr="00884FF1">
        <w:rPr>
          <w:b/>
          <w:bCs/>
          <w:sz w:val="18"/>
          <w:szCs w:val="18"/>
          <w:lang w:bidi="ar-EG"/>
        </w:rPr>
        <w:t>Table (3):- Logistic regression analysis for independent risk factors of acute kidney injury</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3678"/>
        <w:gridCol w:w="828"/>
        <w:gridCol w:w="948"/>
        <w:gridCol w:w="1013"/>
        <w:gridCol w:w="1364"/>
        <w:gridCol w:w="914"/>
        <w:gridCol w:w="833"/>
      </w:tblGrid>
      <w:tr w:rsidR="00446847" w:rsidRPr="00884FF1" w:rsidTr="00884FF1">
        <w:trPr>
          <w:jc w:val="center"/>
        </w:trPr>
        <w:tc>
          <w:tcPr>
            <w:tcW w:w="1920" w:type="pct"/>
            <w:vAlign w:val="center"/>
          </w:tcPr>
          <w:p w:rsidR="00446847" w:rsidRPr="00884FF1" w:rsidRDefault="00446847" w:rsidP="00884FF1">
            <w:pPr>
              <w:bidi w:val="0"/>
              <w:snapToGrid w:val="0"/>
              <w:jc w:val="both"/>
              <w:rPr>
                <w:color w:val="000000"/>
                <w:sz w:val="18"/>
                <w:szCs w:val="18"/>
                <w:lang w:bidi="ar-EG"/>
              </w:rPr>
            </w:pPr>
          </w:p>
        </w:tc>
        <w:tc>
          <w:tcPr>
            <w:tcW w:w="43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Β</w:t>
            </w:r>
          </w:p>
        </w:tc>
        <w:tc>
          <w:tcPr>
            <w:tcW w:w="495"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SE</w:t>
            </w:r>
          </w:p>
        </w:tc>
        <w:tc>
          <w:tcPr>
            <w:tcW w:w="529" w:type="pct"/>
            <w:vAlign w:val="center"/>
          </w:tcPr>
          <w:p w:rsidR="00446847" w:rsidRPr="00884FF1" w:rsidRDefault="00446847" w:rsidP="00884FF1">
            <w:pPr>
              <w:bidi w:val="0"/>
              <w:snapToGrid w:val="0"/>
              <w:jc w:val="both"/>
              <w:rPr>
                <w:color w:val="000000"/>
                <w:sz w:val="18"/>
                <w:szCs w:val="18"/>
                <w:lang w:bidi="ar-EG"/>
              </w:rPr>
            </w:pPr>
            <w:r w:rsidRPr="00884FF1">
              <w:rPr>
                <w:i/>
                <w:iCs/>
                <w:color w:val="000000"/>
                <w:sz w:val="18"/>
                <w:szCs w:val="18"/>
                <w:lang w:bidi="ar-EG"/>
              </w:rPr>
              <w:t>P</w:t>
            </w:r>
            <w:r w:rsidRPr="00884FF1">
              <w:rPr>
                <w:color w:val="000000"/>
                <w:sz w:val="18"/>
                <w:szCs w:val="18"/>
                <w:lang w:bidi="ar-EG"/>
              </w:rPr>
              <w:t xml:space="preserve"> value</w:t>
            </w:r>
          </w:p>
        </w:tc>
        <w:tc>
          <w:tcPr>
            <w:tcW w:w="71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Expected β</w:t>
            </w:r>
          </w:p>
        </w:tc>
        <w:tc>
          <w:tcPr>
            <w:tcW w:w="477"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CI</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Lower</w:t>
            </w:r>
          </w:p>
        </w:tc>
        <w:tc>
          <w:tcPr>
            <w:tcW w:w="435"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CI</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upper</w:t>
            </w:r>
          </w:p>
        </w:tc>
      </w:tr>
      <w:tr w:rsidR="00446847" w:rsidRPr="00884FF1" w:rsidTr="00884FF1">
        <w:trPr>
          <w:jc w:val="center"/>
        </w:trPr>
        <w:tc>
          <w:tcPr>
            <w:tcW w:w="192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Mean BP</w:t>
            </w:r>
          </w:p>
        </w:tc>
        <w:tc>
          <w:tcPr>
            <w:tcW w:w="43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0.32</w:t>
            </w:r>
          </w:p>
        </w:tc>
        <w:tc>
          <w:tcPr>
            <w:tcW w:w="49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46.04</w:t>
            </w:r>
          </w:p>
        </w:tc>
        <w:tc>
          <w:tcPr>
            <w:tcW w:w="529"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0.76</w:t>
            </w:r>
          </w:p>
        </w:tc>
        <w:tc>
          <w:tcPr>
            <w:tcW w:w="71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1.36</w:t>
            </w:r>
          </w:p>
        </w:tc>
        <w:tc>
          <w:tcPr>
            <w:tcW w:w="47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0.23</w:t>
            </w:r>
          </w:p>
        </w:tc>
        <w:tc>
          <w:tcPr>
            <w:tcW w:w="4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16.5</w:t>
            </w:r>
          </w:p>
        </w:tc>
      </w:tr>
      <w:tr w:rsidR="00446847" w:rsidRPr="00884FF1" w:rsidTr="00884FF1">
        <w:trPr>
          <w:jc w:val="center"/>
        </w:trPr>
        <w:tc>
          <w:tcPr>
            <w:tcW w:w="192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DM</w:t>
            </w:r>
          </w:p>
        </w:tc>
        <w:tc>
          <w:tcPr>
            <w:tcW w:w="43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-8.73</w:t>
            </w:r>
          </w:p>
        </w:tc>
        <w:tc>
          <w:tcPr>
            <w:tcW w:w="49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97.75</w:t>
            </w:r>
          </w:p>
        </w:tc>
        <w:tc>
          <w:tcPr>
            <w:tcW w:w="529"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0.87</w:t>
            </w:r>
          </w:p>
        </w:tc>
        <w:tc>
          <w:tcPr>
            <w:tcW w:w="71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0.88</w:t>
            </w:r>
          </w:p>
        </w:tc>
        <w:tc>
          <w:tcPr>
            <w:tcW w:w="47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w:t>
            </w:r>
          </w:p>
        </w:tc>
        <w:tc>
          <w:tcPr>
            <w:tcW w:w="4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10.9</w:t>
            </w:r>
          </w:p>
        </w:tc>
      </w:tr>
      <w:tr w:rsidR="00446847" w:rsidRPr="00884FF1" w:rsidTr="00884FF1">
        <w:trPr>
          <w:jc w:val="center"/>
        </w:trPr>
        <w:tc>
          <w:tcPr>
            <w:tcW w:w="192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HTN</w:t>
            </w:r>
          </w:p>
        </w:tc>
        <w:tc>
          <w:tcPr>
            <w:tcW w:w="43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-6.41</w:t>
            </w:r>
          </w:p>
        </w:tc>
        <w:tc>
          <w:tcPr>
            <w:tcW w:w="49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78.90</w:t>
            </w:r>
          </w:p>
        </w:tc>
        <w:tc>
          <w:tcPr>
            <w:tcW w:w="529"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0.91</w:t>
            </w:r>
          </w:p>
        </w:tc>
        <w:tc>
          <w:tcPr>
            <w:tcW w:w="71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0.72</w:t>
            </w:r>
          </w:p>
        </w:tc>
        <w:tc>
          <w:tcPr>
            <w:tcW w:w="47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0.02</w:t>
            </w:r>
          </w:p>
        </w:tc>
        <w:tc>
          <w:tcPr>
            <w:tcW w:w="4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8.77</w:t>
            </w:r>
          </w:p>
        </w:tc>
      </w:tr>
      <w:tr w:rsidR="00446847" w:rsidRPr="00884FF1" w:rsidTr="00884FF1">
        <w:trPr>
          <w:jc w:val="center"/>
        </w:trPr>
        <w:tc>
          <w:tcPr>
            <w:tcW w:w="192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Serum creatinine 48hrs postpartum</w:t>
            </w:r>
          </w:p>
        </w:tc>
        <w:tc>
          <w:tcPr>
            <w:tcW w:w="43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26.0</w:t>
            </w:r>
          </w:p>
        </w:tc>
        <w:tc>
          <w:tcPr>
            <w:tcW w:w="49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125.08</w:t>
            </w:r>
          </w:p>
        </w:tc>
        <w:tc>
          <w:tcPr>
            <w:tcW w:w="529"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0.63</w:t>
            </w:r>
          </w:p>
        </w:tc>
        <w:tc>
          <w:tcPr>
            <w:tcW w:w="71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2.22</w:t>
            </w:r>
          </w:p>
        </w:tc>
        <w:tc>
          <w:tcPr>
            <w:tcW w:w="47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1.12</w:t>
            </w:r>
          </w:p>
        </w:tc>
        <w:tc>
          <w:tcPr>
            <w:tcW w:w="4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22.9</w:t>
            </w:r>
          </w:p>
        </w:tc>
      </w:tr>
      <w:tr w:rsidR="00446847" w:rsidRPr="00884FF1" w:rsidTr="00884FF1">
        <w:trPr>
          <w:jc w:val="center"/>
        </w:trPr>
        <w:tc>
          <w:tcPr>
            <w:tcW w:w="192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Uric acid</w:t>
            </w:r>
          </w:p>
        </w:tc>
        <w:tc>
          <w:tcPr>
            <w:tcW w:w="43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1.90</w:t>
            </w:r>
          </w:p>
        </w:tc>
        <w:tc>
          <w:tcPr>
            <w:tcW w:w="49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89.48</w:t>
            </w:r>
          </w:p>
        </w:tc>
        <w:tc>
          <w:tcPr>
            <w:tcW w:w="529"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0.45</w:t>
            </w:r>
          </w:p>
        </w:tc>
        <w:tc>
          <w:tcPr>
            <w:tcW w:w="71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1.12</w:t>
            </w:r>
          </w:p>
        </w:tc>
        <w:tc>
          <w:tcPr>
            <w:tcW w:w="47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0.66</w:t>
            </w:r>
          </w:p>
        </w:tc>
        <w:tc>
          <w:tcPr>
            <w:tcW w:w="4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51.3</w:t>
            </w:r>
          </w:p>
        </w:tc>
      </w:tr>
      <w:tr w:rsidR="00446847" w:rsidRPr="00884FF1" w:rsidTr="00884FF1">
        <w:trPr>
          <w:jc w:val="center"/>
        </w:trPr>
        <w:tc>
          <w:tcPr>
            <w:tcW w:w="192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Serum albumin</w:t>
            </w:r>
          </w:p>
        </w:tc>
        <w:tc>
          <w:tcPr>
            <w:tcW w:w="43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91.56</w:t>
            </w:r>
          </w:p>
        </w:tc>
        <w:tc>
          <w:tcPr>
            <w:tcW w:w="49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13.21</w:t>
            </w:r>
          </w:p>
        </w:tc>
        <w:tc>
          <w:tcPr>
            <w:tcW w:w="529"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0.94</w:t>
            </w:r>
          </w:p>
        </w:tc>
        <w:tc>
          <w:tcPr>
            <w:tcW w:w="71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0.75</w:t>
            </w:r>
          </w:p>
        </w:tc>
        <w:tc>
          <w:tcPr>
            <w:tcW w:w="47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0.04</w:t>
            </w:r>
          </w:p>
        </w:tc>
        <w:tc>
          <w:tcPr>
            <w:tcW w:w="4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15.7</w:t>
            </w:r>
          </w:p>
        </w:tc>
      </w:tr>
      <w:tr w:rsidR="00446847" w:rsidRPr="00884FF1" w:rsidTr="00884FF1">
        <w:trPr>
          <w:jc w:val="center"/>
        </w:trPr>
        <w:tc>
          <w:tcPr>
            <w:tcW w:w="192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Albumine / creatinine ratio in urine</w:t>
            </w:r>
          </w:p>
        </w:tc>
        <w:tc>
          <w:tcPr>
            <w:tcW w:w="43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-0.23</w:t>
            </w:r>
          </w:p>
        </w:tc>
        <w:tc>
          <w:tcPr>
            <w:tcW w:w="49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65.38</w:t>
            </w:r>
          </w:p>
        </w:tc>
        <w:tc>
          <w:tcPr>
            <w:tcW w:w="529"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0.73</w:t>
            </w:r>
          </w:p>
        </w:tc>
        <w:tc>
          <w:tcPr>
            <w:tcW w:w="71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0.79</w:t>
            </w:r>
          </w:p>
        </w:tc>
        <w:tc>
          <w:tcPr>
            <w:tcW w:w="47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0.23</w:t>
            </w:r>
          </w:p>
        </w:tc>
        <w:tc>
          <w:tcPr>
            <w:tcW w:w="4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25.8</w:t>
            </w:r>
          </w:p>
        </w:tc>
      </w:tr>
      <w:tr w:rsidR="00446847" w:rsidRPr="00884FF1" w:rsidTr="00884FF1">
        <w:trPr>
          <w:jc w:val="center"/>
        </w:trPr>
        <w:tc>
          <w:tcPr>
            <w:tcW w:w="192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Preeclampsia</w:t>
            </w:r>
          </w:p>
        </w:tc>
        <w:tc>
          <w:tcPr>
            <w:tcW w:w="43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-3.58</w:t>
            </w:r>
          </w:p>
        </w:tc>
        <w:tc>
          <w:tcPr>
            <w:tcW w:w="49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59.64</w:t>
            </w:r>
          </w:p>
        </w:tc>
        <w:tc>
          <w:tcPr>
            <w:tcW w:w="529"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0.28</w:t>
            </w:r>
          </w:p>
        </w:tc>
        <w:tc>
          <w:tcPr>
            <w:tcW w:w="71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1.09</w:t>
            </w:r>
          </w:p>
        </w:tc>
        <w:tc>
          <w:tcPr>
            <w:tcW w:w="47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0.09</w:t>
            </w:r>
          </w:p>
        </w:tc>
        <w:tc>
          <w:tcPr>
            <w:tcW w:w="4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34.8</w:t>
            </w:r>
          </w:p>
        </w:tc>
      </w:tr>
    </w:tbl>
    <w:p w:rsidR="00446847" w:rsidRDefault="00446847" w:rsidP="00884FF1">
      <w:pPr>
        <w:bidi w:val="0"/>
        <w:snapToGrid w:val="0"/>
        <w:jc w:val="center"/>
        <w:rPr>
          <w:rFonts w:eastAsiaTheme="minorEastAsia"/>
          <w:sz w:val="18"/>
          <w:szCs w:val="18"/>
          <w:lang w:eastAsia="zh-CN" w:bidi="ar-EG"/>
        </w:rPr>
      </w:pPr>
    </w:p>
    <w:p w:rsidR="00446847" w:rsidRPr="00884FF1" w:rsidRDefault="00446847" w:rsidP="00884FF1">
      <w:pPr>
        <w:bidi w:val="0"/>
        <w:snapToGrid w:val="0"/>
        <w:jc w:val="both"/>
        <w:rPr>
          <w:b/>
          <w:bCs/>
          <w:sz w:val="18"/>
          <w:szCs w:val="18"/>
          <w:lang w:bidi="ar-EG"/>
        </w:rPr>
      </w:pPr>
      <w:r w:rsidRPr="00884FF1">
        <w:rPr>
          <w:b/>
          <w:bCs/>
          <w:sz w:val="18"/>
          <w:szCs w:val="18"/>
          <w:lang w:bidi="ar-EG"/>
        </w:rPr>
        <w:t>Table (4) Comparison between acute kidney injury cases (needing heamodialysis and don’t need) regarding to some clinical parameters. (N=120)</w:t>
      </w: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885"/>
        <w:gridCol w:w="1565"/>
        <w:gridCol w:w="1896"/>
        <w:gridCol w:w="2889"/>
        <w:gridCol w:w="2343"/>
      </w:tblGrid>
      <w:tr w:rsidR="00446847" w:rsidRPr="00884FF1" w:rsidTr="00884FF1">
        <w:trPr>
          <w:jc w:val="center"/>
        </w:trPr>
        <w:tc>
          <w:tcPr>
            <w:tcW w:w="462" w:type="pct"/>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i/>
                <w:iCs/>
                <w:color w:val="000000"/>
                <w:sz w:val="18"/>
                <w:szCs w:val="18"/>
                <w:lang w:bidi="ar-EG"/>
              </w:rPr>
              <w:t>P</w:t>
            </w:r>
            <w:r w:rsidRPr="00884FF1">
              <w:rPr>
                <w:b/>
                <w:bCs/>
                <w:color w:val="000000"/>
                <w:sz w:val="18"/>
                <w:szCs w:val="18"/>
                <w:lang w:bidi="ar-EG"/>
              </w:rPr>
              <w:t xml:space="preserve"> value</w:t>
            </w:r>
          </w:p>
        </w:tc>
        <w:tc>
          <w:tcPr>
            <w:tcW w:w="817" w:type="pct"/>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Mann Whitney</w:t>
            </w:r>
          </w:p>
        </w:tc>
        <w:tc>
          <w:tcPr>
            <w:tcW w:w="990"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Don't need</w:t>
            </w:r>
            <w:r w:rsidR="00DE6F54">
              <w:rPr>
                <w:b/>
                <w:bCs/>
                <w:color w:val="000000"/>
                <w:sz w:val="18"/>
                <w:szCs w:val="18"/>
                <w:lang w:bidi="ar-EG"/>
              </w:rPr>
              <w:t xml:space="preserve"> </w:t>
            </w:r>
            <w:r w:rsidRPr="00884FF1">
              <w:rPr>
                <w:b/>
                <w:bCs/>
                <w:color w:val="000000"/>
                <w:sz w:val="18"/>
                <w:szCs w:val="18"/>
                <w:lang w:bidi="ar-EG"/>
              </w:rPr>
              <w:t>(N=35)</w:t>
            </w:r>
          </w:p>
        </w:tc>
        <w:tc>
          <w:tcPr>
            <w:tcW w:w="1508" w:type="pct"/>
            <w:vAlign w:val="center"/>
          </w:tcPr>
          <w:p w:rsidR="00446847" w:rsidRPr="00884FF1" w:rsidRDefault="00446847" w:rsidP="00884FF1">
            <w:pPr>
              <w:tabs>
                <w:tab w:val="left" w:pos="540"/>
                <w:tab w:val="left" w:pos="585"/>
                <w:tab w:val="center" w:pos="1312"/>
              </w:tabs>
              <w:bidi w:val="0"/>
              <w:snapToGrid w:val="0"/>
              <w:jc w:val="both"/>
              <w:rPr>
                <w:b/>
                <w:bCs/>
                <w:color w:val="000000"/>
                <w:sz w:val="18"/>
                <w:szCs w:val="18"/>
                <w:lang w:bidi="ar-EG"/>
              </w:rPr>
            </w:pPr>
            <w:r w:rsidRPr="00884FF1">
              <w:rPr>
                <w:b/>
                <w:bCs/>
                <w:color w:val="000000"/>
                <w:sz w:val="18"/>
                <w:szCs w:val="18"/>
                <w:lang w:bidi="ar-EG"/>
              </w:rPr>
              <w:t>Needing heamodialysis (N=14)</w:t>
            </w:r>
          </w:p>
        </w:tc>
        <w:tc>
          <w:tcPr>
            <w:tcW w:w="1223" w:type="pct"/>
            <w:vMerge w:val="restart"/>
            <w:vAlign w:val="center"/>
          </w:tcPr>
          <w:p w:rsidR="00446847" w:rsidRPr="00884FF1" w:rsidRDefault="00446847" w:rsidP="00884FF1">
            <w:pPr>
              <w:tabs>
                <w:tab w:val="right" w:pos="2620"/>
              </w:tabs>
              <w:bidi w:val="0"/>
              <w:snapToGrid w:val="0"/>
              <w:jc w:val="both"/>
              <w:rPr>
                <w:b/>
                <w:bCs/>
                <w:color w:val="000000"/>
                <w:sz w:val="18"/>
                <w:szCs w:val="18"/>
                <w:lang w:bidi="ar-EG"/>
              </w:rPr>
            </w:pPr>
            <w:r w:rsidRPr="00884FF1">
              <w:rPr>
                <w:b/>
                <w:bCs/>
                <w:color w:val="000000"/>
                <w:sz w:val="18"/>
                <w:szCs w:val="18"/>
                <w:lang w:bidi="ar-EG"/>
              </w:rPr>
              <w:t>Variable</w:t>
            </w:r>
          </w:p>
        </w:tc>
      </w:tr>
      <w:tr w:rsidR="00446847" w:rsidRPr="00884FF1" w:rsidTr="00884FF1">
        <w:trPr>
          <w:jc w:val="center"/>
        </w:trPr>
        <w:tc>
          <w:tcPr>
            <w:tcW w:w="462" w:type="pct"/>
            <w:vMerge/>
            <w:vAlign w:val="center"/>
          </w:tcPr>
          <w:p w:rsidR="00446847" w:rsidRPr="00884FF1" w:rsidRDefault="00446847" w:rsidP="00884FF1">
            <w:pPr>
              <w:bidi w:val="0"/>
              <w:snapToGrid w:val="0"/>
              <w:jc w:val="both"/>
              <w:rPr>
                <w:b/>
                <w:bCs/>
                <w:color w:val="000000"/>
                <w:sz w:val="18"/>
                <w:szCs w:val="18"/>
                <w:lang w:bidi="ar-EG"/>
              </w:rPr>
            </w:pPr>
          </w:p>
        </w:tc>
        <w:tc>
          <w:tcPr>
            <w:tcW w:w="817" w:type="pct"/>
            <w:vMerge/>
            <w:vAlign w:val="center"/>
          </w:tcPr>
          <w:p w:rsidR="00446847" w:rsidRPr="00884FF1" w:rsidRDefault="00446847" w:rsidP="00884FF1">
            <w:pPr>
              <w:bidi w:val="0"/>
              <w:snapToGrid w:val="0"/>
              <w:jc w:val="both"/>
              <w:rPr>
                <w:b/>
                <w:bCs/>
                <w:color w:val="000000"/>
                <w:sz w:val="18"/>
                <w:szCs w:val="18"/>
                <w:lang w:bidi="ar-EG"/>
              </w:rPr>
            </w:pPr>
          </w:p>
        </w:tc>
        <w:tc>
          <w:tcPr>
            <w:tcW w:w="990" w:type="pct"/>
            <w:vAlign w:val="center"/>
          </w:tcPr>
          <w:p w:rsidR="00446847" w:rsidRPr="00884FF1" w:rsidRDefault="00446847" w:rsidP="00884FF1">
            <w:pPr>
              <w:tabs>
                <w:tab w:val="left" w:pos="585"/>
                <w:tab w:val="center" w:pos="1312"/>
              </w:tabs>
              <w:bidi w:val="0"/>
              <w:snapToGrid w:val="0"/>
              <w:jc w:val="both"/>
              <w:rPr>
                <w:b/>
                <w:bCs/>
                <w:color w:val="000000"/>
                <w:sz w:val="18"/>
                <w:szCs w:val="18"/>
                <w:lang w:bidi="ar-EG"/>
              </w:rPr>
            </w:pPr>
            <w:r w:rsidRPr="00884FF1">
              <w:rPr>
                <w:b/>
                <w:bCs/>
                <w:color w:val="000000"/>
                <w:sz w:val="18"/>
                <w:szCs w:val="18"/>
                <w:lang w:bidi="ar-EG"/>
              </w:rPr>
              <w:t>Mean</w:t>
            </w:r>
            <w:r w:rsidR="00903289" w:rsidRPr="00884FF1">
              <w:rPr>
                <w:b/>
                <w:bCs/>
                <w:color w:val="000000"/>
                <w:sz w:val="18"/>
                <w:szCs w:val="18"/>
                <w:lang w:bidi="ar-EG"/>
              </w:rPr>
              <w:fldChar w:fldCharType="begin"/>
            </w:r>
            <w:r w:rsidRPr="00884FF1">
              <w:rPr>
                <w:b/>
                <w:bCs/>
                <w:color w:val="000000"/>
                <w:sz w:val="18"/>
                <w:szCs w:val="18"/>
                <w:lang w:bidi="ar-EG"/>
              </w:rPr>
              <w:instrText xml:space="preserve"> QUOTE </w:instrText>
            </w:r>
            <w:r w:rsidRPr="00884FF1">
              <w:rPr>
                <w:noProof/>
                <w:color w:val="000000"/>
                <w:sz w:val="18"/>
                <w:szCs w:val="18"/>
                <w:lang w:eastAsia="zh-CN"/>
              </w:rPr>
              <w:drawing>
                <wp:inline distT="0" distB="0" distL="0" distR="0">
                  <wp:extent cx="158750" cy="139065"/>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separate"/>
            </w:r>
            <w:r w:rsidRPr="00884FF1">
              <w:rPr>
                <w:noProof/>
                <w:color w:val="000000"/>
                <w:sz w:val="18"/>
                <w:szCs w:val="18"/>
                <w:lang w:eastAsia="zh-CN"/>
              </w:rPr>
              <w:drawing>
                <wp:inline distT="0" distB="0" distL="0" distR="0">
                  <wp:extent cx="158750" cy="139065"/>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end"/>
            </w:r>
            <w:r w:rsidRPr="00884FF1">
              <w:rPr>
                <w:b/>
                <w:bCs/>
                <w:color w:val="000000"/>
                <w:sz w:val="18"/>
                <w:szCs w:val="18"/>
                <w:lang w:bidi="ar-EG"/>
              </w:rPr>
              <w:t xml:space="preserve"> SD</w:t>
            </w:r>
          </w:p>
        </w:tc>
        <w:tc>
          <w:tcPr>
            <w:tcW w:w="1508" w:type="pct"/>
            <w:vAlign w:val="center"/>
          </w:tcPr>
          <w:p w:rsidR="00446847" w:rsidRPr="00884FF1" w:rsidRDefault="00446847" w:rsidP="00884FF1">
            <w:pPr>
              <w:tabs>
                <w:tab w:val="left" w:pos="585"/>
                <w:tab w:val="center" w:pos="1312"/>
              </w:tabs>
              <w:bidi w:val="0"/>
              <w:snapToGrid w:val="0"/>
              <w:jc w:val="both"/>
              <w:rPr>
                <w:b/>
                <w:bCs/>
                <w:color w:val="000000"/>
                <w:sz w:val="18"/>
                <w:szCs w:val="18"/>
                <w:lang w:bidi="ar-EG"/>
              </w:rPr>
            </w:pPr>
            <w:r w:rsidRPr="00884FF1">
              <w:rPr>
                <w:b/>
                <w:bCs/>
                <w:color w:val="000000"/>
                <w:sz w:val="18"/>
                <w:szCs w:val="18"/>
                <w:lang w:bidi="ar-EG"/>
              </w:rPr>
              <w:t>Mean</w:t>
            </w:r>
            <w:r w:rsidR="00903289" w:rsidRPr="00884FF1">
              <w:rPr>
                <w:b/>
                <w:bCs/>
                <w:color w:val="000000"/>
                <w:sz w:val="18"/>
                <w:szCs w:val="18"/>
                <w:lang w:bidi="ar-EG"/>
              </w:rPr>
              <w:fldChar w:fldCharType="begin"/>
            </w:r>
            <w:r w:rsidRPr="00884FF1">
              <w:rPr>
                <w:b/>
                <w:bCs/>
                <w:color w:val="000000"/>
                <w:sz w:val="18"/>
                <w:szCs w:val="18"/>
                <w:lang w:bidi="ar-EG"/>
              </w:rPr>
              <w:instrText xml:space="preserve"> QUOTE </w:instrText>
            </w:r>
            <w:r w:rsidRPr="00884FF1">
              <w:rPr>
                <w:noProof/>
                <w:color w:val="000000"/>
                <w:sz w:val="18"/>
                <w:szCs w:val="18"/>
                <w:lang w:eastAsia="zh-CN"/>
              </w:rPr>
              <w:drawing>
                <wp:inline distT="0" distB="0" distL="0" distR="0">
                  <wp:extent cx="158750" cy="13906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separate"/>
            </w:r>
            <w:r w:rsidRPr="00884FF1">
              <w:rPr>
                <w:noProof/>
                <w:color w:val="000000"/>
                <w:sz w:val="18"/>
                <w:szCs w:val="18"/>
                <w:lang w:eastAsia="zh-CN"/>
              </w:rPr>
              <w:drawing>
                <wp:inline distT="0" distB="0" distL="0" distR="0">
                  <wp:extent cx="158750" cy="139065"/>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end"/>
            </w:r>
            <w:r w:rsidRPr="00884FF1">
              <w:rPr>
                <w:b/>
                <w:bCs/>
                <w:color w:val="000000"/>
                <w:sz w:val="18"/>
                <w:szCs w:val="18"/>
                <w:lang w:bidi="ar-EG"/>
              </w:rPr>
              <w:t xml:space="preserve"> SD</w:t>
            </w:r>
          </w:p>
        </w:tc>
        <w:tc>
          <w:tcPr>
            <w:tcW w:w="1223" w:type="pct"/>
            <w:vMerge/>
            <w:vAlign w:val="center"/>
          </w:tcPr>
          <w:p w:rsidR="00446847" w:rsidRPr="00884FF1" w:rsidRDefault="00446847" w:rsidP="00884FF1">
            <w:pPr>
              <w:tabs>
                <w:tab w:val="right" w:pos="2620"/>
              </w:tabs>
              <w:bidi w:val="0"/>
              <w:snapToGrid w:val="0"/>
              <w:jc w:val="both"/>
              <w:rPr>
                <w:b/>
                <w:bCs/>
                <w:color w:val="000000"/>
                <w:sz w:val="18"/>
                <w:szCs w:val="18"/>
                <w:lang w:bidi="ar-EG"/>
              </w:rPr>
            </w:pPr>
          </w:p>
        </w:tc>
      </w:tr>
      <w:tr w:rsidR="00446847" w:rsidRPr="00884FF1" w:rsidTr="00884FF1">
        <w:trPr>
          <w:jc w:val="center"/>
        </w:trPr>
        <w:tc>
          <w:tcPr>
            <w:tcW w:w="46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0.21</w:t>
            </w:r>
          </w:p>
        </w:tc>
        <w:tc>
          <w:tcPr>
            <w:tcW w:w="817"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1.25</w:t>
            </w:r>
          </w:p>
        </w:tc>
        <w:tc>
          <w:tcPr>
            <w:tcW w:w="99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29.77</w:t>
            </w:r>
            <w:r w:rsidR="00903289" w:rsidRPr="00884FF1">
              <w:rPr>
                <w:color w:val="000000"/>
                <w:sz w:val="18"/>
                <w:szCs w:val="18"/>
                <w:lang w:bidi="ar-EG"/>
              </w:rPr>
              <w:fldChar w:fldCharType="begin"/>
            </w:r>
            <w:r w:rsidRPr="00884FF1">
              <w:rPr>
                <w:color w:val="000000"/>
                <w:sz w:val="18"/>
                <w:szCs w:val="18"/>
                <w:lang w:bidi="ar-EG"/>
              </w:rPr>
              <w:instrText xml:space="preserve"> QUOTE </w:instrText>
            </w:r>
            <w:r w:rsidRPr="00884FF1">
              <w:rPr>
                <w:noProof/>
                <w:color w:val="000000"/>
                <w:sz w:val="18"/>
                <w:szCs w:val="18"/>
                <w:lang w:eastAsia="zh-CN"/>
              </w:rPr>
              <w:drawing>
                <wp:inline distT="0" distB="0" distL="0" distR="0">
                  <wp:extent cx="158750" cy="13906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separate"/>
            </w:r>
            <w:r w:rsidRPr="00884FF1">
              <w:rPr>
                <w:noProof/>
                <w:color w:val="000000"/>
                <w:sz w:val="18"/>
                <w:szCs w:val="18"/>
                <w:lang w:eastAsia="zh-CN"/>
              </w:rPr>
              <w:drawing>
                <wp:inline distT="0" distB="0" distL="0" distR="0">
                  <wp:extent cx="158750" cy="139065"/>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end"/>
            </w:r>
            <w:r w:rsidRPr="00884FF1">
              <w:rPr>
                <w:color w:val="000000"/>
                <w:sz w:val="18"/>
                <w:szCs w:val="18"/>
                <w:lang w:bidi="ar-EG"/>
              </w:rPr>
              <w:t>4</w:t>
            </w:r>
          </w:p>
        </w:tc>
        <w:tc>
          <w:tcPr>
            <w:tcW w:w="1508"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31.5</w:t>
            </w:r>
            <w:r w:rsidR="00903289" w:rsidRPr="00884FF1">
              <w:rPr>
                <w:color w:val="000000"/>
                <w:sz w:val="18"/>
                <w:szCs w:val="18"/>
                <w:lang w:bidi="ar-EG"/>
              </w:rPr>
              <w:fldChar w:fldCharType="begin"/>
            </w:r>
            <w:r w:rsidRPr="00884FF1">
              <w:rPr>
                <w:color w:val="000000"/>
                <w:sz w:val="18"/>
                <w:szCs w:val="18"/>
                <w:lang w:bidi="ar-EG"/>
              </w:rPr>
              <w:instrText xml:space="preserve"> QUOTE </w:instrText>
            </w:r>
            <w:r w:rsidRPr="00884FF1">
              <w:rPr>
                <w:noProof/>
                <w:color w:val="000000"/>
                <w:sz w:val="18"/>
                <w:szCs w:val="18"/>
                <w:lang w:eastAsia="zh-CN"/>
              </w:rPr>
              <w:drawing>
                <wp:inline distT="0" distB="0" distL="0" distR="0">
                  <wp:extent cx="158750" cy="139065"/>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separate"/>
            </w:r>
            <w:r w:rsidRPr="00884FF1">
              <w:rPr>
                <w:noProof/>
                <w:color w:val="000000"/>
                <w:sz w:val="18"/>
                <w:szCs w:val="18"/>
                <w:lang w:eastAsia="zh-CN"/>
              </w:rPr>
              <w:drawing>
                <wp:inline distT="0" distB="0" distL="0" distR="0">
                  <wp:extent cx="158750" cy="13906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end"/>
            </w:r>
            <w:r w:rsidRPr="00884FF1">
              <w:rPr>
                <w:color w:val="000000"/>
                <w:sz w:val="18"/>
                <w:szCs w:val="18"/>
                <w:lang w:bidi="ar-EG"/>
              </w:rPr>
              <w:t>4.86</w:t>
            </w:r>
          </w:p>
        </w:tc>
        <w:tc>
          <w:tcPr>
            <w:tcW w:w="1223"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Age</w:t>
            </w:r>
          </w:p>
        </w:tc>
      </w:tr>
      <w:tr w:rsidR="00446847" w:rsidRPr="00884FF1" w:rsidTr="00884FF1">
        <w:trPr>
          <w:jc w:val="center"/>
        </w:trPr>
        <w:tc>
          <w:tcPr>
            <w:tcW w:w="46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0.01</w:t>
            </w:r>
          </w:p>
        </w:tc>
        <w:tc>
          <w:tcPr>
            <w:tcW w:w="817"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2.56</w:t>
            </w:r>
          </w:p>
        </w:tc>
        <w:tc>
          <w:tcPr>
            <w:tcW w:w="99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164.6</w:t>
            </w:r>
            <w:r w:rsidR="00903289" w:rsidRPr="00884FF1">
              <w:rPr>
                <w:color w:val="000000"/>
                <w:sz w:val="18"/>
                <w:szCs w:val="18"/>
                <w:lang w:bidi="ar-EG"/>
              </w:rPr>
              <w:fldChar w:fldCharType="begin"/>
            </w:r>
            <w:r w:rsidRPr="00884FF1">
              <w:rPr>
                <w:color w:val="000000"/>
                <w:sz w:val="18"/>
                <w:szCs w:val="18"/>
                <w:lang w:bidi="ar-EG"/>
              </w:rPr>
              <w:instrText xml:space="preserve"> QUOTE </w:instrText>
            </w:r>
            <w:r w:rsidRPr="00884FF1">
              <w:rPr>
                <w:noProof/>
                <w:color w:val="000000"/>
                <w:sz w:val="18"/>
                <w:szCs w:val="18"/>
                <w:lang w:eastAsia="zh-CN"/>
              </w:rPr>
              <w:drawing>
                <wp:inline distT="0" distB="0" distL="0" distR="0">
                  <wp:extent cx="158750" cy="139065"/>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separate"/>
            </w:r>
            <w:r w:rsidRPr="00884FF1">
              <w:rPr>
                <w:noProof/>
                <w:color w:val="000000"/>
                <w:sz w:val="18"/>
                <w:szCs w:val="18"/>
                <w:lang w:eastAsia="zh-CN"/>
              </w:rPr>
              <w:drawing>
                <wp:inline distT="0" distB="0" distL="0" distR="0">
                  <wp:extent cx="158750" cy="139065"/>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end"/>
            </w:r>
            <w:r w:rsidRPr="00884FF1">
              <w:rPr>
                <w:color w:val="000000"/>
                <w:sz w:val="18"/>
                <w:szCs w:val="18"/>
                <w:lang w:bidi="ar-EG"/>
              </w:rPr>
              <w:t>12.21</w:t>
            </w:r>
          </w:p>
        </w:tc>
        <w:tc>
          <w:tcPr>
            <w:tcW w:w="1508"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175.0</w:t>
            </w:r>
            <w:r w:rsidR="00903289" w:rsidRPr="00884FF1">
              <w:rPr>
                <w:color w:val="000000"/>
                <w:sz w:val="18"/>
                <w:szCs w:val="18"/>
                <w:lang w:bidi="ar-EG"/>
              </w:rPr>
              <w:fldChar w:fldCharType="begin"/>
            </w:r>
            <w:r w:rsidRPr="00884FF1">
              <w:rPr>
                <w:color w:val="000000"/>
                <w:sz w:val="18"/>
                <w:szCs w:val="18"/>
                <w:lang w:bidi="ar-EG"/>
              </w:rPr>
              <w:instrText xml:space="preserve"> QUOTE </w:instrText>
            </w:r>
            <w:r w:rsidRPr="00884FF1">
              <w:rPr>
                <w:noProof/>
                <w:color w:val="000000"/>
                <w:sz w:val="18"/>
                <w:szCs w:val="18"/>
                <w:lang w:eastAsia="zh-CN"/>
              </w:rPr>
              <w:drawing>
                <wp:inline distT="0" distB="0" distL="0" distR="0">
                  <wp:extent cx="158750" cy="139065"/>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separate"/>
            </w:r>
            <w:r w:rsidRPr="00884FF1">
              <w:rPr>
                <w:noProof/>
                <w:color w:val="000000"/>
                <w:sz w:val="18"/>
                <w:szCs w:val="18"/>
                <w:lang w:eastAsia="zh-CN"/>
              </w:rPr>
              <w:drawing>
                <wp:inline distT="0" distB="0" distL="0" distR="0">
                  <wp:extent cx="158750" cy="139065"/>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end"/>
            </w:r>
            <w:r w:rsidRPr="00884FF1">
              <w:rPr>
                <w:color w:val="000000"/>
                <w:sz w:val="18"/>
                <w:szCs w:val="18"/>
                <w:lang w:bidi="ar-EG"/>
              </w:rPr>
              <w:t>14.54</w:t>
            </w:r>
          </w:p>
        </w:tc>
        <w:tc>
          <w:tcPr>
            <w:tcW w:w="1223"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Systolic blood pressure</w:t>
            </w:r>
          </w:p>
        </w:tc>
      </w:tr>
      <w:tr w:rsidR="00446847" w:rsidRPr="00884FF1" w:rsidTr="00884FF1">
        <w:trPr>
          <w:jc w:val="center"/>
        </w:trPr>
        <w:tc>
          <w:tcPr>
            <w:tcW w:w="46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0.04</w:t>
            </w:r>
          </w:p>
        </w:tc>
        <w:tc>
          <w:tcPr>
            <w:tcW w:w="817"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2.07</w:t>
            </w:r>
          </w:p>
        </w:tc>
        <w:tc>
          <w:tcPr>
            <w:tcW w:w="99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97.7</w:t>
            </w:r>
            <w:r w:rsidR="00903289" w:rsidRPr="00884FF1">
              <w:rPr>
                <w:color w:val="000000"/>
                <w:sz w:val="18"/>
                <w:szCs w:val="18"/>
                <w:lang w:bidi="ar-EG"/>
              </w:rPr>
              <w:fldChar w:fldCharType="begin"/>
            </w:r>
            <w:r w:rsidRPr="00884FF1">
              <w:rPr>
                <w:color w:val="000000"/>
                <w:sz w:val="18"/>
                <w:szCs w:val="18"/>
                <w:lang w:bidi="ar-EG"/>
              </w:rPr>
              <w:instrText xml:space="preserve"> QUOTE </w:instrText>
            </w:r>
            <w:r w:rsidRPr="00884FF1">
              <w:rPr>
                <w:noProof/>
                <w:color w:val="000000"/>
                <w:sz w:val="18"/>
                <w:szCs w:val="18"/>
                <w:lang w:eastAsia="zh-CN"/>
              </w:rPr>
              <w:drawing>
                <wp:inline distT="0" distB="0" distL="0" distR="0">
                  <wp:extent cx="158750" cy="139065"/>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separate"/>
            </w:r>
            <w:r w:rsidRPr="00884FF1">
              <w:rPr>
                <w:noProof/>
                <w:color w:val="000000"/>
                <w:sz w:val="18"/>
                <w:szCs w:val="18"/>
                <w:lang w:eastAsia="zh-CN"/>
              </w:rPr>
              <w:drawing>
                <wp:inline distT="0" distB="0" distL="0" distR="0">
                  <wp:extent cx="158750" cy="139065"/>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end"/>
            </w:r>
            <w:r w:rsidRPr="00884FF1">
              <w:rPr>
                <w:color w:val="000000"/>
                <w:sz w:val="18"/>
                <w:szCs w:val="18"/>
                <w:lang w:bidi="ar-EG"/>
              </w:rPr>
              <w:t>7.3</w:t>
            </w:r>
          </w:p>
        </w:tc>
        <w:tc>
          <w:tcPr>
            <w:tcW w:w="1508"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102.9</w:t>
            </w:r>
            <w:r w:rsidR="00903289" w:rsidRPr="00884FF1">
              <w:rPr>
                <w:color w:val="000000"/>
                <w:sz w:val="18"/>
                <w:szCs w:val="18"/>
                <w:lang w:bidi="ar-EG"/>
              </w:rPr>
              <w:fldChar w:fldCharType="begin"/>
            </w:r>
            <w:r w:rsidRPr="00884FF1">
              <w:rPr>
                <w:color w:val="000000"/>
                <w:sz w:val="18"/>
                <w:szCs w:val="18"/>
                <w:lang w:bidi="ar-EG"/>
              </w:rPr>
              <w:instrText xml:space="preserve"> QUOTE </w:instrText>
            </w:r>
            <w:r w:rsidRPr="00884FF1">
              <w:rPr>
                <w:noProof/>
                <w:color w:val="000000"/>
                <w:sz w:val="18"/>
                <w:szCs w:val="18"/>
                <w:lang w:eastAsia="zh-CN"/>
              </w:rPr>
              <w:drawing>
                <wp:inline distT="0" distB="0" distL="0" distR="0">
                  <wp:extent cx="158750" cy="139065"/>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separate"/>
            </w:r>
            <w:r w:rsidRPr="00884FF1">
              <w:rPr>
                <w:noProof/>
                <w:color w:val="000000"/>
                <w:sz w:val="18"/>
                <w:szCs w:val="18"/>
                <w:lang w:eastAsia="zh-CN"/>
              </w:rPr>
              <w:drawing>
                <wp:inline distT="0" distB="0" distL="0" distR="0">
                  <wp:extent cx="158750" cy="139065"/>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end"/>
            </w:r>
            <w:r w:rsidRPr="00884FF1">
              <w:rPr>
                <w:color w:val="000000"/>
                <w:sz w:val="18"/>
                <w:szCs w:val="18"/>
                <w:lang w:bidi="ar-EG"/>
              </w:rPr>
              <w:t>9.13</w:t>
            </w:r>
          </w:p>
        </w:tc>
        <w:tc>
          <w:tcPr>
            <w:tcW w:w="1223"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Diastolic blood pressure</w:t>
            </w:r>
          </w:p>
        </w:tc>
      </w:tr>
      <w:tr w:rsidR="00446847" w:rsidRPr="00884FF1" w:rsidTr="00884FF1">
        <w:trPr>
          <w:jc w:val="center"/>
        </w:trPr>
        <w:tc>
          <w:tcPr>
            <w:tcW w:w="46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0.02</w:t>
            </w:r>
          </w:p>
        </w:tc>
        <w:tc>
          <w:tcPr>
            <w:tcW w:w="817"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2.45</w:t>
            </w:r>
          </w:p>
        </w:tc>
        <w:tc>
          <w:tcPr>
            <w:tcW w:w="99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120.0</w:t>
            </w:r>
            <w:r w:rsidR="00903289" w:rsidRPr="00884FF1">
              <w:rPr>
                <w:color w:val="000000"/>
                <w:sz w:val="18"/>
                <w:szCs w:val="18"/>
                <w:lang w:bidi="ar-EG"/>
              </w:rPr>
              <w:fldChar w:fldCharType="begin"/>
            </w:r>
            <w:r w:rsidRPr="00884FF1">
              <w:rPr>
                <w:color w:val="000000"/>
                <w:sz w:val="18"/>
                <w:szCs w:val="18"/>
                <w:lang w:bidi="ar-EG"/>
              </w:rPr>
              <w:instrText xml:space="preserve"> QUOTE </w:instrText>
            </w:r>
            <w:r w:rsidRPr="00884FF1">
              <w:rPr>
                <w:noProof/>
                <w:color w:val="000000"/>
                <w:sz w:val="18"/>
                <w:szCs w:val="18"/>
                <w:lang w:eastAsia="zh-CN"/>
              </w:rPr>
              <w:drawing>
                <wp:inline distT="0" distB="0" distL="0" distR="0">
                  <wp:extent cx="158750" cy="139065"/>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separate"/>
            </w:r>
            <w:r w:rsidRPr="00884FF1">
              <w:rPr>
                <w:noProof/>
                <w:color w:val="000000"/>
                <w:sz w:val="18"/>
                <w:szCs w:val="18"/>
                <w:lang w:eastAsia="zh-CN"/>
              </w:rPr>
              <w:drawing>
                <wp:inline distT="0" distB="0" distL="0" distR="0">
                  <wp:extent cx="158750" cy="139065"/>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end"/>
            </w:r>
            <w:r w:rsidRPr="00884FF1">
              <w:rPr>
                <w:color w:val="000000"/>
                <w:sz w:val="18"/>
                <w:szCs w:val="18"/>
                <w:lang w:bidi="ar-EG"/>
              </w:rPr>
              <w:t>8.2</w:t>
            </w:r>
          </w:p>
        </w:tc>
        <w:tc>
          <w:tcPr>
            <w:tcW w:w="1508"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126.9</w:t>
            </w:r>
            <w:r w:rsidR="00903289" w:rsidRPr="00884FF1">
              <w:rPr>
                <w:color w:val="000000"/>
                <w:sz w:val="18"/>
                <w:szCs w:val="18"/>
                <w:lang w:bidi="ar-EG"/>
              </w:rPr>
              <w:fldChar w:fldCharType="begin"/>
            </w:r>
            <w:r w:rsidRPr="00884FF1">
              <w:rPr>
                <w:color w:val="000000"/>
                <w:sz w:val="18"/>
                <w:szCs w:val="18"/>
                <w:lang w:bidi="ar-EG"/>
              </w:rPr>
              <w:instrText xml:space="preserve"> QUOTE </w:instrText>
            </w:r>
            <w:r w:rsidRPr="00884FF1">
              <w:rPr>
                <w:noProof/>
                <w:color w:val="000000"/>
                <w:sz w:val="18"/>
                <w:szCs w:val="18"/>
                <w:lang w:eastAsia="zh-CN"/>
              </w:rPr>
              <w:drawing>
                <wp:inline distT="0" distB="0" distL="0" distR="0">
                  <wp:extent cx="158750" cy="139065"/>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separate"/>
            </w:r>
            <w:r w:rsidRPr="00884FF1">
              <w:rPr>
                <w:noProof/>
                <w:color w:val="000000"/>
                <w:sz w:val="18"/>
                <w:szCs w:val="18"/>
                <w:lang w:eastAsia="zh-CN"/>
              </w:rPr>
              <w:drawing>
                <wp:inline distT="0" distB="0" distL="0" distR="0">
                  <wp:extent cx="158750" cy="139065"/>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color w:val="000000"/>
                <w:sz w:val="18"/>
                <w:szCs w:val="18"/>
                <w:lang w:bidi="ar-EG"/>
              </w:rPr>
              <w:fldChar w:fldCharType="end"/>
            </w:r>
            <w:r w:rsidRPr="00884FF1">
              <w:rPr>
                <w:color w:val="000000"/>
                <w:sz w:val="18"/>
                <w:szCs w:val="18"/>
                <w:lang w:bidi="ar-EG"/>
              </w:rPr>
              <w:t>10.6</w:t>
            </w:r>
          </w:p>
        </w:tc>
        <w:tc>
          <w:tcPr>
            <w:tcW w:w="1223"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Mean blood pressure</w:t>
            </w:r>
          </w:p>
        </w:tc>
      </w:tr>
    </w:tbl>
    <w:p w:rsidR="00884FF1" w:rsidRDefault="00884FF1" w:rsidP="00884FF1">
      <w:pPr>
        <w:bidi w:val="0"/>
        <w:snapToGrid w:val="0"/>
        <w:ind w:firstLine="425"/>
        <w:jc w:val="both"/>
        <w:rPr>
          <w:rFonts w:eastAsiaTheme="minorEastAsia"/>
          <w:sz w:val="18"/>
          <w:szCs w:val="18"/>
          <w:lang w:eastAsia="zh-CN" w:bidi="ar-EG"/>
        </w:rPr>
      </w:pPr>
    </w:p>
    <w:p w:rsidR="00DE6F54" w:rsidRDefault="00DE6F54" w:rsidP="00DE6F54">
      <w:pPr>
        <w:bidi w:val="0"/>
        <w:snapToGrid w:val="0"/>
        <w:ind w:firstLine="425"/>
        <w:jc w:val="both"/>
        <w:rPr>
          <w:rFonts w:eastAsiaTheme="minorEastAsia"/>
          <w:sz w:val="18"/>
          <w:szCs w:val="18"/>
          <w:lang w:eastAsia="zh-CN" w:bidi="ar-EG"/>
        </w:rPr>
      </w:pPr>
    </w:p>
    <w:p w:rsidR="00DE6F54" w:rsidRPr="00884FF1" w:rsidRDefault="00DE6F54" w:rsidP="00DE6F54">
      <w:pPr>
        <w:bidi w:val="0"/>
        <w:snapToGrid w:val="0"/>
        <w:ind w:firstLine="425"/>
        <w:jc w:val="both"/>
        <w:rPr>
          <w:rFonts w:eastAsiaTheme="minorEastAsia"/>
          <w:sz w:val="18"/>
          <w:szCs w:val="18"/>
          <w:lang w:eastAsia="zh-CN" w:bidi="ar-EG"/>
        </w:rPr>
      </w:pPr>
    </w:p>
    <w:tbl>
      <w:tblPr>
        <w:bidiVisu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130"/>
        <w:gridCol w:w="964"/>
        <w:gridCol w:w="837"/>
        <w:gridCol w:w="686"/>
        <w:gridCol w:w="1567"/>
        <w:gridCol w:w="1287"/>
        <w:gridCol w:w="3107"/>
      </w:tblGrid>
      <w:tr w:rsidR="00446847" w:rsidRPr="00884FF1" w:rsidTr="00884FF1">
        <w:trPr>
          <w:jc w:val="center"/>
        </w:trPr>
        <w:tc>
          <w:tcPr>
            <w:tcW w:w="590" w:type="pct"/>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i/>
                <w:iCs/>
                <w:color w:val="000000"/>
                <w:sz w:val="18"/>
                <w:szCs w:val="18"/>
                <w:lang w:bidi="ar-EG"/>
              </w:rPr>
              <w:t>P</w:t>
            </w:r>
            <w:r w:rsidRPr="00884FF1">
              <w:rPr>
                <w:b/>
                <w:bCs/>
                <w:color w:val="000000"/>
                <w:sz w:val="18"/>
                <w:szCs w:val="18"/>
                <w:lang w:bidi="ar-EG"/>
              </w:rPr>
              <w:t xml:space="preserve"> value</w:t>
            </w:r>
          </w:p>
        </w:tc>
        <w:tc>
          <w:tcPr>
            <w:tcW w:w="503" w:type="pct"/>
            <w:vMerge w:val="restar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Fisher</w:t>
            </w:r>
          </w:p>
          <w:p w:rsidR="00446847" w:rsidRPr="00884FF1" w:rsidRDefault="00446847" w:rsidP="00884FF1">
            <w:pPr>
              <w:bidi w:val="0"/>
              <w:snapToGrid w:val="0"/>
              <w:jc w:val="both"/>
              <w:rPr>
                <w:b/>
                <w:bCs/>
                <w:color w:val="000000"/>
                <w:sz w:val="18"/>
                <w:szCs w:val="18"/>
                <w:lang w:bidi="ar-EG"/>
              </w:rPr>
            </w:pPr>
          </w:p>
        </w:tc>
        <w:tc>
          <w:tcPr>
            <w:tcW w:w="795" w:type="pct"/>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Don't need</w:t>
            </w: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(N=35)</w:t>
            </w:r>
          </w:p>
        </w:tc>
        <w:tc>
          <w:tcPr>
            <w:tcW w:w="1490" w:type="pct"/>
            <w:gridSpan w:val="2"/>
            <w:vAlign w:val="center"/>
          </w:tcPr>
          <w:p w:rsidR="00446847" w:rsidRPr="00884FF1" w:rsidRDefault="00446847" w:rsidP="00884FF1">
            <w:pPr>
              <w:tabs>
                <w:tab w:val="left" w:pos="540"/>
                <w:tab w:val="left" w:pos="585"/>
                <w:tab w:val="center" w:pos="1312"/>
              </w:tabs>
              <w:bidi w:val="0"/>
              <w:snapToGrid w:val="0"/>
              <w:jc w:val="both"/>
              <w:rPr>
                <w:b/>
                <w:bCs/>
                <w:color w:val="000000"/>
                <w:sz w:val="18"/>
                <w:szCs w:val="18"/>
                <w:lang w:bidi="ar-EG"/>
              </w:rPr>
            </w:pPr>
            <w:r w:rsidRPr="00884FF1">
              <w:rPr>
                <w:b/>
                <w:bCs/>
                <w:color w:val="000000"/>
                <w:sz w:val="18"/>
                <w:szCs w:val="18"/>
                <w:lang w:bidi="ar-EG"/>
              </w:rPr>
              <w:t>Needing heamodialysis</w:t>
            </w:r>
          </w:p>
          <w:p w:rsidR="00446847" w:rsidRPr="00884FF1" w:rsidRDefault="00446847" w:rsidP="00884FF1">
            <w:pPr>
              <w:tabs>
                <w:tab w:val="left" w:pos="540"/>
                <w:tab w:val="left" w:pos="585"/>
                <w:tab w:val="center" w:pos="1312"/>
              </w:tabs>
              <w:bidi w:val="0"/>
              <w:snapToGrid w:val="0"/>
              <w:jc w:val="both"/>
              <w:rPr>
                <w:b/>
                <w:bCs/>
                <w:color w:val="000000"/>
                <w:sz w:val="18"/>
                <w:szCs w:val="18"/>
                <w:lang w:bidi="ar-EG"/>
              </w:rPr>
            </w:pPr>
            <w:r w:rsidRPr="00884FF1">
              <w:rPr>
                <w:b/>
                <w:bCs/>
                <w:color w:val="000000"/>
                <w:sz w:val="18"/>
                <w:szCs w:val="18"/>
                <w:lang w:bidi="ar-EG"/>
              </w:rPr>
              <w:t>(N=14)</w:t>
            </w:r>
          </w:p>
        </w:tc>
        <w:tc>
          <w:tcPr>
            <w:tcW w:w="1623" w:type="pct"/>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Variable</w:t>
            </w:r>
          </w:p>
        </w:tc>
      </w:tr>
      <w:tr w:rsidR="00446847" w:rsidRPr="00884FF1" w:rsidTr="00884FF1">
        <w:trPr>
          <w:jc w:val="center"/>
        </w:trPr>
        <w:tc>
          <w:tcPr>
            <w:tcW w:w="590" w:type="pct"/>
            <w:vMerge/>
            <w:vAlign w:val="center"/>
          </w:tcPr>
          <w:p w:rsidR="00446847" w:rsidRPr="00884FF1" w:rsidRDefault="00446847" w:rsidP="00884FF1">
            <w:pPr>
              <w:bidi w:val="0"/>
              <w:snapToGrid w:val="0"/>
              <w:jc w:val="both"/>
              <w:rPr>
                <w:b/>
                <w:bCs/>
                <w:color w:val="000000"/>
                <w:sz w:val="18"/>
                <w:szCs w:val="18"/>
                <w:lang w:bidi="ar-EG"/>
              </w:rPr>
            </w:pPr>
          </w:p>
        </w:tc>
        <w:tc>
          <w:tcPr>
            <w:tcW w:w="503" w:type="pct"/>
            <w:vMerge/>
            <w:vAlign w:val="center"/>
          </w:tcPr>
          <w:p w:rsidR="00446847" w:rsidRPr="00884FF1" w:rsidRDefault="00446847" w:rsidP="00884FF1">
            <w:pPr>
              <w:bidi w:val="0"/>
              <w:snapToGrid w:val="0"/>
              <w:jc w:val="both"/>
              <w:rPr>
                <w:b/>
                <w:bCs/>
                <w:color w:val="000000"/>
                <w:sz w:val="18"/>
                <w:szCs w:val="18"/>
                <w:lang w:bidi="ar-EG"/>
              </w:rPr>
            </w:pPr>
          </w:p>
        </w:tc>
        <w:tc>
          <w:tcPr>
            <w:tcW w:w="437" w:type="pct"/>
            <w:vAlign w:val="center"/>
          </w:tcPr>
          <w:p w:rsidR="00446847" w:rsidRPr="00884FF1" w:rsidRDefault="00446847" w:rsidP="00884FF1">
            <w:pPr>
              <w:bidi w:val="0"/>
              <w:snapToGrid w:val="0"/>
              <w:jc w:val="both"/>
              <w:rPr>
                <w:b/>
                <w:bCs/>
                <w:color w:val="000000"/>
                <w:sz w:val="18"/>
                <w:szCs w:val="18"/>
                <w:lang w:bidi="ar-EG"/>
              </w:rPr>
            </w:pPr>
            <w:r w:rsidRPr="00884FF1">
              <w:rPr>
                <w:noProof/>
                <w:color w:val="000000"/>
                <w:sz w:val="18"/>
                <w:szCs w:val="18"/>
                <w:lang w:eastAsia="zh-CN"/>
              </w:rPr>
              <w:drawing>
                <wp:inline distT="0" distB="0" distL="0" distR="0">
                  <wp:extent cx="139065" cy="139065"/>
                  <wp:effectExtent l="19050" t="0" r="0" b="0"/>
                  <wp:docPr id="5"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358"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No</w:t>
            </w:r>
          </w:p>
        </w:tc>
        <w:tc>
          <w:tcPr>
            <w:tcW w:w="818" w:type="pct"/>
            <w:vAlign w:val="center"/>
          </w:tcPr>
          <w:p w:rsidR="00446847" w:rsidRPr="00884FF1" w:rsidRDefault="00446847" w:rsidP="00884FF1">
            <w:pPr>
              <w:bidi w:val="0"/>
              <w:snapToGrid w:val="0"/>
              <w:jc w:val="both"/>
              <w:rPr>
                <w:b/>
                <w:bCs/>
                <w:color w:val="000000"/>
                <w:sz w:val="18"/>
                <w:szCs w:val="18"/>
                <w:lang w:bidi="ar-EG"/>
              </w:rPr>
            </w:pPr>
            <w:r w:rsidRPr="00884FF1">
              <w:rPr>
                <w:noProof/>
                <w:color w:val="000000"/>
                <w:sz w:val="18"/>
                <w:szCs w:val="18"/>
                <w:lang w:eastAsia="zh-CN"/>
              </w:rPr>
              <w:drawing>
                <wp:inline distT="0" distB="0" distL="0" distR="0">
                  <wp:extent cx="139065" cy="139065"/>
                  <wp:effectExtent l="19050" t="0" r="0" b="0"/>
                  <wp:docPr id="7"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672"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No</w:t>
            </w:r>
          </w:p>
        </w:tc>
        <w:tc>
          <w:tcPr>
            <w:tcW w:w="1623" w:type="pct"/>
            <w:vMerge/>
            <w:vAlign w:val="center"/>
          </w:tcPr>
          <w:p w:rsidR="00446847" w:rsidRPr="00884FF1" w:rsidRDefault="00446847" w:rsidP="00884FF1">
            <w:pPr>
              <w:bidi w:val="0"/>
              <w:snapToGrid w:val="0"/>
              <w:jc w:val="both"/>
              <w:rPr>
                <w:b/>
                <w:bCs/>
                <w:color w:val="000000"/>
                <w:sz w:val="18"/>
                <w:szCs w:val="18"/>
                <w:lang w:bidi="ar-EG"/>
              </w:rPr>
            </w:pPr>
          </w:p>
        </w:tc>
      </w:tr>
      <w:tr w:rsidR="00446847" w:rsidRPr="00884FF1" w:rsidTr="00884FF1">
        <w:trPr>
          <w:jc w:val="center"/>
        </w:trPr>
        <w:tc>
          <w:tcPr>
            <w:tcW w:w="590"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0.02</w:t>
            </w:r>
          </w:p>
        </w:tc>
        <w:tc>
          <w:tcPr>
            <w:tcW w:w="503"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6.50</w:t>
            </w:r>
          </w:p>
        </w:tc>
        <w:tc>
          <w:tcPr>
            <w:tcW w:w="437"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20</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80</w:t>
            </w:r>
          </w:p>
        </w:tc>
        <w:tc>
          <w:tcPr>
            <w:tcW w:w="358"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28</w:t>
            </w:r>
          </w:p>
        </w:tc>
        <w:tc>
          <w:tcPr>
            <w:tcW w:w="818"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57.1</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42.9</w:t>
            </w:r>
          </w:p>
        </w:tc>
        <w:tc>
          <w:tcPr>
            <w:tcW w:w="672"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8</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6</w:t>
            </w:r>
          </w:p>
        </w:tc>
        <w:tc>
          <w:tcPr>
            <w:tcW w:w="1623"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DM</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Positive</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Negative</w:t>
            </w:r>
          </w:p>
        </w:tc>
      </w:tr>
      <w:tr w:rsidR="00446847" w:rsidRPr="00884FF1" w:rsidTr="00884FF1">
        <w:trPr>
          <w:jc w:val="center"/>
        </w:trPr>
        <w:tc>
          <w:tcPr>
            <w:tcW w:w="590"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0.04</w:t>
            </w:r>
          </w:p>
        </w:tc>
        <w:tc>
          <w:tcPr>
            <w:tcW w:w="503"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4.41</w:t>
            </w:r>
          </w:p>
        </w:tc>
        <w:tc>
          <w:tcPr>
            <w:tcW w:w="437"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62.9</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37.1</w:t>
            </w:r>
          </w:p>
        </w:tc>
        <w:tc>
          <w:tcPr>
            <w:tcW w:w="358"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22</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13</w:t>
            </w:r>
          </w:p>
        </w:tc>
        <w:tc>
          <w:tcPr>
            <w:tcW w:w="818"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92.9</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7.1</w:t>
            </w:r>
          </w:p>
        </w:tc>
        <w:tc>
          <w:tcPr>
            <w:tcW w:w="672"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13</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w:t>
            </w:r>
          </w:p>
        </w:tc>
        <w:tc>
          <w:tcPr>
            <w:tcW w:w="1623"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Hypertension</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Positive</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Negative</w:t>
            </w:r>
          </w:p>
        </w:tc>
      </w:tr>
      <w:tr w:rsidR="00446847" w:rsidRPr="00884FF1" w:rsidTr="00884FF1">
        <w:trPr>
          <w:jc w:val="center"/>
        </w:trPr>
        <w:tc>
          <w:tcPr>
            <w:tcW w:w="590"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0.05</w:t>
            </w:r>
          </w:p>
        </w:tc>
        <w:tc>
          <w:tcPr>
            <w:tcW w:w="503"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3.82</w:t>
            </w:r>
          </w:p>
        </w:tc>
        <w:tc>
          <w:tcPr>
            <w:tcW w:w="437"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77.1</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22.9</w:t>
            </w:r>
          </w:p>
        </w:tc>
        <w:tc>
          <w:tcPr>
            <w:tcW w:w="358"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27</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8</w:t>
            </w:r>
          </w:p>
        </w:tc>
        <w:tc>
          <w:tcPr>
            <w:tcW w:w="818"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100</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w:t>
            </w:r>
          </w:p>
        </w:tc>
        <w:tc>
          <w:tcPr>
            <w:tcW w:w="672"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14</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w:t>
            </w:r>
          </w:p>
        </w:tc>
        <w:tc>
          <w:tcPr>
            <w:tcW w:w="1623"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Preeclampsia</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Positive</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Negative</w:t>
            </w:r>
          </w:p>
        </w:tc>
      </w:tr>
      <w:tr w:rsidR="00446847" w:rsidRPr="00884FF1" w:rsidTr="00884FF1">
        <w:trPr>
          <w:jc w:val="center"/>
        </w:trPr>
        <w:tc>
          <w:tcPr>
            <w:tcW w:w="590"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0.11</w:t>
            </w:r>
          </w:p>
        </w:tc>
        <w:tc>
          <w:tcPr>
            <w:tcW w:w="503"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4.45</w:t>
            </w:r>
          </w:p>
        </w:tc>
        <w:tc>
          <w:tcPr>
            <w:tcW w:w="437"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14.3</w:t>
            </w:r>
          </w:p>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65.7</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20</w:t>
            </w:r>
          </w:p>
        </w:tc>
        <w:tc>
          <w:tcPr>
            <w:tcW w:w="358"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5</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23</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w:t>
            </w:r>
          </w:p>
        </w:tc>
        <w:tc>
          <w:tcPr>
            <w:tcW w:w="818"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7.1</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42.9</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50.0</w:t>
            </w:r>
          </w:p>
        </w:tc>
        <w:tc>
          <w:tcPr>
            <w:tcW w:w="672"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6</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w:t>
            </w:r>
          </w:p>
        </w:tc>
        <w:tc>
          <w:tcPr>
            <w:tcW w:w="1623"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Drugs</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No drugs</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Antihypertensive</w:t>
            </w:r>
          </w:p>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Insulin + Antihypertensive</w:t>
            </w:r>
          </w:p>
        </w:tc>
      </w:tr>
      <w:tr w:rsidR="00446847" w:rsidRPr="00884FF1" w:rsidTr="00884FF1">
        <w:trPr>
          <w:jc w:val="center"/>
        </w:trPr>
        <w:tc>
          <w:tcPr>
            <w:tcW w:w="590"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1.0</w:t>
            </w:r>
          </w:p>
        </w:tc>
        <w:tc>
          <w:tcPr>
            <w:tcW w:w="503"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0.01</w:t>
            </w:r>
          </w:p>
        </w:tc>
        <w:tc>
          <w:tcPr>
            <w:tcW w:w="437" w:type="pct"/>
            <w:vAlign w:val="center"/>
          </w:tcPr>
          <w:p w:rsidR="00446847" w:rsidRPr="00884FF1" w:rsidRDefault="00446847" w:rsidP="00884FF1">
            <w:pPr>
              <w:bidi w:val="0"/>
              <w:snapToGrid w:val="0"/>
              <w:jc w:val="both"/>
              <w:rPr>
                <w:b/>
                <w:bCs/>
                <w:color w:val="000000"/>
                <w:sz w:val="18"/>
                <w:szCs w:val="18"/>
                <w:lang w:bidi="ar-EG"/>
              </w:rPr>
            </w:pP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80</w:t>
            </w: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20</w:t>
            </w:r>
          </w:p>
        </w:tc>
        <w:tc>
          <w:tcPr>
            <w:tcW w:w="358" w:type="pct"/>
            <w:vAlign w:val="center"/>
          </w:tcPr>
          <w:p w:rsidR="00446847" w:rsidRPr="00884FF1" w:rsidRDefault="00446847" w:rsidP="00884FF1">
            <w:pPr>
              <w:bidi w:val="0"/>
              <w:snapToGrid w:val="0"/>
              <w:jc w:val="both"/>
              <w:rPr>
                <w:b/>
                <w:bCs/>
                <w:color w:val="000000"/>
                <w:sz w:val="18"/>
                <w:szCs w:val="18"/>
                <w:lang w:bidi="ar-EG"/>
              </w:rPr>
            </w:pP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28</w:t>
            </w: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7</w:t>
            </w:r>
          </w:p>
        </w:tc>
        <w:tc>
          <w:tcPr>
            <w:tcW w:w="818"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78.6</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21.4</w:t>
            </w:r>
          </w:p>
        </w:tc>
        <w:tc>
          <w:tcPr>
            <w:tcW w:w="672"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11</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w:t>
            </w:r>
          </w:p>
        </w:tc>
        <w:tc>
          <w:tcPr>
            <w:tcW w:w="1623"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Feotal Outcome</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Living fetus</w:t>
            </w:r>
          </w:p>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IUFD</w:t>
            </w:r>
          </w:p>
        </w:tc>
      </w:tr>
    </w:tbl>
    <w:p w:rsidR="00446847" w:rsidRPr="00884FF1" w:rsidRDefault="00446847" w:rsidP="00884FF1">
      <w:pPr>
        <w:tabs>
          <w:tab w:val="center" w:pos="4153"/>
        </w:tabs>
        <w:bidi w:val="0"/>
        <w:snapToGrid w:val="0"/>
        <w:jc w:val="center"/>
        <w:rPr>
          <w:b/>
          <w:bCs/>
          <w:sz w:val="18"/>
          <w:szCs w:val="18"/>
          <w:lang w:bidi="ar-EG"/>
        </w:rPr>
      </w:pPr>
    </w:p>
    <w:p w:rsidR="00446847" w:rsidRPr="00884FF1" w:rsidRDefault="00446847" w:rsidP="00884FF1">
      <w:pPr>
        <w:tabs>
          <w:tab w:val="center" w:pos="4153"/>
        </w:tabs>
        <w:bidi w:val="0"/>
        <w:snapToGrid w:val="0"/>
        <w:jc w:val="both"/>
        <w:rPr>
          <w:b/>
          <w:bCs/>
          <w:sz w:val="18"/>
          <w:szCs w:val="18"/>
          <w:lang w:bidi="ar-EG"/>
        </w:rPr>
      </w:pPr>
      <w:r w:rsidRPr="00884FF1">
        <w:rPr>
          <w:b/>
          <w:bCs/>
          <w:sz w:val="18"/>
          <w:szCs w:val="18"/>
          <w:lang w:bidi="ar-EG"/>
        </w:rPr>
        <w:t>Table (5) Comparison between acute kidney injury cases (needing heamodialysis and don’t need) regarding to laboratory parameters.(N=120)</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81"/>
        <w:gridCol w:w="1073"/>
        <w:gridCol w:w="974"/>
        <w:gridCol w:w="546"/>
        <w:gridCol w:w="1083"/>
        <w:gridCol w:w="889"/>
        <w:gridCol w:w="4026"/>
      </w:tblGrid>
      <w:tr w:rsidR="00446847" w:rsidRPr="00884FF1" w:rsidTr="00DE6F54">
        <w:trPr>
          <w:jc w:val="center"/>
        </w:trPr>
        <w:tc>
          <w:tcPr>
            <w:tcW w:w="0" w:type="auto"/>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i/>
                <w:iCs/>
                <w:color w:val="000000"/>
                <w:sz w:val="18"/>
                <w:szCs w:val="18"/>
                <w:lang w:bidi="ar-EG"/>
              </w:rPr>
              <w:t>P</w:t>
            </w:r>
            <w:r w:rsidRPr="00884FF1">
              <w:rPr>
                <w:b/>
                <w:bCs/>
                <w:color w:val="000000"/>
                <w:sz w:val="18"/>
                <w:szCs w:val="18"/>
                <w:lang w:bidi="ar-EG"/>
              </w:rPr>
              <w:t xml:space="preserve"> value</w:t>
            </w:r>
          </w:p>
        </w:tc>
        <w:tc>
          <w:tcPr>
            <w:tcW w:w="1073" w:type="dxa"/>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Mann Whitney</w:t>
            </w:r>
          </w:p>
        </w:tc>
        <w:tc>
          <w:tcPr>
            <w:tcW w:w="1520" w:type="dxa"/>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Don't need</w:t>
            </w: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(N=35)</w:t>
            </w:r>
          </w:p>
        </w:tc>
        <w:tc>
          <w:tcPr>
            <w:tcW w:w="0" w:type="auto"/>
            <w:gridSpan w:val="2"/>
            <w:vAlign w:val="center"/>
          </w:tcPr>
          <w:p w:rsidR="00446847" w:rsidRPr="00884FF1" w:rsidRDefault="00446847" w:rsidP="00884FF1">
            <w:pPr>
              <w:tabs>
                <w:tab w:val="left" w:pos="540"/>
                <w:tab w:val="left" w:pos="585"/>
                <w:tab w:val="center" w:pos="1312"/>
              </w:tabs>
              <w:bidi w:val="0"/>
              <w:snapToGrid w:val="0"/>
              <w:jc w:val="both"/>
              <w:rPr>
                <w:b/>
                <w:bCs/>
                <w:color w:val="000000"/>
                <w:sz w:val="18"/>
                <w:szCs w:val="18"/>
                <w:lang w:bidi="ar-EG"/>
              </w:rPr>
            </w:pPr>
            <w:r w:rsidRPr="00884FF1">
              <w:rPr>
                <w:b/>
                <w:bCs/>
                <w:color w:val="000000"/>
                <w:sz w:val="18"/>
                <w:szCs w:val="18"/>
                <w:lang w:bidi="ar-EG"/>
              </w:rPr>
              <w:t>Needing heamodialysis</w:t>
            </w:r>
          </w:p>
          <w:p w:rsidR="00446847" w:rsidRPr="00884FF1" w:rsidRDefault="00446847" w:rsidP="00884FF1">
            <w:pPr>
              <w:tabs>
                <w:tab w:val="left" w:pos="540"/>
                <w:tab w:val="left" w:pos="585"/>
                <w:tab w:val="center" w:pos="1312"/>
              </w:tabs>
              <w:bidi w:val="0"/>
              <w:snapToGrid w:val="0"/>
              <w:jc w:val="both"/>
              <w:rPr>
                <w:b/>
                <w:bCs/>
                <w:color w:val="000000"/>
                <w:sz w:val="18"/>
                <w:szCs w:val="18"/>
                <w:lang w:bidi="ar-EG"/>
              </w:rPr>
            </w:pPr>
            <w:r w:rsidRPr="00884FF1">
              <w:rPr>
                <w:b/>
                <w:bCs/>
                <w:color w:val="000000"/>
                <w:sz w:val="18"/>
                <w:szCs w:val="18"/>
                <w:lang w:bidi="ar-EG"/>
              </w:rPr>
              <w:t>(N=14)</w:t>
            </w:r>
          </w:p>
        </w:tc>
        <w:tc>
          <w:tcPr>
            <w:tcW w:w="0" w:type="auto"/>
            <w:vMerge w:val="restart"/>
            <w:vAlign w:val="center"/>
          </w:tcPr>
          <w:p w:rsidR="00446847" w:rsidRPr="00884FF1" w:rsidRDefault="00446847" w:rsidP="00884FF1">
            <w:pPr>
              <w:tabs>
                <w:tab w:val="right" w:pos="2620"/>
              </w:tabs>
              <w:bidi w:val="0"/>
              <w:snapToGrid w:val="0"/>
              <w:jc w:val="both"/>
              <w:rPr>
                <w:b/>
                <w:bCs/>
                <w:color w:val="000000"/>
                <w:sz w:val="18"/>
                <w:szCs w:val="18"/>
                <w:lang w:bidi="ar-EG"/>
              </w:rPr>
            </w:pPr>
            <w:r w:rsidRPr="00884FF1">
              <w:rPr>
                <w:b/>
                <w:bCs/>
                <w:color w:val="000000"/>
                <w:sz w:val="18"/>
                <w:szCs w:val="18"/>
                <w:lang w:bidi="ar-EG"/>
              </w:rPr>
              <w:t>Variable</w:t>
            </w:r>
          </w:p>
        </w:tc>
      </w:tr>
      <w:tr w:rsidR="00446847" w:rsidRPr="00884FF1" w:rsidTr="00DE6F54">
        <w:trPr>
          <w:jc w:val="center"/>
        </w:trPr>
        <w:tc>
          <w:tcPr>
            <w:tcW w:w="0" w:type="auto"/>
            <w:vMerge/>
            <w:vAlign w:val="center"/>
          </w:tcPr>
          <w:p w:rsidR="00446847" w:rsidRPr="00884FF1" w:rsidRDefault="00446847" w:rsidP="00884FF1">
            <w:pPr>
              <w:bidi w:val="0"/>
              <w:snapToGrid w:val="0"/>
              <w:jc w:val="both"/>
              <w:rPr>
                <w:b/>
                <w:bCs/>
                <w:color w:val="000000"/>
                <w:sz w:val="18"/>
                <w:szCs w:val="18"/>
                <w:lang w:bidi="ar-EG"/>
              </w:rPr>
            </w:pPr>
          </w:p>
        </w:tc>
        <w:tc>
          <w:tcPr>
            <w:tcW w:w="1073" w:type="dxa"/>
            <w:vMerge/>
            <w:vAlign w:val="center"/>
          </w:tcPr>
          <w:p w:rsidR="00446847" w:rsidRPr="00884FF1" w:rsidRDefault="00446847" w:rsidP="00884FF1">
            <w:pPr>
              <w:bidi w:val="0"/>
              <w:snapToGrid w:val="0"/>
              <w:jc w:val="both"/>
              <w:rPr>
                <w:b/>
                <w:bCs/>
                <w:color w:val="000000"/>
                <w:sz w:val="18"/>
                <w:szCs w:val="18"/>
                <w:lang w:bidi="ar-EG"/>
              </w:rPr>
            </w:pPr>
          </w:p>
        </w:tc>
        <w:tc>
          <w:tcPr>
            <w:tcW w:w="1520" w:type="dxa"/>
            <w:gridSpan w:val="2"/>
            <w:vAlign w:val="center"/>
          </w:tcPr>
          <w:p w:rsidR="00446847" w:rsidRPr="00884FF1" w:rsidRDefault="00522806" w:rsidP="00884FF1">
            <w:pPr>
              <w:tabs>
                <w:tab w:val="left" w:pos="585"/>
                <w:tab w:val="center" w:pos="1312"/>
              </w:tabs>
              <w:bidi w:val="0"/>
              <w:snapToGrid w:val="0"/>
              <w:jc w:val="both"/>
              <w:rPr>
                <w:b/>
                <w:bCs/>
                <w:color w:val="000000"/>
                <w:sz w:val="18"/>
                <w:szCs w:val="18"/>
                <w:lang w:bidi="ar-EG"/>
              </w:rPr>
            </w:pPr>
            <w:r w:rsidRPr="00884FF1">
              <w:rPr>
                <w:b/>
                <w:bCs/>
                <w:color w:val="000000"/>
                <w:sz w:val="18"/>
                <w:szCs w:val="18"/>
                <w:lang w:bidi="ar-EG"/>
              </w:rPr>
              <w:t>Mean</w:t>
            </w:r>
            <w:r w:rsidR="00903289" w:rsidRPr="00884FF1">
              <w:rPr>
                <w:b/>
                <w:bCs/>
                <w:color w:val="000000"/>
                <w:sz w:val="18"/>
                <w:szCs w:val="18"/>
                <w:lang w:bidi="ar-EG"/>
              </w:rPr>
              <w:fldChar w:fldCharType="begin"/>
            </w:r>
            <w:r w:rsidRPr="00884FF1">
              <w:rPr>
                <w:b/>
                <w:bCs/>
                <w:color w:val="000000"/>
                <w:sz w:val="18"/>
                <w:szCs w:val="18"/>
                <w:lang w:bidi="ar-EG"/>
              </w:rPr>
              <w:instrText xml:space="preserve"> QUOTE </w:instrText>
            </w:r>
            <w:r w:rsidRPr="00884FF1">
              <w:rPr>
                <w:b/>
                <w:bCs/>
                <w:noProof/>
                <w:color w:val="000000"/>
                <w:sz w:val="18"/>
                <w:szCs w:val="18"/>
                <w:lang w:eastAsia="zh-CN"/>
              </w:rPr>
              <w:drawing>
                <wp:inline distT="0" distB="0" distL="0" distR="0">
                  <wp:extent cx="158750" cy="139065"/>
                  <wp:effectExtent l="19050" t="0" r="0" b="0"/>
                  <wp:docPr id="2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separate"/>
            </w:r>
            <w:r w:rsidRPr="00884FF1">
              <w:rPr>
                <w:b/>
                <w:bCs/>
                <w:noProof/>
                <w:color w:val="000000"/>
                <w:sz w:val="18"/>
                <w:szCs w:val="18"/>
                <w:lang w:eastAsia="zh-CN"/>
              </w:rPr>
              <w:drawing>
                <wp:inline distT="0" distB="0" distL="0" distR="0">
                  <wp:extent cx="158750" cy="139065"/>
                  <wp:effectExtent l="19050" t="0" r="0" b="0"/>
                  <wp:docPr id="2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end"/>
            </w:r>
            <w:r w:rsidRPr="00884FF1">
              <w:rPr>
                <w:b/>
                <w:bCs/>
                <w:color w:val="000000"/>
                <w:sz w:val="18"/>
                <w:szCs w:val="18"/>
                <w:lang w:bidi="ar-EG"/>
              </w:rPr>
              <w:t xml:space="preserve"> SD</w:t>
            </w:r>
          </w:p>
        </w:tc>
        <w:tc>
          <w:tcPr>
            <w:tcW w:w="0" w:type="auto"/>
            <w:gridSpan w:val="2"/>
            <w:vAlign w:val="center"/>
          </w:tcPr>
          <w:p w:rsidR="00446847" w:rsidRPr="00884FF1" w:rsidRDefault="00522806" w:rsidP="00884FF1">
            <w:pPr>
              <w:tabs>
                <w:tab w:val="left" w:pos="585"/>
                <w:tab w:val="center" w:pos="1312"/>
              </w:tabs>
              <w:bidi w:val="0"/>
              <w:snapToGrid w:val="0"/>
              <w:jc w:val="both"/>
              <w:rPr>
                <w:b/>
                <w:bCs/>
                <w:color w:val="000000"/>
                <w:sz w:val="18"/>
                <w:szCs w:val="18"/>
                <w:lang w:bidi="ar-EG"/>
              </w:rPr>
            </w:pPr>
            <w:r w:rsidRPr="00884FF1">
              <w:rPr>
                <w:b/>
                <w:bCs/>
                <w:color w:val="000000"/>
                <w:sz w:val="18"/>
                <w:szCs w:val="18"/>
                <w:lang w:bidi="ar-EG"/>
              </w:rPr>
              <w:t>Mean</w:t>
            </w:r>
            <w:r w:rsidR="00903289" w:rsidRPr="00884FF1">
              <w:rPr>
                <w:b/>
                <w:bCs/>
                <w:color w:val="000000"/>
                <w:sz w:val="18"/>
                <w:szCs w:val="18"/>
                <w:lang w:bidi="ar-EG"/>
              </w:rPr>
              <w:fldChar w:fldCharType="begin"/>
            </w:r>
            <w:r w:rsidRPr="00884FF1">
              <w:rPr>
                <w:b/>
                <w:bCs/>
                <w:color w:val="000000"/>
                <w:sz w:val="18"/>
                <w:szCs w:val="18"/>
                <w:lang w:bidi="ar-EG"/>
              </w:rPr>
              <w:instrText xml:space="preserve"> QUOTE </w:instrText>
            </w:r>
            <w:r w:rsidRPr="00884FF1">
              <w:rPr>
                <w:b/>
                <w:bCs/>
                <w:noProof/>
                <w:color w:val="000000"/>
                <w:sz w:val="18"/>
                <w:szCs w:val="18"/>
                <w:lang w:eastAsia="zh-CN"/>
              </w:rPr>
              <w:drawing>
                <wp:inline distT="0" distB="0" distL="0" distR="0">
                  <wp:extent cx="158750" cy="139065"/>
                  <wp:effectExtent l="19050" t="0" r="0" b="0"/>
                  <wp:docPr id="2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separate"/>
            </w:r>
            <w:r w:rsidRPr="00884FF1">
              <w:rPr>
                <w:b/>
                <w:bCs/>
                <w:noProof/>
                <w:color w:val="000000"/>
                <w:sz w:val="18"/>
                <w:szCs w:val="18"/>
                <w:lang w:eastAsia="zh-CN"/>
              </w:rPr>
              <w:drawing>
                <wp:inline distT="0" distB="0" distL="0" distR="0">
                  <wp:extent cx="158750" cy="139065"/>
                  <wp:effectExtent l="19050" t="0" r="0" b="0"/>
                  <wp:docPr id="2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end"/>
            </w:r>
            <w:r w:rsidRPr="00884FF1">
              <w:rPr>
                <w:b/>
                <w:bCs/>
                <w:color w:val="000000"/>
                <w:sz w:val="18"/>
                <w:szCs w:val="18"/>
                <w:lang w:bidi="ar-EG"/>
              </w:rPr>
              <w:t xml:space="preserve"> SD </w:t>
            </w:r>
            <w:r w:rsidR="00903289" w:rsidRPr="00884FF1">
              <w:rPr>
                <w:b/>
                <w:bCs/>
                <w:color w:val="000000"/>
                <w:sz w:val="18"/>
                <w:szCs w:val="18"/>
                <w:lang w:bidi="ar-EG"/>
              </w:rPr>
              <w:fldChar w:fldCharType="begin"/>
            </w:r>
            <w:r w:rsidR="00446847" w:rsidRPr="00884FF1">
              <w:rPr>
                <w:b/>
                <w:bCs/>
                <w:color w:val="000000"/>
                <w:sz w:val="18"/>
                <w:szCs w:val="18"/>
                <w:lang w:bidi="ar-EG"/>
              </w:rPr>
              <w:instrText xml:space="preserve"> QUOTE </w:instrText>
            </w:r>
            <w:r w:rsidR="00446847" w:rsidRPr="00884FF1">
              <w:rPr>
                <w:noProof/>
                <w:color w:val="000000"/>
                <w:sz w:val="18"/>
                <w:szCs w:val="18"/>
                <w:lang w:eastAsia="zh-CN"/>
              </w:rPr>
              <w:drawing>
                <wp:inline distT="0" distB="0" distL="0" distR="0">
                  <wp:extent cx="158750" cy="139065"/>
                  <wp:effectExtent l="1905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8750" cy="139065"/>
                          </a:xfrm>
                          <a:prstGeom prst="rect">
                            <a:avLst/>
                          </a:prstGeom>
                          <a:noFill/>
                          <a:ln w="9525">
                            <a:noFill/>
                            <a:miter lim="800000"/>
                            <a:headEnd/>
                            <a:tailEnd/>
                          </a:ln>
                        </pic:spPr>
                      </pic:pic>
                    </a:graphicData>
                  </a:graphic>
                </wp:inline>
              </w:drawing>
            </w:r>
            <w:r w:rsidR="00903289" w:rsidRPr="00884FF1">
              <w:rPr>
                <w:b/>
                <w:bCs/>
                <w:color w:val="000000"/>
                <w:sz w:val="18"/>
                <w:szCs w:val="18"/>
                <w:lang w:bidi="ar-EG"/>
              </w:rPr>
              <w:fldChar w:fldCharType="end"/>
            </w:r>
          </w:p>
        </w:tc>
        <w:tc>
          <w:tcPr>
            <w:tcW w:w="0" w:type="auto"/>
            <w:vMerge/>
            <w:vAlign w:val="center"/>
          </w:tcPr>
          <w:p w:rsidR="00446847" w:rsidRPr="00884FF1" w:rsidRDefault="00446847" w:rsidP="00884FF1">
            <w:pPr>
              <w:tabs>
                <w:tab w:val="right" w:pos="2620"/>
              </w:tabs>
              <w:bidi w:val="0"/>
              <w:snapToGrid w:val="0"/>
              <w:jc w:val="both"/>
              <w:rPr>
                <w:b/>
                <w:bCs/>
                <w:color w:val="000000"/>
                <w:sz w:val="18"/>
                <w:szCs w:val="18"/>
                <w:lang w:bidi="ar-EG"/>
              </w:rPr>
            </w:pP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0.18</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1.33</w:t>
            </w:r>
          </w:p>
        </w:tc>
        <w:tc>
          <w:tcPr>
            <w:tcW w:w="1520" w:type="dxa"/>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240.74±77.45</w:t>
            </w:r>
          </w:p>
        </w:tc>
        <w:tc>
          <w:tcPr>
            <w:tcW w:w="0" w:type="auto"/>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217.07±90.44</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Platelets</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0.45</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0.76</w:t>
            </w:r>
          </w:p>
        </w:tc>
        <w:tc>
          <w:tcPr>
            <w:tcW w:w="1520" w:type="dxa"/>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10.82±1.35</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11.09</w:t>
            </w:r>
            <w:r w:rsidRPr="00884FF1">
              <w:rPr>
                <w:b/>
                <w:bCs/>
                <w:color w:val="000000"/>
                <w:sz w:val="18"/>
                <w:szCs w:val="18"/>
                <w:lang w:bidi="ar-EG"/>
              </w:rPr>
              <w:t>±1.39</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Hb</w:t>
            </w:r>
          </w:p>
        </w:tc>
      </w:tr>
      <w:tr w:rsidR="00446847" w:rsidRPr="00884FF1" w:rsidTr="00DE6F54">
        <w:trPr>
          <w:cantSplit/>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0.47</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0.72</w:t>
            </w:r>
          </w:p>
        </w:tc>
        <w:tc>
          <w:tcPr>
            <w:tcW w:w="1520" w:type="dxa"/>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0.68±0.10</w:t>
            </w:r>
          </w:p>
        </w:tc>
        <w:tc>
          <w:tcPr>
            <w:tcW w:w="0" w:type="auto"/>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0.71±0.12</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Serum creatinine 1st visit</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0.01</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2.58</w:t>
            </w:r>
          </w:p>
        </w:tc>
        <w:tc>
          <w:tcPr>
            <w:tcW w:w="1520" w:type="dxa"/>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1.35±0.29</w:t>
            </w:r>
          </w:p>
        </w:tc>
        <w:tc>
          <w:tcPr>
            <w:tcW w:w="0" w:type="auto"/>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1.61±0.40</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Serum creatinine 48hrs postpartum</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5.35</w:t>
            </w:r>
          </w:p>
        </w:tc>
        <w:tc>
          <w:tcPr>
            <w:tcW w:w="1520" w:type="dxa"/>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2.30±1.12</w:t>
            </w:r>
          </w:p>
        </w:tc>
        <w:tc>
          <w:tcPr>
            <w:tcW w:w="0" w:type="auto"/>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6.61±1.24</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Serum creatinine durin 6 weeks after delivery</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4.92</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46.63</w:t>
            </w:r>
            <w:r w:rsidRPr="00884FF1">
              <w:rPr>
                <w:b/>
                <w:bCs/>
                <w:color w:val="000000"/>
                <w:sz w:val="18"/>
                <w:szCs w:val="18"/>
                <w:lang w:bidi="ar-EG"/>
              </w:rPr>
              <w:t>±6.95</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120.14</w:t>
            </w:r>
            <w:r w:rsidRPr="00884FF1">
              <w:rPr>
                <w:b/>
                <w:bCs/>
                <w:color w:val="000000"/>
                <w:sz w:val="18"/>
                <w:szCs w:val="18"/>
                <w:lang w:bidi="ar-EG"/>
              </w:rPr>
              <w:t>±26.78</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BUN48hrs postpartum</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&lt;0.001</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4.92</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66.2</w:t>
            </w:r>
            <w:r w:rsidRPr="00884FF1">
              <w:rPr>
                <w:b/>
                <w:bCs/>
                <w:color w:val="000000"/>
                <w:sz w:val="18"/>
                <w:szCs w:val="18"/>
                <w:lang w:bidi="ar-EG"/>
              </w:rPr>
              <w:t>±6.77</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140.93</w:t>
            </w:r>
            <w:r w:rsidRPr="00884FF1">
              <w:rPr>
                <w:b/>
                <w:bCs/>
                <w:color w:val="000000"/>
                <w:sz w:val="18"/>
                <w:szCs w:val="18"/>
                <w:lang w:bidi="ar-EG"/>
              </w:rPr>
              <w:t>±26.22</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BUN during 6 weeks after delivery</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0.003</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3.01</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7.63</w:t>
            </w:r>
            <w:r w:rsidRPr="00884FF1">
              <w:rPr>
                <w:b/>
                <w:bCs/>
                <w:color w:val="000000"/>
                <w:sz w:val="18"/>
                <w:szCs w:val="18"/>
                <w:lang w:bidi="ar-EG"/>
              </w:rPr>
              <w:t>±1.40</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9.19</w:t>
            </w:r>
            <w:r w:rsidRPr="00884FF1">
              <w:rPr>
                <w:b/>
                <w:bCs/>
                <w:color w:val="000000"/>
                <w:sz w:val="18"/>
                <w:szCs w:val="18"/>
                <w:lang w:bidi="ar-EG"/>
              </w:rPr>
              <w:t>±</w:t>
            </w:r>
            <w:r w:rsidRPr="00884FF1">
              <w:rPr>
                <w:color w:val="000000"/>
                <w:sz w:val="18"/>
                <w:szCs w:val="18"/>
                <w:lang w:bidi="ar-EG"/>
              </w:rPr>
              <w:t>1.53</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Uric acid</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0.25</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1.15</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137.77</w:t>
            </w:r>
            <w:r w:rsidRPr="00884FF1">
              <w:rPr>
                <w:b/>
                <w:bCs/>
                <w:color w:val="000000"/>
                <w:sz w:val="18"/>
                <w:szCs w:val="18"/>
                <w:lang w:bidi="ar-EG"/>
              </w:rPr>
              <w:t>±51.69</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156.0</w:t>
            </w:r>
            <w:r w:rsidRPr="00884FF1">
              <w:rPr>
                <w:b/>
                <w:bCs/>
                <w:color w:val="000000"/>
                <w:sz w:val="18"/>
                <w:szCs w:val="18"/>
                <w:lang w:bidi="ar-EG"/>
              </w:rPr>
              <w:t>±54.22</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blood glucose</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0.01</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2.46</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3.16</w:t>
            </w:r>
            <w:r w:rsidRPr="00884FF1">
              <w:rPr>
                <w:b/>
                <w:bCs/>
                <w:color w:val="000000"/>
                <w:sz w:val="18"/>
                <w:szCs w:val="18"/>
                <w:lang w:bidi="ar-EG"/>
              </w:rPr>
              <w:t>±0.35</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2.91</w:t>
            </w:r>
            <w:r w:rsidRPr="00884FF1">
              <w:rPr>
                <w:b/>
                <w:bCs/>
                <w:color w:val="000000"/>
                <w:sz w:val="18"/>
                <w:szCs w:val="18"/>
                <w:lang w:bidi="ar-EG"/>
              </w:rPr>
              <w:t>±</w:t>
            </w:r>
            <w:r w:rsidRPr="00884FF1">
              <w:rPr>
                <w:color w:val="000000"/>
                <w:sz w:val="18"/>
                <w:szCs w:val="18"/>
                <w:lang w:bidi="ar-EG"/>
              </w:rPr>
              <w:t>0.34</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Albumin</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0.67</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0.42</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0.74</w:t>
            </w:r>
            <w:r w:rsidRPr="00884FF1">
              <w:rPr>
                <w:b/>
                <w:bCs/>
                <w:color w:val="000000"/>
                <w:sz w:val="18"/>
                <w:szCs w:val="18"/>
                <w:lang w:bidi="ar-EG"/>
              </w:rPr>
              <w:t>±0.24</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0.71</w:t>
            </w:r>
            <w:r w:rsidRPr="00884FF1">
              <w:rPr>
                <w:b/>
                <w:bCs/>
                <w:color w:val="000000"/>
                <w:sz w:val="18"/>
                <w:szCs w:val="18"/>
                <w:lang w:bidi="ar-EG"/>
              </w:rPr>
              <w:t>±</w:t>
            </w:r>
            <w:r w:rsidRPr="00884FF1">
              <w:rPr>
                <w:color w:val="000000"/>
                <w:sz w:val="18"/>
                <w:szCs w:val="18"/>
                <w:lang w:bidi="ar-EG"/>
              </w:rPr>
              <w:t>0.23</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Total bilirubin</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0.23</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1.19</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30.83</w:t>
            </w:r>
            <w:r w:rsidRPr="00884FF1">
              <w:rPr>
                <w:b/>
                <w:bCs/>
                <w:color w:val="000000"/>
                <w:sz w:val="18"/>
                <w:szCs w:val="18"/>
                <w:lang w:bidi="ar-EG"/>
              </w:rPr>
              <w:t>±10.38</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36.07</w:t>
            </w:r>
            <w:r w:rsidRPr="00884FF1">
              <w:rPr>
                <w:b/>
                <w:bCs/>
                <w:color w:val="000000"/>
                <w:sz w:val="18"/>
                <w:szCs w:val="18"/>
                <w:lang w:bidi="ar-EG"/>
              </w:rPr>
              <w:t>±</w:t>
            </w:r>
            <w:r w:rsidRPr="00884FF1">
              <w:rPr>
                <w:color w:val="000000"/>
                <w:sz w:val="18"/>
                <w:szCs w:val="18"/>
                <w:lang w:bidi="ar-EG"/>
              </w:rPr>
              <w:t>14.53</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ALT</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0.73</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0.34</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45.63</w:t>
            </w:r>
            <w:r w:rsidRPr="00884FF1">
              <w:rPr>
                <w:b/>
                <w:bCs/>
                <w:color w:val="000000"/>
                <w:sz w:val="18"/>
                <w:szCs w:val="18"/>
                <w:lang w:bidi="ar-EG"/>
              </w:rPr>
              <w:t>±11.5</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47.71</w:t>
            </w:r>
            <w:r w:rsidRPr="00884FF1">
              <w:rPr>
                <w:b/>
                <w:bCs/>
                <w:color w:val="000000"/>
                <w:sz w:val="18"/>
                <w:szCs w:val="18"/>
                <w:lang w:bidi="ar-EG"/>
              </w:rPr>
              <w:t>±14.51</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AST</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1.0</w:t>
            </w:r>
          </w:p>
        </w:tc>
        <w:tc>
          <w:tcPr>
            <w:tcW w:w="1073" w:type="dxa"/>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0.0</w:t>
            </w:r>
          </w:p>
        </w:tc>
        <w:tc>
          <w:tcPr>
            <w:tcW w:w="1520" w:type="dxa"/>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1.0±0.0</w:t>
            </w:r>
          </w:p>
        </w:tc>
        <w:tc>
          <w:tcPr>
            <w:tcW w:w="0" w:type="auto"/>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1.0±0</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INR</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0.23</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1.18</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7.41</w:t>
            </w:r>
            <w:r w:rsidRPr="00884FF1">
              <w:rPr>
                <w:b/>
                <w:bCs/>
                <w:color w:val="000000"/>
                <w:sz w:val="18"/>
                <w:szCs w:val="18"/>
                <w:lang w:bidi="ar-EG"/>
              </w:rPr>
              <w:t>±0.07</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7.38</w:t>
            </w:r>
            <w:r w:rsidRPr="00884FF1">
              <w:rPr>
                <w:b/>
                <w:bCs/>
                <w:color w:val="000000"/>
                <w:sz w:val="18"/>
                <w:szCs w:val="18"/>
                <w:lang w:bidi="ar-EG"/>
              </w:rPr>
              <w:t>±</w:t>
            </w:r>
            <w:r w:rsidRPr="00884FF1">
              <w:rPr>
                <w:color w:val="000000"/>
                <w:sz w:val="18"/>
                <w:szCs w:val="18"/>
                <w:lang w:bidi="ar-EG"/>
              </w:rPr>
              <w:t>0.08</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PH</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0.13</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1.53</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37.74</w:t>
            </w:r>
            <w:r w:rsidRPr="00884FF1">
              <w:rPr>
                <w:b/>
                <w:bCs/>
                <w:color w:val="000000"/>
                <w:sz w:val="18"/>
                <w:szCs w:val="18"/>
                <w:lang w:bidi="ar-EG"/>
              </w:rPr>
              <w:t>±4.05</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40.0</w:t>
            </w:r>
            <w:r w:rsidRPr="00884FF1">
              <w:rPr>
                <w:b/>
                <w:bCs/>
                <w:color w:val="000000"/>
                <w:sz w:val="18"/>
                <w:szCs w:val="18"/>
                <w:lang w:bidi="ar-EG"/>
              </w:rPr>
              <w:t>±5.40</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PCO2</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0.26</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1.13</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23.83</w:t>
            </w:r>
            <w:r w:rsidRPr="00884FF1">
              <w:rPr>
                <w:b/>
                <w:bCs/>
                <w:color w:val="000000"/>
                <w:sz w:val="18"/>
                <w:szCs w:val="18"/>
                <w:lang w:bidi="ar-EG"/>
              </w:rPr>
              <w:t>±5.09</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22.57</w:t>
            </w:r>
            <w:r w:rsidRPr="00884FF1">
              <w:rPr>
                <w:b/>
                <w:bCs/>
                <w:color w:val="000000"/>
                <w:sz w:val="18"/>
                <w:szCs w:val="18"/>
                <w:lang w:bidi="ar-EG"/>
              </w:rPr>
              <w:t>±4.2</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HCO3</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0.09</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1.68</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281.29</w:t>
            </w:r>
            <w:r w:rsidRPr="00884FF1">
              <w:rPr>
                <w:b/>
                <w:bCs/>
                <w:color w:val="000000"/>
                <w:sz w:val="18"/>
                <w:szCs w:val="18"/>
                <w:lang w:bidi="ar-EG"/>
              </w:rPr>
              <w:t>±70.42</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311.41</w:t>
            </w:r>
            <w:r w:rsidRPr="00884FF1">
              <w:rPr>
                <w:b/>
                <w:bCs/>
                <w:color w:val="000000"/>
                <w:sz w:val="18"/>
                <w:szCs w:val="18"/>
                <w:lang w:bidi="ar-EG"/>
              </w:rPr>
              <w:t>±84.81</w:t>
            </w:r>
          </w:p>
        </w:tc>
        <w:tc>
          <w:tcPr>
            <w:tcW w:w="0" w:type="auto"/>
            <w:vAlign w:val="center"/>
          </w:tcPr>
          <w:p w:rsidR="00446847" w:rsidRPr="00884FF1" w:rsidRDefault="00446847" w:rsidP="00884FF1">
            <w:pPr>
              <w:bidi w:val="0"/>
              <w:snapToGrid w:val="0"/>
              <w:jc w:val="both"/>
              <w:rPr>
                <w:b/>
                <w:bCs/>
                <w:color w:val="000000"/>
                <w:sz w:val="18"/>
                <w:szCs w:val="18"/>
              </w:rPr>
            </w:pPr>
            <w:r w:rsidRPr="00884FF1">
              <w:rPr>
                <w:b/>
                <w:bCs/>
                <w:color w:val="000000"/>
                <w:sz w:val="18"/>
                <w:szCs w:val="18"/>
                <w:lang w:bidi="ar-EG"/>
              </w:rPr>
              <w:t>Albumine / creatinine ratio</w:t>
            </w: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0.015</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2.42</w:t>
            </w:r>
          </w:p>
        </w:tc>
        <w:tc>
          <w:tcPr>
            <w:tcW w:w="1520" w:type="dxa"/>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210.3</w:t>
            </w:r>
            <w:r w:rsidRPr="00884FF1">
              <w:rPr>
                <w:b/>
                <w:bCs/>
                <w:color w:val="000000"/>
                <w:sz w:val="18"/>
                <w:szCs w:val="18"/>
                <w:lang w:bidi="ar-EG"/>
              </w:rPr>
              <w:t>±59.3</w:t>
            </w:r>
          </w:p>
        </w:tc>
        <w:tc>
          <w:tcPr>
            <w:tcW w:w="0" w:type="auto"/>
            <w:gridSpan w:val="2"/>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247.8</w:t>
            </w:r>
            <w:r w:rsidRPr="00884FF1">
              <w:rPr>
                <w:b/>
                <w:bCs/>
                <w:color w:val="000000"/>
                <w:sz w:val="18"/>
                <w:szCs w:val="18"/>
                <w:lang w:bidi="ar-EG"/>
              </w:rPr>
              <w:t>±83.5</w:t>
            </w:r>
          </w:p>
        </w:tc>
        <w:tc>
          <w:tcPr>
            <w:tcW w:w="0" w:type="auto"/>
            <w:vAlign w:val="center"/>
          </w:tcPr>
          <w:p w:rsidR="00446847" w:rsidRPr="00884FF1" w:rsidRDefault="00446847" w:rsidP="00884FF1">
            <w:pPr>
              <w:bidi w:val="0"/>
              <w:snapToGrid w:val="0"/>
              <w:jc w:val="both"/>
              <w:rPr>
                <w:b/>
                <w:bCs/>
                <w:color w:val="000000"/>
                <w:sz w:val="18"/>
                <w:szCs w:val="18"/>
              </w:rPr>
            </w:pPr>
            <w:r w:rsidRPr="00884FF1">
              <w:rPr>
                <w:b/>
                <w:bCs/>
                <w:color w:val="000000"/>
                <w:sz w:val="18"/>
                <w:szCs w:val="18"/>
                <w:lang w:bidi="ar-EG"/>
              </w:rPr>
              <w:t>Urine Alb / creatinine ratio 6 weeks after delivery</w:t>
            </w:r>
          </w:p>
        </w:tc>
      </w:tr>
      <w:tr w:rsidR="00446847" w:rsidRPr="00884FF1" w:rsidTr="00DE6F54">
        <w:trPr>
          <w:jc w:val="center"/>
        </w:trPr>
        <w:tc>
          <w:tcPr>
            <w:tcW w:w="0" w:type="auto"/>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i/>
                <w:iCs/>
                <w:color w:val="000000"/>
                <w:sz w:val="18"/>
                <w:szCs w:val="18"/>
                <w:lang w:bidi="ar-EG"/>
              </w:rPr>
              <w:t>P</w:t>
            </w:r>
            <w:r w:rsidRPr="00884FF1">
              <w:rPr>
                <w:b/>
                <w:bCs/>
                <w:color w:val="000000"/>
                <w:sz w:val="18"/>
                <w:szCs w:val="18"/>
                <w:lang w:bidi="ar-EG"/>
              </w:rPr>
              <w:t xml:space="preserve"> value</w:t>
            </w:r>
          </w:p>
        </w:tc>
        <w:tc>
          <w:tcPr>
            <w:tcW w:w="1073" w:type="dxa"/>
            <w:vMerge w:val="restar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X</w:t>
            </w:r>
            <w:r w:rsidRPr="00884FF1">
              <w:rPr>
                <w:b/>
                <w:bCs/>
                <w:color w:val="000000"/>
                <w:sz w:val="18"/>
                <w:szCs w:val="18"/>
                <w:vertAlign w:val="superscript"/>
                <w:lang w:bidi="ar-EG"/>
              </w:rPr>
              <w:t>2</w:t>
            </w:r>
          </w:p>
        </w:tc>
        <w:tc>
          <w:tcPr>
            <w:tcW w:w="1520" w:type="dxa"/>
            <w:gridSpan w:val="2"/>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Don't need</w:t>
            </w: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(N=35)</w:t>
            </w:r>
          </w:p>
        </w:tc>
        <w:tc>
          <w:tcPr>
            <w:tcW w:w="0" w:type="auto"/>
            <w:gridSpan w:val="2"/>
            <w:vAlign w:val="center"/>
          </w:tcPr>
          <w:p w:rsidR="00446847" w:rsidRPr="00884FF1" w:rsidRDefault="00446847" w:rsidP="00884FF1">
            <w:pPr>
              <w:tabs>
                <w:tab w:val="left" w:pos="540"/>
                <w:tab w:val="left" w:pos="585"/>
                <w:tab w:val="center" w:pos="1312"/>
              </w:tabs>
              <w:bidi w:val="0"/>
              <w:snapToGrid w:val="0"/>
              <w:jc w:val="both"/>
              <w:rPr>
                <w:b/>
                <w:bCs/>
                <w:color w:val="000000"/>
                <w:sz w:val="18"/>
                <w:szCs w:val="18"/>
                <w:lang w:bidi="ar-EG"/>
              </w:rPr>
            </w:pPr>
            <w:r w:rsidRPr="00884FF1">
              <w:rPr>
                <w:b/>
                <w:bCs/>
                <w:color w:val="000000"/>
                <w:sz w:val="18"/>
                <w:szCs w:val="18"/>
                <w:lang w:bidi="ar-EG"/>
              </w:rPr>
              <w:t>Needing heamodialysis</w:t>
            </w:r>
          </w:p>
          <w:p w:rsidR="00446847" w:rsidRPr="00884FF1" w:rsidRDefault="00446847" w:rsidP="00884FF1">
            <w:pPr>
              <w:tabs>
                <w:tab w:val="left" w:pos="540"/>
                <w:tab w:val="left" w:pos="585"/>
                <w:tab w:val="center" w:pos="1312"/>
              </w:tabs>
              <w:bidi w:val="0"/>
              <w:snapToGrid w:val="0"/>
              <w:jc w:val="both"/>
              <w:rPr>
                <w:b/>
                <w:bCs/>
                <w:color w:val="000000"/>
                <w:sz w:val="18"/>
                <w:szCs w:val="18"/>
                <w:lang w:bidi="ar-EG"/>
              </w:rPr>
            </w:pPr>
            <w:r w:rsidRPr="00884FF1">
              <w:rPr>
                <w:b/>
                <w:bCs/>
                <w:color w:val="000000"/>
                <w:sz w:val="18"/>
                <w:szCs w:val="18"/>
                <w:lang w:bidi="ar-EG"/>
              </w:rPr>
              <w:t>(N=14)</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Variable</w:t>
            </w:r>
          </w:p>
        </w:tc>
      </w:tr>
      <w:tr w:rsidR="00446847" w:rsidRPr="00884FF1" w:rsidTr="00DE6F54">
        <w:trPr>
          <w:jc w:val="center"/>
        </w:trPr>
        <w:tc>
          <w:tcPr>
            <w:tcW w:w="0" w:type="auto"/>
            <w:vMerge/>
            <w:vAlign w:val="center"/>
          </w:tcPr>
          <w:p w:rsidR="00446847" w:rsidRPr="00884FF1" w:rsidRDefault="00446847" w:rsidP="00884FF1">
            <w:pPr>
              <w:bidi w:val="0"/>
              <w:snapToGrid w:val="0"/>
              <w:jc w:val="both"/>
              <w:rPr>
                <w:b/>
                <w:bCs/>
                <w:color w:val="000000"/>
                <w:sz w:val="18"/>
                <w:szCs w:val="18"/>
                <w:lang w:bidi="ar-EG"/>
              </w:rPr>
            </w:pPr>
          </w:p>
        </w:tc>
        <w:tc>
          <w:tcPr>
            <w:tcW w:w="1073" w:type="dxa"/>
            <w:vMerge/>
            <w:vAlign w:val="center"/>
          </w:tcPr>
          <w:p w:rsidR="00446847" w:rsidRPr="00884FF1" w:rsidRDefault="00446847" w:rsidP="00884FF1">
            <w:pPr>
              <w:bidi w:val="0"/>
              <w:snapToGrid w:val="0"/>
              <w:jc w:val="both"/>
              <w:rPr>
                <w:b/>
                <w:bCs/>
                <w:color w:val="000000"/>
                <w:sz w:val="18"/>
                <w:szCs w:val="18"/>
                <w:lang w:bidi="ar-EG"/>
              </w:rPr>
            </w:pPr>
          </w:p>
        </w:tc>
        <w:tc>
          <w:tcPr>
            <w:tcW w:w="974" w:type="dxa"/>
            <w:vAlign w:val="center"/>
          </w:tcPr>
          <w:p w:rsidR="00446847" w:rsidRPr="00884FF1" w:rsidRDefault="00446847" w:rsidP="00884FF1">
            <w:pPr>
              <w:bidi w:val="0"/>
              <w:snapToGrid w:val="0"/>
              <w:jc w:val="both"/>
              <w:rPr>
                <w:b/>
                <w:bCs/>
                <w:color w:val="000000"/>
                <w:sz w:val="18"/>
                <w:szCs w:val="18"/>
                <w:lang w:bidi="ar-EG"/>
              </w:rPr>
            </w:pPr>
            <w:r w:rsidRPr="00884FF1">
              <w:rPr>
                <w:noProof/>
                <w:color w:val="000000"/>
                <w:sz w:val="18"/>
                <w:szCs w:val="18"/>
                <w:lang w:eastAsia="zh-CN"/>
              </w:rPr>
              <w:drawing>
                <wp:inline distT="0" distB="0" distL="0" distR="0">
                  <wp:extent cx="139065" cy="139065"/>
                  <wp:effectExtent l="1905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No</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noProof/>
                <w:color w:val="000000"/>
                <w:sz w:val="18"/>
                <w:szCs w:val="18"/>
                <w:lang w:eastAsia="zh-CN"/>
              </w:rPr>
              <w:drawing>
                <wp:inline distT="0" distB="0" distL="0" distR="0">
                  <wp:extent cx="139065" cy="139065"/>
                  <wp:effectExtent l="1905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No</w:t>
            </w:r>
          </w:p>
        </w:tc>
        <w:tc>
          <w:tcPr>
            <w:tcW w:w="0" w:type="auto"/>
            <w:vAlign w:val="center"/>
          </w:tcPr>
          <w:p w:rsidR="00446847" w:rsidRPr="00884FF1" w:rsidRDefault="00446847" w:rsidP="00884FF1">
            <w:pPr>
              <w:bidi w:val="0"/>
              <w:snapToGrid w:val="0"/>
              <w:jc w:val="both"/>
              <w:rPr>
                <w:b/>
                <w:bCs/>
                <w:color w:val="000000"/>
                <w:sz w:val="18"/>
                <w:szCs w:val="18"/>
                <w:lang w:bidi="ar-EG"/>
              </w:rPr>
            </w:pPr>
          </w:p>
        </w:tc>
      </w:tr>
      <w:tr w:rsidR="00446847" w:rsidRPr="00884FF1" w:rsidTr="00DE6F54">
        <w:trPr>
          <w:jc w:val="center"/>
        </w:trPr>
        <w:tc>
          <w:tcPr>
            <w:tcW w:w="0" w:type="auto"/>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0.04</w:t>
            </w:r>
          </w:p>
        </w:tc>
        <w:tc>
          <w:tcPr>
            <w:tcW w:w="1073" w:type="dxa"/>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Fisher</w:t>
            </w:r>
          </w:p>
          <w:p w:rsidR="00446847" w:rsidRPr="00884FF1" w:rsidRDefault="00446847" w:rsidP="00884FF1">
            <w:pPr>
              <w:bidi w:val="0"/>
              <w:snapToGrid w:val="0"/>
              <w:jc w:val="both"/>
              <w:rPr>
                <w:b/>
                <w:bCs/>
                <w:color w:val="000000"/>
                <w:sz w:val="18"/>
                <w:szCs w:val="18"/>
                <w:lang w:bidi="ar-EG"/>
              </w:rPr>
            </w:pPr>
            <w:r w:rsidRPr="00884FF1">
              <w:rPr>
                <w:color w:val="000000"/>
                <w:sz w:val="18"/>
                <w:szCs w:val="18"/>
                <w:lang w:bidi="ar-EG"/>
              </w:rPr>
              <w:t>4.41</w:t>
            </w:r>
          </w:p>
        </w:tc>
        <w:tc>
          <w:tcPr>
            <w:tcW w:w="974" w:type="dxa"/>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62.9</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37.1</w:t>
            </w:r>
          </w:p>
        </w:tc>
        <w:tc>
          <w:tcPr>
            <w:tcW w:w="0" w:type="auto"/>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22</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13</w:t>
            </w:r>
          </w:p>
        </w:tc>
        <w:tc>
          <w:tcPr>
            <w:tcW w:w="0" w:type="auto"/>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92.9</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7.1</w:t>
            </w:r>
          </w:p>
        </w:tc>
        <w:tc>
          <w:tcPr>
            <w:tcW w:w="0" w:type="auto"/>
            <w:vAlign w:val="center"/>
          </w:tcPr>
          <w:p w:rsidR="00446847" w:rsidRPr="00884FF1" w:rsidRDefault="00446847" w:rsidP="00884FF1">
            <w:pPr>
              <w:bidi w:val="0"/>
              <w:snapToGrid w:val="0"/>
              <w:jc w:val="both"/>
              <w:rPr>
                <w:color w:val="000000"/>
                <w:sz w:val="18"/>
                <w:szCs w:val="18"/>
                <w:lang w:bidi="ar-EG"/>
              </w:rPr>
            </w:pP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13</w:t>
            </w:r>
          </w:p>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1</w:t>
            </w:r>
          </w:p>
        </w:tc>
        <w:tc>
          <w:tcPr>
            <w:tcW w:w="0" w:type="auto"/>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Pus cells</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Positive</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Negative</w:t>
            </w:r>
          </w:p>
        </w:tc>
      </w:tr>
    </w:tbl>
    <w:p w:rsidR="00446847" w:rsidRPr="00884FF1" w:rsidRDefault="00446847" w:rsidP="00884FF1">
      <w:pPr>
        <w:bidi w:val="0"/>
        <w:snapToGrid w:val="0"/>
        <w:jc w:val="both"/>
        <w:rPr>
          <w:b/>
          <w:bCs/>
          <w:sz w:val="18"/>
          <w:szCs w:val="18"/>
          <w:lang w:bidi="ar-EG"/>
        </w:rPr>
      </w:pPr>
      <w:r w:rsidRPr="00884FF1">
        <w:rPr>
          <w:b/>
          <w:bCs/>
          <w:sz w:val="18"/>
          <w:szCs w:val="18"/>
          <w:lang w:bidi="ar-EG"/>
        </w:rPr>
        <w:t>*= t test</w:t>
      </w:r>
    </w:p>
    <w:p w:rsidR="00446847" w:rsidRPr="00884FF1" w:rsidRDefault="00446847" w:rsidP="00884FF1">
      <w:pPr>
        <w:bidi w:val="0"/>
        <w:snapToGrid w:val="0"/>
        <w:jc w:val="both"/>
        <w:rPr>
          <w:b/>
          <w:bCs/>
          <w:sz w:val="18"/>
          <w:szCs w:val="18"/>
          <w:lang w:bidi="ar-EG"/>
        </w:rPr>
      </w:pPr>
      <w:r w:rsidRPr="00884FF1">
        <w:rPr>
          <w:b/>
          <w:bCs/>
          <w:sz w:val="18"/>
          <w:szCs w:val="18"/>
          <w:lang w:bidi="ar-EG"/>
        </w:rPr>
        <w:t># = Mann Whitney U test</w:t>
      </w:r>
    </w:p>
    <w:p w:rsidR="00446847" w:rsidRDefault="00446847" w:rsidP="00884FF1">
      <w:pPr>
        <w:autoSpaceDE w:val="0"/>
        <w:autoSpaceDN w:val="0"/>
        <w:bidi w:val="0"/>
        <w:adjustRightInd w:val="0"/>
        <w:snapToGrid w:val="0"/>
        <w:jc w:val="center"/>
        <w:rPr>
          <w:rFonts w:eastAsiaTheme="minorEastAsia"/>
          <w:sz w:val="18"/>
          <w:szCs w:val="18"/>
          <w:lang w:eastAsia="zh-CN"/>
        </w:rPr>
      </w:pPr>
    </w:p>
    <w:p w:rsidR="00DE6F54" w:rsidRDefault="00DE6F54" w:rsidP="00DE6F54">
      <w:pPr>
        <w:autoSpaceDE w:val="0"/>
        <w:autoSpaceDN w:val="0"/>
        <w:bidi w:val="0"/>
        <w:adjustRightInd w:val="0"/>
        <w:snapToGrid w:val="0"/>
        <w:jc w:val="center"/>
        <w:rPr>
          <w:rFonts w:eastAsiaTheme="minorEastAsia"/>
          <w:sz w:val="18"/>
          <w:szCs w:val="18"/>
          <w:lang w:eastAsia="zh-CN"/>
        </w:rPr>
      </w:pPr>
    </w:p>
    <w:p w:rsidR="00DE6F54" w:rsidRDefault="00DE6F54" w:rsidP="00DE6F54">
      <w:pPr>
        <w:autoSpaceDE w:val="0"/>
        <w:autoSpaceDN w:val="0"/>
        <w:bidi w:val="0"/>
        <w:adjustRightInd w:val="0"/>
        <w:snapToGrid w:val="0"/>
        <w:jc w:val="center"/>
        <w:rPr>
          <w:rFonts w:eastAsiaTheme="minorEastAsia"/>
          <w:sz w:val="18"/>
          <w:szCs w:val="18"/>
          <w:lang w:eastAsia="zh-CN"/>
        </w:rPr>
      </w:pPr>
    </w:p>
    <w:p w:rsidR="00A24675" w:rsidRPr="00A24675" w:rsidRDefault="00A24675" w:rsidP="00A24675">
      <w:pPr>
        <w:autoSpaceDE w:val="0"/>
        <w:autoSpaceDN w:val="0"/>
        <w:bidi w:val="0"/>
        <w:adjustRightInd w:val="0"/>
        <w:snapToGrid w:val="0"/>
        <w:jc w:val="center"/>
        <w:rPr>
          <w:rFonts w:eastAsiaTheme="minorEastAsia"/>
          <w:sz w:val="18"/>
          <w:szCs w:val="18"/>
          <w:lang w:eastAsia="zh-CN"/>
        </w:rPr>
      </w:pPr>
    </w:p>
    <w:p w:rsidR="00446847" w:rsidRPr="00884FF1" w:rsidRDefault="00446847" w:rsidP="00884FF1">
      <w:pPr>
        <w:bidi w:val="0"/>
        <w:snapToGrid w:val="0"/>
        <w:jc w:val="center"/>
        <w:rPr>
          <w:b/>
          <w:bCs/>
          <w:sz w:val="18"/>
          <w:szCs w:val="18"/>
          <w:lang w:bidi="ar-EG"/>
        </w:rPr>
      </w:pPr>
      <w:r w:rsidRPr="00884FF1">
        <w:rPr>
          <w:b/>
          <w:bCs/>
          <w:sz w:val="18"/>
          <w:szCs w:val="18"/>
          <w:lang w:bidi="ar-EG"/>
        </w:rPr>
        <w:lastRenderedPageBreak/>
        <w:t>Table (6) Logistic regression analysis for independent risk factors of heamodialysis.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3720"/>
        <w:gridCol w:w="797"/>
        <w:gridCol w:w="837"/>
        <w:gridCol w:w="1025"/>
        <w:gridCol w:w="1379"/>
        <w:gridCol w:w="923"/>
        <w:gridCol w:w="897"/>
      </w:tblGrid>
      <w:tr w:rsidR="00446847" w:rsidRPr="00884FF1" w:rsidTr="00884FF1">
        <w:trPr>
          <w:jc w:val="center"/>
        </w:trPr>
        <w:tc>
          <w:tcPr>
            <w:tcW w:w="1942" w:type="pct"/>
            <w:vAlign w:val="center"/>
          </w:tcPr>
          <w:p w:rsidR="00446847" w:rsidRPr="00884FF1" w:rsidRDefault="00446847" w:rsidP="00884FF1">
            <w:pPr>
              <w:bidi w:val="0"/>
              <w:snapToGrid w:val="0"/>
              <w:jc w:val="both"/>
              <w:rPr>
                <w:color w:val="000000"/>
                <w:sz w:val="18"/>
                <w:szCs w:val="18"/>
                <w:lang w:bidi="ar-EG"/>
              </w:rPr>
            </w:pPr>
          </w:p>
        </w:tc>
        <w:tc>
          <w:tcPr>
            <w:tcW w:w="416"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Β</w:t>
            </w:r>
          </w:p>
        </w:tc>
        <w:tc>
          <w:tcPr>
            <w:tcW w:w="437"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SE</w:t>
            </w:r>
          </w:p>
        </w:tc>
        <w:tc>
          <w:tcPr>
            <w:tcW w:w="535" w:type="pct"/>
            <w:vAlign w:val="center"/>
          </w:tcPr>
          <w:p w:rsidR="00446847" w:rsidRPr="00884FF1" w:rsidRDefault="00446847" w:rsidP="00884FF1">
            <w:pPr>
              <w:bidi w:val="0"/>
              <w:snapToGrid w:val="0"/>
              <w:jc w:val="both"/>
              <w:rPr>
                <w:color w:val="000000"/>
                <w:sz w:val="18"/>
                <w:szCs w:val="18"/>
                <w:lang w:bidi="ar-EG"/>
              </w:rPr>
            </w:pPr>
            <w:r w:rsidRPr="00884FF1">
              <w:rPr>
                <w:i/>
                <w:iCs/>
                <w:color w:val="000000"/>
                <w:sz w:val="18"/>
                <w:szCs w:val="18"/>
                <w:lang w:bidi="ar-EG"/>
              </w:rPr>
              <w:t>P</w:t>
            </w:r>
            <w:r w:rsidRPr="00884FF1">
              <w:rPr>
                <w:color w:val="000000"/>
                <w:sz w:val="18"/>
                <w:szCs w:val="18"/>
                <w:lang w:bidi="ar-EG"/>
              </w:rPr>
              <w:t xml:space="preserve"> value</w:t>
            </w:r>
          </w:p>
        </w:tc>
        <w:tc>
          <w:tcPr>
            <w:tcW w:w="720"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Expected β</w:t>
            </w:r>
          </w:p>
        </w:tc>
        <w:tc>
          <w:tcPr>
            <w:tcW w:w="48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CI</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Lower</w:t>
            </w:r>
          </w:p>
        </w:tc>
        <w:tc>
          <w:tcPr>
            <w:tcW w:w="468"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CI</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Upper</w:t>
            </w:r>
          </w:p>
        </w:tc>
      </w:tr>
      <w:tr w:rsidR="00446847" w:rsidRPr="00884FF1" w:rsidTr="00884FF1">
        <w:trPr>
          <w:jc w:val="center"/>
        </w:trPr>
        <w:tc>
          <w:tcPr>
            <w:tcW w:w="194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Mean BP</w:t>
            </w:r>
          </w:p>
        </w:tc>
        <w:tc>
          <w:tcPr>
            <w:tcW w:w="416"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-0.01</w:t>
            </w:r>
          </w:p>
        </w:tc>
        <w:tc>
          <w:tcPr>
            <w:tcW w:w="43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0.09</w:t>
            </w:r>
          </w:p>
        </w:tc>
        <w:tc>
          <w:tcPr>
            <w:tcW w:w="5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0.87</w:t>
            </w:r>
          </w:p>
        </w:tc>
        <w:tc>
          <w:tcPr>
            <w:tcW w:w="720"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0.99</w:t>
            </w:r>
          </w:p>
        </w:tc>
        <w:tc>
          <w:tcPr>
            <w:tcW w:w="48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0.63</w:t>
            </w:r>
          </w:p>
        </w:tc>
        <w:tc>
          <w:tcPr>
            <w:tcW w:w="468"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1.16</w:t>
            </w:r>
          </w:p>
        </w:tc>
      </w:tr>
      <w:tr w:rsidR="00446847" w:rsidRPr="00884FF1" w:rsidTr="00884FF1">
        <w:trPr>
          <w:jc w:val="center"/>
        </w:trPr>
        <w:tc>
          <w:tcPr>
            <w:tcW w:w="194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DM</w:t>
            </w:r>
          </w:p>
        </w:tc>
        <w:tc>
          <w:tcPr>
            <w:tcW w:w="416"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-1.51</w:t>
            </w:r>
          </w:p>
        </w:tc>
        <w:tc>
          <w:tcPr>
            <w:tcW w:w="43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1.49</w:t>
            </w:r>
          </w:p>
        </w:tc>
        <w:tc>
          <w:tcPr>
            <w:tcW w:w="5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0.03</w:t>
            </w:r>
          </w:p>
        </w:tc>
        <w:tc>
          <w:tcPr>
            <w:tcW w:w="720"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1.82</w:t>
            </w:r>
          </w:p>
        </w:tc>
        <w:tc>
          <w:tcPr>
            <w:tcW w:w="48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0.01</w:t>
            </w:r>
          </w:p>
        </w:tc>
        <w:tc>
          <w:tcPr>
            <w:tcW w:w="468"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4.12</w:t>
            </w:r>
          </w:p>
        </w:tc>
      </w:tr>
      <w:tr w:rsidR="00446847" w:rsidRPr="00884FF1" w:rsidTr="00884FF1">
        <w:trPr>
          <w:jc w:val="center"/>
        </w:trPr>
        <w:tc>
          <w:tcPr>
            <w:tcW w:w="194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HTN</w:t>
            </w:r>
          </w:p>
        </w:tc>
        <w:tc>
          <w:tcPr>
            <w:tcW w:w="416"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-1.06</w:t>
            </w:r>
          </w:p>
        </w:tc>
        <w:tc>
          <w:tcPr>
            <w:tcW w:w="43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1.62</w:t>
            </w:r>
          </w:p>
        </w:tc>
        <w:tc>
          <w:tcPr>
            <w:tcW w:w="5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0.04</w:t>
            </w:r>
          </w:p>
        </w:tc>
        <w:tc>
          <w:tcPr>
            <w:tcW w:w="720"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2.34</w:t>
            </w:r>
          </w:p>
        </w:tc>
        <w:tc>
          <w:tcPr>
            <w:tcW w:w="48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0.01</w:t>
            </w:r>
          </w:p>
        </w:tc>
        <w:tc>
          <w:tcPr>
            <w:tcW w:w="468"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8.36</w:t>
            </w:r>
          </w:p>
        </w:tc>
      </w:tr>
      <w:tr w:rsidR="00446847" w:rsidRPr="00884FF1" w:rsidTr="00884FF1">
        <w:trPr>
          <w:jc w:val="center"/>
        </w:trPr>
        <w:tc>
          <w:tcPr>
            <w:tcW w:w="194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Se</w:t>
            </w:r>
            <w:r w:rsidR="00605216" w:rsidRPr="00884FF1">
              <w:rPr>
                <w:color w:val="000000"/>
                <w:sz w:val="18"/>
                <w:szCs w:val="18"/>
                <w:lang w:bidi="ar-EG"/>
              </w:rPr>
              <w:t>rum creatinine 48hrs postpartum</w:t>
            </w:r>
          </w:p>
        </w:tc>
        <w:tc>
          <w:tcPr>
            <w:tcW w:w="416"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-2.24</w:t>
            </w:r>
          </w:p>
        </w:tc>
        <w:tc>
          <w:tcPr>
            <w:tcW w:w="43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2.56</w:t>
            </w:r>
          </w:p>
        </w:tc>
        <w:tc>
          <w:tcPr>
            <w:tcW w:w="5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0.02</w:t>
            </w:r>
          </w:p>
        </w:tc>
        <w:tc>
          <w:tcPr>
            <w:tcW w:w="720"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2.11</w:t>
            </w:r>
          </w:p>
        </w:tc>
        <w:tc>
          <w:tcPr>
            <w:tcW w:w="48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0.001</w:t>
            </w:r>
          </w:p>
        </w:tc>
        <w:tc>
          <w:tcPr>
            <w:tcW w:w="468"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16.14</w:t>
            </w:r>
          </w:p>
        </w:tc>
      </w:tr>
      <w:tr w:rsidR="00446847" w:rsidRPr="00884FF1" w:rsidTr="00884FF1">
        <w:trPr>
          <w:jc w:val="center"/>
        </w:trPr>
        <w:tc>
          <w:tcPr>
            <w:tcW w:w="194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Uric acid</w:t>
            </w:r>
          </w:p>
        </w:tc>
        <w:tc>
          <w:tcPr>
            <w:tcW w:w="416"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-0.94</w:t>
            </w:r>
          </w:p>
        </w:tc>
        <w:tc>
          <w:tcPr>
            <w:tcW w:w="43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0.45</w:t>
            </w:r>
          </w:p>
        </w:tc>
        <w:tc>
          <w:tcPr>
            <w:tcW w:w="5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0.04</w:t>
            </w:r>
          </w:p>
        </w:tc>
        <w:tc>
          <w:tcPr>
            <w:tcW w:w="720"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1.73</w:t>
            </w:r>
          </w:p>
        </w:tc>
        <w:tc>
          <w:tcPr>
            <w:tcW w:w="48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0.16</w:t>
            </w:r>
          </w:p>
        </w:tc>
        <w:tc>
          <w:tcPr>
            <w:tcW w:w="468"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3.95</w:t>
            </w:r>
          </w:p>
        </w:tc>
      </w:tr>
      <w:tr w:rsidR="00446847" w:rsidRPr="00884FF1" w:rsidTr="00884FF1">
        <w:trPr>
          <w:jc w:val="center"/>
        </w:trPr>
        <w:tc>
          <w:tcPr>
            <w:tcW w:w="194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Serum albumin</w:t>
            </w:r>
          </w:p>
        </w:tc>
        <w:tc>
          <w:tcPr>
            <w:tcW w:w="416"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2.29</w:t>
            </w:r>
          </w:p>
        </w:tc>
        <w:tc>
          <w:tcPr>
            <w:tcW w:w="43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1.55</w:t>
            </w:r>
          </w:p>
        </w:tc>
        <w:tc>
          <w:tcPr>
            <w:tcW w:w="5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0.14</w:t>
            </w:r>
          </w:p>
        </w:tc>
        <w:tc>
          <w:tcPr>
            <w:tcW w:w="720"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1.03</w:t>
            </w:r>
          </w:p>
        </w:tc>
        <w:tc>
          <w:tcPr>
            <w:tcW w:w="48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0.48</w:t>
            </w:r>
          </w:p>
        </w:tc>
        <w:tc>
          <w:tcPr>
            <w:tcW w:w="468"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16.11</w:t>
            </w:r>
          </w:p>
        </w:tc>
      </w:tr>
      <w:tr w:rsidR="00446847" w:rsidRPr="00884FF1" w:rsidTr="00884FF1">
        <w:trPr>
          <w:jc w:val="center"/>
        </w:trPr>
        <w:tc>
          <w:tcPr>
            <w:tcW w:w="194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Albumine / creatinine ratio in urine</w:t>
            </w:r>
          </w:p>
        </w:tc>
        <w:tc>
          <w:tcPr>
            <w:tcW w:w="416"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0.04</w:t>
            </w:r>
          </w:p>
        </w:tc>
        <w:tc>
          <w:tcPr>
            <w:tcW w:w="43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0.01</w:t>
            </w:r>
          </w:p>
        </w:tc>
        <w:tc>
          <w:tcPr>
            <w:tcW w:w="5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0.62</w:t>
            </w:r>
          </w:p>
        </w:tc>
        <w:tc>
          <w:tcPr>
            <w:tcW w:w="720"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1.004</w:t>
            </w:r>
          </w:p>
        </w:tc>
        <w:tc>
          <w:tcPr>
            <w:tcW w:w="48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0.59</w:t>
            </w:r>
          </w:p>
        </w:tc>
        <w:tc>
          <w:tcPr>
            <w:tcW w:w="468"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1.02</w:t>
            </w:r>
          </w:p>
        </w:tc>
      </w:tr>
      <w:tr w:rsidR="00446847" w:rsidRPr="00884FF1" w:rsidTr="00884FF1">
        <w:trPr>
          <w:jc w:val="center"/>
        </w:trPr>
        <w:tc>
          <w:tcPr>
            <w:tcW w:w="194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Preeclampsia</w:t>
            </w:r>
          </w:p>
        </w:tc>
        <w:tc>
          <w:tcPr>
            <w:tcW w:w="416"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-5.80</w:t>
            </w:r>
          </w:p>
        </w:tc>
        <w:tc>
          <w:tcPr>
            <w:tcW w:w="437"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34.55</w:t>
            </w:r>
          </w:p>
        </w:tc>
        <w:tc>
          <w:tcPr>
            <w:tcW w:w="535"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.87</w:t>
            </w:r>
          </w:p>
        </w:tc>
        <w:tc>
          <w:tcPr>
            <w:tcW w:w="720"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0.93</w:t>
            </w:r>
          </w:p>
        </w:tc>
        <w:tc>
          <w:tcPr>
            <w:tcW w:w="482"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0.22</w:t>
            </w:r>
          </w:p>
        </w:tc>
        <w:tc>
          <w:tcPr>
            <w:tcW w:w="468" w:type="pct"/>
            <w:vAlign w:val="center"/>
          </w:tcPr>
          <w:p w:rsidR="00446847" w:rsidRPr="00884FF1" w:rsidRDefault="00446847" w:rsidP="00884FF1">
            <w:pPr>
              <w:autoSpaceDE w:val="0"/>
              <w:autoSpaceDN w:val="0"/>
              <w:bidi w:val="0"/>
              <w:adjustRightInd w:val="0"/>
              <w:snapToGrid w:val="0"/>
              <w:jc w:val="both"/>
              <w:rPr>
                <w:color w:val="000000"/>
                <w:sz w:val="18"/>
                <w:szCs w:val="18"/>
              </w:rPr>
            </w:pPr>
            <w:r w:rsidRPr="00884FF1">
              <w:rPr>
                <w:color w:val="000000"/>
                <w:sz w:val="18"/>
                <w:szCs w:val="18"/>
              </w:rPr>
              <w:t>46.34</w:t>
            </w:r>
          </w:p>
        </w:tc>
      </w:tr>
    </w:tbl>
    <w:p w:rsidR="00446847" w:rsidRPr="00884FF1" w:rsidRDefault="00446847" w:rsidP="00884FF1">
      <w:pPr>
        <w:bidi w:val="0"/>
        <w:snapToGrid w:val="0"/>
        <w:jc w:val="center"/>
        <w:rPr>
          <w:sz w:val="18"/>
          <w:szCs w:val="18"/>
          <w:lang w:bidi="ar-EG"/>
        </w:rPr>
      </w:pPr>
    </w:p>
    <w:p w:rsidR="00446847" w:rsidRPr="00884FF1" w:rsidRDefault="00446847" w:rsidP="00884FF1">
      <w:pPr>
        <w:bidi w:val="0"/>
        <w:snapToGrid w:val="0"/>
        <w:jc w:val="both"/>
        <w:rPr>
          <w:b/>
          <w:bCs/>
          <w:sz w:val="18"/>
          <w:szCs w:val="18"/>
          <w:lang w:bidi="ar-EG"/>
        </w:rPr>
      </w:pPr>
      <w:r w:rsidRPr="00884FF1">
        <w:rPr>
          <w:b/>
          <w:bCs/>
          <w:sz w:val="18"/>
          <w:szCs w:val="18"/>
          <w:lang w:bidi="ar-EG"/>
        </w:rPr>
        <w:t>Table (7) The outcome of the heamodialysis patients after</w:t>
      </w:r>
      <w:r w:rsidR="00DE6F54">
        <w:rPr>
          <w:b/>
          <w:bCs/>
          <w:sz w:val="18"/>
          <w:szCs w:val="18"/>
          <w:lang w:bidi="ar-EG"/>
        </w:rPr>
        <w:t xml:space="preserve"> </w:t>
      </w:r>
      <w:r w:rsidRPr="00884FF1">
        <w:rPr>
          <w:b/>
          <w:bCs/>
          <w:sz w:val="18"/>
          <w:szCs w:val="18"/>
          <w:lang w:bidi="ar-EG"/>
        </w:rPr>
        <w:t xml:space="preserve">follow up for more than three </w:t>
      </w:r>
      <w:r w:rsidR="00522806" w:rsidRPr="00884FF1">
        <w:rPr>
          <w:b/>
          <w:bCs/>
          <w:sz w:val="18"/>
          <w:szCs w:val="18"/>
          <w:lang w:bidi="ar-EG"/>
        </w:rPr>
        <w:t>months</w:t>
      </w:r>
      <w:r w:rsidRPr="00884FF1">
        <w:rPr>
          <w:b/>
          <w:bCs/>
          <w:sz w:val="18"/>
          <w:szCs w:val="18"/>
          <w:lang w:bidi="ar-EG"/>
        </w:rPr>
        <w:t xml:space="preserve"> after delivery</w:t>
      </w:r>
      <w:r w:rsidR="00884FF1">
        <w:rPr>
          <w:rFonts w:eastAsiaTheme="minorEastAsia" w:hint="eastAsia"/>
          <w:b/>
          <w:bCs/>
          <w:sz w:val="18"/>
          <w:szCs w:val="18"/>
          <w:lang w:eastAsia="zh-CN" w:bidi="ar-EG"/>
        </w:rPr>
        <w:t xml:space="preserve"> </w:t>
      </w:r>
      <w:r w:rsidRPr="00884FF1">
        <w:rPr>
          <w:b/>
          <w:bCs/>
          <w:sz w:val="18"/>
          <w:szCs w:val="18"/>
          <w:lang w:bidi="ar-EG"/>
        </w:rPr>
        <w:t>( NO=14)</w:t>
      </w:r>
      <w:r w:rsidR="00DE6F54">
        <w:rPr>
          <w:b/>
          <w:bCs/>
          <w:sz w:val="18"/>
          <w:szCs w:val="18"/>
          <w:lang w:bidi="ar-EG"/>
        </w:rPr>
        <w:t>.</w:t>
      </w:r>
    </w:p>
    <w:tbl>
      <w:tblPr>
        <w:tblStyle w:val="TableGrid"/>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180"/>
        <w:gridCol w:w="2456"/>
        <w:gridCol w:w="942"/>
      </w:tblGrid>
      <w:tr w:rsidR="00446847" w:rsidRPr="00884FF1" w:rsidTr="00884FF1">
        <w:trPr>
          <w:jc w:val="center"/>
        </w:trPr>
        <w:tc>
          <w:tcPr>
            <w:tcW w:w="3226" w:type="pct"/>
            <w:vAlign w:val="center"/>
          </w:tcPr>
          <w:p w:rsidR="00446847" w:rsidRPr="00884FF1" w:rsidRDefault="00446847" w:rsidP="00884FF1">
            <w:pPr>
              <w:bidi w:val="0"/>
              <w:snapToGrid w:val="0"/>
              <w:jc w:val="both"/>
              <w:rPr>
                <w:color w:val="000000"/>
                <w:sz w:val="18"/>
                <w:szCs w:val="18"/>
                <w:lang w:bidi="ar-EG"/>
              </w:rPr>
            </w:pPr>
          </w:p>
        </w:tc>
        <w:tc>
          <w:tcPr>
            <w:tcW w:w="128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Number (N=14)</w:t>
            </w:r>
          </w:p>
        </w:tc>
        <w:tc>
          <w:tcPr>
            <w:tcW w:w="49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w:t>
            </w:r>
          </w:p>
        </w:tc>
      </w:tr>
      <w:tr w:rsidR="00446847" w:rsidRPr="00884FF1" w:rsidTr="00884FF1">
        <w:trPr>
          <w:jc w:val="center"/>
        </w:trPr>
        <w:tc>
          <w:tcPr>
            <w:tcW w:w="3226"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Complete recovery</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 xml:space="preserve">After 6 weeks and up to 3 </w:t>
            </w:r>
            <w:r w:rsidR="006738AA" w:rsidRPr="00884FF1">
              <w:rPr>
                <w:color w:val="000000"/>
                <w:sz w:val="18"/>
                <w:szCs w:val="18"/>
                <w:lang w:bidi="ar-EG"/>
              </w:rPr>
              <w:t>months</w:t>
            </w:r>
            <w:r w:rsidRPr="00884FF1">
              <w:rPr>
                <w:color w:val="000000"/>
                <w:sz w:val="18"/>
                <w:szCs w:val="18"/>
                <w:lang w:bidi="ar-EG"/>
              </w:rPr>
              <w:t xml:space="preserve"> of delivery</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After</w:t>
            </w:r>
            <w:r w:rsidR="00DE6F54">
              <w:rPr>
                <w:color w:val="000000"/>
                <w:sz w:val="18"/>
                <w:szCs w:val="18"/>
                <w:lang w:bidi="ar-EG"/>
              </w:rPr>
              <w:t xml:space="preserve"> </w:t>
            </w:r>
            <w:r w:rsidRPr="00884FF1">
              <w:rPr>
                <w:color w:val="000000"/>
                <w:sz w:val="18"/>
                <w:szCs w:val="18"/>
                <w:lang w:bidi="ar-EG"/>
              </w:rPr>
              <w:t xml:space="preserve">3 </w:t>
            </w:r>
            <w:r w:rsidR="006738AA" w:rsidRPr="00884FF1">
              <w:rPr>
                <w:color w:val="000000"/>
                <w:sz w:val="18"/>
                <w:szCs w:val="18"/>
                <w:lang w:bidi="ar-EG"/>
              </w:rPr>
              <w:t>months</w:t>
            </w:r>
            <w:r w:rsidRPr="00884FF1">
              <w:rPr>
                <w:color w:val="000000"/>
                <w:sz w:val="18"/>
                <w:szCs w:val="18"/>
                <w:lang w:bidi="ar-EG"/>
              </w:rPr>
              <w:t xml:space="preserve"> of delivery</w:t>
            </w:r>
          </w:p>
        </w:tc>
        <w:tc>
          <w:tcPr>
            <w:tcW w:w="1282"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605216" w:rsidP="00884FF1">
            <w:pPr>
              <w:bidi w:val="0"/>
              <w:snapToGrid w:val="0"/>
              <w:jc w:val="both"/>
              <w:rPr>
                <w:color w:val="000000"/>
                <w:sz w:val="18"/>
                <w:szCs w:val="18"/>
                <w:lang w:bidi="ar-EG"/>
              </w:rPr>
            </w:pPr>
            <w:r w:rsidRPr="00884FF1">
              <w:rPr>
                <w:color w:val="000000"/>
                <w:sz w:val="18"/>
                <w:szCs w:val="18"/>
                <w:lang w:bidi="ar-EG"/>
              </w:rPr>
              <w:t>6</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5</w:t>
            </w:r>
          </w:p>
        </w:tc>
        <w:tc>
          <w:tcPr>
            <w:tcW w:w="492" w:type="pct"/>
            <w:vAlign w:val="center"/>
          </w:tcPr>
          <w:p w:rsidR="00446847" w:rsidRPr="00884FF1" w:rsidRDefault="00446847" w:rsidP="00884FF1">
            <w:pPr>
              <w:bidi w:val="0"/>
              <w:snapToGrid w:val="0"/>
              <w:jc w:val="both"/>
              <w:rPr>
                <w:color w:val="000000"/>
                <w:sz w:val="18"/>
                <w:szCs w:val="18"/>
                <w:lang w:bidi="ar-EG"/>
              </w:rPr>
            </w:pPr>
          </w:p>
          <w:p w:rsidR="00446847" w:rsidRPr="00884FF1" w:rsidRDefault="00605216" w:rsidP="00884FF1">
            <w:pPr>
              <w:bidi w:val="0"/>
              <w:snapToGrid w:val="0"/>
              <w:jc w:val="both"/>
              <w:rPr>
                <w:color w:val="000000"/>
                <w:sz w:val="18"/>
                <w:szCs w:val="18"/>
                <w:lang w:bidi="ar-EG"/>
              </w:rPr>
            </w:pPr>
            <w:r w:rsidRPr="00884FF1">
              <w:rPr>
                <w:color w:val="000000"/>
                <w:sz w:val="18"/>
                <w:szCs w:val="18"/>
                <w:lang w:bidi="ar-EG"/>
              </w:rPr>
              <w:t>42.9</w:t>
            </w:r>
          </w:p>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35.7</w:t>
            </w:r>
          </w:p>
        </w:tc>
      </w:tr>
      <w:tr w:rsidR="00446847" w:rsidRPr="00884FF1" w:rsidTr="00884FF1">
        <w:trPr>
          <w:jc w:val="center"/>
        </w:trPr>
        <w:tc>
          <w:tcPr>
            <w:tcW w:w="3226"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CKD patients</w:t>
            </w:r>
          </w:p>
        </w:tc>
        <w:tc>
          <w:tcPr>
            <w:tcW w:w="128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2</w:t>
            </w:r>
          </w:p>
        </w:tc>
        <w:tc>
          <w:tcPr>
            <w:tcW w:w="49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14.3</w:t>
            </w:r>
          </w:p>
        </w:tc>
      </w:tr>
      <w:tr w:rsidR="00446847" w:rsidRPr="00884FF1" w:rsidTr="00884FF1">
        <w:trPr>
          <w:jc w:val="center"/>
        </w:trPr>
        <w:tc>
          <w:tcPr>
            <w:tcW w:w="3226" w:type="pct"/>
            <w:vAlign w:val="center"/>
          </w:tcPr>
          <w:p w:rsidR="00446847" w:rsidRPr="00884FF1" w:rsidRDefault="00446847" w:rsidP="00884FF1">
            <w:pPr>
              <w:bidi w:val="0"/>
              <w:snapToGrid w:val="0"/>
              <w:jc w:val="both"/>
              <w:rPr>
                <w:b/>
                <w:bCs/>
                <w:color w:val="000000"/>
                <w:sz w:val="18"/>
                <w:szCs w:val="18"/>
                <w:lang w:bidi="ar-EG"/>
              </w:rPr>
            </w:pPr>
            <w:r w:rsidRPr="00884FF1">
              <w:rPr>
                <w:b/>
                <w:bCs/>
                <w:color w:val="000000"/>
                <w:sz w:val="18"/>
                <w:szCs w:val="18"/>
                <w:lang w:bidi="ar-EG"/>
              </w:rPr>
              <w:t>ESRD patients</w:t>
            </w:r>
          </w:p>
        </w:tc>
        <w:tc>
          <w:tcPr>
            <w:tcW w:w="128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1</w:t>
            </w:r>
          </w:p>
        </w:tc>
        <w:tc>
          <w:tcPr>
            <w:tcW w:w="492" w:type="pct"/>
            <w:vAlign w:val="center"/>
          </w:tcPr>
          <w:p w:rsidR="00446847" w:rsidRPr="00884FF1" w:rsidRDefault="00446847" w:rsidP="00884FF1">
            <w:pPr>
              <w:bidi w:val="0"/>
              <w:snapToGrid w:val="0"/>
              <w:jc w:val="both"/>
              <w:rPr>
                <w:color w:val="000000"/>
                <w:sz w:val="18"/>
                <w:szCs w:val="18"/>
                <w:lang w:bidi="ar-EG"/>
              </w:rPr>
            </w:pPr>
            <w:r w:rsidRPr="00884FF1">
              <w:rPr>
                <w:color w:val="000000"/>
                <w:sz w:val="18"/>
                <w:szCs w:val="18"/>
                <w:lang w:bidi="ar-EG"/>
              </w:rPr>
              <w:t>7.1</w:t>
            </w:r>
          </w:p>
        </w:tc>
      </w:tr>
    </w:tbl>
    <w:p w:rsidR="00446847" w:rsidRPr="00884FF1" w:rsidRDefault="00446847" w:rsidP="00884FF1">
      <w:pPr>
        <w:bidi w:val="0"/>
        <w:snapToGrid w:val="0"/>
        <w:ind w:firstLine="425"/>
        <w:jc w:val="both"/>
        <w:rPr>
          <w:b/>
          <w:bCs/>
          <w:sz w:val="20"/>
          <w:szCs w:val="20"/>
        </w:rPr>
      </w:pPr>
    </w:p>
    <w:p w:rsidR="00884FF1" w:rsidRDefault="00884FF1" w:rsidP="00884FF1">
      <w:pPr>
        <w:bidi w:val="0"/>
        <w:snapToGrid w:val="0"/>
        <w:jc w:val="center"/>
        <w:rPr>
          <w:sz w:val="20"/>
          <w:szCs w:val="20"/>
        </w:rPr>
        <w:sectPr w:rsidR="00884FF1" w:rsidSect="009D2530">
          <w:type w:val="continuous"/>
          <w:pgSz w:w="12242" w:h="15842" w:code="1"/>
          <w:pgMar w:top="1440" w:right="1440" w:bottom="1440" w:left="1440" w:header="720" w:footer="720" w:gutter="0"/>
          <w:cols w:space="708"/>
          <w:bidi/>
          <w:docGrid w:linePitch="360"/>
        </w:sectPr>
      </w:pPr>
    </w:p>
    <w:p w:rsidR="00021927" w:rsidRPr="00884FF1" w:rsidRDefault="00A24675" w:rsidP="00884FF1">
      <w:pPr>
        <w:bidi w:val="0"/>
        <w:snapToGrid w:val="0"/>
        <w:jc w:val="center"/>
        <w:rPr>
          <w:sz w:val="20"/>
          <w:szCs w:val="20"/>
        </w:rPr>
      </w:pPr>
      <w:r w:rsidRPr="00884FF1">
        <w:rPr>
          <w:sz w:val="20"/>
          <w:szCs w:val="20"/>
        </w:rPr>
        <w:object w:dxaOrig="7139" w:dyaOrig="4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1pt;height:145.9pt" o:ole="">
            <v:imagedata r:id="rId13" o:title=""/>
          </v:shape>
          <o:OLEObject Type="Embed" ProgID="Excel.Sheet.12" ShapeID="_x0000_i1025" DrawAspect="Content" ObjectID="_1486150065" r:id="rId14"/>
        </w:object>
      </w:r>
    </w:p>
    <w:p w:rsidR="00446847" w:rsidRDefault="00446847" w:rsidP="00884FF1">
      <w:pPr>
        <w:bidi w:val="0"/>
        <w:snapToGrid w:val="0"/>
        <w:jc w:val="both"/>
        <w:rPr>
          <w:rFonts w:eastAsiaTheme="minorEastAsia"/>
          <w:sz w:val="18"/>
          <w:szCs w:val="18"/>
          <w:lang w:eastAsia="zh-CN" w:bidi="ar-EG"/>
        </w:rPr>
      </w:pPr>
      <w:r w:rsidRPr="00884FF1">
        <w:rPr>
          <w:sz w:val="18"/>
          <w:szCs w:val="18"/>
          <w:lang w:bidi="ar-EG"/>
        </w:rPr>
        <w:t>Figure (1) comparison between the studied groups regarding to age</w:t>
      </w:r>
    </w:p>
    <w:p w:rsidR="00A24675" w:rsidRPr="00A24675" w:rsidRDefault="00A24675" w:rsidP="00A24675">
      <w:pPr>
        <w:bidi w:val="0"/>
        <w:snapToGrid w:val="0"/>
        <w:jc w:val="both"/>
        <w:rPr>
          <w:rFonts w:eastAsiaTheme="minorEastAsia"/>
          <w:sz w:val="18"/>
          <w:szCs w:val="18"/>
          <w:lang w:eastAsia="zh-CN" w:bidi="ar-EG"/>
        </w:rPr>
      </w:pPr>
    </w:p>
    <w:p w:rsidR="00021927" w:rsidRPr="00884FF1" w:rsidRDefault="00A24675" w:rsidP="00884FF1">
      <w:pPr>
        <w:bidi w:val="0"/>
        <w:snapToGrid w:val="0"/>
        <w:jc w:val="center"/>
        <w:rPr>
          <w:sz w:val="18"/>
          <w:szCs w:val="18"/>
        </w:rPr>
      </w:pPr>
      <w:r w:rsidRPr="00884FF1">
        <w:rPr>
          <w:sz w:val="18"/>
          <w:szCs w:val="18"/>
        </w:rPr>
        <w:object w:dxaOrig="7198" w:dyaOrig="4074">
          <v:shape id="_x0000_i1026" type="#_x0000_t75" style="width:213.5pt;height:152.15pt" o:ole="">
            <v:imagedata r:id="rId15" o:title=""/>
          </v:shape>
          <o:OLEObject Type="Embed" ProgID="Excel.Sheet.12" ShapeID="_x0000_i1026" DrawAspect="Content" ObjectID="_1486150066" r:id="rId16"/>
        </w:object>
      </w:r>
    </w:p>
    <w:p w:rsidR="00446847" w:rsidRPr="00884FF1" w:rsidRDefault="00446847" w:rsidP="00884FF1">
      <w:pPr>
        <w:bidi w:val="0"/>
        <w:snapToGrid w:val="0"/>
        <w:jc w:val="both"/>
        <w:rPr>
          <w:sz w:val="18"/>
          <w:szCs w:val="18"/>
        </w:rPr>
      </w:pPr>
      <w:r w:rsidRPr="00884FF1">
        <w:rPr>
          <w:sz w:val="18"/>
          <w:szCs w:val="18"/>
        </w:rPr>
        <w:t>Figure (2)</w:t>
      </w:r>
      <w:r w:rsidRPr="00884FF1">
        <w:rPr>
          <w:sz w:val="18"/>
          <w:szCs w:val="18"/>
          <w:lang w:bidi="ar-EG"/>
        </w:rPr>
        <w:t xml:space="preserve"> comparison between the studied groups regarding to</w:t>
      </w:r>
      <w:r w:rsidRPr="00884FF1">
        <w:rPr>
          <w:sz w:val="18"/>
          <w:szCs w:val="18"/>
        </w:rPr>
        <w:t xml:space="preserve"> the percentage of diabetic and hypertensive patients of the study.</w:t>
      </w:r>
    </w:p>
    <w:p w:rsidR="00021927" w:rsidRPr="00884FF1" w:rsidRDefault="00021927" w:rsidP="00884FF1">
      <w:pPr>
        <w:bidi w:val="0"/>
        <w:snapToGrid w:val="0"/>
        <w:jc w:val="both"/>
        <w:rPr>
          <w:sz w:val="18"/>
          <w:szCs w:val="18"/>
        </w:rPr>
      </w:pPr>
    </w:p>
    <w:p w:rsidR="00021927" w:rsidRPr="00884FF1" w:rsidRDefault="00A24675" w:rsidP="00884FF1">
      <w:pPr>
        <w:bidi w:val="0"/>
        <w:snapToGrid w:val="0"/>
        <w:jc w:val="center"/>
        <w:rPr>
          <w:sz w:val="18"/>
          <w:szCs w:val="18"/>
        </w:rPr>
      </w:pPr>
      <w:r w:rsidRPr="00884FF1">
        <w:rPr>
          <w:sz w:val="18"/>
          <w:szCs w:val="18"/>
        </w:rPr>
        <w:object w:dxaOrig="7139" w:dyaOrig="4080">
          <v:shape id="_x0000_i1027" type="#_x0000_t75" style="width:206.6pt;height:146.5pt" o:ole="">
            <v:imagedata r:id="rId17" o:title=""/>
          </v:shape>
          <o:OLEObject Type="Embed" ProgID="Excel.Sheet.12" ShapeID="_x0000_i1027" DrawAspect="Content" ObjectID="_1486150067" r:id="rId18"/>
        </w:object>
      </w:r>
    </w:p>
    <w:p w:rsidR="00446847" w:rsidRPr="00884FF1" w:rsidRDefault="00446847" w:rsidP="00884FF1">
      <w:pPr>
        <w:bidi w:val="0"/>
        <w:snapToGrid w:val="0"/>
        <w:jc w:val="both"/>
        <w:rPr>
          <w:sz w:val="18"/>
          <w:szCs w:val="18"/>
          <w:lang w:bidi="ar-EG"/>
        </w:rPr>
      </w:pPr>
      <w:r w:rsidRPr="00884FF1">
        <w:rPr>
          <w:sz w:val="18"/>
          <w:szCs w:val="18"/>
          <w:lang w:bidi="ar-EG"/>
        </w:rPr>
        <w:t>Figure (3) comparison between the studied groups regarding to the fetal outcome either the percentage of living fetus or IUFD in the study patients.</w:t>
      </w:r>
    </w:p>
    <w:p w:rsidR="00021927" w:rsidRPr="00884FF1" w:rsidRDefault="00021927" w:rsidP="00884FF1">
      <w:pPr>
        <w:bidi w:val="0"/>
        <w:snapToGrid w:val="0"/>
        <w:jc w:val="both"/>
        <w:rPr>
          <w:sz w:val="18"/>
          <w:szCs w:val="18"/>
        </w:rPr>
      </w:pPr>
    </w:p>
    <w:p w:rsidR="00021927" w:rsidRPr="00884FF1" w:rsidRDefault="00A24675" w:rsidP="00884FF1">
      <w:pPr>
        <w:bidi w:val="0"/>
        <w:snapToGrid w:val="0"/>
        <w:jc w:val="center"/>
        <w:rPr>
          <w:sz w:val="18"/>
          <w:szCs w:val="18"/>
        </w:rPr>
      </w:pPr>
      <w:r w:rsidRPr="00884FF1">
        <w:rPr>
          <w:sz w:val="18"/>
          <w:szCs w:val="18"/>
        </w:rPr>
        <w:object w:dxaOrig="7198" w:dyaOrig="4074">
          <v:shape id="_x0000_i1028" type="#_x0000_t75" style="width:204.1pt;height:136.5pt" o:ole="">
            <v:imagedata r:id="rId19" o:title=""/>
          </v:shape>
          <o:OLEObject Type="Embed" ProgID="Excel.Sheet.12" ShapeID="_x0000_i1028" DrawAspect="Content" ObjectID="_1486150068" r:id="rId20"/>
        </w:object>
      </w:r>
    </w:p>
    <w:p w:rsidR="00446847" w:rsidRPr="00884FF1" w:rsidRDefault="00446847" w:rsidP="00884FF1">
      <w:pPr>
        <w:bidi w:val="0"/>
        <w:snapToGrid w:val="0"/>
        <w:jc w:val="both"/>
        <w:rPr>
          <w:sz w:val="18"/>
          <w:szCs w:val="18"/>
          <w:lang w:bidi="ar-EG"/>
        </w:rPr>
      </w:pPr>
      <w:r w:rsidRPr="00884FF1">
        <w:rPr>
          <w:sz w:val="18"/>
          <w:szCs w:val="18"/>
          <w:lang w:bidi="ar-EG"/>
        </w:rPr>
        <w:t>Figure (4) comparison between the studied groups regarding to levels of serum creatinine 48 hours post partum and</w:t>
      </w:r>
      <w:r w:rsidRPr="00884FF1">
        <w:rPr>
          <w:sz w:val="18"/>
          <w:szCs w:val="18"/>
        </w:rPr>
        <w:t xml:space="preserve"> </w:t>
      </w:r>
      <w:r w:rsidRPr="00884FF1">
        <w:rPr>
          <w:sz w:val="18"/>
          <w:szCs w:val="18"/>
          <w:lang w:bidi="ar-EG"/>
        </w:rPr>
        <w:t xml:space="preserve">serum </w:t>
      </w:r>
      <w:r w:rsidR="00605216" w:rsidRPr="00884FF1">
        <w:rPr>
          <w:sz w:val="18"/>
          <w:szCs w:val="18"/>
          <w:lang w:bidi="ar-EG"/>
        </w:rPr>
        <w:t>creatinine during</w:t>
      </w:r>
      <w:r w:rsidRPr="00884FF1">
        <w:rPr>
          <w:sz w:val="18"/>
          <w:szCs w:val="18"/>
          <w:lang w:bidi="ar-EG"/>
        </w:rPr>
        <w:t xml:space="preserve"> 6 weeks after delivery.</w:t>
      </w:r>
    </w:p>
    <w:p w:rsidR="00446847" w:rsidRPr="00884FF1" w:rsidRDefault="00A24675" w:rsidP="00884FF1">
      <w:pPr>
        <w:bidi w:val="0"/>
        <w:snapToGrid w:val="0"/>
        <w:jc w:val="center"/>
        <w:rPr>
          <w:b/>
          <w:bCs/>
          <w:sz w:val="18"/>
          <w:szCs w:val="18"/>
          <w:lang w:bidi="ar-EG"/>
        </w:rPr>
      </w:pPr>
      <w:r w:rsidRPr="00884FF1">
        <w:rPr>
          <w:sz w:val="18"/>
          <w:szCs w:val="18"/>
        </w:rPr>
        <w:object w:dxaOrig="7198" w:dyaOrig="4074">
          <v:shape id="_x0000_i1029" type="#_x0000_t75" style="width:207.25pt;height:137.75pt" o:ole="">
            <v:imagedata r:id="rId21" o:title=""/>
          </v:shape>
          <o:OLEObject Type="Embed" ProgID="Excel.Sheet.12" ShapeID="_x0000_i1029" DrawAspect="Content" ObjectID="_1486150069" r:id="rId22"/>
        </w:object>
      </w:r>
    </w:p>
    <w:p w:rsidR="00446847" w:rsidRDefault="00446847" w:rsidP="00884FF1">
      <w:pPr>
        <w:bidi w:val="0"/>
        <w:snapToGrid w:val="0"/>
        <w:jc w:val="both"/>
        <w:rPr>
          <w:rFonts w:eastAsiaTheme="minorEastAsia"/>
          <w:sz w:val="18"/>
          <w:szCs w:val="18"/>
          <w:lang w:eastAsia="zh-CN"/>
        </w:rPr>
      </w:pPr>
      <w:r w:rsidRPr="00884FF1">
        <w:rPr>
          <w:sz w:val="18"/>
          <w:szCs w:val="18"/>
          <w:lang w:bidi="ar-EG"/>
        </w:rPr>
        <w:t>Figure (5</w:t>
      </w:r>
      <w:r w:rsidR="00605216" w:rsidRPr="00884FF1">
        <w:rPr>
          <w:sz w:val="18"/>
          <w:szCs w:val="18"/>
          <w:lang w:bidi="ar-EG"/>
        </w:rPr>
        <w:t xml:space="preserve">) </w:t>
      </w:r>
      <w:r w:rsidR="00605216" w:rsidRPr="00884FF1">
        <w:rPr>
          <w:sz w:val="18"/>
          <w:szCs w:val="18"/>
        </w:rPr>
        <w:t>comparison</w:t>
      </w:r>
      <w:r w:rsidRPr="00884FF1">
        <w:rPr>
          <w:sz w:val="18"/>
          <w:szCs w:val="18"/>
          <w:lang w:bidi="ar-EG"/>
        </w:rPr>
        <w:t xml:space="preserve"> between the studied groups regarding to</w:t>
      </w:r>
      <w:r w:rsidRPr="00884FF1">
        <w:rPr>
          <w:sz w:val="18"/>
          <w:szCs w:val="18"/>
        </w:rPr>
        <w:t xml:space="preserve"> the percentage </w:t>
      </w:r>
      <w:r w:rsidR="00605216" w:rsidRPr="00884FF1">
        <w:rPr>
          <w:sz w:val="18"/>
          <w:szCs w:val="18"/>
        </w:rPr>
        <w:t>of diabetic</w:t>
      </w:r>
      <w:r w:rsidRPr="00884FF1">
        <w:rPr>
          <w:sz w:val="18"/>
          <w:szCs w:val="18"/>
        </w:rPr>
        <w:t xml:space="preserve"> and hypertensive patients of the study.</w:t>
      </w:r>
    </w:p>
    <w:p w:rsidR="00884FF1" w:rsidRPr="00884FF1" w:rsidRDefault="00884FF1" w:rsidP="00884FF1">
      <w:pPr>
        <w:bidi w:val="0"/>
        <w:snapToGrid w:val="0"/>
        <w:jc w:val="both"/>
        <w:rPr>
          <w:rFonts w:eastAsiaTheme="minorEastAsia"/>
          <w:sz w:val="18"/>
          <w:szCs w:val="18"/>
          <w:lang w:eastAsia="zh-CN"/>
        </w:rPr>
      </w:pPr>
    </w:p>
    <w:p w:rsidR="00446847" w:rsidRPr="00884FF1" w:rsidRDefault="00A24675" w:rsidP="00884FF1">
      <w:pPr>
        <w:bidi w:val="0"/>
        <w:snapToGrid w:val="0"/>
        <w:jc w:val="center"/>
        <w:rPr>
          <w:sz w:val="18"/>
          <w:szCs w:val="18"/>
          <w:lang w:bidi="ar-EG"/>
        </w:rPr>
      </w:pPr>
      <w:r w:rsidRPr="00884FF1">
        <w:rPr>
          <w:sz w:val="18"/>
          <w:szCs w:val="18"/>
        </w:rPr>
        <w:object w:dxaOrig="7198" w:dyaOrig="4074">
          <v:shape id="_x0000_i1030" type="#_x0000_t75" style="width:207.25pt;height:134.6pt" o:ole="">
            <v:imagedata r:id="rId23" o:title=""/>
          </v:shape>
          <o:OLEObject Type="Embed" ProgID="Excel.Sheet.12" ShapeID="_x0000_i1030" DrawAspect="Content" ObjectID="_1486150070" r:id="rId24"/>
        </w:object>
      </w:r>
    </w:p>
    <w:p w:rsidR="00446847" w:rsidRPr="00884FF1" w:rsidRDefault="00446847" w:rsidP="00884FF1">
      <w:pPr>
        <w:bidi w:val="0"/>
        <w:snapToGrid w:val="0"/>
        <w:jc w:val="both"/>
        <w:rPr>
          <w:sz w:val="18"/>
          <w:szCs w:val="18"/>
          <w:lang w:bidi="ar-EG"/>
        </w:rPr>
      </w:pPr>
      <w:r w:rsidRPr="00884FF1">
        <w:rPr>
          <w:sz w:val="18"/>
          <w:szCs w:val="18"/>
          <w:lang w:bidi="ar-EG"/>
        </w:rPr>
        <w:t>Figure (6) comparison between the studied groups regarding to levels of serum creatinine 48 hours post partum.</w:t>
      </w:r>
    </w:p>
    <w:p w:rsidR="00021927" w:rsidRPr="00884FF1" w:rsidRDefault="00021927" w:rsidP="00884FF1">
      <w:pPr>
        <w:bidi w:val="0"/>
        <w:snapToGrid w:val="0"/>
        <w:jc w:val="both"/>
        <w:rPr>
          <w:b/>
          <w:bCs/>
          <w:sz w:val="18"/>
          <w:szCs w:val="18"/>
          <w:lang w:bidi="ar-EG"/>
        </w:rPr>
      </w:pPr>
    </w:p>
    <w:p w:rsidR="00446847" w:rsidRPr="00884FF1" w:rsidRDefault="00A24675" w:rsidP="00884FF1">
      <w:pPr>
        <w:bidi w:val="0"/>
        <w:snapToGrid w:val="0"/>
        <w:jc w:val="center"/>
        <w:rPr>
          <w:sz w:val="18"/>
          <w:szCs w:val="18"/>
          <w:lang w:bidi="ar-EG"/>
        </w:rPr>
      </w:pPr>
      <w:r w:rsidRPr="00884FF1">
        <w:rPr>
          <w:sz w:val="18"/>
          <w:szCs w:val="18"/>
        </w:rPr>
        <w:object w:dxaOrig="7737" w:dyaOrig="4074">
          <v:shape id="_x0000_i1031" type="#_x0000_t75" style="width:204.1pt;height:125.2pt" o:ole="">
            <v:imagedata r:id="rId25" o:title=""/>
          </v:shape>
          <o:OLEObject Type="Embed" ProgID="Excel.Sheet.12" ShapeID="_x0000_i1031" DrawAspect="Content" ObjectID="_1486150071" r:id="rId26"/>
        </w:object>
      </w:r>
      <w:r w:rsidR="00446847" w:rsidRPr="00884FF1">
        <w:rPr>
          <w:sz w:val="18"/>
          <w:szCs w:val="18"/>
          <w:lang w:bidi="ar-EG"/>
        </w:rPr>
        <w:t>Figure (7) comparison between the studied groups regarding to levels of</w:t>
      </w:r>
      <w:r w:rsidR="00446847" w:rsidRPr="00884FF1">
        <w:rPr>
          <w:sz w:val="18"/>
          <w:szCs w:val="18"/>
        </w:rPr>
        <w:t xml:space="preserve"> </w:t>
      </w:r>
      <w:r w:rsidR="00446847" w:rsidRPr="00884FF1">
        <w:rPr>
          <w:sz w:val="18"/>
          <w:szCs w:val="18"/>
          <w:lang w:bidi="ar-EG"/>
        </w:rPr>
        <w:t>serum creatinine</w:t>
      </w:r>
      <w:r w:rsidR="00DE6F54">
        <w:rPr>
          <w:sz w:val="18"/>
          <w:szCs w:val="18"/>
          <w:lang w:bidi="ar-EG"/>
        </w:rPr>
        <w:t xml:space="preserve"> </w:t>
      </w:r>
      <w:r w:rsidR="00446847" w:rsidRPr="00884FF1">
        <w:rPr>
          <w:sz w:val="18"/>
          <w:szCs w:val="18"/>
          <w:lang w:bidi="ar-EG"/>
        </w:rPr>
        <w:t>during 6 weeks after delivery.</w:t>
      </w:r>
    </w:p>
    <w:p w:rsidR="00446847" w:rsidRPr="00884FF1" w:rsidRDefault="00446847" w:rsidP="00884FF1">
      <w:pPr>
        <w:bidi w:val="0"/>
        <w:snapToGrid w:val="0"/>
        <w:jc w:val="both"/>
        <w:rPr>
          <w:b/>
          <w:bCs/>
          <w:sz w:val="18"/>
          <w:szCs w:val="18"/>
          <w:lang w:bidi="ar-EG"/>
        </w:rPr>
      </w:pPr>
    </w:p>
    <w:p w:rsidR="00446847" w:rsidRPr="00884FF1" w:rsidRDefault="00692B71" w:rsidP="00884FF1">
      <w:pPr>
        <w:bidi w:val="0"/>
        <w:snapToGrid w:val="0"/>
        <w:jc w:val="both"/>
        <w:rPr>
          <w:sz w:val="18"/>
          <w:szCs w:val="18"/>
          <w:lang w:bidi="ar-EG"/>
        </w:rPr>
      </w:pPr>
      <w:r w:rsidRPr="00884FF1">
        <w:rPr>
          <w:noProof/>
          <w:sz w:val="18"/>
          <w:szCs w:val="18"/>
          <w:lang w:eastAsia="zh-CN"/>
        </w:rPr>
        <w:drawing>
          <wp:inline distT="0" distB="0" distL="0" distR="0">
            <wp:extent cx="2634686" cy="155845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0330" cy="1561793"/>
                    </a:xfrm>
                    <a:prstGeom prst="rect">
                      <a:avLst/>
                    </a:prstGeom>
                    <a:noFill/>
                  </pic:spPr>
                </pic:pic>
              </a:graphicData>
            </a:graphic>
          </wp:inline>
        </w:drawing>
      </w:r>
    </w:p>
    <w:p w:rsidR="00446847" w:rsidRPr="00884FF1" w:rsidRDefault="00446847" w:rsidP="00884FF1">
      <w:pPr>
        <w:bidi w:val="0"/>
        <w:snapToGrid w:val="0"/>
        <w:jc w:val="both"/>
        <w:rPr>
          <w:sz w:val="18"/>
          <w:szCs w:val="18"/>
          <w:lang w:bidi="ar-EG"/>
        </w:rPr>
      </w:pPr>
      <w:r w:rsidRPr="00884FF1">
        <w:rPr>
          <w:sz w:val="18"/>
          <w:szCs w:val="18"/>
          <w:lang w:bidi="ar-EG"/>
        </w:rPr>
        <w:t>Figure (8) The outcome of the heamodialysis patients after</w:t>
      </w:r>
      <w:r w:rsidR="00DE6F54">
        <w:rPr>
          <w:sz w:val="18"/>
          <w:szCs w:val="18"/>
          <w:lang w:bidi="ar-EG"/>
        </w:rPr>
        <w:t xml:space="preserve"> </w:t>
      </w:r>
      <w:r w:rsidRPr="00884FF1">
        <w:rPr>
          <w:sz w:val="18"/>
          <w:szCs w:val="18"/>
          <w:lang w:bidi="ar-EG"/>
        </w:rPr>
        <w:t xml:space="preserve">follow up for more than three </w:t>
      </w:r>
      <w:r w:rsidR="006738AA" w:rsidRPr="00884FF1">
        <w:rPr>
          <w:sz w:val="18"/>
          <w:szCs w:val="18"/>
          <w:lang w:bidi="ar-EG"/>
        </w:rPr>
        <w:t>months</w:t>
      </w:r>
      <w:r w:rsidRPr="00884FF1">
        <w:rPr>
          <w:sz w:val="18"/>
          <w:szCs w:val="18"/>
          <w:lang w:bidi="ar-EG"/>
        </w:rPr>
        <w:t xml:space="preserve"> after delivery.</w:t>
      </w:r>
    </w:p>
    <w:p w:rsidR="00750DFF" w:rsidRPr="00884FF1" w:rsidRDefault="00F707FB" w:rsidP="00884FF1">
      <w:pPr>
        <w:tabs>
          <w:tab w:val="left" w:pos="3026"/>
          <w:tab w:val="center" w:pos="4153"/>
        </w:tabs>
        <w:bidi w:val="0"/>
        <w:snapToGrid w:val="0"/>
        <w:jc w:val="both"/>
        <w:outlineLvl w:val="2"/>
        <w:rPr>
          <w:b/>
          <w:bCs/>
          <w:sz w:val="20"/>
          <w:szCs w:val="20"/>
          <w:lang w:bidi="ar-EG"/>
        </w:rPr>
      </w:pPr>
      <w:r w:rsidRPr="00884FF1">
        <w:rPr>
          <w:b/>
          <w:bCs/>
          <w:sz w:val="20"/>
          <w:szCs w:val="20"/>
        </w:rPr>
        <w:lastRenderedPageBreak/>
        <w:t>4. Discussion</w:t>
      </w:r>
      <w:r w:rsidR="00750DFF" w:rsidRPr="00884FF1">
        <w:rPr>
          <w:b/>
          <w:bCs/>
          <w:sz w:val="20"/>
          <w:szCs w:val="20"/>
        </w:rPr>
        <w:t>:</w:t>
      </w:r>
    </w:p>
    <w:p w:rsidR="0065153F" w:rsidRPr="00884FF1" w:rsidRDefault="0065153F" w:rsidP="00884FF1">
      <w:pPr>
        <w:bidi w:val="0"/>
        <w:snapToGrid w:val="0"/>
        <w:ind w:firstLine="425"/>
        <w:jc w:val="both"/>
        <w:rPr>
          <w:sz w:val="20"/>
          <w:szCs w:val="20"/>
        </w:rPr>
      </w:pPr>
      <w:r w:rsidRPr="00884FF1">
        <w:rPr>
          <w:sz w:val="20"/>
          <w:szCs w:val="20"/>
        </w:rPr>
        <w:t>AKI is a not very common yet serious complication occurring in</w:t>
      </w:r>
      <w:r w:rsidR="00DE6F54">
        <w:rPr>
          <w:sz w:val="20"/>
          <w:szCs w:val="20"/>
        </w:rPr>
        <w:t xml:space="preserve"> </w:t>
      </w:r>
      <w:r w:rsidR="00446847" w:rsidRPr="00884FF1">
        <w:rPr>
          <w:sz w:val="20"/>
          <w:szCs w:val="20"/>
        </w:rPr>
        <w:t>pregnancy</w:t>
      </w:r>
      <w:r w:rsidR="00446847" w:rsidRPr="00884FF1">
        <w:rPr>
          <w:b/>
          <w:bCs/>
          <w:sz w:val="20"/>
          <w:szCs w:val="20"/>
        </w:rPr>
        <w:t xml:space="preserve">. </w:t>
      </w:r>
      <w:r w:rsidRPr="00884FF1">
        <w:rPr>
          <w:sz w:val="20"/>
          <w:szCs w:val="20"/>
        </w:rPr>
        <w:t xml:space="preserve">The aim of this work is to study positive cases of peripartum acute kidney </w:t>
      </w:r>
      <w:r w:rsidR="00446847" w:rsidRPr="00884FF1">
        <w:rPr>
          <w:sz w:val="20"/>
          <w:szCs w:val="20"/>
        </w:rPr>
        <w:t>injury</w:t>
      </w:r>
      <w:r w:rsidRPr="00884FF1">
        <w:rPr>
          <w:sz w:val="20"/>
          <w:szCs w:val="20"/>
        </w:rPr>
        <w:t xml:space="preserve"> causes, risk factors, how to diagnose and manage each case.</w:t>
      </w:r>
    </w:p>
    <w:p w:rsidR="00C57D02" w:rsidRPr="00884FF1" w:rsidRDefault="00C57D02" w:rsidP="00884FF1">
      <w:pPr>
        <w:autoSpaceDE w:val="0"/>
        <w:autoSpaceDN w:val="0"/>
        <w:bidi w:val="0"/>
        <w:adjustRightInd w:val="0"/>
        <w:snapToGrid w:val="0"/>
        <w:ind w:firstLine="425"/>
        <w:jc w:val="both"/>
        <w:rPr>
          <w:sz w:val="20"/>
          <w:szCs w:val="20"/>
          <w:lang w:bidi="ar-EG"/>
        </w:rPr>
      </w:pPr>
      <w:r w:rsidRPr="00884FF1">
        <w:rPr>
          <w:sz w:val="20"/>
          <w:szCs w:val="20"/>
        </w:rPr>
        <w:t xml:space="preserve">In group 1 AKI patients in our study the mean age </w:t>
      </w:r>
      <w:r w:rsidRPr="00884FF1">
        <w:rPr>
          <w:sz w:val="20"/>
          <w:szCs w:val="20"/>
          <w:lang w:bidi="ar-EG"/>
        </w:rPr>
        <w:t>(30.27±4.29)</w:t>
      </w:r>
      <w:r w:rsidRPr="00884FF1">
        <w:rPr>
          <w:sz w:val="20"/>
          <w:szCs w:val="20"/>
        </w:rPr>
        <w:t xml:space="preserve"> years old</w:t>
      </w:r>
      <w:r w:rsidRPr="00884FF1">
        <w:rPr>
          <w:sz w:val="20"/>
          <w:szCs w:val="20"/>
          <w:lang w:bidi="ar-EG"/>
        </w:rPr>
        <w:t xml:space="preserve">, This goes with the study </w:t>
      </w:r>
      <w:r w:rsidR="00C50622" w:rsidRPr="00884FF1">
        <w:rPr>
          <w:b/>
          <w:bCs/>
          <w:sz w:val="20"/>
          <w:szCs w:val="20"/>
        </w:rPr>
        <w:t>Arrayhani</w:t>
      </w:r>
      <w:r w:rsidRPr="00884FF1">
        <w:rPr>
          <w:rFonts w:eastAsia="MinionPro-Regular-Identity-H"/>
          <w:b/>
          <w:bCs/>
          <w:sz w:val="20"/>
          <w:szCs w:val="20"/>
        </w:rPr>
        <w:t xml:space="preserve"> </w:t>
      </w:r>
      <w:r w:rsidRPr="00884FF1">
        <w:rPr>
          <w:rFonts w:eastAsia="MinionPro-Regular-Identity-H"/>
          <w:b/>
          <w:bCs/>
          <w:i/>
          <w:iCs/>
          <w:sz w:val="20"/>
          <w:szCs w:val="20"/>
        </w:rPr>
        <w:t>et al</w:t>
      </w:r>
      <w:r w:rsidR="004546D5" w:rsidRPr="00884FF1">
        <w:rPr>
          <w:rFonts w:eastAsia="MinionPro-Regular-Identity-H"/>
          <w:b/>
          <w:bCs/>
          <w:i/>
          <w:iCs/>
          <w:sz w:val="20"/>
          <w:szCs w:val="20"/>
        </w:rPr>
        <w:t>.</w:t>
      </w:r>
      <w:r w:rsidRPr="00884FF1">
        <w:rPr>
          <w:rFonts w:eastAsia="MinionPro-Regular-Identity-H"/>
          <w:b/>
          <w:bCs/>
          <w:sz w:val="20"/>
          <w:szCs w:val="20"/>
        </w:rPr>
        <w:t xml:space="preserve"> (</w:t>
      </w:r>
      <w:r w:rsidRPr="00884FF1">
        <w:rPr>
          <w:b/>
          <w:bCs/>
          <w:sz w:val="20"/>
          <w:szCs w:val="20"/>
          <w:lang w:bidi="ar-EG"/>
        </w:rPr>
        <w:t>2013)</w:t>
      </w:r>
      <w:r w:rsidR="00177800" w:rsidRPr="00884FF1">
        <w:rPr>
          <w:b/>
          <w:bCs/>
          <w:sz w:val="20"/>
          <w:szCs w:val="20"/>
          <w:vertAlign w:val="superscript"/>
          <w:lang w:bidi="ar-EG"/>
        </w:rPr>
        <w:t>(11)</w:t>
      </w:r>
      <w:r w:rsidRPr="00884FF1">
        <w:rPr>
          <w:sz w:val="20"/>
          <w:szCs w:val="20"/>
          <w:lang w:bidi="ar-EG"/>
        </w:rPr>
        <w:t xml:space="preserve"> which report the mean age </w:t>
      </w:r>
      <w:r w:rsidRPr="00884FF1">
        <w:rPr>
          <w:rFonts w:eastAsia="MinionPro-Regular-Identity-H"/>
          <w:sz w:val="20"/>
          <w:szCs w:val="20"/>
        </w:rPr>
        <w:t>with an average of 29.03± 6.3 years</w:t>
      </w:r>
      <w:r w:rsidRPr="00884FF1">
        <w:rPr>
          <w:sz w:val="20"/>
          <w:szCs w:val="20"/>
          <w:lang w:bidi="ar-EG"/>
        </w:rPr>
        <w:t xml:space="preserve"> old.</w:t>
      </w:r>
    </w:p>
    <w:p w:rsidR="00C57D02" w:rsidRPr="00884FF1" w:rsidRDefault="00C57D02" w:rsidP="00884FF1">
      <w:pPr>
        <w:autoSpaceDE w:val="0"/>
        <w:autoSpaceDN w:val="0"/>
        <w:bidi w:val="0"/>
        <w:adjustRightInd w:val="0"/>
        <w:snapToGrid w:val="0"/>
        <w:ind w:firstLine="425"/>
        <w:jc w:val="both"/>
        <w:rPr>
          <w:rFonts w:eastAsia="MinionPro-Regular-Identity-H"/>
          <w:sz w:val="20"/>
          <w:szCs w:val="20"/>
        </w:rPr>
      </w:pPr>
      <w:r w:rsidRPr="00884FF1">
        <w:rPr>
          <w:sz w:val="20"/>
          <w:szCs w:val="20"/>
          <w:lang w:bidi="ar-EG"/>
        </w:rPr>
        <w:t xml:space="preserve">Other studies backing up our findings regarding mean age are: study </w:t>
      </w:r>
      <w:r w:rsidRPr="00884FF1">
        <w:rPr>
          <w:rFonts w:eastAsia="MinionPro-Regular-Identity-H"/>
          <w:b/>
          <w:bCs/>
          <w:sz w:val="20"/>
          <w:szCs w:val="20"/>
        </w:rPr>
        <w:t>Khalil</w:t>
      </w:r>
      <w:r w:rsidR="00DA23B7" w:rsidRPr="00884FF1">
        <w:rPr>
          <w:rFonts w:eastAsia="MinionPro-Regular-Identity-H"/>
          <w:b/>
          <w:bCs/>
          <w:i/>
          <w:iCs/>
          <w:sz w:val="20"/>
          <w:szCs w:val="20"/>
        </w:rPr>
        <w:t xml:space="preserve"> et al.</w:t>
      </w:r>
      <w:r w:rsidR="00DA23B7" w:rsidRPr="00884FF1">
        <w:rPr>
          <w:rFonts w:eastAsia="MinionPro-Regular-Identity-H"/>
          <w:b/>
          <w:bCs/>
          <w:sz w:val="20"/>
          <w:szCs w:val="20"/>
        </w:rPr>
        <w:t xml:space="preserve"> </w:t>
      </w:r>
      <w:r w:rsidRPr="00884FF1">
        <w:rPr>
          <w:rFonts w:eastAsia="MinionPro-Regular-Identity-H"/>
          <w:b/>
          <w:bCs/>
          <w:sz w:val="20"/>
          <w:szCs w:val="20"/>
        </w:rPr>
        <w:t>(2009)</w:t>
      </w:r>
      <w:r w:rsidR="00177800" w:rsidRPr="00884FF1">
        <w:rPr>
          <w:rFonts w:eastAsia="MinionPro-Regular-Identity-H"/>
          <w:b/>
          <w:bCs/>
          <w:sz w:val="20"/>
          <w:szCs w:val="20"/>
          <w:vertAlign w:val="superscript"/>
        </w:rPr>
        <w:t xml:space="preserve"> (12)</w:t>
      </w:r>
      <w:r w:rsidRPr="00884FF1">
        <w:rPr>
          <w:rFonts w:eastAsia="MinionPro-Regular-Identity-H"/>
          <w:b/>
          <w:bCs/>
          <w:sz w:val="20"/>
          <w:szCs w:val="20"/>
        </w:rPr>
        <w:t xml:space="preserve"> </w:t>
      </w:r>
      <w:r w:rsidRPr="00884FF1">
        <w:rPr>
          <w:rFonts w:eastAsia="MinionPro-Regular-Identity-H"/>
          <w:sz w:val="20"/>
          <w:szCs w:val="20"/>
        </w:rPr>
        <w:t>which reports average age is 29 years old</w:t>
      </w:r>
      <w:r w:rsidR="005369F3" w:rsidRPr="00884FF1">
        <w:rPr>
          <w:rFonts w:eastAsia="MinionPro-Regular-Identity-H"/>
          <w:sz w:val="20"/>
          <w:szCs w:val="20"/>
        </w:rPr>
        <w:t>, study</w:t>
      </w:r>
      <w:r w:rsidR="00DE6F54">
        <w:rPr>
          <w:rFonts w:eastAsia="MinionPro-Regular-Identity-H"/>
          <w:sz w:val="20"/>
          <w:szCs w:val="20"/>
        </w:rPr>
        <w:t xml:space="preserve"> </w:t>
      </w:r>
      <w:r w:rsidR="00F2691F" w:rsidRPr="00884FF1">
        <w:rPr>
          <w:rFonts w:eastAsia="MinionPro-Regular-Identity-H"/>
          <w:b/>
          <w:bCs/>
          <w:sz w:val="20"/>
          <w:szCs w:val="20"/>
        </w:rPr>
        <w:t>Arora et al (2010)</w:t>
      </w:r>
      <w:r w:rsidR="00F2691F" w:rsidRPr="00884FF1">
        <w:rPr>
          <w:rFonts w:eastAsia="MinionPro-Regular-Identity-H"/>
          <w:b/>
          <w:bCs/>
          <w:sz w:val="20"/>
          <w:szCs w:val="20"/>
          <w:vertAlign w:val="superscript"/>
        </w:rPr>
        <w:t>(13)</w:t>
      </w:r>
      <w:r w:rsidR="00177800" w:rsidRPr="00884FF1">
        <w:rPr>
          <w:rFonts w:eastAsia="MinionPro-Regular-Identity-H"/>
          <w:b/>
          <w:bCs/>
          <w:sz w:val="20"/>
          <w:szCs w:val="20"/>
          <w:vertAlign w:val="superscript"/>
        </w:rPr>
        <w:t>)</w:t>
      </w:r>
      <w:r w:rsidR="005369F3" w:rsidRPr="00884FF1">
        <w:rPr>
          <w:rFonts w:eastAsia="MinionPro-Regular-Identity-H"/>
          <w:b/>
          <w:bCs/>
          <w:sz w:val="20"/>
          <w:szCs w:val="20"/>
        </w:rPr>
        <w:t xml:space="preserve"> which</w:t>
      </w:r>
      <w:r w:rsidR="00DE6F54">
        <w:rPr>
          <w:rFonts w:eastAsia="MinionPro-Regular-Identity-H"/>
          <w:b/>
          <w:bCs/>
          <w:sz w:val="20"/>
          <w:szCs w:val="20"/>
        </w:rPr>
        <w:t xml:space="preserve"> </w:t>
      </w:r>
      <w:r w:rsidR="005369F3" w:rsidRPr="00884FF1">
        <w:rPr>
          <w:rFonts w:eastAsia="MinionPro-Regular-Identity-H"/>
          <w:sz w:val="20"/>
          <w:szCs w:val="20"/>
        </w:rPr>
        <w:t>reports average age of 25.8 years old</w:t>
      </w:r>
      <w:r w:rsidR="00DE6F54">
        <w:rPr>
          <w:rFonts w:eastAsia="MinionPro-Regular-Identity-H"/>
          <w:sz w:val="20"/>
          <w:szCs w:val="20"/>
        </w:rPr>
        <w:t xml:space="preserve"> </w:t>
      </w:r>
      <w:r w:rsidR="00566C99" w:rsidRPr="00884FF1">
        <w:rPr>
          <w:rFonts w:eastAsia="MinionPro-Regular-Identity-H"/>
          <w:sz w:val="20"/>
          <w:szCs w:val="20"/>
        </w:rPr>
        <w:t>and</w:t>
      </w:r>
      <w:r w:rsidRPr="00884FF1">
        <w:rPr>
          <w:rFonts w:eastAsia="MinionPro-Regular-Identity-H"/>
          <w:sz w:val="20"/>
          <w:szCs w:val="20"/>
        </w:rPr>
        <w:t xml:space="preserve"> study</w:t>
      </w:r>
      <w:r w:rsidRPr="00884FF1">
        <w:rPr>
          <w:rFonts w:eastAsia="MinionPro-Regular-Identity-H"/>
          <w:b/>
          <w:bCs/>
          <w:sz w:val="20"/>
          <w:szCs w:val="20"/>
        </w:rPr>
        <w:t xml:space="preserve"> Altintepe</w:t>
      </w:r>
      <w:r w:rsidR="00DA23B7" w:rsidRPr="00884FF1">
        <w:rPr>
          <w:rFonts w:eastAsia="MinionPro-Regular-Identity-H"/>
          <w:b/>
          <w:bCs/>
          <w:i/>
          <w:iCs/>
          <w:sz w:val="20"/>
          <w:szCs w:val="20"/>
        </w:rPr>
        <w:t xml:space="preserve"> et al.</w:t>
      </w:r>
      <w:r w:rsidR="00DA23B7" w:rsidRPr="00884FF1">
        <w:rPr>
          <w:rFonts w:eastAsia="MinionPro-Regular-Identity-H"/>
          <w:b/>
          <w:bCs/>
          <w:sz w:val="20"/>
          <w:szCs w:val="20"/>
        </w:rPr>
        <w:t xml:space="preserve"> </w:t>
      </w:r>
      <w:r w:rsidRPr="00884FF1">
        <w:rPr>
          <w:rFonts w:eastAsia="MinionPro-Regular-Identity-H"/>
          <w:b/>
          <w:bCs/>
          <w:sz w:val="20"/>
          <w:szCs w:val="20"/>
        </w:rPr>
        <w:t>(2005)</w:t>
      </w:r>
      <w:r w:rsidR="00177800" w:rsidRPr="00884FF1">
        <w:rPr>
          <w:rFonts w:eastAsia="MinionPro-Regular-Identity-H"/>
          <w:b/>
          <w:bCs/>
          <w:sz w:val="20"/>
          <w:szCs w:val="20"/>
          <w:vertAlign w:val="superscript"/>
        </w:rPr>
        <w:t>(14)</w:t>
      </w:r>
      <w:r w:rsidRPr="00884FF1">
        <w:rPr>
          <w:rFonts w:eastAsia="MinionPro-Regular-Identity-H"/>
          <w:b/>
          <w:bCs/>
          <w:sz w:val="20"/>
          <w:szCs w:val="20"/>
        </w:rPr>
        <w:t xml:space="preserve"> </w:t>
      </w:r>
      <w:r w:rsidRPr="00884FF1">
        <w:rPr>
          <w:rFonts w:eastAsia="MinionPro-Regular-Identity-H"/>
          <w:sz w:val="20"/>
          <w:szCs w:val="20"/>
        </w:rPr>
        <w:t>which</w:t>
      </w:r>
      <w:r w:rsidR="00DE6F54">
        <w:rPr>
          <w:rFonts w:eastAsia="MinionPro-Regular-Identity-H"/>
          <w:sz w:val="20"/>
          <w:szCs w:val="20"/>
        </w:rPr>
        <w:t xml:space="preserve"> </w:t>
      </w:r>
      <w:r w:rsidRPr="00884FF1">
        <w:rPr>
          <w:rFonts w:eastAsia="MinionPro-Regular-Identity-H"/>
          <w:sz w:val="20"/>
          <w:szCs w:val="20"/>
        </w:rPr>
        <w:t xml:space="preserve">reports average age 31.6 years </w:t>
      </w:r>
      <w:r w:rsidR="00566C99" w:rsidRPr="00884FF1">
        <w:rPr>
          <w:rFonts w:eastAsia="MinionPro-Regular-Identity-H"/>
          <w:sz w:val="20"/>
          <w:szCs w:val="20"/>
        </w:rPr>
        <w:t xml:space="preserve">old </w:t>
      </w:r>
      <w:r w:rsidRPr="00884FF1">
        <w:rPr>
          <w:rFonts w:eastAsia="MinionPro-Regular-Identity-H"/>
          <w:sz w:val="20"/>
          <w:szCs w:val="20"/>
        </w:rPr>
        <w:t>as well. Age appeared to be a factor signi</w:t>
      </w:r>
      <w:r w:rsidRPr="00884FF1">
        <w:rPr>
          <w:rFonts w:eastAsia="MS Mincho"/>
          <w:sz w:val="20"/>
          <w:szCs w:val="20"/>
        </w:rPr>
        <w:t>fi</w:t>
      </w:r>
      <w:r w:rsidRPr="00884FF1">
        <w:rPr>
          <w:rFonts w:eastAsia="MinionPro-Regular-Identity-H"/>
          <w:sz w:val="20"/>
          <w:szCs w:val="20"/>
        </w:rPr>
        <w:t>cantly associated with unfavorable evolution (</w:t>
      </w:r>
      <w:r w:rsidRPr="00884FF1">
        <w:rPr>
          <w:rFonts w:eastAsia="MinionPro-Regular-Identity-H"/>
          <w:i/>
          <w:iCs/>
          <w:sz w:val="20"/>
          <w:szCs w:val="20"/>
        </w:rPr>
        <w:t>p</w:t>
      </w:r>
      <w:r w:rsidRPr="00884FF1">
        <w:rPr>
          <w:rFonts w:eastAsia="MinionPro-Regular-Identity-H"/>
          <w:sz w:val="20"/>
          <w:szCs w:val="20"/>
        </w:rPr>
        <w:t xml:space="preserve"> value</w:t>
      </w:r>
      <w:r w:rsidRPr="00884FF1">
        <w:rPr>
          <w:sz w:val="20"/>
          <w:szCs w:val="20"/>
          <w:lang w:bidi="ar-EG"/>
        </w:rPr>
        <w:t xml:space="preserve"> &lt;0.001</w:t>
      </w:r>
      <w:r w:rsidRPr="00884FF1">
        <w:rPr>
          <w:rFonts w:eastAsia="MinionPro-Regular-Identity-H"/>
          <w:sz w:val="20"/>
          <w:szCs w:val="20"/>
        </w:rPr>
        <w:t xml:space="preserve">). In the literature, this factor was associated with increase perinatal complications, including premature delivery </w:t>
      </w:r>
      <w:r w:rsidRPr="00884FF1">
        <w:rPr>
          <w:rFonts w:eastAsia="MinionPro-Regular-Identity-H"/>
          <w:b/>
          <w:bCs/>
          <w:sz w:val="20"/>
          <w:szCs w:val="20"/>
        </w:rPr>
        <w:t xml:space="preserve">(Colmant </w:t>
      </w:r>
      <w:r w:rsidR="00DA23B7" w:rsidRPr="00884FF1">
        <w:rPr>
          <w:rFonts w:eastAsia="MinionPro-Regular-Identity-H"/>
          <w:b/>
          <w:bCs/>
          <w:i/>
          <w:iCs/>
          <w:sz w:val="20"/>
          <w:szCs w:val="20"/>
        </w:rPr>
        <w:t>et al.</w:t>
      </w:r>
      <w:r w:rsidR="00DA23B7" w:rsidRPr="00884FF1">
        <w:rPr>
          <w:rFonts w:eastAsia="MinionPro-Regular-Identity-H"/>
          <w:b/>
          <w:bCs/>
          <w:sz w:val="20"/>
          <w:szCs w:val="20"/>
        </w:rPr>
        <w:t xml:space="preserve">, </w:t>
      </w:r>
      <w:r w:rsidRPr="00884FF1">
        <w:rPr>
          <w:rFonts w:eastAsia="MinionPro-Regular-Identity-H"/>
          <w:b/>
          <w:bCs/>
          <w:sz w:val="20"/>
          <w:szCs w:val="20"/>
        </w:rPr>
        <w:t>2009)</w:t>
      </w:r>
      <w:r w:rsidR="00177800" w:rsidRPr="00884FF1">
        <w:rPr>
          <w:rFonts w:eastAsia="MinionPro-Regular-Identity-H"/>
          <w:b/>
          <w:bCs/>
          <w:sz w:val="20"/>
          <w:szCs w:val="20"/>
          <w:vertAlign w:val="superscript"/>
        </w:rPr>
        <w:t>(15)</w:t>
      </w:r>
      <w:r w:rsidRPr="00884FF1">
        <w:rPr>
          <w:rFonts w:eastAsia="MinionPro-Regular-Identity-H"/>
          <w:b/>
          <w:bCs/>
          <w:sz w:val="20"/>
          <w:szCs w:val="20"/>
        </w:rPr>
        <w:t>.</w:t>
      </w:r>
    </w:p>
    <w:p w:rsidR="00C57D02" w:rsidRPr="00884FF1" w:rsidRDefault="00C57D02" w:rsidP="00884FF1">
      <w:pPr>
        <w:autoSpaceDE w:val="0"/>
        <w:autoSpaceDN w:val="0"/>
        <w:bidi w:val="0"/>
        <w:adjustRightInd w:val="0"/>
        <w:snapToGrid w:val="0"/>
        <w:ind w:firstLine="425"/>
        <w:jc w:val="both"/>
        <w:rPr>
          <w:sz w:val="20"/>
          <w:szCs w:val="20"/>
        </w:rPr>
      </w:pPr>
      <w:r w:rsidRPr="00884FF1">
        <w:rPr>
          <w:sz w:val="20"/>
          <w:szCs w:val="20"/>
        </w:rPr>
        <w:t>In current study we found highly significant difference (</w:t>
      </w:r>
      <w:r w:rsidRPr="00884FF1">
        <w:rPr>
          <w:i/>
          <w:iCs/>
          <w:sz w:val="20"/>
          <w:szCs w:val="20"/>
        </w:rPr>
        <w:t>p</w:t>
      </w:r>
      <w:r w:rsidRPr="00884FF1">
        <w:rPr>
          <w:sz w:val="20"/>
          <w:szCs w:val="20"/>
        </w:rPr>
        <w:t>&lt;0.001) between AKI and Non AKI groups as regards hypertension</w:t>
      </w:r>
      <w:r w:rsidR="00DE6F54">
        <w:rPr>
          <w:sz w:val="20"/>
          <w:szCs w:val="20"/>
        </w:rPr>
        <w:t>,</w:t>
      </w:r>
      <w:r w:rsidRPr="00884FF1">
        <w:rPr>
          <w:sz w:val="20"/>
          <w:szCs w:val="20"/>
        </w:rPr>
        <w:t>systolic blood pressure, diastolic blood pressure and mean blood pressure, as h</w:t>
      </w:r>
      <w:r w:rsidRPr="00884FF1">
        <w:rPr>
          <w:rFonts w:eastAsia="MinionPro-Regular-Identity-H"/>
          <w:sz w:val="20"/>
          <w:szCs w:val="20"/>
        </w:rPr>
        <w:t>ypertension was a common symptom present in</w:t>
      </w:r>
      <w:r w:rsidRPr="00884FF1">
        <w:rPr>
          <w:sz w:val="20"/>
          <w:szCs w:val="20"/>
        </w:rPr>
        <w:t xml:space="preserve"> 71.4 % in AKI group, this corresponding</w:t>
      </w:r>
      <w:r w:rsidR="00DE6F54">
        <w:rPr>
          <w:sz w:val="20"/>
          <w:szCs w:val="20"/>
        </w:rPr>
        <w:t xml:space="preserve"> </w:t>
      </w:r>
      <w:r w:rsidRPr="00884FF1">
        <w:rPr>
          <w:sz w:val="20"/>
          <w:szCs w:val="20"/>
        </w:rPr>
        <w:t>with</w:t>
      </w:r>
      <w:r w:rsidR="00C50622" w:rsidRPr="00884FF1">
        <w:rPr>
          <w:b/>
          <w:bCs/>
          <w:sz w:val="20"/>
          <w:szCs w:val="20"/>
        </w:rPr>
        <w:t xml:space="preserve"> </w:t>
      </w:r>
      <w:r w:rsidR="00566C99" w:rsidRPr="00884FF1">
        <w:rPr>
          <w:b/>
          <w:bCs/>
          <w:sz w:val="20"/>
          <w:szCs w:val="20"/>
        </w:rPr>
        <w:t>Arrayhani</w:t>
      </w:r>
      <w:r w:rsidR="00DA23B7" w:rsidRPr="00884FF1">
        <w:rPr>
          <w:rFonts w:eastAsia="MinionPro-Regular-Identity-H"/>
          <w:b/>
          <w:bCs/>
          <w:i/>
          <w:iCs/>
          <w:sz w:val="20"/>
          <w:szCs w:val="20"/>
        </w:rPr>
        <w:t xml:space="preserve"> et al.</w:t>
      </w:r>
      <w:r w:rsidR="00DA23B7" w:rsidRPr="00884FF1">
        <w:rPr>
          <w:rFonts w:eastAsia="MinionPro-Regular-Identity-H"/>
          <w:b/>
          <w:bCs/>
          <w:sz w:val="20"/>
          <w:szCs w:val="20"/>
        </w:rPr>
        <w:t xml:space="preserve"> </w:t>
      </w:r>
      <w:r w:rsidRPr="00884FF1">
        <w:rPr>
          <w:b/>
          <w:bCs/>
          <w:sz w:val="20"/>
          <w:szCs w:val="20"/>
        </w:rPr>
        <w:t>( 2013)</w:t>
      </w:r>
      <w:r w:rsidR="00177800" w:rsidRPr="00884FF1">
        <w:rPr>
          <w:b/>
          <w:bCs/>
          <w:sz w:val="20"/>
          <w:szCs w:val="20"/>
          <w:vertAlign w:val="superscript"/>
        </w:rPr>
        <w:t>(11)</w:t>
      </w:r>
      <w:r w:rsidRPr="00884FF1">
        <w:rPr>
          <w:sz w:val="20"/>
          <w:szCs w:val="20"/>
        </w:rPr>
        <w:t xml:space="preserve"> study as </w:t>
      </w:r>
      <w:r w:rsidRPr="00884FF1">
        <w:rPr>
          <w:rFonts w:eastAsia="MinionPro-Regular-Identity-H"/>
          <w:sz w:val="20"/>
          <w:szCs w:val="20"/>
        </w:rPr>
        <w:t>hypertension</w:t>
      </w:r>
      <w:r w:rsidRPr="00884FF1">
        <w:rPr>
          <w:sz w:val="20"/>
          <w:szCs w:val="20"/>
        </w:rPr>
        <w:t xml:space="preserve"> was </w:t>
      </w:r>
      <w:r w:rsidRPr="00884FF1">
        <w:rPr>
          <w:rFonts w:eastAsia="MinionPro-Regular-Identity-H"/>
          <w:sz w:val="20"/>
          <w:szCs w:val="20"/>
        </w:rPr>
        <w:t xml:space="preserve">present in 55.6% </w:t>
      </w:r>
      <w:r w:rsidRPr="00884FF1">
        <w:rPr>
          <w:sz w:val="20"/>
          <w:szCs w:val="20"/>
        </w:rPr>
        <w:t>of patients. Also the incidence rate of hypertension was significantly higher in AKI group</w:t>
      </w:r>
      <w:r w:rsidR="00DE6F54">
        <w:rPr>
          <w:sz w:val="20"/>
          <w:szCs w:val="20"/>
        </w:rPr>
        <w:t xml:space="preserve"> </w:t>
      </w:r>
      <w:r w:rsidRPr="00884FF1">
        <w:rPr>
          <w:sz w:val="20"/>
          <w:szCs w:val="20"/>
        </w:rPr>
        <w:t>than the Non AKI group (P&lt;0.05) in</w:t>
      </w:r>
      <w:r w:rsidR="00DE6F54">
        <w:rPr>
          <w:sz w:val="20"/>
          <w:szCs w:val="20"/>
        </w:rPr>
        <w:t xml:space="preserve"> </w:t>
      </w:r>
      <w:r w:rsidRPr="00884FF1">
        <w:rPr>
          <w:b/>
          <w:bCs/>
          <w:sz w:val="20"/>
          <w:szCs w:val="20"/>
        </w:rPr>
        <w:t>Zhu(2011</w:t>
      </w:r>
      <w:r w:rsidRPr="00884FF1">
        <w:rPr>
          <w:b/>
          <w:bCs/>
          <w:sz w:val="20"/>
          <w:szCs w:val="20"/>
          <w:vertAlign w:val="superscript"/>
        </w:rPr>
        <w:t>)</w:t>
      </w:r>
      <w:r w:rsidR="00177800" w:rsidRPr="00884FF1">
        <w:rPr>
          <w:b/>
          <w:bCs/>
          <w:sz w:val="20"/>
          <w:szCs w:val="20"/>
          <w:vertAlign w:val="superscript"/>
        </w:rPr>
        <w:t>(16)</w:t>
      </w:r>
      <w:r w:rsidRPr="00884FF1">
        <w:rPr>
          <w:b/>
          <w:bCs/>
          <w:sz w:val="20"/>
          <w:szCs w:val="20"/>
          <w:vertAlign w:val="superscript"/>
        </w:rPr>
        <w:t xml:space="preserve"> </w:t>
      </w:r>
      <w:r w:rsidRPr="00884FF1">
        <w:rPr>
          <w:sz w:val="20"/>
          <w:szCs w:val="20"/>
        </w:rPr>
        <w:t xml:space="preserve">study. Most women (54 %) had hypertensive disorders during pregnancy in </w:t>
      </w:r>
      <w:r w:rsidRPr="00884FF1">
        <w:rPr>
          <w:b/>
          <w:bCs/>
          <w:sz w:val="20"/>
          <w:szCs w:val="20"/>
        </w:rPr>
        <w:t>Carmelina Gurrieri</w:t>
      </w:r>
      <w:r w:rsidR="00DA23B7" w:rsidRPr="00884FF1">
        <w:rPr>
          <w:rFonts w:eastAsia="MinionPro-Regular-Identity-H"/>
          <w:b/>
          <w:bCs/>
          <w:i/>
          <w:iCs/>
          <w:sz w:val="20"/>
          <w:szCs w:val="20"/>
        </w:rPr>
        <w:t xml:space="preserve"> et al.</w:t>
      </w:r>
      <w:r w:rsidR="00DA23B7" w:rsidRPr="00884FF1">
        <w:rPr>
          <w:rFonts w:eastAsia="MinionPro-Regular-Identity-H"/>
          <w:b/>
          <w:bCs/>
          <w:sz w:val="20"/>
          <w:szCs w:val="20"/>
        </w:rPr>
        <w:t xml:space="preserve"> </w:t>
      </w:r>
      <w:r w:rsidRPr="00884FF1">
        <w:rPr>
          <w:b/>
          <w:bCs/>
          <w:sz w:val="20"/>
          <w:szCs w:val="20"/>
        </w:rPr>
        <w:t>(2012)</w:t>
      </w:r>
      <w:r w:rsidR="00330B96" w:rsidRPr="00884FF1">
        <w:rPr>
          <w:b/>
          <w:bCs/>
          <w:sz w:val="20"/>
          <w:szCs w:val="20"/>
        </w:rPr>
        <w:t xml:space="preserve"> </w:t>
      </w:r>
      <w:r w:rsidR="00177800" w:rsidRPr="00884FF1">
        <w:rPr>
          <w:b/>
          <w:bCs/>
          <w:sz w:val="20"/>
          <w:szCs w:val="20"/>
          <w:vertAlign w:val="superscript"/>
        </w:rPr>
        <w:t>(17)</w:t>
      </w:r>
      <w:r w:rsidRPr="00884FF1">
        <w:rPr>
          <w:sz w:val="20"/>
          <w:szCs w:val="20"/>
        </w:rPr>
        <w:t xml:space="preserve"> study.</w:t>
      </w:r>
    </w:p>
    <w:p w:rsidR="00C57D02" w:rsidRPr="00884FF1" w:rsidRDefault="00C57D02" w:rsidP="00884FF1">
      <w:pPr>
        <w:autoSpaceDE w:val="0"/>
        <w:autoSpaceDN w:val="0"/>
        <w:bidi w:val="0"/>
        <w:adjustRightInd w:val="0"/>
        <w:snapToGrid w:val="0"/>
        <w:ind w:firstLine="425"/>
        <w:jc w:val="both"/>
        <w:rPr>
          <w:sz w:val="20"/>
          <w:szCs w:val="20"/>
        </w:rPr>
      </w:pPr>
      <w:r w:rsidRPr="00884FF1">
        <w:rPr>
          <w:sz w:val="20"/>
          <w:szCs w:val="20"/>
        </w:rPr>
        <w:t>pre-existing hypertension increases the risk of adverse outcomes of</w:t>
      </w:r>
      <w:r w:rsidR="00DE6F54">
        <w:rPr>
          <w:sz w:val="20"/>
          <w:szCs w:val="20"/>
        </w:rPr>
        <w:t xml:space="preserve"> </w:t>
      </w:r>
      <w:r w:rsidRPr="00884FF1">
        <w:rPr>
          <w:sz w:val="20"/>
          <w:szCs w:val="20"/>
        </w:rPr>
        <w:t>pregnancy</w:t>
      </w:r>
      <w:r w:rsidR="00DE6F54">
        <w:rPr>
          <w:sz w:val="20"/>
          <w:szCs w:val="20"/>
        </w:rPr>
        <w:t>,</w:t>
      </w:r>
      <w:r w:rsidRPr="00884FF1">
        <w:rPr>
          <w:sz w:val="20"/>
          <w:szCs w:val="20"/>
        </w:rPr>
        <w:t xml:space="preserve"> most notably via an increased risk of superimposed pre-eclampsia, which may be associated with preterm delivery, fetal growth restriction and deterioration in renal function</w:t>
      </w:r>
      <w:r w:rsidRPr="00884FF1">
        <w:rPr>
          <w:b/>
          <w:bCs/>
          <w:i/>
          <w:iCs/>
          <w:sz w:val="20"/>
          <w:szCs w:val="20"/>
        </w:rPr>
        <w:t xml:space="preserve"> </w:t>
      </w:r>
      <w:r w:rsidR="00001F4B" w:rsidRPr="00884FF1">
        <w:rPr>
          <w:rFonts w:eastAsia="MinionPro-Regular-Identity-H"/>
          <w:b/>
          <w:bCs/>
          <w:sz w:val="20"/>
          <w:szCs w:val="20"/>
        </w:rPr>
        <w:t>(Centre for Maternal and Child Enquiries</w:t>
      </w:r>
      <w:r w:rsidR="00DE6F54">
        <w:rPr>
          <w:b/>
          <w:bCs/>
          <w:i/>
          <w:iCs/>
          <w:sz w:val="20"/>
          <w:szCs w:val="20"/>
        </w:rPr>
        <w:t>,</w:t>
      </w:r>
      <w:r w:rsidR="00121C4C" w:rsidRPr="00884FF1">
        <w:rPr>
          <w:b/>
          <w:bCs/>
          <w:sz w:val="20"/>
          <w:szCs w:val="20"/>
        </w:rPr>
        <w:t>2011)</w:t>
      </w:r>
      <w:r w:rsidR="00121C4C" w:rsidRPr="00884FF1">
        <w:rPr>
          <w:b/>
          <w:bCs/>
          <w:sz w:val="20"/>
          <w:szCs w:val="20"/>
          <w:vertAlign w:val="superscript"/>
        </w:rPr>
        <w:t>(</w:t>
      </w:r>
      <w:r w:rsidR="00177800" w:rsidRPr="00884FF1">
        <w:rPr>
          <w:b/>
          <w:bCs/>
          <w:sz w:val="20"/>
          <w:szCs w:val="20"/>
          <w:vertAlign w:val="superscript"/>
        </w:rPr>
        <w:t>18)</w:t>
      </w:r>
      <w:r w:rsidRPr="00884FF1">
        <w:rPr>
          <w:b/>
          <w:bCs/>
          <w:sz w:val="20"/>
          <w:szCs w:val="20"/>
        </w:rPr>
        <w:t>.</w:t>
      </w:r>
    </w:p>
    <w:p w:rsidR="00C57D02" w:rsidRPr="00884FF1" w:rsidRDefault="00C57D02" w:rsidP="00884FF1">
      <w:pPr>
        <w:autoSpaceDE w:val="0"/>
        <w:autoSpaceDN w:val="0"/>
        <w:bidi w:val="0"/>
        <w:adjustRightInd w:val="0"/>
        <w:snapToGrid w:val="0"/>
        <w:ind w:firstLine="425"/>
        <w:jc w:val="both"/>
        <w:rPr>
          <w:rFonts w:eastAsia="MinionPro-Regular-Identity-H"/>
          <w:sz w:val="20"/>
          <w:szCs w:val="20"/>
        </w:rPr>
      </w:pPr>
      <w:r w:rsidRPr="00884FF1">
        <w:rPr>
          <w:sz w:val="20"/>
          <w:szCs w:val="20"/>
        </w:rPr>
        <w:t>In our study the mean peak urea was (67.63±36.80) mg/dl in AKI group patients after 48 hours of delivery and rises to the mean value of (87.55±37.17) mg/dl during 6 weeks after delivery with a high significant difference between AKI group patients and non AKI group patients, it reached to a mean value of (140.93</w:t>
      </w:r>
      <w:r w:rsidRPr="00884FF1">
        <w:rPr>
          <w:b/>
          <w:bCs/>
          <w:sz w:val="20"/>
          <w:szCs w:val="20"/>
        </w:rPr>
        <w:t>±26.22</w:t>
      </w:r>
      <w:r w:rsidRPr="00884FF1">
        <w:rPr>
          <w:sz w:val="20"/>
          <w:szCs w:val="20"/>
        </w:rPr>
        <w:t xml:space="preserve">) mg/dl in female patients who underwent heamodialysis. In concordant with other studies such as </w:t>
      </w:r>
      <w:r w:rsidRPr="00884FF1">
        <w:rPr>
          <w:b/>
          <w:bCs/>
          <w:sz w:val="20"/>
          <w:szCs w:val="20"/>
        </w:rPr>
        <w:t>Jai Prakash</w:t>
      </w:r>
      <w:r w:rsidR="00DA23B7" w:rsidRPr="00884FF1">
        <w:rPr>
          <w:rFonts w:eastAsia="MinionPro-Regular-Identity-H"/>
          <w:b/>
          <w:bCs/>
          <w:i/>
          <w:iCs/>
          <w:sz w:val="20"/>
          <w:szCs w:val="20"/>
        </w:rPr>
        <w:t xml:space="preserve"> et al.</w:t>
      </w:r>
      <w:r w:rsidR="00DA23B7" w:rsidRPr="00884FF1">
        <w:rPr>
          <w:rFonts w:eastAsia="MinionPro-Regular-Identity-H"/>
          <w:b/>
          <w:bCs/>
          <w:sz w:val="20"/>
          <w:szCs w:val="20"/>
        </w:rPr>
        <w:t xml:space="preserve"> </w:t>
      </w:r>
      <w:r w:rsidRPr="00884FF1">
        <w:rPr>
          <w:b/>
          <w:bCs/>
          <w:sz w:val="20"/>
          <w:szCs w:val="20"/>
        </w:rPr>
        <w:t>(2010)</w:t>
      </w:r>
      <w:r w:rsidR="00177800" w:rsidRPr="00884FF1">
        <w:rPr>
          <w:b/>
          <w:bCs/>
          <w:sz w:val="20"/>
          <w:szCs w:val="20"/>
          <w:vertAlign w:val="superscript"/>
        </w:rPr>
        <w:t>(19)</w:t>
      </w:r>
      <w:r w:rsidRPr="00884FF1">
        <w:rPr>
          <w:sz w:val="20"/>
          <w:szCs w:val="20"/>
        </w:rPr>
        <w:t xml:space="preserve"> study the mean peak urea was</w:t>
      </w:r>
      <w:r w:rsidR="00DE6F54">
        <w:rPr>
          <w:sz w:val="20"/>
          <w:szCs w:val="20"/>
        </w:rPr>
        <w:t xml:space="preserve"> </w:t>
      </w:r>
      <w:r w:rsidRPr="00884FF1">
        <w:rPr>
          <w:sz w:val="20"/>
          <w:szCs w:val="20"/>
        </w:rPr>
        <w:t>(143.24±59.91)mg/dl</w:t>
      </w:r>
      <w:r w:rsidRPr="00884FF1">
        <w:rPr>
          <w:rFonts w:eastAsia="MinionPro-Regular-Identity-H"/>
          <w:sz w:val="20"/>
          <w:szCs w:val="20"/>
        </w:rPr>
        <w:t xml:space="preserve">. Also in the study </w:t>
      </w:r>
      <w:r w:rsidRPr="00884FF1">
        <w:rPr>
          <w:rFonts w:eastAsia="MinionPro-Regular-Identity-H"/>
          <w:b/>
          <w:bCs/>
          <w:sz w:val="20"/>
          <w:szCs w:val="20"/>
        </w:rPr>
        <w:t>Khalil</w:t>
      </w:r>
      <w:r w:rsidR="00DA23B7" w:rsidRPr="00884FF1">
        <w:rPr>
          <w:rFonts w:eastAsia="MinionPro-Regular-Identity-H"/>
          <w:b/>
          <w:bCs/>
          <w:i/>
          <w:iCs/>
          <w:sz w:val="20"/>
          <w:szCs w:val="20"/>
        </w:rPr>
        <w:t xml:space="preserve"> et al.</w:t>
      </w:r>
      <w:r w:rsidR="00DA23B7" w:rsidRPr="00884FF1">
        <w:rPr>
          <w:rFonts w:eastAsia="MinionPro-Regular-Identity-H"/>
          <w:b/>
          <w:bCs/>
          <w:sz w:val="20"/>
          <w:szCs w:val="20"/>
        </w:rPr>
        <w:t xml:space="preserve"> </w:t>
      </w:r>
      <w:r w:rsidRPr="00884FF1">
        <w:rPr>
          <w:rFonts w:eastAsia="MinionPro-Regular-Identity-H"/>
          <w:b/>
          <w:bCs/>
          <w:sz w:val="20"/>
          <w:szCs w:val="20"/>
        </w:rPr>
        <w:t>(2009)</w:t>
      </w:r>
      <w:r w:rsidR="00177800" w:rsidRPr="00884FF1">
        <w:rPr>
          <w:rFonts w:eastAsia="MinionPro-Regular-Identity-H"/>
          <w:b/>
          <w:bCs/>
          <w:sz w:val="20"/>
          <w:szCs w:val="20"/>
          <w:vertAlign w:val="superscript"/>
        </w:rPr>
        <w:t>(12)</w:t>
      </w:r>
      <w:r w:rsidRPr="00884FF1">
        <w:rPr>
          <w:rFonts w:eastAsia="MinionPro-Regular-Identity-H"/>
          <w:b/>
          <w:bCs/>
          <w:sz w:val="20"/>
          <w:szCs w:val="20"/>
          <w:vertAlign w:val="superscript"/>
        </w:rPr>
        <w:t xml:space="preserve"> </w:t>
      </w:r>
      <w:r w:rsidRPr="00884FF1">
        <w:rPr>
          <w:rFonts w:eastAsia="MinionPro-Regular-Identity-H"/>
          <w:sz w:val="20"/>
          <w:szCs w:val="20"/>
        </w:rPr>
        <w:t>mean urea was</w:t>
      </w:r>
      <w:r w:rsidR="00DE6F54">
        <w:rPr>
          <w:rFonts w:eastAsia="MinionPro-Regular-Identity-H"/>
          <w:sz w:val="20"/>
          <w:szCs w:val="20"/>
        </w:rPr>
        <w:t xml:space="preserve"> </w:t>
      </w:r>
      <w:r w:rsidRPr="00884FF1">
        <w:rPr>
          <w:sz w:val="20"/>
          <w:szCs w:val="20"/>
        </w:rPr>
        <w:t>(149</w:t>
      </w:r>
      <w:r w:rsidRPr="00884FF1">
        <w:rPr>
          <w:rFonts w:eastAsia="Arial Unicode MS"/>
          <w:sz w:val="20"/>
          <w:szCs w:val="20"/>
        </w:rPr>
        <w:t>±</w:t>
      </w:r>
      <w:r w:rsidRPr="00884FF1">
        <w:rPr>
          <w:sz w:val="20"/>
          <w:szCs w:val="20"/>
        </w:rPr>
        <w:t>69)mg/dl.</w:t>
      </w:r>
    </w:p>
    <w:p w:rsidR="00C57D02" w:rsidRPr="00884FF1" w:rsidRDefault="00C57D02" w:rsidP="00884FF1">
      <w:pPr>
        <w:autoSpaceDE w:val="0"/>
        <w:autoSpaceDN w:val="0"/>
        <w:bidi w:val="0"/>
        <w:adjustRightInd w:val="0"/>
        <w:snapToGrid w:val="0"/>
        <w:ind w:firstLine="425"/>
        <w:jc w:val="both"/>
        <w:rPr>
          <w:sz w:val="20"/>
          <w:szCs w:val="20"/>
        </w:rPr>
      </w:pPr>
      <w:r w:rsidRPr="00884FF1">
        <w:rPr>
          <w:sz w:val="20"/>
          <w:szCs w:val="20"/>
        </w:rPr>
        <w:t xml:space="preserve">In </w:t>
      </w:r>
      <w:r w:rsidR="00F707FB" w:rsidRPr="00884FF1">
        <w:rPr>
          <w:sz w:val="20"/>
          <w:szCs w:val="20"/>
        </w:rPr>
        <w:t>our work</w:t>
      </w:r>
      <w:r w:rsidRPr="00884FF1">
        <w:rPr>
          <w:sz w:val="20"/>
          <w:szCs w:val="20"/>
        </w:rPr>
        <w:t xml:space="preserve"> we </w:t>
      </w:r>
      <w:r w:rsidR="00303C5E" w:rsidRPr="00884FF1">
        <w:rPr>
          <w:sz w:val="20"/>
          <w:szCs w:val="20"/>
        </w:rPr>
        <w:t>found high significance between</w:t>
      </w:r>
      <w:r w:rsidRPr="00884FF1">
        <w:rPr>
          <w:sz w:val="20"/>
          <w:szCs w:val="20"/>
        </w:rPr>
        <w:t xml:space="preserve"> 48 hours post partum serum creatinine</w:t>
      </w:r>
      <w:r w:rsidR="00DE6F54">
        <w:rPr>
          <w:sz w:val="20"/>
          <w:szCs w:val="20"/>
        </w:rPr>
        <w:t xml:space="preserve"> </w:t>
      </w:r>
      <w:r w:rsidRPr="00884FF1">
        <w:rPr>
          <w:sz w:val="20"/>
          <w:szCs w:val="20"/>
        </w:rPr>
        <w:t>in AKI group rather</w:t>
      </w:r>
      <w:r w:rsidR="00DE6F54">
        <w:rPr>
          <w:sz w:val="20"/>
          <w:szCs w:val="20"/>
        </w:rPr>
        <w:t xml:space="preserve"> </w:t>
      </w:r>
      <w:r w:rsidRPr="00884FF1">
        <w:rPr>
          <w:sz w:val="20"/>
          <w:szCs w:val="20"/>
        </w:rPr>
        <w:t xml:space="preserve">than non AKI group with the mean value of (1.42±0.35) mg/dl and the same with serum creatinine </w:t>
      </w:r>
      <w:r w:rsidRPr="00884FF1">
        <w:rPr>
          <w:sz w:val="20"/>
          <w:szCs w:val="20"/>
        </w:rPr>
        <w:lastRenderedPageBreak/>
        <w:t>during 6 weeks after delivery with the mean value of (3.53±2.28)</w:t>
      </w:r>
      <w:r w:rsidR="00DE6F54">
        <w:rPr>
          <w:sz w:val="20"/>
          <w:szCs w:val="20"/>
        </w:rPr>
        <w:t xml:space="preserve"> </w:t>
      </w:r>
      <w:r w:rsidRPr="00884FF1">
        <w:rPr>
          <w:sz w:val="20"/>
          <w:szCs w:val="20"/>
        </w:rPr>
        <w:t>mg/dl, and rises to a mean value of (6.61±1.24) mg/dl in patients who underwent heamodialysis as well. This concurrent with other studies as</w:t>
      </w:r>
      <w:r w:rsidRPr="00884FF1">
        <w:rPr>
          <w:b/>
          <w:bCs/>
          <w:sz w:val="20"/>
          <w:szCs w:val="20"/>
        </w:rPr>
        <w:t xml:space="preserve"> Prakash</w:t>
      </w:r>
      <w:r w:rsidR="00DA23B7" w:rsidRPr="00884FF1">
        <w:rPr>
          <w:rFonts w:eastAsia="MinionPro-Regular-Identity-H"/>
          <w:b/>
          <w:bCs/>
          <w:i/>
          <w:iCs/>
          <w:sz w:val="20"/>
          <w:szCs w:val="20"/>
        </w:rPr>
        <w:t xml:space="preserve"> et al.</w:t>
      </w:r>
      <w:r w:rsidR="00DA23B7" w:rsidRPr="00884FF1">
        <w:rPr>
          <w:rFonts w:eastAsia="MinionPro-Regular-Identity-H"/>
          <w:b/>
          <w:bCs/>
          <w:sz w:val="20"/>
          <w:szCs w:val="20"/>
        </w:rPr>
        <w:t xml:space="preserve"> </w:t>
      </w:r>
      <w:r w:rsidRPr="00884FF1">
        <w:rPr>
          <w:b/>
          <w:bCs/>
          <w:sz w:val="20"/>
          <w:szCs w:val="20"/>
        </w:rPr>
        <w:t>(2010)</w:t>
      </w:r>
      <w:r w:rsidR="00177800" w:rsidRPr="00884FF1">
        <w:rPr>
          <w:b/>
          <w:bCs/>
          <w:sz w:val="20"/>
          <w:szCs w:val="20"/>
          <w:vertAlign w:val="superscript"/>
        </w:rPr>
        <w:t xml:space="preserve"> (19)</w:t>
      </w:r>
      <w:r w:rsidR="00DE6F54">
        <w:rPr>
          <w:sz w:val="20"/>
          <w:szCs w:val="20"/>
        </w:rPr>
        <w:t xml:space="preserve"> </w:t>
      </w:r>
      <w:r w:rsidRPr="00884FF1">
        <w:rPr>
          <w:sz w:val="20"/>
          <w:szCs w:val="20"/>
        </w:rPr>
        <w:t>in which the mean peak of serum creatinine concentration</w:t>
      </w:r>
      <w:r w:rsidR="00B95A1F" w:rsidRPr="00884FF1">
        <w:rPr>
          <w:sz w:val="20"/>
          <w:szCs w:val="20"/>
        </w:rPr>
        <w:t xml:space="preserve"> </w:t>
      </w:r>
      <w:r w:rsidRPr="00884FF1">
        <w:rPr>
          <w:sz w:val="20"/>
          <w:szCs w:val="20"/>
        </w:rPr>
        <w:t>as (5.6±3.34)</w:t>
      </w:r>
      <w:r w:rsidR="00DE6F54">
        <w:rPr>
          <w:sz w:val="20"/>
          <w:szCs w:val="20"/>
        </w:rPr>
        <w:t xml:space="preserve"> </w:t>
      </w:r>
      <w:r w:rsidRPr="00884FF1">
        <w:rPr>
          <w:sz w:val="20"/>
          <w:szCs w:val="20"/>
        </w:rPr>
        <w:t>mg/d l,and in</w:t>
      </w:r>
      <w:r w:rsidR="00C50622" w:rsidRPr="00884FF1">
        <w:rPr>
          <w:sz w:val="20"/>
          <w:szCs w:val="20"/>
        </w:rPr>
        <w:t xml:space="preserve"> </w:t>
      </w:r>
      <w:r w:rsidR="00C50622" w:rsidRPr="00884FF1">
        <w:rPr>
          <w:b/>
          <w:bCs/>
          <w:sz w:val="20"/>
          <w:szCs w:val="20"/>
        </w:rPr>
        <w:t>Arrayhani</w:t>
      </w:r>
      <w:r w:rsidR="00DA23B7" w:rsidRPr="00884FF1">
        <w:rPr>
          <w:rFonts w:eastAsia="MinionPro-Regular-Identity-H"/>
          <w:b/>
          <w:bCs/>
          <w:i/>
          <w:iCs/>
          <w:sz w:val="20"/>
          <w:szCs w:val="20"/>
        </w:rPr>
        <w:t xml:space="preserve"> et al.</w:t>
      </w:r>
      <w:r w:rsidR="00DA23B7" w:rsidRPr="00884FF1">
        <w:rPr>
          <w:rFonts w:eastAsia="MinionPro-Regular-Identity-H"/>
          <w:b/>
          <w:bCs/>
          <w:sz w:val="20"/>
          <w:szCs w:val="20"/>
        </w:rPr>
        <w:t xml:space="preserve"> </w:t>
      </w:r>
      <w:r w:rsidRPr="00884FF1">
        <w:rPr>
          <w:b/>
          <w:bCs/>
          <w:sz w:val="20"/>
          <w:szCs w:val="20"/>
        </w:rPr>
        <w:t>(2013)</w:t>
      </w:r>
      <w:r w:rsidR="00177800" w:rsidRPr="00884FF1">
        <w:rPr>
          <w:b/>
          <w:bCs/>
          <w:sz w:val="20"/>
          <w:szCs w:val="20"/>
          <w:vertAlign w:val="superscript"/>
          <w:lang w:bidi="ar-EG"/>
        </w:rPr>
        <w:t xml:space="preserve"> (11)</w:t>
      </w:r>
      <w:r w:rsidR="00DE6F54">
        <w:rPr>
          <w:sz w:val="20"/>
          <w:szCs w:val="20"/>
          <w:lang w:bidi="ar-EG"/>
        </w:rPr>
        <w:t xml:space="preserve"> </w:t>
      </w:r>
      <w:r w:rsidRPr="00884FF1">
        <w:rPr>
          <w:rFonts w:eastAsia="MingLiU_HKSCS"/>
          <w:sz w:val="20"/>
          <w:szCs w:val="20"/>
        </w:rPr>
        <w:t>the</w:t>
      </w:r>
      <w:r w:rsidRPr="00884FF1">
        <w:rPr>
          <w:rFonts w:eastAsia="MinionPro-Regular-Identity-H"/>
          <w:sz w:val="20"/>
          <w:szCs w:val="20"/>
        </w:rPr>
        <w:t xml:space="preserve"> mean serum creatinine was</w:t>
      </w:r>
      <w:r w:rsidR="00B95A1F" w:rsidRPr="00884FF1">
        <w:rPr>
          <w:rFonts w:eastAsia="MinionPro-Regular-Identity-H"/>
          <w:sz w:val="20"/>
          <w:szCs w:val="20"/>
        </w:rPr>
        <w:t xml:space="preserve"> </w:t>
      </w:r>
      <w:r w:rsidRPr="00884FF1">
        <w:rPr>
          <w:rFonts w:eastAsia="MinionPro-Regular-Identity-H"/>
          <w:sz w:val="20"/>
          <w:szCs w:val="20"/>
        </w:rPr>
        <w:t>( 3.48 mg/dl ± 2.54)with a maximum value of (10.5 mg/dL)</w:t>
      </w:r>
      <w:r w:rsidR="00181689" w:rsidRPr="00884FF1">
        <w:rPr>
          <w:rFonts w:eastAsia="MinionPro-Regular-Identity-H"/>
          <w:sz w:val="20"/>
          <w:szCs w:val="20"/>
        </w:rPr>
        <w:t xml:space="preserve"> and </w:t>
      </w:r>
      <w:r w:rsidRPr="00884FF1">
        <w:rPr>
          <w:rFonts w:eastAsia="MinionPro-Regular-Identity-H"/>
          <w:sz w:val="20"/>
          <w:szCs w:val="20"/>
        </w:rPr>
        <w:t xml:space="preserve">minimum value of (1.4 mg/dl). </w:t>
      </w:r>
      <w:r w:rsidRPr="00884FF1">
        <w:rPr>
          <w:rFonts w:eastAsia="MingLiU_HKSCS"/>
          <w:sz w:val="20"/>
          <w:szCs w:val="20"/>
        </w:rPr>
        <w:t>th</w:t>
      </w:r>
      <w:r w:rsidRPr="00884FF1">
        <w:rPr>
          <w:rFonts w:eastAsia="MinionPro-Regular-Identity-H"/>
          <w:sz w:val="20"/>
          <w:szCs w:val="20"/>
        </w:rPr>
        <w:t xml:space="preserve">ese results are </w:t>
      </w:r>
      <w:r w:rsidR="00566C99" w:rsidRPr="00884FF1">
        <w:rPr>
          <w:rFonts w:eastAsia="MinionPro-Regular-Identity-H"/>
          <w:sz w:val="20"/>
          <w:szCs w:val="20"/>
        </w:rPr>
        <w:t>agreed with</w:t>
      </w:r>
      <w:r w:rsidRPr="00884FF1">
        <w:rPr>
          <w:rFonts w:eastAsia="MinionPro-Regular-Identity-H"/>
          <w:sz w:val="20"/>
          <w:szCs w:val="20"/>
        </w:rPr>
        <w:t xml:space="preserve"> those published by study </w:t>
      </w:r>
      <w:r w:rsidRPr="00884FF1">
        <w:rPr>
          <w:rFonts w:eastAsia="MinionPro-Regular-Identity-H"/>
          <w:b/>
          <w:bCs/>
          <w:sz w:val="20"/>
          <w:szCs w:val="20"/>
        </w:rPr>
        <w:t xml:space="preserve">Altintepe </w:t>
      </w:r>
      <w:r w:rsidR="00DA23B7" w:rsidRPr="00884FF1">
        <w:rPr>
          <w:rFonts w:eastAsia="MinionPro-Regular-Identity-H"/>
          <w:b/>
          <w:bCs/>
          <w:i/>
          <w:iCs/>
          <w:sz w:val="20"/>
          <w:szCs w:val="20"/>
        </w:rPr>
        <w:t>et al.</w:t>
      </w:r>
      <w:r w:rsidR="00DA23B7" w:rsidRPr="00884FF1">
        <w:rPr>
          <w:rFonts w:eastAsia="MinionPro-Regular-Identity-H"/>
          <w:b/>
          <w:bCs/>
          <w:sz w:val="20"/>
          <w:szCs w:val="20"/>
        </w:rPr>
        <w:t xml:space="preserve"> </w:t>
      </w:r>
      <w:r w:rsidRPr="00884FF1">
        <w:rPr>
          <w:rFonts w:eastAsia="MinionPro-Regular-Identity-H"/>
          <w:b/>
          <w:bCs/>
          <w:sz w:val="20"/>
          <w:szCs w:val="20"/>
        </w:rPr>
        <w:t>(2005)</w:t>
      </w:r>
      <w:r w:rsidR="00A06ADC" w:rsidRPr="00884FF1">
        <w:rPr>
          <w:rFonts w:eastAsia="MinionPro-Regular-Identity-H"/>
          <w:b/>
          <w:bCs/>
          <w:sz w:val="20"/>
          <w:szCs w:val="20"/>
          <w:vertAlign w:val="superscript"/>
        </w:rPr>
        <w:t xml:space="preserve"> (14)</w:t>
      </w:r>
      <w:r w:rsidR="00A06ADC" w:rsidRPr="00884FF1">
        <w:rPr>
          <w:rFonts w:eastAsia="MinionPro-Regular-Identity-H"/>
          <w:b/>
          <w:bCs/>
          <w:sz w:val="20"/>
          <w:szCs w:val="20"/>
        </w:rPr>
        <w:t xml:space="preserve"> </w:t>
      </w:r>
      <w:r w:rsidRPr="00884FF1">
        <w:rPr>
          <w:rFonts w:eastAsia="MinionPro-Regular-Identity-H"/>
          <w:sz w:val="20"/>
          <w:szCs w:val="20"/>
        </w:rPr>
        <w:t>with</w:t>
      </w:r>
      <w:r w:rsidRPr="00884FF1">
        <w:rPr>
          <w:rFonts w:eastAsia="MinionPro-Regular-Identity-H"/>
          <w:b/>
          <w:bCs/>
          <w:sz w:val="20"/>
          <w:szCs w:val="20"/>
        </w:rPr>
        <w:t xml:space="preserve"> </w:t>
      </w:r>
      <w:r w:rsidRPr="00884FF1">
        <w:rPr>
          <w:rFonts w:eastAsia="MingLiU_HKSCS"/>
          <w:sz w:val="20"/>
          <w:szCs w:val="20"/>
        </w:rPr>
        <w:t>the</w:t>
      </w:r>
      <w:r w:rsidRPr="00884FF1">
        <w:rPr>
          <w:rFonts w:eastAsia="MinionPro-Regular-Identity-H"/>
          <w:sz w:val="20"/>
          <w:szCs w:val="20"/>
        </w:rPr>
        <w:t xml:space="preserve"> mean serum creatinine as (5.</w:t>
      </w:r>
      <w:r w:rsidR="00181689" w:rsidRPr="00884FF1">
        <w:rPr>
          <w:rFonts w:eastAsia="MinionPro-Regular-Identity-H"/>
          <w:sz w:val="20"/>
          <w:szCs w:val="20"/>
        </w:rPr>
        <w:t xml:space="preserve">7 </w:t>
      </w:r>
      <w:r w:rsidRPr="00884FF1">
        <w:rPr>
          <w:rFonts w:eastAsia="MinionPro-Regular-Identity-H"/>
          <w:sz w:val="20"/>
          <w:szCs w:val="20"/>
        </w:rPr>
        <w:t>mg/dl)</w:t>
      </w:r>
      <w:r w:rsidR="00DE6F54">
        <w:rPr>
          <w:rFonts w:eastAsia="MinionPro-Regular-Identity-H"/>
          <w:b/>
          <w:bCs/>
          <w:sz w:val="20"/>
          <w:szCs w:val="20"/>
        </w:rPr>
        <w:t>,</w:t>
      </w:r>
      <w:r w:rsidRPr="00884FF1">
        <w:rPr>
          <w:rFonts w:eastAsia="MinionPro-Regular-Identity-H"/>
          <w:sz w:val="20"/>
          <w:szCs w:val="20"/>
        </w:rPr>
        <w:t xml:space="preserve"> but signi</w:t>
      </w:r>
      <w:r w:rsidRPr="00884FF1">
        <w:rPr>
          <w:rFonts w:eastAsia="MS Mincho"/>
          <w:sz w:val="20"/>
          <w:szCs w:val="20"/>
        </w:rPr>
        <w:t>fi</w:t>
      </w:r>
      <w:r w:rsidRPr="00884FF1">
        <w:rPr>
          <w:rFonts w:eastAsia="MinionPro-Regular-Identity-H"/>
          <w:sz w:val="20"/>
          <w:szCs w:val="20"/>
        </w:rPr>
        <w:t xml:space="preserve">cantly inferior to those found in the </w:t>
      </w:r>
      <w:r w:rsidRPr="00884FF1">
        <w:rPr>
          <w:rFonts w:eastAsia="MinionPro-Regular-Identity-H"/>
          <w:b/>
          <w:bCs/>
          <w:sz w:val="20"/>
          <w:szCs w:val="20"/>
        </w:rPr>
        <w:t>Khalil</w:t>
      </w:r>
      <w:r w:rsidR="00DA23B7" w:rsidRPr="00884FF1">
        <w:rPr>
          <w:rFonts w:eastAsia="MinionPro-Regular-Identity-H"/>
          <w:b/>
          <w:bCs/>
          <w:i/>
          <w:iCs/>
          <w:sz w:val="20"/>
          <w:szCs w:val="20"/>
        </w:rPr>
        <w:t xml:space="preserve"> et al.</w:t>
      </w:r>
      <w:r w:rsidR="00DA23B7" w:rsidRPr="00884FF1">
        <w:rPr>
          <w:rFonts w:eastAsia="MinionPro-Regular-Identity-H"/>
          <w:b/>
          <w:bCs/>
          <w:sz w:val="20"/>
          <w:szCs w:val="20"/>
        </w:rPr>
        <w:t xml:space="preserve"> </w:t>
      </w:r>
      <w:r w:rsidRPr="00884FF1">
        <w:rPr>
          <w:rFonts w:eastAsia="MinionPro-Regular-Identity-H"/>
          <w:b/>
          <w:bCs/>
          <w:sz w:val="20"/>
          <w:szCs w:val="20"/>
        </w:rPr>
        <w:t>(2009)</w:t>
      </w:r>
      <w:r w:rsidR="00181689" w:rsidRPr="00884FF1">
        <w:rPr>
          <w:rFonts w:eastAsia="MinionPro-Regular-Identity-H"/>
          <w:b/>
          <w:bCs/>
          <w:sz w:val="20"/>
          <w:szCs w:val="20"/>
          <w:vertAlign w:val="superscript"/>
        </w:rPr>
        <w:t xml:space="preserve"> (12)</w:t>
      </w:r>
      <w:r w:rsidR="00DE6F54">
        <w:rPr>
          <w:rFonts w:eastAsia="MinionPro-Regular-Identity-H"/>
          <w:b/>
          <w:bCs/>
          <w:sz w:val="20"/>
          <w:szCs w:val="20"/>
        </w:rPr>
        <w:t xml:space="preserve"> </w:t>
      </w:r>
      <w:r w:rsidRPr="00884FF1">
        <w:rPr>
          <w:rFonts w:eastAsia="MinionPro-Regular-Identity-H"/>
          <w:sz w:val="20"/>
          <w:szCs w:val="20"/>
        </w:rPr>
        <w:t>with</w:t>
      </w:r>
      <w:r w:rsidRPr="00884FF1">
        <w:rPr>
          <w:rFonts w:eastAsia="MinionPro-Regular-Identity-H"/>
          <w:b/>
          <w:bCs/>
          <w:sz w:val="20"/>
          <w:szCs w:val="20"/>
        </w:rPr>
        <w:t xml:space="preserve"> </w:t>
      </w:r>
      <w:r w:rsidRPr="00884FF1">
        <w:rPr>
          <w:rFonts w:eastAsia="MingLiU_HKSCS"/>
          <w:sz w:val="20"/>
          <w:szCs w:val="20"/>
        </w:rPr>
        <w:t>the</w:t>
      </w:r>
      <w:r w:rsidRPr="00884FF1">
        <w:rPr>
          <w:rFonts w:eastAsia="MinionPro-Regular-Identity-H"/>
          <w:sz w:val="20"/>
          <w:szCs w:val="20"/>
        </w:rPr>
        <w:t xml:space="preserve"> mean serum creatinine as (9.7 mg/dl ). Further more</w:t>
      </w:r>
      <w:r w:rsidR="00DE6F54">
        <w:rPr>
          <w:rFonts w:eastAsia="MinionPro-Regular-Identity-H"/>
          <w:sz w:val="20"/>
          <w:szCs w:val="20"/>
        </w:rPr>
        <w:t xml:space="preserve"> </w:t>
      </w:r>
      <w:r w:rsidR="00C36799" w:rsidRPr="00884FF1">
        <w:rPr>
          <w:rFonts w:eastAsia="MinionPro-Regular-Identity-H"/>
          <w:sz w:val="20"/>
          <w:szCs w:val="20"/>
        </w:rPr>
        <w:t xml:space="preserve">it </w:t>
      </w:r>
      <w:r w:rsidRPr="00884FF1">
        <w:rPr>
          <w:rFonts w:eastAsia="MinionPro-Regular-Identity-H"/>
          <w:sz w:val="20"/>
          <w:szCs w:val="20"/>
        </w:rPr>
        <w:t>was</w:t>
      </w:r>
      <w:r w:rsidR="00B95A1F" w:rsidRPr="00884FF1">
        <w:rPr>
          <w:sz w:val="20"/>
          <w:szCs w:val="20"/>
        </w:rPr>
        <w:t xml:space="preserve"> </w:t>
      </w:r>
      <w:r w:rsidRPr="00884FF1">
        <w:rPr>
          <w:rFonts w:eastAsia="MinionPro-Regular-Identity-H"/>
          <w:sz w:val="20"/>
          <w:szCs w:val="20"/>
        </w:rPr>
        <w:t>( 6.5 ± 2.5) mg/dl (range 2.2-16.22 mg/dL) in</w:t>
      </w:r>
      <w:r w:rsidRPr="00884FF1">
        <w:rPr>
          <w:b/>
          <w:bCs/>
          <w:sz w:val="20"/>
          <w:szCs w:val="20"/>
        </w:rPr>
        <w:t xml:space="preserve"> </w:t>
      </w:r>
      <w:hyperlink r:id="rId28" w:tgtFrame="_blank" w:history="1">
        <w:r w:rsidRPr="00884FF1">
          <w:rPr>
            <w:b/>
            <w:bCs/>
            <w:sz w:val="20"/>
            <w:szCs w:val="20"/>
          </w:rPr>
          <w:t>Suraj</w:t>
        </w:r>
      </w:hyperlink>
      <w:r w:rsidRPr="00884FF1">
        <w:rPr>
          <w:rFonts w:eastAsia="MinionPro-Regular-Identity-H"/>
          <w:b/>
          <w:bCs/>
          <w:sz w:val="20"/>
          <w:szCs w:val="20"/>
        </w:rPr>
        <w:t xml:space="preserve"> </w:t>
      </w:r>
      <w:r w:rsidR="00DA23B7" w:rsidRPr="00884FF1">
        <w:rPr>
          <w:rFonts w:eastAsia="MinionPro-Regular-Identity-H"/>
          <w:b/>
          <w:bCs/>
          <w:i/>
          <w:iCs/>
          <w:sz w:val="20"/>
          <w:szCs w:val="20"/>
        </w:rPr>
        <w:t>et al.</w:t>
      </w:r>
      <w:r w:rsidR="00DA23B7" w:rsidRPr="00884FF1">
        <w:rPr>
          <w:rFonts w:eastAsia="MinionPro-Regular-Identity-H"/>
          <w:b/>
          <w:bCs/>
          <w:sz w:val="20"/>
          <w:szCs w:val="20"/>
        </w:rPr>
        <w:t xml:space="preserve"> </w:t>
      </w:r>
      <w:r w:rsidRPr="00884FF1">
        <w:rPr>
          <w:rFonts w:eastAsia="MinionPro-Regular-Identity-H"/>
          <w:b/>
          <w:bCs/>
          <w:sz w:val="20"/>
          <w:szCs w:val="20"/>
        </w:rPr>
        <w:t>(2014)</w:t>
      </w:r>
      <w:r w:rsidR="00A06ADC" w:rsidRPr="00884FF1">
        <w:rPr>
          <w:rFonts w:eastAsia="MinionPro-Regular-Identity-H"/>
          <w:b/>
          <w:bCs/>
          <w:sz w:val="20"/>
          <w:szCs w:val="20"/>
        </w:rPr>
        <w:t xml:space="preserve"> </w:t>
      </w:r>
      <w:r w:rsidR="00A06ADC" w:rsidRPr="00884FF1">
        <w:rPr>
          <w:rFonts w:eastAsia="MinionPro-Regular-Identity-H"/>
          <w:b/>
          <w:bCs/>
          <w:sz w:val="20"/>
          <w:szCs w:val="20"/>
          <w:vertAlign w:val="superscript"/>
        </w:rPr>
        <w:t>(20)</w:t>
      </w:r>
      <w:r w:rsidRPr="00884FF1">
        <w:rPr>
          <w:rFonts w:eastAsia="MinionPro-Regular-Identity-H"/>
          <w:sz w:val="20"/>
          <w:szCs w:val="20"/>
        </w:rPr>
        <w:t xml:space="preserve"> study as well.</w:t>
      </w:r>
    </w:p>
    <w:p w:rsidR="00987E25" w:rsidRPr="00884FF1" w:rsidRDefault="00987E25" w:rsidP="00884FF1">
      <w:pPr>
        <w:autoSpaceDE w:val="0"/>
        <w:autoSpaceDN w:val="0"/>
        <w:bidi w:val="0"/>
        <w:adjustRightInd w:val="0"/>
        <w:snapToGrid w:val="0"/>
        <w:ind w:firstLine="425"/>
        <w:jc w:val="both"/>
        <w:rPr>
          <w:sz w:val="20"/>
          <w:szCs w:val="20"/>
        </w:rPr>
      </w:pPr>
      <w:r w:rsidRPr="00884FF1">
        <w:rPr>
          <w:sz w:val="20"/>
          <w:szCs w:val="20"/>
        </w:rPr>
        <w:t xml:space="preserve">In our present study the percentage of preeclampsia among AKI group significantly higher than its percentage among non AKI group (83.7% versus 67.6%) respectively.On the cotrary in </w:t>
      </w:r>
      <w:r w:rsidRPr="00884FF1">
        <w:rPr>
          <w:b/>
          <w:bCs/>
          <w:sz w:val="20"/>
          <w:szCs w:val="20"/>
        </w:rPr>
        <w:t>Suraj</w:t>
      </w:r>
      <w:r w:rsidR="00C50622" w:rsidRPr="00884FF1">
        <w:rPr>
          <w:b/>
          <w:bCs/>
          <w:sz w:val="20"/>
          <w:szCs w:val="20"/>
        </w:rPr>
        <w:t xml:space="preserve"> </w:t>
      </w:r>
      <w:r w:rsidR="00DA23B7" w:rsidRPr="00884FF1">
        <w:rPr>
          <w:rFonts w:eastAsia="MinionPro-Regular-Identity-H"/>
          <w:b/>
          <w:bCs/>
          <w:i/>
          <w:iCs/>
          <w:sz w:val="20"/>
          <w:szCs w:val="20"/>
        </w:rPr>
        <w:t>et al.</w:t>
      </w:r>
      <w:r w:rsidR="00DA23B7" w:rsidRPr="00884FF1">
        <w:rPr>
          <w:rFonts w:eastAsia="MinionPro-Regular-Identity-H"/>
          <w:b/>
          <w:bCs/>
          <w:sz w:val="20"/>
          <w:szCs w:val="20"/>
        </w:rPr>
        <w:t xml:space="preserve"> </w:t>
      </w:r>
      <w:r w:rsidRPr="00884FF1">
        <w:rPr>
          <w:b/>
          <w:bCs/>
          <w:sz w:val="20"/>
          <w:szCs w:val="20"/>
        </w:rPr>
        <w:t>(2014)</w:t>
      </w:r>
      <w:r w:rsidR="000F4F44" w:rsidRPr="00884FF1">
        <w:rPr>
          <w:rFonts w:eastAsia="MinionPro-Regular-Identity-H"/>
          <w:b/>
          <w:bCs/>
          <w:sz w:val="20"/>
          <w:szCs w:val="20"/>
          <w:vertAlign w:val="superscript"/>
        </w:rPr>
        <w:t xml:space="preserve"> (20)</w:t>
      </w:r>
      <w:r w:rsidR="00DE6F54">
        <w:rPr>
          <w:rFonts w:eastAsia="MinionPro-Regular-Identity-H"/>
          <w:sz w:val="20"/>
          <w:szCs w:val="20"/>
        </w:rPr>
        <w:t xml:space="preserve"> </w:t>
      </w:r>
      <w:r w:rsidRPr="00884FF1">
        <w:rPr>
          <w:sz w:val="20"/>
          <w:szCs w:val="20"/>
        </w:rPr>
        <w:t>study pre-eclampsia/eclampsia was (33.3%),</w:t>
      </w:r>
      <w:r w:rsidR="00B95A1F" w:rsidRPr="00884FF1">
        <w:rPr>
          <w:sz w:val="20"/>
          <w:szCs w:val="20"/>
        </w:rPr>
        <w:t xml:space="preserve"> </w:t>
      </w:r>
      <w:r w:rsidRPr="00884FF1">
        <w:rPr>
          <w:sz w:val="20"/>
          <w:szCs w:val="20"/>
        </w:rPr>
        <w:t>also in</w:t>
      </w:r>
      <w:r w:rsidRPr="00884FF1">
        <w:rPr>
          <w:b/>
          <w:bCs/>
          <w:sz w:val="20"/>
          <w:szCs w:val="20"/>
        </w:rPr>
        <w:t xml:space="preserve"> Kilari </w:t>
      </w:r>
      <w:r w:rsidR="00DA23B7" w:rsidRPr="00884FF1">
        <w:rPr>
          <w:rFonts w:eastAsia="MinionPro-Regular-Identity-H"/>
          <w:b/>
          <w:bCs/>
          <w:i/>
          <w:iCs/>
          <w:sz w:val="20"/>
          <w:szCs w:val="20"/>
        </w:rPr>
        <w:t>et al.</w:t>
      </w:r>
      <w:r w:rsidR="00DA23B7" w:rsidRPr="00884FF1">
        <w:rPr>
          <w:rFonts w:eastAsia="MinionPro-Regular-Identity-H"/>
          <w:b/>
          <w:bCs/>
          <w:sz w:val="20"/>
          <w:szCs w:val="20"/>
        </w:rPr>
        <w:t xml:space="preserve"> </w:t>
      </w:r>
      <w:r w:rsidRPr="00884FF1">
        <w:rPr>
          <w:b/>
          <w:bCs/>
          <w:sz w:val="20"/>
          <w:szCs w:val="20"/>
        </w:rPr>
        <w:t>(2006)</w:t>
      </w:r>
      <w:r w:rsidR="00B3634D" w:rsidRPr="00884FF1">
        <w:rPr>
          <w:rFonts w:eastAsia="MinionPro-Regular-Identity-H"/>
          <w:b/>
          <w:bCs/>
          <w:sz w:val="20"/>
          <w:szCs w:val="20"/>
          <w:vertAlign w:val="superscript"/>
        </w:rPr>
        <w:t xml:space="preserve"> (21)</w:t>
      </w:r>
      <w:r w:rsidR="00B3634D" w:rsidRPr="00884FF1">
        <w:rPr>
          <w:rFonts w:eastAsia="MinionPro-Regular-Identity-H"/>
          <w:sz w:val="20"/>
          <w:szCs w:val="20"/>
        </w:rPr>
        <w:t xml:space="preserve"> </w:t>
      </w:r>
      <w:r w:rsidRPr="00884FF1">
        <w:rPr>
          <w:sz w:val="20"/>
          <w:szCs w:val="20"/>
        </w:rPr>
        <w:t>toxemias of pregnancy was (24.39%),</w:t>
      </w:r>
      <w:r w:rsidR="000B395E" w:rsidRPr="00884FF1">
        <w:rPr>
          <w:sz w:val="20"/>
          <w:szCs w:val="20"/>
        </w:rPr>
        <w:t xml:space="preserve">(15%) in </w:t>
      </w:r>
      <w:r w:rsidR="000B395E" w:rsidRPr="00884FF1">
        <w:rPr>
          <w:b/>
          <w:bCs/>
          <w:sz w:val="20"/>
          <w:szCs w:val="20"/>
        </w:rPr>
        <w:t xml:space="preserve">Najar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000B395E" w:rsidRPr="00884FF1">
        <w:rPr>
          <w:b/>
          <w:bCs/>
          <w:sz w:val="20"/>
          <w:szCs w:val="20"/>
        </w:rPr>
        <w:t>(2008)</w:t>
      </w:r>
      <w:r w:rsidR="00330B96" w:rsidRPr="00884FF1">
        <w:rPr>
          <w:b/>
          <w:bCs/>
          <w:sz w:val="20"/>
          <w:szCs w:val="20"/>
          <w:vertAlign w:val="superscript"/>
        </w:rPr>
        <w:t>(24)</w:t>
      </w:r>
      <w:r w:rsidR="000B395E" w:rsidRPr="00884FF1">
        <w:rPr>
          <w:sz w:val="20"/>
          <w:szCs w:val="20"/>
        </w:rPr>
        <w:t xml:space="preserve"> and (12%) in </w:t>
      </w:r>
      <w:r w:rsidR="000B395E" w:rsidRPr="00884FF1">
        <w:rPr>
          <w:b/>
          <w:bCs/>
          <w:sz w:val="20"/>
          <w:szCs w:val="20"/>
        </w:rPr>
        <w:t xml:space="preserve">Ansari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000B395E" w:rsidRPr="00884FF1">
        <w:rPr>
          <w:b/>
          <w:bCs/>
          <w:sz w:val="20"/>
          <w:szCs w:val="20"/>
        </w:rPr>
        <w:t>(2008)</w:t>
      </w:r>
      <w:r w:rsidR="00330B96" w:rsidRPr="00884FF1">
        <w:rPr>
          <w:b/>
          <w:bCs/>
          <w:sz w:val="20"/>
          <w:szCs w:val="20"/>
          <w:vertAlign w:val="superscript"/>
        </w:rPr>
        <w:t>(25)</w:t>
      </w:r>
      <w:r w:rsidR="000B395E" w:rsidRPr="00884FF1">
        <w:rPr>
          <w:sz w:val="20"/>
          <w:szCs w:val="20"/>
        </w:rPr>
        <w:t xml:space="preserve"> </w:t>
      </w:r>
      <w:r w:rsidRPr="00884FF1">
        <w:rPr>
          <w:sz w:val="20"/>
          <w:szCs w:val="20"/>
        </w:rPr>
        <w:t>While study</w:t>
      </w:r>
      <w:r w:rsidRPr="00884FF1">
        <w:rPr>
          <w:b/>
          <w:bCs/>
          <w:sz w:val="20"/>
          <w:szCs w:val="20"/>
        </w:rPr>
        <w:t xml:space="preserve"> Carmelina Gurrieri</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b/>
          <w:bCs/>
          <w:sz w:val="20"/>
          <w:szCs w:val="20"/>
        </w:rPr>
        <w:t>(2012)</w:t>
      </w:r>
      <w:r w:rsidR="00330B96" w:rsidRPr="00884FF1">
        <w:rPr>
          <w:b/>
          <w:bCs/>
          <w:sz w:val="20"/>
          <w:szCs w:val="20"/>
          <w:vertAlign w:val="superscript"/>
        </w:rPr>
        <w:t xml:space="preserve"> (17)</w:t>
      </w:r>
      <w:r w:rsidR="00DE6F54">
        <w:rPr>
          <w:sz w:val="20"/>
          <w:szCs w:val="20"/>
        </w:rPr>
        <w:t xml:space="preserve"> </w:t>
      </w:r>
      <w:r w:rsidRPr="00884FF1">
        <w:rPr>
          <w:sz w:val="20"/>
          <w:szCs w:val="20"/>
        </w:rPr>
        <w:t>observed that KI was associated with preeclampsia in a substantial percentage (20.4 %) of patients</w:t>
      </w:r>
      <w:r w:rsidR="000B395E" w:rsidRPr="00884FF1">
        <w:rPr>
          <w:sz w:val="20"/>
          <w:szCs w:val="20"/>
        </w:rPr>
        <w:t xml:space="preserve"> </w:t>
      </w:r>
      <w:r w:rsidRPr="00884FF1">
        <w:rPr>
          <w:sz w:val="20"/>
          <w:szCs w:val="20"/>
        </w:rPr>
        <w:t>as well.</w:t>
      </w:r>
    </w:p>
    <w:p w:rsidR="00987E25" w:rsidRPr="00884FF1" w:rsidRDefault="00987E25" w:rsidP="00884FF1">
      <w:pPr>
        <w:autoSpaceDE w:val="0"/>
        <w:autoSpaceDN w:val="0"/>
        <w:bidi w:val="0"/>
        <w:adjustRightInd w:val="0"/>
        <w:snapToGrid w:val="0"/>
        <w:ind w:firstLine="425"/>
        <w:jc w:val="both"/>
        <w:rPr>
          <w:sz w:val="20"/>
          <w:szCs w:val="20"/>
        </w:rPr>
      </w:pPr>
      <w:r w:rsidRPr="00884FF1">
        <w:rPr>
          <w:sz w:val="20"/>
          <w:szCs w:val="20"/>
        </w:rPr>
        <w:t xml:space="preserve">The majority of the </w:t>
      </w:r>
      <w:r w:rsidR="000B395E" w:rsidRPr="00884FF1">
        <w:rPr>
          <w:sz w:val="20"/>
          <w:szCs w:val="20"/>
        </w:rPr>
        <w:t>studies agreed with our study and</w:t>
      </w:r>
      <w:r w:rsidR="00DE6F54">
        <w:rPr>
          <w:sz w:val="20"/>
          <w:szCs w:val="20"/>
        </w:rPr>
        <w:t xml:space="preserve"> </w:t>
      </w:r>
      <w:r w:rsidRPr="00884FF1">
        <w:rPr>
          <w:sz w:val="20"/>
          <w:szCs w:val="20"/>
        </w:rPr>
        <w:t>reported eclampsia-preeclampsia as a major cause of obstetrical AKI</w:t>
      </w:r>
      <w:r w:rsidR="00DE6F54">
        <w:rPr>
          <w:sz w:val="20"/>
          <w:szCs w:val="20"/>
        </w:rPr>
        <w:t>.</w:t>
      </w:r>
      <w:r w:rsidRPr="00884FF1">
        <w:rPr>
          <w:b/>
          <w:bCs/>
          <w:sz w:val="20"/>
          <w:szCs w:val="20"/>
        </w:rPr>
        <w:t xml:space="preserve"> </w:t>
      </w:r>
      <w:r w:rsidRPr="00884FF1">
        <w:rPr>
          <w:sz w:val="20"/>
          <w:szCs w:val="20"/>
        </w:rPr>
        <w:t>Studies of</w:t>
      </w:r>
      <w:r w:rsidR="00001F4B" w:rsidRPr="00884FF1">
        <w:rPr>
          <w:rFonts w:eastAsia="MingLiU_HKSCS"/>
          <w:sz w:val="20"/>
          <w:szCs w:val="20"/>
        </w:rPr>
        <w:t xml:space="preserve"> </w:t>
      </w:r>
      <w:r w:rsidR="00121C4C" w:rsidRPr="00884FF1">
        <w:rPr>
          <w:b/>
          <w:bCs/>
          <w:sz w:val="20"/>
          <w:szCs w:val="20"/>
        </w:rPr>
        <w:t xml:space="preserve">Hachim </w:t>
      </w:r>
      <w:r w:rsidR="00121C4C" w:rsidRPr="00884FF1">
        <w:rPr>
          <w:rFonts w:eastAsia="MinionPro-Regular-Identity-H"/>
          <w:b/>
          <w:bCs/>
          <w:i/>
          <w:iCs/>
          <w:sz w:val="20"/>
          <w:szCs w:val="20"/>
        </w:rPr>
        <w:t>et al.</w:t>
      </w:r>
      <w:r w:rsidR="00121C4C" w:rsidRPr="00884FF1">
        <w:rPr>
          <w:rFonts w:eastAsia="MinionPro-Regular-Identity-H"/>
          <w:b/>
          <w:bCs/>
          <w:sz w:val="20"/>
          <w:szCs w:val="20"/>
        </w:rPr>
        <w:t xml:space="preserve"> </w:t>
      </w:r>
      <w:r w:rsidR="00121C4C" w:rsidRPr="00884FF1">
        <w:rPr>
          <w:b/>
          <w:bCs/>
          <w:sz w:val="20"/>
          <w:szCs w:val="20"/>
        </w:rPr>
        <w:t>(2001)</w:t>
      </w:r>
      <w:r w:rsidR="00121C4C" w:rsidRPr="00884FF1">
        <w:rPr>
          <w:b/>
          <w:bCs/>
          <w:sz w:val="20"/>
          <w:szCs w:val="20"/>
          <w:vertAlign w:val="superscript"/>
        </w:rPr>
        <w:t>(22)</w:t>
      </w:r>
      <w:r w:rsidR="00DE6F54">
        <w:rPr>
          <w:b/>
          <w:bCs/>
          <w:sz w:val="20"/>
          <w:szCs w:val="20"/>
          <w:vertAlign w:val="superscript"/>
        </w:rPr>
        <w:t>,</w:t>
      </w:r>
      <w:r w:rsidR="00121C4C" w:rsidRPr="00884FF1">
        <w:rPr>
          <w:b/>
          <w:bCs/>
          <w:sz w:val="20"/>
          <w:szCs w:val="20"/>
        </w:rPr>
        <w:t xml:space="preserve"> Erdemoglu</w:t>
      </w:r>
      <w:r w:rsidR="00121C4C" w:rsidRPr="00884FF1">
        <w:rPr>
          <w:rFonts w:eastAsia="MinionPro-Regular-Identity-H"/>
          <w:b/>
          <w:bCs/>
          <w:i/>
          <w:iCs/>
          <w:sz w:val="20"/>
          <w:szCs w:val="20"/>
        </w:rPr>
        <w:t xml:space="preserve"> et al.</w:t>
      </w:r>
      <w:r w:rsidR="00121C4C" w:rsidRPr="00884FF1">
        <w:rPr>
          <w:rFonts w:eastAsia="MinionPro-Regular-Identity-H"/>
          <w:b/>
          <w:bCs/>
          <w:sz w:val="20"/>
          <w:szCs w:val="20"/>
        </w:rPr>
        <w:t xml:space="preserve"> </w:t>
      </w:r>
      <w:r w:rsidR="00121C4C" w:rsidRPr="00884FF1">
        <w:rPr>
          <w:b/>
          <w:bCs/>
          <w:sz w:val="20"/>
          <w:szCs w:val="20"/>
        </w:rPr>
        <w:t>(2010)</w:t>
      </w:r>
      <w:r w:rsidR="00121C4C" w:rsidRPr="00884FF1">
        <w:rPr>
          <w:b/>
          <w:bCs/>
          <w:sz w:val="20"/>
          <w:szCs w:val="20"/>
          <w:vertAlign w:val="superscript"/>
        </w:rPr>
        <w:t>(23)</w:t>
      </w:r>
      <w:r w:rsidR="00121C4C" w:rsidRPr="00884FF1">
        <w:rPr>
          <w:sz w:val="20"/>
          <w:szCs w:val="20"/>
        </w:rPr>
        <w:t xml:space="preserve"> </w:t>
      </w:r>
      <w:r w:rsidR="00001F4B" w:rsidRPr="00884FF1">
        <w:rPr>
          <w:sz w:val="20"/>
          <w:szCs w:val="20"/>
        </w:rPr>
        <w:t xml:space="preserve">and </w:t>
      </w:r>
      <w:r w:rsidR="00001F4B" w:rsidRPr="00884FF1">
        <w:rPr>
          <w:b/>
          <w:bCs/>
          <w:sz w:val="20"/>
          <w:szCs w:val="20"/>
        </w:rPr>
        <w:t>Arrayhani</w:t>
      </w:r>
      <w:r w:rsidR="00001F4B" w:rsidRPr="00884FF1">
        <w:rPr>
          <w:rFonts w:eastAsia="MinionPro-Regular-Identity-H"/>
          <w:b/>
          <w:bCs/>
          <w:i/>
          <w:iCs/>
          <w:sz w:val="20"/>
          <w:szCs w:val="20"/>
        </w:rPr>
        <w:t xml:space="preserve"> et al.</w:t>
      </w:r>
      <w:r w:rsidR="00001F4B" w:rsidRPr="00884FF1">
        <w:rPr>
          <w:rFonts w:eastAsia="MinionPro-Regular-Identity-H"/>
          <w:b/>
          <w:bCs/>
          <w:sz w:val="20"/>
          <w:szCs w:val="20"/>
        </w:rPr>
        <w:t xml:space="preserve"> </w:t>
      </w:r>
      <w:r w:rsidR="00A54869" w:rsidRPr="00884FF1">
        <w:rPr>
          <w:b/>
          <w:bCs/>
          <w:sz w:val="20"/>
          <w:szCs w:val="20"/>
        </w:rPr>
        <w:t>(2013)</w:t>
      </w:r>
      <w:r w:rsidR="00A54869" w:rsidRPr="00884FF1">
        <w:rPr>
          <w:b/>
          <w:bCs/>
          <w:sz w:val="20"/>
          <w:szCs w:val="20"/>
          <w:vertAlign w:val="superscript"/>
          <w:lang w:bidi="ar-EG"/>
        </w:rPr>
        <w:t xml:space="preserve"> (11)</w:t>
      </w:r>
      <w:r w:rsidR="00DE6F54">
        <w:rPr>
          <w:sz w:val="20"/>
          <w:szCs w:val="20"/>
          <w:lang w:bidi="ar-EG"/>
        </w:rPr>
        <w:t xml:space="preserve"> </w:t>
      </w:r>
      <w:r w:rsidRPr="00884FF1">
        <w:rPr>
          <w:sz w:val="20"/>
          <w:szCs w:val="20"/>
        </w:rPr>
        <w:t>found eclampsia-preeclampsia in</w:t>
      </w:r>
      <w:r w:rsidR="000B395E" w:rsidRPr="00884FF1">
        <w:rPr>
          <w:sz w:val="20"/>
          <w:szCs w:val="20"/>
        </w:rPr>
        <w:t>(66.7%)</w:t>
      </w:r>
      <w:r w:rsidR="00DE6F54">
        <w:rPr>
          <w:sz w:val="20"/>
          <w:szCs w:val="20"/>
        </w:rPr>
        <w:t xml:space="preserve">, </w:t>
      </w:r>
      <w:r w:rsidR="000B395E" w:rsidRPr="00884FF1">
        <w:rPr>
          <w:sz w:val="20"/>
          <w:szCs w:val="20"/>
        </w:rPr>
        <w:t>(</w:t>
      </w:r>
      <w:r w:rsidRPr="00884FF1">
        <w:rPr>
          <w:sz w:val="20"/>
          <w:szCs w:val="20"/>
        </w:rPr>
        <w:t>74.5%</w:t>
      </w:r>
      <w:r w:rsidR="000B395E" w:rsidRPr="00884FF1">
        <w:rPr>
          <w:sz w:val="20"/>
          <w:szCs w:val="20"/>
        </w:rPr>
        <w:t>)</w:t>
      </w:r>
      <w:r w:rsidRPr="00884FF1">
        <w:rPr>
          <w:sz w:val="20"/>
          <w:szCs w:val="20"/>
        </w:rPr>
        <w:t xml:space="preserve"> and </w:t>
      </w:r>
      <w:r w:rsidR="000B395E" w:rsidRPr="00884FF1">
        <w:rPr>
          <w:sz w:val="20"/>
          <w:szCs w:val="20"/>
        </w:rPr>
        <w:t>(75.2%)</w:t>
      </w:r>
      <w:r w:rsidR="00DE6F54">
        <w:rPr>
          <w:sz w:val="20"/>
          <w:szCs w:val="20"/>
        </w:rPr>
        <w:t xml:space="preserve"> </w:t>
      </w:r>
      <w:r w:rsidRPr="00884FF1">
        <w:rPr>
          <w:sz w:val="20"/>
          <w:szCs w:val="20"/>
        </w:rPr>
        <w:t>respectively. This discrepancy between various studies conducted in different countries might be due to good antenatal care leading to decrease incidence of obstetrical and early detection of eclampsia-preeclampsia.</w:t>
      </w:r>
    </w:p>
    <w:p w:rsidR="00987E25" w:rsidRPr="00884FF1" w:rsidRDefault="00987E25" w:rsidP="00884FF1">
      <w:pPr>
        <w:autoSpaceDE w:val="0"/>
        <w:autoSpaceDN w:val="0"/>
        <w:bidi w:val="0"/>
        <w:adjustRightInd w:val="0"/>
        <w:snapToGrid w:val="0"/>
        <w:ind w:firstLine="425"/>
        <w:jc w:val="both"/>
        <w:rPr>
          <w:sz w:val="20"/>
          <w:szCs w:val="20"/>
        </w:rPr>
      </w:pPr>
      <w:r w:rsidRPr="00884FF1">
        <w:rPr>
          <w:sz w:val="20"/>
          <w:szCs w:val="20"/>
        </w:rPr>
        <w:t>Preeclampsia is the leading cause of acute kidney injury in the last trimester and occurs in 7% of all pregnancies</w:t>
      </w:r>
      <w:r w:rsidR="00DE6F54">
        <w:rPr>
          <w:sz w:val="20"/>
          <w:szCs w:val="20"/>
        </w:rPr>
        <w:t>.</w:t>
      </w:r>
      <w:r w:rsidRPr="00884FF1">
        <w:rPr>
          <w:sz w:val="20"/>
          <w:szCs w:val="20"/>
        </w:rPr>
        <w:t>It is due to utero-placental ischemia. It is the leading cause of maternal and fetal mortality in the world. It is associated with intrauterine growth retardation and small for gestational age (SGA) babies. It is a triad of hypertension, proteinuria and oedema occurring after the 20</w:t>
      </w:r>
      <w:r w:rsidRPr="00884FF1">
        <w:rPr>
          <w:sz w:val="20"/>
          <w:szCs w:val="20"/>
          <w:vertAlign w:val="superscript"/>
        </w:rPr>
        <w:t>th</w:t>
      </w:r>
      <w:r w:rsidRPr="00884FF1">
        <w:rPr>
          <w:sz w:val="20"/>
          <w:szCs w:val="20"/>
        </w:rPr>
        <w:t xml:space="preserve"> week of gestation with few cases developing postpartum within hours, usually in the first 24 to 48 hours</w:t>
      </w:r>
      <w:r w:rsidR="00E01C32" w:rsidRPr="00884FF1">
        <w:rPr>
          <w:sz w:val="20"/>
          <w:szCs w:val="20"/>
        </w:rPr>
        <w:t>.</w:t>
      </w:r>
      <w:r w:rsidRPr="00884FF1">
        <w:rPr>
          <w:sz w:val="20"/>
          <w:szCs w:val="20"/>
        </w:rPr>
        <w:t xml:space="preserve"> </w:t>
      </w:r>
      <w:r w:rsidR="00E01C32" w:rsidRPr="00884FF1">
        <w:rPr>
          <w:sz w:val="20"/>
          <w:szCs w:val="20"/>
        </w:rPr>
        <w:t>The definitive treatment of preeclampsia is delivery to prevent development of maternal or fetal complications from disease progression</w:t>
      </w:r>
      <w:r w:rsidR="00E01C32" w:rsidRPr="00884FF1">
        <w:rPr>
          <w:b/>
          <w:bCs/>
          <w:sz w:val="20"/>
          <w:szCs w:val="20"/>
        </w:rPr>
        <w:t xml:space="preserve"> </w:t>
      </w:r>
      <w:r w:rsidR="00F707FB" w:rsidRPr="00884FF1">
        <w:rPr>
          <w:b/>
          <w:bCs/>
          <w:sz w:val="20"/>
          <w:szCs w:val="20"/>
        </w:rPr>
        <w:t>(Carty</w:t>
      </w:r>
      <w:r w:rsidRPr="00884FF1">
        <w:rPr>
          <w:b/>
          <w:bCs/>
          <w:sz w:val="20"/>
          <w:szCs w:val="20"/>
        </w:rPr>
        <w:t xml:space="preserve">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Pr="00884FF1">
        <w:rPr>
          <w:b/>
          <w:bCs/>
          <w:sz w:val="20"/>
          <w:szCs w:val="20"/>
        </w:rPr>
        <w:t>2010)</w:t>
      </w:r>
      <w:r w:rsidRPr="00884FF1">
        <w:rPr>
          <w:sz w:val="20"/>
          <w:szCs w:val="20"/>
        </w:rPr>
        <w:t>.</w:t>
      </w:r>
      <w:r w:rsidR="005E7935" w:rsidRPr="00884FF1">
        <w:rPr>
          <w:b/>
          <w:bCs/>
          <w:sz w:val="20"/>
          <w:szCs w:val="20"/>
          <w:vertAlign w:val="superscript"/>
        </w:rPr>
        <w:t>(26)</w:t>
      </w:r>
    </w:p>
    <w:p w:rsidR="00987E25" w:rsidRPr="00884FF1" w:rsidRDefault="00987E25" w:rsidP="00884FF1">
      <w:pPr>
        <w:autoSpaceDE w:val="0"/>
        <w:autoSpaceDN w:val="0"/>
        <w:bidi w:val="0"/>
        <w:adjustRightInd w:val="0"/>
        <w:snapToGrid w:val="0"/>
        <w:ind w:firstLine="425"/>
        <w:jc w:val="both"/>
        <w:rPr>
          <w:sz w:val="20"/>
          <w:szCs w:val="20"/>
        </w:rPr>
      </w:pPr>
      <w:r w:rsidRPr="00884FF1">
        <w:rPr>
          <w:sz w:val="20"/>
          <w:szCs w:val="20"/>
        </w:rPr>
        <w:t xml:space="preserve">In our </w:t>
      </w:r>
      <w:r w:rsidR="00F707FB" w:rsidRPr="00884FF1">
        <w:rPr>
          <w:sz w:val="20"/>
          <w:szCs w:val="20"/>
        </w:rPr>
        <w:t>work,</w:t>
      </w:r>
      <w:r w:rsidRPr="00884FF1">
        <w:rPr>
          <w:sz w:val="20"/>
          <w:szCs w:val="20"/>
        </w:rPr>
        <w:t xml:space="preserve"> the percentage of diabetic patients between AKI group patients is highly significant (</w:t>
      </w:r>
      <w:r w:rsidRPr="00884FF1">
        <w:rPr>
          <w:i/>
          <w:iCs/>
          <w:sz w:val="20"/>
          <w:szCs w:val="20"/>
        </w:rPr>
        <w:t>p</w:t>
      </w:r>
      <w:r w:rsidRPr="00884FF1">
        <w:rPr>
          <w:sz w:val="20"/>
          <w:szCs w:val="20"/>
        </w:rPr>
        <w:t xml:space="preserve"> value &lt;0.001) which is (30.6%) versus (1.4%) in non AKI group patients. </w:t>
      </w:r>
      <w:r w:rsidR="00F707FB" w:rsidRPr="00884FF1">
        <w:rPr>
          <w:sz w:val="20"/>
          <w:szCs w:val="20"/>
        </w:rPr>
        <w:t>In Carmelina</w:t>
      </w:r>
      <w:r w:rsidRPr="00884FF1">
        <w:rPr>
          <w:b/>
          <w:bCs/>
          <w:sz w:val="20"/>
          <w:szCs w:val="20"/>
        </w:rPr>
        <w:t xml:space="preserve"> Gurrieri</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b/>
          <w:bCs/>
          <w:sz w:val="20"/>
          <w:szCs w:val="20"/>
        </w:rPr>
        <w:lastRenderedPageBreak/>
        <w:t>(2012)</w:t>
      </w:r>
      <w:r w:rsidR="00330B96" w:rsidRPr="00884FF1">
        <w:rPr>
          <w:b/>
          <w:bCs/>
          <w:sz w:val="20"/>
          <w:szCs w:val="20"/>
          <w:vertAlign w:val="superscript"/>
        </w:rPr>
        <w:t xml:space="preserve"> (17</w:t>
      </w:r>
      <w:r w:rsidR="00F707FB" w:rsidRPr="00884FF1">
        <w:rPr>
          <w:b/>
          <w:bCs/>
          <w:sz w:val="20"/>
          <w:szCs w:val="20"/>
          <w:vertAlign w:val="superscript"/>
        </w:rPr>
        <w:t>)</w:t>
      </w:r>
      <w:r w:rsidR="00F707FB" w:rsidRPr="00884FF1">
        <w:rPr>
          <w:sz w:val="20"/>
          <w:szCs w:val="20"/>
        </w:rPr>
        <w:t xml:space="preserve"> </w:t>
      </w:r>
      <w:r w:rsidR="00F707FB" w:rsidRPr="00884FF1">
        <w:rPr>
          <w:b/>
          <w:bCs/>
          <w:sz w:val="20"/>
          <w:szCs w:val="20"/>
        </w:rPr>
        <w:t>diabetes</w:t>
      </w:r>
      <w:r w:rsidRPr="00884FF1">
        <w:rPr>
          <w:sz w:val="20"/>
          <w:szCs w:val="20"/>
        </w:rPr>
        <w:t xml:space="preserve"> percentage about (13%) of AKI patients.</w:t>
      </w:r>
    </w:p>
    <w:p w:rsidR="00987E25" w:rsidRPr="00884FF1" w:rsidRDefault="00987E25" w:rsidP="00884FF1">
      <w:pPr>
        <w:autoSpaceDE w:val="0"/>
        <w:autoSpaceDN w:val="0"/>
        <w:bidi w:val="0"/>
        <w:adjustRightInd w:val="0"/>
        <w:snapToGrid w:val="0"/>
        <w:ind w:firstLine="425"/>
        <w:jc w:val="both"/>
        <w:rPr>
          <w:sz w:val="20"/>
          <w:szCs w:val="20"/>
          <w:vertAlign w:val="superscript"/>
        </w:rPr>
      </w:pPr>
      <w:r w:rsidRPr="00884FF1">
        <w:rPr>
          <w:sz w:val="20"/>
          <w:szCs w:val="20"/>
        </w:rPr>
        <w:t>Contrary to that, in the United States, (0.65 %) of women have diabetes mellitus before pregnancy, and (4.1 %) of pregnancies are</w:t>
      </w:r>
      <w:r w:rsidR="00B95A1F" w:rsidRPr="00884FF1">
        <w:rPr>
          <w:sz w:val="20"/>
          <w:szCs w:val="20"/>
        </w:rPr>
        <w:t xml:space="preserve"> </w:t>
      </w:r>
      <w:r w:rsidRPr="00884FF1">
        <w:rPr>
          <w:sz w:val="20"/>
          <w:szCs w:val="20"/>
        </w:rPr>
        <w:t>complicated by gestational diabetes</w:t>
      </w:r>
      <w:r w:rsidR="00DE6F54">
        <w:rPr>
          <w:sz w:val="20"/>
          <w:szCs w:val="20"/>
        </w:rPr>
        <w:t xml:space="preserve">. </w:t>
      </w:r>
      <w:r w:rsidRPr="00884FF1">
        <w:rPr>
          <w:sz w:val="20"/>
          <w:szCs w:val="20"/>
        </w:rPr>
        <w:t xml:space="preserve">Pregnant women with diabetes are </w:t>
      </w:r>
      <w:r w:rsidR="00B95A1F" w:rsidRPr="00884FF1">
        <w:rPr>
          <w:sz w:val="20"/>
          <w:szCs w:val="20"/>
        </w:rPr>
        <w:t xml:space="preserve">more likely to have proteinuria </w:t>
      </w:r>
      <w:r w:rsidRPr="00884FF1">
        <w:rPr>
          <w:sz w:val="20"/>
          <w:szCs w:val="20"/>
        </w:rPr>
        <w:t>and are at higher risk for preeclampsia</w:t>
      </w:r>
      <w:r w:rsidR="00DE6F54">
        <w:rPr>
          <w:b/>
          <w:bCs/>
          <w:sz w:val="20"/>
          <w:szCs w:val="20"/>
        </w:rPr>
        <w:t>.</w:t>
      </w:r>
      <w:r w:rsidRPr="00884FF1">
        <w:rPr>
          <w:sz w:val="20"/>
          <w:szCs w:val="20"/>
        </w:rPr>
        <w:t>Pregnant women with diabetes but preserved renal function appear to have low</w:t>
      </w:r>
      <w:r w:rsidR="00B95A1F" w:rsidRPr="00884FF1">
        <w:rPr>
          <w:sz w:val="20"/>
          <w:szCs w:val="20"/>
        </w:rPr>
        <w:t xml:space="preserve"> </w:t>
      </w:r>
      <w:r w:rsidRPr="00884FF1">
        <w:rPr>
          <w:sz w:val="20"/>
          <w:szCs w:val="20"/>
        </w:rPr>
        <w:t>risk of kidney impairment</w:t>
      </w:r>
      <w:r w:rsidR="00DE6F54">
        <w:rPr>
          <w:sz w:val="20"/>
          <w:szCs w:val="20"/>
        </w:rPr>
        <w:t>,</w:t>
      </w:r>
      <w:r w:rsidRPr="00884FF1">
        <w:rPr>
          <w:sz w:val="20"/>
          <w:szCs w:val="20"/>
        </w:rPr>
        <w:t xml:space="preserve"> but those with diabetic</w:t>
      </w:r>
      <w:r w:rsidR="00B95A1F" w:rsidRPr="00884FF1">
        <w:rPr>
          <w:sz w:val="20"/>
          <w:szCs w:val="20"/>
        </w:rPr>
        <w:t xml:space="preserve"> </w:t>
      </w:r>
      <w:r w:rsidRPr="00884FF1">
        <w:rPr>
          <w:sz w:val="20"/>
          <w:szCs w:val="20"/>
        </w:rPr>
        <w:t>nephropathy and moderate to severe renal insufficiency (prepregnancy sCr ≥ 1.4 mg/dL) have a more than 40 % chance of accelerated progression of kidney disease during pregnancy</w:t>
      </w:r>
      <w:r w:rsidR="00C50622" w:rsidRPr="00884FF1">
        <w:rPr>
          <w:b/>
          <w:bCs/>
          <w:sz w:val="20"/>
          <w:szCs w:val="20"/>
        </w:rPr>
        <w:t>( Powe</w:t>
      </w:r>
      <w:r w:rsidR="00966151" w:rsidRPr="00884FF1">
        <w:rPr>
          <w:b/>
          <w:bCs/>
          <w:sz w:val="20"/>
          <w:szCs w:val="20"/>
        </w:rPr>
        <w:t xml:space="preserve"> </w:t>
      </w:r>
      <w:r w:rsidR="00497429" w:rsidRPr="00884FF1">
        <w:rPr>
          <w:rFonts w:eastAsia="MinionPro-Regular-Identity-H"/>
          <w:b/>
          <w:bCs/>
          <w:i/>
          <w:iCs/>
          <w:sz w:val="20"/>
          <w:szCs w:val="20"/>
        </w:rPr>
        <w:t>et al.</w:t>
      </w:r>
      <w:r w:rsidR="00DE6F54">
        <w:rPr>
          <w:rFonts w:eastAsia="MinionPro-Regular-Identity-H"/>
          <w:b/>
          <w:bCs/>
          <w:sz w:val="20"/>
          <w:szCs w:val="20"/>
        </w:rPr>
        <w:t>,</w:t>
      </w:r>
      <w:r w:rsidR="00966151" w:rsidRPr="00884FF1">
        <w:rPr>
          <w:b/>
          <w:bCs/>
          <w:sz w:val="20"/>
          <w:szCs w:val="20"/>
        </w:rPr>
        <w:t>2011)</w:t>
      </w:r>
      <w:r w:rsidR="00831298" w:rsidRPr="00884FF1">
        <w:rPr>
          <w:b/>
          <w:bCs/>
          <w:sz w:val="20"/>
          <w:szCs w:val="20"/>
        </w:rPr>
        <w:t>.</w:t>
      </w:r>
      <w:r w:rsidR="00831298" w:rsidRPr="00884FF1">
        <w:rPr>
          <w:b/>
          <w:bCs/>
          <w:sz w:val="20"/>
          <w:szCs w:val="20"/>
          <w:vertAlign w:val="superscript"/>
        </w:rPr>
        <w:t>(27)</w:t>
      </w:r>
    </w:p>
    <w:p w:rsidR="00987E25" w:rsidRPr="00884FF1" w:rsidRDefault="00987E25" w:rsidP="00884FF1">
      <w:pPr>
        <w:autoSpaceDE w:val="0"/>
        <w:autoSpaceDN w:val="0"/>
        <w:bidi w:val="0"/>
        <w:adjustRightInd w:val="0"/>
        <w:snapToGrid w:val="0"/>
        <w:ind w:firstLine="425"/>
        <w:jc w:val="both"/>
        <w:rPr>
          <w:sz w:val="20"/>
          <w:szCs w:val="20"/>
        </w:rPr>
      </w:pPr>
      <w:r w:rsidRPr="00884FF1">
        <w:rPr>
          <w:sz w:val="20"/>
          <w:szCs w:val="20"/>
        </w:rPr>
        <w:t>In our study there is high significant difference between AKI and non AKI groups (</w:t>
      </w:r>
      <w:r w:rsidRPr="00884FF1">
        <w:rPr>
          <w:i/>
          <w:iCs/>
          <w:sz w:val="20"/>
          <w:szCs w:val="20"/>
        </w:rPr>
        <w:t>p</w:t>
      </w:r>
      <w:r w:rsidRPr="00884FF1">
        <w:rPr>
          <w:sz w:val="20"/>
          <w:szCs w:val="20"/>
        </w:rPr>
        <w:t xml:space="preserve"> value &lt;0.001) as regards urinary tract infection as it presents in (71.4%) of AKI group of patients. This is contradictory to the study </w:t>
      </w:r>
      <w:r w:rsidRPr="00884FF1">
        <w:rPr>
          <w:b/>
          <w:bCs/>
          <w:sz w:val="20"/>
          <w:szCs w:val="20"/>
        </w:rPr>
        <w:t>Suraj</w:t>
      </w:r>
      <w:r w:rsidR="00DE6F54">
        <w:rPr>
          <w:b/>
          <w:bCs/>
          <w:sz w:val="20"/>
          <w:szCs w:val="20"/>
        </w:rPr>
        <w:t xml:space="preserve">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Pr="00884FF1">
        <w:rPr>
          <w:b/>
          <w:bCs/>
          <w:sz w:val="20"/>
          <w:szCs w:val="20"/>
        </w:rPr>
        <w:t>(2014)</w:t>
      </w:r>
      <w:r w:rsidR="00A06ADC" w:rsidRPr="00884FF1">
        <w:rPr>
          <w:rFonts w:eastAsia="MinionPro-Regular-Identity-H"/>
          <w:b/>
          <w:bCs/>
          <w:sz w:val="20"/>
          <w:szCs w:val="20"/>
          <w:vertAlign w:val="superscript"/>
        </w:rPr>
        <w:t xml:space="preserve"> (20)</w:t>
      </w:r>
      <w:r w:rsidR="00DE6F54">
        <w:rPr>
          <w:rFonts w:eastAsia="MinionPro-Regular-Identity-H"/>
          <w:sz w:val="20"/>
          <w:szCs w:val="20"/>
        </w:rPr>
        <w:t>,</w:t>
      </w:r>
      <w:r w:rsidRPr="00884FF1">
        <w:rPr>
          <w:sz w:val="20"/>
          <w:szCs w:val="20"/>
        </w:rPr>
        <w:t xml:space="preserve"> in which acute pyelonephritis was</w:t>
      </w:r>
      <w:r w:rsidR="00DE6F54">
        <w:rPr>
          <w:sz w:val="20"/>
          <w:szCs w:val="20"/>
        </w:rPr>
        <w:t xml:space="preserve"> </w:t>
      </w:r>
      <w:r w:rsidRPr="00884FF1">
        <w:rPr>
          <w:sz w:val="20"/>
          <w:szCs w:val="20"/>
        </w:rPr>
        <w:t xml:space="preserve">(5%), urinary tract infection with sepsis in </w:t>
      </w:r>
      <w:r w:rsidRPr="00884FF1">
        <w:rPr>
          <w:rFonts w:eastAsia="MinionPro-Regular-Identity-H"/>
          <w:b/>
          <w:bCs/>
          <w:sz w:val="20"/>
          <w:szCs w:val="20"/>
        </w:rPr>
        <w:t>Khalil</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rFonts w:eastAsia="MinionPro-Regular-Identity-H"/>
          <w:b/>
          <w:bCs/>
          <w:sz w:val="20"/>
          <w:szCs w:val="20"/>
        </w:rPr>
        <w:t>(2009)</w:t>
      </w:r>
      <w:r w:rsidR="00181689" w:rsidRPr="00884FF1">
        <w:rPr>
          <w:rFonts w:eastAsia="MinionPro-Regular-Identity-H"/>
          <w:b/>
          <w:bCs/>
          <w:sz w:val="20"/>
          <w:szCs w:val="20"/>
          <w:vertAlign w:val="superscript"/>
        </w:rPr>
        <w:t xml:space="preserve"> (12)</w:t>
      </w:r>
      <w:r w:rsidR="00DE6F54">
        <w:rPr>
          <w:rFonts w:eastAsia="MinionPro-Regular-Identity-H"/>
          <w:b/>
          <w:bCs/>
          <w:sz w:val="20"/>
          <w:szCs w:val="20"/>
        </w:rPr>
        <w:t xml:space="preserve"> </w:t>
      </w:r>
      <w:r w:rsidRPr="00884FF1">
        <w:rPr>
          <w:sz w:val="20"/>
          <w:szCs w:val="20"/>
        </w:rPr>
        <w:t>was (1.66%)</w:t>
      </w:r>
      <w:r w:rsidR="00DE6F54">
        <w:rPr>
          <w:sz w:val="20"/>
          <w:szCs w:val="20"/>
        </w:rPr>
        <w:t>,</w:t>
      </w:r>
      <w:r w:rsidRPr="00884FF1">
        <w:rPr>
          <w:sz w:val="20"/>
          <w:szCs w:val="20"/>
        </w:rPr>
        <w:t xml:space="preserve"> in </w:t>
      </w:r>
      <w:r w:rsidRPr="00884FF1">
        <w:rPr>
          <w:b/>
          <w:bCs/>
          <w:sz w:val="20"/>
          <w:szCs w:val="20"/>
        </w:rPr>
        <w:t>Carmelina Gurrieri</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b/>
          <w:bCs/>
          <w:sz w:val="20"/>
          <w:szCs w:val="20"/>
        </w:rPr>
        <w:t>(2012)</w:t>
      </w:r>
      <w:r w:rsidR="00330B96" w:rsidRPr="00884FF1">
        <w:rPr>
          <w:b/>
          <w:bCs/>
          <w:sz w:val="20"/>
          <w:szCs w:val="20"/>
          <w:vertAlign w:val="superscript"/>
        </w:rPr>
        <w:t xml:space="preserve"> (17)</w:t>
      </w:r>
      <w:r w:rsidR="00DE6F54">
        <w:rPr>
          <w:sz w:val="20"/>
          <w:szCs w:val="20"/>
        </w:rPr>
        <w:t xml:space="preserve"> </w:t>
      </w:r>
      <w:r w:rsidRPr="00884FF1">
        <w:rPr>
          <w:sz w:val="20"/>
          <w:szCs w:val="20"/>
        </w:rPr>
        <w:t>urinary tract infection was (18.5%) as well.</w:t>
      </w:r>
    </w:p>
    <w:p w:rsidR="00987E25" w:rsidRPr="00884FF1" w:rsidRDefault="00987E25" w:rsidP="00884FF1">
      <w:pPr>
        <w:autoSpaceDE w:val="0"/>
        <w:autoSpaceDN w:val="0"/>
        <w:bidi w:val="0"/>
        <w:adjustRightInd w:val="0"/>
        <w:snapToGrid w:val="0"/>
        <w:ind w:firstLine="425"/>
        <w:jc w:val="both"/>
        <w:rPr>
          <w:sz w:val="20"/>
          <w:szCs w:val="20"/>
          <w:vertAlign w:val="superscript"/>
        </w:rPr>
      </w:pPr>
      <w:r w:rsidRPr="00884FF1">
        <w:rPr>
          <w:sz w:val="20"/>
          <w:szCs w:val="20"/>
        </w:rPr>
        <w:t xml:space="preserve">In developing countries, infections, especially those resulting in sepsis after abortion or delivery, are major risk factors for the development of pregnancy-associated KI </w:t>
      </w:r>
      <w:r w:rsidR="00C50622" w:rsidRPr="00884FF1">
        <w:rPr>
          <w:b/>
          <w:bCs/>
          <w:sz w:val="20"/>
          <w:szCs w:val="20"/>
        </w:rPr>
        <w:t>(Goplani</w:t>
      </w:r>
      <w:r w:rsidR="00DE6F54">
        <w:rPr>
          <w:b/>
          <w:bCs/>
          <w:sz w:val="20"/>
          <w:szCs w:val="20"/>
        </w:rPr>
        <w:t xml:space="preserve">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Pr="00884FF1">
        <w:rPr>
          <w:b/>
          <w:bCs/>
          <w:sz w:val="20"/>
          <w:szCs w:val="20"/>
        </w:rPr>
        <w:t>2008).</w:t>
      </w:r>
      <w:r w:rsidR="00831298" w:rsidRPr="00884FF1">
        <w:rPr>
          <w:b/>
          <w:bCs/>
          <w:sz w:val="20"/>
          <w:szCs w:val="20"/>
          <w:vertAlign w:val="superscript"/>
        </w:rPr>
        <w:t>(5)</w:t>
      </w:r>
    </w:p>
    <w:p w:rsidR="00987E25" w:rsidRPr="00884FF1" w:rsidRDefault="00987E25" w:rsidP="00884FF1">
      <w:pPr>
        <w:autoSpaceDE w:val="0"/>
        <w:autoSpaceDN w:val="0"/>
        <w:bidi w:val="0"/>
        <w:adjustRightInd w:val="0"/>
        <w:snapToGrid w:val="0"/>
        <w:ind w:firstLine="425"/>
        <w:jc w:val="both"/>
        <w:rPr>
          <w:sz w:val="20"/>
          <w:szCs w:val="20"/>
        </w:rPr>
      </w:pPr>
      <w:r w:rsidRPr="00884FF1">
        <w:rPr>
          <w:sz w:val="20"/>
          <w:szCs w:val="20"/>
        </w:rPr>
        <w:t>The outcome of our study shows high significant difference between AKI group patients and non AKI group patients (</w:t>
      </w:r>
      <w:r w:rsidRPr="00884FF1">
        <w:rPr>
          <w:i/>
          <w:iCs/>
          <w:sz w:val="20"/>
          <w:szCs w:val="20"/>
        </w:rPr>
        <w:t>p</w:t>
      </w:r>
      <w:r w:rsidRPr="00884FF1">
        <w:rPr>
          <w:sz w:val="20"/>
          <w:szCs w:val="20"/>
        </w:rPr>
        <w:t xml:space="preserve"> value &lt;0.001)</w:t>
      </w:r>
      <w:r w:rsidR="00DE6F54">
        <w:rPr>
          <w:sz w:val="20"/>
          <w:szCs w:val="20"/>
        </w:rPr>
        <w:t xml:space="preserve"> </w:t>
      </w:r>
      <w:r w:rsidRPr="00884FF1">
        <w:rPr>
          <w:sz w:val="20"/>
          <w:szCs w:val="20"/>
        </w:rPr>
        <w:t>as regards needing for dialysis in AKI group patients and foetal outcome, as we found in AKI group the percentage of heamodialysis</w:t>
      </w:r>
      <w:r w:rsidR="00DE6F54">
        <w:rPr>
          <w:sz w:val="20"/>
          <w:szCs w:val="20"/>
        </w:rPr>
        <w:t xml:space="preserve"> </w:t>
      </w:r>
      <w:r w:rsidR="00497429" w:rsidRPr="00884FF1">
        <w:rPr>
          <w:sz w:val="20"/>
          <w:szCs w:val="20"/>
        </w:rPr>
        <w:t>needing</w:t>
      </w:r>
      <w:r w:rsidR="00DE6F54">
        <w:rPr>
          <w:sz w:val="20"/>
          <w:szCs w:val="20"/>
        </w:rPr>
        <w:t xml:space="preserve"> </w:t>
      </w:r>
      <w:r w:rsidRPr="00884FF1">
        <w:rPr>
          <w:sz w:val="20"/>
          <w:szCs w:val="20"/>
        </w:rPr>
        <w:t xml:space="preserve">patients is (28.6%) and (71.4%) of AKI patients completely recovered conservatively after follow up for 6 weeks after delivery and did not need heamodialysis. </w:t>
      </w:r>
      <w:r w:rsidR="0065153F" w:rsidRPr="00884FF1">
        <w:rPr>
          <w:sz w:val="20"/>
          <w:szCs w:val="20"/>
        </w:rPr>
        <w:t xml:space="preserve">We </w:t>
      </w:r>
      <w:r w:rsidRPr="00884FF1">
        <w:rPr>
          <w:sz w:val="20"/>
          <w:szCs w:val="20"/>
        </w:rPr>
        <w:t xml:space="preserve">found that </w:t>
      </w:r>
      <w:r w:rsidRPr="00884FF1">
        <w:rPr>
          <w:sz w:val="20"/>
          <w:szCs w:val="20"/>
          <w:lang w:bidi="ar-EG"/>
        </w:rPr>
        <w:t xml:space="preserve">14 patients who went heamodialysis were followed up after 6 weeks and up to 3 </w:t>
      </w:r>
      <w:r w:rsidR="00522806" w:rsidRPr="00884FF1">
        <w:rPr>
          <w:sz w:val="20"/>
          <w:szCs w:val="20"/>
          <w:lang w:bidi="ar-EG"/>
        </w:rPr>
        <w:t>months</w:t>
      </w:r>
      <w:r w:rsidRPr="00884FF1">
        <w:rPr>
          <w:sz w:val="20"/>
          <w:szCs w:val="20"/>
          <w:lang w:bidi="ar-EG"/>
        </w:rPr>
        <w:t xml:space="preserve"> of deliver</w:t>
      </w:r>
      <w:r w:rsidR="0065153F" w:rsidRPr="00884FF1">
        <w:rPr>
          <w:sz w:val="20"/>
          <w:szCs w:val="20"/>
          <w:lang w:bidi="ar-EG"/>
        </w:rPr>
        <w:t xml:space="preserve">y which revealed that 6 (42.9%) </w:t>
      </w:r>
      <w:r w:rsidRPr="00884FF1">
        <w:rPr>
          <w:sz w:val="20"/>
          <w:szCs w:val="20"/>
          <w:lang w:bidi="ar-EG"/>
        </w:rPr>
        <w:t>patients recovered completely while 5 (35.7%</w:t>
      </w:r>
      <w:r w:rsidR="00F707FB" w:rsidRPr="00884FF1">
        <w:rPr>
          <w:sz w:val="20"/>
          <w:szCs w:val="20"/>
          <w:lang w:bidi="ar-EG"/>
        </w:rPr>
        <w:t>) patients</w:t>
      </w:r>
      <w:r w:rsidRPr="00884FF1">
        <w:rPr>
          <w:sz w:val="20"/>
          <w:szCs w:val="20"/>
          <w:lang w:bidi="ar-EG"/>
        </w:rPr>
        <w:t xml:space="preserve"> completely recovered</w:t>
      </w:r>
      <w:r w:rsidR="00DE6F54">
        <w:rPr>
          <w:sz w:val="20"/>
          <w:szCs w:val="20"/>
          <w:lang w:bidi="ar-EG"/>
        </w:rPr>
        <w:t>,</w:t>
      </w:r>
      <w:r w:rsidRPr="00884FF1">
        <w:rPr>
          <w:sz w:val="20"/>
          <w:szCs w:val="20"/>
          <w:lang w:bidi="ar-EG"/>
        </w:rPr>
        <w:t xml:space="preserve"> 2 (14.3%) patients became Chronic Kidney Diseased patients and 1 (7.1%) patient became End Stage Renal Diseased patient after 3 </w:t>
      </w:r>
      <w:r w:rsidR="006738AA" w:rsidRPr="00884FF1">
        <w:rPr>
          <w:sz w:val="20"/>
          <w:szCs w:val="20"/>
          <w:lang w:bidi="ar-EG"/>
        </w:rPr>
        <w:t>months</w:t>
      </w:r>
      <w:r w:rsidRPr="00884FF1">
        <w:rPr>
          <w:sz w:val="20"/>
          <w:szCs w:val="20"/>
          <w:lang w:bidi="ar-EG"/>
        </w:rPr>
        <w:t xml:space="preserve"> of follow up.</w:t>
      </w:r>
      <w:r w:rsidR="00196755" w:rsidRPr="00884FF1">
        <w:rPr>
          <w:sz w:val="20"/>
          <w:szCs w:val="20"/>
          <w:lang w:bidi="ar-EG"/>
        </w:rPr>
        <w:t xml:space="preserve"> (Table 7).</w:t>
      </w:r>
      <w:r w:rsidR="002673AD" w:rsidRPr="00884FF1">
        <w:rPr>
          <w:sz w:val="20"/>
          <w:szCs w:val="20"/>
        </w:rPr>
        <w:t xml:space="preserve"> </w:t>
      </w:r>
      <w:r w:rsidRPr="00884FF1">
        <w:rPr>
          <w:sz w:val="20"/>
          <w:szCs w:val="20"/>
        </w:rPr>
        <w:t>This goes with other studies as dialysis needing in</w:t>
      </w:r>
      <w:r w:rsidR="002673AD" w:rsidRPr="00884FF1">
        <w:rPr>
          <w:sz w:val="20"/>
          <w:szCs w:val="20"/>
        </w:rPr>
        <w:t xml:space="preserve"> </w:t>
      </w:r>
      <w:r w:rsidRPr="00884FF1">
        <w:rPr>
          <w:b/>
          <w:bCs/>
          <w:sz w:val="20"/>
          <w:szCs w:val="20"/>
        </w:rPr>
        <w:t>Erdemoglu</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b/>
          <w:bCs/>
          <w:sz w:val="20"/>
          <w:szCs w:val="20"/>
        </w:rPr>
        <w:t>(2010)</w:t>
      </w:r>
      <w:r w:rsidR="00E05A40" w:rsidRPr="00884FF1">
        <w:rPr>
          <w:b/>
          <w:bCs/>
          <w:sz w:val="20"/>
          <w:szCs w:val="20"/>
          <w:vertAlign w:val="superscript"/>
        </w:rPr>
        <w:t>(23)</w:t>
      </w:r>
      <w:r w:rsidRPr="00884FF1">
        <w:rPr>
          <w:sz w:val="20"/>
          <w:szCs w:val="20"/>
        </w:rPr>
        <w:t xml:space="preserve"> was (33.3%), </w:t>
      </w:r>
      <w:r w:rsidRPr="00884FF1">
        <w:rPr>
          <w:b/>
          <w:bCs/>
          <w:sz w:val="20"/>
          <w:szCs w:val="20"/>
        </w:rPr>
        <w:t>Khanal</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b/>
          <w:bCs/>
          <w:sz w:val="20"/>
          <w:szCs w:val="20"/>
        </w:rPr>
        <w:t>(2010)</w:t>
      </w:r>
      <w:r w:rsidR="00E05A40" w:rsidRPr="00884FF1">
        <w:rPr>
          <w:b/>
          <w:bCs/>
          <w:sz w:val="20"/>
          <w:szCs w:val="20"/>
        </w:rPr>
        <w:t xml:space="preserve"> </w:t>
      </w:r>
      <w:r w:rsidR="00E05A40" w:rsidRPr="00884FF1">
        <w:rPr>
          <w:b/>
          <w:bCs/>
          <w:sz w:val="20"/>
          <w:szCs w:val="20"/>
          <w:vertAlign w:val="superscript"/>
        </w:rPr>
        <w:t>(28)</w:t>
      </w:r>
      <w:r w:rsidRPr="00884FF1">
        <w:rPr>
          <w:b/>
          <w:bCs/>
          <w:sz w:val="20"/>
          <w:szCs w:val="20"/>
        </w:rPr>
        <w:t xml:space="preserve"> </w:t>
      </w:r>
      <w:r w:rsidRPr="00884FF1">
        <w:rPr>
          <w:sz w:val="20"/>
          <w:szCs w:val="20"/>
        </w:rPr>
        <w:t>was (25%)</w:t>
      </w:r>
      <w:r w:rsidRPr="00884FF1">
        <w:rPr>
          <w:b/>
          <w:bCs/>
          <w:sz w:val="20"/>
          <w:szCs w:val="20"/>
        </w:rPr>
        <w:t>, Najar</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b/>
          <w:bCs/>
          <w:sz w:val="20"/>
          <w:szCs w:val="20"/>
        </w:rPr>
        <w:t>(2008)</w:t>
      </w:r>
      <w:r w:rsidR="00E05A40" w:rsidRPr="00884FF1">
        <w:rPr>
          <w:b/>
          <w:bCs/>
          <w:sz w:val="20"/>
          <w:szCs w:val="20"/>
          <w:vertAlign w:val="superscript"/>
        </w:rPr>
        <w:t>(24)</w:t>
      </w:r>
      <w:r w:rsidRPr="00884FF1">
        <w:rPr>
          <w:sz w:val="20"/>
          <w:szCs w:val="20"/>
        </w:rPr>
        <w:t xml:space="preserve"> was (60%)</w:t>
      </w:r>
      <w:r w:rsidR="00DE6F54">
        <w:rPr>
          <w:sz w:val="20"/>
          <w:szCs w:val="20"/>
        </w:rPr>
        <w:t>,</w:t>
      </w:r>
      <w:r w:rsidRPr="00884FF1">
        <w:rPr>
          <w:sz w:val="20"/>
          <w:szCs w:val="20"/>
        </w:rPr>
        <w:t>and in</w:t>
      </w:r>
      <w:r w:rsidRPr="00884FF1">
        <w:rPr>
          <w:b/>
          <w:bCs/>
          <w:sz w:val="20"/>
          <w:szCs w:val="20"/>
        </w:rPr>
        <w:t xml:space="preserve"> Kilari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Pr="00884FF1">
        <w:rPr>
          <w:b/>
          <w:bCs/>
          <w:sz w:val="20"/>
          <w:szCs w:val="20"/>
        </w:rPr>
        <w:t>(2006)</w:t>
      </w:r>
      <w:r w:rsidR="00B3634D" w:rsidRPr="00884FF1">
        <w:rPr>
          <w:rFonts w:eastAsia="MinionPro-Regular-Identity-H"/>
          <w:b/>
          <w:bCs/>
          <w:sz w:val="20"/>
          <w:szCs w:val="20"/>
          <w:vertAlign w:val="superscript"/>
        </w:rPr>
        <w:t xml:space="preserve"> (21)</w:t>
      </w:r>
      <w:r w:rsidR="00DE6F54">
        <w:rPr>
          <w:rFonts w:eastAsia="MinionPro-Regular-Identity-H"/>
          <w:sz w:val="20"/>
          <w:szCs w:val="20"/>
        </w:rPr>
        <w:t xml:space="preserve"> </w:t>
      </w:r>
      <w:r w:rsidRPr="00884FF1">
        <w:rPr>
          <w:sz w:val="20"/>
          <w:szCs w:val="20"/>
        </w:rPr>
        <w:t>was (53.66%) as well, while in</w:t>
      </w:r>
      <w:r w:rsidRPr="00884FF1">
        <w:rPr>
          <w:rFonts w:eastAsia="MinionPro-Regular-Identity-H"/>
          <w:b/>
          <w:bCs/>
          <w:sz w:val="20"/>
          <w:szCs w:val="20"/>
        </w:rPr>
        <w:t xml:space="preserve"> Khalil</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rFonts w:eastAsia="MinionPro-Regular-Identity-H"/>
          <w:b/>
          <w:bCs/>
          <w:sz w:val="20"/>
          <w:szCs w:val="20"/>
        </w:rPr>
        <w:t>(2009)</w:t>
      </w:r>
      <w:r w:rsidR="00181689" w:rsidRPr="00884FF1">
        <w:rPr>
          <w:rFonts w:eastAsia="MinionPro-Regular-Identity-H"/>
          <w:b/>
          <w:bCs/>
          <w:sz w:val="20"/>
          <w:szCs w:val="20"/>
          <w:vertAlign w:val="superscript"/>
        </w:rPr>
        <w:t xml:space="preserve"> (12)</w:t>
      </w:r>
      <w:r w:rsidR="00DE6F54">
        <w:rPr>
          <w:rFonts w:eastAsia="MinionPro-Regular-Identity-H"/>
          <w:b/>
          <w:bCs/>
          <w:sz w:val="20"/>
          <w:szCs w:val="20"/>
        </w:rPr>
        <w:t xml:space="preserve"> </w:t>
      </w:r>
      <w:r w:rsidRPr="00884FF1">
        <w:rPr>
          <w:sz w:val="20"/>
          <w:szCs w:val="20"/>
        </w:rPr>
        <w:t>(73.33%) of the patients required</w:t>
      </w:r>
      <w:r w:rsidR="002673AD" w:rsidRPr="00884FF1">
        <w:rPr>
          <w:sz w:val="20"/>
          <w:szCs w:val="20"/>
        </w:rPr>
        <w:t xml:space="preserve"> </w:t>
      </w:r>
      <w:r w:rsidRPr="00884FF1">
        <w:rPr>
          <w:sz w:val="20"/>
          <w:szCs w:val="20"/>
        </w:rPr>
        <w:t>haemodialysis while the rest were treated conservatively.</w:t>
      </w:r>
    </w:p>
    <w:p w:rsidR="00987E25" w:rsidRPr="00884FF1" w:rsidRDefault="00987E25" w:rsidP="00884FF1">
      <w:pPr>
        <w:autoSpaceDE w:val="0"/>
        <w:autoSpaceDN w:val="0"/>
        <w:bidi w:val="0"/>
        <w:adjustRightInd w:val="0"/>
        <w:snapToGrid w:val="0"/>
        <w:ind w:firstLine="425"/>
        <w:jc w:val="both"/>
        <w:rPr>
          <w:sz w:val="20"/>
          <w:szCs w:val="20"/>
        </w:rPr>
      </w:pPr>
      <w:r w:rsidRPr="00884FF1">
        <w:rPr>
          <w:sz w:val="20"/>
          <w:szCs w:val="20"/>
        </w:rPr>
        <w:t xml:space="preserve">Obstetrical ARF causes significant maternal </w:t>
      </w:r>
      <w:r w:rsidRPr="00884FF1">
        <w:rPr>
          <w:b/>
          <w:bCs/>
          <w:sz w:val="20"/>
          <w:szCs w:val="20"/>
          <w:vertAlign w:val="superscript"/>
        </w:rPr>
        <w:t>morbidity</w:t>
      </w:r>
      <w:r w:rsidRPr="00884FF1">
        <w:rPr>
          <w:sz w:val="20"/>
          <w:szCs w:val="20"/>
        </w:rPr>
        <w:t>. Although some of the patients regain their renal function back to normal, others are left with persistent renal dysfunction.</w:t>
      </w:r>
      <w:r w:rsidRPr="00884FF1">
        <w:rPr>
          <w:rFonts w:eastAsia="MinionPro-Regular-Identity-H"/>
          <w:b/>
          <w:bCs/>
          <w:sz w:val="20"/>
          <w:szCs w:val="20"/>
        </w:rPr>
        <w:t xml:space="preserve"> Khalil</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rFonts w:eastAsia="MinionPro-Regular-Identity-H"/>
          <w:b/>
          <w:bCs/>
          <w:sz w:val="20"/>
          <w:szCs w:val="20"/>
        </w:rPr>
        <w:t>(2009)</w:t>
      </w:r>
      <w:r w:rsidR="00181689" w:rsidRPr="00884FF1">
        <w:rPr>
          <w:rFonts w:eastAsia="MinionPro-Regular-Identity-H"/>
          <w:b/>
          <w:bCs/>
          <w:sz w:val="20"/>
          <w:szCs w:val="20"/>
          <w:vertAlign w:val="superscript"/>
        </w:rPr>
        <w:t xml:space="preserve"> (12</w:t>
      </w:r>
      <w:r w:rsidR="00F707FB" w:rsidRPr="00884FF1">
        <w:rPr>
          <w:rFonts w:eastAsia="MinionPro-Regular-Identity-H"/>
          <w:b/>
          <w:bCs/>
          <w:sz w:val="20"/>
          <w:szCs w:val="20"/>
          <w:vertAlign w:val="superscript"/>
        </w:rPr>
        <w:t>)</w:t>
      </w:r>
      <w:r w:rsidR="00F707FB" w:rsidRPr="00884FF1">
        <w:rPr>
          <w:rFonts w:eastAsia="MinionPro-Regular-Identity-H"/>
          <w:b/>
          <w:bCs/>
          <w:sz w:val="20"/>
          <w:szCs w:val="20"/>
        </w:rPr>
        <w:t xml:space="preserve"> </w:t>
      </w:r>
      <w:r w:rsidR="00F707FB" w:rsidRPr="00884FF1">
        <w:rPr>
          <w:sz w:val="20"/>
          <w:szCs w:val="20"/>
        </w:rPr>
        <w:lastRenderedPageBreak/>
        <w:t>found</w:t>
      </w:r>
      <w:r w:rsidRPr="00884FF1">
        <w:rPr>
          <w:sz w:val="20"/>
          <w:szCs w:val="20"/>
        </w:rPr>
        <w:t xml:space="preserve"> recovery of</w:t>
      </w:r>
      <w:r w:rsidR="002673AD" w:rsidRPr="00884FF1">
        <w:rPr>
          <w:sz w:val="20"/>
          <w:szCs w:val="20"/>
        </w:rPr>
        <w:t xml:space="preserve"> </w:t>
      </w:r>
      <w:r w:rsidRPr="00884FF1">
        <w:rPr>
          <w:sz w:val="20"/>
          <w:szCs w:val="20"/>
        </w:rPr>
        <w:t>renal function in (76.66%), with full recovery in (46.66% )cases. The majority of the remaining patients (30%) had partial recovery, not requiring renal replacement therapy. Only ( 8.33%) of the patient had dialysis dependent chronic kidney disease</w:t>
      </w:r>
      <w:r w:rsidR="002673AD" w:rsidRPr="00884FF1">
        <w:rPr>
          <w:sz w:val="20"/>
          <w:szCs w:val="20"/>
        </w:rPr>
        <w:t>.</w:t>
      </w:r>
      <w:r w:rsidR="0065153F" w:rsidRPr="00884FF1">
        <w:rPr>
          <w:sz w:val="20"/>
          <w:szCs w:val="20"/>
        </w:rPr>
        <w:t xml:space="preserve"> </w:t>
      </w:r>
      <w:r w:rsidRPr="00884FF1">
        <w:rPr>
          <w:sz w:val="20"/>
          <w:szCs w:val="20"/>
        </w:rPr>
        <w:t xml:space="preserve">Abroad </w:t>
      </w:r>
      <w:r w:rsidRPr="00884FF1">
        <w:rPr>
          <w:b/>
          <w:bCs/>
          <w:sz w:val="20"/>
          <w:szCs w:val="20"/>
        </w:rPr>
        <w:t xml:space="preserve">Hachim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Pr="00884FF1">
        <w:rPr>
          <w:b/>
          <w:bCs/>
          <w:sz w:val="20"/>
          <w:szCs w:val="20"/>
        </w:rPr>
        <w:t>(2001)</w:t>
      </w:r>
      <w:r w:rsidR="00E05A40" w:rsidRPr="00884FF1">
        <w:rPr>
          <w:b/>
          <w:bCs/>
          <w:sz w:val="20"/>
          <w:szCs w:val="20"/>
          <w:vertAlign w:val="superscript"/>
        </w:rPr>
        <w:t>(22)</w:t>
      </w:r>
      <w:r w:rsidRPr="00884FF1">
        <w:rPr>
          <w:b/>
          <w:bCs/>
          <w:sz w:val="20"/>
          <w:szCs w:val="20"/>
        </w:rPr>
        <w:t xml:space="preserve">, </w:t>
      </w:r>
      <w:r w:rsidR="000719C6" w:rsidRPr="00884FF1">
        <w:rPr>
          <w:b/>
          <w:bCs/>
          <w:sz w:val="20"/>
          <w:szCs w:val="20"/>
        </w:rPr>
        <w:t xml:space="preserve">Akhter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000719C6" w:rsidRPr="00884FF1">
        <w:rPr>
          <w:b/>
          <w:bCs/>
          <w:sz w:val="20"/>
          <w:szCs w:val="20"/>
        </w:rPr>
        <w:t>(2004)</w:t>
      </w:r>
      <w:r w:rsidR="000719C6" w:rsidRPr="00884FF1">
        <w:rPr>
          <w:sz w:val="20"/>
          <w:szCs w:val="20"/>
        </w:rPr>
        <w:t xml:space="preserve"> </w:t>
      </w:r>
      <w:r w:rsidR="00433C69" w:rsidRPr="00884FF1">
        <w:rPr>
          <w:b/>
          <w:bCs/>
          <w:sz w:val="20"/>
          <w:szCs w:val="20"/>
          <w:vertAlign w:val="superscript"/>
        </w:rPr>
        <w:t>(28)</w:t>
      </w:r>
      <w:r w:rsidR="00433C69" w:rsidRPr="00884FF1">
        <w:rPr>
          <w:b/>
          <w:bCs/>
          <w:sz w:val="20"/>
          <w:szCs w:val="20"/>
        </w:rPr>
        <w:t xml:space="preserve"> </w:t>
      </w:r>
      <w:r w:rsidRPr="00884FF1">
        <w:rPr>
          <w:sz w:val="20"/>
          <w:szCs w:val="20"/>
        </w:rPr>
        <w:t>and</w:t>
      </w:r>
      <w:r w:rsidRPr="00884FF1">
        <w:rPr>
          <w:b/>
          <w:bCs/>
          <w:sz w:val="20"/>
          <w:szCs w:val="20"/>
        </w:rPr>
        <w:t xml:space="preserve"> Alexopoulos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Pr="00884FF1">
        <w:rPr>
          <w:b/>
          <w:bCs/>
          <w:sz w:val="20"/>
          <w:szCs w:val="20"/>
        </w:rPr>
        <w:t>(1993)</w:t>
      </w:r>
      <w:r w:rsidR="00E05A40" w:rsidRPr="00884FF1">
        <w:rPr>
          <w:b/>
          <w:bCs/>
          <w:sz w:val="20"/>
          <w:szCs w:val="20"/>
          <w:vertAlign w:val="superscript"/>
        </w:rPr>
        <w:t>(29)</w:t>
      </w:r>
      <w:r w:rsidRPr="00884FF1">
        <w:rPr>
          <w:sz w:val="20"/>
          <w:szCs w:val="20"/>
        </w:rPr>
        <w:t xml:space="preserve"> reported better results than ours. They reported recovery of renal functions in (87.3%), </w:t>
      </w:r>
      <w:r w:rsidR="00F707FB" w:rsidRPr="00884FF1">
        <w:rPr>
          <w:sz w:val="20"/>
          <w:szCs w:val="20"/>
        </w:rPr>
        <w:t>(82</w:t>
      </w:r>
      <w:r w:rsidRPr="00884FF1">
        <w:rPr>
          <w:sz w:val="20"/>
          <w:szCs w:val="20"/>
        </w:rPr>
        <w:t xml:space="preserve">%) and (84.6%) of their cases. On the other hand the percentage of patients who needed dialysis much less than ours </w:t>
      </w:r>
      <w:r w:rsidRPr="00884FF1">
        <w:rPr>
          <w:b/>
          <w:bCs/>
          <w:sz w:val="20"/>
          <w:szCs w:val="20"/>
        </w:rPr>
        <w:t>in Hassan</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b/>
          <w:bCs/>
          <w:sz w:val="20"/>
          <w:szCs w:val="20"/>
        </w:rPr>
        <w:t>(2009)</w:t>
      </w:r>
      <w:r w:rsidR="00433C69" w:rsidRPr="00884FF1">
        <w:rPr>
          <w:b/>
          <w:bCs/>
          <w:sz w:val="20"/>
          <w:szCs w:val="20"/>
          <w:vertAlign w:val="superscript"/>
        </w:rPr>
        <w:t>(30</w:t>
      </w:r>
      <w:r w:rsidR="00E05A40" w:rsidRPr="00884FF1">
        <w:rPr>
          <w:b/>
          <w:bCs/>
          <w:sz w:val="20"/>
          <w:szCs w:val="20"/>
          <w:vertAlign w:val="superscript"/>
        </w:rPr>
        <w:t>)</w:t>
      </w:r>
      <w:r w:rsidRPr="00884FF1">
        <w:rPr>
          <w:b/>
          <w:bCs/>
          <w:sz w:val="20"/>
          <w:szCs w:val="20"/>
        </w:rPr>
        <w:t xml:space="preserve"> </w:t>
      </w:r>
      <w:r w:rsidRPr="00884FF1">
        <w:rPr>
          <w:sz w:val="20"/>
          <w:szCs w:val="20"/>
        </w:rPr>
        <w:t>was</w:t>
      </w:r>
      <w:r w:rsidRPr="00884FF1">
        <w:rPr>
          <w:b/>
          <w:bCs/>
          <w:sz w:val="20"/>
          <w:szCs w:val="20"/>
        </w:rPr>
        <w:t xml:space="preserve"> </w:t>
      </w:r>
      <w:r w:rsidRPr="00884FF1">
        <w:rPr>
          <w:sz w:val="20"/>
          <w:szCs w:val="20"/>
        </w:rPr>
        <w:t>(6%)</w:t>
      </w:r>
      <w:r w:rsidR="00DE6F54">
        <w:rPr>
          <w:b/>
          <w:bCs/>
          <w:sz w:val="20"/>
          <w:szCs w:val="20"/>
        </w:rPr>
        <w:t>,</w:t>
      </w:r>
      <w:r w:rsidRPr="00884FF1">
        <w:rPr>
          <w:b/>
          <w:bCs/>
          <w:sz w:val="20"/>
          <w:szCs w:val="20"/>
        </w:rPr>
        <w:t>Khalil</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b/>
          <w:bCs/>
          <w:sz w:val="20"/>
          <w:szCs w:val="20"/>
        </w:rPr>
        <w:t>(2009)</w:t>
      </w:r>
      <w:r w:rsidR="00181689" w:rsidRPr="00884FF1">
        <w:rPr>
          <w:rFonts w:eastAsia="MinionPro-Regular-Identity-H"/>
          <w:b/>
          <w:bCs/>
          <w:sz w:val="20"/>
          <w:szCs w:val="20"/>
          <w:vertAlign w:val="superscript"/>
        </w:rPr>
        <w:t xml:space="preserve"> (12)</w:t>
      </w:r>
      <w:r w:rsidR="00DE6F54">
        <w:rPr>
          <w:rFonts w:eastAsia="MinionPro-Regular-Identity-H"/>
          <w:b/>
          <w:bCs/>
          <w:sz w:val="20"/>
          <w:szCs w:val="20"/>
        </w:rPr>
        <w:t xml:space="preserve"> </w:t>
      </w:r>
      <w:r w:rsidRPr="00884FF1">
        <w:rPr>
          <w:sz w:val="20"/>
          <w:szCs w:val="20"/>
        </w:rPr>
        <w:t>was</w:t>
      </w:r>
      <w:r w:rsidRPr="00884FF1">
        <w:rPr>
          <w:b/>
          <w:bCs/>
          <w:sz w:val="20"/>
          <w:szCs w:val="20"/>
        </w:rPr>
        <w:t xml:space="preserve"> </w:t>
      </w:r>
      <w:r w:rsidRPr="00884FF1">
        <w:rPr>
          <w:sz w:val="20"/>
          <w:szCs w:val="20"/>
        </w:rPr>
        <w:t>(5%),</w:t>
      </w:r>
      <w:r w:rsidRPr="00884FF1">
        <w:rPr>
          <w:b/>
          <w:bCs/>
          <w:sz w:val="20"/>
          <w:szCs w:val="20"/>
        </w:rPr>
        <w:t xml:space="preserve"> Prakash, et al(2010)</w:t>
      </w:r>
      <w:r w:rsidR="00E05A40" w:rsidRPr="00884FF1">
        <w:rPr>
          <w:b/>
          <w:bCs/>
          <w:sz w:val="20"/>
          <w:szCs w:val="20"/>
          <w:vertAlign w:val="superscript"/>
        </w:rPr>
        <w:t>(19)</w:t>
      </w:r>
      <w:r w:rsidRPr="00884FF1">
        <w:rPr>
          <w:b/>
          <w:bCs/>
          <w:sz w:val="20"/>
          <w:szCs w:val="20"/>
        </w:rPr>
        <w:t xml:space="preserve"> </w:t>
      </w:r>
      <w:r w:rsidRPr="00884FF1">
        <w:rPr>
          <w:sz w:val="20"/>
          <w:szCs w:val="20"/>
        </w:rPr>
        <w:t>was (1%)</w:t>
      </w:r>
      <w:r w:rsidRPr="00884FF1">
        <w:rPr>
          <w:b/>
          <w:bCs/>
          <w:sz w:val="20"/>
          <w:szCs w:val="20"/>
        </w:rPr>
        <w:t xml:space="preserve"> </w:t>
      </w:r>
      <w:r w:rsidRPr="00884FF1">
        <w:rPr>
          <w:sz w:val="20"/>
          <w:szCs w:val="20"/>
        </w:rPr>
        <w:t xml:space="preserve">and in </w:t>
      </w:r>
      <w:r w:rsidRPr="00884FF1">
        <w:rPr>
          <w:b/>
          <w:bCs/>
          <w:sz w:val="20"/>
          <w:szCs w:val="20"/>
        </w:rPr>
        <w:t xml:space="preserve">Arora,et al </w:t>
      </w:r>
      <w:r w:rsidR="00E05A40" w:rsidRPr="00884FF1">
        <w:rPr>
          <w:b/>
          <w:bCs/>
          <w:sz w:val="20"/>
          <w:szCs w:val="20"/>
        </w:rPr>
        <w:t xml:space="preserve">(2010) </w:t>
      </w:r>
      <w:r w:rsidR="00E05A40" w:rsidRPr="00884FF1">
        <w:rPr>
          <w:b/>
          <w:bCs/>
          <w:sz w:val="20"/>
          <w:szCs w:val="20"/>
          <w:vertAlign w:val="superscript"/>
        </w:rPr>
        <w:t xml:space="preserve">(13) </w:t>
      </w:r>
      <w:r w:rsidRPr="00884FF1">
        <w:rPr>
          <w:b/>
          <w:bCs/>
          <w:sz w:val="20"/>
          <w:szCs w:val="20"/>
        </w:rPr>
        <w:t xml:space="preserve">was </w:t>
      </w:r>
      <w:r w:rsidRPr="00884FF1">
        <w:rPr>
          <w:sz w:val="20"/>
          <w:szCs w:val="20"/>
        </w:rPr>
        <w:t>(3%) as well.</w:t>
      </w:r>
      <w:r w:rsidR="00497429" w:rsidRPr="00884FF1">
        <w:rPr>
          <w:sz w:val="20"/>
          <w:szCs w:val="20"/>
        </w:rPr>
        <w:t xml:space="preserve"> </w:t>
      </w:r>
      <w:r w:rsidRPr="00884FF1">
        <w:rPr>
          <w:sz w:val="20"/>
          <w:szCs w:val="20"/>
        </w:rPr>
        <w:t>The better results reported in various studies from developed world might be due to good literacy rate, better health care facilities and good antenatal and obstetrical care.</w:t>
      </w:r>
    </w:p>
    <w:p w:rsidR="00987E25" w:rsidRPr="00884FF1" w:rsidRDefault="00987E25" w:rsidP="00884FF1">
      <w:pPr>
        <w:autoSpaceDE w:val="0"/>
        <w:autoSpaceDN w:val="0"/>
        <w:bidi w:val="0"/>
        <w:adjustRightInd w:val="0"/>
        <w:snapToGrid w:val="0"/>
        <w:ind w:firstLine="425"/>
        <w:jc w:val="both"/>
        <w:rPr>
          <w:sz w:val="20"/>
          <w:szCs w:val="20"/>
        </w:rPr>
      </w:pPr>
      <w:r w:rsidRPr="00884FF1">
        <w:rPr>
          <w:sz w:val="20"/>
          <w:szCs w:val="20"/>
        </w:rPr>
        <w:t>Our study revealed that</w:t>
      </w:r>
      <w:r w:rsidRPr="00884FF1">
        <w:rPr>
          <w:b/>
          <w:bCs/>
          <w:sz w:val="20"/>
          <w:szCs w:val="20"/>
        </w:rPr>
        <w:t xml:space="preserve"> t</w:t>
      </w:r>
      <w:r w:rsidRPr="00884FF1">
        <w:rPr>
          <w:sz w:val="20"/>
          <w:szCs w:val="20"/>
        </w:rPr>
        <w:t>he percentage of intrauterine foetal death is (20.4%).</w:t>
      </w:r>
      <w:r w:rsidR="00DE6F54">
        <w:rPr>
          <w:sz w:val="20"/>
          <w:szCs w:val="20"/>
        </w:rPr>
        <w:t xml:space="preserve"> </w:t>
      </w:r>
      <w:r w:rsidRPr="00884FF1">
        <w:rPr>
          <w:sz w:val="20"/>
          <w:szCs w:val="20"/>
        </w:rPr>
        <w:t xml:space="preserve">Other studies when compared with our study as regards the percentage of intrauterine foetal death reported different results such as in </w:t>
      </w:r>
      <w:r w:rsidRPr="00884FF1">
        <w:rPr>
          <w:b/>
          <w:bCs/>
          <w:sz w:val="20"/>
          <w:szCs w:val="20"/>
        </w:rPr>
        <w:t>Suraj</w:t>
      </w:r>
      <w:r w:rsidR="00DE6F54">
        <w:rPr>
          <w:b/>
          <w:bCs/>
          <w:sz w:val="20"/>
          <w:szCs w:val="20"/>
        </w:rPr>
        <w:t xml:space="preserve">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Pr="00884FF1">
        <w:rPr>
          <w:b/>
          <w:bCs/>
          <w:sz w:val="20"/>
          <w:szCs w:val="20"/>
        </w:rPr>
        <w:t>(2014)</w:t>
      </w:r>
      <w:r w:rsidR="00A06ADC" w:rsidRPr="00884FF1">
        <w:rPr>
          <w:rFonts w:eastAsia="MinionPro-Regular-Identity-H"/>
          <w:b/>
          <w:bCs/>
          <w:sz w:val="20"/>
          <w:szCs w:val="20"/>
          <w:vertAlign w:val="superscript"/>
        </w:rPr>
        <w:t xml:space="preserve"> (20)</w:t>
      </w:r>
      <w:r w:rsidR="00DE6F54">
        <w:rPr>
          <w:rFonts w:eastAsia="MinionPro-Regular-Identity-H"/>
          <w:sz w:val="20"/>
          <w:szCs w:val="20"/>
        </w:rPr>
        <w:t xml:space="preserve"> </w:t>
      </w:r>
      <w:r w:rsidRPr="00884FF1">
        <w:rPr>
          <w:sz w:val="20"/>
          <w:szCs w:val="20"/>
        </w:rPr>
        <w:t>fetal loss was (49.12%</w:t>
      </w:r>
      <w:r w:rsidR="00446847" w:rsidRPr="00884FF1">
        <w:rPr>
          <w:sz w:val="20"/>
          <w:szCs w:val="20"/>
        </w:rPr>
        <w:t>) and</w:t>
      </w:r>
      <w:r w:rsidRPr="00884FF1">
        <w:rPr>
          <w:sz w:val="20"/>
          <w:szCs w:val="20"/>
        </w:rPr>
        <w:t xml:space="preserve"> in </w:t>
      </w:r>
      <w:r w:rsidRPr="00884FF1">
        <w:rPr>
          <w:b/>
          <w:bCs/>
          <w:sz w:val="20"/>
          <w:szCs w:val="20"/>
        </w:rPr>
        <w:t>Kilari</w:t>
      </w:r>
      <w:r w:rsidR="00DE6F54">
        <w:rPr>
          <w:b/>
          <w:bCs/>
          <w:sz w:val="20"/>
          <w:szCs w:val="20"/>
        </w:rPr>
        <w:t xml:space="preserve">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Pr="00884FF1">
        <w:rPr>
          <w:b/>
          <w:bCs/>
          <w:sz w:val="20"/>
          <w:szCs w:val="20"/>
        </w:rPr>
        <w:t>(2006)</w:t>
      </w:r>
      <w:r w:rsidR="00B3634D" w:rsidRPr="00884FF1">
        <w:rPr>
          <w:sz w:val="20"/>
          <w:szCs w:val="20"/>
        </w:rPr>
        <w:t xml:space="preserve"> </w:t>
      </w:r>
      <w:r w:rsidR="00B3634D" w:rsidRPr="00884FF1">
        <w:rPr>
          <w:rFonts w:eastAsia="MinionPro-Regular-Identity-H"/>
          <w:b/>
          <w:bCs/>
          <w:sz w:val="20"/>
          <w:szCs w:val="20"/>
          <w:vertAlign w:val="superscript"/>
        </w:rPr>
        <w:t>(21)</w:t>
      </w:r>
      <w:r w:rsidR="00B3634D" w:rsidRPr="00884FF1">
        <w:rPr>
          <w:rFonts w:eastAsia="MinionPro-Regular-Identity-H"/>
          <w:sz w:val="20"/>
          <w:szCs w:val="20"/>
        </w:rPr>
        <w:t xml:space="preserve"> </w:t>
      </w:r>
      <w:r w:rsidRPr="00884FF1">
        <w:rPr>
          <w:sz w:val="20"/>
          <w:szCs w:val="20"/>
        </w:rPr>
        <w:t>intrauterine deaths were noted in (17.07%), The foetal mortality in</w:t>
      </w:r>
      <w:r w:rsidR="00DE6F54">
        <w:rPr>
          <w:sz w:val="20"/>
          <w:szCs w:val="20"/>
        </w:rPr>
        <w:t xml:space="preserve"> </w:t>
      </w:r>
      <w:r w:rsidRPr="00884FF1">
        <w:rPr>
          <w:rFonts w:eastAsia="MinionPro-Regular-Identity-H"/>
          <w:b/>
          <w:bCs/>
          <w:sz w:val="20"/>
          <w:szCs w:val="20"/>
        </w:rPr>
        <w:t>Khalil</w:t>
      </w:r>
      <w:r w:rsidR="00497429" w:rsidRPr="00884FF1">
        <w:rPr>
          <w:rFonts w:eastAsia="MinionPro-Regular-Identity-H"/>
          <w:b/>
          <w:bCs/>
          <w:i/>
          <w:iCs/>
          <w:sz w:val="20"/>
          <w:szCs w:val="20"/>
        </w:rPr>
        <w:t xml:space="preserve"> et al.</w:t>
      </w:r>
      <w:r w:rsidR="00497429" w:rsidRPr="00884FF1">
        <w:rPr>
          <w:rFonts w:eastAsia="MinionPro-Regular-Identity-H"/>
          <w:b/>
          <w:bCs/>
          <w:sz w:val="20"/>
          <w:szCs w:val="20"/>
        </w:rPr>
        <w:t xml:space="preserve"> </w:t>
      </w:r>
      <w:r w:rsidRPr="00884FF1">
        <w:rPr>
          <w:rFonts w:eastAsia="MinionPro-Regular-Identity-H"/>
          <w:b/>
          <w:bCs/>
          <w:sz w:val="20"/>
          <w:szCs w:val="20"/>
        </w:rPr>
        <w:t>(2009)</w:t>
      </w:r>
      <w:r w:rsidR="00181689" w:rsidRPr="00884FF1">
        <w:rPr>
          <w:rFonts w:eastAsia="MinionPro-Regular-Identity-H"/>
          <w:b/>
          <w:bCs/>
          <w:sz w:val="20"/>
          <w:szCs w:val="20"/>
          <w:vertAlign w:val="superscript"/>
        </w:rPr>
        <w:t xml:space="preserve"> (12)</w:t>
      </w:r>
      <w:r w:rsidR="00DE6F54">
        <w:rPr>
          <w:rFonts w:eastAsia="MinionPro-Regular-Identity-H"/>
          <w:b/>
          <w:bCs/>
          <w:sz w:val="20"/>
          <w:szCs w:val="20"/>
        </w:rPr>
        <w:t xml:space="preserve"> </w:t>
      </w:r>
      <w:r w:rsidRPr="00884FF1">
        <w:rPr>
          <w:sz w:val="20"/>
          <w:szCs w:val="20"/>
        </w:rPr>
        <w:t xml:space="preserve">study is also high as compared to various studies abroad. It was found </w:t>
      </w:r>
      <w:r w:rsidR="000719C6" w:rsidRPr="00884FF1">
        <w:rPr>
          <w:sz w:val="20"/>
          <w:szCs w:val="20"/>
        </w:rPr>
        <w:t>fo</w:t>
      </w:r>
      <w:r w:rsidRPr="00884FF1">
        <w:rPr>
          <w:sz w:val="20"/>
          <w:szCs w:val="20"/>
        </w:rPr>
        <w:t>etal loss is (66.66%) of cases as compared to (44–55%) in other studies</w:t>
      </w:r>
      <w:r w:rsidR="00DE6F54">
        <w:rPr>
          <w:sz w:val="20"/>
          <w:szCs w:val="20"/>
        </w:rPr>
        <w:t xml:space="preserve">. </w:t>
      </w:r>
      <w:r w:rsidRPr="00884FF1">
        <w:rPr>
          <w:sz w:val="20"/>
          <w:szCs w:val="20"/>
        </w:rPr>
        <w:t>These findings might be due to better health care facilities and good antenatal and perinatal care in those countries.</w:t>
      </w:r>
    </w:p>
    <w:p w:rsidR="00987E25" w:rsidRPr="00884FF1" w:rsidRDefault="00987E25" w:rsidP="00884FF1">
      <w:pPr>
        <w:autoSpaceDE w:val="0"/>
        <w:autoSpaceDN w:val="0"/>
        <w:bidi w:val="0"/>
        <w:adjustRightInd w:val="0"/>
        <w:snapToGrid w:val="0"/>
        <w:ind w:firstLine="425"/>
        <w:jc w:val="both"/>
        <w:rPr>
          <w:sz w:val="20"/>
          <w:szCs w:val="20"/>
        </w:rPr>
      </w:pPr>
      <w:r w:rsidRPr="00884FF1">
        <w:rPr>
          <w:sz w:val="20"/>
          <w:szCs w:val="20"/>
        </w:rPr>
        <w:t>Intra-uterine death and still bir</w:t>
      </w:r>
      <w:r w:rsidR="00F707FB" w:rsidRPr="00884FF1">
        <w:rPr>
          <w:sz w:val="20"/>
          <w:szCs w:val="20"/>
        </w:rPr>
        <w:t xml:space="preserve">th has been reported as high as </w:t>
      </w:r>
      <w:r w:rsidRPr="00884FF1">
        <w:rPr>
          <w:sz w:val="20"/>
          <w:szCs w:val="20"/>
        </w:rPr>
        <w:t>30-70</w:t>
      </w:r>
      <w:r w:rsidRPr="00884FF1">
        <w:rPr>
          <w:b/>
          <w:bCs/>
          <w:sz w:val="20"/>
          <w:szCs w:val="20"/>
        </w:rPr>
        <w:t xml:space="preserve">% </w:t>
      </w:r>
      <w:r w:rsidR="000719C6" w:rsidRPr="00884FF1">
        <w:rPr>
          <w:b/>
          <w:bCs/>
          <w:sz w:val="20"/>
          <w:szCs w:val="20"/>
        </w:rPr>
        <w:t>(</w:t>
      </w:r>
      <w:r w:rsidRPr="00884FF1">
        <w:rPr>
          <w:b/>
          <w:bCs/>
          <w:sz w:val="20"/>
          <w:szCs w:val="20"/>
        </w:rPr>
        <w:t xml:space="preserve">Khanal </w:t>
      </w:r>
      <w:r w:rsidR="00497429" w:rsidRPr="00884FF1">
        <w:rPr>
          <w:rFonts w:eastAsia="MinionPro-Regular-Identity-H"/>
          <w:b/>
          <w:bCs/>
          <w:i/>
          <w:iCs/>
          <w:sz w:val="20"/>
          <w:szCs w:val="20"/>
        </w:rPr>
        <w:t>et al.</w:t>
      </w:r>
      <w:r w:rsidRPr="00884FF1">
        <w:rPr>
          <w:b/>
          <w:bCs/>
          <w:sz w:val="20"/>
          <w:szCs w:val="20"/>
        </w:rPr>
        <w:t>, 2010)</w:t>
      </w:r>
      <w:r w:rsidRPr="00884FF1">
        <w:rPr>
          <w:sz w:val="20"/>
          <w:szCs w:val="20"/>
        </w:rPr>
        <w:t>.</w:t>
      </w:r>
      <w:r w:rsidR="00E05A40" w:rsidRPr="00884FF1">
        <w:rPr>
          <w:b/>
          <w:bCs/>
          <w:sz w:val="20"/>
          <w:szCs w:val="20"/>
          <w:vertAlign w:val="superscript"/>
        </w:rPr>
        <w:t xml:space="preserve"> (28)</w:t>
      </w:r>
    </w:p>
    <w:p w:rsidR="00987E25" w:rsidRPr="00884FF1" w:rsidRDefault="00987E25" w:rsidP="00884FF1">
      <w:pPr>
        <w:autoSpaceDE w:val="0"/>
        <w:autoSpaceDN w:val="0"/>
        <w:bidi w:val="0"/>
        <w:adjustRightInd w:val="0"/>
        <w:snapToGrid w:val="0"/>
        <w:ind w:firstLine="425"/>
        <w:jc w:val="both"/>
        <w:rPr>
          <w:b/>
          <w:bCs/>
          <w:sz w:val="20"/>
          <w:szCs w:val="20"/>
        </w:rPr>
      </w:pPr>
      <w:r w:rsidRPr="00884FF1">
        <w:rPr>
          <w:sz w:val="20"/>
          <w:szCs w:val="20"/>
        </w:rPr>
        <w:t xml:space="preserve">High incidence of foetal loss was associated with increased incidence of dialysis dependency in mothers. This could be owing to the increased severity of illness. Perinatal mortality is significantly low in neonates born to pregnant mothers without AKI as compared to those who developed AKI during pregnancy </w:t>
      </w:r>
      <w:r w:rsidR="005369F3" w:rsidRPr="00884FF1">
        <w:rPr>
          <w:b/>
          <w:bCs/>
          <w:sz w:val="20"/>
          <w:szCs w:val="20"/>
        </w:rPr>
        <w:t xml:space="preserve">(Khanal </w:t>
      </w:r>
      <w:r w:rsidR="00497429" w:rsidRPr="00884FF1">
        <w:rPr>
          <w:rFonts w:eastAsia="MinionPro-Regular-Identity-H"/>
          <w:b/>
          <w:bCs/>
          <w:i/>
          <w:iCs/>
          <w:sz w:val="20"/>
          <w:szCs w:val="20"/>
        </w:rPr>
        <w:t>et al.</w:t>
      </w:r>
      <w:r w:rsidR="005369F3" w:rsidRPr="00884FF1">
        <w:rPr>
          <w:b/>
          <w:bCs/>
          <w:sz w:val="20"/>
          <w:szCs w:val="20"/>
        </w:rPr>
        <w:t>, 2010)</w:t>
      </w:r>
      <w:r w:rsidRPr="00884FF1">
        <w:rPr>
          <w:b/>
          <w:bCs/>
          <w:sz w:val="20"/>
          <w:szCs w:val="20"/>
        </w:rPr>
        <w:t>.</w:t>
      </w:r>
      <w:r w:rsidR="00E05A40" w:rsidRPr="00884FF1">
        <w:rPr>
          <w:b/>
          <w:bCs/>
          <w:sz w:val="20"/>
          <w:szCs w:val="20"/>
          <w:vertAlign w:val="superscript"/>
        </w:rPr>
        <w:t xml:space="preserve"> (28)</w:t>
      </w:r>
    </w:p>
    <w:p w:rsidR="00A30F40" w:rsidRPr="00884FF1" w:rsidRDefault="00987E25" w:rsidP="00884FF1">
      <w:pPr>
        <w:autoSpaceDE w:val="0"/>
        <w:autoSpaceDN w:val="0"/>
        <w:bidi w:val="0"/>
        <w:adjustRightInd w:val="0"/>
        <w:snapToGrid w:val="0"/>
        <w:ind w:firstLine="425"/>
        <w:jc w:val="both"/>
        <w:rPr>
          <w:sz w:val="20"/>
          <w:szCs w:val="20"/>
        </w:rPr>
      </w:pPr>
      <w:r w:rsidRPr="00884FF1">
        <w:rPr>
          <w:sz w:val="20"/>
          <w:szCs w:val="20"/>
        </w:rPr>
        <w:t>Our study demonstrates that there is no significant independent risk factors for AKI which means that the prediction of AKI is multi factorial in the total risk factors this means that the summation of more than one factor from such factors; diabetes, hypertension</w:t>
      </w:r>
      <w:r w:rsidR="00DE6F54">
        <w:rPr>
          <w:sz w:val="20"/>
          <w:szCs w:val="20"/>
        </w:rPr>
        <w:t>,</w:t>
      </w:r>
      <w:r w:rsidRPr="00884FF1">
        <w:rPr>
          <w:sz w:val="20"/>
          <w:szCs w:val="20"/>
        </w:rPr>
        <w:t xml:space="preserve"> hyperuricemia, serum creatinine 48 hrs post partum, urine albumin to creatinine</w:t>
      </w:r>
      <w:r w:rsidR="00DE6F54">
        <w:rPr>
          <w:sz w:val="20"/>
          <w:szCs w:val="20"/>
        </w:rPr>
        <w:t xml:space="preserve"> </w:t>
      </w:r>
      <w:r w:rsidRPr="00884FF1">
        <w:rPr>
          <w:sz w:val="20"/>
          <w:szCs w:val="20"/>
        </w:rPr>
        <w:t>ratio, decreased serum albumin and preeclampsia</w:t>
      </w:r>
      <w:r w:rsidR="00DE6F54">
        <w:rPr>
          <w:sz w:val="20"/>
          <w:szCs w:val="20"/>
        </w:rPr>
        <w:t xml:space="preserve"> </w:t>
      </w:r>
      <w:r w:rsidRPr="00884FF1">
        <w:rPr>
          <w:sz w:val="20"/>
          <w:szCs w:val="20"/>
        </w:rPr>
        <w:t>together</w:t>
      </w:r>
      <w:r w:rsidR="00DE6F54">
        <w:rPr>
          <w:sz w:val="20"/>
          <w:szCs w:val="20"/>
        </w:rPr>
        <w:t xml:space="preserve"> </w:t>
      </w:r>
      <w:r w:rsidRPr="00884FF1">
        <w:rPr>
          <w:sz w:val="20"/>
          <w:szCs w:val="20"/>
        </w:rPr>
        <w:t>increases the risk of AKI incidence in pregnant female. Also the presence of some of these risk factors in AKI group patients such as diabetes mellitus</w:t>
      </w:r>
      <w:r w:rsidR="00DE6F54">
        <w:rPr>
          <w:sz w:val="20"/>
          <w:szCs w:val="20"/>
        </w:rPr>
        <w:t>,</w:t>
      </w:r>
      <w:r w:rsidRPr="00884FF1">
        <w:rPr>
          <w:sz w:val="20"/>
          <w:szCs w:val="20"/>
        </w:rPr>
        <w:t xml:space="preserve"> hypertension, serum creatinine 48 hrs post partum and uric acid are significant independent risk factors for prediction of hemodialysis in female patients with AKI</w:t>
      </w:r>
      <w:r w:rsidR="00DE6F54">
        <w:rPr>
          <w:sz w:val="20"/>
          <w:szCs w:val="20"/>
        </w:rPr>
        <w:t xml:space="preserve"> </w:t>
      </w:r>
      <w:r w:rsidRPr="00884FF1">
        <w:rPr>
          <w:sz w:val="20"/>
          <w:szCs w:val="20"/>
        </w:rPr>
        <w:t xml:space="preserve">with odds ratio of (1.82, 2.34, 2.11, 1.73) respectively. There have been few studies of the risk </w:t>
      </w:r>
      <w:r w:rsidRPr="00884FF1">
        <w:rPr>
          <w:sz w:val="20"/>
          <w:szCs w:val="20"/>
        </w:rPr>
        <w:lastRenderedPageBreak/>
        <w:t>factors associated with obstetric AKI. Besides hyperuricemia and oliguria that are classical factors associated with AKI</w:t>
      </w:r>
      <w:r w:rsidRPr="00884FF1">
        <w:rPr>
          <w:b/>
          <w:bCs/>
          <w:sz w:val="20"/>
          <w:szCs w:val="20"/>
        </w:rPr>
        <w:t xml:space="preserve">, Yassamine Bentata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Pr="00884FF1">
        <w:rPr>
          <w:b/>
          <w:bCs/>
          <w:sz w:val="20"/>
          <w:szCs w:val="20"/>
        </w:rPr>
        <w:t>(2012)</w:t>
      </w:r>
      <w:r w:rsidR="00433C69" w:rsidRPr="00884FF1">
        <w:rPr>
          <w:b/>
          <w:bCs/>
          <w:sz w:val="20"/>
          <w:szCs w:val="20"/>
          <w:vertAlign w:val="superscript"/>
        </w:rPr>
        <w:t>(31)</w:t>
      </w:r>
      <w:r w:rsidRPr="00884FF1">
        <w:rPr>
          <w:sz w:val="20"/>
          <w:szCs w:val="20"/>
        </w:rPr>
        <w:t xml:space="preserve"> study have found other factors strongly associated with AKI: icterus, sepsis, abruption placentae, severe anemia and thrombocytopenia. These factors correspond to severe clinical and biological situations favoring the appearance of AKI. </w:t>
      </w:r>
      <w:r w:rsidRPr="00884FF1">
        <w:rPr>
          <w:b/>
          <w:bCs/>
          <w:sz w:val="20"/>
          <w:szCs w:val="20"/>
        </w:rPr>
        <w:t xml:space="preserve">Mjahed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00433C69" w:rsidRPr="00884FF1">
        <w:rPr>
          <w:b/>
          <w:bCs/>
          <w:sz w:val="20"/>
          <w:szCs w:val="20"/>
          <w:vertAlign w:val="superscript"/>
        </w:rPr>
        <w:t>(32)</w:t>
      </w:r>
      <w:r w:rsidRPr="00884FF1">
        <w:rPr>
          <w:sz w:val="20"/>
          <w:szCs w:val="20"/>
        </w:rPr>
        <w:t xml:space="preserve">, while analyzing AKI related to eclampsia in intensive care, identify a number of factors associated with AKI, such as icterus, abruption placentae, HELLP syndrome, obstetric hemorrhage, anemia and thrombopenia </w:t>
      </w:r>
      <w:r w:rsidR="00F8674E" w:rsidRPr="00884FF1">
        <w:rPr>
          <w:b/>
          <w:bCs/>
          <w:sz w:val="20"/>
          <w:szCs w:val="20"/>
        </w:rPr>
        <w:t xml:space="preserve">(Mjahed </w:t>
      </w:r>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Pr="00884FF1">
        <w:rPr>
          <w:b/>
          <w:bCs/>
          <w:sz w:val="20"/>
          <w:szCs w:val="20"/>
        </w:rPr>
        <w:t>2004)</w:t>
      </w:r>
      <w:r w:rsidR="00433C69" w:rsidRPr="00884FF1">
        <w:rPr>
          <w:b/>
          <w:bCs/>
          <w:sz w:val="20"/>
          <w:szCs w:val="20"/>
          <w:vertAlign w:val="superscript"/>
        </w:rPr>
        <w:t xml:space="preserve"> (32)</w:t>
      </w:r>
      <w:r w:rsidRPr="00884FF1">
        <w:rPr>
          <w:b/>
          <w:bCs/>
          <w:sz w:val="20"/>
          <w:szCs w:val="20"/>
        </w:rPr>
        <w:t>.</w:t>
      </w:r>
      <w:r w:rsidR="00303C5E" w:rsidRPr="00884FF1">
        <w:rPr>
          <w:sz w:val="20"/>
          <w:szCs w:val="20"/>
        </w:rPr>
        <w:t xml:space="preserve"> On the </w:t>
      </w:r>
      <w:r w:rsidRPr="00884FF1">
        <w:rPr>
          <w:sz w:val="20"/>
          <w:szCs w:val="20"/>
        </w:rPr>
        <w:t xml:space="preserve">contrary </w:t>
      </w:r>
      <w:hyperlink r:id="rId29" w:history="1">
        <w:r w:rsidRPr="00884FF1">
          <w:rPr>
            <w:b/>
            <w:bCs/>
            <w:sz w:val="20"/>
            <w:szCs w:val="20"/>
          </w:rPr>
          <w:t xml:space="preserve">Thangaratinam </w:t>
        </w:r>
      </w:hyperlink>
      <w:r w:rsidR="00497429" w:rsidRPr="00884FF1">
        <w:rPr>
          <w:rFonts w:eastAsia="MinionPro-Regular-Identity-H"/>
          <w:b/>
          <w:bCs/>
          <w:i/>
          <w:iCs/>
          <w:sz w:val="20"/>
          <w:szCs w:val="20"/>
        </w:rPr>
        <w:t>et al.</w:t>
      </w:r>
      <w:r w:rsidR="00497429" w:rsidRPr="00884FF1">
        <w:rPr>
          <w:rFonts w:eastAsia="MinionPro-Regular-Identity-H"/>
          <w:b/>
          <w:bCs/>
          <w:sz w:val="20"/>
          <w:szCs w:val="20"/>
        </w:rPr>
        <w:t xml:space="preserve"> </w:t>
      </w:r>
      <w:r w:rsidRPr="00884FF1">
        <w:rPr>
          <w:b/>
          <w:bCs/>
          <w:sz w:val="20"/>
          <w:szCs w:val="20"/>
        </w:rPr>
        <w:t>(2006)</w:t>
      </w:r>
      <w:r w:rsidR="00433C69" w:rsidRPr="00884FF1">
        <w:rPr>
          <w:b/>
          <w:bCs/>
          <w:sz w:val="20"/>
          <w:szCs w:val="20"/>
        </w:rPr>
        <w:t xml:space="preserve"> </w:t>
      </w:r>
      <w:r w:rsidR="00433C69" w:rsidRPr="00884FF1">
        <w:rPr>
          <w:b/>
          <w:bCs/>
          <w:sz w:val="20"/>
          <w:szCs w:val="20"/>
          <w:vertAlign w:val="superscript"/>
        </w:rPr>
        <w:t>(33)</w:t>
      </w:r>
      <w:r w:rsidRPr="00884FF1">
        <w:rPr>
          <w:b/>
          <w:bCs/>
          <w:sz w:val="20"/>
          <w:szCs w:val="20"/>
        </w:rPr>
        <w:t xml:space="preserve"> </w:t>
      </w:r>
      <w:r w:rsidR="00303C5E" w:rsidRPr="00884FF1">
        <w:rPr>
          <w:sz w:val="20"/>
          <w:szCs w:val="20"/>
        </w:rPr>
        <w:t xml:space="preserve">study </w:t>
      </w:r>
      <w:r w:rsidRPr="00884FF1">
        <w:rPr>
          <w:sz w:val="20"/>
          <w:szCs w:val="20"/>
        </w:rPr>
        <w:t xml:space="preserve">in which serum uric acid is a poor predictor of maternal and fetal complications </w:t>
      </w:r>
      <w:r w:rsidR="00F707FB" w:rsidRPr="00884FF1">
        <w:rPr>
          <w:sz w:val="20"/>
          <w:szCs w:val="20"/>
        </w:rPr>
        <w:t>in pregnant</w:t>
      </w:r>
      <w:r w:rsidRPr="00884FF1">
        <w:rPr>
          <w:sz w:val="20"/>
          <w:szCs w:val="20"/>
        </w:rPr>
        <w:t xml:space="preserve"> women with AKI.</w:t>
      </w:r>
      <w:r w:rsidR="00497429" w:rsidRPr="00884FF1">
        <w:rPr>
          <w:sz w:val="20"/>
          <w:szCs w:val="20"/>
        </w:rPr>
        <w:t xml:space="preserve"> </w:t>
      </w:r>
      <w:r w:rsidRPr="00884FF1">
        <w:rPr>
          <w:sz w:val="20"/>
          <w:szCs w:val="20"/>
        </w:rPr>
        <w:t>Our findings indicate that the majority of women who experienced deterioration of kidney function during late pregnancy and in the peripartum period had substantial preexisting comorbid conditions or complications that could have placed them at risk for renal injury.</w:t>
      </w:r>
    </w:p>
    <w:p w:rsidR="00446847" w:rsidRPr="00884FF1" w:rsidRDefault="00446847" w:rsidP="00884FF1">
      <w:pPr>
        <w:autoSpaceDE w:val="0"/>
        <w:autoSpaceDN w:val="0"/>
        <w:bidi w:val="0"/>
        <w:adjustRightInd w:val="0"/>
        <w:snapToGrid w:val="0"/>
        <w:ind w:firstLine="425"/>
        <w:jc w:val="both"/>
        <w:rPr>
          <w:b/>
          <w:bCs/>
          <w:sz w:val="20"/>
          <w:szCs w:val="20"/>
        </w:rPr>
      </w:pPr>
    </w:p>
    <w:p w:rsidR="00A30F40" w:rsidRPr="00884FF1" w:rsidRDefault="00A30F40" w:rsidP="00884FF1">
      <w:pPr>
        <w:autoSpaceDE w:val="0"/>
        <w:autoSpaceDN w:val="0"/>
        <w:bidi w:val="0"/>
        <w:adjustRightInd w:val="0"/>
        <w:snapToGrid w:val="0"/>
        <w:jc w:val="both"/>
        <w:rPr>
          <w:b/>
          <w:bCs/>
          <w:sz w:val="20"/>
          <w:szCs w:val="20"/>
        </w:rPr>
      </w:pPr>
      <w:r w:rsidRPr="00884FF1">
        <w:rPr>
          <w:b/>
          <w:bCs/>
          <w:sz w:val="20"/>
          <w:szCs w:val="20"/>
        </w:rPr>
        <w:t>Conclusions:</w:t>
      </w:r>
    </w:p>
    <w:p w:rsidR="00987E25" w:rsidRPr="00884FF1" w:rsidRDefault="00A30F40" w:rsidP="00884FF1">
      <w:pPr>
        <w:autoSpaceDE w:val="0"/>
        <w:autoSpaceDN w:val="0"/>
        <w:bidi w:val="0"/>
        <w:adjustRightInd w:val="0"/>
        <w:snapToGrid w:val="0"/>
        <w:ind w:firstLine="425"/>
        <w:jc w:val="both"/>
        <w:rPr>
          <w:sz w:val="20"/>
          <w:szCs w:val="20"/>
        </w:rPr>
      </w:pPr>
      <w:r w:rsidRPr="00884FF1">
        <w:rPr>
          <w:sz w:val="20"/>
          <w:szCs w:val="20"/>
        </w:rPr>
        <w:t xml:space="preserve">In the </w:t>
      </w:r>
      <w:r w:rsidR="00446847" w:rsidRPr="00884FF1">
        <w:rPr>
          <w:sz w:val="20"/>
          <w:szCs w:val="20"/>
        </w:rPr>
        <w:t>conclusion, the</w:t>
      </w:r>
      <w:r w:rsidR="00987E25" w:rsidRPr="00884FF1">
        <w:rPr>
          <w:sz w:val="20"/>
          <w:szCs w:val="20"/>
        </w:rPr>
        <w:t xml:space="preserve"> results of our study may facilitate the recognition of women at increased risk for</w:t>
      </w:r>
      <w:r w:rsidRPr="00884FF1">
        <w:rPr>
          <w:sz w:val="20"/>
          <w:szCs w:val="20"/>
        </w:rPr>
        <w:t xml:space="preserve"> acute kidney</w:t>
      </w:r>
      <w:r w:rsidR="00987E25" w:rsidRPr="00884FF1">
        <w:rPr>
          <w:sz w:val="20"/>
          <w:szCs w:val="20"/>
        </w:rPr>
        <w:t xml:space="preserve"> injury</w:t>
      </w:r>
      <w:r w:rsidRPr="00884FF1">
        <w:rPr>
          <w:sz w:val="20"/>
          <w:szCs w:val="20"/>
        </w:rPr>
        <w:t xml:space="preserve"> in the peripartum </w:t>
      </w:r>
      <w:r w:rsidR="00446847" w:rsidRPr="00884FF1">
        <w:rPr>
          <w:sz w:val="20"/>
          <w:szCs w:val="20"/>
        </w:rPr>
        <w:t>period,</w:t>
      </w:r>
      <w:r w:rsidR="00987E25" w:rsidRPr="00884FF1">
        <w:rPr>
          <w:sz w:val="20"/>
          <w:szCs w:val="20"/>
        </w:rPr>
        <w:t xml:space="preserve"> leading to appropriate surveillance and timely implementation of protective measures to avoid or minimize injuries.</w:t>
      </w:r>
    </w:p>
    <w:p w:rsidR="00F707FB" w:rsidRPr="00884FF1" w:rsidRDefault="00F707FB" w:rsidP="00884FF1">
      <w:pPr>
        <w:bidi w:val="0"/>
        <w:snapToGrid w:val="0"/>
        <w:ind w:firstLine="425"/>
        <w:jc w:val="both"/>
        <w:rPr>
          <w:b/>
          <w:bCs/>
          <w:sz w:val="20"/>
          <w:szCs w:val="20"/>
          <w:lang w:bidi="ar-EG"/>
        </w:rPr>
      </w:pPr>
    </w:p>
    <w:p w:rsidR="00F707FB" w:rsidRPr="00884FF1" w:rsidRDefault="00F707FB" w:rsidP="00884FF1">
      <w:pPr>
        <w:bidi w:val="0"/>
        <w:snapToGrid w:val="0"/>
        <w:jc w:val="both"/>
        <w:rPr>
          <w:sz w:val="20"/>
          <w:szCs w:val="20"/>
          <w:lang w:bidi="ar-EG"/>
        </w:rPr>
      </w:pPr>
      <w:r w:rsidRPr="00884FF1">
        <w:rPr>
          <w:b/>
          <w:bCs/>
          <w:sz w:val="20"/>
          <w:szCs w:val="20"/>
          <w:lang w:bidi="ar-EG"/>
        </w:rPr>
        <w:t>Funds:-</w:t>
      </w:r>
      <w:r w:rsidRPr="00884FF1">
        <w:rPr>
          <w:sz w:val="20"/>
          <w:szCs w:val="20"/>
          <w:lang w:bidi="ar-EG"/>
        </w:rPr>
        <w:t>No funds from governmental or non-governmental authorities.</w:t>
      </w:r>
    </w:p>
    <w:p w:rsidR="00F707FB" w:rsidRPr="00884FF1" w:rsidRDefault="00F707FB" w:rsidP="00884FF1">
      <w:pPr>
        <w:bidi w:val="0"/>
        <w:snapToGrid w:val="0"/>
        <w:ind w:firstLine="425"/>
        <w:jc w:val="both"/>
        <w:rPr>
          <w:sz w:val="20"/>
          <w:szCs w:val="20"/>
          <w:lang w:bidi="ar-EG"/>
        </w:rPr>
      </w:pPr>
      <w:r w:rsidRPr="00884FF1">
        <w:rPr>
          <w:sz w:val="20"/>
          <w:szCs w:val="20"/>
          <w:lang w:bidi="ar-EG"/>
        </w:rPr>
        <w:t>The authors declared clearly no conflict of interest.</w:t>
      </w:r>
    </w:p>
    <w:p w:rsidR="00F707FB" w:rsidRPr="00884FF1" w:rsidRDefault="00F707FB" w:rsidP="00884FF1">
      <w:pPr>
        <w:bidi w:val="0"/>
        <w:snapToGrid w:val="0"/>
        <w:ind w:firstLine="425"/>
        <w:jc w:val="both"/>
        <w:rPr>
          <w:sz w:val="20"/>
          <w:szCs w:val="20"/>
          <w:lang w:bidi="ar-EG"/>
        </w:rPr>
      </w:pPr>
    </w:p>
    <w:p w:rsidR="00F707FB" w:rsidRPr="00884FF1" w:rsidRDefault="00F707FB" w:rsidP="00884FF1">
      <w:pPr>
        <w:bidi w:val="0"/>
        <w:snapToGrid w:val="0"/>
        <w:jc w:val="both"/>
        <w:rPr>
          <w:b/>
          <w:bCs/>
          <w:sz w:val="20"/>
          <w:szCs w:val="20"/>
          <w:lang w:bidi="ar-EG"/>
        </w:rPr>
      </w:pPr>
      <w:r w:rsidRPr="00884FF1">
        <w:rPr>
          <w:b/>
          <w:bCs/>
          <w:sz w:val="20"/>
          <w:szCs w:val="20"/>
          <w:lang w:bidi="ar-EG"/>
        </w:rPr>
        <w:t>Corresponding author:-</w:t>
      </w:r>
    </w:p>
    <w:p w:rsidR="00F707FB" w:rsidRPr="00884FF1" w:rsidRDefault="00F707FB" w:rsidP="00884FF1">
      <w:pPr>
        <w:bidi w:val="0"/>
        <w:snapToGrid w:val="0"/>
        <w:jc w:val="both"/>
        <w:rPr>
          <w:sz w:val="20"/>
          <w:szCs w:val="20"/>
          <w:lang w:bidi="ar-EG"/>
        </w:rPr>
      </w:pPr>
      <w:r w:rsidRPr="00884FF1">
        <w:rPr>
          <w:sz w:val="20"/>
          <w:szCs w:val="20"/>
          <w:lang w:bidi="ar-EG"/>
        </w:rPr>
        <w:t xml:space="preserve">Mona Mohamed El-Yamany El-Naggar,E.mail: </w:t>
      </w:r>
      <w:hyperlink r:id="rId30" w:history="1">
        <w:r w:rsidRPr="00884FF1">
          <w:rPr>
            <w:rStyle w:val="Hyperlink"/>
            <w:color w:val="auto"/>
            <w:sz w:val="20"/>
            <w:szCs w:val="20"/>
            <w:u w:val="none"/>
            <w:lang w:bidi="ar-EG"/>
          </w:rPr>
          <w:t>monaelnaggar82@yahoo.com</w:t>
        </w:r>
      </w:hyperlink>
      <w:r w:rsidR="00DE6F54">
        <w:rPr>
          <w:sz w:val="20"/>
          <w:szCs w:val="20"/>
          <w:lang w:bidi="ar-EG"/>
        </w:rPr>
        <w:t xml:space="preserve"> </w:t>
      </w:r>
    </w:p>
    <w:p w:rsidR="00F707FB" w:rsidRPr="00884FF1" w:rsidRDefault="00F707FB" w:rsidP="00884FF1">
      <w:pPr>
        <w:bidi w:val="0"/>
        <w:snapToGrid w:val="0"/>
        <w:jc w:val="both"/>
        <w:rPr>
          <w:sz w:val="20"/>
          <w:szCs w:val="20"/>
          <w:lang w:bidi="ar-EG"/>
        </w:rPr>
      </w:pPr>
      <w:r w:rsidRPr="00884FF1">
        <w:rPr>
          <w:sz w:val="20"/>
          <w:szCs w:val="20"/>
          <w:lang w:bidi="ar-EG"/>
        </w:rPr>
        <w:t>Tel: 01002058100</w:t>
      </w:r>
    </w:p>
    <w:p w:rsidR="00F707FB" w:rsidRPr="00884FF1" w:rsidRDefault="00F707FB" w:rsidP="00884FF1">
      <w:pPr>
        <w:bidi w:val="0"/>
        <w:snapToGrid w:val="0"/>
        <w:jc w:val="both"/>
        <w:rPr>
          <w:sz w:val="20"/>
          <w:szCs w:val="20"/>
          <w:lang w:bidi="ar-EG"/>
        </w:rPr>
      </w:pPr>
      <w:r w:rsidRPr="00884FF1">
        <w:rPr>
          <w:sz w:val="20"/>
          <w:szCs w:val="20"/>
          <w:lang w:bidi="ar-EG"/>
        </w:rPr>
        <w:t>Address: Internal Medicine department, Faculty of Medicine-Menoufia university,</w:t>
      </w:r>
    </w:p>
    <w:p w:rsidR="00F707FB" w:rsidRPr="00884FF1" w:rsidRDefault="00F707FB" w:rsidP="00884FF1">
      <w:pPr>
        <w:bidi w:val="0"/>
        <w:snapToGrid w:val="0"/>
        <w:jc w:val="both"/>
        <w:rPr>
          <w:sz w:val="20"/>
          <w:szCs w:val="20"/>
          <w:lang w:bidi="ar-EG"/>
        </w:rPr>
      </w:pPr>
      <w:r w:rsidRPr="00884FF1">
        <w:rPr>
          <w:sz w:val="20"/>
          <w:szCs w:val="20"/>
          <w:lang w:bidi="ar-EG"/>
        </w:rPr>
        <w:t>Shebin Elkom, Menoufia-Egypt.</w:t>
      </w:r>
    </w:p>
    <w:p w:rsidR="00F707FB" w:rsidRPr="00884FF1" w:rsidRDefault="00F707FB" w:rsidP="00884FF1">
      <w:pPr>
        <w:autoSpaceDE w:val="0"/>
        <w:autoSpaceDN w:val="0"/>
        <w:bidi w:val="0"/>
        <w:adjustRightInd w:val="0"/>
        <w:snapToGrid w:val="0"/>
        <w:ind w:firstLine="425"/>
        <w:jc w:val="both"/>
        <w:rPr>
          <w:b/>
          <w:bCs/>
          <w:i/>
          <w:iCs/>
          <w:sz w:val="20"/>
          <w:szCs w:val="20"/>
        </w:rPr>
      </w:pPr>
    </w:p>
    <w:p w:rsidR="008B0C13" w:rsidRPr="00A24675" w:rsidRDefault="006738AA" w:rsidP="00884FF1">
      <w:pPr>
        <w:autoSpaceDE w:val="0"/>
        <w:autoSpaceDN w:val="0"/>
        <w:bidi w:val="0"/>
        <w:adjustRightInd w:val="0"/>
        <w:snapToGrid w:val="0"/>
        <w:jc w:val="both"/>
        <w:rPr>
          <w:bCs/>
          <w:iCs/>
          <w:sz w:val="19"/>
          <w:szCs w:val="19"/>
        </w:rPr>
      </w:pPr>
      <w:r w:rsidRPr="00884FF1">
        <w:rPr>
          <w:b/>
          <w:bCs/>
          <w:iCs/>
          <w:sz w:val="20"/>
          <w:szCs w:val="20"/>
        </w:rPr>
        <w:t>References</w:t>
      </w:r>
      <w:r w:rsidR="008B0C13" w:rsidRPr="00884FF1">
        <w:rPr>
          <w:b/>
          <w:bCs/>
          <w:iCs/>
          <w:sz w:val="20"/>
          <w:szCs w:val="20"/>
        </w:rPr>
        <w:t>:</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lang w:bidi="ar-EG"/>
        </w:rPr>
      </w:pPr>
      <w:r w:rsidRPr="00DE6F54">
        <w:rPr>
          <w:bCs/>
          <w:sz w:val="18"/>
          <w:szCs w:val="18"/>
          <w:lang w:bidi="ar-EG"/>
        </w:rPr>
        <w:t xml:space="preserve">Piccoli GB, Conijn A, Attini R, </w:t>
      </w:r>
      <w:r w:rsidR="00A8638B" w:rsidRPr="00DE6F54">
        <w:rPr>
          <w:rFonts w:eastAsia="MinionPro-Regular-Identity-H"/>
          <w:bCs/>
          <w:i/>
          <w:iCs/>
          <w:sz w:val="18"/>
          <w:szCs w:val="18"/>
        </w:rPr>
        <w:t>et al.</w:t>
      </w:r>
      <w:r w:rsidR="00A8638B" w:rsidRPr="00DE6F54">
        <w:rPr>
          <w:rFonts w:eastAsia="MinionPro-Regular-Identity-H"/>
          <w:bCs/>
          <w:sz w:val="18"/>
          <w:szCs w:val="18"/>
        </w:rPr>
        <w:t xml:space="preserve"> </w:t>
      </w:r>
      <w:r w:rsidRPr="00DE6F54">
        <w:rPr>
          <w:sz w:val="18"/>
          <w:szCs w:val="18"/>
          <w:lang w:bidi="ar-EG"/>
        </w:rPr>
        <w:t>Pregnancy in chronic kidney disease: need for a common language. J Nephrol. 2011;24(3):282-299.</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World health organization.</w:t>
      </w:r>
      <w:r w:rsidRPr="00DE6F54">
        <w:rPr>
          <w:sz w:val="18"/>
          <w:szCs w:val="18"/>
        </w:rPr>
        <w:t xml:space="preserve"> Population dynamics and reducing maternal mortality. 2009.</w:t>
      </w:r>
    </w:p>
    <w:p w:rsidR="008B0C13" w:rsidRPr="00DE6F54" w:rsidRDefault="00903289" w:rsidP="00884FF1">
      <w:pPr>
        <w:numPr>
          <w:ilvl w:val="0"/>
          <w:numId w:val="7"/>
        </w:numPr>
        <w:tabs>
          <w:tab w:val="clear" w:pos="928"/>
        </w:tabs>
        <w:autoSpaceDE w:val="0"/>
        <w:autoSpaceDN w:val="0"/>
        <w:bidi w:val="0"/>
        <w:adjustRightInd w:val="0"/>
        <w:snapToGrid w:val="0"/>
        <w:ind w:left="425" w:hanging="425"/>
        <w:jc w:val="both"/>
        <w:rPr>
          <w:sz w:val="18"/>
          <w:szCs w:val="18"/>
        </w:rPr>
      </w:pPr>
      <w:hyperlink r:id="rId31" w:history="1">
        <w:r w:rsidR="008B0C13" w:rsidRPr="00DE6F54">
          <w:rPr>
            <w:bCs/>
            <w:sz w:val="18"/>
            <w:szCs w:val="18"/>
          </w:rPr>
          <w:t>José António Lopes</w:t>
        </w:r>
      </w:hyperlink>
      <w:r w:rsidR="008B0C13" w:rsidRPr="00DE6F54">
        <w:rPr>
          <w:bCs/>
          <w:sz w:val="18"/>
          <w:szCs w:val="18"/>
        </w:rPr>
        <w:t xml:space="preserve"> and </w:t>
      </w:r>
      <w:hyperlink r:id="rId32" w:history="1">
        <w:r w:rsidR="008B0C13" w:rsidRPr="00DE6F54">
          <w:rPr>
            <w:bCs/>
            <w:sz w:val="18"/>
            <w:szCs w:val="18"/>
          </w:rPr>
          <w:t>Sofia Jorge</w:t>
        </w:r>
      </w:hyperlink>
      <w:r w:rsidR="008B0C13" w:rsidRPr="00DE6F54">
        <w:rPr>
          <w:bCs/>
          <w:sz w:val="18"/>
          <w:szCs w:val="18"/>
        </w:rPr>
        <w:t>;</w:t>
      </w:r>
      <w:r w:rsidR="008B0C13" w:rsidRPr="00DE6F54">
        <w:rPr>
          <w:sz w:val="18"/>
          <w:szCs w:val="18"/>
        </w:rPr>
        <w:t xml:space="preserve"> The RIFLE and AKIN classifications for acute kidney injury: a critical and comprehensive review</w:t>
      </w:r>
      <w:r w:rsidR="008B0C13" w:rsidRPr="00DE6F54">
        <w:rPr>
          <w:i/>
          <w:iCs/>
          <w:sz w:val="18"/>
          <w:szCs w:val="18"/>
        </w:rPr>
        <w:t xml:space="preserve"> Clin Kidney J (2013) 6 (1): 8-14. doi: 10.1093/ckj/sfs160</w:t>
      </w:r>
      <w:r w:rsidR="00DE6F54">
        <w:rPr>
          <w:i/>
          <w:iCs/>
          <w:sz w:val="18"/>
          <w:szCs w:val="18"/>
        </w:rPr>
        <w:t>.</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 xml:space="preserve">Prakash J, Vohra R, Wani IA, Murthy AS, Srivastva PK, Tripathi K, </w:t>
      </w:r>
      <w:r w:rsidR="00A8638B" w:rsidRPr="00DE6F54">
        <w:rPr>
          <w:rFonts w:eastAsia="MinionPro-Regular-Identity-H"/>
          <w:bCs/>
          <w:i/>
          <w:iCs/>
          <w:sz w:val="18"/>
          <w:szCs w:val="18"/>
        </w:rPr>
        <w:t>et al.</w:t>
      </w:r>
      <w:r w:rsidRPr="00DE6F54">
        <w:rPr>
          <w:bCs/>
          <w:sz w:val="18"/>
          <w:szCs w:val="18"/>
        </w:rPr>
        <w:t>:</w:t>
      </w:r>
      <w:r w:rsidRPr="00DE6F54">
        <w:rPr>
          <w:sz w:val="18"/>
          <w:szCs w:val="18"/>
        </w:rPr>
        <w:t xml:space="preserve"> Decreasing incidence of renal cortical necrosis in patients with acute renal failure in </w:t>
      </w:r>
      <w:r w:rsidRPr="00DE6F54">
        <w:rPr>
          <w:sz w:val="18"/>
          <w:szCs w:val="18"/>
        </w:rPr>
        <w:lastRenderedPageBreak/>
        <w:t>developing countries: a single-centre experience of 22 years from Eastern India. Nephrol Dial Transplant 2007; 22: 1213-1217.</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 xml:space="preserve">Goplani KR, Shah PR, Gera DN, Gumber M, Dabhi M, Feroz A, </w:t>
      </w:r>
      <w:r w:rsidR="00A8638B" w:rsidRPr="00DE6F54">
        <w:rPr>
          <w:rFonts w:eastAsia="MinionPro-Regular-Identity-H"/>
          <w:bCs/>
          <w:i/>
          <w:iCs/>
          <w:sz w:val="18"/>
          <w:szCs w:val="18"/>
        </w:rPr>
        <w:t>et al.</w:t>
      </w:r>
      <w:r w:rsidRPr="00DE6F54">
        <w:rPr>
          <w:bCs/>
          <w:sz w:val="18"/>
          <w:szCs w:val="18"/>
        </w:rPr>
        <w:t>:</w:t>
      </w:r>
      <w:r w:rsidRPr="00DE6F54">
        <w:rPr>
          <w:sz w:val="18"/>
          <w:szCs w:val="18"/>
        </w:rPr>
        <w:t xml:space="preserve"> Pregnancy-related acute renal failure: A single-center experience. Indian J Nephrol 2008; 18: 17-21.</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lang w:val="es-ES"/>
        </w:rPr>
        <w:t xml:space="preserve">Jayakumar M, Prabahar MR, Fernando EM, </w:t>
      </w:r>
      <w:r w:rsidR="00A8638B" w:rsidRPr="00DE6F54">
        <w:rPr>
          <w:rFonts w:eastAsia="MinionPro-Regular-Identity-H"/>
          <w:bCs/>
          <w:i/>
          <w:iCs/>
          <w:sz w:val="18"/>
          <w:szCs w:val="18"/>
        </w:rPr>
        <w:t>et al.</w:t>
      </w:r>
      <w:r w:rsidR="00A8638B" w:rsidRPr="00DE6F54">
        <w:rPr>
          <w:rFonts w:eastAsia="MinionPro-Regular-Identity-H"/>
          <w:bCs/>
          <w:sz w:val="18"/>
          <w:szCs w:val="18"/>
        </w:rPr>
        <w:t xml:space="preserve"> </w:t>
      </w:r>
      <w:r w:rsidRPr="00DE6F54">
        <w:rPr>
          <w:bCs/>
          <w:sz w:val="18"/>
          <w:szCs w:val="18"/>
        </w:rPr>
        <w:t>(2006)</w:t>
      </w:r>
      <w:r w:rsidRPr="00DE6F54">
        <w:rPr>
          <w:sz w:val="18"/>
          <w:szCs w:val="18"/>
        </w:rPr>
        <w:t xml:space="preserve"> Epidemiologic trend changes in acute renal failure – a tertiary center experience from South India. Ren Fail 28:405–410.</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 xml:space="preserve">Prakash J, Niwas SS, Parekh A, </w:t>
      </w:r>
      <w:r w:rsidR="00A8638B" w:rsidRPr="00DE6F54">
        <w:rPr>
          <w:rFonts w:eastAsia="MinionPro-Regular-Identity-H"/>
          <w:bCs/>
          <w:i/>
          <w:iCs/>
          <w:sz w:val="18"/>
          <w:szCs w:val="18"/>
        </w:rPr>
        <w:t>et al.</w:t>
      </w:r>
      <w:r w:rsidR="00A8638B" w:rsidRPr="00DE6F54">
        <w:rPr>
          <w:rFonts w:eastAsia="MinionPro-Regular-Identity-H"/>
          <w:bCs/>
          <w:sz w:val="18"/>
          <w:szCs w:val="18"/>
        </w:rPr>
        <w:t xml:space="preserve"> </w:t>
      </w:r>
      <w:r w:rsidRPr="00DE6F54">
        <w:rPr>
          <w:sz w:val="18"/>
          <w:szCs w:val="18"/>
        </w:rPr>
        <w:t>Acute kidney injuryin late pregnancy in developing countries. Ren Fail.2010;32(3):309-313.</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Dragun K, Haase M.</w:t>
      </w:r>
      <w:r w:rsidRPr="00DE6F54">
        <w:rPr>
          <w:sz w:val="18"/>
          <w:szCs w:val="18"/>
        </w:rPr>
        <w:t xml:space="preserve"> Acute kidney failure during pregnancy and postpartum. In: Jörres A, Ronco C, Kellum J, eds. Management of acute kidney problems. Springer; Berlin. 2010:445-458.</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Krane NK, Hamrahian M.</w:t>
      </w:r>
      <w:r w:rsidRPr="00DE6F54">
        <w:rPr>
          <w:sz w:val="18"/>
          <w:szCs w:val="18"/>
        </w:rPr>
        <w:t xml:space="preserve"> Pregnancy: kidney diseases andhypertension. Am J Kidney Dis. 2007;49(2):336-345.</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 xml:space="preserve">Gammill HS, Jeyabalan A. </w:t>
      </w:r>
      <w:r w:rsidRPr="00DE6F54">
        <w:rPr>
          <w:sz w:val="18"/>
          <w:szCs w:val="18"/>
        </w:rPr>
        <w:t>Acute renal failure in pregnancy.</w:t>
      </w:r>
      <w:r w:rsidR="00DE6F54">
        <w:rPr>
          <w:sz w:val="18"/>
          <w:szCs w:val="18"/>
        </w:rPr>
        <w:t xml:space="preserve"> </w:t>
      </w:r>
      <w:r w:rsidRPr="00DE6F54">
        <w:rPr>
          <w:sz w:val="18"/>
          <w:szCs w:val="18"/>
        </w:rPr>
        <w:t>Crit Care Med. 2005;33(10)(Suppl):</w:t>
      </w:r>
      <w:r w:rsidR="00DE6F54" w:rsidRPr="00DE6F54">
        <w:rPr>
          <w:sz w:val="18"/>
          <w:szCs w:val="18"/>
        </w:rPr>
        <w:t xml:space="preserve"> </w:t>
      </w:r>
      <w:r w:rsidRPr="00DE6F54">
        <w:rPr>
          <w:sz w:val="18"/>
          <w:szCs w:val="18"/>
        </w:rPr>
        <w:t>S372-S384.</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Mohamed Arrayhani, Randa El Youbi and Tarik Sqalli</w:t>
      </w:r>
      <w:r w:rsidRPr="00DE6F54">
        <w:rPr>
          <w:rFonts w:eastAsia="MinionPro-Regular-Identity-H"/>
          <w:bCs/>
          <w:sz w:val="18"/>
          <w:szCs w:val="18"/>
        </w:rPr>
        <w:t>:</w:t>
      </w:r>
      <w:r w:rsidRPr="00DE6F54">
        <w:rPr>
          <w:sz w:val="18"/>
          <w:szCs w:val="18"/>
        </w:rPr>
        <w:t xml:space="preserve"> Pregnancy-Related Acute Kidney Injury </w:t>
      </w:r>
      <w:r w:rsidRPr="00DE6F54">
        <w:rPr>
          <w:rFonts w:eastAsia="MinionPro-Regular-Identity-H"/>
          <w:sz w:val="18"/>
          <w:szCs w:val="18"/>
        </w:rPr>
        <w:t>Volume 2013, Article ID 109034, 5 pages.</w:t>
      </w:r>
    </w:p>
    <w:p w:rsidR="008B0C13" w:rsidRPr="00DE6F54" w:rsidRDefault="00A8638B" w:rsidP="00884FF1">
      <w:pPr>
        <w:numPr>
          <w:ilvl w:val="0"/>
          <w:numId w:val="7"/>
        </w:numPr>
        <w:tabs>
          <w:tab w:val="clear" w:pos="928"/>
        </w:tabs>
        <w:autoSpaceDE w:val="0"/>
        <w:autoSpaceDN w:val="0"/>
        <w:bidi w:val="0"/>
        <w:adjustRightInd w:val="0"/>
        <w:snapToGrid w:val="0"/>
        <w:ind w:left="425" w:hanging="425"/>
        <w:jc w:val="both"/>
        <w:rPr>
          <w:sz w:val="18"/>
          <w:szCs w:val="18"/>
          <w:lang w:bidi="ar-EG"/>
        </w:rPr>
      </w:pPr>
      <w:r w:rsidRPr="00DE6F54">
        <w:rPr>
          <w:rFonts w:eastAsia="MinionPro-Regular-Identity-H"/>
          <w:bCs/>
          <w:sz w:val="18"/>
          <w:szCs w:val="18"/>
        </w:rPr>
        <w:t xml:space="preserve">Khalil </w:t>
      </w:r>
      <w:r w:rsidR="008B0C13" w:rsidRPr="00DE6F54">
        <w:rPr>
          <w:rFonts w:eastAsia="MinionPro-Regular-Identity-H"/>
          <w:bCs/>
          <w:sz w:val="18"/>
          <w:szCs w:val="18"/>
        </w:rPr>
        <w:t>M. A., A. Azhar, N. Anwar, Aminullah, Najm-ud-Din, and R. Wali,</w:t>
      </w:r>
      <w:r w:rsidR="008B0C13" w:rsidRPr="00DE6F54">
        <w:rPr>
          <w:rFonts w:eastAsia="MinionPro-Regular-Identity-H"/>
          <w:sz w:val="18"/>
          <w:szCs w:val="18"/>
        </w:rPr>
        <w:t xml:space="preserve"> “Aetiology, maternal and foetal outcome in 60 cases of obstetrical acute renal failure,” </w:t>
      </w:r>
      <w:r w:rsidR="008B0C13" w:rsidRPr="00DE6F54">
        <w:rPr>
          <w:rFonts w:eastAsia="MinionPro-Regular-Identity-H"/>
          <w:i/>
          <w:iCs/>
          <w:sz w:val="18"/>
          <w:szCs w:val="18"/>
        </w:rPr>
        <w:t>Journal of Ayub MedicalCollege</w:t>
      </w:r>
      <w:r w:rsidR="008B0C13" w:rsidRPr="00DE6F54">
        <w:rPr>
          <w:rFonts w:eastAsia="MinionPro-Regular-Identity-H"/>
          <w:sz w:val="18"/>
          <w:szCs w:val="18"/>
        </w:rPr>
        <w:t>, vol. 21, no. 4, pp. 46–49, 2009</w:t>
      </w:r>
      <w:r w:rsidR="008B0C13" w:rsidRPr="00DE6F54">
        <w:rPr>
          <w:sz w:val="18"/>
          <w:szCs w:val="18"/>
          <w:lang w:bidi="ar-EG"/>
        </w:rPr>
        <w:t>.</w:t>
      </w:r>
    </w:p>
    <w:p w:rsidR="008B0C13" w:rsidRPr="00DE6F54" w:rsidRDefault="00A8638B" w:rsidP="00884FF1">
      <w:pPr>
        <w:numPr>
          <w:ilvl w:val="0"/>
          <w:numId w:val="7"/>
        </w:numPr>
        <w:tabs>
          <w:tab w:val="clear" w:pos="928"/>
        </w:tabs>
        <w:autoSpaceDE w:val="0"/>
        <w:autoSpaceDN w:val="0"/>
        <w:bidi w:val="0"/>
        <w:adjustRightInd w:val="0"/>
        <w:snapToGrid w:val="0"/>
        <w:ind w:left="425" w:hanging="425"/>
        <w:jc w:val="both"/>
        <w:rPr>
          <w:rFonts w:eastAsia="MinionPro-Regular-Identity-H"/>
          <w:sz w:val="18"/>
          <w:szCs w:val="18"/>
        </w:rPr>
      </w:pPr>
      <w:r w:rsidRPr="00DE6F54">
        <w:rPr>
          <w:rFonts w:eastAsia="MinionPro-Regular-Identity-H"/>
          <w:bCs/>
          <w:sz w:val="18"/>
          <w:szCs w:val="18"/>
        </w:rPr>
        <w:t xml:space="preserve">Arora </w:t>
      </w:r>
      <w:r w:rsidR="008B0C13" w:rsidRPr="00DE6F54">
        <w:rPr>
          <w:rFonts w:eastAsia="MinionPro-Regular-Identity-H"/>
          <w:bCs/>
          <w:sz w:val="18"/>
          <w:szCs w:val="18"/>
        </w:rPr>
        <w:t>N., K. Mahajan, N. Jana, and A. Taraphder,</w:t>
      </w:r>
      <w:r w:rsidR="008B0C13" w:rsidRPr="00DE6F54">
        <w:rPr>
          <w:rFonts w:eastAsia="MinionPro-Regular-Identity-H"/>
          <w:sz w:val="18"/>
          <w:szCs w:val="18"/>
        </w:rPr>
        <w:t xml:space="preserve"> “Pregnancy</w:t>
      </w:r>
      <w:r w:rsidRPr="00DE6F54">
        <w:rPr>
          <w:rFonts w:eastAsia="MinionPro-Regular-Identity-H"/>
          <w:sz w:val="18"/>
          <w:szCs w:val="18"/>
        </w:rPr>
        <w:t xml:space="preserve"> </w:t>
      </w:r>
      <w:r w:rsidR="008B0C13" w:rsidRPr="00DE6F54">
        <w:rPr>
          <w:rFonts w:eastAsia="MinionPro-Regular-Identity-H"/>
          <w:sz w:val="18"/>
          <w:szCs w:val="18"/>
        </w:rPr>
        <w:t xml:space="preserve">related acute renal failure in eastern India,” </w:t>
      </w:r>
      <w:r w:rsidR="008B0C13" w:rsidRPr="00DE6F54">
        <w:rPr>
          <w:rFonts w:eastAsia="MinionPro-Regular-Identity-H"/>
          <w:i/>
          <w:iCs/>
          <w:sz w:val="18"/>
          <w:szCs w:val="18"/>
        </w:rPr>
        <w:t>International Journal of Gynecology and Obstetrics</w:t>
      </w:r>
      <w:r w:rsidR="008B0C13" w:rsidRPr="00DE6F54">
        <w:rPr>
          <w:rFonts w:eastAsia="MinionPro-Regular-Identity-H"/>
          <w:sz w:val="18"/>
          <w:szCs w:val="18"/>
        </w:rPr>
        <w:t>, vol. 111, no.</w:t>
      </w:r>
      <w:r w:rsidR="00DE6F54" w:rsidRPr="00DE6F54">
        <w:rPr>
          <w:rFonts w:eastAsia="MinionPro-Regular-Identity-H"/>
          <w:sz w:val="18"/>
          <w:szCs w:val="18"/>
        </w:rPr>
        <w:t xml:space="preserve">, </w:t>
      </w:r>
      <w:r w:rsidR="008B0C13" w:rsidRPr="00DE6F54">
        <w:rPr>
          <w:rFonts w:eastAsia="MinionPro-Regular-Identity-H"/>
          <w:sz w:val="18"/>
          <w:szCs w:val="18"/>
        </w:rPr>
        <w:t>p. 213–216, 2010.</w:t>
      </w:r>
    </w:p>
    <w:p w:rsidR="008B0C13" w:rsidRPr="00DE6F54" w:rsidRDefault="00A8638B" w:rsidP="00884FF1">
      <w:pPr>
        <w:numPr>
          <w:ilvl w:val="0"/>
          <w:numId w:val="7"/>
        </w:numPr>
        <w:tabs>
          <w:tab w:val="clear" w:pos="928"/>
        </w:tabs>
        <w:autoSpaceDE w:val="0"/>
        <w:autoSpaceDN w:val="0"/>
        <w:bidi w:val="0"/>
        <w:adjustRightInd w:val="0"/>
        <w:snapToGrid w:val="0"/>
        <w:ind w:left="425" w:hanging="425"/>
        <w:jc w:val="both"/>
        <w:rPr>
          <w:rFonts w:eastAsia="MinionPro-Regular-Identity-H"/>
          <w:sz w:val="18"/>
          <w:szCs w:val="18"/>
        </w:rPr>
      </w:pPr>
      <w:r w:rsidRPr="00DE6F54">
        <w:rPr>
          <w:rFonts w:eastAsia="MinionPro-Regular-Identity-H"/>
          <w:bCs/>
          <w:sz w:val="18"/>
          <w:szCs w:val="18"/>
        </w:rPr>
        <w:t xml:space="preserve">Altintepe </w:t>
      </w:r>
      <w:r w:rsidR="008B0C13" w:rsidRPr="00DE6F54">
        <w:rPr>
          <w:rFonts w:eastAsia="MinionPro-Regular-Identity-H"/>
          <w:bCs/>
          <w:sz w:val="18"/>
          <w:szCs w:val="18"/>
        </w:rPr>
        <w:t xml:space="preserve">L., K. Gezginç, H. Z. Tonbul </w:t>
      </w:r>
      <w:r w:rsidRPr="00DE6F54">
        <w:rPr>
          <w:rFonts w:eastAsia="MinionPro-Regular-Identity-H"/>
          <w:bCs/>
          <w:i/>
          <w:iCs/>
          <w:sz w:val="18"/>
          <w:szCs w:val="18"/>
        </w:rPr>
        <w:t>et al.</w:t>
      </w:r>
      <w:r w:rsidRPr="00DE6F54">
        <w:rPr>
          <w:rFonts w:eastAsia="MinionPro-Regular-Identity-H"/>
          <w:bCs/>
          <w:sz w:val="18"/>
          <w:szCs w:val="18"/>
        </w:rPr>
        <w:t xml:space="preserve"> </w:t>
      </w:r>
      <w:r w:rsidR="008B0C13" w:rsidRPr="00DE6F54">
        <w:rPr>
          <w:rFonts w:eastAsia="MinionPro-Regular-Identity-H"/>
          <w:sz w:val="18"/>
          <w:szCs w:val="18"/>
        </w:rPr>
        <w:t xml:space="preserve">“Etiology and prognosis in 36 acute renal failure cases related to pregnancy in central Anatolia,” </w:t>
      </w:r>
      <w:r w:rsidR="008B0C13" w:rsidRPr="00DE6F54">
        <w:rPr>
          <w:rFonts w:eastAsia="MinionPro-Regular-Identity-H"/>
          <w:i/>
          <w:iCs/>
          <w:sz w:val="18"/>
          <w:szCs w:val="18"/>
        </w:rPr>
        <w:t>European Journal of General Medicine</w:t>
      </w:r>
      <w:r w:rsidR="008B0C13" w:rsidRPr="00DE6F54">
        <w:rPr>
          <w:rFonts w:eastAsia="MinionPro-Regular-Identity-H"/>
          <w:sz w:val="18"/>
          <w:szCs w:val="18"/>
        </w:rPr>
        <w:t>, vol.2, no. 3, pp. 110–113, 2005.</w:t>
      </w:r>
    </w:p>
    <w:p w:rsidR="008B0C13" w:rsidRPr="00DE6F54" w:rsidRDefault="00A8638B" w:rsidP="00884FF1">
      <w:pPr>
        <w:numPr>
          <w:ilvl w:val="0"/>
          <w:numId w:val="7"/>
        </w:numPr>
        <w:tabs>
          <w:tab w:val="clear" w:pos="928"/>
        </w:tabs>
        <w:autoSpaceDE w:val="0"/>
        <w:autoSpaceDN w:val="0"/>
        <w:bidi w:val="0"/>
        <w:adjustRightInd w:val="0"/>
        <w:snapToGrid w:val="0"/>
        <w:ind w:left="425" w:hanging="425"/>
        <w:jc w:val="both"/>
        <w:rPr>
          <w:rFonts w:eastAsia="MinionPro-Regular-Identity-H"/>
          <w:sz w:val="18"/>
          <w:szCs w:val="18"/>
        </w:rPr>
      </w:pPr>
      <w:r w:rsidRPr="00DE6F54">
        <w:rPr>
          <w:rFonts w:eastAsia="MinionPro-Regular-Identity-H"/>
          <w:bCs/>
          <w:sz w:val="18"/>
          <w:szCs w:val="18"/>
        </w:rPr>
        <w:t xml:space="preserve">Colmant </w:t>
      </w:r>
      <w:r w:rsidR="008B0C13" w:rsidRPr="00DE6F54">
        <w:rPr>
          <w:rFonts w:eastAsia="MinionPro-Regular-Identity-H"/>
          <w:bCs/>
          <w:sz w:val="18"/>
          <w:szCs w:val="18"/>
        </w:rPr>
        <w:t>C. and T. R. Frydman,</w:t>
      </w:r>
      <w:r w:rsidR="008B0C13" w:rsidRPr="00DE6F54">
        <w:rPr>
          <w:rFonts w:eastAsia="MinionPro-Regular-Identity-H"/>
          <w:sz w:val="18"/>
          <w:szCs w:val="18"/>
        </w:rPr>
        <w:t xml:space="preserve"> “Y a-t-il des grossesses et des accouchements à bas risque?” </w:t>
      </w:r>
      <w:r w:rsidR="008B0C13" w:rsidRPr="00DE6F54">
        <w:rPr>
          <w:rFonts w:eastAsia="MinionPro-Regular-Identity-H"/>
          <w:i/>
          <w:iCs/>
          <w:sz w:val="18"/>
          <w:szCs w:val="18"/>
        </w:rPr>
        <w:t>Gynécologie Obstétrique &amp; Fertilité</w:t>
      </w:r>
      <w:r w:rsidR="008B0C13" w:rsidRPr="00DE6F54">
        <w:rPr>
          <w:rFonts w:eastAsia="MinionPro-Regular-Identity-H"/>
          <w:sz w:val="18"/>
          <w:szCs w:val="18"/>
        </w:rPr>
        <w:t>, vol. 37, no. 2, pp. 195–199, 2009.</w:t>
      </w:r>
    </w:p>
    <w:p w:rsidR="008B0C13" w:rsidRPr="00DE6F54" w:rsidRDefault="00A8638B"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 xml:space="preserve">Zhu </w:t>
      </w:r>
      <w:r w:rsidR="008B0C13" w:rsidRPr="00DE6F54">
        <w:rPr>
          <w:bCs/>
          <w:sz w:val="18"/>
          <w:szCs w:val="18"/>
        </w:rPr>
        <w:t>J L</w:t>
      </w:r>
      <w:r w:rsidR="008B0C13" w:rsidRPr="00DE6F54">
        <w:rPr>
          <w:rFonts w:eastAsia="MinionPro-Regular-Identity-H"/>
          <w:bCs/>
          <w:sz w:val="18"/>
          <w:szCs w:val="18"/>
        </w:rPr>
        <w:t>:</w:t>
      </w:r>
      <w:r w:rsidR="008B0C13" w:rsidRPr="00DE6F54">
        <w:rPr>
          <w:sz w:val="18"/>
          <w:szCs w:val="18"/>
        </w:rPr>
        <w:t xml:space="preserve"> Incidence And Risk Factors Of Acute Renal Injury In Pregnancy. thesis of master degree, Internal Medicine, China2011-06-15</w:t>
      </w:r>
      <w:r w:rsidR="00DE6F54">
        <w:rPr>
          <w:sz w:val="18"/>
          <w:szCs w:val="18"/>
        </w:rPr>
        <w:t>.</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rFonts w:eastAsia="MinionPro-Regular-Identity-H"/>
          <w:bCs/>
          <w:sz w:val="18"/>
          <w:szCs w:val="18"/>
          <w:lang w:val="es-ES"/>
        </w:rPr>
        <w:t xml:space="preserve">Carmelina Gurrieri Vesna D. Garovic </w:t>
      </w:r>
      <w:r w:rsidR="00A8638B" w:rsidRPr="00DE6F54">
        <w:rPr>
          <w:rFonts w:eastAsia="MinionPro-Regular-Identity-H"/>
          <w:bCs/>
          <w:i/>
          <w:iCs/>
          <w:sz w:val="18"/>
          <w:szCs w:val="18"/>
        </w:rPr>
        <w:t>et al.</w:t>
      </w:r>
      <w:r w:rsidR="00A8638B" w:rsidRPr="00DE6F54">
        <w:rPr>
          <w:rFonts w:eastAsia="MinionPro-Regular-Identity-H"/>
          <w:bCs/>
          <w:sz w:val="18"/>
          <w:szCs w:val="18"/>
        </w:rPr>
        <w:t xml:space="preserve"> </w:t>
      </w:r>
      <w:r w:rsidRPr="00DE6F54">
        <w:rPr>
          <w:sz w:val="18"/>
          <w:szCs w:val="18"/>
        </w:rPr>
        <w:t>Kidney injury during pregnancy: associated comorbid conditions and outcomes</w:t>
      </w:r>
      <w:r w:rsidRPr="00DE6F54">
        <w:rPr>
          <w:rFonts w:eastAsia="MinionPro-Regular-Identity-H"/>
          <w:sz w:val="18"/>
          <w:szCs w:val="18"/>
        </w:rPr>
        <w:t>.(2012) 286:567–573.</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rFonts w:eastAsia="MinionPro-Regular-Identity-H"/>
          <w:sz w:val="18"/>
          <w:szCs w:val="18"/>
        </w:rPr>
      </w:pPr>
      <w:r w:rsidRPr="00DE6F54">
        <w:rPr>
          <w:rFonts w:eastAsia="MinionPro-Regular-Identity-H"/>
          <w:bCs/>
          <w:sz w:val="18"/>
          <w:szCs w:val="18"/>
        </w:rPr>
        <w:t>Centre for Maternal and Child Enquiries.</w:t>
      </w:r>
      <w:r w:rsidRPr="00DE6F54">
        <w:rPr>
          <w:rFonts w:eastAsia="MinionPro-Regular-Identity-H"/>
          <w:sz w:val="18"/>
          <w:szCs w:val="18"/>
        </w:rPr>
        <w:t xml:space="preserve"> Saving mothers’ lives: reviewing maternal deaths to make motherhood safer: 2006–2008. The eighth report on confidential enquiries into maternal deaths in theUnited Kingdom. </w:t>
      </w:r>
      <w:r w:rsidRPr="00DE6F54">
        <w:rPr>
          <w:rFonts w:eastAsia="MinionPro-Regular-Identity-H"/>
          <w:bCs/>
          <w:i/>
          <w:iCs/>
          <w:sz w:val="18"/>
          <w:szCs w:val="18"/>
        </w:rPr>
        <w:t>Br J Obstet Gynaecol</w:t>
      </w:r>
      <w:r w:rsidRPr="00DE6F54">
        <w:rPr>
          <w:rFonts w:eastAsia="MinionPro-Regular-Identity-H"/>
          <w:i/>
          <w:iCs/>
          <w:sz w:val="18"/>
          <w:szCs w:val="18"/>
        </w:rPr>
        <w:t xml:space="preserve"> </w:t>
      </w:r>
      <w:r w:rsidRPr="00DE6F54">
        <w:rPr>
          <w:rFonts w:eastAsia="MinionPro-Regular-Identity-H"/>
          <w:sz w:val="18"/>
          <w:szCs w:val="18"/>
        </w:rPr>
        <w:t>2011;118(Suppl 1):1–03.</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lastRenderedPageBreak/>
        <w:t>Jai Prakash,</w:t>
      </w:r>
      <w:r w:rsidRPr="00DE6F54">
        <w:rPr>
          <w:sz w:val="18"/>
          <w:szCs w:val="18"/>
        </w:rPr>
        <w:t xml:space="preserve"> Acute kidney injury in late pregnancy in developing countries.32, 309–313, 2010.</w:t>
      </w:r>
    </w:p>
    <w:p w:rsidR="008B0C13" w:rsidRPr="00DE6F54" w:rsidRDefault="00903289" w:rsidP="00884FF1">
      <w:pPr>
        <w:numPr>
          <w:ilvl w:val="0"/>
          <w:numId w:val="7"/>
        </w:numPr>
        <w:tabs>
          <w:tab w:val="clear" w:pos="928"/>
        </w:tabs>
        <w:autoSpaceDE w:val="0"/>
        <w:autoSpaceDN w:val="0"/>
        <w:bidi w:val="0"/>
        <w:adjustRightInd w:val="0"/>
        <w:snapToGrid w:val="0"/>
        <w:ind w:left="425" w:hanging="425"/>
        <w:jc w:val="both"/>
        <w:rPr>
          <w:sz w:val="18"/>
          <w:szCs w:val="18"/>
        </w:rPr>
      </w:pPr>
      <w:hyperlink r:id="rId33" w:tgtFrame="_blank" w:history="1">
        <w:r w:rsidR="008B0C13" w:rsidRPr="00DE6F54">
          <w:rPr>
            <w:bCs/>
            <w:sz w:val="18"/>
            <w:szCs w:val="18"/>
            <w:lang w:val="es-ES"/>
          </w:rPr>
          <w:t>Suraj M Godara</w:t>
        </w:r>
      </w:hyperlink>
      <w:r w:rsidR="008B0C13" w:rsidRPr="00DE6F54">
        <w:rPr>
          <w:rFonts w:eastAsia="MinionPro-Regular-Identity-H"/>
          <w:bCs/>
          <w:sz w:val="18"/>
          <w:szCs w:val="18"/>
          <w:lang w:val="es-ES"/>
        </w:rPr>
        <w:t>, et al.</w:t>
      </w:r>
      <w:r w:rsidR="008B0C13" w:rsidRPr="00DE6F54">
        <w:rPr>
          <w:sz w:val="18"/>
          <w:szCs w:val="18"/>
        </w:rPr>
        <w:t>Clinical profile and outcome of acute kidney injury related to pregnancy in developing countries: A single-center study from India.2014; Volume : 25(Issue : 4 ) Page : 906-911.</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lang w:val="es-ES"/>
        </w:rPr>
        <w:t>Kilari Sunil Kumar, Chinta Rama Krishna, Vishnubhotla Siva Kumar.</w:t>
      </w:r>
      <w:r w:rsidRPr="00DE6F54">
        <w:rPr>
          <w:sz w:val="18"/>
          <w:szCs w:val="18"/>
        </w:rPr>
        <w:t>Pregnancy related acute renal failure.</w:t>
      </w:r>
      <w:r w:rsidRPr="00DE6F54">
        <w:rPr>
          <w:i/>
          <w:iCs/>
          <w:sz w:val="18"/>
          <w:szCs w:val="18"/>
        </w:rPr>
        <w:t>J Obstet Gynecol India Vol. 56, No. 4 : July/August 2006 Pg 308-310</w:t>
      </w:r>
      <w:r w:rsidR="00DE6F54">
        <w:rPr>
          <w:i/>
          <w:iCs/>
          <w:sz w:val="18"/>
          <w:szCs w:val="18"/>
        </w:rPr>
        <w:t>.</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Hachim K, Badahi K, Benghanem M, Fatihi EM, Zahiri K.</w:t>
      </w:r>
      <w:r w:rsidRPr="00DE6F54">
        <w:rPr>
          <w:sz w:val="18"/>
          <w:szCs w:val="18"/>
        </w:rPr>
        <w:t xml:space="preserve"> Obstetrical acute renal failure. Experience of nephrology department, Central University Hospital Ibn Rochd, Casablanca. Nephrologie 2001;22(1):29–31.</w:t>
      </w:r>
    </w:p>
    <w:p w:rsidR="008B0C13" w:rsidRPr="00DE6F54" w:rsidRDefault="00A8638B"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 xml:space="preserve">Erdemoðlu </w:t>
      </w:r>
      <w:r w:rsidR="008B0C13" w:rsidRPr="00DE6F54">
        <w:rPr>
          <w:bCs/>
          <w:sz w:val="18"/>
          <w:szCs w:val="18"/>
        </w:rPr>
        <w:t>M., U. Kuyumcuoðlu, A. Kale, and N.</w:t>
      </w:r>
      <w:r w:rsidR="008B0C13" w:rsidRPr="00DE6F54">
        <w:rPr>
          <w:sz w:val="18"/>
          <w:szCs w:val="18"/>
        </w:rPr>
        <w:t xml:space="preserve"> Akdeniz, “Pregnancy-related acute renal failure in the southeast region of Turkey: analysis of 75 cases,” </w:t>
      </w:r>
      <w:r w:rsidR="008B0C13" w:rsidRPr="00DE6F54">
        <w:rPr>
          <w:i/>
          <w:iCs/>
          <w:sz w:val="18"/>
          <w:szCs w:val="18"/>
        </w:rPr>
        <w:t>Clinical and Experimental Obstetrics and Gynecology</w:t>
      </w:r>
      <w:r w:rsidR="008B0C13" w:rsidRPr="00DE6F54">
        <w:rPr>
          <w:sz w:val="18"/>
          <w:szCs w:val="18"/>
        </w:rPr>
        <w:t>, vol. 37, no. 2, pp. 148–149, 2010.</w:t>
      </w:r>
    </w:p>
    <w:p w:rsidR="008B0C13" w:rsidRPr="00DE6F54" w:rsidRDefault="00A8638B"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 xml:space="preserve">Najar </w:t>
      </w:r>
      <w:r w:rsidR="008B0C13" w:rsidRPr="00DE6F54">
        <w:rPr>
          <w:bCs/>
          <w:sz w:val="18"/>
          <w:szCs w:val="18"/>
        </w:rPr>
        <w:t>M. S., A. R. Shah, I. A. Wani, and L. Saldanha,</w:t>
      </w:r>
      <w:r w:rsidR="008B0C13" w:rsidRPr="00DE6F54">
        <w:rPr>
          <w:sz w:val="18"/>
          <w:szCs w:val="18"/>
        </w:rPr>
        <w:t xml:space="preserve"> “Pregnancy related acute kidney injury a single center experience from the Kashmir Valley,” </w:t>
      </w:r>
      <w:r w:rsidR="008B0C13" w:rsidRPr="00DE6F54">
        <w:rPr>
          <w:i/>
          <w:iCs/>
          <w:sz w:val="18"/>
          <w:szCs w:val="18"/>
        </w:rPr>
        <w:t>Indian Journal of Nephrology</w:t>
      </w:r>
      <w:r w:rsidR="008B0C13" w:rsidRPr="00DE6F54">
        <w:rPr>
          <w:sz w:val="18"/>
          <w:szCs w:val="18"/>
        </w:rPr>
        <w:t>, vol. 18,</w:t>
      </w:r>
      <w:r w:rsidR="00DE6F54" w:rsidRPr="00DE6F54">
        <w:rPr>
          <w:sz w:val="18"/>
          <w:szCs w:val="18"/>
        </w:rPr>
        <w:t xml:space="preserve"> </w:t>
      </w:r>
      <w:r w:rsidR="008B0C13" w:rsidRPr="00DE6F54">
        <w:rPr>
          <w:sz w:val="18"/>
          <w:szCs w:val="18"/>
        </w:rPr>
        <w:t>o. 4, pp.159–161, 2008.</w:t>
      </w:r>
    </w:p>
    <w:p w:rsidR="008B0C13" w:rsidRPr="00DE6F54" w:rsidRDefault="00A8638B"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 xml:space="preserve">Ansari </w:t>
      </w:r>
      <w:r w:rsidR="008B0C13" w:rsidRPr="00DE6F54">
        <w:rPr>
          <w:bCs/>
          <w:sz w:val="18"/>
          <w:szCs w:val="18"/>
        </w:rPr>
        <w:t>M. R., M. S. Laghari, and K. B. Solangi,</w:t>
      </w:r>
      <w:r w:rsidR="008B0C13" w:rsidRPr="00DE6F54">
        <w:rPr>
          <w:sz w:val="18"/>
          <w:szCs w:val="18"/>
        </w:rPr>
        <w:t xml:space="preserve"> “Acute renal failure in pregnancy: one year observational study at Liaquat University Hospital, Hyderabad,” </w:t>
      </w:r>
      <w:r w:rsidR="008B0C13" w:rsidRPr="00DE6F54">
        <w:rPr>
          <w:i/>
          <w:iCs/>
          <w:sz w:val="18"/>
          <w:szCs w:val="18"/>
        </w:rPr>
        <w:t>Journal of the Pakistan MedicalAssociation</w:t>
      </w:r>
      <w:r w:rsidR="008B0C13" w:rsidRPr="00DE6F54">
        <w:rPr>
          <w:sz w:val="18"/>
          <w:szCs w:val="18"/>
        </w:rPr>
        <w:t>, vol. 58, no. 2, pp. 61–64, 2008.</w:t>
      </w:r>
    </w:p>
    <w:p w:rsidR="003736ED" w:rsidRPr="00DE6F54" w:rsidRDefault="003736ED"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Carty DM, Delles C, Dominiczak AF.</w:t>
      </w:r>
      <w:r w:rsidRPr="00DE6F54">
        <w:rPr>
          <w:sz w:val="18"/>
          <w:szCs w:val="18"/>
        </w:rPr>
        <w:t xml:space="preserve"> Preeclampsia and future maternal health. J Hypertens. 2010;28(7):1349-1355.</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Powe CE, Thadhani R (2011)</w:t>
      </w:r>
      <w:r w:rsidRPr="00DE6F54">
        <w:rPr>
          <w:sz w:val="18"/>
          <w:szCs w:val="18"/>
        </w:rPr>
        <w:t xml:space="preserve"> Diabetes and the kidney in pregnancy. Semin Nephrol 31(1):59–69</w:t>
      </w:r>
      <w:r w:rsidR="00DE6F54">
        <w:rPr>
          <w:sz w:val="18"/>
          <w:szCs w:val="18"/>
        </w:rPr>
        <w:t>.</w:t>
      </w:r>
    </w:p>
    <w:p w:rsidR="008B0C13" w:rsidRPr="00DE6F54" w:rsidRDefault="008B0C13" w:rsidP="00884FF1">
      <w:pPr>
        <w:numPr>
          <w:ilvl w:val="0"/>
          <w:numId w:val="7"/>
        </w:numPr>
        <w:tabs>
          <w:tab w:val="clear" w:pos="928"/>
        </w:tabs>
        <w:bidi w:val="0"/>
        <w:snapToGrid w:val="0"/>
        <w:ind w:left="425" w:hanging="425"/>
        <w:jc w:val="both"/>
        <w:rPr>
          <w:sz w:val="18"/>
          <w:szCs w:val="18"/>
        </w:rPr>
      </w:pPr>
      <w:r w:rsidRPr="00DE6F54">
        <w:rPr>
          <w:bCs/>
          <w:sz w:val="18"/>
          <w:szCs w:val="18"/>
        </w:rPr>
        <w:t xml:space="preserve">Khanal N, Ahmed E, Akhtar F: </w:t>
      </w:r>
      <w:r w:rsidRPr="00DE6F54">
        <w:rPr>
          <w:sz w:val="18"/>
          <w:szCs w:val="18"/>
        </w:rPr>
        <w:t>Factors predicting the outcome of acute renal failure inpregnancy. J Coll Physicians Surg Pak; 2010:599-603.</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rPr>
      </w:pPr>
      <w:r w:rsidRPr="00DE6F54">
        <w:rPr>
          <w:bCs/>
          <w:sz w:val="18"/>
          <w:szCs w:val="18"/>
        </w:rPr>
        <w:t xml:space="preserve">Alexopoulos E, Tambakoudis P, Bili H, Sakellarious G, Mantalenakis S </w:t>
      </w:r>
      <w:r w:rsidR="00A8638B" w:rsidRPr="00DE6F54">
        <w:rPr>
          <w:rFonts w:eastAsia="MinionPro-Regular-Identity-H"/>
          <w:bCs/>
          <w:i/>
          <w:iCs/>
          <w:sz w:val="18"/>
          <w:szCs w:val="18"/>
        </w:rPr>
        <w:t>et al.</w:t>
      </w:r>
      <w:r w:rsidR="00A8638B" w:rsidRPr="00DE6F54">
        <w:rPr>
          <w:rFonts w:eastAsia="MinionPro-Regular-Identity-H"/>
          <w:bCs/>
          <w:sz w:val="18"/>
          <w:szCs w:val="18"/>
        </w:rPr>
        <w:t xml:space="preserve"> </w:t>
      </w:r>
      <w:r w:rsidRPr="00DE6F54">
        <w:rPr>
          <w:sz w:val="18"/>
          <w:szCs w:val="18"/>
        </w:rPr>
        <w:t>Ren Fail 1993;15(5):609–13.</w:t>
      </w:r>
    </w:p>
    <w:p w:rsidR="00E05A40" w:rsidRPr="00DE6F54" w:rsidRDefault="00E05A40" w:rsidP="00884FF1">
      <w:pPr>
        <w:numPr>
          <w:ilvl w:val="0"/>
          <w:numId w:val="7"/>
        </w:numPr>
        <w:tabs>
          <w:tab w:val="clear" w:pos="928"/>
        </w:tabs>
        <w:bidi w:val="0"/>
        <w:snapToGrid w:val="0"/>
        <w:ind w:left="425" w:hanging="425"/>
        <w:jc w:val="both"/>
        <w:rPr>
          <w:sz w:val="18"/>
          <w:szCs w:val="18"/>
        </w:rPr>
      </w:pPr>
      <w:r w:rsidRPr="00DE6F54">
        <w:rPr>
          <w:bCs/>
          <w:sz w:val="18"/>
          <w:szCs w:val="18"/>
        </w:rPr>
        <w:t>Hassan I, Junejo AM, Dawani ML:</w:t>
      </w:r>
      <w:r w:rsidRPr="00DE6F54">
        <w:rPr>
          <w:sz w:val="18"/>
          <w:szCs w:val="18"/>
        </w:rPr>
        <w:t xml:space="preserve"> Etiology and outcome of acute renal failure in pregnancy.JColl Physicians Surg Pak 2009; 19: 714-717.</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lang w:bidi="ar-EG"/>
        </w:rPr>
      </w:pPr>
      <w:r w:rsidRPr="00DE6F54">
        <w:rPr>
          <w:bCs/>
          <w:sz w:val="18"/>
          <w:szCs w:val="18"/>
          <w:lang w:bidi="ar-EG"/>
        </w:rPr>
        <w:t>Yassamine Bentata</w:t>
      </w:r>
      <w:r w:rsidR="00DE6F54" w:rsidRPr="00DE6F54">
        <w:rPr>
          <w:bCs/>
          <w:sz w:val="18"/>
          <w:szCs w:val="18"/>
          <w:lang w:bidi="ar-EG"/>
        </w:rPr>
        <w:t>,</w:t>
      </w:r>
      <w:r w:rsidRPr="00DE6F54">
        <w:rPr>
          <w:bCs/>
          <w:sz w:val="18"/>
          <w:szCs w:val="18"/>
          <w:lang w:bidi="ar-EG"/>
        </w:rPr>
        <w:t xml:space="preserve"> Brahim Housni</w:t>
      </w:r>
      <w:r w:rsidR="00DE6F54" w:rsidRPr="00DE6F54">
        <w:rPr>
          <w:bCs/>
          <w:sz w:val="18"/>
          <w:szCs w:val="18"/>
          <w:lang w:bidi="ar-EG"/>
        </w:rPr>
        <w:t xml:space="preserve">, </w:t>
      </w:r>
      <w:r w:rsidRPr="00DE6F54">
        <w:rPr>
          <w:bCs/>
          <w:sz w:val="18"/>
          <w:szCs w:val="18"/>
          <w:lang w:bidi="ar-EG"/>
        </w:rPr>
        <w:t>Ahmed Mimouni</w:t>
      </w:r>
      <w:r w:rsidR="00DE6F54" w:rsidRPr="00DE6F54">
        <w:rPr>
          <w:bCs/>
          <w:sz w:val="18"/>
          <w:szCs w:val="18"/>
          <w:lang w:bidi="ar-EG"/>
        </w:rPr>
        <w:t>,</w:t>
      </w:r>
      <w:r w:rsidRPr="00DE6F54">
        <w:rPr>
          <w:bCs/>
          <w:sz w:val="18"/>
          <w:szCs w:val="18"/>
          <w:lang w:bidi="ar-EG"/>
        </w:rPr>
        <w:t xml:space="preserve"> Abderrahim Azzouzi</w:t>
      </w:r>
      <w:r w:rsidR="00DE6F54" w:rsidRPr="00DE6F54">
        <w:rPr>
          <w:bCs/>
          <w:sz w:val="18"/>
          <w:szCs w:val="18"/>
          <w:lang w:bidi="ar-EG"/>
        </w:rPr>
        <w:t xml:space="preserve">, </w:t>
      </w:r>
      <w:r w:rsidRPr="00DE6F54">
        <w:rPr>
          <w:bCs/>
          <w:sz w:val="18"/>
          <w:szCs w:val="18"/>
          <w:lang w:bidi="ar-EG"/>
        </w:rPr>
        <w:t>Redouane Abouqal:</w:t>
      </w:r>
      <w:r w:rsidR="00DE6F54" w:rsidRPr="00DE6F54">
        <w:rPr>
          <w:bCs/>
          <w:sz w:val="18"/>
          <w:szCs w:val="18"/>
          <w:lang w:bidi="ar-EG"/>
        </w:rPr>
        <w:t xml:space="preserve"> </w:t>
      </w:r>
      <w:r w:rsidRPr="00DE6F54">
        <w:rPr>
          <w:sz w:val="18"/>
          <w:szCs w:val="18"/>
          <w:lang w:bidi="ar-EG"/>
        </w:rPr>
        <w:t>Acute kidney injury related to pregnancy in developing countries: etiology and risk factors in an intensive care unit; JNEPHROL 2012; 25(05): 764-775.</w:t>
      </w:r>
    </w:p>
    <w:p w:rsidR="008B0C13" w:rsidRPr="00DE6F54" w:rsidRDefault="008B0C13" w:rsidP="00884FF1">
      <w:pPr>
        <w:numPr>
          <w:ilvl w:val="0"/>
          <w:numId w:val="7"/>
        </w:numPr>
        <w:tabs>
          <w:tab w:val="clear" w:pos="928"/>
        </w:tabs>
        <w:autoSpaceDE w:val="0"/>
        <w:autoSpaceDN w:val="0"/>
        <w:bidi w:val="0"/>
        <w:adjustRightInd w:val="0"/>
        <w:snapToGrid w:val="0"/>
        <w:ind w:left="425" w:hanging="425"/>
        <w:jc w:val="both"/>
        <w:rPr>
          <w:sz w:val="18"/>
          <w:szCs w:val="18"/>
          <w:lang w:bidi="ar-EG"/>
        </w:rPr>
      </w:pPr>
      <w:r w:rsidRPr="00DE6F54">
        <w:rPr>
          <w:bCs/>
          <w:sz w:val="18"/>
          <w:szCs w:val="18"/>
          <w:lang w:bidi="ar-EG"/>
        </w:rPr>
        <w:t>Mjahed K, Alaoui SY, Barrou L.</w:t>
      </w:r>
      <w:r w:rsidRPr="00DE6F54">
        <w:rPr>
          <w:sz w:val="18"/>
          <w:szCs w:val="18"/>
          <w:lang w:bidi="ar-EG"/>
        </w:rPr>
        <w:t xml:space="preserve"> Acute renal failure during eclampsia: incidence risks factors and outcome in intensive care unit. Ren Fail. 2004;26(3):215-221.</w:t>
      </w:r>
    </w:p>
    <w:p w:rsidR="008B0C13" w:rsidRPr="00DE6F54" w:rsidRDefault="00903289" w:rsidP="00884FF1">
      <w:pPr>
        <w:numPr>
          <w:ilvl w:val="0"/>
          <w:numId w:val="7"/>
        </w:numPr>
        <w:tabs>
          <w:tab w:val="clear" w:pos="928"/>
        </w:tabs>
        <w:autoSpaceDE w:val="0"/>
        <w:autoSpaceDN w:val="0"/>
        <w:bidi w:val="0"/>
        <w:adjustRightInd w:val="0"/>
        <w:snapToGrid w:val="0"/>
        <w:ind w:left="425" w:hanging="425"/>
        <w:jc w:val="both"/>
        <w:rPr>
          <w:sz w:val="18"/>
          <w:szCs w:val="18"/>
          <w:lang w:bidi="ar-EG"/>
        </w:rPr>
      </w:pPr>
      <w:hyperlink r:id="rId34" w:history="1">
        <w:r w:rsidR="008B0C13" w:rsidRPr="00DE6F54">
          <w:rPr>
            <w:bCs/>
            <w:sz w:val="18"/>
            <w:szCs w:val="18"/>
          </w:rPr>
          <w:t>Thangaratinam S</w:t>
        </w:r>
      </w:hyperlink>
      <w:r w:rsidR="008B0C13" w:rsidRPr="00DE6F54">
        <w:rPr>
          <w:bCs/>
          <w:sz w:val="18"/>
          <w:szCs w:val="18"/>
        </w:rPr>
        <w:t xml:space="preserve">, </w:t>
      </w:r>
      <w:hyperlink r:id="rId35" w:history="1">
        <w:r w:rsidR="008B0C13" w:rsidRPr="00DE6F54">
          <w:rPr>
            <w:bCs/>
            <w:sz w:val="18"/>
            <w:szCs w:val="18"/>
          </w:rPr>
          <w:t>Ismail KM</w:t>
        </w:r>
      </w:hyperlink>
      <w:r w:rsidR="008B0C13" w:rsidRPr="00DE6F54">
        <w:rPr>
          <w:bCs/>
          <w:sz w:val="18"/>
          <w:szCs w:val="18"/>
        </w:rPr>
        <w:t xml:space="preserve">, </w:t>
      </w:r>
      <w:hyperlink r:id="rId36" w:history="1">
        <w:r w:rsidR="008B0C13" w:rsidRPr="00DE6F54">
          <w:rPr>
            <w:bCs/>
            <w:sz w:val="18"/>
            <w:szCs w:val="18"/>
          </w:rPr>
          <w:t>Sharp S</w:t>
        </w:r>
      </w:hyperlink>
      <w:r w:rsidR="008B0C13" w:rsidRPr="00DE6F54">
        <w:rPr>
          <w:bCs/>
          <w:sz w:val="18"/>
          <w:szCs w:val="18"/>
        </w:rPr>
        <w:t xml:space="preserve">, </w:t>
      </w:r>
      <w:hyperlink r:id="rId37" w:history="1">
        <w:r w:rsidR="008B0C13" w:rsidRPr="00DE6F54">
          <w:rPr>
            <w:bCs/>
            <w:sz w:val="18"/>
            <w:szCs w:val="18"/>
          </w:rPr>
          <w:t>Coomarasamy A</w:t>
        </w:r>
      </w:hyperlink>
      <w:r w:rsidR="008B0C13" w:rsidRPr="00DE6F54">
        <w:rPr>
          <w:bCs/>
          <w:sz w:val="18"/>
          <w:szCs w:val="18"/>
        </w:rPr>
        <w:t xml:space="preserve">, </w:t>
      </w:r>
      <w:hyperlink r:id="rId38" w:history="1">
        <w:r w:rsidR="008B0C13" w:rsidRPr="00DE6F54">
          <w:rPr>
            <w:bCs/>
            <w:sz w:val="18"/>
            <w:szCs w:val="18"/>
          </w:rPr>
          <w:t>Khan KS</w:t>
        </w:r>
      </w:hyperlink>
      <w:r w:rsidR="008B0C13" w:rsidRPr="00DE6F54">
        <w:rPr>
          <w:bCs/>
          <w:sz w:val="18"/>
          <w:szCs w:val="18"/>
        </w:rPr>
        <w:t xml:space="preserve">; </w:t>
      </w:r>
      <w:hyperlink r:id="rId39" w:history="1">
        <w:r w:rsidR="008B0C13" w:rsidRPr="00DE6F54">
          <w:rPr>
            <w:sz w:val="18"/>
            <w:szCs w:val="18"/>
          </w:rPr>
          <w:t>Tests in Prediction of Pre-eclampsia Severity review group</w:t>
        </w:r>
      </w:hyperlink>
      <w:r w:rsidR="008B0C13" w:rsidRPr="00DE6F54">
        <w:rPr>
          <w:bCs/>
          <w:sz w:val="18"/>
          <w:szCs w:val="18"/>
          <w:lang w:bidi="ar-EG"/>
        </w:rPr>
        <w:t>:</w:t>
      </w:r>
      <w:r w:rsidR="008B0C13" w:rsidRPr="00DE6F54">
        <w:rPr>
          <w:sz w:val="18"/>
          <w:szCs w:val="18"/>
          <w:lang w:bidi="ar-EG"/>
        </w:rPr>
        <w:t xml:space="preserve">Accuracy of serum uric acid in predicting complications of pre-eclampsia: a systematic review; </w:t>
      </w:r>
      <w:hyperlink r:id="rId40" w:tooltip="BJOG : an international journal of obstetrics and gynaecology." w:history="1">
        <w:r w:rsidR="008B0C13" w:rsidRPr="00DE6F54">
          <w:rPr>
            <w:sz w:val="18"/>
            <w:szCs w:val="18"/>
          </w:rPr>
          <w:t>BJOG.</w:t>
        </w:r>
      </w:hyperlink>
      <w:r w:rsidR="008B0C13" w:rsidRPr="00DE6F54">
        <w:rPr>
          <w:sz w:val="18"/>
          <w:szCs w:val="18"/>
          <w:lang w:bidi="ar-EG"/>
        </w:rPr>
        <w:t xml:space="preserve"> 2006 Apr;113(4):369-78.</w:t>
      </w:r>
    </w:p>
    <w:p w:rsidR="00884FF1" w:rsidRPr="00A24675" w:rsidRDefault="00884FF1" w:rsidP="00884FF1">
      <w:pPr>
        <w:bidi w:val="0"/>
        <w:snapToGrid w:val="0"/>
        <w:ind w:left="425" w:hanging="425"/>
        <w:jc w:val="both"/>
        <w:rPr>
          <w:b/>
          <w:bCs/>
          <w:sz w:val="19"/>
          <w:szCs w:val="19"/>
          <w:lang w:bidi="ar-EG"/>
        </w:rPr>
        <w:sectPr w:rsidR="00884FF1" w:rsidRPr="00A24675" w:rsidSect="00DE6F54">
          <w:type w:val="continuous"/>
          <w:pgSz w:w="12242" w:h="15842" w:code="1"/>
          <w:pgMar w:top="1440" w:right="1440" w:bottom="1440" w:left="1440" w:header="720" w:footer="720" w:gutter="0"/>
          <w:cols w:num="2" w:space="600"/>
          <w:docGrid w:linePitch="360"/>
        </w:sectPr>
      </w:pPr>
    </w:p>
    <w:p w:rsidR="00276BD8" w:rsidRPr="00A24675" w:rsidRDefault="00276BD8" w:rsidP="00884FF1">
      <w:pPr>
        <w:bidi w:val="0"/>
        <w:snapToGrid w:val="0"/>
        <w:ind w:left="425" w:hanging="425"/>
        <w:jc w:val="both"/>
        <w:rPr>
          <w:b/>
          <w:bCs/>
          <w:sz w:val="19"/>
          <w:szCs w:val="19"/>
          <w:lang w:bidi="ar-EG"/>
        </w:rPr>
      </w:pPr>
    </w:p>
    <w:p w:rsidR="00265D91" w:rsidRPr="00884FF1" w:rsidRDefault="00E16BF6" w:rsidP="00884FF1">
      <w:pPr>
        <w:bidi w:val="0"/>
        <w:snapToGrid w:val="0"/>
        <w:ind w:left="425" w:hanging="425"/>
        <w:jc w:val="both"/>
        <w:rPr>
          <w:sz w:val="20"/>
          <w:szCs w:val="20"/>
          <w:lang w:bidi="ar-EG"/>
        </w:rPr>
      </w:pPr>
      <w:r w:rsidRPr="00884FF1">
        <w:rPr>
          <w:sz w:val="20"/>
          <w:szCs w:val="20"/>
          <w:lang w:bidi="ar-EG"/>
        </w:rPr>
        <w:t>2/20/2015</w:t>
      </w:r>
    </w:p>
    <w:sectPr w:rsidR="00265D91" w:rsidRPr="00884FF1" w:rsidSect="009D253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34C" w:rsidRDefault="0038734C" w:rsidP="00012521">
      <w:r>
        <w:separator/>
      </w:r>
    </w:p>
  </w:endnote>
  <w:endnote w:type="continuationSeparator" w:id="0">
    <w:p w:rsidR="0038734C" w:rsidRDefault="0038734C" w:rsidP="00012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F1" w:rsidRPr="00E16BF6" w:rsidRDefault="00903289" w:rsidP="00E16BF6">
    <w:pPr>
      <w:bidi w:val="0"/>
      <w:jc w:val="center"/>
      <w:rPr>
        <w:sz w:val="20"/>
      </w:rPr>
    </w:pPr>
    <w:r w:rsidRPr="00E16BF6">
      <w:rPr>
        <w:sz w:val="20"/>
      </w:rPr>
      <w:fldChar w:fldCharType="begin"/>
    </w:r>
    <w:r w:rsidR="00884FF1" w:rsidRPr="00E16BF6">
      <w:rPr>
        <w:sz w:val="20"/>
      </w:rPr>
      <w:instrText xml:space="preserve"> page </w:instrText>
    </w:r>
    <w:r w:rsidRPr="00E16BF6">
      <w:rPr>
        <w:sz w:val="20"/>
      </w:rPr>
      <w:fldChar w:fldCharType="separate"/>
    </w:r>
    <w:r w:rsidR="00F724CA">
      <w:rPr>
        <w:noProof/>
        <w:sz w:val="20"/>
      </w:rPr>
      <w:t>1</w:t>
    </w:r>
    <w:r w:rsidRPr="00E16BF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34C" w:rsidRDefault="0038734C" w:rsidP="00012521">
      <w:r>
        <w:separator/>
      </w:r>
    </w:p>
  </w:footnote>
  <w:footnote w:type="continuationSeparator" w:id="0">
    <w:p w:rsidR="0038734C" w:rsidRDefault="0038734C" w:rsidP="00012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F1" w:rsidRPr="00E16BF6" w:rsidRDefault="00884FF1" w:rsidP="00E16BF6">
    <w:pPr>
      <w:pBdr>
        <w:bottom w:val="thinThickMediumGap" w:sz="12" w:space="1" w:color="auto"/>
      </w:pBdr>
      <w:tabs>
        <w:tab w:val="left" w:pos="851"/>
        <w:tab w:val="right" w:pos="8364"/>
      </w:tabs>
      <w:bidi w:val="0"/>
      <w:adjustRightInd w:val="0"/>
      <w:snapToGrid w:val="0"/>
      <w:jc w:val="both"/>
      <w:rPr>
        <w:sz w:val="20"/>
        <w:szCs w:val="20"/>
      </w:rPr>
    </w:pPr>
    <w:r w:rsidRPr="00E16BF6">
      <w:rPr>
        <w:rFonts w:hint="eastAsia"/>
        <w:iCs/>
        <w:color w:val="000000"/>
        <w:sz w:val="20"/>
        <w:szCs w:val="20"/>
      </w:rPr>
      <w:tab/>
    </w:r>
    <w:r w:rsidRPr="00E16BF6">
      <w:rPr>
        <w:sz w:val="20"/>
        <w:szCs w:val="20"/>
      </w:rPr>
      <w:t>Nature and Science 201</w:t>
    </w:r>
    <w:r w:rsidRPr="00E16BF6">
      <w:rPr>
        <w:rFonts w:hint="eastAsia"/>
        <w:sz w:val="20"/>
        <w:szCs w:val="20"/>
      </w:rPr>
      <w:t>5</w:t>
    </w:r>
    <w:r w:rsidRPr="00E16BF6">
      <w:rPr>
        <w:sz w:val="20"/>
        <w:szCs w:val="20"/>
      </w:rPr>
      <w:t>;1</w:t>
    </w:r>
    <w:r w:rsidRPr="00E16BF6">
      <w:rPr>
        <w:rFonts w:hint="eastAsia"/>
        <w:sz w:val="20"/>
        <w:szCs w:val="20"/>
      </w:rPr>
      <w:t>3</w:t>
    </w:r>
    <w:r w:rsidRPr="00E16BF6">
      <w:rPr>
        <w:sz w:val="20"/>
        <w:szCs w:val="20"/>
      </w:rPr>
      <w:t>(</w:t>
    </w:r>
    <w:r w:rsidRPr="00E16BF6">
      <w:rPr>
        <w:rFonts w:hint="eastAsia"/>
        <w:sz w:val="20"/>
        <w:szCs w:val="20"/>
      </w:rPr>
      <w:t>3)</w:t>
    </w:r>
    <w:r w:rsidRPr="00E16BF6">
      <w:rPr>
        <w:color w:val="000000"/>
        <w:sz w:val="20"/>
        <w:szCs w:val="20"/>
      </w:rPr>
      <w:t xml:space="preserve"> </w:t>
    </w:r>
    <w:r w:rsidRPr="00E16BF6">
      <w:rPr>
        <w:rFonts w:hint="eastAsia"/>
        <w:color w:val="000000"/>
        <w:sz w:val="20"/>
        <w:szCs w:val="20"/>
      </w:rPr>
      <w:tab/>
    </w:r>
    <w:r w:rsidRPr="00E16BF6">
      <w:rPr>
        <w:color w:val="000000"/>
        <w:sz w:val="20"/>
        <w:szCs w:val="20"/>
      </w:rPr>
      <w:t xml:space="preserve"> </w:t>
    </w:r>
    <w:hyperlink r:id="rId1" w:history="1">
      <w:r w:rsidRPr="00E16BF6">
        <w:rPr>
          <w:rStyle w:val="Hyperlink"/>
          <w:color w:val="0000FF"/>
          <w:sz w:val="20"/>
          <w:szCs w:val="20"/>
        </w:rPr>
        <w:t>http://www.sciencepub.net/nature</w:t>
      </w:r>
    </w:hyperlink>
  </w:p>
  <w:p w:rsidR="00884FF1" w:rsidRPr="00E16BF6" w:rsidRDefault="00884FF1" w:rsidP="00E16BF6">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9E1834"/>
    <w:lvl w:ilvl="0">
      <w:numFmt w:val="bullet"/>
      <w:lvlText w:val="*"/>
      <w:lvlJc w:val="left"/>
    </w:lvl>
  </w:abstractNum>
  <w:abstractNum w:abstractNumId="1">
    <w:nsid w:val="218D5D6A"/>
    <w:multiLevelType w:val="hybridMultilevel"/>
    <w:tmpl w:val="C47E96E0"/>
    <w:lvl w:ilvl="0" w:tplc="85EE69C8">
      <w:start w:val="1"/>
      <w:numFmt w:val="decimal"/>
      <w:lvlText w:val="%1."/>
      <w:lvlJc w:val="left"/>
      <w:pPr>
        <w:tabs>
          <w:tab w:val="num" w:pos="928"/>
        </w:tabs>
        <w:ind w:left="928" w:hanging="360"/>
      </w:pPr>
      <w:rPr>
        <w:rFonts w:ascii="Times New Roman" w:hAnsi="Times New Roman" w:cs="Times New Roman" w:hint="default"/>
        <w:vertAlign w:val="baseline"/>
      </w:rPr>
    </w:lvl>
    <w:lvl w:ilvl="1" w:tplc="EB8018D2">
      <w:start w:val="1"/>
      <w:numFmt w:val="upperRoman"/>
      <w:lvlText w:val="%2."/>
      <w:lvlJc w:val="left"/>
      <w:pPr>
        <w:tabs>
          <w:tab w:val="num" w:pos="1800"/>
        </w:tabs>
        <w:ind w:left="1800" w:hanging="72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5281B62"/>
    <w:multiLevelType w:val="hybridMultilevel"/>
    <w:tmpl w:val="6B0C361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258C18D6"/>
    <w:multiLevelType w:val="hybridMultilevel"/>
    <w:tmpl w:val="D88C0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AD6923"/>
    <w:multiLevelType w:val="hybridMultilevel"/>
    <w:tmpl w:val="1F12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874565"/>
    <w:multiLevelType w:val="hybridMultilevel"/>
    <w:tmpl w:val="89E81618"/>
    <w:lvl w:ilvl="0" w:tplc="5F62A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D620E4"/>
    <w:multiLevelType w:val="hybridMultilevel"/>
    <w:tmpl w:val="07E64C2C"/>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num w:numId="1">
    <w:abstractNumId w:val="5"/>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D323F4"/>
    <w:rsid w:val="00001F4B"/>
    <w:rsid w:val="00012521"/>
    <w:rsid w:val="00021927"/>
    <w:rsid w:val="0004240E"/>
    <w:rsid w:val="00045901"/>
    <w:rsid w:val="000719C6"/>
    <w:rsid w:val="00075469"/>
    <w:rsid w:val="000771F6"/>
    <w:rsid w:val="000B395E"/>
    <w:rsid w:val="000F4F44"/>
    <w:rsid w:val="000F511D"/>
    <w:rsid w:val="00107BF8"/>
    <w:rsid w:val="00121C4C"/>
    <w:rsid w:val="001270D5"/>
    <w:rsid w:val="00150CAA"/>
    <w:rsid w:val="001561BF"/>
    <w:rsid w:val="00177800"/>
    <w:rsid w:val="00181689"/>
    <w:rsid w:val="00196755"/>
    <w:rsid w:val="001A7DC3"/>
    <w:rsid w:val="001C5282"/>
    <w:rsid w:val="001E6F60"/>
    <w:rsid w:val="001F006E"/>
    <w:rsid w:val="00203667"/>
    <w:rsid w:val="00220888"/>
    <w:rsid w:val="00243DDE"/>
    <w:rsid w:val="0024720E"/>
    <w:rsid w:val="00265D91"/>
    <w:rsid w:val="002673AD"/>
    <w:rsid w:val="00276BD8"/>
    <w:rsid w:val="00303C5E"/>
    <w:rsid w:val="00326066"/>
    <w:rsid w:val="0033024D"/>
    <w:rsid w:val="00330B96"/>
    <w:rsid w:val="0033192B"/>
    <w:rsid w:val="003435CA"/>
    <w:rsid w:val="003736ED"/>
    <w:rsid w:val="00374257"/>
    <w:rsid w:val="00377A05"/>
    <w:rsid w:val="00377FA2"/>
    <w:rsid w:val="0038734C"/>
    <w:rsid w:val="003959EC"/>
    <w:rsid w:val="003C54EA"/>
    <w:rsid w:val="00407C71"/>
    <w:rsid w:val="00414537"/>
    <w:rsid w:val="004318DA"/>
    <w:rsid w:val="00433C69"/>
    <w:rsid w:val="00446847"/>
    <w:rsid w:val="004546D5"/>
    <w:rsid w:val="00491D18"/>
    <w:rsid w:val="00497429"/>
    <w:rsid w:val="004B68E2"/>
    <w:rsid w:val="004C03F4"/>
    <w:rsid w:val="004C7FB1"/>
    <w:rsid w:val="004D2FB4"/>
    <w:rsid w:val="00500F0F"/>
    <w:rsid w:val="00516213"/>
    <w:rsid w:val="00522806"/>
    <w:rsid w:val="005369F3"/>
    <w:rsid w:val="0055039F"/>
    <w:rsid w:val="00562019"/>
    <w:rsid w:val="00566C99"/>
    <w:rsid w:val="00573F7C"/>
    <w:rsid w:val="005B030E"/>
    <w:rsid w:val="005B4E2D"/>
    <w:rsid w:val="005D1613"/>
    <w:rsid w:val="005D5A84"/>
    <w:rsid w:val="005E7935"/>
    <w:rsid w:val="00605216"/>
    <w:rsid w:val="00617934"/>
    <w:rsid w:val="00626DEB"/>
    <w:rsid w:val="00632722"/>
    <w:rsid w:val="0065153F"/>
    <w:rsid w:val="006738AA"/>
    <w:rsid w:val="00692B71"/>
    <w:rsid w:val="006D116B"/>
    <w:rsid w:val="006D22F3"/>
    <w:rsid w:val="006F6BDE"/>
    <w:rsid w:val="0071673A"/>
    <w:rsid w:val="007330A4"/>
    <w:rsid w:val="00745A69"/>
    <w:rsid w:val="00750DFF"/>
    <w:rsid w:val="007604E7"/>
    <w:rsid w:val="007630B2"/>
    <w:rsid w:val="00765CAC"/>
    <w:rsid w:val="0078157E"/>
    <w:rsid w:val="00792E16"/>
    <w:rsid w:val="00796E39"/>
    <w:rsid w:val="007D2687"/>
    <w:rsid w:val="008106E2"/>
    <w:rsid w:val="00813DA4"/>
    <w:rsid w:val="00831298"/>
    <w:rsid w:val="00842EFA"/>
    <w:rsid w:val="0085708C"/>
    <w:rsid w:val="00867E68"/>
    <w:rsid w:val="008715FC"/>
    <w:rsid w:val="00884FF1"/>
    <w:rsid w:val="00886CA6"/>
    <w:rsid w:val="008910F9"/>
    <w:rsid w:val="008A359D"/>
    <w:rsid w:val="008B0C13"/>
    <w:rsid w:val="008B4858"/>
    <w:rsid w:val="008C0EA5"/>
    <w:rsid w:val="008E06B4"/>
    <w:rsid w:val="008E2CDB"/>
    <w:rsid w:val="008F6AD2"/>
    <w:rsid w:val="00903289"/>
    <w:rsid w:val="009325BB"/>
    <w:rsid w:val="00936963"/>
    <w:rsid w:val="00954280"/>
    <w:rsid w:val="00966151"/>
    <w:rsid w:val="00971D25"/>
    <w:rsid w:val="0097229C"/>
    <w:rsid w:val="00987E25"/>
    <w:rsid w:val="009A1397"/>
    <w:rsid w:val="009A757F"/>
    <w:rsid w:val="009C2823"/>
    <w:rsid w:val="009C41B6"/>
    <w:rsid w:val="009D2530"/>
    <w:rsid w:val="009D3480"/>
    <w:rsid w:val="009E05E8"/>
    <w:rsid w:val="00A05985"/>
    <w:rsid w:val="00A06ADC"/>
    <w:rsid w:val="00A22819"/>
    <w:rsid w:val="00A24675"/>
    <w:rsid w:val="00A30F40"/>
    <w:rsid w:val="00A54869"/>
    <w:rsid w:val="00A61ACB"/>
    <w:rsid w:val="00A61D1D"/>
    <w:rsid w:val="00A8638B"/>
    <w:rsid w:val="00AB65B9"/>
    <w:rsid w:val="00AE5D40"/>
    <w:rsid w:val="00B05198"/>
    <w:rsid w:val="00B344CE"/>
    <w:rsid w:val="00B3634D"/>
    <w:rsid w:val="00B52B41"/>
    <w:rsid w:val="00B554F0"/>
    <w:rsid w:val="00B95A1F"/>
    <w:rsid w:val="00BA3ADE"/>
    <w:rsid w:val="00BC3AD7"/>
    <w:rsid w:val="00BD61EC"/>
    <w:rsid w:val="00BE091F"/>
    <w:rsid w:val="00BE1E0B"/>
    <w:rsid w:val="00BF4721"/>
    <w:rsid w:val="00C32377"/>
    <w:rsid w:val="00C36799"/>
    <w:rsid w:val="00C50622"/>
    <w:rsid w:val="00C53DBB"/>
    <w:rsid w:val="00C57D02"/>
    <w:rsid w:val="00C615E9"/>
    <w:rsid w:val="00C76212"/>
    <w:rsid w:val="00C944E9"/>
    <w:rsid w:val="00CD009B"/>
    <w:rsid w:val="00CF0C3B"/>
    <w:rsid w:val="00CF168D"/>
    <w:rsid w:val="00D13B06"/>
    <w:rsid w:val="00D2400C"/>
    <w:rsid w:val="00D323F4"/>
    <w:rsid w:val="00D55212"/>
    <w:rsid w:val="00D62564"/>
    <w:rsid w:val="00D772DD"/>
    <w:rsid w:val="00DA23B7"/>
    <w:rsid w:val="00DB1E16"/>
    <w:rsid w:val="00DC640C"/>
    <w:rsid w:val="00DE6F54"/>
    <w:rsid w:val="00DF5186"/>
    <w:rsid w:val="00E01C32"/>
    <w:rsid w:val="00E05A40"/>
    <w:rsid w:val="00E15C81"/>
    <w:rsid w:val="00E16BF6"/>
    <w:rsid w:val="00E201E7"/>
    <w:rsid w:val="00E669C6"/>
    <w:rsid w:val="00EB5758"/>
    <w:rsid w:val="00EC3D59"/>
    <w:rsid w:val="00ED04F7"/>
    <w:rsid w:val="00F2691F"/>
    <w:rsid w:val="00F34AC6"/>
    <w:rsid w:val="00F546DB"/>
    <w:rsid w:val="00F6081A"/>
    <w:rsid w:val="00F707FB"/>
    <w:rsid w:val="00F724CA"/>
    <w:rsid w:val="00F8674E"/>
    <w:rsid w:val="00FE3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2D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20E"/>
    <w:pPr>
      <w:ind w:left="720"/>
      <w:contextualSpacing/>
    </w:pPr>
  </w:style>
  <w:style w:type="character" w:styleId="Hyperlink">
    <w:name w:val="Hyperlink"/>
    <w:basedOn w:val="DefaultParagraphFont"/>
    <w:uiPriority w:val="99"/>
    <w:unhideWhenUsed/>
    <w:rsid w:val="00D62564"/>
    <w:rPr>
      <w:color w:val="0000FF" w:themeColor="hyperlink"/>
      <w:u w:val="single"/>
    </w:rPr>
  </w:style>
  <w:style w:type="character" w:styleId="HTMLCite">
    <w:name w:val="HTML Cite"/>
    <w:basedOn w:val="DefaultParagraphFont"/>
    <w:uiPriority w:val="99"/>
    <w:semiHidden/>
    <w:unhideWhenUsed/>
    <w:rsid w:val="0065153F"/>
    <w:rPr>
      <w:i/>
      <w:iCs/>
    </w:rPr>
  </w:style>
  <w:style w:type="paragraph" w:styleId="BalloonText">
    <w:name w:val="Balloon Text"/>
    <w:basedOn w:val="Normal"/>
    <w:link w:val="BalloonTextChar"/>
    <w:uiPriority w:val="99"/>
    <w:semiHidden/>
    <w:unhideWhenUsed/>
    <w:rsid w:val="00243DDE"/>
    <w:rPr>
      <w:rFonts w:ascii="Tahoma" w:hAnsi="Tahoma" w:cs="Tahoma"/>
      <w:sz w:val="16"/>
      <w:szCs w:val="16"/>
    </w:rPr>
  </w:style>
  <w:style w:type="character" w:customStyle="1" w:styleId="BalloonTextChar">
    <w:name w:val="Balloon Text Char"/>
    <w:basedOn w:val="DefaultParagraphFont"/>
    <w:link w:val="BalloonText"/>
    <w:uiPriority w:val="99"/>
    <w:semiHidden/>
    <w:rsid w:val="00243DDE"/>
    <w:rPr>
      <w:rFonts w:ascii="Tahoma" w:eastAsia="Times New Roman" w:hAnsi="Tahoma" w:cs="Tahoma"/>
      <w:sz w:val="16"/>
      <w:szCs w:val="16"/>
    </w:rPr>
  </w:style>
  <w:style w:type="paragraph" w:styleId="Header">
    <w:name w:val="header"/>
    <w:basedOn w:val="Normal"/>
    <w:link w:val="HeaderChar"/>
    <w:uiPriority w:val="99"/>
    <w:semiHidden/>
    <w:unhideWhenUsed/>
    <w:rsid w:val="00012521"/>
    <w:pPr>
      <w:tabs>
        <w:tab w:val="center" w:pos="4153"/>
        <w:tab w:val="right" w:pos="8306"/>
      </w:tabs>
    </w:pPr>
  </w:style>
  <w:style w:type="character" w:customStyle="1" w:styleId="HeaderChar">
    <w:name w:val="Header Char"/>
    <w:basedOn w:val="DefaultParagraphFont"/>
    <w:link w:val="Header"/>
    <w:uiPriority w:val="99"/>
    <w:semiHidden/>
    <w:rsid w:val="0001252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12521"/>
    <w:pPr>
      <w:tabs>
        <w:tab w:val="center" w:pos="4153"/>
        <w:tab w:val="right" w:pos="8306"/>
      </w:tabs>
    </w:pPr>
  </w:style>
  <w:style w:type="character" w:customStyle="1" w:styleId="FooterChar">
    <w:name w:val="Footer Char"/>
    <w:basedOn w:val="DefaultParagraphFont"/>
    <w:link w:val="Footer"/>
    <w:uiPriority w:val="99"/>
    <w:semiHidden/>
    <w:rsid w:val="00012521"/>
    <w:rPr>
      <w:rFonts w:ascii="Times New Roman" w:eastAsia="Times New Roman" w:hAnsi="Times New Roman" w:cs="Times New Roman"/>
      <w:sz w:val="24"/>
      <w:szCs w:val="24"/>
    </w:rPr>
  </w:style>
  <w:style w:type="table" w:styleId="TableGrid">
    <w:name w:val="Table Grid"/>
    <w:basedOn w:val="TableNormal"/>
    <w:uiPriority w:val="99"/>
    <w:rsid w:val="00DF5186"/>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7E68"/>
    <w:rPr>
      <w:sz w:val="16"/>
      <w:szCs w:val="16"/>
    </w:rPr>
  </w:style>
  <w:style w:type="paragraph" w:styleId="CommentText">
    <w:name w:val="annotation text"/>
    <w:basedOn w:val="Normal"/>
    <w:link w:val="CommentTextChar"/>
    <w:uiPriority w:val="99"/>
    <w:semiHidden/>
    <w:unhideWhenUsed/>
    <w:rsid w:val="00867E68"/>
    <w:rPr>
      <w:sz w:val="20"/>
      <w:szCs w:val="20"/>
    </w:rPr>
  </w:style>
  <w:style w:type="character" w:customStyle="1" w:styleId="CommentTextChar">
    <w:name w:val="Comment Text Char"/>
    <w:basedOn w:val="DefaultParagraphFont"/>
    <w:link w:val="CommentText"/>
    <w:uiPriority w:val="99"/>
    <w:semiHidden/>
    <w:rsid w:val="00867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E68"/>
    <w:rPr>
      <w:b/>
      <w:bCs/>
    </w:rPr>
  </w:style>
  <w:style w:type="character" w:customStyle="1" w:styleId="CommentSubjectChar">
    <w:name w:val="Comment Subject Char"/>
    <w:basedOn w:val="CommentTextChar"/>
    <w:link w:val="CommentSubject"/>
    <w:uiPriority w:val="99"/>
    <w:semiHidden/>
    <w:rsid w:val="00867E6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2D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20E"/>
    <w:pPr>
      <w:ind w:left="720"/>
      <w:contextualSpacing/>
    </w:pPr>
  </w:style>
  <w:style w:type="character" w:styleId="Hyperlink">
    <w:name w:val="Hyperlink"/>
    <w:basedOn w:val="DefaultParagraphFont"/>
    <w:uiPriority w:val="99"/>
    <w:unhideWhenUsed/>
    <w:rsid w:val="00D62564"/>
    <w:rPr>
      <w:color w:val="0000FF" w:themeColor="hyperlink"/>
      <w:u w:val="single"/>
    </w:rPr>
  </w:style>
  <w:style w:type="character" w:styleId="HTMLCite">
    <w:name w:val="HTML Cite"/>
    <w:basedOn w:val="DefaultParagraphFont"/>
    <w:uiPriority w:val="99"/>
    <w:semiHidden/>
    <w:unhideWhenUsed/>
    <w:rsid w:val="0065153F"/>
    <w:rPr>
      <w:i/>
      <w:iCs/>
    </w:rPr>
  </w:style>
  <w:style w:type="paragraph" w:styleId="BalloonText">
    <w:name w:val="Balloon Text"/>
    <w:basedOn w:val="Normal"/>
    <w:link w:val="BalloonTextChar"/>
    <w:uiPriority w:val="99"/>
    <w:semiHidden/>
    <w:unhideWhenUsed/>
    <w:rsid w:val="00243DDE"/>
    <w:rPr>
      <w:rFonts w:ascii="Tahoma" w:hAnsi="Tahoma" w:cs="Tahoma"/>
      <w:sz w:val="16"/>
      <w:szCs w:val="16"/>
    </w:rPr>
  </w:style>
  <w:style w:type="character" w:customStyle="1" w:styleId="BalloonTextChar">
    <w:name w:val="Balloon Text Char"/>
    <w:basedOn w:val="DefaultParagraphFont"/>
    <w:link w:val="BalloonText"/>
    <w:uiPriority w:val="99"/>
    <w:semiHidden/>
    <w:rsid w:val="00243DDE"/>
    <w:rPr>
      <w:rFonts w:ascii="Tahoma" w:eastAsia="Times New Roman" w:hAnsi="Tahoma" w:cs="Tahoma"/>
      <w:sz w:val="16"/>
      <w:szCs w:val="16"/>
    </w:rPr>
  </w:style>
  <w:style w:type="paragraph" w:styleId="Header">
    <w:name w:val="header"/>
    <w:basedOn w:val="Normal"/>
    <w:link w:val="HeaderChar"/>
    <w:uiPriority w:val="99"/>
    <w:semiHidden/>
    <w:unhideWhenUsed/>
    <w:rsid w:val="00012521"/>
    <w:pPr>
      <w:tabs>
        <w:tab w:val="center" w:pos="4153"/>
        <w:tab w:val="right" w:pos="8306"/>
      </w:tabs>
    </w:pPr>
  </w:style>
  <w:style w:type="character" w:customStyle="1" w:styleId="HeaderChar">
    <w:name w:val="Header Char"/>
    <w:basedOn w:val="DefaultParagraphFont"/>
    <w:link w:val="Header"/>
    <w:uiPriority w:val="99"/>
    <w:semiHidden/>
    <w:rsid w:val="0001252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12521"/>
    <w:pPr>
      <w:tabs>
        <w:tab w:val="center" w:pos="4153"/>
        <w:tab w:val="right" w:pos="8306"/>
      </w:tabs>
    </w:pPr>
  </w:style>
  <w:style w:type="character" w:customStyle="1" w:styleId="FooterChar">
    <w:name w:val="Footer Char"/>
    <w:basedOn w:val="DefaultParagraphFont"/>
    <w:link w:val="Footer"/>
    <w:uiPriority w:val="99"/>
    <w:semiHidden/>
    <w:rsid w:val="00012521"/>
    <w:rPr>
      <w:rFonts w:ascii="Times New Roman" w:eastAsia="Times New Roman" w:hAnsi="Times New Roman" w:cs="Times New Roman"/>
      <w:sz w:val="24"/>
      <w:szCs w:val="24"/>
    </w:rPr>
  </w:style>
  <w:style w:type="table" w:styleId="TableGrid">
    <w:name w:val="Table Grid"/>
    <w:basedOn w:val="TableNormal"/>
    <w:uiPriority w:val="99"/>
    <w:rsid w:val="00DF5186"/>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67E68"/>
    <w:rPr>
      <w:sz w:val="16"/>
      <w:szCs w:val="16"/>
    </w:rPr>
  </w:style>
  <w:style w:type="paragraph" w:styleId="CommentText">
    <w:name w:val="annotation text"/>
    <w:basedOn w:val="Normal"/>
    <w:link w:val="CommentTextChar"/>
    <w:uiPriority w:val="99"/>
    <w:semiHidden/>
    <w:unhideWhenUsed/>
    <w:rsid w:val="00867E68"/>
    <w:rPr>
      <w:sz w:val="20"/>
      <w:szCs w:val="20"/>
    </w:rPr>
  </w:style>
  <w:style w:type="character" w:customStyle="1" w:styleId="CommentTextChar">
    <w:name w:val="Comment Text Char"/>
    <w:basedOn w:val="DefaultParagraphFont"/>
    <w:link w:val="CommentText"/>
    <w:uiPriority w:val="99"/>
    <w:semiHidden/>
    <w:rsid w:val="00867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E68"/>
    <w:rPr>
      <w:b/>
      <w:bCs/>
    </w:rPr>
  </w:style>
  <w:style w:type="character" w:customStyle="1" w:styleId="CommentSubjectChar">
    <w:name w:val="Comment Subject Char"/>
    <w:basedOn w:val="CommentTextChar"/>
    <w:link w:val="CommentSubject"/>
    <w:uiPriority w:val="99"/>
    <w:semiHidden/>
    <w:rsid w:val="00867E68"/>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emf"/><Relationship Id="rId18" Type="http://schemas.openxmlformats.org/officeDocument/2006/relationships/package" Target="embeddings/Microsoft_Office_Excel_2007_Workbook3333.xlsx"/><Relationship Id="rId26" Type="http://schemas.openxmlformats.org/officeDocument/2006/relationships/package" Target="embeddings/Microsoft_Office_Excel_2007_Workbook7777.xlsx"/><Relationship Id="rId39" Type="http://schemas.openxmlformats.org/officeDocument/2006/relationships/hyperlink" Target="http://www.ncbi.nlm.nih.gov/pubmed?term=Tests%20in%20Prediction%20of%20Pre-eclampsia%20Severity%20review%20group%5BCorporate%20Author%5D" TargetMode="External"/><Relationship Id="rId3" Type="http://schemas.openxmlformats.org/officeDocument/2006/relationships/settings" Target="settings.xml"/><Relationship Id="rId21" Type="http://schemas.openxmlformats.org/officeDocument/2006/relationships/image" Target="media/image7.emf"/><Relationship Id="rId34" Type="http://schemas.openxmlformats.org/officeDocument/2006/relationships/hyperlink" Target="http://www.ncbi.nlm.nih.gov/pubmed?term=Thangaratinam%20S%5BAuthor%5D&amp;cauthor=true&amp;cauthor_uid=16553648" TargetMode="External"/><Relationship Id="rId42" Type="http://schemas.openxmlformats.org/officeDocument/2006/relationships/theme" Target="theme/theme1.xml"/><Relationship Id="rId7" Type="http://schemas.openxmlformats.org/officeDocument/2006/relationships/hyperlink" Target="mailto:monaelnaggar82@yahoo.com" TargetMode="Externa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yperlink" Target="http://www.sjkdt.org/searchresult.asp?search=&amp;author=Suraj+M+Godara&amp;journal=Y&amp;but_search=Search&amp;entries=10&amp;pg=1&amp;s=0" TargetMode="External"/><Relationship Id="rId38" Type="http://schemas.openxmlformats.org/officeDocument/2006/relationships/hyperlink" Target="http://www.ncbi.nlm.nih.gov/pubmed?term=Khan%20KS%5BAuthor%5D&amp;cauthor=true&amp;cauthor_uid=16553648" TargetMode="External"/><Relationship Id="rId2" Type="http://schemas.openxmlformats.org/officeDocument/2006/relationships/styles" Target="styles.xml"/><Relationship Id="rId16" Type="http://schemas.openxmlformats.org/officeDocument/2006/relationships/package" Target="embeddings/Microsoft_Office_Excel_2007_Workbook2222.xlsx"/><Relationship Id="rId20" Type="http://schemas.openxmlformats.org/officeDocument/2006/relationships/package" Target="embeddings/Microsoft_Office_Excel_2007_Workbook4444.xlsx"/><Relationship Id="rId29" Type="http://schemas.openxmlformats.org/officeDocument/2006/relationships/hyperlink" Target="http://www.ncbi.nlm.nih.gov/pubmed?term=Thangaratinam%20S%5BAuthor%5D&amp;cauthor=true&amp;cauthor_uid=1655364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package" Target="embeddings/Microsoft_Office_Excel_2007_Workbook6666.xlsx"/><Relationship Id="rId32" Type="http://schemas.openxmlformats.org/officeDocument/2006/relationships/hyperlink" Target="http://ckj.oxfordjournals.org/search?author1=Sofia+Jorge&amp;sortspec=date&amp;submit=Submit" TargetMode="External"/><Relationship Id="rId37" Type="http://schemas.openxmlformats.org/officeDocument/2006/relationships/hyperlink" Target="http://www.ncbi.nlm.nih.gov/pubmed?term=Coomarasamy%20A%5BAuthor%5D&amp;cauthor=true&amp;cauthor_uid=16553648" TargetMode="External"/><Relationship Id="rId40" Type="http://schemas.openxmlformats.org/officeDocument/2006/relationships/hyperlink" Target="file:///C:\Users\master%20team\Desktop\discussion\Accuracy%20of%20serum%20uric%20acid%20in%20predicting%20complications%20of%20pre-ecla...%20-%20PubMed%20-%20NCBI.htm" TargetMode="Externa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yperlink" Target="http://www.sjkdt.org/searchresult.asp?search=&amp;author=Suraj+M+Godara&amp;journal=Y&amp;but_search=Search&amp;entries=10&amp;pg=1&amp;s=0" TargetMode="External"/><Relationship Id="rId36" Type="http://schemas.openxmlformats.org/officeDocument/2006/relationships/hyperlink" Target="http://www.ncbi.nlm.nih.gov/pubmed?term=Sharp%20S%5BAuthor%5D&amp;cauthor=true&amp;cauthor_uid=16553648" TargetMode="Externa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hyperlink" Target="http://ckj.oxfordjournals.org/search?author1=Jos%C3%A9+Ant%C3%B3nio+Lopes&amp;sortspec=date&amp;submit=Submi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package" Target="embeddings/Microsoft_Office_Excel_2007_Workbook1111.xlsx"/><Relationship Id="rId22" Type="http://schemas.openxmlformats.org/officeDocument/2006/relationships/package" Target="embeddings/Microsoft_Office_Excel_2007_Workbook5555.xlsx"/><Relationship Id="rId27" Type="http://schemas.openxmlformats.org/officeDocument/2006/relationships/image" Target="media/image10.png"/><Relationship Id="rId30" Type="http://schemas.openxmlformats.org/officeDocument/2006/relationships/hyperlink" Target="mailto:monaelnaggar82@yahoo.com" TargetMode="External"/><Relationship Id="rId35" Type="http://schemas.openxmlformats.org/officeDocument/2006/relationships/hyperlink" Target="http://www.ncbi.nlm.nih.gov/pubmed?term=Ismail%20KM%5BAuthor%5D&amp;cauthor=true&amp;cauthor_uid=16553648" TargetMode="Externa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5808</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 team</dc:creator>
  <cp:lastModifiedBy>Administrator</cp:lastModifiedBy>
  <cp:revision>5</cp:revision>
  <cp:lastPrinted>2015-02-23T02:47:00Z</cp:lastPrinted>
  <dcterms:created xsi:type="dcterms:W3CDTF">2015-02-22T08:18:00Z</dcterms:created>
  <dcterms:modified xsi:type="dcterms:W3CDTF">2015-02-23T03:41:00Z</dcterms:modified>
</cp:coreProperties>
</file>