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C4" w:rsidRPr="00AB6A32" w:rsidRDefault="003E44C4" w:rsidP="00AB6A32">
      <w:pPr>
        <w:snapToGrid w:val="0"/>
        <w:spacing w:after="0" w:line="240" w:lineRule="auto"/>
        <w:contextualSpacing/>
        <w:jc w:val="center"/>
        <w:rPr>
          <w:rFonts w:ascii="Times New Roman" w:eastAsia="Times New Roman" w:hAnsi="Times New Roman" w:cs="Times New Roman"/>
          <w:b/>
          <w:bCs/>
          <w:sz w:val="20"/>
          <w:szCs w:val="20"/>
          <w:lang w:bidi="ar-EG"/>
        </w:rPr>
      </w:pPr>
      <w:proofErr w:type="gramStart"/>
      <w:r w:rsidRPr="00AB6A32">
        <w:rPr>
          <w:rFonts w:ascii="Times New Roman" w:eastAsia="Times New Roman" w:hAnsi="Times New Roman" w:cs="Times New Roman"/>
          <w:b/>
          <w:bCs/>
          <w:sz w:val="20"/>
          <w:szCs w:val="20"/>
          <w:lang w:bidi="ar-EG"/>
        </w:rPr>
        <w:t>Effect of Aerobic Exercise, Vitamin K and Vitamin D on</w:t>
      </w:r>
      <w:r w:rsidR="002E0F84">
        <w:rPr>
          <w:rFonts w:ascii="Times New Roman" w:eastAsia="Times New Roman" w:hAnsi="Times New Roman" w:cs="Times New Roman"/>
          <w:b/>
          <w:bCs/>
          <w:sz w:val="20"/>
          <w:szCs w:val="20"/>
          <w:lang w:bidi="ar-EG"/>
        </w:rPr>
        <w:t xml:space="preserve"> </w:t>
      </w:r>
      <w:r w:rsidRPr="00AB6A32">
        <w:rPr>
          <w:rFonts w:ascii="Times New Roman" w:eastAsia="Times New Roman" w:hAnsi="Times New Roman" w:cs="Times New Roman"/>
          <w:b/>
          <w:bCs/>
          <w:sz w:val="20"/>
          <w:szCs w:val="20"/>
          <w:lang w:bidi="ar-EG"/>
        </w:rPr>
        <w:t>Bone Metabolism in Ovariectomized Adult Rats.</w:t>
      </w:r>
      <w:proofErr w:type="gramEnd"/>
    </w:p>
    <w:p w:rsidR="003E44C4" w:rsidRPr="00AB6A32" w:rsidRDefault="003E44C4" w:rsidP="00AB6A32">
      <w:pPr>
        <w:snapToGrid w:val="0"/>
        <w:spacing w:after="0" w:line="240" w:lineRule="auto"/>
        <w:contextualSpacing/>
        <w:jc w:val="center"/>
        <w:rPr>
          <w:rFonts w:ascii="Times New Roman" w:eastAsia="Times New Roman" w:hAnsi="Times New Roman" w:cs="Times New Roman"/>
          <w:b/>
          <w:bCs/>
          <w:sz w:val="20"/>
          <w:szCs w:val="20"/>
          <w:lang w:bidi="ar-EG"/>
        </w:rPr>
      </w:pPr>
    </w:p>
    <w:p w:rsidR="003E44C4" w:rsidRPr="00AB6A32" w:rsidRDefault="003E44C4" w:rsidP="00AB6A32">
      <w:pPr>
        <w:snapToGrid w:val="0"/>
        <w:spacing w:after="0" w:line="240" w:lineRule="auto"/>
        <w:jc w:val="center"/>
        <w:outlineLvl w:val="1"/>
        <w:rPr>
          <w:rFonts w:ascii="Times New Roman" w:hAnsi="Times New Roman" w:cs="Times New Roman"/>
          <w:sz w:val="20"/>
          <w:szCs w:val="20"/>
          <w:lang w:val="en-GB" w:eastAsia="zh-CN"/>
        </w:rPr>
      </w:pPr>
      <w:r w:rsidRPr="00AB6A32">
        <w:rPr>
          <w:rFonts w:ascii="Times New Roman" w:eastAsia="Times New Roman" w:hAnsi="Times New Roman" w:cs="Times New Roman"/>
          <w:sz w:val="20"/>
          <w:szCs w:val="20"/>
        </w:rPr>
        <w:t>Aziza Khalil</w:t>
      </w:r>
      <w:r w:rsidRPr="00AB6A32">
        <w:rPr>
          <w:rFonts w:ascii="Times New Roman" w:eastAsia="Times New Roman" w:hAnsi="Times New Roman" w:cs="Times New Roman"/>
          <w:sz w:val="20"/>
          <w:szCs w:val="20"/>
          <w:lang w:val="en-GB"/>
        </w:rPr>
        <w:t xml:space="preserve"> and Gehan A. Youssef</w:t>
      </w:r>
    </w:p>
    <w:p w:rsidR="00412D35" w:rsidRPr="00AB6A32" w:rsidRDefault="00412D35" w:rsidP="00AB6A32">
      <w:pPr>
        <w:snapToGrid w:val="0"/>
        <w:spacing w:after="0" w:line="240" w:lineRule="auto"/>
        <w:jc w:val="center"/>
        <w:outlineLvl w:val="1"/>
        <w:rPr>
          <w:rFonts w:ascii="Times New Roman" w:hAnsi="Times New Roman" w:cs="Times New Roman"/>
          <w:sz w:val="20"/>
          <w:szCs w:val="20"/>
          <w:lang w:val="en-GB" w:eastAsia="zh-CN"/>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val="en-GB"/>
        </w:rPr>
      </w:pPr>
      <w:r w:rsidRPr="00AB6A32">
        <w:rPr>
          <w:rFonts w:ascii="Times New Roman" w:eastAsia="Times New Roman" w:hAnsi="Times New Roman" w:cs="Times New Roman"/>
          <w:sz w:val="20"/>
          <w:szCs w:val="20"/>
        </w:rPr>
        <w:t>Medical Physiology Department, Faculty of Medicine (Girls) Al-Azhar University</w:t>
      </w:r>
      <w:r w:rsidRPr="00AB6A32">
        <w:rPr>
          <w:rFonts w:ascii="Times New Roman" w:eastAsia="Times New Roman" w:hAnsi="Times New Roman" w:cs="Times New Roman"/>
          <w:sz w:val="20"/>
          <w:szCs w:val="20"/>
          <w:lang w:val="en-GB"/>
        </w:rPr>
        <w:t>, Egypt</w:t>
      </w:r>
    </w:p>
    <w:p w:rsidR="003E44C4" w:rsidRPr="00AB6A32" w:rsidRDefault="004E7994" w:rsidP="00AB6A32">
      <w:pPr>
        <w:snapToGrid w:val="0"/>
        <w:spacing w:after="0" w:line="240" w:lineRule="auto"/>
        <w:jc w:val="center"/>
        <w:rPr>
          <w:rFonts w:ascii="Times New Roman" w:eastAsia="Times New Roman" w:hAnsi="Times New Roman" w:cs="Times New Roman"/>
          <w:sz w:val="20"/>
          <w:szCs w:val="20"/>
          <w:lang w:val="en-GB"/>
        </w:rPr>
      </w:pPr>
      <w:hyperlink r:id="rId8" w:history="1">
        <w:r w:rsidR="003E44C4" w:rsidRPr="00AB6A32">
          <w:rPr>
            <w:rStyle w:val="Hyperlink"/>
            <w:rFonts w:ascii="Times New Roman" w:eastAsia="Times New Roman" w:hAnsi="Times New Roman" w:cs="Times New Roman"/>
            <w:sz w:val="20"/>
            <w:szCs w:val="20"/>
            <w:lang w:val="en-GB"/>
          </w:rPr>
          <w:t>gehanphysiology@yahoo.com</w:t>
        </w:r>
      </w:hyperlink>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val="en-GB"/>
        </w:rPr>
      </w:pPr>
    </w:p>
    <w:p w:rsidR="003E44C4" w:rsidRPr="00AB6A32" w:rsidRDefault="003E44C4" w:rsidP="00AB6A32">
      <w:pPr>
        <w:pStyle w:val="ListParagraph"/>
        <w:snapToGrid w:val="0"/>
        <w:spacing w:before="0" w:line="240" w:lineRule="auto"/>
        <w:ind w:left="0" w:firstLine="0"/>
        <w:jc w:val="both"/>
        <w:rPr>
          <w:sz w:val="20"/>
          <w:szCs w:val="20"/>
        </w:rPr>
      </w:pPr>
      <w:r w:rsidRPr="00AB6A32">
        <w:rPr>
          <w:b/>
          <w:bCs/>
          <w:sz w:val="20"/>
          <w:szCs w:val="20"/>
        </w:rPr>
        <w:t>Abstract:</w:t>
      </w:r>
      <w:r w:rsidRPr="00AB6A32">
        <w:rPr>
          <w:sz w:val="20"/>
          <w:szCs w:val="20"/>
        </w:rPr>
        <w:t xml:space="preserve"> </w:t>
      </w:r>
      <w:r w:rsidRPr="00AB6A32">
        <w:rPr>
          <w:b/>
          <w:bCs/>
          <w:sz w:val="20"/>
          <w:szCs w:val="20"/>
        </w:rPr>
        <w:t xml:space="preserve">Background: </w:t>
      </w:r>
      <w:r w:rsidRPr="00AB6A32">
        <w:rPr>
          <w:sz w:val="20"/>
          <w:szCs w:val="20"/>
        </w:rPr>
        <w:t>Osteoporosis is a progressive disease that has physical and psychosocial consequences</w:t>
      </w:r>
      <w:proofErr w:type="gramStart"/>
      <w:r w:rsidR="002E0F84">
        <w:rPr>
          <w:sz w:val="20"/>
          <w:szCs w:val="20"/>
        </w:rPr>
        <w:t>,</w:t>
      </w:r>
      <w:r w:rsidRPr="00AB6A32">
        <w:rPr>
          <w:sz w:val="20"/>
          <w:szCs w:val="20"/>
        </w:rPr>
        <w:t>it</w:t>
      </w:r>
      <w:proofErr w:type="gramEnd"/>
      <w:r w:rsidRPr="00AB6A32">
        <w:rPr>
          <w:sz w:val="20"/>
          <w:szCs w:val="20"/>
        </w:rPr>
        <w:t xml:space="preserve"> is the most common bone disease in humans</w:t>
      </w:r>
      <w:r w:rsidR="002E0F84">
        <w:rPr>
          <w:sz w:val="20"/>
          <w:szCs w:val="20"/>
        </w:rPr>
        <w:t>,</w:t>
      </w:r>
      <w:r w:rsidRPr="00AB6A32">
        <w:rPr>
          <w:sz w:val="20"/>
          <w:szCs w:val="20"/>
        </w:rPr>
        <w:t xml:space="preserve"> it occurs accompanying menopause and induces bone loss. Therefore, the objective of this study was to</w:t>
      </w:r>
      <w:r w:rsidR="002E0F84">
        <w:rPr>
          <w:sz w:val="20"/>
          <w:szCs w:val="20"/>
        </w:rPr>
        <w:t xml:space="preserve"> </w:t>
      </w:r>
      <w:r w:rsidRPr="00AB6A32">
        <w:rPr>
          <w:sz w:val="20"/>
          <w:szCs w:val="20"/>
        </w:rPr>
        <w:t>assess associations between exercise training, vitamin K supplementation and vitamin D supplementation either alone or in combinations on the prevention of osteoporosis in ovariectomized rats, and to find the best combination that gives the highest treatment of osteoporosis.</w:t>
      </w:r>
      <w:r w:rsidRPr="00AB6A32">
        <w:rPr>
          <w:b/>
          <w:bCs/>
          <w:sz w:val="20"/>
          <w:szCs w:val="20"/>
        </w:rPr>
        <w:t xml:space="preserve"> Methods</w:t>
      </w:r>
      <w:r w:rsidRPr="00AB6A32">
        <w:rPr>
          <w:sz w:val="20"/>
          <w:szCs w:val="20"/>
        </w:rPr>
        <w:t>: eighty ovariectomized rats with an average weight of 150 g were used in this study. They were equally divided into eight groups. Group I Sedentary control ovariectomized group (n=40). This group was further subdivided into 4 subgroups I a, I b, I c and I d.</w:t>
      </w:r>
      <w:r w:rsidR="002E0F84">
        <w:rPr>
          <w:sz w:val="20"/>
          <w:szCs w:val="20"/>
        </w:rPr>
        <w:t xml:space="preserve"> </w:t>
      </w:r>
      <w:r w:rsidRPr="00AB6A32">
        <w:rPr>
          <w:sz w:val="20"/>
          <w:szCs w:val="20"/>
        </w:rPr>
        <w:t>Group II Exercise group (n=40): This group was further subdivided into 4 subgroups II a, II b, II c and II d.</w:t>
      </w:r>
      <w:r w:rsidRPr="00AB6A32">
        <w:rPr>
          <w:color w:val="000000"/>
          <w:sz w:val="20"/>
          <w:szCs w:val="20"/>
        </w:rPr>
        <w:t xml:space="preserve"> Blood samples were taken from all groups. We investigated the circulating concentrations of</w:t>
      </w:r>
      <w:r w:rsidRPr="00AB6A32">
        <w:rPr>
          <w:sz w:val="20"/>
          <w:szCs w:val="20"/>
        </w:rPr>
        <w:t xml:space="preserve"> Osteocalcin (Oc), Bone specific alkaline phosphatase (BSAP), Undercarboxylated osteocalcin (UnOc) and Serum Tartrate resistant acid phosphatase iso-enzyme 5b (TRAP5b)</w:t>
      </w:r>
      <w:r w:rsidR="002E0F84">
        <w:rPr>
          <w:sz w:val="20"/>
          <w:szCs w:val="20"/>
        </w:rPr>
        <w:t>.</w:t>
      </w:r>
      <w:r w:rsidRPr="00AB6A32">
        <w:rPr>
          <w:sz w:val="20"/>
          <w:szCs w:val="20"/>
        </w:rPr>
        <w:t xml:space="preserve"> </w:t>
      </w:r>
      <w:r w:rsidRPr="00AB6A32">
        <w:rPr>
          <w:b/>
          <w:bCs/>
          <w:sz w:val="20"/>
          <w:szCs w:val="20"/>
        </w:rPr>
        <w:t>Results:</w:t>
      </w:r>
      <w:r w:rsidRPr="00AB6A32">
        <w:rPr>
          <w:sz w:val="20"/>
          <w:szCs w:val="20"/>
        </w:rPr>
        <w:t xml:space="preserve"> Exercise trainings in overiectomized adult rats induced significant increase in Oc and significant decrease in UnOc and TRAP5b. Vit K alone </w:t>
      </w:r>
      <w:proofErr w:type="gramStart"/>
      <w:r w:rsidRPr="00AB6A32">
        <w:rPr>
          <w:sz w:val="20"/>
          <w:szCs w:val="20"/>
        </w:rPr>
        <w:t>produce</w:t>
      </w:r>
      <w:proofErr w:type="gramEnd"/>
      <w:r w:rsidRPr="00AB6A32">
        <w:rPr>
          <w:sz w:val="20"/>
          <w:szCs w:val="20"/>
        </w:rPr>
        <w:t xml:space="preserve"> significant decrease in UnOc and TRAP5b while Vit K with exercise produced significant increase in BSAP and significant decrease in UnOc and TRAP5b. Vit D alone produced significant decrease in TRAP5b while Vit D with exercise produced significant increase in</w:t>
      </w:r>
      <w:r w:rsidR="002E0F84">
        <w:rPr>
          <w:sz w:val="20"/>
          <w:szCs w:val="20"/>
        </w:rPr>
        <w:t xml:space="preserve"> </w:t>
      </w:r>
      <w:r w:rsidRPr="00AB6A32">
        <w:rPr>
          <w:sz w:val="20"/>
          <w:szCs w:val="20"/>
        </w:rPr>
        <w:t>Oc and BSAP with significant decrease in UnOc and</w:t>
      </w:r>
      <w:r w:rsidR="002E0F84">
        <w:rPr>
          <w:sz w:val="20"/>
          <w:szCs w:val="20"/>
        </w:rPr>
        <w:t xml:space="preserve"> </w:t>
      </w:r>
      <w:r w:rsidRPr="00AB6A32">
        <w:rPr>
          <w:sz w:val="20"/>
          <w:szCs w:val="20"/>
        </w:rPr>
        <w:t>TRAP5b. Combind Vit K with Vit D without exercise produced significant increase in BSAP and significant decrease in UnOc and TRAP5b while combined Vit K, Vit D with exercise produced significant increase in Oc and BSAP and significant decrease in UnOc and TRAP5b.</w:t>
      </w:r>
      <w:r w:rsidRPr="00AB6A32">
        <w:rPr>
          <w:b/>
          <w:bCs/>
          <w:sz w:val="20"/>
          <w:szCs w:val="20"/>
        </w:rPr>
        <w:t xml:space="preserve">Conclusions: </w:t>
      </w:r>
      <w:r w:rsidRPr="00AB6A32">
        <w:rPr>
          <w:sz w:val="20"/>
          <w:szCs w:val="20"/>
        </w:rPr>
        <w:t>Exercise has a great role in the treatment of osteoporosis that is mainly due to increased bone formation together with mild decrease in bone resorption so that the combination of exercise training with vitamin K and /or D supplementation was beneficial in the treatment of osteoporosis as they augment the effect of each other through combining increased bone formation with decreased bone resorption.</w:t>
      </w:r>
    </w:p>
    <w:p w:rsidR="00323507" w:rsidRPr="00AB6A32" w:rsidRDefault="00AB6A32" w:rsidP="00AB6A32">
      <w:pPr>
        <w:snapToGrid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w:t>
      </w:r>
      <w:r w:rsidR="003E44C4" w:rsidRPr="00AB6A32">
        <w:rPr>
          <w:rFonts w:ascii="Times New Roman" w:eastAsia="Times New Roman" w:hAnsi="Times New Roman" w:cs="Times New Roman"/>
          <w:sz w:val="20"/>
          <w:szCs w:val="20"/>
        </w:rPr>
        <w:t>Aziza Khalil</w:t>
      </w:r>
      <w:r w:rsidR="003E44C4" w:rsidRPr="00AB6A32">
        <w:rPr>
          <w:rFonts w:ascii="Times New Roman" w:eastAsia="Times New Roman" w:hAnsi="Times New Roman" w:cs="Times New Roman"/>
          <w:sz w:val="20"/>
          <w:szCs w:val="20"/>
          <w:lang w:val="en-GB"/>
        </w:rPr>
        <w:t xml:space="preserve"> and Gehan A. Youssef</w:t>
      </w:r>
      <w:r>
        <w:rPr>
          <w:rFonts w:ascii="Times New Roman" w:hAnsi="Times New Roman" w:cs="Times New Roman" w:hint="eastAsia"/>
          <w:sz w:val="20"/>
          <w:szCs w:val="20"/>
          <w:lang w:val="en-GB" w:eastAsia="zh-CN"/>
        </w:rPr>
        <w:t>.</w:t>
      </w:r>
      <w:proofErr w:type="gramEnd"/>
      <w:r w:rsidR="003E44C4" w:rsidRPr="00AB6A32">
        <w:rPr>
          <w:rFonts w:ascii="Times New Roman" w:eastAsia="Times New Roman" w:hAnsi="Times New Roman" w:cs="Times New Roman"/>
          <w:sz w:val="20"/>
          <w:szCs w:val="20"/>
          <w:lang w:val="en-GB"/>
        </w:rPr>
        <w:t xml:space="preserve"> </w:t>
      </w:r>
      <w:proofErr w:type="gramStart"/>
      <w:r w:rsidR="003E44C4" w:rsidRPr="00AB6A32">
        <w:rPr>
          <w:rFonts w:ascii="Times New Roman" w:eastAsia="Times New Roman" w:hAnsi="Times New Roman" w:cs="Times New Roman"/>
          <w:b/>
          <w:bCs/>
          <w:sz w:val="20"/>
          <w:szCs w:val="20"/>
          <w:lang w:bidi="ar-EG"/>
        </w:rPr>
        <w:t>Effect of Aerobic Exercise, Vitamin K and Vitamin D on</w:t>
      </w:r>
      <w:r w:rsidR="002E0F84">
        <w:rPr>
          <w:rFonts w:ascii="Times New Roman" w:eastAsia="Times New Roman" w:hAnsi="Times New Roman" w:cs="Times New Roman"/>
          <w:b/>
          <w:bCs/>
          <w:sz w:val="20"/>
          <w:szCs w:val="20"/>
          <w:lang w:bidi="ar-EG"/>
        </w:rPr>
        <w:t xml:space="preserve"> </w:t>
      </w:r>
      <w:r w:rsidR="003E44C4" w:rsidRPr="00AB6A32">
        <w:rPr>
          <w:rFonts w:ascii="Times New Roman" w:eastAsia="Times New Roman" w:hAnsi="Times New Roman" w:cs="Times New Roman"/>
          <w:b/>
          <w:bCs/>
          <w:sz w:val="20"/>
          <w:szCs w:val="20"/>
          <w:lang w:bidi="ar-EG"/>
        </w:rPr>
        <w:t>Bone Metabolism in Ovariectomized Adult Rats</w:t>
      </w:r>
      <w:r w:rsidR="00323507" w:rsidRPr="00AB6A32">
        <w:rPr>
          <w:rFonts w:ascii="Times New Roman" w:eastAsia="Times New Roman" w:hAnsi="Times New Roman" w:cs="Times New Roman"/>
          <w:b/>
          <w:bCs/>
          <w:sz w:val="20"/>
          <w:szCs w:val="20"/>
          <w:lang w:bidi="fa-IR"/>
        </w:rPr>
        <w:t>.</w:t>
      </w:r>
      <w:proofErr w:type="gramEnd"/>
      <w:r w:rsidR="00323507" w:rsidRPr="00AB6A32">
        <w:rPr>
          <w:rFonts w:ascii="Times New Roman" w:hAnsi="Times New Roman" w:cs="Times New Roman" w:hint="eastAsia"/>
          <w:b/>
          <w:bCs/>
          <w:sz w:val="20"/>
          <w:szCs w:val="20"/>
        </w:rPr>
        <w:t xml:space="preserve"> </w:t>
      </w:r>
      <w:r w:rsidR="00323507" w:rsidRPr="00AB6A32">
        <w:rPr>
          <w:rFonts w:ascii="Times New Roman" w:eastAsia="Times New Roman" w:hAnsi="Times New Roman" w:cs="Times New Roman"/>
          <w:bCs/>
          <w:i/>
          <w:sz w:val="20"/>
          <w:szCs w:val="20"/>
        </w:rPr>
        <w:t>Nat Sci</w:t>
      </w:r>
      <w:r w:rsidR="00323507" w:rsidRPr="00AB6A32">
        <w:rPr>
          <w:rFonts w:ascii="Times New Roman" w:hAnsi="Times New Roman" w:cs="Times New Roman" w:hint="eastAsia"/>
          <w:bCs/>
          <w:i/>
          <w:sz w:val="20"/>
          <w:szCs w:val="20"/>
        </w:rPr>
        <w:t xml:space="preserve"> </w:t>
      </w:r>
      <w:r w:rsidR="00323507" w:rsidRPr="00AB6A32">
        <w:rPr>
          <w:rFonts w:ascii="Times New Roman" w:hAnsi="Times New Roman" w:cs="Times New Roman"/>
          <w:sz w:val="20"/>
          <w:szCs w:val="20"/>
        </w:rPr>
        <w:t>201</w:t>
      </w:r>
      <w:r w:rsidR="00412D35" w:rsidRPr="00AB6A32">
        <w:rPr>
          <w:rFonts w:ascii="Times New Roman" w:hAnsi="Times New Roman" w:cs="Times New Roman" w:hint="eastAsia"/>
          <w:sz w:val="20"/>
          <w:szCs w:val="20"/>
          <w:lang w:eastAsia="zh-CN"/>
        </w:rPr>
        <w:t>5</w:t>
      </w:r>
      <w:proofErr w:type="gramStart"/>
      <w:r w:rsidR="00323507" w:rsidRPr="00AB6A32">
        <w:rPr>
          <w:rFonts w:ascii="Times New Roman" w:hAnsi="Times New Roman" w:cs="Times New Roman"/>
          <w:sz w:val="20"/>
          <w:szCs w:val="20"/>
        </w:rPr>
        <w:t>;1</w:t>
      </w:r>
      <w:r w:rsidR="00412D35" w:rsidRPr="00AB6A32">
        <w:rPr>
          <w:rFonts w:ascii="Times New Roman" w:hAnsi="Times New Roman" w:cs="Times New Roman" w:hint="eastAsia"/>
          <w:sz w:val="20"/>
          <w:szCs w:val="20"/>
          <w:lang w:eastAsia="zh-CN"/>
        </w:rPr>
        <w:t>3</w:t>
      </w:r>
      <w:proofErr w:type="gramEnd"/>
      <w:r w:rsidR="00323507" w:rsidRPr="00AB6A32">
        <w:rPr>
          <w:rFonts w:ascii="Times New Roman" w:hAnsi="Times New Roman" w:cs="Times New Roman"/>
          <w:sz w:val="20"/>
          <w:szCs w:val="20"/>
        </w:rPr>
        <w:t>(</w:t>
      </w:r>
      <w:r w:rsidR="00323507" w:rsidRPr="00AB6A32">
        <w:rPr>
          <w:rFonts w:ascii="Times New Roman" w:hAnsi="Times New Roman" w:cs="Times New Roman" w:hint="eastAsia"/>
          <w:sz w:val="20"/>
          <w:szCs w:val="20"/>
        </w:rPr>
        <w:t>1</w:t>
      </w:r>
      <w:r w:rsidR="00323507" w:rsidRPr="00AB6A32">
        <w:rPr>
          <w:rFonts w:ascii="Times New Roman" w:hAnsi="Times New Roman" w:cs="Times New Roman"/>
          <w:sz w:val="20"/>
          <w:szCs w:val="20"/>
        </w:rPr>
        <w:t>):</w:t>
      </w:r>
      <w:r w:rsidR="007B1CD9">
        <w:rPr>
          <w:rFonts w:ascii="Times New Roman" w:hAnsi="Times New Roman" w:cs="Times New Roman"/>
          <w:noProof/>
          <w:color w:val="000000"/>
          <w:sz w:val="20"/>
          <w:szCs w:val="20"/>
        </w:rPr>
        <w:t>1</w:t>
      </w:r>
      <w:r w:rsidR="00323507" w:rsidRPr="00AB6A32">
        <w:rPr>
          <w:rFonts w:ascii="Times New Roman" w:hAnsi="Times New Roman" w:cs="Times New Roman"/>
          <w:color w:val="000000"/>
          <w:sz w:val="20"/>
          <w:szCs w:val="20"/>
        </w:rPr>
        <w:t>-</w:t>
      </w:r>
      <w:r w:rsidR="007B1CD9">
        <w:rPr>
          <w:rFonts w:ascii="Times New Roman" w:hAnsi="Times New Roman" w:cs="Times New Roman"/>
          <w:noProof/>
          <w:color w:val="000000"/>
          <w:sz w:val="20"/>
          <w:szCs w:val="20"/>
        </w:rPr>
        <w:t>11</w:t>
      </w:r>
      <w:r w:rsidR="00323507" w:rsidRPr="00AB6A32">
        <w:rPr>
          <w:rFonts w:ascii="Times New Roman" w:hAnsi="Times New Roman" w:cs="Times New Roman"/>
          <w:sz w:val="20"/>
          <w:szCs w:val="20"/>
        </w:rPr>
        <w:t>]</w:t>
      </w:r>
      <w:r w:rsidR="00323507" w:rsidRPr="00AB6A32">
        <w:rPr>
          <w:rFonts w:ascii="Times New Roman" w:hAnsi="Times New Roman" w:cs="Times New Roman" w:hint="eastAsia"/>
          <w:sz w:val="20"/>
          <w:szCs w:val="20"/>
        </w:rPr>
        <w:t>.</w:t>
      </w:r>
      <w:r w:rsidR="00323507" w:rsidRPr="00AB6A32">
        <w:rPr>
          <w:rFonts w:ascii="Times New Roman" w:hAnsi="Times New Roman" w:cs="Times New Roman"/>
          <w:sz w:val="20"/>
          <w:szCs w:val="20"/>
        </w:rPr>
        <w:t xml:space="preserve"> (ISSN: 1545-0740).</w:t>
      </w:r>
      <w:r w:rsidR="00323507" w:rsidRPr="00AB6A32">
        <w:rPr>
          <w:rFonts w:ascii="Times New Roman" w:hAnsi="Times New Roman" w:cs="Times New Roman"/>
          <w:color w:val="0000FF"/>
          <w:sz w:val="20"/>
          <w:szCs w:val="20"/>
        </w:rPr>
        <w:t xml:space="preserve"> </w:t>
      </w:r>
      <w:hyperlink r:id="rId9" w:history="1">
        <w:r w:rsidR="00323507" w:rsidRPr="00AB6A32">
          <w:rPr>
            <w:rStyle w:val="Hyperlink"/>
            <w:rFonts w:ascii="Times New Roman" w:hAnsi="Times New Roman" w:cs="Times New Roman"/>
            <w:sz w:val="20"/>
            <w:szCs w:val="20"/>
          </w:rPr>
          <w:t>http://www.sciencepub.net/nature</w:t>
        </w:r>
      </w:hyperlink>
      <w:r w:rsidR="00323507" w:rsidRPr="00AB6A32">
        <w:rPr>
          <w:rFonts w:ascii="Times New Roman" w:hAnsi="Times New Roman" w:cs="Times New Roman"/>
          <w:sz w:val="20"/>
          <w:szCs w:val="20"/>
        </w:rPr>
        <w:t>.</w:t>
      </w:r>
      <w:r w:rsidR="00323507" w:rsidRPr="00AB6A32">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val="en-GB"/>
        </w:rPr>
      </w:pP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b/>
          <w:bCs/>
          <w:sz w:val="20"/>
          <w:szCs w:val="20"/>
          <w:lang w:bidi="ar-EG"/>
        </w:rPr>
        <w:t>Key words</w:t>
      </w:r>
      <w:r w:rsidRPr="00AB6A32">
        <w:rPr>
          <w:rFonts w:ascii="Times New Roman" w:eastAsia="Times New Roman" w:hAnsi="Times New Roman" w:cs="Times New Roman"/>
          <w:b/>
          <w:sz w:val="20"/>
          <w:szCs w:val="20"/>
          <w:lang w:bidi="ar-EG"/>
        </w:rPr>
        <w:t>:</w:t>
      </w:r>
      <w:r w:rsidRPr="00AB6A32">
        <w:rPr>
          <w:rFonts w:ascii="Times New Roman" w:eastAsia="Times New Roman" w:hAnsi="Times New Roman" w:cs="Times New Roman"/>
          <w:sz w:val="20"/>
          <w:szCs w:val="20"/>
          <w:lang w:bidi="ar-EG"/>
        </w:rPr>
        <w:t xml:space="preserve"> Vitamin K, Vitamin D</w:t>
      </w:r>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Osteocalcin (Oc), Bone specific alkaline phosphatase (BSAP), Undercarboxylated osteocalcin (UnOc) and Tartrate resistant acid phosphatase iso-enzyme 5b (TRAP5b).</w:t>
      </w:r>
    </w:p>
    <w:p w:rsidR="00AB6A32" w:rsidRDefault="00AB6A32" w:rsidP="00AB6A32">
      <w:pPr>
        <w:snapToGrid w:val="0"/>
        <w:spacing w:after="0" w:line="240" w:lineRule="auto"/>
        <w:jc w:val="both"/>
        <w:rPr>
          <w:rFonts w:ascii="Times New Roman" w:eastAsia="Times New Roman" w:hAnsi="Times New Roman" w:cs="Times New Roman"/>
          <w:b/>
          <w:bCs/>
          <w:sz w:val="20"/>
          <w:szCs w:val="20"/>
        </w:rPr>
      </w:pPr>
    </w:p>
    <w:p w:rsidR="00AB6A32" w:rsidRPr="00AB6A32" w:rsidRDefault="00AB6A32" w:rsidP="00AB6A32">
      <w:pPr>
        <w:snapToGrid w:val="0"/>
        <w:spacing w:after="0" w:line="240" w:lineRule="auto"/>
        <w:jc w:val="both"/>
        <w:rPr>
          <w:rFonts w:ascii="Times New Roman" w:eastAsia="Times New Roman" w:hAnsi="Times New Roman" w:cs="Times New Roman"/>
          <w:b/>
          <w:bCs/>
          <w:sz w:val="20"/>
          <w:szCs w:val="20"/>
        </w:rPr>
        <w:sectPr w:rsidR="00AB6A32" w:rsidRPr="00AB6A32" w:rsidSect="003749D6">
          <w:headerReference w:type="default" r:id="rId10"/>
          <w:footerReference w:type="default" r:id="rId11"/>
          <w:type w:val="continuous"/>
          <w:pgSz w:w="12240" w:h="15840" w:code="1"/>
          <w:pgMar w:top="1440" w:right="1440" w:bottom="1440" w:left="1440" w:header="720" w:footer="720" w:gutter="0"/>
          <w:cols w:space="720"/>
        </w:sectPr>
      </w:pPr>
    </w:p>
    <w:p w:rsidR="003E44C4" w:rsidRPr="00AB6A32" w:rsidRDefault="003E44C4" w:rsidP="00AB6A32">
      <w:pPr>
        <w:snapToGrid w:val="0"/>
        <w:spacing w:after="0" w:line="240" w:lineRule="auto"/>
        <w:contextualSpacing/>
        <w:jc w:val="both"/>
        <w:rPr>
          <w:rFonts w:ascii="Times New Roman" w:eastAsia="Times New Roman" w:hAnsi="Times New Roman" w:cs="Times New Roman"/>
          <w:b/>
          <w:bCs/>
          <w:sz w:val="20"/>
          <w:szCs w:val="20"/>
          <w:lang w:bidi="ar-EG"/>
        </w:rPr>
      </w:pPr>
      <w:r w:rsidRPr="00AB6A32">
        <w:rPr>
          <w:rFonts w:ascii="Times New Roman" w:eastAsia="Times New Roman" w:hAnsi="Times New Roman" w:cs="Times New Roman"/>
          <w:b/>
          <w:bCs/>
          <w:sz w:val="20"/>
          <w:szCs w:val="20"/>
        </w:rPr>
        <w:lastRenderedPageBreak/>
        <w:t>1. Introduction</w:t>
      </w:r>
      <w:r w:rsidRPr="00AB6A32">
        <w:rPr>
          <w:rFonts w:ascii="Times New Roman" w:eastAsia="Times New Roman" w:hAnsi="Times New Roman" w:cs="Times New Roman"/>
          <w:b/>
          <w:bCs/>
          <w:sz w:val="20"/>
          <w:szCs w:val="20"/>
          <w:lang w:bidi="ar-EG"/>
        </w:rPr>
        <w:t>:</w:t>
      </w:r>
    </w:p>
    <w:p w:rsidR="003E44C4" w:rsidRPr="00AB6A32" w:rsidRDefault="003E44C4" w:rsidP="00AB6A32">
      <w:pPr>
        <w:snapToGrid w:val="0"/>
        <w:spacing w:after="0" w:line="240" w:lineRule="auto"/>
        <w:ind w:firstLine="425"/>
        <w:contextualSpacing/>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 xml:space="preserve">The estrogen deficiency accompanying menopause induces bone loss and increased risk of fracture. Osteoporotic fractures are associated with high morbidity, increased mortality risk, and major economical impact </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"author" : [ { "dropping-particle" : "", "family" : "Autier", "given" : "P", "non-dropping-particle" : "", "parse-names" : false, "suffix" : "" }, { "dropping-particle" : "", "family" : "Haentjens", "given" : "P", "non-dropping-particle" : "", "parse-names" : false, "suffix" : "" }, { "dropping-particle" : "", "family" : "Bentin", "given" : "J", "non-dropping-particle" : "", "parse-names" : false, "suffix" : "" }, { "dropping-particle" : "", "family" : "Baillon", "given" : "J M", "non-dropping-particle" : "", "parse-names" : false, "suffix" : "" }, { "dropping-particle" : "", "family" : "Grivegnee", "given" : "A R", "non-dropping-particle" : "", "parse-names" : false, "suffix" : "" }, { "dropping-particle" : "", "family" : "Closon", "given" : "M C", "non-dropping-particle" : "", "parse-names" : false, "suffix" : "" }, { "dropping-particle" : "", "family" : "Boonen", "given" : "S", "non-dropping-particle" : "", "parse-names" : false, "suffix" : "" } ], "container-title" : "Belgian Hip Fracture Study Group. Osteoporos Int", "id" : "ITEM-1", "issued" : { "date-parts" : [ [ "2000" ] ] }, "title" : "Costs induced by hip fractures: a prospective controlled study in Belgium", "type" : "article-journal" }, "uris" : [ "http://www.mendeley.com/documents/?uuid=365ed4ec-e9d7-4c79-9ac2-940c71425c10" ] } ], "mendeley" : { "previouslyFormattedCitation" : "(Autier et al. 2000)"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r w:rsidRPr="00AB6A32">
        <w:rPr>
          <w:rFonts w:ascii="Times New Roman" w:eastAsia="Times New Roman" w:hAnsi="Times New Roman" w:cs="Times New Roman"/>
          <w:b/>
          <w:bCs/>
          <w:i/>
          <w:iCs/>
          <w:sz w:val="20"/>
          <w:szCs w:val="20"/>
          <w:lang w:bidi="ar-EG"/>
        </w:rPr>
        <w:t>(Autier et al., 2000)</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sz w:val="20"/>
          <w:szCs w:val="20"/>
          <w:lang w:bidi="ar-EG"/>
        </w:rPr>
        <w:t xml:space="preserve"> Osteoporosis is a progressive disease that has physical and psychosocial consequences, It is the most common bone disease in humans, characterized by low bone mass, deterioration of bone tissue, disruption of bone architecture, compromised bone strength, and increased bone fracture risk over time</w:t>
      </w:r>
      <w:r w:rsidRPr="00AB6A32">
        <w:rPr>
          <w:rFonts w:ascii="Times New Roman" w:eastAsia="Times New Roman" w:hAnsi="Times New Roman" w:cs="Times New Roman"/>
          <w:b/>
          <w:bCs/>
          <w:i/>
          <w:iCs/>
          <w:sz w:val="20"/>
          <w:szCs w:val="20"/>
          <w:lang w:bidi="ar-EG"/>
        </w:rPr>
        <w:t xml:space="preserve"> </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"author" : [ { "dropping-particle" : "", "family" : "Sadat-Ali", "given" : "Mir", "non-dropping-particle" : "", "parse-names" : false, "suffix" : "" }, { "dropping-particle" : "", "family" : "Abdulmohsen", "given" : "H Al-Elq", "non-dropping-particle" : "", "parse-names" : false, "suffix" : "" }, { "dropping-particle" : "", "family" : "Haifa", "given" : "A Al-Turki", "non-dropping-particle" : "", "parse-names" : false, "suffix" : "" }, { "dropping-particle" : "", "family" : "Fathma", "given" : "A Al-Mulhim", "non-dropping-particle" : "", "parse-names" : false, "suffix" : "" }, { "dropping-particle" : "", "family" : "Amein", "given" : "K Al-Ali", "non-dropping-particle" : "", "parse-names" : false, "suffix" : "" } ], "container-title" : "Ann Saudi Med.", "id" : "ITEM-1", "issued" : { "date-parts" : [ [ "2011" ] ] }, "title" : "Influence of vitamin D levels on bone mineral density and osteoporosis", "type" : "article-journal" }, "uris" : [ "http://www.mendeley.com/documents/?uuid=7f15c9a7-a43f-43eb-aaf2-514a500f120e" ] } ], "mendeley" : { "previouslyFormattedCitation" : "(Sadat-Ali et al. 2011)"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r w:rsidRPr="00AB6A32">
        <w:rPr>
          <w:rFonts w:ascii="Times New Roman" w:eastAsia="Times New Roman" w:hAnsi="Times New Roman" w:cs="Times New Roman"/>
          <w:b/>
          <w:bCs/>
          <w:i/>
          <w:iCs/>
          <w:sz w:val="20"/>
          <w:szCs w:val="20"/>
          <w:lang w:bidi="ar-EG"/>
        </w:rPr>
        <w:t>(Sadat-Ali et al., 2011)</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p>
    <w:p w:rsidR="003E44C4" w:rsidRPr="00AB6A32" w:rsidRDefault="003E44C4" w:rsidP="00AB6A32">
      <w:pPr>
        <w:snapToGrid w:val="0"/>
        <w:spacing w:after="0" w:line="240" w:lineRule="auto"/>
        <w:ind w:firstLine="425"/>
        <w:contextualSpacing/>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Osteoporosis treatment too often consists of drug prescription (anti resorption drugs e.g. bisphosphonate, estrogen replacement therapy) </w:t>
      </w:r>
      <w:r w:rsidRPr="00AB6A32">
        <w:rPr>
          <w:rFonts w:ascii="Times New Roman" w:eastAsia="Times New Roman" w:hAnsi="Times New Roman" w:cs="Times New Roman"/>
          <w:b/>
          <w:bCs/>
          <w:i/>
          <w:iCs/>
          <w:sz w:val="20"/>
          <w:szCs w:val="20"/>
          <w:lang w:bidi="ar-EG"/>
        </w:rPr>
        <w:t xml:space="preserve">(body </w:t>
      </w:r>
      <w:hyperlink r:id="rId12" w:tgtFrame="_blank" w:history="1">
        <w:r w:rsidRPr="00AB6A32">
          <w:rPr>
            <w:rStyle w:val="Hyperlink"/>
            <w:rFonts w:ascii="Times New Roman" w:eastAsia="Times New Roman" w:hAnsi="Times New Roman" w:cs="Times New Roman"/>
            <w:b/>
            <w:bCs/>
            <w:i/>
            <w:iCs/>
            <w:color w:val="auto"/>
            <w:sz w:val="20"/>
            <w:szCs w:val="20"/>
            <w:u w:val="none"/>
            <w:lang w:bidi="ar-EG"/>
          </w:rPr>
          <w:t>et al</w:t>
        </w:r>
      </w:hyperlink>
      <w:proofErr w:type="gramStart"/>
      <w:r w:rsidRPr="00AB6A32">
        <w:rPr>
          <w:rFonts w:ascii="Times New Roman" w:eastAsia="Times New Roman" w:hAnsi="Times New Roman" w:cs="Times New Roman"/>
          <w:b/>
          <w:bCs/>
          <w:i/>
          <w:iCs/>
          <w:sz w:val="20"/>
          <w:szCs w:val="20"/>
          <w:lang w:bidi="ar-EG"/>
        </w:rPr>
        <w:t>.,</w:t>
      </w:r>
      <w:proofErr w:type="gramEnd"/>
      <w:r w:rsidRPr="00AB6A32">
        <w:rPr>
          <w:rFonts w:ascii="Times New Roman" w:eastAsia="Times New Roman" w:hAnsi="Times New Roman" w:cs="Times New Roman"/>
          <w:b/>
          <w:bCs/>
          <w:i/>
          <w:iCs/>
          <w:sz w:val="20"/>
          <w:szCs w:val="20"/>
          <w:lang w:bidi="ar-EG"/>
        </w:rPr>
        <w:t xml:space="preserve"> 2010). </w:t>
      </w:r>
      <w:r w:rsidRPr="00AB6A32">
        <w:rPr>
          <w:rFonts w:ascii="Times New Roman" w:eastAsia="Times New Roman" w:hAnsi="Times New Roman" w:cs="Times New Roman"/>
          <w:sz w:val="20"/>
          <w:szCs w:val="20"/>
          <w:lang w:bidi="ar-EG"/>
        </w:rPr>
        <w:t xml:space="preserve">In addition to drug prescription, current osteopenia treatment guidelines include exercise, vitamin D and recently vitamin K supplementation </w:t>
      </w:r>
      <w:r w:rsidRPr="00AB6A32">
        <w:rPr>
          <w:rFonts w:ascii="Times New Roman" w:eastAsia="Times New Roman" w:hAnsi="Times New Roman" w:cs="Times New Roman"/>
          <w:b/>
          <w:bCs/>
          <w:i/>
          <w:iCs/>
          <w:sz w:val="20"/>
          <w:szCs w:val="20"/>
          <w:lang w:bidi="ar-EG"/>
        </w:rPr>
        <w:t>(Cheung et al., 2008).</w:t>
      </w:r>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lastRenderedPageBreak/>
        <w:t xml:space="preserve">Exercise provides an osteogenic stimulus to the bones by increasing serum concentrations of bone formation markers as well as decreasing bone resorption markers </w:t>
      </w:r>
      <w:r w:rsidRPr="00AB6A32">
        <w:rPr>
          <w:rFonts w:ascii="Times New Roman" w:eastAsia="Times New Roman" w:hAnsi="Times New Roman" w:cs="Times New Roman"/>
          <w:b/>
          <w:bCs/>
          <w:i/>
          <w:iCs/>
          <w:sz w:val="20"/>
          <w:szCs w:val="20"/>
          <w:lang w:bidi="ar-EG"/>
        </w:rPr>
        <w:t xml:space="preserve">(Bakhtyar </w:t>
      </w:r>
      <w:hyperlink r:id="rId13" w:tgtFrame="_blank" w:history="1">
        <w:r w:rsidRPr="00AB6A32">
          <w:rPr>
            <w:rStyle w:val="Hyperlink"/>
            <w:rFonts w:ascii="Times New Roman" w:eastAsia="Times New Roman" w:hAnsi="Times New Roman" w:cs="Times New Roman"/>
            <w:b/>
            <w:bCs/>
            <w:i/>
            <w:iCs/>
            <w:color w:val="auto"/>
            <w:sz w:val="20"/>
            <w:szCs w:val="20"/>
            <w:u w:val="none"/>
            <w:lang w:bidi="ar-EG"/>
          </w:rPr>
          <w:t>et al</w:t>
        </w:r>
      </w:hyperlink>
      <w:proofErr w:type="gramStart"/>
      <w:r w:rsidRPr="00AB6A32">
        <w:rPr>
          <w:rFonts w:ascii="Times New Roman" w:eastAsia="Times New Roman" w:hAnsi="Times New Roman" w:cs="Times New Roman"/>
          <w:b/>
          <w:bCs/>
          <w:i/>
          <w:iCs/>
          <w:sz w:val="20"/>
          <w:szCs w:val="20"/>
          <w:lang w:bidi="ar-EG"/>
        </w:rPr>
        <w:t>.,</w:t>
      </w:r>
      <w:proofErr w:type="gramEnd"/>
      <w:r w:rsidRPr="00AB6A32">
        <w:rPr>
          <w:rFonts w:ascii="Times New Roman" w:eastAsia="Times New Roman" w:hAnsi="Times New Roman" w:cs="Times New Roman"/>
          <w:b/>
          <w:bCs/>
          <w:i/>
          <w:iCs/>
          <w:sz w:val="20"/>
          <w:szCs w:val="20"/>
          <w:lang w:bidi="ar-EG"/>
        </w:rPr>
        <w:t xml:space="preserve"> 2011)</w:t>
      </w:r>
      <w:r w:rsidRPr="00AB6A32">
        <w:rPr>
          <w:rFonts w:ascii="Times New Roman" w:eastAsia="Times New Roman" w:hAnsi="Times New Roman" w:cs="Times New Roman"/>
          <w:sz w:val="20"/>
          <w:szCs w:val="20"/>
          <w:lang w:bidi="ar-EG"/>
        </w:rPr>
        <w:t xml:space="preserve">. </w:t>
      </w:r>
      <w:proofErr w:type="gramStart"/>
      <w:r w:rsidRPr="00AB6A32">
        <w:rPr>
          <w:rFonts w:ascii="Times New Roman" w:eastAsia="Times New Roman" w:hAnsi="Times New Roman" w:cs="Times New Roman"/>
          <w:sz w:val="20"/>
          <w:szCs w:val="20"/>
          <w:lang w:bidi="ar-EG"/>
        </w:rPr>
        <w:t>Despite it is generally thought that disuse (prolonged periods of inactivity) and unloading of the skeleton (</w:t>
      </w:r>
      <w:hyperlink r:id="rId14" w:tgtFrame="_blank" w:history="1">
        <w:r w:rsidRPr="00AB6A32">
          <w:rPr>
            <w:rStyle w:val="Hyperlink"/>
            <w:rFonts w:ascii="Times New Roman" w:eastAsia="Times New Roman" w:hAnsi="Times New Roman" w:cs="Times New Roman"/>
            <w:color w:val="auto"/>
            <w:sz w:val="20"/>
            <w:szCs w:val="20"/>
            <w:u w:val="none"/>
            <w:lang w:bidi="ar-EG"/>
          </w:rPr>
          <w:t>e.g.in</w:t>
        </w:r>
      </w:hyperlink>
      <w:r w:rsidRPr="00AB6A32">
        <w:rPr>
          <w:rFonts w:ascii="Times New Roman" w:eastAsia="Times New Roman" w:hAnsi="Times New Roman" w:cs="Times New Roman"/>
          <w:sz w:val="20"/>
          <w:szCs w:val="20"/>
          <w:lang w:bidi="ar-EG"/>
        </w:rPr>
        <w:t xml:space="preserve"> cases of paralysis) promotes reduced bone mass whereas mechanical loading through exercise increases bone mass </w:t>
      </w:r>
      <w:r w:rsidRPr="00AB6A32">
        <w:rPr>
          <w:rFonts w:ascii="Times New Roman" w:eastAsia="Times New Roman" w:hAnsi="Times New Roman" w:cs="Times New Roman"/>
          <w:b/>
          <w:bCs/>
          <w:i/>
          <w:iCs/>
          <w:sz w:val="20"/>
          <w:szCs w:val="20"/>
          <w:lang w:bidi="ar-EG"/>
        </w:rPr>
        <w:t>(dolbow et al</w:t>
      </w:r>
      <w:r w:rsidR="002E0F84">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b/>
          <w:bCs/>
          <w:i/>
          <w:iCs/>
          <w:sz w:val="20"/>
          <w:szCs w:val="20"/>
          <w:lang w:bidi="ar-EG"/>
        </w:rPr>
        <w:t>, 2011).</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In addition </w:t>
      </w:r>
      <w:r w:rsidRPr="00AB6A32">
        <w:rPr>
          <w:rFonts w:ascii="Times New Roman" w:eastAsia="Times New Roman" w:hAnsi="Times New Roman" w:cs="Times New Roman"/>
          <w:b/>
          <w:bCs/>
          <w:i/>
          <w:iCs/>
          <w:sz w:val="20"/>
          <w:szCs w:val="20"/>
          <w:lang w:bidi="ar-EG"/>
        </w:rPr>
        <w:t xml:space="preserve">Iwamoto et al. (2005) </w:t>
      </w:r>
      <w:r w:rsidRPr="00AB6A32">
        <w:rPr>
          <w:rFonts w:ascii="Times New Roman" w:eastAsia="Times New Roman" w:hAnsi="Times New Roman" w:cs="Times New Roman"/>
          <w:sz w:val="20"/>
          <w:szCs w:val="20"/>
          <w:lang w:bidi="ar-EG"/>
        </w:rPr>
        <w:t xml:space="preserve">reported that treadmill exercise in ovariectomized rats prevents cancellous bone loss at the tibia, and increases bone mass of the tibia and mechanical strength of the femur, as a result of suppressed bone resorption and increased bone formation in osteopenic rats after ovariectomy. Also </w:t>
      </w:r>
      <w:r w:rsidRPr="00AB6A32">
        <w:rPr>
          <w:rFonts w:ascii="Times New Roman" w:eastAsia="Times New Roman" w:hAnsi="Times New Roman" w:cs="Times New Roman"/>
          <w:b/>
          <w:bCs/>
          <w:i/>
          <w:iCs/>
          <w:sz w:val="20"/>
          <w:szCs w:val="20"/>
          <w:lang w:bidi="ar-EG"/>
        </w:rPr>
        <w:t>Safinaz.et al.</w:t>
      </w:r>
      <w:bookmarkStart w:id="0" w:name="_GoBack"/>
      <w:bookmarkEnd w:id="0"/>
      <w:r w:rsidRPr="00AB6A32">
        <w:rPr>
          <w:rFonts w:ascii="Times New Roman" w:eastAsia="Times New Roman" w:hAnsi="Times New Roman" w:cs="Times New Roman"/>
          <w:b/>
          <w:bCs/>
          <w:i/>
          <w:iCs/>
          <w:sz w:val="20"/>
          <w:szCs w:val="20"/>
          <w:lang w:bidi="ar-EG"/>
        </w:rPr>
        <w:t xml:space="preserve"> (2011)</w:t>
      </w:r>
      <w:r w:rsidRPr="00AB6A32">
        <w:rPr>
          <w:rFonts w:ascii="Times New Roman" w:eastAsia="Times New Roman" w:hAnsi="Times New Roman" w:cs="Times New Roman"/>
          <w:sz w:val="20"/>
          <w:szCs w:val="20"/>
          <w:lang w:bidi="ar-EG"/>
        </w:rPr>
        <w:t xml:space="preserve"> observed that 3-months exercise program was associated with improvement of bone densitometry and significant increment of the bone formation marker Procollagen I N-terminal</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extension peptide (PINP)</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in Egyptian type 1 diabetic osteopenic adolescents.</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lastRenderedPageBreak/>
        <w:t xml:space="preserve">Vitamin K is best known for its function in the blood coagulation pathway, but recent data suggest that the K vitamins play an important role in bone metabolism, perhaps at serum levels higher than those required for normal blood coagulation. Vitamin K is the essential cofactor for the carboxylation of glutamate to gamma-carboxy glutamic acid (Gla), which confers functionality to vitamin K–dependent Gla-containing proteins. </w:t>
      </w:r>
      <w:r w:rsidRPr="00AB6A32">
        <w:rPr>
          <w:rFonts w:ascii="Times New Roman" w:eastAsia="Times New Roman" w:hAnsi="Times New Roman" w:cs="Times New Roman"/>
          <w:b/>
          <w:bCs/>
          <w:i/>
          <w:iCs/>
          <w:sz w:val="20"/>
          <w:szCs w:val="20"/>
          <w:lang w:bidi="ar-EG"/>
        </w:rPr>
        <w:t xml:space="preserve">(Angela </w:t>
      </w:r>
      <w:hyperlink r:id="rId15" w:tgtFrame="_blank" w:history="1">
        <w:r w:rsidRPr="00AB6A32">
          <w:rPr>
            <w:rStyle w:val="Hyperlink"/>
            <w:rFonts w:ascii="Times New Roman" w:eastAsia="Times New Roman" w:hAnsi="Times New Roman" w:cs="Times New Roman"/>
            <w:b/>
            <w:bCs/>
            <w:i/>
            <w:iCs/>
            <w:color w:val="auto"/>
            <w:sz w:val="20"/>
            <w:szCs w:val="20"/>
            <w:u w:val="none"/>
            <w:lang w:bidi="ar-EG"/>
          </w:rPr>
          <w:t>et al</w:t>
        </w:r>
      </w:hyperlink>
      <w:r w:rsidRPr="00AB6A32">
        <w:rPr>
          <w:rFonts w:ascii="Times New Roman" w:eastAsia="Times New Roman" w:hAnsi="Times New Roman" w:cs="Times New Roman"/>
          <w:b/>
          <w:bCs/>
          <w:i/>
          <w:iCs/>
          <w:sz w:val="20"/>
          <w:szCs w:val="20"/>
          <w:lang w:bidi="ar-EG"/>
        </w:rPr>
        <w:t>., 2008).</w:t>
      </w:r>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 xml:space="preserve">Vitamin K through the gamma carboxylation of osteocalcin can hold calcium in the skeleton, while preventing it from being deposited in organs, joint spaces, and arteries </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"author" : [ { "dropping-particle" : "", "family" : "Mitchell", "given" : "Terri", "non-dropping-particle" : "", "parse-names" : false, "suffix" : "" } ], "id" : "ITEM-1", "issued" : { "date-parts" : [ [ "2000" ] ] }, "publisher" : "LE Magazine February", "title" : "Stunning new research shows that vitamin K may be one of the most extraordinary anti-aging vitamins ever discovered", "type" : "article" }, "uris" : [ "http://www.mendeley.com/documents/?uuid=f8746b40-daca-47ce-8c9c-f60d748e4406" ] } ], "mendeley" : { "manualFormatting" : "(Mitchell ,2000)", "previouslyFormattedCitation" : "(Mitchell 2000)"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r w:rsidRPr="00AB6A32">
        <w:rPr>
          <w:rFonts w:ascii="Times New Roman" w:eastAsia="Times New Roman" w:hAnsi="Times New Roman" w:cs="Times New Roman"/>
          <w:b/>
          <w:bCs/>
          <w:i/>
          <w:iCs/>
          <w:noProof/>
          <w:sz w:val="20"/>
          <w:szCs w:val="20"/>
          <w:lang w:bidi="ar-EG"/>
        </w:rPr>
        <w:t>(Mitchell</w:t>
      </w:r>
      <w:r w:rsidR="002E0F84">
        <w:rPr>
          <w:rFonts w:ascii="Times New Roman" w:eastAsia="Times New Roman" w:hAnsi="Times New Roman" w:cs="Times New Roman"/>
          <w:b/>
          <w:bCs/>
          <w:i/>
          <w:iCs/>
          <w:noProof/>
          <w:sz w:val="20"/>
          <w:szCs w:val="20"/>
          <w:lang w:bidi="ar-EG"/>
        </w:rPr>
        <w:t>,</w:t>
      </w:r>
      <w:r w:rsidRPr="00AB6A32">
        <w:rPr>
          <w:rFonts w:ascii="Times New Roman" w:eastAsia="Times New Roman" w:hAnsi="Times New Roman" w:cs="Times New Roman"/>
          <w:b/>
          <w:bCs/>
          <w:i/>
          <w:iCs/>
          <w:noProof/>
          <w:sz w:val="20"/>
          <w:szCs w:val="20"/>
          <w:lang w:bidi="ar-EG"/>
        </w:rPr>
        <w:t xml:space="preserve"> 2000)</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sz w:val="20"/>
          <w:szCs w:val="20"/>
          <w:lang w:bidi="ar-EG"/>
        </w:rPr>
        <w:t xml:space="preserve"> In other words, without the help of vitamin K2, calcium that vitamin D so effectively lets in, might be working against the body by building up in</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coronary arteries rather than</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bones. Concurrent arterial calcification and osteoporosis have been called the "calcification paradox" and occur frequently in postmenopausal women. There is even evidence that the safety of vitamin D is dependent on vitamin K, and that vitamin D toxicity (although very rare with the D3 form) is actually caused by vitamin K2 deficiency</w:t>
      </w:r>
      <w:r w:rsidRPr="00AB6A32">
        <w:rPr>
          <w:rFonts w:ascii="Times New Roman" w:eastAsia="Times New Roman" w:hAnsi="Times New Roman" w:cs="Times New Roman"/>
          <w:b/>
          <w:bCs/>
          <w:i/>
          <w:iCs/>
          <w:sz w:val="20"/>
          <w:szCs w:val="20"/>
          <w:lang w:bidi="ar-EG"/>
        </w:rPr>
        <w:t xml:space="preserve">. </w:t>
      </w:r>
      <w:proofErr w:type="gramStart"/>
      <w:r w:rsidRPr="00AB6A32">
        <w:rPr>
          <w:rFonts w:ascii="Times New Roman" w:eastAsia="Times New Roman" w:hAnsi="Times New Roman" w:cs="Times New Roman"/>
          <w:b/>
          <w:bCs/>
          <w:i/>
          <w:iCs/>
          <w:sz w:val="20"/>
          <w:szCs w:val="20"/>
          <w:lang w:bidi="ar-EG"/>
        </w:rPr>
        <w:t>(Adams et al., 2005).</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sz w:val="20"/>
          <w:szCs w:val="20"/>
          <w:lang w:bidi="ar-EG"/>
        </w:rPr>
      </w:pPr>
      <w:r w:rsidRPr="00AB6A32">
        <w:rPr>
          <w:rFonts w:ascii="Times New Roman" w:eastAsia="Times New Roman" w:hAnsi="Times New Roman" w:cs="Times New Roman"/>
          <w:sz w:val="20"/>
          <w:szCs w:val="20"/>
          <w:lang w:bidi="ar-EG"/>
        </w:rPr>
        <w:t xml:space="preserve">Vitamin D plays a major role to regulate bone cell proliferation and maturation as well as bone mineralization and resorption </w:t>
      </w:r>
      <w:r w:rsidRPr="00AB6A32">
        <w:rPr>
          <w:rFonts w:ascii="Times New Roman" w:eastAsia="Times New Roman" w:hAnsi="Times New Roman" w:cs="Times New Roman"/>
          <w:b/>
          <w:bCs/>
          <w:i/>
          <w:iCs/>
          <w:sz w:val="20"/>
          <w:szCs w:val="20"/>
          <w:lang w:bidi="ar-EG"/>
        </w:rPr>
        <w:t>(Lamb et al</w:t>
      </w:r>
      <w:r w:rsidR="002E0F84">
        <w:rPr>
          <w:rFonts w:ascii="Times New Roman" w:eastAsia="Times New Roman" w:hAnsi="Times New Roman" w:cs="Times New Roman"/>
          <w:b/>
          <w:bCs/>
          <w:i/>
          <w:iCs/>
          <w:sz w:val="20"/>
          <w:szCs w:val="20"/>
          <w:lang w:bidi="ar-EG"/>
        </w:rPr>
        <w:t>.</w:t>
      </w:r>
      <w:proofErr w:type="gramStart"/>
      <w:r w:rsidRPr="00AB6A32">
        <w:rPr>
          <w:rFonts w:ascii="Times New Roman" w:eastAsia="Times New Roman" w:hAnsi="Times New Roman" w:cs="Times New Roman"/>
          <w:b/>
          <w:bCs/>
          <w:i/>
          <w:iCs/>
          <w:sz w:val="20"/>
          <w:szCs w:val="20"/>
          <w:lang w:bidi="ar-EG"/>
        </w:rPr>
        <w:t>,2011</w:t>
      </w:r>
      <w:proofErr w:type="gramEnd"/>
      <w:r w:rsidRPr="00AB6A32">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sz w:val="20"/>
          <w:szCs w:val="20"/>
          <w:lang w:bidi="ar-EG"/>
        </w:rPr>
        <w:t xml:space="preserve"> The vitamin D insufficiency increase with aging, due to thinning of the skin</w:t>
      </w:r>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 xml:space="preserve"> reduced exposure to sunlight and is</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exacerbated by estrogen</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 xml:space="preserve">deficiency </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"URL" : "http://orthojournal.org/2011/11/13/osteoblast-progenitor-cells/", "accessed" : { "date-parts" : [ [ "2013", "7", "4" ] ] }, "author" : [ { "dropping-particle" : "", "family" : "Glowacki", "given" : "Julie", "non-dropping-particle" : "", "parse-names" : false, "suffix" : "" }, { "dropping-particle" : "", "family" : "Shuo Geng", "given" : "M.D.", "non-dropping-particle" : "", "parse-names" : false, "suffix" : "" }, { "dropping-particle" : "", "family" : "Shuanhu Zhou", "given" : "Ph.D.", "non-dropping-particle" : "", "parse-names" : false, "suffix" : "" } ], "container-title" : "Alumni Notes", "id" : "ITEM-1", "issued" : { "date-parts" : [ [ "2011" ] ] }, "title" : "Vitamin D Metabolism in Osteoblast Progenitor Cells in Human Marrow | Orthopaedic Journal on WordPress.com", "type" : "webpage" }, "uris" : [ "http://www.mendeley.com/documents/?uuid=853751a7-1454-4681-bd80-a929e2b4c441" ] } ], "mendeley" : { "previouslyFormattedCitation" : "(Glowacki et al. 2011)"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r w:rsidRPr="00AB6A32">
        <w:rPr>
          <w:rFonts w:ascii="Times New Roman" w:eastAsia="Times New Roman" w:hAnsi="Times New Roman" w:cs="Times New Roman"/>
          <w:b/>
          <w:bCs/>
          <w:i/>
          <w:iCs/>
          <w:sz w:val="20"/>
          <w:szCs w:val="20"/>
          <w:lang w:bidi="ar-EG"/>
        </w:rPr>
        <w:t>(Glowacki</w:t>
      </w:r>
      <w:r w:rsidR="002E0F84">
        <w:rPr>
          <w:rFonts w:ascii="Times New Roman" w:eastAsia="Times New Roman" w:hAnsi="Times New Roman" w:cs="Times New Roman"/>
          <w:b/>
          <w:bCs/>
          <w:i/>
          <w:iCs/>
          <w:sz w:val="20"/>
          <w:szCs w:val="20"/>
          <w:lang w:bidi="ar-EG"/>
        </w:rPr>
        <w:t xml:space="preserve"> </w:t>
      </w:r>
      <w:r w:rsidRPr="00AB6A32">
        <w:rPr>
          <w:rFonts w:ascii="Times New Roman" w:eastAsia="Times New Roman" w:hAnsi="Times New Roman" w:cs="Times New Roman"/>
          <w:b/>
          <w:bCs/>
          <w:i/>
          <w:iCs/>
          <w:sz w:val="20"/>
          <w:szCs w:val="20"/>
          <w:lang w:bidi="ar-EG"/>
        </w:rPr>
        <w:t>et al., 2011)</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sz w:val="20"/>
          <w:szCs w:val="20"/>
          <w:lang w:bidi="ar-EG"/>
        </w:rPr>
        <w:t xml:space="preserve"> So the increased bone resorption of vitamin D insufficiency lead to increased bone loss and osteoporosis and the increased turnover appears to increase fracture risk </w:t>
      </w:r>
      <w:r w:rsidRPr="00AB6A32">
        <w:rPr>
          <w:rFonts w:ascii="Times New Roman" w:eastAsia="Times New Roman" w:hAnsi="Times New Roman" w:cs="Times New Roman"/>
          <w:b/>
          <w:bCs/>
          <w:i/>
          <w:iCs/>
          <w:sz w:val="20"/>
          <w:szCs w:val="20"/>
          <w:lang w:bidi="ar-EG"/>
        </w:rPr>
        <w:t>(Allan, 2006).</w:t>
      </w:r>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 xml:space="preserve">Osteocalcin, an abundant noncollagenous protein in bone, which is synthesized by osteoblasts during bone formation, undergoes a posttranslational vitamin K–dependent modification in which 3 glutamic acid residues are carboxylated, which thereby allows the protein to bind calcium. The circulating measure of total osteocalcin, which includes both carboxylated and undercarboxylated forms, is used as a biomarker of bone turnover, whereas the percentage of osteocalcin that is undercarboxylated is a measure of the vitamin K status of bone </w:t>
      </w:r>
      <w:r w:rsidRPr="00AB6A32">
        <w:rPr>
          <w:rFonts w:ascii="Times New Roman" w:eastAsia="Times New Roman" w:hAnsi="Times New Roman" w:cs="Times New Roman"/>
          <w:b/>
          <w:bCs/>
          <w:i/>
          <w:iCs/>
          <w:sz w:val="20"/>
          <w:szCs w:val="20"/>
          <w:lang w:bidi="ar-EG"/>
        </w:rPr>
        <w:t xml:space="preserve">(Neil </w:t>
      </w:r>
      <w:hyperlink r:id="rId16" w:tgtFrame="_blank" w:history="1">
        <w:r w:rsidRPr="00AB6A32">
          <w:rPr>
            <w:rStyle w:val="Hyperlink"/>
            <w:rFonts w:ascii="Times New Roman" w:eastAsia="Times New Roman" w:hAnsi="Times New Roman" w:cs="Times New Roman"/>
            <w:b/>
            <w:bCs/>
            <w:i/>
            <w:iCs/>
            <w:color w:val="auto"/>
            <w:sz w:val="20"/>
            <w:szCs w:val="20"/>
            <w:u w:val="none"/>
            <w:lang w:bidi="ar-EG"/>
          </w:rPr>
          <w:t>et al</w:t>
        </w:r>
      </w:hyperlink>
      <w:proofErr w:type="gramStart"/>
      <w:r w:rsidRPr="00AB6A32">
        <w:rPr>
          <w:rFonts w:ascii="Times New Roman" w:eastAsia="Times New Roman" w:hAnsi="Times New Roman" w:cs="Times New Roman"/>
          <w:b/>
          <w:bCs/>
          <w:i/>
          <w:iCs/>
          <w:sz w:val="20"/>
          <w:szCs w:val="20"/>
          <w:lang w:bidi="ar-EG"/>
        </w:rPr>
        <w:t>.,</w:t>
      </w:r>
      <w:proofErr w:type="gramEnd"/>
      <w:r w:rsidRPr="00AB6A32">
        <w:rPr>
          <w:rFonts w:ascii="Times New Roman" w:eastAsia="Times New Roman" w:hAnsi="Times New Roman" w:cs="Times New Roman"/>
          <w:b/>
          <w:bCs/>
          <w:i/>
          <w:iCs/>
          <w:sz w:val="20"/>
          <w:szCs w:val="20"/>
          <w:lang w:bidi="ar-EG"/>
        </w:rPr>
        <w:t xml:space="preserve"> 2009).</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During bone metabolism, osteocalcin is released from bone matrix through the actions of various enzymes, including one produced by osteoclasts during bone resorption. Most of the three glutamate residues are decarboxylated on osteocalcin (Un-OC) when it is released into blood from bone.</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 xml:space="preserve">In addition, vitamin K deficiency inhibits the γ-carboxylation of glutamic acid residues in osteocalcin so the affinity of undercarboxylated osteocalcin for hydroxyapatite is reduced, which provides a means for it to enter the </w:t>
      </w:r>
      <w:r w:rsidRPr="00AB6A32">
        <w:rPr>
          <w:rFonts w:ascii="Times New Roman" w:eastAsia="Times New Roman" w:hAnsi="Times New Roman" w:cs="Times New Roman"/>
          <w:sz w:val="20"/>
          <w:szCs w:val="20"/>
          <w:lang w:bidi="ar-EG"/>
        </w:rPr>
        <w:lastRenderedPageBreak/>
        <w:t>systemic circulation more easily.</w:t>
      </w:r>
      <w:r w:rsidRPr="00AB6A32">
        <w:rPr>
          <w:rFonts w:ascii="Times New Roman" w:eastAsia="Times New Roman" w:hAnsi="Times New Roman" w:cs="Times New Roman"/>
          <w:b/>
          <w:bCs/>
          <w:i/>
          <w:iCs/>
          <w:sz w:val="20"/>
          <w:szCs w:val="20"/>
          <w:lang w:bidi="ar-EG"/>
        </w:rPr>
        <w:t xml:space="preserve"> </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"DOI" : "10.1359/jbmr.081254", "ISSN" : "1523-4681", "PMID" : "19113922", "abstract" : "Low vitamin K status is associated with low BMD and increased fracture risk. Additionally, a specific menaquinone, menatetrenone (MK4), may reduce fracture risk. However, whether vitamin K plays a role in the skeletal health of North American women remains unclear. Moreover, various K vitamers (e.g., phylloquinone and MK4) may have differing skeletal effects. The objective of this study was to evaluate the impact of phylloquinone or MK4 treatment on markers of skeletal turnover and BMD in nonosteoporotic, postmenopausal, North American women. In this double-blind, placebo-controlled study, 381 postmenopausal women received phylloquinone (1 mg daily), MK4 (45 mg daily), or placebo for 12 mo. All participants received daily calcium and vitamin D(3) supplementation. Serum bone-specific alkaline phosphatase (BSALP) and n-telopeptide of type 1 collagen (NTX) were measured at baseline and 1, 3, 6, and 12 mo. Lumbar spine and proximal femur BMD and proximal femur geometry were measured by DXA at baseline and 6 and 12 mo. At baseline, the three treatment groups did not differ in demographics or study endpoints. Compliance with calcium, phylloquinone, and MK4 treatment was 93%, 93%, and 87%, respectively. Phylloquinone and MK4 treatment reduced serum undercarboxylated osteocalcin but did not alter BSALP or NTX. No effect of phylloquinone or MK4 on lumbar spine or proximal femur BMD or proximal femur geometric parameters was observed. This study does not support a role for vitamin K supplementation in osteoporosis prevention among healthy, postmenopausal, North American women receiving calcium and vitamin D supplementation.", "author" : [ { "dropping-particle" : "", "family" : "Binkley", "given" : "Neil", "non-dropping-particle" : "", "parse-names" : false, "suffix" : "" }, { "dropping-particle" : "", "family" : "Harke", "given" : "Judith", "non-dropping-particle" : "", "parse-names" : false, "suffix" : "" }, { "dropping-particle" : "", "family" : "Krueger", "given" : "Diane", "non-dropping-particle" : "", "parse-names" : false, "suffix" : "" }, { "dropping-particle" : "", "family" : "Engelke", "given" : "Jean", "non-dropping-particle" : "", "parse-names" : false, "suffix" : "" }, { "dropping-particle" : "", "family" : "Vallarta-Ast", "given" : "Nellie", "non-dropping-particle" : "", "parse-names" : false, "suffix" : "" }, { "dropping-particle" : "", "family" : "Gemar", "given" : "Dessa", "non-dropping-particle" : "", "parse-names" : false, "suffix" : "" }, { "dropping-particle" : "", "family" : "Checovich", "given" : "Mary", "non-dropping-particle" : "", "parse-names" : false, "suffix" : "" }, { "dropping-particle" : "", "family" : "Chappell", "given" : "Richard", "non-dropping-particle" : "", "parse-names" : false, "suffix" : "" }, { "dropping-particle" : "", "family" : "Suttie", "given" : "John", "non-dropping-particle" : "", "parse-names" : false, "suffix" : "" } ], "container-title" : "Journal of bone and mineral research : the official journal of the American Society for Bone and Mineral Research", "id" : "ITEM-1", "issue" : "6", "issued" : { "date-parts" : [ [ "2009", "6" ] ] }, "page" : "983-91", "title" : "Vitamin K treatment reduces undercarboxylated osteocalcin but does not alter bone turnover, density, or geometry in healthy postmenopausal North American women.", "type" : "article", "volume" : "24" }, "uris" : [ "http://www.mendeley.com/documents/?uuid=60178c43-4ecc-45ab-8a28-2905f4177dd8" ] } ], "mendeley" : { "previouslyFormattedCitation" : "(Binkley et al. 2009a)"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proofErr w:type="gramStart"/>
      <w:r w:rsidRPr="00AB6A32">
        <w:rPr>
          <w:rFonts w:ascii="Times New Roman" w:eastAsia="Times New Roman" w:hAnsi="Times New Roman" w:cs="Times New Roman"/>
          <w:b/>
          <w:bCs/>
          <w:i/>
          <w:iCs/>
          <w:sz w:val="20"/>
          <w:szCs w:val="20"/>
          <w:lang w:bidi="ar-EG"/>
        </w:rPr>
        <w:t>(Binkley et al., 2009a)</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BSAP is synthesized by the osteoblasts and is presumed to be involved in the calcification of bone matrix</w:t>
      </w:r>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 xml:space="preserve"> increased serum levels of BSAP are seen in conditions characterized by excessive bone turnover including postmenopausal women, osteoporosis, Paget's disease, hyperparathyroidism, thyrotoxicosis, and metastatic cancer. BSAP levels decrease following anti-resorptive therapy in a dose-dependent manner. These short-term changes are inversely correlated with long-term changes in bone mineral density. BSAP levels are correlated with bone growth in children and reflect pubertal growth stages.</w:t>
      </w:r>
      <w:r w:rsidR="004E7994" w:rsidRPr="00AB6A32">
        <w:rPr>
          <w:rFonts w:ascii="Times New Roman" w:eastAsia="Times New Roman" w:hAnsi="Times New Roman" w:cs="Times New Roman"/>
          <w:b/>
          <w:bCs/>
          <w:i/>
          <w:iCs/>
          <w:sz w:val="20"/>
          <w:szCs w:val="20"/>
          <w:lang w:bidi="ar-EG"/>
        </w:rPr>
        <w:fldChar w:fldCharType="begin" w:fldLock="1"/>
      </w:r>
      <w:r w:rsidRPr="00AB6A32">
        <w:rPr>
          <w:rFonts w:ascii="Times New Roman" w:eastAsia="Times New Roman" w:hAnsi="Times New Roman" w:cs="Times New Roman"/>
          <w:b/>
          <w:bCs/>
          <w:i/>
          <w:iCs/>
          <w:sz w:val="20"/>
          <w:szCs w:val="20"/>
          <w:lang w:bidi="ar-EG"/>
        </w:rPr>
        <w:instrText>ADDIN CSL_CITATION { "citationItems" : [ { "id" : "ITEM-1", "itemData" : { "URL" : "http://www.teco-medical.ch/downloads/pdf/BAP_Monograph_English_0606.pdf", "accessed" : { "date-parts" : [ [ "2013", "8", "1" ] ] }, "author" : [ { "dropping-particle" : "", "family" : "Haima", "given" : "Peter", "non-dropping-particle" : "", "parse-names" : false, "suffix" : "" } ], "container-title" : "Monograph_English_0606.pdf", "id" : "ITEM-1", "issued" : { "date-parts" : [ [ "2013" ] ] }, "title" : "Bone Alkaline Phosphatase (BAP) a biochemical marker of bone turnover.", "type" : "webpage" }, "uris" : [ "http://www.mendeley.com/documents/?uuid=2baa8513-e89e-4c16-a00a-6fbe70cf10e8" ] } ], "mendeley" : { "previouslyFormattedCitation" : "(Haima 2013)" }, "properties" : { "noteIndex" : 0 }, "schema" : "https://github.com/citation-style-language/schema/raw/master/csl-citation.json" }</w:instrText>
      </w:r>
      <w:r w:rsidR="004E7994" w:rsidRPr="00AB6A32">
        <w:rPr>
          <w:rFonts w:ascii="Times New Roman" w:eastAsia="Times New Roman" w:hAnsi="Times New Roman" w:cs="Times New Roman"/>
          <w:b/>
          <w:bCs/>
          <w:i/>
          <w:iCs/>
          <w:sz w:val="20"/>
          <w:szCs w:val="20"/>
          <w:lang w:bidi="ar-EG"/>
        </w:rPr>
        <w:fldChar w:fldCharType="separate"/>
      </w:r>
      <w:proofErr w:type="gramStart"/>
      <w:r w:rsidRPr="00AB6A32">
        <w:rPr>
          <w:rFonts w:ascii="Times New Roman" w:eastAsia="Times New Roman" w:hAnsi="Times New Roman" w:cs="Times New Roman"/>
          <w:b/>
          <w:bCs/>
          <w:i/>
          <w:iCs/>
          <w:sz w:val="20"/>
          <w:szCs w:val="20"/>
          <w:lang w:bidi="ar-EG"/>
        </w:rPr>
        <w:t>(Haima, 2013)</w:t>
      </w:r>
      <w:r w:rsidR="004E7994" w:rsidRPr="00AB6A32">
        <w:rPr>
          <w:rFonts w:ascii="Times New Roman" w:eastAsia="Times New Roman" w:hAnsi="Times New Roman" w:cs="Times New Roman"/>
          <w:b/>
          <w:bCs/>
          <w:i/>
          <w:iCs/>
          <w:sz w:val="20"/>
          <w:szCs w:val="20"/>
          <w:lang w:bidi="ar-EG"/>
        </w:rPr>
        <w:fldChar w:fldCharType="end"/>
      </w:r>
      <w:r w:rsidRPr="00AB6A32">
        <w:rPr>
          <w:rFonts w:ascii="Times New Roman" w:eastAsia="Times New Roman" w:hAnsi="Times New Roman" w:cs="Times New Roman"/>
          <w:b/>
          <w:bCs/>
          <w:i/>
          <w:iCs/>
          <w:sz w:val="20"/>
          <w:szCs w:val="20"/>
          <w:lang w:bidi="ar-EG"/>
        </w:rPr>
        <w:t>.</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Tartrate-resistant acid phosphatase serum band 5 is one of seven acid phosphatases found in hematopoietic tissues. It is one of the most abundant enzymes in osteoclasts. TRAP5 is a 37 kDa glycoprotein, present in two isoforms 5a and 5b. TRAP5b, the active isoform of TRAP is specifically synthesized by bone-resorbing osteoclasts,</w:t>
      </w:r>
      <w:r w:rsidRPr="00AB6A32">
        <w:rPr>
          <w:rFonts w:ascii="Times New Roman" w:eastAsia="HelveticaNeueLT-Roman" w:hAnsi="Times New Roman" w:cs="Times New Roman"/>
          <w:sz w:val="20"/>
          <w:szCs w:val="20"/>
          <w:lang w:bidi="ar-EG"/>
        </w:rPr>
        <w:t xml:space="preserve"> whereas TRAP5a originates from macrophages and dendritic cells. </w:t>
      </w:r>
      <w:proofErr w:type="gramStart"/>
      <w:r w:rsidRPr="00AB6A32">
        <w:rPr>
          <w:rFonts w:ascii="Times New Roman" w:eastAsia="Times New Roman" w:hAnsi="Times New Roman" w:cs="Times New Roman"/>
          <w:b/>
          <w:bCs/>
          <w:i/>
          <w:iCs/>
          <w:sz w:val="20"/>
          <w:szCs w:val="20"/>
          <w:lang w:bidi="ar-EG"/>
        </w:rPr>
        <w:t>(Ljusberg et al., 2005).</w:t>
      </w:r>
      <w:proofErr w:type="gramEnd"/>
    </w:p>
    <w:p w:rsidR="003E44C4" w:rsidRPr="00AB6A32" w:rsidRDefault="003E44C4" w:rsidP="00AB6A32">
      <w:pPr>
        <w:autoSpaceDE w:val="0"/>
        <w:autoSpaceDN w:val="0"/>
        <w:adjustRightInd w:val="0"/>
        <w:snapToGrid w:val="0"/>
        <w:spacing w:after="0" w:line="240" w:lineRule="auto"/>
        <w:jc w:val="both"/>
        <w:rPr>
          <w:rFonts w:ascii="Times New Roman" w:eastAsia="Times New Roman" w:hAnsi="Times New Roman" w:cs="Times New Roman"/>
          <w:b/>
          <w:bCs/>
          <w:color w:val="000000"/>
          <w:sz w:val="20"/>
          <w:szCs w:val="20"/>
        </w:rPr>
      </w:pPr>
    </w:p>
    <w:p w:rsidR="003E44C4" w:rsidRPr="00AB6A32" w:rsidRDefault="003E44C4" w:rsidP="00AB6A32">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AB6A32">
        <w:rPr>
          <w:rFonts w:ascii="Times New Roman" w:eastAsia="Times New Roman" w:hAnsi="Times New Roman" w:cs="Times New Roman"/>
          <w:b/>
          <w:bCs/>
          <w:color w:val="000000"/>
          <w:sz w:val="20"/>
          <w:szCs w:val="20"/>
        </w:rPr>
        <w:t>2. Methods</w:t>
      </w:r>
      <w:r w:rsidRPr="00AB6A32">
        <w:rPr>
          <w:rFonts w:ascii="Times New Roman" w:eastAsia="Times New Roman" w:hAnsi="Times New Roman" w:cs="Times New Roman"/>
          <w:color w:val="000000"/>
          <w:sz w:val="20"/>
          <w:szCs w:val="20"/>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This study was performed on eighty adult female albino rats; with an average weight of 150 g. Animals were kept for 2 weeks before beginning the experiment, and then they were subjected to ovariectomy operation. The rats were allowed for complete healing for a period of 2 weeks.</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Ovariectomized rats were divided into two equal main groups.</w:t>
      </w:r>
    </w:p>
    <w:p w:rsidR="003E44C4" w:rsidRPr="00AB6A32" w:rsidRDefault="003E44C4" w:rsidP="00AB6A32">
      <w:pPr>
        <w:snapToGrid w:val="0"/>
        <w:spacing w:after="0" w:line="240" w:lineRule="auto"/>
        <w:jc w:val="both"/>
        <w:outlineLvl w:val="3"/>
        <w:rPr>
          <w:rFonts w:ascii="Times New Roman" w:eastAsiaTheme="majorEastAsia" w:hAnsi="Times New Roman" w:cs="Times New Roman"/>
          <w:b/>
          <w:bCs/>
          <w:i/>
          <w:iCs/>
          <w:sz w:val="20"/>
          <w:szCs w:val="20"/>
          <w:lang w:bidi="ar-EG"/>
        </w:rPr>
      </w:pPr>
      <w:r w:rsidRPr="00AB6A32">
        <w:rPr>
          <w:rFonts w:ascii="Times New Roman" w:eastAsiaTheme="majorEastAsia" w:hAnsi="Times New Roman" w:cs="Times New Roman"/>
          <w:b/>
          <w:bCs/>
          <w:i/>
          <w:iCs/>
          <w:sz w:val="20"/>
          <w:szCs w:val="20"/>
          <w:lang w:bidi="ar-EG"/>
        </w:rPr>
        <w:t xml:space="preserve">Group </w:t>
      </w:r>
      <w:proofErr w:type="gramStart"/>
      <w:r w:rsidRPr="00AB6A32">
        <w:rPr>
          <w:rFonts w:ascii="Times New Roman" w:eastAsiaTheme="majorEastAsia" w:hAnsi="Times New Roman" w:cs="Times New Roman"/>
          <w:b/>
          <w:bCs/>
          <w:i/>
          <w:iCs/>
          <w:sz w:val="20"/>
          <w:szCs w:val="20"/>
          <w:lang w:bidi="ar-EG"/>
        </w:rPr>
        <w:t>I</w:t>
      </w:r>
      <w:proofErr w:type="gramEnd"/>
      <w:r w:rsidRPr="00AB6A32">
        <w:rPr>
          <w:rFonts w:ascii="Times New Roman" w:eastAsiaTheme="majorEastAsia" w:hAnsi="Times New Roman" w:cs="Times New Roman"/>
          <w:b/>
          <w:bCs/>
          <w:i/>
          <w:iCs/>
          <w:sz w:val="20"/>
          <w:szCs w:val="20"/>
          <w:lang w:bidi="ar-EG"/>
        </w:rPr>
        <w:t xml:space="preserve"> Sedentary group (n=40):</w:t>
      </w:r>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sz w:val="20"/>
          <w:szCs w:val="20"/>
          <w:lang w:bidi="ar-EG"/>
        </w:rPr>
      </w:pPr>
      <w:r w:rsidRPr="00AB6A32">
        <w:rPr>
          <w:rFonts w:ascii="Times New Roman" w:eastAsia="Times New Roman" w:hAnsi="Times New Roman" w:cs="Times New Roman"/>
          <w:sz w:val="20"/>
          <w:szCs w:val="20"/>
          <w:lang w:bidi="ar-EG"/>
        </w:rPr>
        <w:t xml:space="preserve">Rats were put on treadmill without running for the same period as group II. </w:t>
      </w:r>
      <w:r w:rsidRPr="00AB6A32">
        <w:rPr>
          <w:rFonts w:ascii="Times New Roman" w:eastAsia="Times New Roman" w:hAnsi="Times New Roman" w:cs="Times New Roman"/>
          <w:b/>
          <w:bCs/>
          <w:sz w:val="20"/>
          <w:szCs w:val="20"/>
          <w:lang w:bidi="ar-EG"/>
        </w:rPr>
        <w:t>This group was further subdivided into 4 subgroups a, b, c and d:</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b/>
          <w:bCs/>
          <w:i/>
          <w:iCs/>
          <w:sz w:val="20"/>
          <w:szCs w:val="20"/>
          <w:lang w:bidi="ar-EG"/>
        </w:rPr>
        <w:t xml:space="preserve">Subgroup </w:t>
      </w:r>
      <w:proofErr w:type="gramStart"/>
      <w:r w:rsidRPr="00AB6A32">
        <w:rPr>
          <w:rFonts w:ascii="Times New Roman" w:eastAsiaTheme="majorEastAsia" w:hAnsi="Times New Roman" w:cs="Times New Roman"/>
          <w:b/>
          <w:bCs/>
          <w:i/>
          <w:iCs/>
          <w:sz w:val="20"/>
          <w:szCs w:val="20"/>
          <w:lang w:bidi="ar-EG"/>
        </w:rPr>
        <w:t>Ia</w:t>
      </w:r>
      <w:proofErr w:type="gramEnd"/>
      <w:r w:rsidRPr="00AB6A32">
        <w:rPr>
          <w:rFonts w:ascii="Times New Roman" w:eastAsiaTheme="majorEastAsia" w:hAnsi="Times New Roman" w:cs="Times New Roman"/>
          <w:b/>
          <w:bCs/>
          <w:i/>
          <w:iCs/>
          <w:sz w:val="20"/>
          <w:szCs w:val="20"/>
          <w:lang w:bidi="ar-EG"/>
        </w:rPr>
        <w:t xml:space="preserve"> (n=10): </w:t>
      </w:r>
      <w:r w:rsidRPr="00AB6A32">
        <w:rPr>
          <w:rFonts w:ascii="Times New Roman" w:eastAsia="Times New Roman" w:hAnsi="Times New Roman" w:cs="Times New Roman"/>
          <w:sz w:val="20"/>
          <w:szCs w:val="20"/>
          <w:lang w:bidi="ar-EG"/>
        </w:rPr>
        <w:t>They didn’t receive any vitamin; they received only water by gavage for simulation of experimental conditions.</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b/>
          <w:bCs/>
          <w:i/>
          <w:iCs/>
          <w:sz w:val="20"/>
          <w:szCs w:val="20"/>
          <w:lang w:bidi="ar-EG"/>
        </w:rPr>
        <w:t xml:space="preserve">Subgroup </w:t>
      </w:r>
      <w:proofErr w:type="gramStart"/>
      <w:r w:rsidRPr="00AB6A32">
        <w:rPr>
          <w:rFonts w:ascii="Times New Roman" w:eastAsiaTheme="majorEastAsia" w:hAnsi="Times New Roman" w:cs="Times New Roman"/>
          <w:b/>
          <w:bCs/>
          <w:i/>
          <w:iCs/>
          <w:sz w:val="20"/>
          <w:szCs w:val="20"/>
          <w:lang w:bidi="ar-EG"/>
        </w:rPr>
        <w:t>Ib</w:t>
      </w:r>
      <w:proofErr w:type="gramEnd"/>
      <w:r w:rsidRPr="00AB6A32">
        <w:rPr>
          <w:rFonts w:ascii="Times New Roman" w:eastAsiaTheme="majorEastAsia" w:hAnsi="Times New Roman" w:cs="Times New Roman"/>
          <w:b/>
          <w:bCs/>
          <w:i/>
          <w:iCs/>
          <w:sz w:val="20"/>
          <w:szCs w:val="20"/>
          <w:lang w:bidi="ar-EG"/>
        </w:rPr>
        <w:t xml:space="preserve"> (n=10): </w:t>
      </w:r>
      <w:r w:rsidRPr="00AB6A32">
        <w:rPr>
          <w:rFonts w:ascii="Times New Roman" w:eastAsia="Times New Roman" w:hAnsi="Times New Roman" w:cs="Times New Roman"/>
          <w:sz w:val="20"/>
          <w:szCs w:val="20"/>
          <w:lang w:bidi="ar-EG"/>
        </w:rPr>
        <w:t>They received 0.1ug/kg body weight of vitamin D3 supplementation daily by gavage.</w:t>
      </w:r>
    </w:p>
    <w:p w:rsidR="003E44C4" w:rsidRPr="00AB6A32" w:rsidRDefault="003E44C4" w:rsidP="00AB6A32">
      <w:pPr>
        <w:snapToGrid w:val="0"/>
        <w:spacing w:after="0" w:line="240" w:lineRule="auto"/>
        <w:jc w:val="both"/>
        <w:rPr>
          <w:rFonts w:ascii="Times New Roman" w:eastAsia="Times New Roman" w:hAnsi="Times New Roman" w:cs="Times New Roman"/>
          <w:b/>
          <w:bCs/>
          <w:sz w:val="20"/>
          <w:szCs w:val="20"/>
          <w:lang w:bidi="ar-EG"/>
        </w:rPr>
      </w:pPr>
      <w:r w:rsidRPr="00AB6A32">
        <w:rPr>
          <w:rFonts w:ascii="Times New Roman" w:eastAsiaTheme="majorEastAsia" w:hAnsi="Times New Roman" w:cs="Times New Roman"/>
          <w:b/>
          <w:bCs/>
          <w:i/>
          <w:iCs/>
          <w:sz w:val="20"/>
          <w:szCs w:val="20"/>
          <w:lang w:bidi="ar-EG"/>
        </w:rPr>
        <w:t xml:space="preserve">Subgroup </w:t>
      </w:r>
      <w:proofErr w:type="gramStart"/>
      <w:r w:rsidRPr="00AB6A32">
        <w:rPr>
          <w:rFonts w:ascii="Times New Roman" w:eastAsiaTheme="majorEastAsia" w:hAnsi="Times New Roman" w:cs="Times New Roman"/>
          <w:b/>
          <w:bCs/>
          <w:i/>
          <w:iCs/>
          <w:sz w:val="20"/>
          <w:szCs w:val="20"/>
          <w:lang w:bidi="ar-EG"/>
        </w:rPr>
        <w:t>Ic</w:t>
      </w:r>
      <w:proofErr w:type="gramEnd"/>
      <w:r w:rsidRPr="00AB6A32">
        <w:rPr>
          <w:rFonts w:ascii="Times New Roman" w:eastAsiaTheme="majorEastAsia" w:hAnsi="Times New Roman" w:cs="Times New Roman"/>
          <w:b/>
          <w:bCs/>
          <w:i/>
          <w:iCs/>
          <w:sz w:val="20"/>
          <w:szCs w:val="20"/>
          <w:lang w:bidi="ar-EG"/>
        </w:rPr>
        <w:t xml:space="preserve"> (n=10):</w:t>
      </w:r>
      <w:r w:rsidRPr="00AB6A32">
        <w:rPr>
          <w:rFonts w:ascii="Times New Roman" w:eastAsia="Times New Roman" w:hAnsi="Times New Roman" w:cs="Times New Roman"/>
          <w:sz w:val="20"/>
          <w:szCs w:val="20"/>
          <w:lang w:bidi="ar-EG"/>
        </w:rPr>
        <w:t xml:space="preserve"> They received 0.0009 mg/gm body weight of vitamin K supplementation daily by gavage</w:t>
      </w:r>
      <w:r w:rsidRPr="00AB6A32">
        <w:rPr>
          <w:rFonts w:ascii="Times New Roman" w:eastAsia="Times New Roman" w:hAnsi="Times New Roman" w:cs="Times New Roman"/>
          <w:b/>
          <w:bCs/>
          <w:sz w:val="20"/>
          <w:szCs w:val="20"/>
          <w:lang w:bidi="ar-EG"/>
        </w:rPr>
        <w:t>.</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b/>
          <w:bCs/>
          <w:i/>
          <w:iCs/>
          <w:sz w:val="20"/>
          <w:szCs w:val="20"/>
          <w:lang w:bidi="ar-EG"/>
        </w:rPr>
        <w:t>Subgroup Id (n=10):</w:t>
      </w:r>
      <w:r w:rsidRPr="00AB6A32">
        <w:rPr>
          <w:rFonts w:ascii="Times New Roman" w:eastAsia="Times New Roman" w:hAnsi="Times New Roman" w:cs="Times New Roman"/>
          <w:sz w:val="20"/>
          <w:szCs w:val="20"/>
          <w:lang w:bidi="ar-EG"/>
        </w:rPr>
        <w:t xml:space="preserve"> They received both vitamin D3 and vitamin K supplementation daily by gavage in the same previous doses.</w:t>
      </w:r>
    </w:p>
    <w:p w:rsidR="003E44C4" w:rsidRPr="00AB6A32" w:rsidRDefault="003E44C4" w:rsidP="00AB6A32">
      <w:pPr>
        <w:snapToGrid w:val="0"/>
        <w:spacing w:after="0" w:line="240" w:lineRule="auto"/>
        <w:jc w:val="both"/>
        <w:outlineLvl w:val="3"/>
        <w:rPr>
          <w:rFonts w:ascii="Times New Roman" w:eastAsiaTheme="majorEastAsia" w:hAnsi="Times New Roman" w:cs="Times New Roman"/>
          <w:b/>
          <w:bCs/>
          <w:i/>
          <w:iCs/>
          <w:color w:val="4F81BD" w:themeColor="accent1"/>
          <w:sz w:val="20"/>
          <w:szCs w:val="20"/>
          <w:lang w:bidi="ar-EG"/>
        </w:rPr>
      </w:pPr>
      <w:r w:rsidRPr="00AB6A32">
        <w:rPr>
          <w:rFonts w:ascii="Times New Roman" w:eastAsiaTheme="majorEastAsia" w:hAnsi="Times New Roman" w:cs="Times New Roman"/>
          <w:b/>
          <w:bCs/>
          <w:i/>
          <w:iCs/>
          <w:sz w:val="20"/>
          <w:szCs w:val="20"/>
          <w:lang w:bidi="ar-EG"/>
        </w:rPr>
        <w:t>Group II Exercise group (n=40):</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Rats performed treadmill exercise 30 minutes /day for 9 weeks (for 63 successive days)</w:t>
      </w:r>
      <w:r w:rsidR="002E0F84">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This group was further subdivided into 4 subgroups a, b, c and d:</w:t>
      </w:r>
    </w:p>
    <w:p w:rsidR="003E44C4" w:rsidRPr="00AB6A32" w:rsidRDefault="003E44C4" w:rsidP="00AB6A32">
      <w:pPr>
        <w:snapToGrid w:val="0"/>
        <w:spacing w:after="0" w:line="240" w:lineRule="auto"/>
        <w:jc w:val="both"/>
        <w:rPr>
          <w:rFonts w:ascii="Times New Roman" w:eastAsiaTheme="majorEastAsia" w:hAnsi="Times New Roman" w:cs="Times New Roman"/>
          <w:b/>
          <w:bCs/>
          <w:i/>
          <w:iCs/>
          <w:color w:val="4F81BD" w:themeColor="accent1"/>
          <w:sz w:val="20"/>
          <w:szCs w:val="20"/>
          <w:lang w:bidi="ar-EG"/>
        </w:rPr>
      </w:pPr>
      <w:r w:rsidRPr="00AB6A32">
        <w:rPr>
          <w:rFonts w:ascii="Times New Roman" w:eastAsiaTheme="majorEastAsia" w:hAnsi="Times New Roman" w:cs="Times New Roman"/>
          <w:b/>
          <w:bCs/>
          <w:i/>
          <w:iCs/>
          <w:sz w:val="20"/>
          <w:szCs w:val="20"/>
          <w:lang w:bidi="ar-EG"/>
        </w:rPr>
        <w:lastRenderedPageBreak/>
        <w:t>Subgroup IIa (n=10):</w:t>
      </w:r>
      <w:r w:rsidRPr="00AB6A32">
        <w:rPr>
          <w:rFonts w:ascii="Times New Roman" w:eastAsia="Times New Roman" w:hAnsi="Times New Roman" w:cs="Times New Roman"/>
          <w:sz w:val="20"/>
          <w:szCs w:val="20"/>
          <w:lang w:bidi="ar-EG"/>
        </w:rPr>
        <w:t xml:space="preserve"> They didn’t</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receive any vitamin; they received only water by gavage for simulation of experimental conditions, simultaneous with treadmill exercise</w:t>
      </w:r>
      <w:r w:rsidRPr="00AB6A32">
        <w:rPr>
          <w:rFonts w:ascii="Times New Roman" w:eastAsiaTheme="majorEastAsia" w:hAnsi="Times New Roman" w:cs="Times New Roman"/>
          <w:b/>
          <w:bCs/>
          <w:i/>
          <w:iCs/>
          <w:color w:val="4F81BD" w:themeColor="accent1"/>
          <w:sz w:val="20"/>
          <w:szCs w:val="20"/>
          <w:lang w:bidi="ar-EG"/>
        </w:rPr>
        <w:t>.</w:t>
      </w:r>
    </w:p>
    <w:p w:rsidR="003E44C4" w:rsidRPr="00AB6A32" w:rsidRDefault="003E44C4" w:rsidP="00AB6A32">
      <w:pPr>
        <w:snapToGrid w:val="0"/>
        <w:spacing w:after="0" w:line="240" w:lineRule="auto"/>
        <w:jc w:val="both"/>
        <w:rPr>
          <w:rFonts w:ascii="Times New Roman" w:eastAsiaTheme="majorEastAsia" w:hAnsi="Times New Roman" w:cs="Times New Roman"/>
          <w:b/>
          <w:bCs/>
          <w:i/>
          <w:iCs/>
          <w:color w:val="4F81BD" w:themeColor="accent1"/>
          <w:sz w:val="20"/>
          <w:szCs w:val="20"/>
          <w:lang w:bidi="ar-EG"/>
        </w:rPr>
      </w:pPr>
      <w:r w:rsidRPr="00AB6A32">
        <w:rPr>
          <w:rFonts w:ascii="Times New Roman" w:eastAsiaTheme="majorEastAsia" w:hAnsi="Times New Roman" w:cs="Times New Roman"/>
          <w:b/>
          <w:bCs/>
          <w:i/>
          <w:iCs/>
          <w:sz w:val="20"/>
          <w:szCs w:val="20"/>
          <w:lang w:bidi="ar-EG"/>
        </w:rPr>
        <w:t>Subgroup IIb (n=10):</w:t>
      </w:r>
      <w:r w:rsidRPr="00AB6A32">
        <w:rPr>
          <w:rFonts w:ascii="Times New Roman" w:eastAsia="Times New Roman" w:hAnsi="Times New Roman" w:cs="Times New Roman"/>
          <w:sz w:val="20"/>
          <w:szCs w:val="20"/>
          <w:lang w:bidi="ar-EG"/>
        </w:rPr>
        <w:t xml:space="preserve"> They received 0.1ug/kg body weight of vitamin D supplementation daily by gavage simultaneous with treadmill exercise</w:t>
      </w:r>
      <w:r w:rsidRPr="00AB6A32">
        <w:rPr>
          <w:rFonts w:ascii="Times New Roman" w:eastAsiaTheme="majorEastAsia" w:hAnsi="Times New Roman" w:cs="Times New Roman"/>
          <w:b/>
          <w:bCs/>
          <w:i/>
          <w:iCs/>
          <w:color w:val="4F81BD" w:themeColor="accent1"/>
          <w:sz w:val="20"/>
          <w:szCs w:val="20"/>
          <w:lang w:bidi="ar-EG"/>
        </w:rPr>
        <w:t>.</w:t>
      </w:r>
    </w:p>
    <w:p w:rsidR="003E44C4" w:rsidRPr="00AB6A32" w:rsidRDefault="003E44C4" w:rsidP="00AB6A32">
      <w:pPr>
        <w:snapToGrid w:val="0"/>
        <w:spacing w:after="0" w:line="240" w:lineRule="auto"/>
        <w:jc w:val="both"/>
        <w:rPr>
          <w:rFonts w:ascii="Times New Roman" w:eastAsiaTheme="majorEastAsia" w:hAnsi="Times New Roman" w:cs="Times New Roman"/>
          <w:b/>
          <w:bCs/>
          <w:i/>
          <w:iCs/>
          <w:color w:val="4F81BD" w:themeColor="accent1"/>
          <w:sz w:val="20"/>
          <w:szCs w:val="20"/>
          <w:lang w:bidi="ar-EG"/>
        </w:rPr>
      </w:pPr>
      <w:r w:rsidRPr="00AB6A32">
        <w:rPr>
          <w:rFonts w:ascii="Times New Roman" w:eastAsiaTheme="majorEastAsia" w:hAnsi="Times New Roman" w:cs="Times New Roman"/>
          <w:b/>
          <w:bCs/>
          <w:i/>
          <w:iCs/>
          <w:sz w:val="20"/>
          <w:szCs w:val="20"/>
          <w:lang w:bidi="ar-EG"/>
        </w:rPr>
        <w:t>Subgroup IIc (n=10):</w:t>
      </w:r>
      <w:r w:rsidRPr="00AB6A32">
        <w:rPr>
          <w:rFonts w:ascii="Times New Roman" w:eastAsia="Times New Roman" w:hAnsi="Times New Roman" w:cs="Times New Roman"/>
          <w:sz w:val="20"/>
          <w:szCs w:val="20"/>
          <w:lang w:bidi="ar-EG"/>
        </w:rPr>
        <w:t xml:space="preserve"> They received 0.0009 mg/g body weight of vitamin K supplementation daily by gavage simultaneous with treadmill exercise</w:t>
      </w:r>
      <w:r w:rsidRPr="00AB6A32">
        <w:rPr>
          <w:rFonts w:ascii="Times New Roman" w:eastAsiaTheme="majorEastAsia" w:hAnsi="Times New Roman" w:cs="Times New Roman"/>
          <w:b/>
          <w:bCs/>
          <w:i/>
          <w:iCs/>
          <w:color w:val="4F81BD" w:themeColor="accent1"/>
          <w:sz w:val="20"/>
          <w:szCs w:val="20"/>
          <w:lang w:bidi="ar-EG"/>
        </w:rPr>
        <w:t>.</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b/>
          <w:bCs/>
          <w:i/>
          <w:iCs/>
          <w:sz w:val="20"/>
          <w:szCs w:val="20"/>
          <w:lang w:bidi="ar-EG"/>
        </w:rPr>
        <w:t>Subgroup IId (n=10):</w:t>
      </w:r>
      <w:r w:rsidRPr="00AB6A32">
        <w:rPr>
          <w:rFonts w:ascii="Times New Roman" w:eastAsia="Times New Roman" w:hAnsi="Times New Roman" w:cs="Times New Roman"/>
          <w:sz w:val="20"/>
          <w:szCs w:val="20"/>
          <w:lang w:bidi="ar-EG"/>
        </w:rPr>
        <w:t xml:space="preserve"> They received both vitamin D and vitamin K supplementation daily by gavage in the same previous doses simultaneous with treadmill exercise.</w:t>
      </w:r>
    </w:p>
    <w:p w:rsidR="003E44C4" w:rsidRPr="00AB6A32" w:rsidRDefault="003E44C4" w:rsidP="00AB6A32">
      <w:pPr>
        <w:snapToGrid w:val="0"/>
        <w:spacing w:after="0" w:line="240" w:lineRule="auto"/>
        <w:jc w:val="both"/>
        <w:outlineLvl w:val="2"/>
        <w:rPr>
          <w:rFonts w:ascii="Times New Roman" w:eastAsiaTheme="majorEastAsia" w:hAnsi="Times New Roman" w:cs="Times New Roman"/>
          <w:b/>
          <w:bCs/>
          <w:sz w:val="20"/>
          <w:szCs w:val="20"/>
          <w:lang w:bidi="ar-EG"/>
        </w:rPr>
      </w:pPr>
      <w:bookmarkStart w:id="1" w:name="_Toc376434821"/>
      <w:bookmarkStart w:id="2" w:name="_Toc365421993"/>
      <w:r w:rsidRPr="00AB6A32">
        <w:rPr>
          <w:rFonts w:ascii="Times New Roman" w:eastAsiaTheme="majorEastAsia" w:hAnsi="Times New Roman" w:cs="Times New Roman"/>
          <w:b/>
          <w:bCs/>
          <w:sz w:val="20"/>
          <w:szCs w:val="20"/>
          <w:lang w:bidi="ar-EG"/>
        </w:rPr>
        <w:t>Exercise protocol</w:t>
      </w:r>
      <w:bookmarkEnd w:id="1"/>
      <w:bookmarkEnd w:id="2"/>
    </w:p>
    <w:p w:rsidR="003E44C4" w:rsidRPr="00AB6A32" w:rsidRDefault="003E44C4" w:rsidP="00AB6A32">
      <w:pPr>
        <w:snapToGrid w:val="0"/>
        <w:spacing w:after="0" w:line="240" w:lineRule="auto"/>
        <w:ind w:firstLine="425"/>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Rats performed exercise on treadmill 7 days /week for 9 weeks (for 63 successive days). Running on treadmill began for 5 minutes/day and then increased gradually by 5 minutes every 2 days till it reached 30 minutes /day after 2 weeks and continued with the same duration for the following 7 weeks</w:t>
      </w:r>
      <w:r w:rsidRPr="00AB6A32">
        <w:rPr>
          <w:rFonts w:ascii="Times New Roman" w:eastAsia="Times New Roman" w:hAnsi="Times New Roman" w:cs="Times New Roman"/>
          <w:b/>
          <w:bCs/>
          <w:i/>
          <w:iCs/>
          <w:sz w:val="20"/>
          <w:szCs w:val="20"/>
          <w:lang w:bidi="ar-EG"/>
        </w:rPr>
        <w:t xml:space="preserve">. </w:t>
      </w:r>
      <w:proofErr w:type="gramStart"/>
      <w:r w:rsidRPr="00AB6A32">
        <w:rPr>
          <w:rFonts w:ascii="Times New Roman" w:eastAsia="Times New Roman" w:hAnsi="Times New Roman" w:cs="Times New Roman"/>
          <w:b/>
          <w:bCs/>
          <w:i/>
          <w:iCs/>
          <w:sz w:val="20"/>
          <w:szCs w:val="20"/>
          <w:lang w:bidi="ar-EG"/>
        </w:rPr>
        <w:t>(Kim et al., 2002).</w:t>
      </w:r>
      <w:proofErr w:type="gramEnd"/>
    </w:p>
    <w:p w:rsidR="003E44C4" w:rsidRPr="00AB6A32" w:rsidRDefault="003E44C4" w:rsidP="00AB6A32">
      <w:pPr>
        <w:snapToGrid w:val="0"/>
        <w:spacing w:after="0" w:line="240" w:lineRule="auto"/>
        <w:jc w:val="both"/>
        <w:outlineLvl w:val="2"/>
        <w:rPr>
          <w:rFonts w:ascii="Times New Roman" w:eastAsiaTheme="majorEastAsia" w:hAnsi="Times New Roman" w:cs="Times New Roman"/>
          <w:b/>
          <w:bCs/>
          <w:sz w:val="20"/>
          <w:szCs w:val="20"/>
          <w:lang w:bidi="ar-EG"/>
        </w:rPr>
      </w:pPr>
      <w:bookmarkStart w:id="3" w:name="_Toc376434822"/>
      <w:bookmarkStart w:id="4" w:name="_Toc365421994"/>
      <w:r w:rsidRPr="00AB6A32">
        <w:rPr>
          <w:rFonts w:ascii="Times New Roman" w:eastAsiaTheme="majorEastAsia" w:hAnsi="Times New Roman" w:cs="Times New Roman"/>
          <w:b/>
          <w:bCs/>
          <w:sz w:val="20"/>
          <w:szCs w:val="20"/>
          <w:lang w:bidi="ar-EG"/>
        </w:rPr>
        <w:t>Blood sampling:</w:t>
      </w:r>
      <w:bookmarkEnd w:id="3"/>
      <w:bookmarkEnd w:id="4"/>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At the end of experiment (on the 64th day, 9 weeks) blood samples were collected after 12-14 hours fasting rats, from the retro -orbital sinus under light ether inhalation anesthesia.</w:t>
      </w:r>
      <w:r w:rsidRPr="00AB6A32">
        <w:rPr>
          <w:rFonts w:ascii="Times New Roman" w:eastAsia="Times New Roman" w:hAnsi="Times New Roman" w:cs="Times New Roman"/>
          <w:b/>
          <w:bCs/>
          <w:i/>
          <w:iCs/>
          <w:sz w:val="20"/>
          <w:szCs w:val="20"/>
          <w:lang w:bidi="ar-EG"/>
        </w:rPr>
        <w:t xml:space="preserve"> </w:t>
      </w:r>
      <w:proofErr w:type="gramStart"/>
      <w:r w:rsidRPr="00AB6A32">
        <w:rPr>
          <w:rFonts w:ascii="Times New Roman" w:eastAsia="Times New Roman" w:hAnsi="Times New Roman" w:cs="Times New Roman"/>
          <w:b/>
          <w:bCs/>
          <w:i/>
          <w:iCs/>
          <w:sz w:val="20"/>
          <w:szCs w:val="20"/>
          <w:lang w:bidi="ar-EG"/>
        </w:rPr>
        <w:t>(</w:t>
      </w:r>
      <w:hyperlink r:id="rId17" w:history="1">
        <w:r w:rsidRPr="00AB6A32">
          <w:rPr>
            <w:rStyle w:val="Hyperlink"/>
            <w:rFonts w:ascii="Times New Roman" w:eastAsia="Times New Roman" w:hAnsi="Times New Roman" w:cs="Times New Roman"/>
            <w:b/>
            <w:bCs/>
            <w:i/>
            <w:iCs/>
            <w:color w:val="auto"/>
            <w:sz w:val="20"/>
            <w:szCs w:val="20"/>
            <w:u w:val="none"/>
            <w:lang w:bidi="ar-EG"/>
          </w:rPr>
          <w:t>Parasuraman</w:t>
        </w:r>
      </w:hyperlink>
      <w:r w:rsidRPr="00AB6A32">
        <w:rPr>
          <w:rFonts w:ascii="Times New Roman" w:eastAsia="Times New Roman" w:hAnsi="Times New Roman" w:cs="Times New Roman"/>
          <w:b/>
          <w:bCs/>
          <w:i/>
          <w:iCs/>
          <w:sz w:val="20"/>
          <w:szCs w:val="20"/>
          <w:lang w:bidi="ar-EG"/>
        </w:rPr>
        <w:t xml:space="preserve"> et al., 2010).</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It </w:t>
      </w:r>
      <w:proofErr w:type="gramStart"/>
      <w:r w:rsidRPr="00AB6A32">
        <w:rPr>
          <w:rFonts w:ascii="Times New Roman" w:eastAsia="Times New Roman" w:hAnsi="Times New Roman" w:cs="Times New Roman"/>
          <w:color w:val="000000"/>
          <w:sz w:val="20"/>
          <w:szCs w:val="20"/>
          <w:lang w:bidi="ar-EG"/>
        </w:rPr>
        <w:t>were</w:t>
      </w:r>
      <w:proofErr w:type="gramEnd"/>
      <w:r w:rsidRPr="00AB6A32">
        <w:rPr>
          <w:rFonts w:ascii="Times New Roman" w:eastAsia="Times New Roman" w:hAnsi="Times New Roman" w:cs="Times New Roman"/>
          <w:color w:val="000000"/>
          <w:sz w:val="20"/>
          <w:szCs w:val="20"/>
          <w:lang w:bidi="ar-EG"/>
        </w:rPr>
        <w:t xml:space="preserve"> taken from all groups. We investigated the circulating concentrations of</w:t>
      </w:r>
      <w:r w:rsidR="002E0F84">
        <w:rPr>
          <w:rFonts w:ascii="Times New Roman" w:eastAsia="Times New Roman" w:hAnsi="Times New Roman" w:cs="Times New Roman"/>
          <w:color w:val="000000"/>
          <w:sz w:val="20"/>
          <w:szCs w:val="20"/>
          <w:lang w:bidi="ar-EG"/>
        </w:rPr>
        <w:t>:</w:t>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b/>
          <w:bCs/>
          <w:i/>
          <w:iCs/>
          <w:sz w:val="20"/>
          <w:szCs w:val="20"/>
          <w:lang w:bidi="ar-EG"/>
        </w:rPr>
        <w:t>Bone formation markers:</w:t>
      </w:r>
    </w:p>
    <w:p w:rsidR="003E44C4" w:rsidRPr="00AB6A32" w:rsidRDefault="003E44C4" w:rsidP="00AB6A32">
      <w:pPr>
        <w:numPr>
          <w:ilvl w:val="0"/>
          <w:numId w:val="1"/>
        </w:numPr>
        <w:snapToGrid w:val="0"/>
        <w:spacing w:after="0" w:line="240" w:lineRule="auto"/>
        <w:ind w:left="0" w:firstLine="425"/>
        <w:contextualSpacing/>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Serum Osteocalcin (Oc) using Rat Gla-Osteocalcin High Sensitive Eliza </w:t>
      </w:r>
      <w:proofErr w:type="gramStart"/>
      <w:r w:rsidRPr="00AB6A32">
        <w:rPr>
          <w:rFonts w:ascii="Times New Roman" w:eastAsia="Times New Roman" w:hAnsi="Times New Roman" w:cs="Times New Roman"/>
          <w:sz w:val="20"/>
          <w:szCs w:val="20"/>
          <w:lang w:bidi="ar-EG"/>
        </w:rPr>
        <w:t>Kit</w:t>
      </w:r>
      <w:r w:rsidRPr="00AB6A32">
        <w:rPr>
          <w:rFonts w:ascii="Times New Roman" w:eastAsia="Times New Roman" w:hAnsi="Times New Roman" w:cs="Times New Roman"/>
          <w:b/>
          <w:bCs/>
          <w:i/>
          <w:iCs/>
          <w:sz w:val="20"/>
          <w:szCs w:val="20"/>
          <w:lang w:bidi="ar-EG"/>
        </w:rPr>
        <w:t>(</w:t>
      </w:r>
      <w:proofErr w:type="gramEnd"/>
      <w:r w:rsidRPr="00AB6A32">
        <w:rPr>
          <w:rFonts w:ascii="Times New Roman" w:eastAsia="Times New Roman" w:hAnsi="Times New Roman" w:cs="Times New Roman"/>
          <w:b/>
          <w:bCs/>
          <w:i/>
          <w:iCs/>
          <w:sz w:val="20"/>
          <w:szCs w:val="20"/>
          <w:lang w:bidi="ar-EG"/>
        </w:rPr>
        <w:t>Allison et al., 2000).</w:t>
      </w:r>
    </w:p>
    <w:p w:rsidR="003E44C4" w:rsidRPr="00AB6A32" w:rsidRDefault="003E44C4" w:rsidP="00AB6A32">
      <w:pPr>
        <w:numPr>
          <w:ilvl w:val="0"/>
          <w:numId w:val="1"/>
        </w:numPr>
        <w:snapToGrid w:val="0"/>
        <w:spacing w:after="0" w:line="240" w:lineRule="auto"/>
        <w:ind w:left="0" w:firstLine="425"/>
        <w:contextualSpacing/>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Serum Bone specific alkaline phosphatase (BSAP) using Bone Eliza Kit</w:t>
      </w:r>
      <w:r w:rsidRPr="00AB6A32">
        <w:rPr>
          <w:rFonts w:ascii="Times New Roman" w:eastAsia="Times New Roman" w:hAnsi="Times New Roman" w:cs="Times New Roman"/>
          <w:b/>
          <w:bCs/>
          <w:i/>
          <w:iCs/>
          <w:sz w:val="20"/>
          <w:szCs w:val="20"/>
          <w:lang w:bidi="ar-EG"/>
        </w:rPr>
        <w:t xml:space="preserve"> (Halima,2013)</w:t>
      </w:r>
    </w:p>
    <w:p w:rsidR="003E44C4" w:rsidRPr="00AB6A32" w:rsidRDefault="003E44C4" w:rsidP="00AB6A32">
      <w:pPr>
        <w:snapToGrid w:val="0"/>
        <w:spacing w:after="0" w:line="240" w:lineRule="auto"/>
        <w:jc w:val="both"/>
        <w:outlineLvl w:val="3"/>
        <w:rPr>
          <w:rFonts w:ascii="Times New Roman" w:eastAsiaTheme="majorEastAsia" w:hAnsi="Times New Roman" w:cs="Times New Roman"/>
          <w:b/>
          <w:bCs/>
          <w:i/>
          <w:iCs/>
          <w:sz w:val="20"/>
          <w:szCs w:val="20"/>
          <w:lang w:bidi="ar-EG"/>
        </w:rPr>
      </w:pPr>
      <w:r w:rsidRPr="00AB6A32">
        <w:rPr>
          <w:rFonts w:ascii="Times New Roman" w:eastAsiaTheme="majorEastAsia" w:hAnsi="Times New Roman" w:cs="Times New Roman"/>
          <w:b/>
          <w:bCs/>
          <w:i/>
          <w:iCs/>
          <w:sz w:val="20"/>
          <w:szCs w:val="20"/>
          <w:lang w:bidi="ar-EG"/>
        </w:rPr>
        <w:t>Bone resorption markers:</w:t>
      </w:r>
    </w:p>
    <w:p w:rsidR="003E44C4" w:rsidRPr="00AB6A32" w:rsidRDefault="003E44C4" w:rsidP="00AB6A32">
      <w:pPr>
        <w:numPr>
          <w:ilvl w:val="0"/>
          <w:numId w:val="2"/>
        </w:numPr>
        <w:snapToGrid w:val="0"/>
        <w:spacing w:after="0" w:line="240" w:lineRule="auto"/>
        <w:ind w:left="0" w:firstLine="425"/>
        <w:contextualSpacing/>
        <w:jc w:val="both"/>
        <w:rPr>
          <w:rFonts w:ascii="Times New Roman" w:eastAsia="Times New Roman" w:hAnsi="Times New Roman" w:cs="Times New Roman"/>
          <w:b/>
          <w:bCs/>
          <w:i/>
          <w:iCs/>
          <w:sz w:val="20"/>
          <w:szCs w:val="20"/>
          <w:lang w:bidi="ar-EG"/>
        </w:rPr>
      </w:pPr>
      <w:r w:rsidRPr="00AB6A32">
        <w:rPr>
          <w:rFonts w:ascii="Times New Roman" w:eastAsia="Times New Roman" w:hAnsi="Times New Roman" w:cs="Times New Roman"/>
          <w:sz w:val="20"/>
          <w:szCs w:val="20"/>
          <w:lang w:bidi="ar-EG"/>
        </w:rPr>
        <w:t>Serum Undercarboxylated osteocalcin (UnOc) using (UnOc) Eliza Kit</w:t>
      </w:r>
      <w:r w:rsidRPr="00AB6A32">
        <w:rPr>
          <w:rFonts w:ascii="Times New Roman" w:eastAsia="Times New Roman" w:hAnsi="Times New Roman" w:cs="Times New Roman"/>
          <w:b/>
          <w:bCs/>
          <w:i/>
          <w:iCs/>
          <w:sz w:val="20"/>
          <w:szCs w:val="20"/>
          <w:lang w:bidi="ar-EG"/>
        </w:rPr>
        <w:t>.(Ferron et al., 2008)</w:t>
      </w:r>
    </w:p>
    <w:p w:rsidR="003E44C4" w:rsidRPr="00AB6A32" w:rsidRDefault="003E44C4" w:rsidP="00AB6A32">
      <w:pPr>
        <w:numPr>
          <w:ilvl w:val="0"/>
          <w:numId w:val="2"/>
        </w:numPr>
        <w:snapToGrid w:val="0"/>
        <w:spacing w:after="0" w:line="240" w:lineRule="auto"/>
        <w:ind w:left="0" w:firstLine="425"/>
        <w:contextualSpacing/>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Serum Tartrate resistant acid phosphatase isoenzme 5b (TRAP5b) using QuidelR TRAP5b Eliza Kit</w:t>
      </w:r>
      <w:r w:rsidRPr="00AB6A32">
        <w:rPr>
          <w:rFonts w:ascii="Times New Roman" w:eastAsia="Times New Roman" w:hAnsi="Times New Roman" w:cs="Times New Roman"/>
          <w:b/>
          <w:bCs/>
          <w:i/>
          <w:iCs/>
          <w:sz w:val="20"/>
          <w:szCs w:val="20"/>
          <w:lang w:bidi="ar-EG"/>
        </w:rPr>
        <w:t>.(Angel et al</w:t>
      </w:r>
      <w:r w:rsidR="002E0F84">
        <w:rPr>
          <w:rFonts w:ascii="Times New Roman" w:eastAsia="Times New Roman" w:hAnsi="Times New Roman" w:cs="Times New Roman"/>
          <w:b/>
          <w:bCs/>
          <w:i/>
          <w:iCs/>
          <w:sz w:val="20"/>
          <w:szCs w:val="20"/>
          <w:lang w:bidi="ar-EG"/>
        </w:rPr>
        <w:t>.</w:t>
      </w:r>
      <w:r w:rsidRPr="00AB6A32">
        <w:rPr>
          <w:rFonts w:ascii="Times New Roman" w:eastAsia="Times New Roman" w:hAnsi="Times New Roman" w:cs="Times New Roman"/>
          <w:b/>
          <w:bCs/>
          <w:i/>
          <w:iCs/>
          <w:sz w:val="20"/>
          <w:szCs w:val="20"/>
          <w:lang w:bidi="ar-EG"/>
        </w:rPr>
        <w:t>, 2000)</w:t>
      </w:r>
    </w:p>
    <w:p w:rsidR="003E44C4" w:rsidRPr="00AB6A32" w:rsidRDefault="003E44C4" w:rsidP="00AB6A32">
      <w:pPr>
        <w:autoSpaceDE w:val="0"/>
        <w:autoSpaceDN w:val="0"/>
        <w:adjustRightInd w:val="0"/>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b/>
          <w:bCs/>
          <w:sz w:val="20"/>
          <w:szCs w:val="20"/>
          <w:lang w:bidi="ar-EG"/>
        </w:rPr>
        <w:t>Statistical Analysis:</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Statistical analysis was done using SPSS (Statistical Program for Social Science) statistical package (SPSS Inc.) version 8.0.1.Quantitative data were expressed by mean ± standard deviation (SD).Comparing groups was done using students t-test and Analysis of variance</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(1-way ANOVA) to find inter-groupal significance.</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Statistical significance was determined by LSD (Least significant difference).</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Statistical significance for analysis of variance was determined at a level of significance of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&lt;0.05.</w:t>
      </w:r>
    </w:p>
    <w:p w:rsidR="003E44C4" w:rsidRDefault="003E44C4" w:rsidP="00AB6A32">
      <w:pPr>
        <w:snapToGrid w:val="0"/>
        <w:spacing w:after="0" w:line="240" w:lineRule="auto"/>
        <w:jc w:val="both"/>
        <w:rPr>
          <w:rFonts w:ascii="Times New Roman" w:hAnsi="Times New Roman" w:cs="Times New Roman" w:hint="eastAsia"/>
          <w:b/>
          <w:bCs/>
          <w:sz w:val="20"/>
          <w:szCs w:val="20"/>
          <w:lang w:eastAsia="zh-CN"/>
        </w:rPr>
      </w:pPr>
    </w:p>
    <w:p w:rsidR="002E0F84" w:rsidRPr="002E0F84" w:rsidRDefault="002E0F84" w:rsidP="00AB6A32">
      <w:pPr>
        <w:snapToGrid w:val="0"/>
        <w:spacing w:after="0" w:line="240" w:lineRule="auto"/>
        <w:jc w:val="both"/>
        <w:rPr>
          <w:rFonts w:ascii="Times New Roman" w:hAnsi="Times New Roman" w:cs="Times New Roman" w:hint="eastAsia"/>
          <w:b/>
          <w:bCs/>
          <w:sz w:val="20"/>
          <w:szCs w:val="20"/>
          <w:lang w:eastAsia="zh-CN"/>
        </w:rPr>
      </w:pPr>
    </w:p>
    <w:p w:rsidR="003E44C4" w:rsidRPr="00AB6A32" w:rsidRDefault="003E44C4" w:rsidP="00AB6A32">
      <w:pPr>
        <w:snapToGrid w:val="0"/>
        <w:spacing w:after="0" w:line="240" w:lineRule="auto"/>
        <w:jc w:val="both"/>
        <w:rPr>
          <w:rFonts w:ascii="Times New Roman" w:eastAsia="Times New Roman" w:hAnsi="Times New Roman" w:cs="Times New Roman"/>
          <w:b/>
          <w:bCs/>
          <w:sz w:val="20"/>
          <w:szCs w:val="20"/>
        </w:rPr>
      </w:pPr>
      <w:r w:rsidRPr="00AB6A32">
        <w:rPr>
          <w:rFonts w:ascii="Times New Roman" w:eastAsia="Times New Roman" w:hAnsi="Times New Roman" w:cs="Times New Roman"/>
          <w:b/>
          <w:bCs/>
          <w:sz w:val="20"/>
          <w:szCs w:val="20"/>
        </w:rPr>
        <w:lastRenderedPageBreak/>
        <w:t>3. Results</w:t>
      </w:r>
      <w:bookmarkStart w:id="5" w:name="_Toc376434840"/>
    </w:p>
    <w:bookmarkEnd w:id="5"/>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hAnsi="Times New Roman" w:cs="Times New Roman"/>
          <w:sz w:val="20"/>
          <w:szCs w:val="20"/>
        </w:rPr>
        <w:t xml:space="preserve">There was significant increase in Osteocalcin level from (20.6 ± 0.86µg/L) in sedentary control group (group </w:t>
      </w:r>
      <w:proofErr w:type="gramStart"/>
      <w:r w:rsidRPr="00AB6A32">
        <w:rPr>
          <w:rFonts w:ascii="Times New Roman" w:hAnsi="Times New Roman" w:cs="Times New Roman"/>
          <w:sz w:val="20"/>
          <w:szCs w:val="20"/>
        </w:rPr>
        <w:t>Ia</w:t>
      </w:r>
      <w:proofErr w:type="gramEnd"/>
      <w:r w:rsidRPr="00AB6A32">
        <w:rPr>
          <w:rFonts w:ascii="Times New Roman" w:hAnsi="Times New Roman" w:cs="Times New Roman"/>
          <w:sz w:val="20"/>
          <w:szCs w:val="20"/>
        </w:rPr>
        <w:t xml:space="preserve">) to (24.3±2.2 µg/L, 18 %, </w:t>
      </w:r>
      <w:r w:rsidRPr="00AB6A32">
        <w:rPr>
          <w:rFonts w:ascii="Times New Roman" w:hAnsi="Times New Roman" w:cs="Times New Roman"/>
          <w:i/>
          <w:iCs/>
          <w:color w:val="FF0000"/>
          <w:sz w:val="20"/>
          <w:szCs w:val="20"/>
        </w:rPr>
        <w:t>p</w:t>
      </w:r>
      <w:r w:rsidRPr="00AB6A32">
        <w:rPr>
          <w:rFonts w:ascii="Times New Roman" w:hAnsi="Times New Roman" w:cs="Times New Roman"/>
          <w:sz w:val="20"/>
          <w:szCs w:val="20"/>
        </w:rPr>
        <w:t>=0.003) in the exercise group</w:t>
      </w:r>
      <w:r w:rsidRPr="00AB6A32">
        <w:rPr>
          <w:rFonts w:ascii="Times New Roman" w:eastAsia="Times New Roman" w:hAnsi="Times New Roman" w:cs="Times New Roman"/>
          <w:sz w:val="20"/>
          <w:szCs w:val="20"/>
          <w:lang w:bidi="ar-EG"/>
        </w:rPr>
        <w:t xml:space="preserve"> (</w:t>
      </w:r>
      <w:fldSimple w:instr=" REF _Ref359095125 \h  \* MERGEFORMAT ">
        <w:r w:rsidR="00550DA7" w:rsidRPr="00AB6A32">
          <w:rPr>
            <w:rFonts w:ascii="Times New Roman" w:eastAsia="Times New Roman" w:hAnsi="Times New Roman" w:cs="Times New Roman"/>
            <w:sz w:val="20"/>
            <w:szCs w:val="20"/>
            <w:lang w:bidi="ar-EG"/>
          </w:rPr>
          <w:t>†: insignificant</w:t>
        </w:r>
        <w:r w:rsidR="0046185B">
          <w:rPr>
            <w:rFonts w:ascii="Times New Roman" w:hAnsi="Times New Roman" w:cs="Times New Roman" w:hint="eastAsia"/>
            <w:sz w:val="20"/>
            <w:szCs w:val="20"/>
            <w:lang w:eastAsia="zh-CN" w:bidi="ar-EG"/>
          </w:rPr>
          <w:t xml:space="preserve"> </w:t>
        </w:r>
        <w:r w:rsidR="00550DA7" w:rsidRPr="00AB6A32">
          <w:rPr>
            <w:rFonts w:ascii="Times New Roman" w:eastAsia="Times New Roman" w:hAnsi="Times New Roman" w:cs="Times New Roman"/>
            <w:b/>
            <w:bCs/>
            <w:sz w:val="20"/>
            <w:szCs w:val="20"/>
            <w:lang w:bidi="ar-EG"/>
          </w:rPr>
          <w:t>Figure</w:t>
        </w:r>
      </w:fldSimple>
      <w:r w:rsidRPr="00AB6A32">
        <w:rPr>
          <w:rFonts w:ascii="Times New Roman" w:eastAsia="Times New Roman" w:hAnsi="Times New Roman" w:cs="Times New Roman"/>
          <w:sz w:val="20"/>
          <w:szCs w:val="20"/>
          <w:lang w:bidi="ar-EG"/>
        </w:rPr>
        <w:t xml:space="preserve"> 1).</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There was insignificant change in Bone Specific Alkaline Phosphatase level from (29.5 ± 0.57U/L) in sedentary control group (group </w:t>
      </w:r>
      <w:proofErr w:type="gramStart"/>
      <w:r w:rsidRPr="00AB6A32">
        <w:rPr>
          <w:rFonts w:ascii="Times New Roman" w:hAnsi="Times New Roman" w:cs="Times New Roman"/>
          <w:sz w:val="20"/>
          <w:szCs w:val="20"/>
        </w:rPr>
        <w:t>Ia</w:t>
      </w:r>
      <w:proofErr w:type="gramEnd"/>
      <w:r w:rsidRPr="00AB6A32">
        <w:rPr>
          <w:rFonts w:ascii="Times New Roman" w:hAnsi="Times New Roman" w:cs="Times New Roman"/>
          <w:sz w:val="20"/>
          <w:szCs w:val="20"/>
        </w:rPr>
        <w:t xml:space="preserve">) to (31.1±1.9U/L, 5.4 %, </w:t>
      </w:r>
      <w:r w:rsidRPr="00AB6A32">
        <w:rPr>
          <w:rFonts w:ascii="Times New Roman" w:hAnsi="Times New Roman" w:cs="Times New Roman"/>
          <w:i/>
          <w:iCs/>
          <w:color w:val="FF0000"/>
          <w:sz w:val="20"/>
          <w:szCs w:val="20"/>
        </w:rPr>
        <w:t>p</w:t>
      </w:r>
      <w:r w:rsidRPr="00AB6A32">
        <w:rPr>
          <w:rFonts w:ascii="Times New Roman" w:hAnsi="Times New Roman" w:cs="Times New Roman"/>
          <w:sz w:val="20"/>
          <w:szCs w:val="20"/>
        </w:rPr>
        <w:t xml:space="preserve"> =0.07) in the exercise group (group IIa) </w:t>
      </w:r>
      <w:r w:rsidRPr="00AB6A32">
        <w:rPr>
          <w:rFonts w:ascii="Times New Roman" w:eastAsia="Times New Roman" w:hAnsi="Times New Roman" w:cs="Times New Roman"/>
          <w:sz w:val="20"/>
          <w:szCs w:val="20"/>
          <w:lang w:bidi="ar-EG"/>
        </w:rPr>
        <w:t>(</w:t>
      </w:r>
      <w:fldSimple w:instr=" REF _Ref359095125 \h  \* MERGEFORMAT ">
        <w:r w:rsidR="00550DA7" w:rsidRPr="00AB6A32">
          <w:rPr>
            <w:rFonts w:ascii="Times New Roman" w:eastAsia="Times New Roman" w:hAnsi="Times New Roman" w:cs="Times New Roman"/>
            <w:sz w:val="20"/>
            <w:szCs w:val="20"/>
            <w:lang w:bidi="ar-EG"/>
          </w:rPr>
          <w:t>†: insignificant</w:t>
        </w:r>
        <w:r w:rsidR="0046185B">
          <w:rPr>
            <w:rFonts w:ascii="Times New Roman" w:hAnsi="Times New Roman" w:cs="Times New Roman" w:hint="eastAsia"/>
            <w:sz w:val="20"/>
            <w:szCs w:val="20"/>
            <w:lang w:eastAsia="zh-CN" w:bidi="ar-EG"/>
          </w:rPr>
          <w:t xml:space="preserve"> </w:t>
        </w:r>
        <w:r w:rsidR="00550DA7" w:rsidRPr="00AB6A32">
          <w:rPr>
            <w:rFonts w:ascii="Times New Roman" w:eastAsia="Times New Roman" w:hAnsi="Times New Roman" w:cs="Times New Roman"/>
            <w:b/>
            <w:bCs/>
            <w:sz w:val="20"/>
            <w:szCs w:val="20"/>
            <w:lang w:bidi="ar-EG"/>
          </w:rPr>
          <w:t>Figure</w:t>
        </w:r>
      </w:fldSimple>
      <w:r w:rsidRPr="00AB6A32">
        <w:rPr>
          <w:rFonts w:ascii="Times New Roman" w:eastAsia="Times New Roman" w:hAnsi="Times New Roman" w:cs="Times New Roman"/>
          <w:sz w:val="20"/>
          <w:szCs w:val="20"/>
          <w:lang w:bidi="ar-EG"/>
        </w:rPr>
        <w:t xml:space="preserve"> 2).</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There was significant decrease in Undercarboxylated Osteocalcin level from (462.6 ± 4.78 ng/ml) in sedentary control group (group </w:t>
      </w:r>
      <w:proofErr w:type="gramStart"/>
      <w:r w:rsidRPr="00AB6A32">
        <w:rPr>
          <w:rFonts w:ascii="Times New Roman" w:eastAsia="Times New Roman" w:hAnsi="Times New Roman" w:cs="Times New Roman"/>
          <w:sz w:val="20"/>
          <w:szCs w:val="20"/>
          <w:lang w:bidi="ar-EG"/>
        </w:rPr>
        <w:t>Ia</w:t>
      </w:r>
      <w:proofErr w:type="gramEnd"/>
      <w:r w:rsidRPr="00AB6A32">
        <w:rPr>
          <w:rFonts w:ascii="Times New Roman" w:eastAsia="Times New Roman" w:hAnsi="Times New Roman" w:cs="Times New Roman"/>
          <w:sz w:val="20"/>
          <w:szCs w:val="20"/>
          <w:lang w:bidi="ar-EG"/>
        </w:rPr>
        <w:t>) to (442.2±15.2ng/ml,</w:t>
      </w:r>
      <w:r w:rsidRPr="00AB6A32">
        <w:rPr>
          <w:rFonts w:ascii="Times New Roman" w:eastAsia="Times New Roman" w:hAnsi="Times New Roman" w:cs="Times New Roman"/>
          <w:color w:val="000000"/>
          <w:sz w:val="20"/>
          <w:szCs w:val="20"/>
          <w:lang w:bidi="ar-EG"/>
        </w:rPr>
        <w:t xml:space="preserve"> -4.4%</w:t>
      </w:r>
      <w:r w:rsidRPr="00AB6A32">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=0.008) in the exercise group (group IIa) (</w:t>
      </w:r>
      <w:fldSimple w:instr=" REF _Ref359095125 \h  \* MERGEFORMAT ">
        <w:r w:rsidR="00550DA7" w:rsidRPr="00AB6A32">
          <w:rPr>
            <w:rFonts w:ascii="Times New Roman" w:eastAsia="Times New Roman" w:hAnsi="Times New Roman" w:cs="Times New Roman"/>
            <w:sz w:val="20"/>
            <w:szCs w:val="20"/>
            <w:lang w:bidi="ar-EG"/>
          </w:rPr>
          <w:t>†: insignificant</w:t>
        </w:r>
        <w:r w:rsidR="0046185B">
          <w:rPr>
            <w:rFonts w:ascii="Times New Roman" w:hAnsi="Times New Roman" w:cs="Times New Roman" w:hint="eastAsia"/>
            <w:sz w:val="20"/>
            <w:szCs w:val="20"/>
            <w:lang w:eastAsia="zh-CN" w:bidi="ar-EG"/>
          </w:rPr>
          <w:t xml:space="preserve"> </w:t>
        </w:r>
        <w:r w:rsidR="00550DA7" w:rsidRPr="00AB6A32">
          <w:rPr>
            <w:rFonts w:ascii="Times New Roman" w:eastAsia="Times New Roman" w:hAnsi="Times New Roman" w:cs="Times New Roman"/>
            <w:b/>
            <w:bCs/>
            <w:sz w:val="20"/>
            <w:szCs w:val="20"/>
            <w:lang w:bidi="ar-EG"/>
          </w:rPr>
          <w:t>Figure</w:t>
        </w:r>
      </w:fldSimple>
      <w:r w:rsidRPr="00AB6A32">
        <w:rPr>
          <w:rFonts w:ascii="Times New Roman" w:eastAsia="Times New Roman" w:hAnsi="Times New Roman" w:cs="Times New Roman"/>
          <w:sz w:val="20"/>
          <w:szCs w:val="20"/>
          <w:lang w:bidi="ar-EG"/>
        </w:rPr>
        <w:t xml:space="preserve"> 3).</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There was insignificant change in Tartrate Resistant Acid Phosphatase level from (27.8 ±1.46IU/L</w:t>
      </w:r>
      <w:r w:rsidRPr="00AB6A32">
        <w:rPr>
          <w:rFonts w:ascii="Times New Roman" w:eastAsia="Times New Roman" w:hAnsi="Times New Roman" w:cs="Times New Roman"/>
          <w:color w:val="000000"/>
          <w:sz w:val="20"/>
          <w:szCs w:val="20"/>
          <w:lang w:bidi="ar-EG"/>
        </w:rPr>
        <w:t>)</w:t>
      </w:r>
      <w:r w:rsidRPr="00AB6A32">
        <w:rPr>
          <w:rFonts w:ascii="Times New Roman" w:eastAsia="Times New Roman" w:hAnsi="Times New Roman" w:cs="Times New Roman"/>
          <w:sz w:val="20"/>
          <w:szCs w:val="20"/>
          <w:lang w:bidi="ar-EG"/>
        </w:rPr>
        <w:t xml:space="preserve"> in sedentary</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 xml:space="preserve">control group (group </w:t>
      </w:r>
      <w:proofErr w:type="gramStart"/>
      <w:r w:rsidRPr="00AB6A32">
        <w:rPr>
          <w:rFonts w:ascii="Times New Roman" w:eastAsia="Times New Roman" w:hAnsi="Times New Roman" w:cs="Times New Roman"/>
          <w:sz w:val="20"/>
          <w:szCs w:val="20"/>
          <w:lang w:bidi="ar-EG"/>
        </w:rPr>
        <w:t>Ia</w:t>
      </w:r>
      <w:proofErr w:type="gramEnd"/>
      <w:r w:rsidRPr="00AB6A32">
        <w:rPr>
          <w:rFonts w:ascii="Times New Roman" w:eastAsia="Times New Roman" w:hAnsi="Times New Roman" w:cs="Times New Roman"/>
          <w:sz w:val="20"/>
          <w:szCs w:val="20"/>
          <w:lang w:bidi="ar-EG"/>
        </w:rPr>
        <w:t>) to (21.7±3.6IU/L</w:t>
      </w:r>
      <w:r w:rsidRPr="00AB6A32">
        <w:rPr>
          <w:rFonts w:ascii="Times New Roman" w:eastAsia="Times New Roman" w:hAnsi="Times New Roman" w:cs="Times New Roman"/>
          <w:color w:val="000000"/>
          <w:sz w:val="20"/>
          <w:szCs w:val="20"/>
          <w:lang w:bidi="ar-EG"/>
        </w:rPr>
        <w:t>,-22 %</w:t>
      </w:r>
      <w:r w:rsidRPr="00AB6A32">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=0.004) in the exercise group (group IIa) </w:t>
      </w:r>
      <w:r w:rsidR="002E0F84">
        <w:rPr>
          <w:rFonts w:ascii="Times New Roman" w:eastAsia="Times New Roman" w:hAnsi="Times New Roman" w:cs="Times New Roman"/>
          <w:sz w:val="20"/>
          <w:szCs w:val="20"/>
          <w:lang w:bidi="ar-EG"/>
        </w:rPr>
        <w:t>(</w:t>
      </w:r>
      <w:fldSimple w:instr=" REF _Ref355520742 \h  \* MERGEFORMAT ">
        <w:r w:rsidR="00550DA7" w:rsidRPr="00550DA7">
          <w:rPr>
            <w:rFonts w:ascii="Times New Roman" w:eastAsia="Times New Roman" w:hAnsi="Times New Roman" w:cs="Times New Roman"/>
            <w:sz w:val="20"/>
            <w:szCs w:val="20"/>
            <w:lang w:bidi="ar-EG"/>
          </w:rPr>
          <w:t xml:space="preserve">Figure </w:t>
        </w:r>
      </w:fldSimple>
      <w:r w:rsidRPr="00AB6A32">
        <w:rPr>
          <w:rFonts w:ascii="Times New Roman" w:eastAsia="Times New Roman" w:hAnsi="Times New Roman" w:cs="Times New Roman"/>
          <w:sz w:val="20"/>
          <w:szCs w:val="20"/>
          <w:lang w:bidi="ar-EG"/>
        </w:rPr>
        <w:t>4).</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p>
    <w:p w:rsidR="003E44C4" w:rsidRPr="00AB6A32" w:rsidRDefault="003E44C4" w:rsidP="00AB6A32">
      <w:pPr>
        <w:snapToGrid w:val="0"/>
        <w:spacing w:after="0" w:line="240" w:lineRule="auto"/>
        <w:jc w:val="center"/>
        <w:rPr>
          <w:rFonts w:ascii="Times New Roman" w:eastAsiaTheme="majorEastAsia" w:hAnsi="Times New Roman" w:cs="Times New Roman"/>
          <w:color w:val="243F60" w:themeColor="accent1" w:themeShade="7F"/>
          <w:sz w:val="20"/>
          <w:szCs w:val="20"/>
          <w:lang w:bidi="ar-EG"/>
        </w:rPr>
      </w:pPr>
      <w:bookmarkStart w:id="6" w:name="_Ref359095051"/>
      <w:bookmarkStart w:id="7" w:name="_Toc376419819"/>
      <w:bookmarkStart w:id="8" w:name="_Toc375232393"/>
      <w:bookmarkStart w:id="9" w:name="_Toc366501635"/>
      <w:bookmarkStart w:id="10" w:name="_Toc366263959"/>
      <w:bookmarkStart w:id="11" w:name="_Toc365421641"/>
      <w:bookmarkStart w:id="12" w:name="_Ref359095031"/>
      <w:r w:rsidRPr="00AB6A32">
        <w:rPr>
          <w:rFonts w:ascii="Times New Roman" w:eastAsiaTheme="majorEastAsia" w:hAnsi="Times New Roman" w:cs="Times New Roman"/>
          <w:noProof/>
          <w:color w:val="243F60" w:themeColor="accent1" w:themeShade="7F"/>
          <w:sz w:val="20"/>
          <w:szCs w:val="20"/>
          <w:lang w:eastAsia="zh-CN"/>
        </w:rPr>
        <w:drawing>
          <wp:inline distT="0" distB="0" distL="0" distR="0">
            <wp:extent cx="2883176" cy="178109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4303" cy="1781788"/>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hAnsi="Times New Roman" w:cs="Times New Roman"/>
          <w:sz w:val="20"/>
          <w:szCs w:val="20"/>
        </w:rPr>
      </w:pPr>
      <w:r w:rsidRPr="00AB6A32">
        <w:rPr>
          <w:rFonts w:ascii="Times New Roman" w:eastAsiaTheme="majorEastAsia" w:hAnsi="Times New Roman" w:cs="Times New Roman"/>
          <w:color w:val="243F60" w:themeColor="accent1" w:themeShade="7F"/>
          <w:sz w:val="20"/>
          <w:szCs w:val="20"/>
          <w:lang w:bidi="ar-EG"/>
        </w:rPr>
        <w:t>*: significant</w:t>
      </w:r>
    </w:p>
    <w:p w:rsidR="003E44C4" w:rsidRDefault="003E44C4" w:rsidP="002E0F84">
      <w:pPr>
        <w:snapToGrid w:val="0"/>
        <w:spacing w:after="0" w:line="240" w:lineRule="auto"/>
        <w:jc w:val="both"/>
        <w:rPr>
          <w:rFonts w:ascii="Times New Roman" w:hAnsi="Times New Roman" w:cs="Times New Roman" w:hint="eastAsia"/>
          <w:bCs/>
          <w:sz w:val="20"/>
          <w:szCs w:val="20"/>
          <w:lang w:eastAsia="zh-CN"/>
        </w:rPr>
      </w:pPr>
      <w:r w:rsidRPr="00AB6A32">
        <w:rPr>
          <w:rFonts w:ascii="Times New Roman" w:eastAsia="Times New Roman" w:hAnsi="Times New Roman" w:cs="Times New Roman"/>
          <w:b/>
          <w:bCs/>
          <w:sz w:val="20"/>
          <w:szCs w:val="20"/>
          <w:lang w:bidi="ar-EG"/>
        </w:rPr>
        <w:t>Figure 1</w:t>
      </w:r>
      <w:bookmarkEnd w:id="6"/>
      <w:r w:rsidRPr="00AB6A32">
        <w:rPr>
          <w:rFonts w:ascii="Times New Roman" w:eastAsia="Times New Roman" w:hAnsi="Times New Roman" w:cs="Times New Roman"/>
          <w:b/>
          <w:bCs/>
          <w:sz w:val="20"/>
          <w:szCs w:val="20"/>
          <w:lang w:bidi="ar-EG"/>
        </w:rPr>
        <w:t xml:space="preserve">: </w:t>
      </w:r>
      <w:r w:rsidRPr="00AB6A32">
        <w:rPr>
          <w:rFonts w:ascii="Times New Roman" w:hAnsi="Times New Roman" w:cs="Times New Roman"/>
          <w:bCs/>
          <w:sz w:val="20"/>
          <w:szCs w:val="20"/>
        </w:rPr>
        <w:t xml:space="preserve">Effect of exercise (group IIa) on Osteocalcin level in comparison to sedentary control group (group </w:t>
      </w:r>
      <w:proofErr w:type="gramStart"/>
      <w:r w:rsidRPr="00AB6A32">
        <w:rPr>
          <w:rFonts w:ascii="Times New Roman" w:hAnsi="Times New Roman" w:cs="Times New Roman"/>
          <w:bCs/>
          <w:sz w:val="20"/>
          <w:szCs w:val="20"/>
        </w:rPr>
        <w:t>Ia</w:t>
      </w:r>
      <w:proofErr w:type="gramEnd"/>
      <w:r w:rsidRPr="00AB6A32">
        <w:rPr>
          <w:rFonts w:ascii="Times New Roman" w:hAnsi="Times New Roman" w:cs="Times New Roman"/>
          <w:bCs/>
          <w:sz w:val="20"/>
          <w:szCs w:val="20"/>
        </w:rPr>
        <w:t>).</w:t>
      </w:r>
      <w:bookmarkEnd w:id="7"/>
      <w:bookmarkEnd w:id="8"/>
      <w:bookmarkEnd w:id="9"/>
      <w:bookmarkEnd w:id="10"/>
      <w:bookmarkEnd w:id="11"/>
      <w:bookmarkEnd w:id="12"/>
    </w:p>
    <w:p w:rsidR="0046185B" w:rsidRPr="00AB6A32" w:rsidRDefault="0046185B" w:rsidP="002E0F84">
      <w:pPr>
        <w:snapToGrid w:val="0"/>
        <w:spacing w:after="0" w:line="240" w:lineRule="auto"/>
        <w:jc w:val="both"/>
        <w:rPr>
          <w:rFonts w:ascii="Times New Roman" w:eastAsia="Times New Roman" w:hAnsi="Times New Roman" w:cs="Times New Roman" w:hint="eastAsia"/>
          <w:bCs/>
          <w:sz w:val="20"/>
          <w:szCs w:val="20"/>
          <w:lang w:eastAsia="zh-CN" w:bidi="ar-EG"/>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899079" cy="177314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0630" cy="1774090"/>
                    </a:xfrm>
                    <a:prstGeom prst="rect">
                      <a:avLst/>
                    </a:prstGeom>
                    <a:noFill/>
                    <a:ln>
                      <a:noFill/>
                    </a:ln>
                  </pic:spPr>
                </pic:pic>
              </a:graphicData>
            </a:graphic>
          </wp:inline>
        </w:drawing>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bookmarkStart w:id="13" w:name="_Ref359095125"/>
      <w:bookmarkStart w:id="14" w:name="_Ref355519749"/>
      <w:bookmarkStart w:id="15" w:name="_Toc376419820"/>
      <w:bookmarkStart w:id="16" w:name="_Toc375232394"/>
      <w:bookmarkStart w:id="17" w:name="_Toc366501636"/>
      <w:bookmarkStart w:id="18" w:name="_Toc366263960"/>
      <w:bookmarkStart w:id="19" w:name="_Toc365421642"/>
      <w:r w:rsidRPr="00AB6A32">
        <w:rPr>
          <w:rFonts w:ascii="Times New Roman" w:eastAsia="Times New Roman" w:hAnsi="Times New Roman" w:cs="Times New Roman"/>
          <w:sz w:val="20"/>
          <w:szCs w:val="20"/>
          <w:lang w:bidi="ar-EG"/>
        </w:rPr>
        <w:t>†: insignificant</w:t>
      </w:r>
    </w:p>
    <w:p w:rsidR="003E44C4" w:rsidRPr="00AB6A32" w:rsidRDefault="003E44C4" w:rsidP="00AB6A32">
      <w:pPr>
        <w:snapToGrid w:val="0"/>
        <w:spacing w:after="0" w:line="240" w:lineRule="auto"/>
        <w:jc w:val="both"/>
        <w:rPr>
          <w:rFonts w:ascii="Times New Roman" w:hAnsi="Times New Roman" w:cs="Times New Roman"/>
          <w:bCs/>
          <w:sz w:val="20"/>
          <w:szCs w:val="20"/>
        </w:rPr>
      </w:pPr>
      <w:r w:rsidRPr="00AB6A32">
        <w:rPr>
          <w:rFonts w:ascii="Times New Roman" w:eastAsia="Times New Roman" w:hAnsi="Times New Roman" w:cs="Times New Roman"/>
          <w:b/>
          <w:bCs/>
          <w:sz w:val="20"/>
          <w:szCs w:val="20"/>
          <w:lang w:bidi="ar-EG"/>
        </w:rPr>
        <w:t>Figure</w:t>
      </w:r>
      <w:bookmarkEnd w:id="13"/>
      <w:bookmarkEnd w:id="14"/>
      <w:r w:rsidRPr="00AB6A32">
        <w:rPr>
          <w:rFonts w:ascii="Times New Roman" w:eastAsia="Times New Roman" w:hAnsi="Times New Roman" w:cs="Times New Roman"/>
          <w:b/>
          <w:bCs/>
          <w:sz w:val="20"/>
          <w:szCs w:val="20"/>
          <w:lang w:bidi="ar-EG"/>
        </w:rPr>
        <w:t xml:space="preserve"> 2: </w:t>
      </w:r>
      <w:bookmarkEnd w:id="15"/>
      <w:bookmarkEnd w:id="16"/>
      <w:bookmarkEnd w:id="17"/>
      <w:bookmarkEnd w:id="18"/>
      <w:bookmarkEnd w:id="19"/>
      <w:r w:rsidRPr="00AB6A32">
        <w:rPr>
          <w:rFonts w:ascii="Times New Roman" w:hAnsi="Times New Roman" w:cs="Times New Roman"/>
          <w:bCs/>
          <w:sz w:val="20"/>
          <w:szCs w:val="20"/>
        </w:rPr>
        <w:t xml:space="preserve">Effect of exercise (group IIa) on Bone Specific Alkaline Phosphatase level in comparison to sedentary control group (group </w:t>
      </w:r>
      <w:proofErr w:type="gramStart"/>
      <w:r w:rsidRPr="00AB6A32">
        <w:rPr>
          <w:rFonts w:ascii="Times New Roman" w:hAnsi="Times New Roman" w:cs="Times New Roman"/>
          <w:bCs/>
          <w:sz w:val="20"/>
          <w:szCs w:val="20"/>
        </w:rPr>
        <w:t>Ia</w:t>
      </w:r>
      <w:proofErr w:type="gramEnd"/>
      <w:r w:rsidRPr="00AB6A32">
        <w:rPr>
          <w:rFonts w:ascii="Times New Roman" w:hAnsi="Times New Roman" w:cs="Times New Roman"/>
          <w:bCs/>
          <w:sz w:val="20"/>
          <w:szCs w:val="20"/>
        </w:rPr>
        <w:t>).</w:t>
      </w: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lastRenderedPageBreak/>
        <w:drawing>
          <wp:inline distT="0" distB="0" distL="0" distR="0">
            <wp:extent cx="2724150" cy="166182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8668" cy="1664579"/>
                    </a:xfrm>
                    <a:prstGeom prst="rect">
                      <a:avLst/>
                    </a:prstGeom>
                    <a:noFill/>
                    <a:ln>
                      <a:noFill/>
                    </a:ln>
                  </pic:spPr>
                </pic:pic>
              </a:graphicData>
            </a:graphic>
          </wp:inline>
        </w:drawing>
      </w:r>
    </w:p>
    <w:p w:rsidR="003E44C4" w:rsidRPr="00AB6A32" w:rsidRDefault="003E44C4" w:rsidP="00AB6A32">
      <w:pPr>
        <w:snapToGrid w:val="0"/>
        <w:spacing w:after="0" w:line="240" w:lineRule="auto"/>
        <w:jc w:val="both"/>
        <w:outlineLvl w:val="4"/>
        <w:rPr>
          <w:rFonts w:ascii="Times New Roman" w:eastAsiaTheme="majorEastAsia" w:hAnsi="Times New Roman" w:cs="Times New Roman"/>
          <w:color w:val="243F60" w:themeColor="accent1" w:themeShade="7F"/>
          <w:sz w:val="20"/>
          <w:szCs w:val="20"/>
          <w:lang w:bidi="ar-EG"/>
        </w:rPr>
      </w:pPr>
      <w:bookmarkStart w:id="20" w:name="_Ref359095160"/>
      <w:bookmarkStart w:id="21" w:name="_Toc376419821"/>
      <w:bookmarkStart w:id="22" w:name="_Toc375232395"/>
      <w:bookmarkStart w:id="23" w:name="_Toc366501637"/>
      <w:bookmarkStart w:id="24" w:name="_Toc366263961"/>
      <w:bookmarkStart w:id="25" w:name="_Toc365421643"/>
      <w:r w:rsidRPr="00AB6A32">
        <w:rPr>
          <w:rFonts w:ascii="Times New Roman" w:eastAsiaTheme="majorEastAsia" w:hAnsi="Times New Roman" w:cs="Times New Roman"/>
          <w:color w:val="243F60" w:themeColor="accent1" w:themeShade="7F"/>
          <w:sz w:val="20"/>
          <w:szCs w:val="20"/>
          <w:lang w:bidi="ar-EG"/>
        </w:rPr>
        <w:t>*: significant</w:t>
      </w:r>
    </w:p>
    <w:p w:rsidR="003E44C4" w:rsidRPr="00AB6A32" w:rsidRDefault="003E44C4" w:rsidP="00AB6A32">
      <w:pPr>
        <w:snapToGrid w:val="0"/>
        <w:spacing w:after="0" w:line="240" w:lineRule="auto"/>
        <w:jc w:val="both"/>
        <w:rPr>
          <w:rFonts w:ascii="Times New Roman" w:hAnsi="Times New Roman" w:cs="Times New Roman"/>
          <w:sz w:val="20"/>
          <w:szCs w:val="20"/>
        </w:rPr>
      </w:pPr>
      <w:r w:rsidRPr="00AB6A32">
        <w:rPr>
          <w:rFonts w:ascii="Times New Roman" w:eastAsia="Times New Roman" w:hAnsi="Times New Roman" w:cs="Times New Roman"/>
          <w:b/>
          <w:bCs/>
          <w:sz w:val="20"/>
          <w:szCs w:val="20"/>
          <w:lang w:bidi="ar-EG"/>
        </w:rPr>
        <w:t>Figure</w:t>
      </w:r>
      <w:bookmarkEnd w:id="20"/>
      <w:r w:rsidRPr="00AB6A32">
        <w:rPr>
          <w:rFonts w:ascii="Times New Roman" w:eastAsia="Times New Roman" w:hAnsi="Times New Roman" w:cs="Times New Roman"/>
          <w:b/>
          <w:bCs/>
          <w:sz w:val="20"/>
          <w:szCs w:val="20"/>
          <w:lang w:bidi="ar-EG"/>
        </w:rPr>
        <w:t xml:space="preserve"> 3: </w:t>
      </w:r>
      <w:bookmarkEnd w:id="21"/>
      <w:bookmarkEnd w:id="22"/>
      <w:bookmarkEnd w:id="23"/>
      <w:bookmarkEnd w:id="24"/>
      <w:bookmarkEnd w:id="25"/>
      <w:r w:rsidRPr="00AB6A32">
        <w:rPr>
          <w:rFonts w:ascii="Times New Roman" w:hAnsi="Times New Roman" w:cs="Times New Roman"/>
          <w:bCs/>
          <w:sz w:val="20"/>
          <w:szCs w:val="20"/>
        </w:rPr>
        <w:t xml:space="preserve">Effect of exercise (group IIa) on Undercarboxylated Osteocalcin level in comparison to sedentary control group (group </w:t>
      </w:r>
      <w:proofErr w:type="gramStart"/>
      <w:r w:rsidRPr="00AB6A32">
        <w:rPr>
          <w:rFonts w:ascii="Times New Roman" w:hAnsi="Times New Roman" w:cs="Times New Roman"/>
          <w:bCs/>
          <w:sz w:val="20"/>
          <w:szCs w:val="20"/>
        </w:rPr>
        <w:t>Ia</w:t>
      </w:r>
      <w:proofErr w:type="gramEnd"/>
      <w:r w:rsidRPr="00AB6A32">
        <w:rPr>
          <w:rFonts w:ascii="Times New Roman" w:hAnsi="Times New Roman" w:cs="Times New Roman"/>
          <w:bCs/>
          <w:sz w:val="20"/>
          <w:szCs w:val="20"/>
        </w:rPr>
        <w:t>).</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p>
    <w:p w:rsidR="003E44C4" w:rsidRPr="00AB6A32" w:rsidRDefault="003E44C4" w:rsidP="00AB6A32">
      <w:pPr>
        <w:snapToGrid w:val="0"/>
        <w:spacing w:after="0" w:line="240" w:lineRule="auto"/>
        <w:jc w:val="center"/>
        <w:rPr>
          <w:rFonts w:ascii="Times New Roman" w:eastAsiaTheme="majorEastAsia" w:hAnsi="Times New Roman" w:cs="Times New Roman"/>
          <w:color w:val="243F60" w:themeColor="accent1" w:themeShade="7F"/>
          <w:sz w:val="20"/>
          <w:szCs w:val="20"/>
          <w:lang w:bidi="ar-EG"/>
        </w:rPr>
      </w:pPr>
      <w:r w:rsidRPr="00AB6A32">
        <w:rPr>
          <w:rFonts w:ascii="Times New Roman" w:eastAsiaTheme="majorEastAsia" w:hAnsi="Times New Roman" w:cs="Times New Roman"/>
          <w:noProof/>
          <w:color w:val="243F60" w:themeColor="accent1" w:themeShade="7F"/>
          <w:sz w:val="20"/>
          <w:szCs w:val="20"/>
          <w:lang w:eastAsia="zh-CN"/>
        </w:rPr>
        <w:drawing>
          <wp:inline distT="0" distB="0" distL="0" distR="0">
            <wp:extent cx="2724150" cy="17731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5830" cy="1774234"/>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heme="majorEastAsia" w:hAnsi="Times New Roman" w:cs="Times New Roman"/>
          <w:color w:val="243F60" w:themeColor="accent1" w:themeShade="7F"/>
          <w:sz w:val="20"/>
          <w:szCs w:val="20"/>
          <w:lang w:bidi="ar-EG"/>
        </w:rPr>
        <w:t>*: significant</w:t>
      </w:r>
    </w:p>
    <w:p w:rsidR="003E44C4" w:rsidRPr="00AB6A32" w:rsidRDefault="003E44C4" w:rsidP="00AB6A32">
      <w:pPr>
        <w:snapToGrid w:val="0"/>
        <w:spacing w:after="0" w:line="240" w:lineRule="auto"/>
        <w:jc w:val="both"/>
        <w:rPr>
          <w:rFonts w:ascii="Times New Roman" w:hAnsi="Times New Roman" w:cs="Times New Roman"/>
          <w:b/>
          <w:sz w:val="20"/>
          <w:szCs w:val="20"/>
        </w:rPr>
      </w:pPr>
      <w:bookmarkStart w:id="26" w:name="_Ref355520742"/>
      <w:bookmarkStart w:id="27" w:name="_Toc376419822"/>
      <w:bookmarkStart w:id="28" w:name="_Toc375232396"/>
      <w:bookmarkStart w:id="29" w:name="_Toc366501638"/>
      <w:bookmarkStart w:id="30" w:name="_Toc366263962"/>
      <w:bookmarkStart w:id="31" w:name="_Toc365421644"/>
      <w:r w:rsidRPr="00AB6A32">
        <w:rPr>
          <w:rFonts w:ascii="Times New Roman" w:eastAsia="Times New Roman" w:hAnsi="Times New Roman" w:cs="Times New Roman"/>
          <w:b/>
          <w:bCs/>
          <w:sz w:val="20"/>
          <w:szCs w:val="20"/>
          <w:lang w:bidi="ar-EG"/>
        </w:rPr>
        <w:t xml:space="preserve">Figure </w:t>
      </w:r>
      <w:bookmarkEnd w:id="26"/>
      <w:r w:rsidRPr="00AB6A32">
        <w:rPr>
          <w:rFonts w:ascii="Times New Roman" w:eastAsia="Times New Roman" w:hAnsi="Times New Roman" w:cs="Times New Roman"/>
          <w:b/>
          <w:bCs/>
          <w:sz w:val="20"/>
          <w:szCs w:val="20"/>
          <w:lang w:bidi="ar-EG"/>
        </w:rPr>
        <w:t xml:space="preserve">4: </w:t>
      </w:r>
      <w:bookmarkEnd w:id="27"/>
      <w:bookmarkEnd w:id="28"/>
      <w:bookmarkEnd w:id="29"/>
      <w:bookmarkEnd w:id="30"/>
      <w:bookmarkEnd w:id="31"/>
      <w:r w:rsidRPr="00AB6A32">
        <w:rPr>
          <w:rFonts w:ascii="Times New Roman" w:hAnsi="Times New Roman" w:cs="Times New Roman"/>
          <w:bCs/>
          <w:sz w:val="20"/>
          <w:szCs w:val="20"/>
        </w:rPr>
        <w:t xml:space="preserve">Effect of exercise (group IIa) on Tartrate Resistant Acid Phosphatase level in comparison to sedentary control group (group </w:t>
      </w:r>
      <w:proofErr w:type="gramStart"/>
      <w:r w:rsidRPr="00AB6A32">
        <w:rPr>
          <w:rFonts w:ascii="Times New Roman" w:hAnsi="Times New Roman" w:cs="Times New Roman"/>
          <w:bCs/>
          <w:sz w:val="20"/>
          <w:szCs w:val="20"/>
        </w:rPr>
        <w:t>Ia</w:t>
      </w:r>
      <w:proofErr w:type="gramEnd"/>
      <w:r w:rsidRPr="00AB6A32">
        <w:rPr>
          <w:rFonts w:ascii="Times New Roman" w:hAnsi="Times New Roman" w:cs="Times New Roman"/>
          <w:bCs/>
          <w:sz w:val="20"/>
          <w:szCs w:val="20"/>
        </w:rPr>
        <w:t>).</w:t>
      </w:r>
    </w:p>
    <w:p w:rsidR="003E44C4" w:rsidRPr="00AB6A32" w:rsidRDefault="003E44C4" w:rsidP="00AB6A32">
      <w:pPr>
        <w:snapToGrid w:val="0"/>
        <w:spacing w:after="0" w:line="240" w:lineRule="auto"/>
        <w:ind w:firstLine="425"/>
        <w:jc w:val="both"/>
        <w:rPr>
          <w:rFonts w:ascii="Times New Roman" w:hAnsi="Times New Roman" w:cs="Times New Roman"/>
          <w:b/>
          <w:sz w:val="20"/>
          <w:szCs w:val="20"/>
        </w:rPr>
      </w:pP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Within group comparison of sedentary group revealed significant decrease of bone resorption markers i.e. Undercarboxylated Osteocalcin &amp;Tartrate Resistant Acid Phosphatase levels. (F=17.9,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=0.001&amp; F=1.5,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&lt;0.001 respectively).</w:t>
      </w:r>
      <w:r w:rsidR="0046185B">
        <w:rPr>
          <w:rFonts w:ascii="Times New Roman" w:hAnsi="Times New Roman" w:cs="Times New Roman" w:hint="eastAsia"/>
          <w:sz w:val="20"/>
          <w:szCs w:val="20"/>
          <w:lang w:eastAsia="zh-CN" w:bidi="ar-EG"/>
        </w:rPr>
        <w:t xml:space="preserve"> </w:t>
      </w:r>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Figures</w:t>
      </w:r>
      <w:r w:rsidR="0046185B">
        <w:rPr>
          <w:rFonts w:ascii="Times New Roman" w:hAnsi="Times New Roman" w:cs="Times New Roman" w:hint="eastAsia"/>
          <w:sz w:val="20"/>
          <w:szCs w:val="20"/>
          <w:lang w:eastAsia="zh-CN" w:bidi="ar-EG"/>
        </w:rPr>
        <w:t xml:space="preserve"> </w:t>
      </w:r>
      <w:r w:rsidRPr="00AB6A32">
        <w:rPr>
          <w:rFonts w:ascii="Times New Roman" w:eastAsia="Times New Roman" w:hAnsi="Times New Roman" w:cs="Times New Roman"/>
          <w:sz w:val="20"/>
          <w:szCs w:val="20"/>
          <w:lang w:bidi="ar-EG"/>
        </w:rPr>
        <w:t>7</w:t>
      </w:r>
      <w:proofErr w:type="gramStart"/>
      <w:r w:rsidRPr="00AB6A32">
        <w:rPr>
          <w:rFonts w:ascii="Times New Roman" w:eastAsia="Times New Roman" w:hAnsi="Times New Roman" w:cs="Times New Roman"/>
          <w:sz w:val="20"/>
          <w:szCs w:val="20"/>
          <w:lang w:bidi="ar-EG"/>
        </w:rPr>
        <w:t>,8</w:t>
      </w:r>
      <w:proofErr w:type="gramEnd"/>
      <w:r w:rsidRPr="00AB6A32">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Vitamin D, vitamin K &amp; both vitamins supplementation (groups </w:t>
      </w:r>
      <w:proofErr w:type="gramStart"/>
      <w:r w:rsidRPr="00AB6A32">
        <w:rPr>
          <w:rFonts w:ascii="Times New Roman" w:eastAsia="Times New Roman" w:hAnsi="Times New Roman" w:cs="Times New Roman"/>
          <w:sz w:val="20"/>
          <w:szCs w:val="20"/>
          <w:lang w:bidi="ar-EG"/>
        </w:rPr>
        <w:t>Ib</w:t>
      </w:r>
      <w:proofErr w:type="gramEnd"/>
      <w:r w:rsidRPr="00AB6A32">
        <w:rPr>
          <w:rFonts w:ascii="Times New Roman" w:eastAsia="Times New Roman" w:hAnsi="Times New Roman" w:cs="Times New Roman"/>
          <w:sz w:val="20"/>
          <w:szCs w:val="20"/>
          <w:lang w:bidi="ar-EG"/>
        </w:rPr>
        <w:t>, Ic&amp; Id respectively) significantly decreased Tartrate Resistant Acid Phosphatase level as compared to control group (group Ia).</w:t>
      </w:r>
      <w:r w:rsidR="0046185B">
        <w:rPr>
          <w:rFonts w:ascii="Times New Roman" w:hAnsi="Times New Roman" w:cs="Times New Roman" w:hint="eastAsia"/>
          <w:sz w:val="20"/>
          <w:szCs w:val="20"/>
          <w:lang w:eastAsia="zh-CN" w:bidi="ar-EG"/>
        </w:rPr>
        <w:t xml:space="preserve"> </w:t>
      </w:r>
      <w:proofErr w:type="gramStart"/>
      <w:r w:rsidRPr="00AB6A32">
        <w:rPr>
          <w:rFonts w:ascii="Times New Roman" w:eastAsia="Times New Roman" w:hAnsi="Times New Roman" w:cs="Times New Roman"/>
          <w:sz w:val="20"/>
          <w:szCs w:val="20"/>
          <w:lang w:bidi="ar-EG"/>
        </w:rPr>
        <w:t>(Figure 8).</w:t>
      </w:r>
      <w:proofErr w:type="gramEnd"/>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Vitamin K supplementation (group </w:t>
      </w:r>
      <w:proofErr w:type="gramStart"/>
      <w:r w:rsidRPr="00AB6A32">
        <w:rPr>
          <w:rFonts w:ascii="Times New Roman" w:eastAsia="Times New Roman" w:hAnsi="Times New Roman" w:cs="Times New Roman"/>
          <w:sz w:val="20"/>
          <w:szCs w:val="20"/>
          <w:lang w:bidi="ar-EG"/>
        </w:rPr>
        <w:t>Ic</w:t>
      </w:r>
      <w:proofErr w:type="gramEnd"/>
      <w:r w:rsidRPr="00AB6A32">
        <w:rPr>
          <w:rFonts w:ascii="Times New Roman" w:eastAsia="Times New Roman" w:hAnsi="Times New Roman" w:cs="Times New Roman"/>
          <w:sz w:val="20"/>
          <w:szCs w:val="20"/>
          <w:lang w:bidi="ar-EG"/>
        </w:rPr>
        <w:t>) significantly decreased Undercarboxylated Osteocalcin level as compared to control group (group Ia)</w:t>
      </w:r>
      <w:r w:rsidR="0046185B">
        <w:rPr>
          <w:rFonts w:ascii="Times New Roman" w:hAnsi="Times New Roman" w:cs="Times New Roman" w:hint="eastAsia"/>
          <w:sz w:val="20"/>
          <w:szCs w:val="20"/>
          <w:lang w:eastAsia="zh-CN" w:bidi="ar-EG"/>
        </w:rPr>
        <w:t xml:space="preserve"> </w:t>
      </w:r>
      <w:r w:rsidRPr="00AB6A32">
        <w:rPr>
          <w:rFonts w:ascii="Times New Roman" w:eastAsia="Times New Roman" w:hAnsi="Times New Roman" w:cs="Times New Roman"/>
          <w:sz w:val="20"/>
          <w:szCs w:val="20"/>
          <w:lang w:bidi="ar-EG"/>
        </w:rPr>
        <w:t>&amp; vitamin D supplementation (group Ib). (Figure 5)</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Combined vitamin D&amp; K supplementation (group Id) significantly decreased Undercarboxylated Osteocalcin level as compared to control group (group </w:t>
      </w:r>
      <w:proofErr w:type="gramStart"/>
      <w:r w:rsidRPr="00AB6A32">
        <w:rPr>
          <w:rFonts w:ascii="Times New Roman" w:eastAsia="Times New Roman" w:hAnsi="Times New Roman" w:cs="Times New Roman"/>
          <w:sz w:val="20"/>
          <w:szCs w:val="20"/>
          <w:lang w:bidi="ar-EG"/>
        </w:rPr>
        <w:t>Ia</w:t>
      </w:r>
      <w:proofErr w:type="gramEnd"/>
      <w:r w:rsidRPr="00AB6A32">
        <w:rPr>
          <w:rFonts w:ascii="Times New Roman" w:eastAsia="Times New Roman" w:hAnsi="Times New Roman" w:cs="Times New Roman"/>
          <w:sz w:val="20"/>
          <w:szCs w:val="20"/>
          <w:lang w:bidi="ar-EG"/>
        </w:rPr>
        <w:t>).</w:t>
      </w:r>
      <w:r w:rsidR="0046185B">
        <w:rPr>
          <w:rFonts w:ascii="Times New Roman" w:hAnsi="Times New Roman" w:cs="Times New Roman" w:hint="eastAsia"/>
          <w:sz w:val="20"/>
          <w:szCs w:val="20"/>
          <w:lang w:eastAsia="zh-CN" w:bidi="ar-EG"/>
        </w:rPr>
        <w:t xml:space="preserve"> </w:t>
      </w:r>
      <w:r w:rsidRPr="00AB6A32">
        <w:rPr>
          <w:rFonts w:ascii="Times New Roman" w:eastAsia="Times New Roman" w:hAnsi="Times New Roman" w:cs="Times New Roman"/>
          <w:sz w:val="20"/>
          <w:szCs w:val="20"/>
          <w:lang w:bidi="ar-EG"/>
        </w:rPr>
        <w:t>(Figure 7)</w:t>
      </w:r>
    </w:p>
    <w:p w:rsidR="003E44C4" w:rsidRDefault="003E44C4" w:rsidP="00AB6A32">
      <w:pPr>
        <w:snapToGrid w:val="0"/>
        <w:spacing w:after="0" w:line="240" w:lineRule="auto"/>
        <w:ind w:firstLine="425"/>
        <w:jc w:val="both"/>
        <w:rPr>
          <w:rFonts w:ascii="Times New Roman" w:hAnsi="Times New Roman" w:cs="Times New Roman" w:hint="eastAsia"/>
          <w:sz w:val="20"/>
          <w:szCs w:val="20"/>
          <w:lang w:eastAsia="zh-CN" w:bidi="ar-EG"/>
        </w:rPr>
      </w:pPr>
      <w:r w:rsidRPr="00AB6A32">
        <w:rPr>
          <w:rFonts w:ascii="Times New Roman" w:eastAsia="Times New Roman" w:hAnsi="Times New Roman" w:cs="Times New Roman"/>
          <w:sz w:val="20"/>
          <w:szCs w:val="20"/>
          <w:lang w:bidi="ar-EG"/>
        </w:rPr>
        <w:t xml:space="preserve">Within group comparison of sedentary group revealed insignificant increase of bone formation </w:t>
      </w:r>
      <w:r w:rsidRPr="00AB6A32">
        <w:rPr>
          <w:rFonts w:ascii="Times New Roman" w:eastAsia="Times New Roman" w:hAnsi="Times New Roman" w:cs="Times New Roman"/>
          <w:sz w:val="20"/>
          <w:szCs w:val="20"/>
          <w:lang w:bidi="ar-EG"/>
        </w:rPr>
        <w:lastRenderedPageBreak/>
        <w:t xml:space="preserve">markers i.e. Osteocalcin &amp;Bone Specific Alkaline Phosphatase levels. (F=0.62,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 0.6&amp;</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 xml:space="preserve">F=7.4,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=0.2 respectively).</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w:t>
      </w:r>
      <w:fldSimple w:instr=" REF _Ref355513004 \h  \* MERGEFORMAT ">
        <w:r w:rsidR="00550DA7" w:rsidRPr="00550DA7">
          <w:rPr>
            <w:rFonts w:ascii="Times New Roman" w:eastAsia="Times New Roman" w:hAnsi="Times New Roman" w:cs="Times New Roman"/>
            <w:sz w:val="20"/>
            <w:szCs w:val="20"/>
            <w:lang w:bidi="ar-EG"/>
          </w:rPr>
          <w:t xml:space="preserve">Figure </w:t>
        </w:r>
      </w:fldSimple>
      <w:r w:rsidRPr="00AB6A32">
        <w:rPr>
          <w:rFonts w:ascii="Times New Roman" w:eastAsia="Times New Roman" w:hAnsi="Times New Roman" w:cs="Times New Roman"/>
          <w:sz w:val="20"/>
          <w:szCs w:val="20"/>
          <w:lang w:bidi="ar-EG"/>
        </w:rPr>
        <w:t>5</w:t>
      </w:r>
      <w:proofErr w:type="gramStart"/>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6</w:t>
      </w:r>
      <w:proofErr w:type="gramEnd"/>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w:t>
      </w:r>
    </w:p>
    <w:p w:rsidR="0046185B" w:rsidRPr="0046185B" w:rsidRDefault="0046185B" w:rsidP="00AB6A32">
      <w:pPr>
        <w:snapToGrid w:val="0"/>
        <w:spacing w:after="0" w:line="240" w:lineRule="auto"/>
        <w:ind w:firstLine="425"/>
        <w:jc w:val="both"/>
        <w:rPr>
          <w:rFonts w:ascii="Times New Roman" w:hAnsi="Times New Roman" w:cs="Times New Roman" w:hint="eastAsia"/>
          <w:sz w:val="20"/>
          <w:szCs w:val="20"/>
          <w:lang w:eastAsia="zh-CN" w:bidi="ar-EG"/>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809689" cy="166977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8274" cy="1674876"/>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bookmarkStart w:id="32" w:name="_Ref355513004"/>
      <w:bookmarkStart w:id="33" w:name="_Toc376419854"/>
      <w:bookmarkStart w:id="34" w:name="_Toc375232421"/>
      <w:bookmarkStart w:id="35" w:name="_Toc366501663"/>
      <w:bookmarkStart w:id="36" w:name="_Toc366263987"/>
      <w:bookmarkStart w:id="37" w:name="_Toc365421676"/>
      <w:r w:rsidRPr="00AB6A32">
        <w:rPr>
          <w:rFonts w:ascii="Times New Roman" w:eastAsia="Times New Roman" w:hAnsi="Times New Roman" w:cs="Times New Roman"/>
          <w:b/>
          <w:bCs/>
          <w:sz w:val="20"/>
          <w:szCs w:val="20"/>
          <w:lang w:bidi="ar-EG"/>
        </w:rPr>
        <w:t xml:space="preserve">Figure </w:t>
      </w:r>
      <w:bookmarkEnd w:id="32"/>
      <w:r w:rsidRPr="00AB6A32">
        <w:rPr>
          <w:rFonts w:ascii="Times New Roman" w:eastAsia="Times New Roman" w:hAnsi="Times New Roman" w:cs="Times New Roman"/>
          <w:b/>
          <w:bCs/>
          <w:noProof/>
          <w:sz w:val="20"/>
          <w:szCs w:val="20"/>
          <w:lang w:bidi="ar-EG"/>
        </w:rPr>
        <w:t>5</w:t>
      </w:r>
      <w:r w:rsidRPr="00AB6A32">
        <w:rPr>
          <w:rFonts w:ascii="Times New Roman" w:eastAsia="Times New Roman" w:hAnsi="Times New Roman" w:cs="Times New Roman"/>
          <w:b/>
          <w:bCs/>
          <w:sz w:val="20"/>
          <w:szCs w:val="20"/>
          <w:lang w:bidi="ar-EG"/>
        </w:rPr>
        <w:t>:</w:t>
      </w:r>
      <w:r w:rsidRPr="00AB6A32">
        <w:rPr>
          <w:rFonts w:ascii="Times New Roman" w:eastAsia="Times New Roman" w:hAnsi="Times New Roman" w:cs="Times New Roman"/>
          <w:b/>
          <w:bCs/>
          <w:color w:val="FF0000"/>
          <w:sz w:val="20"/>
          <w:szCs w:val="20"/>
          <w:lang w:bidi="ar-EG"/>
        </w:rPr>
        <w:t xml:space="preserve"> </w:t>
      </w:r>
      <w:r w:rsidRPr="00AB6A32">
        <w:rPr>
          <w:rFonts w:ascii="Times New Roman" w:hAnsi="Times New Roman" w:cs="Times New Roman"/>
          <w:bCs/>
          <w:sz w:val="20"/>
          <w:szCs w:val="20"/>
        </w:rPr>
        <w:t xml:space="preserve">Effect of vitamin D 3 &amp;/or K supplementation on osteocalcin level within sedentary </w:t>
      </w:r>
      <w:proofErr w:type="gramStart"/>
      <w:r w:rsidRPr="00AB6A32">
        <w:rPr>
          <w:rFonts w:ascii="Times New Roman" w:hAnsi="Times New Roman" w:cs="Times New Roman"/>
          <w:bCs/>
          <w:sz w:val="20"/>
          <w:szCs w:val="20"/>
        </w:rPr>
        <w:t>groups</w:t>
      </w:r>
      <w:bookmarkEnd w:id="33"/>
      <w:bookmarkEnd w:id="34"/>
      <w:bookmarkEnd w:id="35"/>
      <w:bookmarkEnd w:id="36"/>
      <w:bookmarkEnd w:id="37"/>
      <w:r w:rsidRPr="00AB6A32">
        <w:rPr>
          <w:rFonts w:ascii="Times New Roman" w:hAnsi="Times New Roman" w:cs="Times New Roman"/>
          <w:bCs/>
          <w:sz w:val="20"/>
          <w:szCs w:val="20"/>
        </w:rPr>
        <w:t>(</w:t>
      </w:r>
      <w:proofErr w:type="gramEnd"/>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831659" cy="1820849"/>
            <wp:effectExtent l="19050" t="0" r="679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0003" cy="1826214"/>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eastAsia="Times New Roman" w:hAnsi="Times New Roman" w:cs="Times New Roman"/>
          <w:noProof/>
          <w:sz w:val="20"/>
          <w:szCs w:val="20"/>
        </w:rPr>
      </w:pPr>
      <w:bookmarkStart w:id="38" w:name="_Ref355521297"/>
      <w:bookmarkStart w:id="39" w:name="_Toc376419855"/>
      <w:bookmarkStart w:id="40" w:name="_Toc375232422"/>
      <w:bookmarkStart w:id="41" w:name="_Toc366501664"/>
      <w:bookmarkStart w:id="42" w:name="_Toc366263988"/>
      <w:bookmarkStart w:id="43" w:name="_Toc365421677"/>
      <w:r w:rsidRPr="00AB6A32">
        <w:rPr>
          <w:rFonts w:ascii="Times New Roman" w:eastAsia="Times New Roman" w:hAnsi="Times New Roman" w:cs="Times New Roman"/>
          <w:b/>
          <w:bCs/>
          <w:sz w:val="20"/>
          <w:szCs w:val="20"/>
          <w:lang w:bidi="ar-EG"/>
        </w:rPr>
        <w:t xml:space="preserve">Figure </w:t>
      </w:r>
      <w:bookmarkEnd w:id="38"/>
      <w:r w:rsidRPr="00AB6A32">
        <w:rPr>
          <w:rFonts w:ascii="Times New Roman" w:eastAsia="Times New Roman" w:hAnsi="Times New Roman" w:cs="Times New Roman"/>
          <w:b/>
          <w:bCs/>
          <w:sz w:val="20"/>
          <w:szCs w:val="20"/>
          <w:lang w:bidi="ar-EG"/>
        </w:rPr>
        <w:t xml:space="preserve">6: </w:t>
      </w:r>
      <w:bookmarkEnd w:id="39"/>
      <w:bookmarkEnd w:id="40"/>
      <w:bookmarkEnd w:id="41"/>
      <w:bookmarkEnd w:id="42"/>
      <w:bookmarkEnd w:id="43"/>
      <w:r w:rsidRPr="00AB6A32">
        <w:rPr>
          <w:rFonts w:ascii="Times New Roman" w:hAnsi="Times New Roman" w:cs="Times New Roman"/>
          <w:bCs/>
          <w:sz w:val="20"/>
          <w:szCs w:val="20"/>
        </w:rPr>
        <w:t>Effect of vitamin D3&amp;/or K supplementation on Bone specific Alkaline Phosphatase level within sedentary groups (ANOVA test)</w:t>
      </w:r>
      <w:r w:rsidRPr="00AB6A32">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noProof/>
          <w:sz w:val="20"/>
          <w:szCs w:val="20"/>
        </w:rPr>
      </w:pPr>
    </w:p>
    <w:p w:rsidR="003E44C4" w:rsidRPr="00AB6A32" w:rsidRDefault="003E44C4" w:rsidP="00AB6A32">
      <w:pPr>
        <w:snapToGrid w:val="0"/>
        <w:spacing w:after="0" w:line="240" w:lineRule="auto"/>
        <w:jc w:val="center"/>
        <w:rPr>
          <w:rFonts w:ascii="Times New Roman" w:hAnsi="Times New Roman" w:cs="Times New Roman"/>
          <w:bCs/>
          <w:sz w:val="20"/>
          <w:szCs w:val="20"/>
        </w:rPr>
      </w:pPr>
      <w:r w:rsidRPr="00AB6A32">
        <w:rPr>
          <w:rFonts w:ascii="Times New Roman" w:eastAsia="Times New Roman" w:hAnsi="Times New Roman" w:cs="Times New Roman"/>
          <w:noProof/>
          <w:sz w:val="20"/>
          <w:szCs w:val="20"/>
          <w:lang w:eastAsia="zh-CN"/>
        </w:rPr>
        <w:drawing>
          <wp:inline distT="0" distB="0" distL="0" distR="0">
            <wp:extent cx="2831659" cy="1765189"/>
            <wp:effectExtent l="19050" t="0" r="679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3850" cy="1766555"/>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bookmarkStart w:id="44" w:name="_Ref359110760"/>
      <w:bookmarkStart w:id="45" w:name="_Toc376419856"/>
      <w:bookmarkStart w:id="46" w:name="_Toc375232423"/>
      <w:bookmarkStart w:id="47" w:name="_Toc366501665"/>
      <w:bookmarkStart w:id="48" w:name="_Toc366263989"/>
      <w:bookmarkStart w:id="49" w:name="_Toc365421678"/>
      <w:r w:rsidRPr="00AB6A32">
        <w:rPr>
          <w:rFonts w:ascii="Times New Roman" w:eastAsia="Times New Roman" w:hAnsi="Times New Roman" w:cs="Times New Roman"/>
          <w:b/>
          <w:bCs/>
          <w:sz w:val="20"/>
          <w:szCs w:val="20"/>
          <w:lang w:bidi="ar-EG"/>
        </w:rPr>
        <w:t xml:space="preserve">Figure </w:t>
      </w:r>
      <w:bookmarkEnd w:id="44"/>
      <w:r w:rsidRPr="00AB6A32">
        <w:rPr>
          <w:rFonts w:ascii="Times New Roman" w:eastAsia="Times New Roman" w:hAnsi="Times New Roman" w:cs="Times New Roman"/>
          <w:b/>
          <w:bCs/>
          <w:sz w:val="20"/>
          <w:szCs w:val="20"/>
          <w:lang w:bidi="ar-EG"/>
        </w:rPr>
        <w:t>7:</w:t>
      </w:r>
      <w:r w:rsidRPr="00AB6A32">
        <w:rPr>
          <w:rFonts w:ascii="Times New Roman" w:eastAsia="Times New Roman" w:hAnsi="Times New Roman" w:cs="Times New Roman"/>
          <w:b/>
          <w:bCs/>
          <w:color w:val="FF0000"/>
          <w:sz w:val="20"/>
          <w:szCs w:val="20"/>
          <w:lang w:bidi="ar-EG"/>
        </w:rPr>
        <w:t xml:space="preserve"> </w:t>
      </w:r>
      <w:bookmarkEnd w:id="45"/>
      <w:bookmarkEnd w:id="46"/>
      <w:bookmarkEnd w:id="47"/>
      <w:bookmarkEnd w:id="48"/>
      <w:bookmarkEnd w:id="49"/>
      <w:r w:rsidRPr="00AB6A32">
        <w:rPr>
          <w:rFonts w:ascii="Times New Roman" w:hAnsi="Times New Roman" w:cs="Times New Roman"/>
          <w:bCs/>
          <w:sz w:val="20"/>
          <w:szCs w:val="20"/>
        </w:rPr>
        <w:t xml:space="preserve">Effect of vitamin D3&amp;/or K supplementation on Undercarboxylated Osteocalcin level within sedentary </w:t>
      </w:r>
      <w:proofErr w:type="gramStart"/>
      <w:r w:rsidRPr="00AB6A32">
        <w:rPr>
          <w:rFonts w:ascii="Times New Roman" w:hAnsi="Times New Roman" w:cs="Times New Roman"/>
          <w:bCs/>
          <w:sz w:val="20"/>
          <w:szCs w:val="20"/>
        </w:rPr>
        <w:t>groups(</w:t>
      </w:r>
      <w:proofErr w:type="gramEnd"/>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jc w:val="both"/>
        <w:rPr>
          <w:rFonts w:ascii="Times New Roman" w:eastAsia="Times New Roman" w:hAnsi="Times New Roman" w:cs="Times New Roman"/>
          <w:b/>
          <w:bCs/>
          <w:sz w:val="20"/>
          <w:szCs w:val="20"/>
          <w:lang w:bidi="ar-EG"/>
        </w:rPr>
      </w:pPr>
      <w:proofErr w:type="gramStart"/>
      <w:r w:rsidRPr="00AB6A32">
        <w:rPr>
          <w:rFonts w:ascii="Times New Roman" w:eastAsia="Times New Roman" w:hAnsi="Times New Roman" w:cs="Times New Roman"/>
          <w:b/>
          <w:bCs/>
          <w:sz w:val="20"/>
          <w:szCs w:val="20"/>
          <w:lang w:bidi="ar-EG"/>
        </w:rPr>
        <w:t>a</w:t>
      </w:r>
      <w:proofErr w:type="gramEnd"/>
      <w:r w:rsidRPr="00AB6A32">
        <w:rPr>
          <w:rFonts w:ascii="Times New Roman" w:eastAsia="Times New Roman" w:hAnsi="Times New Roman" w:cs="Times New Roman"/>
          <w:b/>
          <w:bCs/>
          <w:sz w:val="20"/>
          <w:szCs w:val="20"/>
          <w:lang w:bidi="ar-EG"/>
        </w:rPr>
        <w:t>: Significant versus group Ia.</w:t>
      </w:r>
    </w:p>
    <w:p w:rsidR="003E44C4" w:rsidRPr="00AB6A32" w:rsidRDefault="003E44C4" w:rsidP="00AB6A32">
      <w:pPr>
        <w:snapToGrid w:val="0"/>
        <w:spacing w:after="0" w:line="240" w:lineRule="auto"/>
        <w:jc w:val="both"/>
        <w:rPr>
          <w:rFonts w:ascii="Times New Roman" w:hAnsi="Times New Roman" w:cs="Times New Roman"/>
          <w:sz w:val="20"/>
          <w:szCs w:val="20"/>
        </w:rPr>
      </w:pPr>
      <w:proofErr w:type="gramStart"/>
      <w:r w:rsidRPr="00AB6A32">
        <w:rPr>
          <w:rFonts w:ascii="Times New Roman" w:eastAsia="Times New Roman" w:hAnsi="Times New Roman" w:cs="Times New Roman"/>
          <w:b/>
          <w:bCs/>
          <w:sz w:val="20"/>
          <w:szCs w:val="20"/>
          <w:lang w:bidi="ar-EG"/>
        </w:rPr>
        <w:t>b</w:t>
      </w:r>
      <w:proofErr w:type="gramEnd"/>
      <w:r w:rsidRPr="00AB6A32">
        <w:rPr>
          <w:rFonts w:ascii="Times New Roman" w:eastAsia="Times New Roman" w:hAnsi="Times New Roman" w:cs="Times New Roman"/>
          <w:b/>
          <w:bCs/>
          <w:sz w:val="20"/>
          <w:szCs w:val="20"/>
          <w:lang w:bidi="ar-EG"/>
        </w:rPr>
        <w:t>: Significant versus group Ib.</w:t>
      </w: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lastRenderedPageBreak/>
        <w:drawing>
          <wp:inline distT="0" distB="0" distL="0" distR="0">
            <wp:extent cx="2803663" cy="172543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0728" cy="1729781"/>
                    </a:xfrm>
                    <a:prstGeom prst="rect">
                      <a:avLst/>
                    </a:prstGeom>
                    <a:noFill/>
                    <a:ln>
                      <a:noFill/>
                    </a:ln>
                  </pic:spPr>
                </pic:pic>
              </a:graphicData>
            </a:graphic>
          </wp:inline>
        </w:drawing>
      </w:r>
    </w:p>
    <w:p w:rsidR="003E44C4" w:rsidRDefault="003E44C4" w:rsidP="00AB6A32">
      <w:pPr>
        <w:snapToGrid w:val="0"/>
        <w:spacing w:after="0" w:line="240" w:lineRule="auto"/>
        <w:jc w:val="both"/>
        <w:rPr>
          <w:rFonts w:ascii="Times New Roman" w:hAnsi="Times New Roman" w:cs="Times New Roman"/>
          <w:sz w:val="20"/>
          <w:szCs w:val="20"/>
          <w:lang w:eastAsia="zh-CN" w:bidi="ar-EG"/>
        </w:rPr>
      </w:pPr>
      <w:bookmarkStart w:id="50" w:name="_Ref359110774"/>
      <w:bookmarkStart w:id="51" w:name="_Toc376419857"/>
      <w:bookmarkStart w:id="52" w:name="_Toc375232424"/>
      <w:bookmarkStart w:id="53" w:name="_Toc366501666"/>
      <w:bookmarkStart w:id="54" w:name="_Toc366263990"/>
      <w:bookmarkStart w:id="55" w:name="_Toc365421679"/>
      <w:r w:rsidRPr="00AB6A32">
        <w:rPr>
          <w:rFonts w:ascii="Times New Roman" w:eastAsia="Times New Roman" w:hAnsi="Times New Roman" w:cs="Times New Roman"/>
          <w:b/>
          <w:bCs/>
          <w:sz w:val="20"/>
          <w:szCs w:val="20"/>
          <w:lang w:bidi="ar-EG"/>
        </w:rPr>
        <w:t xml:space="preserve">Figure </w:t>
      </w:r>
      <w:bookmarkEnd w:id="50"/>
      <w:r w:rsidRPr="00AB6A32">
        <w:rPr>
          <w:rFonts w:ascii="Times New Roman" w:eastAsia="Times New Roman" w:hAnsi="Times New Roman" w:cs="Times New Roman"/>
          <w:b/>
          <w:bCs/>
          <w:sz w:val="20"/>
          <w:szCs w:val="20"/>
          <w:lang w:bidi="ar-EG"/>
        </w:rPr>
        <w:t xml:space="preserve">8: </w:t>
      </w:r>
      <w:r w:rsidRPr="00AB6A32">
        <w:rPr>
          <w:rFonts w:ascii="Times New Roman" w:hAnsi="Times New Roman" w:cs="Times New Roman"/>
          <w:bCs/>
          <w:sz w:val="20"/>
          <w:szCs w:val="20"/>
        </w:rPr>
        <w:t xml:space="preserve">Effect of vitamin D3&amp;/or K supplementation on Tartrate Resistant Acid Phosphatase level within sedentary groups </w:t>
      </w:r>
      <w:bookmarkEnd w:id="51"/>
      <w:bookmarkEnd w:id="52"/>
      <w:bookmarkEnd w:id="53"/>
      <w:bookmarkEnd w:id="54"/>
      <w:bookmarkEnd w:id="55"/>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p>
    <w:p w:rsidR="003E44C4" w:rsidRPr="00AB6A32" w:rsidRDefault="003E44C4" w:rsidP="00AB6A32">
      <w:pPr>
        <w:snapToGrid w:val="0"/>
        <w:spacing w:after="0" w:line="240" w:lineRule="auto"/>
        <w:jc w:val="center"/>
        <w:outlineLvl w:val="4"/>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629714" cy="17254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885" cy="1729482"/>
                    </a:xfrm>
                    <a:prstGeom prst="rect">
                      <a:avLst/>
                    </a:prstGeom>
                    <a:noFill/>
                    <a:ln>
                      <a:noFill/>
                    </a:ln>
                  </pic:spPr>
                </pic:pic>
              </a:graphicData>
            </a:graphic>
          </wp:inline>
        </w:drawing>
      </w:r>
    </w:p>
    <w:p w:rsidR="003E44C4" w:rsidRPr="00AB6A32" w:rsidRDefault="003E44C4" w:rsidP="00AB6A32">
      <w:pPr>
        <w:snapToGrid w:val="0"/>
        <w:spacing w:after="0" w:line="240" w:lineRule="auto"/>
        <w:jc w:val="both"/>
        <w:outlineLvl w:val="4"/>
        <w:rPr>
          <w:rFonts w:ascii="Times New Roman" w:eastAsia="Times New Roman" w:hAnsi="Times New Roman" w:cs="Times New Roman"/>
          <w:sz w:val="20"/>
          <w:szCs w:val="20"/>
          <w:lang w:bidi="ar-EG"/>
        </w:rPr>
      </w:pPr>
      <w:proofErr w:type="gramStart"/>
      <w:r w:rsidRPr="00AB6A32">
        <w:rPr>
          <w:rFonts w:ascii="Times New Roman" w:eastAsiaTheme="majorEastAsia" w:hAnsi="Times New Roman" w:cs="Times New Roman"/>
          <w:color w:val="243F60" w:themeColor="accent1" w:themeShade="7F"/>
          <w:sz w:val="20"/>
          <w:szCs w:val="20"/>
          <w:lang w:bidi="ar-EG"/>
        </w:rPr>
        <w:t>d</w:t>
      </w:r>
      <w:proofErr w:type="gramEnd"/>
      <w:r w:rsidR="002E0F84">
        <w:rPr>
          <w:rFonts w:ascii="Times New Roman" w:eastAsiaTheme="majorEastAsia" w:hAnsi="Times New Roman" w:cs="Times New Roman"/>
          <w:color w:val="243F60" w:themeColor="accent1" w:themeShade="7F"/>
          <w:sz w:val="20"/>
          <w:szCs w:val="20"/>
          <w:lang w:bidi="ar-EG"/>
        </w:rPr>
        <w:t>:</w:t>
      </w:r>
      <w:r w:rsidRPr="00AB6A32">
        <w:rPr>
          <w:rFonts w:ascii="Times New Roman" w:eastAsiaTheme="majorEastAsia" w:hAnsi="Times New Roman" w:cs="Times New Roman"/>
          <w:color w:val="243F60" w:themeColor="accent1" w:themeShade="7F"/>
          <w:sz w:val="20"/>
          <w:szCs w:val="20"/>
          <w:lang w:bidi="ar-EG"/>
        </w:rPr>
        <w:t xml:space="preserve"> significant versus IIa group</w:t>
      </w:r>
    </w:p>
    <w:p w:rsidR="003E44C4" w:rsidRPr="00AB6A32" w:rsidRDefault="003E44C4" w:rsidP="00AB6A32">
      <w:pPr>
        <w:snapToGrid w:val="0"/>
        <w:spacing w:after="0" w:line="240" w:lineRule="auto"/>
        <w:jc w:val="both"/>
        <w:rPr>
          <w:rFonts w:ascii="Times New Roman" w:eastAsia="Times New Roman" w:hAnsi="Times New Roman" w:cs="Times New Roman"/>
          <w:bCs/>
          <w:sz w:val="20"/>
          <w:szCs w:val="20"/>
          <w:lang w:bidi="ar-EG"/>
        </w:rPr>
      </w:pPr>
      <w:bookmarkStart w:id="56" w:name="_Toc376419859"/>
      <w:r w:rsidRPr="00AB6A32">
        <w:rPr>
          <w:rFonts w:ascii="Times New Roman" w:eastAsia="Times New Roman" w:hAnsi="Times New Roman" w:cs="Times New Roman"/>
          <w:b/>
          <w:bCs/>
          <w:sz w:val="20"/>
          <w:szCs w:val="20"/>
          <w:lang w:bidi="ar-EG"/>
        </w:rPr>
        <w:t>Figure 9:</w:t>
      </w:r>
      <w:r w:rsidRPr="00AB6A32">
        <w:rPr>
          <w:rFonts w:ascii="Times New Roman" w:hAnsi="Times New Roman" w:cs="Times New Roman"/>
          <w:b/>
          <w:sz w:val="20"/>
          <w:szCs w:val="20"/>
        </w:rPr>
        <w:t xml:space="preserve"> </w:t>
      </w:r>
      <w:r w:rsidRPr="00AB6A32">
        <w:rPr>
          <w:rFonts w:ascii="Times New Roman" w:hAnsi="Times New Roman" w:cs="Times New Roman"/>
          <w:bCs/>
          <w:sz w:val="20"/>
          <w:szCs w:val="20"/>
        </w:rPr>
        <w:t>Effect of vitamin D3&amp;/or K supplementation on osteocalcin level within exercise groups</w:t>
      </w:r>
      <w:bookmarkEnd w:id="56"/>
      <w:r w:rsidR="002E0F84">
        <w:rPr>
          <w:rFonts w:ascii="Times New Roman" w:hAnsi="Times New Roman" w:cs="Times New Roman" w:hint="eastAsia"/>
          <w:bCs/>
          <w:sz w:val="20"/>
          <w:szCs w:val="20"/>
          <w:lang w:eastAsia="zh-CN"/>
        </w:rPr>
        <w:t xml:space="preserve"> </w:t>
      </w:r>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p>
    <w:p w:rsidR="003E44C4" w:rsidRPr="00AB6A32" w:rsidRDefault="003E44C4" w:rsidP="0030217E">
      <w:pPr>
        <w:snapToGrid w:val="0"/>
        <w:spacing w:after="0" w:line="240" w:lineRule="auto"/>
        <w:jc w:val="both"/>
        <w:rPr>
          <w:rFonts w:ascii="Times New Roman" w:eastAsia="Times New Roman" w:hAnsi="Times New Roman" w:cs="Times New Roman"/>
          <w:sz w:val="20"/>
          <w:szCs w:val="20"/>
          <w:lang w:bidi="ar-EG"/>
        </w:rPr>
      </w:pPr>
      <w:proofErr w:type="gramStart"/>
      <w:r w:rsidRPr="00AB6A32">
        <w:rPr>
          <w:rFonts w:ascii="Times New Roman" w:eastAsia="Times New Roman" w:hAnsi="Times New Roman" w:cs="Times New Roman"/>
          <w:sz w:val="20"/>
          <w:szCs w:val="20"/>
          <w:lang w:bidi="ar-EG"/>
        </w:rPr>
        <w:t>c:</w:t>
      </w:r>
      <w:proofErr w:type="gramEnd"/>
      <w:r w:rsidRPr="00AB6A32">
        <w:rPr>
          <w:rFonts w:ascii="Times New Roman" w:eastAsia="Times New Roman" w:hAnsi="Times New Roman" w:cs="Times New Roman"/>
          <w:sz w:val="20"/>
          <w:szCs w:val="20"/>
          <w:lang w:bidi="ar-EG"/>
        </w:rPr>
        <w:t>significant versus IIa group,</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d</w:t>
      </w:r>
      <w:r w:rsidR="002E0F84">
        <w:rPr>
          <w:rFonts w:ascii="Times New Roman" w:eastAsia="Times New Roman" w:hAnsi="Times New Roman" w:cs="Times New Roman"/>
          <w:sz w:val="20"/>
          <w:szCs w:val="20"/>
          <w:lang w:bidi="ar-EG"/>
        </w:rPr>
        <w:t>:</w:t>
      </w:r>
      <w:r w:rsidRPr="00AB6A32">
        <w:rPr>
          <w:rFonts w:ascii="Times New Roman" w:eastAsia="Times New Roman" w:hAnsi="Times New Roman" w:cs="Times New Roman"/>
          <w:sz w:val="20"/>
          <w:szCs w:val="20"/>
          <w:lang w:bidi="ar-EG"/>
        </w:rPr>
        <w:t>significant versus IIc group</w:t>
      </w:r>
    </w:p>
    <w:p w:rsidR="003E44C4" w:rsidRPr="00AB6A32" w:rsidRDefault="003E44C4" w:rsidP="00AB6A32">
      <w:pPr>
        <w:snapToGrid w:val="0"/>
        <w:spacing w:after="0" w:line="240" w:lineRule="auto"/>
        <w:ind w:firstLine="425"/>
        <w:jc w:val="both"/>
        <w:rPr>
          <w:rFonts w:ascii="Times New Roman" w:eastAsia="Times New Roman" w:hAnsi="Times New Roman" w:cs="Times New Roman"/>
          <w:sz w:val="20"/>
          <w:szCs w:val="20"/>
          <w:lang w:bidi="ar-EG"/>
        </w:rPr>
      </w:pPr>
    </w:p>
    <w:p w:rsidR="003E44C4" w:rsidRPr="00AB6A32" w:rsidRDefault="003E44C4" w:rsidP="00AB6A32">
      <w:pPr>
        <w:snapToGrid w:val="0"/>
        <w:spacing w:after="0" w:line="240" w:lineRule="auto"/>
        <w:jc w:val="center"/>
        <w:rPr>
          <w:rFonts w:ascii="Times New Roman" w:eastAsia="Times New Roman" w:hAnsi="Times New Roman" w:cs="Times New Roman"/>
          <w:b/>
          <w:bCs/>
          <w:sz w:val="20"/>
          <w:szCs w:val="20"/>
          <w:lang w:bidi="ar-EG"/>
        </w:rPr>
      </w:pPr>
      <w:bookmarkStart w:id="57" w:name="_Ref357053120"/>
      <w:bookmarkStart w:id="58" w:name="_Toc376419860"/>
      <w:bookmarkStart w:id="59" w:name="_Toc375232426"/>
      <w:bookmarkStart w:id="60" w:name="_Toc366501668"/>
      <w:bookmarkStart w:id="61" w:name="_Toc366263992"/>
      <w:bookmarkStart w:id="62" w:name="_Toc365421682"/>
      <w:r w:rsidRPr="00AB6A32">
        <w:rPr>
          <w:rFonts w:ascii="Times New Roman" w:eastAsia="Times New Roman" w:hAnsi="Times New Roman" w:cs="Times New Roman"/>
          <w:b/>
          <w:bCs/>
          <w:noProof/>
          <w:sz w:val="20"/>
          <w:szCs w:val="20"/>
          <w:lang w:eastAsia="zh-CN"/>
        </w:rPr>
        <w:drawing>
          <wp:inline distT="0" distB="0" distL="0" distR="0">
            <wp:extent cx="2751152" cy="160616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9640" cy="1605280"/>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b/>
          <w:bCs/>
          <w:sz w:val="20"/>
          <w:szCs w:val="20"/>
          <w:lang w:bidi="ar-EG"/>
        </w:rPr>
        <w:t xml:space="preserve">Figure </w:t>
      </w:r>
      <w:bookmarkEnd w:id="57"/>
      <w:r w:rsidRPr="00AB6A32">
        <w:rPr>
          <w:rFonts w:ascii="Times New Roman" w:eastAsia="Times New Roman" w:hAnsi="Times New Roman" w:cs="Times New Roman"/>
          <w:b/>
          <w:bCs/>
          <w:sz w:val="20"/>
          <w:szCs w:val="20"/>
          <w:lang w:bidi="ar-EG"/>
        </w:rPr>
        <w:t>10:</w:t>
      </w:r>
      <w:r w:rsidRPr="00AB6A32">
        <w:rPr>
          <w:rFonts w:ascii="Times New Roman" w:hAnsi="Times New Roman" w:cs="Times New Roman"/>
          <w:b/>
          <w:sz w:val="20"/>
          <w:szCs w:val="20"/>
        </w:rPr>
        <w:t xml:space="preserve"> </w:t>
      </w:r>
      <w:r w:rsidRPr="00AB6A32">
        <w:rPr>
          <w:rFonts w:ascii="Times New Roman" w:hAnsi="Times New Roman" w:cs="Times New Roman"/>
          <w:bCs/>
          <w:sz w:val="20"/>
          <w:szCs w:val="20"/>
        </w:rPr>
        <w:t>Effect of vitamin D3&amp;/or K supplementation on Bone specific Alkaline Phosphatase level within exercise groups</w:t>
      </w:r>
      <w:r w:rsidR="0046185B">
        <w:rPr>
          <w:rFonts w:ascii="Times New Roman" w:hAnsi="Times New Roman" w:cs="Times New Roman" w:hint="eastAsia"/>
          <w:bCs/>
          <w:sz w:val="20"/>
          <w:szCs w:val="20"/>
          <w:lang w:eastAsia="zh-CN"/>
        </w:rPr>
        <w:t xml:space="preserve"> </w:t>
      </w:r>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bookmarkEnd w:id="58"/>
      <w:bookmarkEnd w:id="59"/>
      <w:bookmarkEnd w:id="60"/>
      <w:bookmarkEnd w:id="61"/>
      <w:bookmarkEnd w:id="62"/>
    </w:p>
    <w:p w:rsidR="003E44C4" w:rsidRDefault="003E44C4" w:rsidP="00AB6A32">
      <w:pPr>
        <w:snapToGrid w:val="0"/>
        <w:spacing w:after="0" w:line="240" w:lineRule="auto"/>
        <w:ind w:firstLine="425"/>
        <w:jc w:val="both"/>
        <w:rPr>
          <w:rFonts w:ascii="Times New Roman" w:hAnsi="Times New Roman" w:cs="Times New Roman"/>
          <w:sz w:val="20"/>
          <w:szCs w:val="20"/>
          <w:lang w:eastAsia="zh-CN" w:bidi="ar-EG"/>
        </w:rPr>
      </w:pPr>
    </w:p>
    <w:p w:rsidR="0030217E" w:rsidRPr="00AB6A32" w:rsidRDefault="0030217E" w:rsidP="0030217E">
      <w:pPr>
        <w:snapToGrid w:val="0"/>
        <w:spacing w:after="0" w:line="240" w:lineRule="auto"/>
        <w:jc w:val="both"/>
        <w:rPr>
          <w:rFonts w:ascii="Times New Roman" w:hAnsi="Times New Roman" w:cs="Times New Roman"/>
          <w:bCs/>
          <w:sz w:val="20"/>
          <w:szCs w:val="20"/>
        </w:rPr>
      </w:pPr>
      <w:proofErr w:type="gramStart"/>
      <w:r w:rsidRPr="00AB6A32">
        <w:rPr>
          <w:rFonts w:ascii="Times New Roman" w:eastAsia="Times New Roman" w:hAnsi="Times New Roman" w:cs="Times New Roman"/>
          <w:b/>
          <w:bCs/>
          <w:sz w:val="20"/>
          <w:szCs w:val="20"/>
          <w:lang w:bidi="ar-EG"/>
        </w:rPr>
        <w:t>a:</w:t>
      </w:r>
      <w:proofErr w:type="gramEnd"/>
      <w:r w:rsidRPr="00AB6A32">
        <w:rPr>
          <w:rFonts w:ascii="Times New Roman" w:eastAsia="Times New Roman" w:hAnsi="Times New Roman" w:cs="Times New Roman"/>
          <w:b/>
          <w:bCs/>
          <w:sz w:val="20"/>
          <w:szCs w:val="20"/>
          <w:lang w:bidi="ar-EG"/>
        </w:rPr>
        <w:t>significant versus group Ia</w:t>
      </w:r>
    </w:p>
    <w:p w:rsidR="0030217E" w:rsidRPr="00AB6A32" w:rsidRDefault="0030217E" w:rsidP="0030217E">
      <w:pPr>
        <w:snapToGrid w:val="0"/>
        <w:spacing w:after="0" w:line="240" w:lineRule="auto"/>
        <w:ind w:firstLine="425"/>
        <w:jc w:val="both"/>
        <w:rPr>
          <w:rFonts w:ascii="Times New Roman" w:eastAsia="Times New Roman" w:hAnsi="Times New Roman" w:cs="Times New Roman" w:hint="eastAsia"/>
          <w:sz w:val="20"/>
          <w:szCs w:val="20"/>
          <w:lang w:eastAsia="zh-CN" w:bidi="ar-EG"/>
        </w:rPr>
      </w:pPr>
      <w:r w:rsidRPr="00AB6A32">
        <w:rPr>
          <w:rFonts w:ascii="Times New Roman" w:eastAsia="Times New Roman" w:hAnsi="Times New Roman" w:cs="Times New Roman"/>
          <w:sz w:val="20"/>
          <w:szCs w:val="20"/>
          <w:lang w:bidi="ar-EG"/>
        </w:rPr>
        <w:t xml:space="preserve">Within group comparison of exercise group revealed significant increase of bone formation markers i.e. Osteocalcin &amp; Bone Specific Alkaline </w:t>
      </w:r>
      <w:r w:rsidRPr="00AB6A32">
        <w:rPr>
          <w:rFonts w:ascii="Times New Roman" w:eastAsia="Times New Roman" w:hAnsi="Times New Roman" w:cs="Times New Roman"/>
          <w:sz w:val="20"/>
          <w:szCs w:val="20"/>
          <w:lang w:bidi="ar-EG"/>
        </w:rPr>
        <w:lastRenderedPageBreak/>
        <w:t xml:space="preserve">Phosphatase levels. (F=3.5,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=0.03&amp; F=0.86,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&lt;0.001 respectively)</w:t>
      </w:r>
      <w:r w:rsidR="002E0F84">
        <w:rPr>
          <w:rFonts w:ascii="Times New Roman" w:eastAsia="Times New Roman" w:hAnsi="Times New Roman" w:cs="Times New Roman"/>
          <w:sz w:val="20"/>
          <w:szCs w:val="20"/>
          <w:lang w:bidi="ar-EG"/>
        </w:rPr>
        <w:t xml:space="preserve"> </w:t>
      </w:r>
      <w:proofErr w:type="gramStart"/>
      <w:r w:rsidRPr="00AB6A32">
        <w:rPr>
          <w:rFonts w:ascii="Times New Roman" w:eastAsia="Times New Roman" w:hAnsi="Times New Roman" w:cs="Times New Roman"/>
          <w:sz w:val="20"/>
          <w:szCs w:val="20"/>
          <w:lang w:bidi="ar-EG"/>
        </w:rPr>
        <w:t>(</w:t>
      </w:r>
      <w:fldSimple w:instr=" REF _Ref355513004 \h  \* MERGEFORMAT ">
        <w:r w:rsidR="00550DA7" w:rsidRPr="00550DA7">
          <w:rPr>
            <w:rFonts w:ascii="Times New Roman" w:eastAsia="Times New Roman" w:hAnsi="Times New Roman" w:cs="Times New Roman"/>
            <w:sz w:val="20"/>
            <w:szCs w:val="20"/>
            <w:lang w:bidi="ar-EG"/>
          </w:rPr>
          <w:t xml:space="preserve">Figure </w:t>
        </w:r>
      </w:fldSimple>
      <w:r w:rsidR="002E0F84">
        <w:rPr>
          <w:rFonts w:hint="eastAsia"/>
          <w:lang w:eastAsia="zh-CN"/>
        </w:rPr>
        <w:t>8).</w:t>
      </w:r>
      <w:proofErr w:type="gramEnd"/>
    </w:p>
    <w:p w:rsidR="0030217E" w:rsidRPr="002E0F84" w:rsidRDefault="0030217E" w:rsidP="0030217E">
      <w:pPr>
        <w:snapToGrid w:val="0"/>
        <w:spacing w:after="0" w:line="240" w:lineRule="auto"/>
        <w:ind w:firstLine="425"/>
        <w:jc w:val="both"/>
        <w:rPr>
          <w:rFonts w:ascii="Times New Roman" w:hAnsi="Times New Roman" w:cs="Times New Roman" w:hint="eastAsia"/>
          <w:sz w:val="20"/>
          <w:szCs w:val="20"/>
          <w:lang w:eastAsia="zh-CN" w:bidi="ar-EG"/>
        </w:rPr>
      </w:pPr>
      <w:r w:rsidRPr="00AB6A32">
        <w:rPr>
          <w:rFonts w:ascii="Times New Roman" w:eastAsia="Times New Roman" w:hAnsi="Times New Roman" w:cs="Times New Roman"/>
          <w:sz w:val="20"/>
          <w:szCs w:val="20"/>
          <w:lang w:bidi="ar-EG"/>
        </w:rPr>
        <w:t xml:space="preserve">Combined vitamin D supplementation with exercise training (group IIb) significantly increased osteocalcin level as compared to vitamin K supplementation with exercise training (group IIc). </w:t>
      </w:r>
      <w:proofErr w:type="gramStart"/>
      <w:r w:rsidRPr="00AB6A32">
        <w:rPr>
          <w:rFonts w:ascii="Times New Roman" w:eastAsia="Times New Roman" w:hAnsi="Times New Roman" w:cs="Times New Roman"/>
          <w:sz w:val="20"/>
          <w:szCs w:val="20"/>
          <w:lang w:bidi="ar-EG"/>
        </w:rPr>
        <w:t>(Figure 9</w:t>
      </w:r>
      <w:r w:rsidR="002E0F84">
        <w:rPr>
          <w:rFonts w:ascii="Times New Roman" w:eastAsia="Times New Roman" w:hAnsi="Times New Roman" w:cs="Times New Roman"/>
          <w:sz w:val="20"/>
          <w:szCs w:val="20"/>
          <w:lang w:bidi="ar-EG"/>
        </w:rPr>
        <w:t>)</w:t>
      </w:r>
      <w:r w:rsidR="002E0F84">
        <w:rPr>
          <w:rFonts w:ascii="Times New Roman" w:hAnsi="Times New Roman" w:cs="Times New Roman" w:hint="eastAsia"/>
          <w:sz w:val="20"/>
          <w:szCs w:val="20"/>
          <w:lang w:eastAsia="zh-CN" w:bidi="ar-EG"/>
        </w:rPr>
        <w:t>.</w:t>
      </w:r>
      <w:proofErr w:type="gramEnd"/>
    </w:p>
    <w:p w:rsidR="0030217E" w:rsidRPr="002E0F84" w:rsidRDefault="0030217E" w:rsidP="0030217E">
      <w:pPr>
        <w:snapToGrid w:val="0"/>
        <w:spacing w:after="0" w:line="240" w:lineRule="auto"/>
        <w:ind w:firstLine="425"/>
        <w:jc w:val="both"/>
        <w:rPr>
          <w:rFonts w:ascii="Times New Roman" w:hAnsi="Times New Roman" w:cs="Times New Roman" w:hint="eastAsia"/>
          <w:sz w:val="20"/>
          <w:szCs w:val="20"/>
          <w:lang w:eastAsia="zh-CN" w:bidi="ar-EG"/>
        </w:rPr>
      </w:pPr>
      <w:r w:rsidRPr="00AB6A32">
        <w:rPr>
          <w:rFonts w:ascii="Times New Roman" w:eastAsia="Times New Roman" w:hAnsi="Times New Roman" w:cs="Times New Roman"/>
          <w:sz w:val="20"/>
          <w:szCs w:val="20"/>
          <w:lang w:bidi="ar-EG"/>
        </w:rPr>
        <w:t xml:space="preserve">Combined vitamin D supplementation with exercise training (group IIb) significantly increased Bone Specific Alkaline Phosphatase level as compared to exercise alone (group IIa) &amp; vitamin K supplementation with exercise training (group IIc). </w:t>
      </w:r>
      <w:proofErr w:type="gramStart"/>
      <w:r w:rsidRPr="00AB6A32">
        <w:rPr>
          <w:rFonts w:ascii="Times New Roman" w:eastAsia="Times New Roman" w:hAnsi="Times New Roman" w:cs="Times New Roman"/>
          <w:sz w:val="20"/>
          <w:szCs w:val="20"/>
          <w:lang w:bidi="ar-EG"/>
        </w:rPr>
        <w:t>(Figure 10</w:t>
      </w:r>
      <w:r w:rsidR="002E0F84">
        <w:rPr>
          <w:rFonts w:ascii="Times New Roman" w:eastAsia="Times New Roman" w:hAnsi="Times New Roman" w:cs="Times New Roman"/>
          <w:sz w:val="20"/>
          <w:szCs w:val="20"/>
          <w:lang w:bidi="ar-EG"/>
        </w:rPr>
        <w:t>)</w:t>
      </w:r>
      <w:r w:rsidR="002E0F84">
        <w:rPr>
          <w:rFonts w:ascii="Times New Roman" w:hAnsi="Times New Roman" w:cs="Times New Roman" w:hint="eastAsia"/>
          <w:sz w:val="20"/>
          <w:szCs w:val="20"/>
          <w:lang w:eastAsia="zh-CN" w:bidi="ar-EG"/>
        </w:rPr>
        <w:t>.</w:t>
      </w:r>
      <w:proofErr w:type="gramEnd"/>
    </w:p>
    <w:p w:rsidR="0030217E" w:rsidRPr="002E0F84" w:rsidRDefault="0030217E" w:rsidP="0030217E">
      <w:pPr>
        <w:snapToGrid w:val="0"/>
        <w:spacing w:after="0" w:line="240" w:lineRule="auto"/>
        <w:ind w:firstLine="425"/>
        <w:jc w:val="both"/>
        <w:rPr>
          <w:rFonts w:ascii="Times New Roman" w:hAnsi="Times New Roman" w:cs="Times New Roman" w:hint="eastAsia"/>
          <w:sz w:val="20"/>
          <w:szCs w:val="20"/>
          <w:lang w:eastAsia="zh-CN" w:bidi="ar-EG"/>
        </w:rPr>
      </w:pPr>
      <w:r w:rsidRPr="00AB6A32">
        <w:rPr>
          <w:rFonts w:ascii="Times New Roman" w:eastAsia="Times New Roman" w:hAnsi="Times New Roman" w:cs="Times New Roman"/>
          <w:sz w:val="20"/>
          <w:szCs w:val="20"/>
          <w:lang w:bidi="ar-EG"/>
        </w:rPr>
        <w:t xml:space="preserve">Combined vitamin D&amp;K supplementation with exercise training (group IId) significantly increased Bone Specific Alkaline Phosphatase level as compared to exercise alone (group IIa) &amp; vitamin K supplementation with exercise training (group IIc). </w:t>
      </w:r>
      <w:proofErr w:type="gramStart"/>
      <w:r w:rsidRPr="00AB6A32">
        <w:rPr>
          <w:rFonts w:ascii="Times New Roman" w:eastAsia="Times New Roman" w:hAnsi="Times New Roman" w:cs="Times New Roman"/>
          <w:sz w:val="20"/>
          <w:szCs w:val="20"/>
          <w:lang w:bidi="ar-EG"/>
        </w:rPr>
        <w:t>(Figure 10</w:t>
      </w:r>
      <w:r w:rsidR="002E0F84">
        <w:rPr>
          <w:rFonts w:ascii="Times New Roman" w:eastAsia="Times New Roman" w:hAnsi="Times New Roman" w:cs="Times New Roman"/>
          <w:sz w:val="20"/>
          <w:szCs w:val="20"/>
          <w:lang w:bidi="ar-EG"/>
        </w:rPr>
        <w:t>)</w:t>
      </w:r>
      <w:r w:rsidR="002E0F84">
        <w:rPr>
          <w:rFonts w:ascii="Times New Roman" w:hAnsi="Times New Roman" w:cs="Times New Roman" w:hint="eastAsia"/>
          <w:sz w:val="20"/>
          <w:szCs w:val="20"/>
          <w:lang w:eastAsia="zh-CN" w:bidi="ar-EG"/>
        </w:rPr>
        <w:t>.</w:t>
      </w:r>
      <w:proofErr w:type="gramEnd"/>
    </w:p>
    <w:p w:rsidR="0030217E" w:rsidRPr="00AB6A32" w:rsidRDefault="0030217E" w:rsidP="0030217E">
      <w:pPr>
        <w:snapToGrid w:val="0"/>
        <w:spacing w:after="0" w:line="240" w:lineRule="auto"/>
        <w:ind w:firstLine="425"/>
        <w:jc w:val="both"/>
        <w:rPr>
          <w:rFonts w:ascii="Times New Roman" w:eastAsia="Times New Roman" w:hAnsi="Times New Roman" w:cs="Times New Roman"/>
          <w:sz w:val="20"/>
          <w:szCs w:val="20"/>
          <w:lang w:bidi="ar-EG"/>
        </w:rPr>
      </w:pPr>
      <w:r w:rsidRPr="00AB6A32">
        <w:rPr>
          <w:rFonts w:ascii="Times New Roman" w:eastAsia="Times New Roman" w:hAnsi="Times New Roman" w:cs="Times New Roman"/>
          <w:sz w:val="20"/>
          <w:szCs w:val="20"/>
          <w:lang w:bidi="ar-EG"/>
        </w:rPr>
        <w:t xml:space="preserve">Within group comparison of exercise group revealed insignificant decrease of bone resorption markers i.e. Undercarboxylated Osteocalcin &amp; Tartrate Resistant Acid Phosphatase levels (F=0.44,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=0.5&amp; F=11.2, </w:t>
      </w:r>
      <w:r w:rsidRPr="00AB6A32">
        <w:rPr>
          <w:rFonts w:ascii="Times New Roman" w:eastAsia="Times New Roman" w:hAnsi="Times New Roman" w:cs="Times New Roman"/>
          <w:i/>
          <w:iCs/>
          <w:color w:val="FF0000"/>
          <w:sz w:val="20"/>
          <w:szCs w:val="20"/>
          <w:lang w:bidi="ar-EG"/>
        </w:rPr>
        <w:t>P</w:t>
      </w:r>
      <w:r w:rsidRPr="00AB6A32">
        <w:rPr>
          <w:rFonts w:ascii="Times New Roman" w:eastAsia="Times New Roman" w:hAnsi="Times New Roman" w:cs="Times New Roman"/>
          <w:sz w:val="20"/>
          <w:szCs w:val="20"/>
          <w:lang w:bidi="ar-EG"/>
        </w:rPr>
        <w:t xml:space="preserve"> =0.7 respectively).</w:t>
      </w:r>
      <w:r w:rsidR="002E0F84">
        <w:rPr>
          <w:rFonts w:ascii="Times New Roman" w:eastAsia="Times New Roman" w:hAnsi="Times New Roman" w:cs="Times New Roman"/>
          <w:sz w:val="20"/>
          <w:szCs w:val="20"/>
          <w:lang w:bidi="ar-EG"/>
        </w:rPr>
        <w:t xml:space="preserve"> </w:t>
      </w:r>
      <w:r w:rsidRPr="00AB6A32">
        <w:rPr>
          <w:rFonts w:ascii="Times New Roman" w:eastAsia="Times New Roman" w:hAnsi="Times New Roman" w:cs="Times New Roman"/>
          <w:sz w:val="20"/>
          <w:szCs w:val="20"/>
          <w:lang w:bidi="ar-EG"/>
        </w:rPr>
        <w:t>(</w:t>
      </w:r>
      <w:fldSimple w:instr=" REF _Ref355513004 \h  \* MERGEFORMAT ">
        <w:r w:rsidR="00550DA7" w:rsidRPr="00550DA7">
          <w:rPr>
            <w:rFonts w:ascii="Times New Roman" w:eastAsia="Times New Roman" w:hAnsi="Times New Roman" w:cs="Times New Roman"/>
            <w:sz w:val="20"/>
            <w:szCs w:val="20"/>
            <w:lang w:bidi="ar-EG"/>
          </w:rPr>
          <w:t>Figure</w:t>
        </w:r>
      </w:fldSimple>
      <w:r w:rsidRPr="00AB6A32">
        <w:rPr>
          <w:rFonts w:ascii="Times New Roman" w:eastAsia="Times New Roman" w:hAnsi="Times New Roman" w:cs="Times New Roman"/>
          <w:sz w:val="20"/>
          <w:szCs w:val="20"/>
          <w:lang w:bidi="ar-EG"/>
        </w:rPr>
        <w:t>, 12).</w:t>
      </w:r>
    </w:p>
    <w:p w:rsidR="0030217E" w:rsidRPr="0030217E" w:rsidRDefault="0030217E" w:rsidP="00AB6A32">
      <w:pPr>
        <w:snapToGrid w:val="0"/>
        <w:spacing w:after="0" w:line="240" w:lineRule="auto"/>
        <w:ind w:firstLine="425"/>
        <w:jc w:val="both"/>
        <w:rPr>
          <w:rFonts w:ascii="Times New Roman" w:hAnsi="Times New Roman" w:cs="Times New Roman"/>
          <w:sz w:val="20"/>
          <w:szCs w:val="20"/>
          <w:lang w:eastAsia="zh-CN" w:bidi="ar-EG"/>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889250" cy="16243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250" cy="1624330"/>
                    </a:xfrm>
                    <a:prstGeom prst="rect">
                      <a:avLst/>
                    </a:prstGeom>
                    <a:noFill/>
                    <a:ln>
                      <a:noFill/>
                    </a:ln>
                  </pic:spPr>
                </pic:pic>
              </a:graphicData>
            </a:graphic>
          </wp:inline>
        </w:drawing>
      </w:r>
    </w:p>
    <w:p w:rsidR="003E44C4" w:rsidRPr="00AB6A32" w:rsidRDefault="003E44C4" w:rsidP="00AB6A32">
      <w:pPr>
        <w:snapToGrid w:val="0"/>
        <w:spacing w:after="0" w:line="240" w:lineRule="auto"/>
        <w:jc w:val="both"/>
        <w:rPr>
          <w:rFonts w:ascii="Times New Roman" w:hAnsi="Times New Roman" w:cs="Times New Roman"/>
          <w:sz w:val="20"/>
          <w:szCs w:val="20"/>
        </w:rPr>
      </w:pPr>
      <w:bookmarkStart w:id="63" w:name="_Ref359111439"/>
      <w:bookmarkStart w:id="64" w:name="_Toc376419861"/>
      <w:bookmarkStart w:id="65" w:name="_Toc375232427"/>
      <w:bookmarkStart w:id="66" w:name="_Toc366501669"/>
      <w:bookmarkStart w:id="67" w:name="_Toc366263993"/>
      <w:bookmarkStart w:id="68" w:name="_Toc365421683"/>
      <w:r w:rsidRPr="00AB6A32">
        <w:rPr>
          <w:rFonts w:ascii="Times New Roman" w:eastAsia="Times New Roman" w:hAnsi="Times New Roman" w:cs="Times New Roman"/>
          <w:b/>
          <w:bCs/>
          <w:sz w:val="20"/>
          <w:szCs w:val="20"/>
          <w:lang w:bidi="ar-EG"/>
        </w:rPr>
        <w:t xml:space="preserve">Figure </w:t>
      </w:r>
      <w:bookmarkEnd w:id="63"/>
      <w:r w:rsidRPr="00AB6A32">
        <w:rPr>
          <w:rFonts w:ascii="Times New Roman" w:eastAsia="Times New Roman" w:hAnsi="Times New Roman" w:cs="Times New Roman"/>
          <w:b/>
          <w:bCs/>
          <w:sz w:val="20"/>
          <w:szCs w:val="20"/>
          <w:lang w:bidi="ar-EG"/>
        </w:rPr>
        <w:t>11:</w:t>
      </w:r>
      <w:r w:rsidRPr="00AB6A32">
        <w:rPr>
          <w:rFonts w:ascii="Times New Roman" w:hAnsi="Times New Roman" w:cs="Times New Roman"/>
          <w:b/>
          <w:sz w:val="20"/>
          <w:szCs w:val="20"/>
        </w:rPr>
        <w:t xml:space="preserve"> </w:t>
      </w:r>
      <w:r w:rsidRPr="00AB6A32">
        <w:rPr>
          <w:rFonts w:ascii="Times New Roman" w:hAnsi="Times New Roman" w:cs="Times New Roman"/>
          <w:bCs/>
          <w:sz w:val="20"/>
          <w:szCs w:val="20"/>
        </w:rPr>
        <w:t>Effect of vitamin D3&amp;/or K on undercarboxylated osteocalcin level within exercise</w:t>
      </w:r>
      <w:r w:rsidRPr="00AB6A32">
        <w:rPr>
          <w:rFonts w:ascii="Times New Roman" w:hAnsi="Times New Roman" w:cs="Times New Roman"/>
          <w:b/>
          <w:sz w:val="20"/>
          <w:szCs w:val="20"/>
        </w:rPr>
        <w:t xml:space="preserve"> </w:t>
      </w:r>
      <w:r w:rsidRPr="00AB6A32">
        <w:rPr>
          <w:rFonts w:ascii="Times New Roman" w:hAnsi="Times New Roman" w:cs="Times New Roman"/>
          <w:bCs/>
          <w:sz w:val="20"/>
          <w:szCs w:val="20"/>
        </w:rPr>
        <w:t>groups</w:t>
      </w:r>
      <w:r w:rsidR="002E0F84">
        <w:rPr>
          <w:rFonts w:ascii="Times New Roman" w:hAnsi="Times New Roman" w:cs="Times New Roman" w:hint="eastAsia"/>
          <w:bCs/>
          <w:sz w:val="20"/>
          <w:szCs w:val="20"/>
          <w:lang w:eastAsia="zh-CN"/>
        </w:rPr>
        <w:t xml:space="preserve"> </w:t>
      </w:r>
      <w:r w:rsidRPr="00AB6A32">
        <w:rPr>
          <w:rFonts w:ascii="Times New Roman" w:hAnsi="Times New Roman" w:cs="Times New Roman"/>
          <w:bCs/>
          <w:sz w:val="20"/>
          <w:szCs w:val="20"/>
        </w:rPr>
        <w:t>(ANOVA test)</w:t>
      </w:r>
      <w:r w:rsidRPr="00AB6A32">
        <w:rPr>
          <w:rFonts w:ascii="Times New Roman" w:eastAsia="Times New Roman" w:hAnsi="Times New Roman" w:cs="Times New Roman"/>
          <w:sz w:val="20"/>
          <w:szCs w:val="20"/>
          <w:lang w:bidi="ar-EG"/>
        </w:rPr>
        <w:t>.</w:t>
      </w:r>
      <w:bookmarkEnd w:id="64"/>
      <w:bookmarkEnd w:id="65"/>
      <w:bookmarkEnd w:id="66"/>
      <w:bookmarkEnd w:id="67"/>
      <w:bookmarkEnd w:id="68"/>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p>
    <w:p w:rsidR="003E44C4" w:rsidRPr="00AB6A32" w:rsidRDefault="003E44C4" w:rsidP="00AB6A32">
      <w:pPr>
        <w:snapToGrid w:val="0"/>
        <w:spacing w:after="0" w:line="240" w:lineRule="auto"/>
        <w:jc w:val="center"/>
        <w:rPr>
          <w:rFonts w:ascii="Times New Roman" w:eastAsia="Times New Roman" w:hAnsi="Times New Roman" w:cs="Times New Roman"/>
          <w:sz w:val="20"/>
          <w:szCs w:val="20"/>
          <w:lang w:bidi="ar-EG"/>
        </w:rPr>
      </w:pPr>
      <w:r w:rsidRPr="00AB6A32">
        <w:rPr>
          <w:rFonts w:ascii="Times New Roman" w:eastAsia="Times New Roman" w:hAnsi="Times New Roman" w:cs="Times New Roman"/>
          <w:noProof/>
          <w:sz w:val="20"/>
          <w:szCs w:val="20"/>
          <w:lang w:eastAsia="zh-CN"/>
        </w:rPr>
        <w:drawing>
          <wp:inline distT="0" distB="0" distL="0" distR="0">
            <wp:extent cx="2869565" cy="15951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9565" cy="1595120"/>
                    </a:xfrm>
                    <a:prstGeom prst="rect">
                      <a:avLst/>
                    </a:prstGeom>
                    <a:noFill/>
                    <a:ln>
                      <a:noFill/>
                    </a:ln>
                  </pic:spPr>
                </pic:pic>
              </a:graphicData>
            </a:graphic>
          </wp:inline>
        </w:drawing>
      </w:r>
    </w:p>
    <w:p w:rsidR="003E44C4" w:rsidRDefault="003E44C4" w:rsidP="00AB6A32">
      <w:pPr>
        <w:snapToGrid w:val="0"/>
        <w:spacing w:after="0" w:line="240" w:lineRule="auto"/>
        <w:jc w:val="both"/>
        <w:rPr>
          <w:rFonts w:ascii="Times New Roman" w:hAnsi="Times New Roman" w:cs="Times New Roman"/>
          <w:bCs/>
          <w:sz w:val="20"/>
          <w:szCs w:val="20"/>
          <w:lang w:eastAsia="zh-CN"/>
        </w:rPr>
      </w:pPr>
      <w:bookmarkStart w:id="69" w:name="_Ref359110983"/>
      <w:bookmarkStart w:id="70" w:name="_Toc376419862"/>
      <w:bookmarkStart w:id="71" w:name="_Toc375232428"/>
      <w:bookmarkStart w:id="72" w:name="_Toc366501670"/>
      <w:bookmarkStart w:id="73" w:name="_Toc366263994"/>
      <w:bookmarkStart w:id="74" w:name="_Toc365421684"/>
      <w:r w:rsidRPr="00AB6A32">
        <w:rPr>
          <w:rFonts w:ascii="Times New Roman" w:eastAsia="Times New Roman" w:hAnsi="Times New Roman" w:cs="Times New Roman"/>
          <w:b/>
          <w:bCs/>
          <w:sz w:val="20"/>
          <w:szCs w:val="20"/>
          <w:lang w:bidi="ar-EG"/>
        </w:rPr>
        <w:t xml:space="preserve">Figure </w:t>
      </w:r>
      <w:bookmarkEnd w:id="69"/>
      <w:r w:rsidRPr="00AB6A32">
        <w:rPr>
          <w:rFonts w:ascii="Times New Roman" w:eastAsia="Times New Roman" w:hAnsi="Times New Roman" w:cs="Times New Roman"/>
          <w:b/>
          <w:bCs/>
          <w:sz w:val="20"/>
          <w:szCs w:val="20"/>
          <w:lang w:bidi="ar-EG"/>
        </w:rPr>
        <w:t xml:space="preserve">12: </w:t>
      </w:r>
      <w:bookmarkStart w:id="75" w:name="_Toc376434852"/>
      <w:bookmarkStart w:id="76" w:name="_Toc366948952"/>
      <w:bookmarkStart w:id="77" w:name="_Toc365422024"/>
      <w:bookmarkEnd w:id="70"/>
      <w:bookmarkEnd w:id="71"/>
      <w:bookmarkEnd w:id="72"/>
      <w:bookmarkEnd w:id="73"/>
      <w:bookmarkEnd w:id="74"/>
      <w:r w:rsidRPr="00AB6A32">
        <w:rPr>
          <w:rFonts w:ascii="Times New Roman" w:hAnsi="Times New Roman" w:cs="Times New Roman"/>
          <w:bCs/>
          <w:sz w:val="20"/>
          <w:szCs w:val="20"/>
        </w:rPr>
        <w:t xml:space="preserve">Effect of vitamin D3&amp;/or K on Tartrate Resistant Acid Phosphatase level within exercise </w:t>
      </w:r>
      <w:proofErr w:type="gramStart"/>
      <w:r w:rsidRPr="00AB6A32">
        <w:rPr>
          <w:rFonts w:ascii="Times New Roman" w:hAnsi="Times New Roman" w:cs="Times New Roman"/>
          <w:bCs/>
          <w:sz w:val="20"/>
          <w:szCs w:val="20"/>
        </w:rPr>
        <w:t>groups(</w:t>
      </w:r>
      <w:proofErr w:type="gramEnd"/>
      <w:r w:rsidRPr="00AB6A32">
        <w:rPr>
          <w:rFonts w:ascii="Times New Roman" w:hAnsi="Times New Roman" w:cs="Times New Roman"/>
          <w:bCs/>
          <w:sz w:val="20"/>
          <w:szCs w:val="20"/>
        </w:rPr>
        <w:t>ANOVA test).</w:t>
      </w:r>
    </w:p>
    <w:p w:rsidR="0030217E" w:rsidRDefault="0030217E" w:rsidP="00AB6A32">
      <w:pPr>
        <w:snapToGrid w:val="0"/>
        <w:spacing w:after="0" w:line="240" w:lineRule="auto"/>
        <w:jc w:val="both"/>
        <w:rPr>
          <w:rFonts w:ascii="Times New Roman" w:hAnsi="Times New Roman" w:cs="Times New Roman" w:hint="eastAsia"/>
          <w:bCs/>
          <w:sz w:val="20"/>
          <w:szCs w:val="20"/>
          <w:lang w:eastAsia="zh-CN"/>
        </w:rPr>
      </w:pPr>
    </w:p>
    <w:p w:rsidR="002E0F84" w:rsidRPr="00AB6A32" w:rsidRDefault="002E0F84" w:rsidP="00AB6A32">
      <w:pPr>
        <w:snapToGrid w:val="0"/>
        <w:spacing w:after="0" w:line="240" w:lineRule="auto"/>
        <w:jc w:val="both"/>
        <w:rPr>
          <w:rFonts w:ascii="Times New Roman" w:hAnsi="Times New Roman" w:cs="Times New Roman"/>
          <w:bCs/>
          <w:sz w:val="20"/>
          <w:szCs w:val="20"/>
          <w:lang w:eastAsia="zh-CN"/>
        </w:rPr>
      </w:pPr>
    </w:p>
    <w:p w:rsidR="003E44C4" w:rsidRPr="00AB6A32" w:rsidRDefault="003E44C4" w:rsidP="00AB6A32">
      <w:pPr>
        <w:tabs>
          <w:tab w:val="left" w:pos="1515"/>
        </w:tabs>
        <w:snapToGrid w:val="0"/>
        <w:spacing w:after="0" w:line="240" w:lineRule="auto"/>
        <w:jc w:val="both"/>
        <w:rPr>
          <w:rFonts w:ascii="Times New Roman" w:hAnsi="Times New Roman" w:cs="Times New Roman"/>
          <w:b/>
          <w:bCs/>
          <w:sz w:val="20"/>
          <w:szCs w:val="20"/>
        </w:rPr>
      </w:pPr>
      <w:r w:rsidRPr="00AB6A32">
        <w:rPr>
          <w:rFonts w:ascii="Times New Roman" w:hAnsi="Times New Roman" w:cs="Times New Roman"/>
          <w:b/>
          <w:bCs/>
          <w:sz w:val="20"/>
          <w:szCs w:val="20"/>
        </w:rPr>
        <w:lastRenderedPageBreak/>
        <w:t>4. Discussion</w:t>
      </w:r>
      <w:bookmarkEnd w:id="75"/>
      <w:bookmarkEnd w:id="76"/>
      <w:bookmarkEnd w:id="77"/>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treadmill exercise training in ovariectomized rats for 9 weeks induced a significant increase in Osteocalcin level compared to ovariectomized control rats.</w:t>
      </w:r>
    </w:p>
    <w:p w:rsidR="003E44C4" w:rsidRPr="00AB6A32" w:rsidRDefault="003E44C4" w:rsidP="00AB6A32">
      <w:pPr>
        <w:tabs>
          <w:tab w:val="left" w:pos="1515"/>
        </w:tabs>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concordance with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"10.1111/j.1439-0442.2005.00704.x", "ISSN" : "0931-184X", "PMID" : "15836441", "abstract" : "Bone responds to exercise with changes in bone (re-)modelling, which might be monitored non-invasively with biochemical bone markers. The aim of this study was to evaluate the influence of exercise on serum osteocalcin and serum carboxy-terminal cross-linked telopeptide of type I collagen generated by matrix metalloproteinases (CTX-MMP) concentration in young racehorses. Seventy-one 2 to 4-year-old Thoroughbreds were included in this prospective infield study. Blood sampling was performed six times (i.e. six sampling cycles) during a 9-month period. Serum samples were analysed with commercial osteocalcin and CTX-MMP radioimmunoassays. Two-year-old racehorses had higher serum osteocalcin and CTX-MMP values than 3-year-old horses. Gender and training amplitude did not significantly influence serum osteocalcin and CTX-MMP values. Two-year-old horses showed an increase in osteocalcin values between cycles 2 and 3 and an increase in serum CTX-MMP values between cycles 1 and 2. Serum osteocalcin and CTX-MMP concentrations decreased between cycles 4 and 5, and 5 and 6. Three-year-old horses showed an increase in serum osteocalcin levels between cycles 3 and 4 and an increase in serum CTX-MMP concentrations between cycles 1 and 2, and 3 and 4. Serum osteocalcin levels decreased between cycles 5 and 6, whereas serum CTX-MMP levels decreased between cycles 4 and 5, and 5 and 6. Two- and three-year-old horses showed a decreased osteocalcin/CTX-MMP ratio between cycles 1 and 2. Moreover, 2-year-old horses showed an increase in the osteocalcin/CTX-MMP ratio between cycles 2 and 3. Sore shin formation did not significantly influence serum osteocalcin and CTX-MMP values. Serum osteocalcin and CTX-MMP are promising bone markers for monitoring exercise induced changes in equine bone metabolism.", "author" : [ { "dropping-particle" : "", "family" : "Carstanjen", "given" : "B", "non-dropping-particle" : "", "parse-names" : false, "suffix" : "" }, { "dropping-particle" : "", "family" : "Amory", "given" : "H", "non-dropping-particle" : "", "parse-names" : false, "suffix" : "" }, { "dropping-particle" : "", "family" : "Sulon", "given" : "J", "non-dropping-particle" : "", "parse-names" : false, "suffix" : "" }, { "dropping-particle" : "", "family" : "Hars", "given" : "O", "non-dropping-particle" : "", "parse-names" : false, "suffix" : "" }, { "dropping-particle" : "", "family" : "Remy", "given" : "B", "non-dropping-particle" : "", "parse-names" : false, "suffix" : "" }, { "dropping-particle" : "", "family" : "Langlois", "given" : "P", "non-dropping-particle" : "", "parse-names" : false, "suffix" : "" }, { "dropping-particle" : "", "family" : "Lepage", "given" : "O M", "non-dropping-particle" : "", "parse-names" : false, "suffix" : "" } ], "container-title" : "Journal of veterinary medicine. A, Physiology, pathology, clinical medicine", "id" : "ITEM-1", "issue" : "3", "issued" : { "date-parts" : [ [ "2005", "4" ] ] }, "page" : "114-20", "title" : "Serum osteocalcin and CTX-MMP concentration in young exercising thoroughbred racehorses.", "type" : "article-journal", "volume" : "52" }, "uris" : [ "http://www.mendeley.com/documents/?uuid=f8d4a14b-2b23-4efb-9aa5-d5a0ad3e47d0" ] } ], "mendeley" : { "manualFormatting" : "Carstanjen et al., (2005)", "previouslyFormattedCitation" : "(Carstanjen et al. 2005)"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Carstanjen et al. (2005)</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in racehorses osteocalcin level significantly increased 2-3 months after a control sample.</w:t>
      </w:r>
    </w:p>
    <w:p w:rsidR="003E44C4" w:rsidRPr="00AB6A32" w:rsidRDefault="003E44C4" w:rsidP="00AB6A32">
      <w:pPr>
        <w:tabs>
          <w:tab w:val="left" w:pos="1515"/>
        </w:tabs>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Also </w:t>
      </w:r>
      <w:r w:rsidR="004E7994" w:rsidRPr="00AB6A32">
        <w:rPr>
          <w:rFonts w:ascii="Times New Roman" w:hAnsi="Times New Roman" w:cs="Times New Roman"/>
          <w:sz w:val="20"/>
          <w:szCs w:val="20"/>
        </w:rPr>
        <w:fldChar w:fldCharType="begin" w:fldLock="1"/>
      </w:r>
      <w:r w:rsidRPr="00AB6A32">
        <w:rPr>
          <w:rFonts w:ascii="Times New Roman" w:hAnsi="Times New Roman" w:cs="Times New Roman"/>
          <w:sz w:val="20"/>
          <w:szCs w:val="20"/>
        </w:rPr>
        <w:instrText>ADDIN CSL_CITATION { "citationItems" : [ { "id" : "ITEM-1", "itemData" : { "author" : [ { "dropping-particle" : "", "family" : "Pollock", "given" : "Norman", "non-dropping-particle" : "", "parse-names" : false, "suffix" : "" } ], "container-title" : "ASBMR", "id" : "ITEM-1", "issued" : { "date-parts" : [ [ "2011" ] ] }, "title" : "Increased exercise improved bone turnover, insulin sensitivity, adiposity in obese children | Endocrinology", "type" : "article-journal" }, "uris" : [ "http://www.mendeley.com/documents/?uuid=1c71c26d-fcd4-4c75-af65-224aa39f1b4e" ] } ], "mendeley" : { "manualFormatting" : " Pollock, (2011)", "previouslyFormattedCitation" : "(Pollock 2011)" }, "properties" : { "noteIndex" : 0 }, "schema" : "https://github.com/citation-style-language/schema/raw/master/csl-citation.json" }</w:instrText>
      </w:r>
      <w:r w:rsidR="004E7994" w:rsidRPr="00AB6A32">
        <w:rPr>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Pollock (2011)</w:t>
      </w:r>
      <w:r w:rsidR="004E7994" w:rsidRPr="00AB6A32">
        <w:rPr>
          <w:rFonts w:ascii="Times New Roman" w:hAnsi="Times New Roman" w:cs="Times New Roman"/>
          <w:sz w:val="20"/>
          <w:szCs w:val="20"/>
        </w:rPr>
        <w:fldChar w:fldCharType="end"/>
      </w:r>
      <w:r w:rsidRPr="00AB6A32">
        <w:rPr>
          <w:rFonts w:ascii="Times New Roman" w:hAnsi="Times New Roman" w:cs="Times New Roman"/>
          <w:sz w:val="20"/>
          <w:szCs w:val="20"/>
        </w:rPr>
        <w:t xml:space="preserve"> reported a significant increase in total osteocalcin level after exercise. He explained that bones can possibly sense environmental stimuli such as being physically active or sedentary and dictate energy regulation accordingly.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"10.1210/jc.2008-0270", "ISSN" : "0021-972X", "PMID" : "18854399", "abstract" : "Bone has recently been described as exhibiting properties of an endocrine organ by producing osteocalcin that increases insulin sensitivity and secretion in animal models.", "author" : [ { "dropping-particle" : "", "family" : "Fern\u00e1ndez-Real", "given" : "Jose Manuel", "non-dropping-particle" : "", "parse-names" : false, "suffix" : "" }, { "dropping-particle" : "", "family" : "Izquierdo", "given" : "Mikel", "non-dropping-particle" : "", "parse-names" : false, "suffix" : "" }, { "dropping-particle" : "", "family" : "Ortega", "given" : "Francisco", "non-dropping-particle" : "", "parse-names" : false, "suffix" : "" }, { "dropping-particle" : "", "family" : "Gorostiaga", "given" : "Esteban", "non-dropping-particle" : "", "parse-names" : false, "suffix" : "" }, { "dropping-particle" : "", "family" : "G\u00f3mez-Ambrosi", "given" : "Javier", "non-dropping-particle" : "", "parse-names" : false, "suffix" : "" }, { "dropping-particle" : "", "family" : "Moreno-Navarrete", "given" : "Jose Maria", "non-dropping-particle" : "", "parse-names" : false, "suffix" : "" }, { "dropping-particle" : "", "family" : "Fr\u00fchbeck", "given" : "Gema", "non-dropping-particle" : "", "parse-names" : false, "suffix" : "" }, { "dropping-particle" : "", "family" : "Mart\u00ednez", "given" : "Cristina", "non-dropping-particle" : "", "parse-names" : false, "suffix" : "" }, { "dropping-particle" : "", "family" : "Idoate", "given" : "Fernando", "non-dropping-particle" : "", "parse-names" : false, "suffix" : "" }, { "dropping-particle" : "", "family" : "Salvador", "given" : "Javier", "non-dropping-particle" : "", "parse-names" : false, "suffix" : "" }, { "dropping-particle" : "", "family" : "Forga", "given" : "Lluis", "non-dropping-particle" : "", "parse-names" : false, "suffix" : "" }, { "dropping-particle" : "", "family" : "Ricart", "given" : "Wifredo", "non-dropping-particle" : "", "parse-names" : false, "suffix" : "" }, { "dropping-particle" : "", "family" : "Iba\u00f1ez", "given" : "Javier", "non-dropping-particle" : "", "parse-names" : false, "suffix" : "" } ], "container-title" : "The Journal of clinical endocrinology and metabolism", "id" : "ITEM-1", "issue" : "1", "issued" : { "date-parts" : [ [ "2009", "1" ] ] }, "page" : "237-45", "title" : "The relationship of serum osteocalcin concentration to insulin secretion, sensitivity, and disposal with hypocaloric diet and resistance training.", "type" : "article", "volume" : "94" }, "uris" : [ "http://www.mendeley.com/documents/?uuid=9c5e8a7c-ae88-41af-b612-79fed11253ff" ] } ], "mendeley" : { "manualFormatting" : "Fern\u00e1ndez-Real et al.,(2009)", "previouslyFormattedCitation" : "(Fern\u00e1ndez-Real et al. 2009)"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Fernández-Real et al. (2009)</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suggested that resistance exercise led to increased serum osteocalcin concentration through increasing muscle pull, producing strains on the skeleton that are perceived by bone cells. This explanation is also supported by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"10.1138/20100454", "ISSN" : "1940-8692", "author" : [ { "dropping-particle" : "", "family" : "Bonnet", "given" : "Nicolas", "non-dropping-particle" : "", "parse-names" : false, "suffix" : "" }, { "dropping-particle" : "", "family" : "Ferrari", "given" : "Serge L", "non-dropping-particle" : "", "parse-names" : false, "suffix" : "" } ], "container-title" : "IBMS BoneKEy", "id" : "ITEM-1", "issue" : "7", "issued" : { "date-parts" : [ [ "2010", "7" ] ] }, "page" : "235-248", "title" : "Exercise and the skeleton: How it works and what it really does", "type" : "article", "volume" : "7" }, "uris" : [ "http://www.mendeley.com/documents/?uuid=86a35b28-20f3-447f-8fa7-18baba88660c" ] } ], "mendeley" : { "manualFormatting" : "Bonnet &amp; Ferrari, (2010)", "previouslyFormattedCitation" : "(Bonnet and Ferrari 2010)"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Bonnet &amp; Ferrari (2010)</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exercise influences the skeleton by its direct impact on bone and by improving muscle mass and strength, which exerts further strains on the skeleton.</w:t>
      </w:r>
    </w:p>
    <w:p w:rsidR="003E44C4" w:rsidRPr="00AB6A32" w:rsidRDefault="003E44C4" w:rsidP="00AB6A32">
      <w:pPr>
        <w:snapToGrid w:val="0"/>
        <w:spacing w:after="0" w:line="240" w:lineRule="auto"/>
        <w:jc w:val="both"/>
        <w:rPr>
          <w:rFonts w:ascii="Times New Roman" w:hAnsi="Times New Roman" w:cs="Times New Roman"/>
          <w:b/>
          <w:bCs/>
          <w:i/>
          <w:iCs/>
          <w:sz w:val="20"/>
          <w:szCs w:val="20"/>
        </w:rPr>
      </w:pPr>
      <w:r w:rsidRPr="00AB6A32">
        <w:rPr>
          <w:rStyle w:val="IntenseEmphasis"/>
          <w:rFonts w:ascii="Times New Roman" w:hAnsi="Times New Roman" w:cs="Times New Roman"/>
          <w:sz w:val="20"/>
          <w:szCs w:val="20"/>
        </w:rPr>
        <w:t>In addition Exercise decreases body weight and hence decrease Leptin secretion from adipose tissue which inturn increase bone formation (increase osteocalcin) indirectly through stimulating serotonin production and release from brain stem (i.e.leptin negatively affect bone mass) (Fanxin, 2012)</w:t>
      </w:r>
      <w:r w:rsidR="002E0F84">
        <w:rPr>
          <w:rStyle w:val="IntenseEmphasis"/>
          <w:rFonts w:ascii="Times New Roman" w:hAnsi="Times New Roman" w:cs="Times New Roman"/>
          <w:sz w:val="20"/>
          <w:szCs w:val="20"/>
        </w:rPr>
        <w:t>.</w:t>
      </w:r>
    </w:p>
    <w:p w:rsidR="003E44C4" w:rsidRPr="00AB6A32" w:rsidRDefault="003E44C4" w:rsidP="00AB6A32">
      <w:pPr>
        <w:tabs>
          <w:tab w:val="left" w:pos="1515"/>
        </w:tabs>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Moreover exercise increases levels of growth hormone (GH) and insulin-like growth factor (IGF)-1, which exert anabolic effects on muscle and bone.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"10.1138/20100454", "ISSN" : "1940-8692", "author" : [ { "dropping-particle" : "", "family" : "Bonnet", "given" : "Nicolas", "non-dropping-particle" : "", "parse-names" : false, "suffix" : "" }, { "dropping-particle" : "", "family" : "Ferrari", "given" : "Serge L", "non-dropping-particle" : "", "parse-names" : false, "suffix" : "" } ], "container-title" : "IBMS BoneKEy", "id" : "ITEM-1", "issue" : "7", "issued" : { "date-parts" : [ [ "2010", "7" ] ] }, "page" : "235-248", "title" : "Exercise and the skeleton: How it works and what it really does", "type" : "article", "volume" : "7" }, "uris" : [ "http://www.mendeley.com/documents/?uuid=86a35b28-20f3-447f-8fa7-18baba88660c" ] } ], "mendeley" : { "previouslyFormattedCitation" : "(Bonnet and Ferrari 2010)"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proofErr w:type="gramStart"/>
      <w:r w:rsidRPr="00AB6A32">
        <w:rPr>
          <w:rStyle w:val="IntenseEmphasis"/>
          <w:rFonts w:ascii="Times New Roman" w:hAnsi="Times New Roman" w:cs="Times New Roman"/>
          <w:sz w:val="20"/>
          <w:szCs w:val="20"/>
        </w:rPr>
        <w:t>(Bonnet and Ferrari</w:t>
      </w:r>
      <w:r w:rsidRPr="00AB6A32">
        <w:rPr>
          <w:rStyle w:val="IntenseEmphasis"/>
          <w:rFonts w:ascii="Times New Roman" w:hAnsi="Times New Roman" w:cs="Times New Roman"/>
          <w:color w:val="FF0000"/>
          <w:sz w:val="20"/>
          <w:szCs w:val="20"/>
        </w:rPr>
        <w:t>,</w:t>
      </w:r>
      <w:r w:rsidRPr="00AB6A32">
        <w:rPr>
          <w:rStyle w:val="IntenseEmphasis"/>
          <w:rFonts w:ascii="Times New Roman" w:hAnsi="Times New Roman" w:cs="Times New Roman"/>
          <w:sz w:val="20"/>
          <w:szCs w:val="20"/>
        </w:rPr>
        <w:t xml:space="preserve"> 2010)</w:t>
      </w:r>
      <w:r w:rsidR="004E7994" w:rsidRPr="00AB6A32">
        <w:rPr>
          <w:rStyle w:val="IntenseEmphasis"/>
          <w:rFonts w:ascii="Times New Roman" w:hAnsi="Times New Roman" w:cs="Times New Roman"/>
          <w:sz w:val="20"/>
          <w:szCs w:val="20"/>
        </w:rPr>
        <w:fldChar w:fldCharType="end"/>
      </w:r>
      <w:r w:rsidRPr="00AB6A32">
        <w:rPr>
          <w:rStyle w:val="IntenseEmphasis"/>
          <w:rFonts w:ascii="Times New Roman" w:hAnsi="Times New Roman" w:cs="Times New Roman"/>
          <w:sz w:val="20"/>
          <w:szCs w:val="20"/>
        </w:rPr>
        <w:t>.</w:t>
      </w:r>
      <w:proofErr w:type="gramEnd"/>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Contrary to our finding</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"ISSN" : "1899-7562", "author" : [ { "dropping-particle" : "", "family" : "Nowak", "given" : "Alicja", "non-dropping-particle" : "", "parse-names" : false, "suffix" : "" }, { "dropping-particle" : "", "family" : "Pogrzebna", "given" : "Maria", "non-dropping-particle" : "", "parse-names" : false, "suffix" : "" }, { "dropping-particle" : "", "family" : "Celichowski", "given" : "Jan", "non-dropping-particle" : "", "parse-names" : false, "suffix" : "" }, { "dropping-particle" : "", "family" : "Pilaczy\u0144ska-Szcze\u015bniak", "given" : "\u0141ucja", "non-dropping-particle" : "", "parse-names" : false, "suffix" : "" } ], "container-title" : "Journal of Human Kinetics", "id" : "ITEM-1", "issue" : "-1", "issued" : { "date-parts" : [ [ "2008", "1", "1" ] ] }, "page" : "121-130", "title" : "Serum Osteocalcin Concentration in Treadmill-Trained Adult Male Wistar Rats", "type" : "article-journal", "volume" : "19" }, "uris" : [ "http://www.mendeley.com/documents/?uuid=42a8afbc-99d9-4f5b-a3c2-394fe97ae521" ] } ], "mendeley" : { "manualFormatting" : "Nowak et al.,(2008)", "previouslyFormattedCitation" : "(Nowak et al. 2008)"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Nowak et al. (2008)</w:t>
      </w:r>
      <w:r w:rsidR="004E7994" w:rsidRPr="00AB6A32">
        <w:rPr>
          <w:rStyle w:val="IntenseEmphasis"/>
          <w:rFonts w:ascii="Times New Roman" w:hAnsi="Times New Roman" w:cs="Times New Roman"/>
          <w:sz w:val="20"/>
          <w:szCs w:val="20"/>
        </w:rPr>
        <w:fldChar w:fldCharType="end"/>
      </w:r>
      <w:r w:rsidRPr="00AB6A32">
        <w:rPr>
          <w:rStyle w:val="IntenseEmphasis"/>
          <w:rFonts w:ascii="Times New Roman" w:hAnsi="Times New Roman" w:cs="Times New Roman"/>
          <w:sz w:val="20"/>
          <w:szCs w:val="20"/>
        </w:rPr>
        <w:t xml:space="preserve"> </w:t>
      </w:r>
      <w:r w:rsidRPr="00AB6A32">
        <w:rPr>
          <w:rFonts w:ascii="Times New Roman" w:hAnsi="Times New Roman" w:cs="Times New Roman"/>
          <w:sz w:val="20"/>
          <w:szCs w:val="20"/>
        </w:rPr>
        <w:t>reported that circulating osteocalcin levels in exercised rats trained for 4 weeks on a motor-driven treadmill significantly decreased</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in comparison to control animals.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treadmill exercise training in ovariectomized rats for 9 weeks induced insignificant change in Bone Specific Alkaline Phosphatase level (BSAP)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This finding is in consistence with</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"10.1136/bjsm.2004.013151", "ISSN" : "1473-0480", "PMID" : "16046330", "abstract" : "To evaluate the effect of strenuous exercise on bone metabolism and related hormones in elderly subjects.", "author" : [ { "dropping-particle" : "", "family" : "Ma\u00efmoun", "given" : "L", "non-dropping-particle" : "", "parse-names" : false, "suffix" : "" }, { "dropping-particle" : "", "family" : "Simar", "given" : "D", "non-dropping-particle" : "", "parse-names" : false, "suffix" : "" }, { "dropping-particle" : "", "family" : "Malatesta", "given" : "D", "non-dropping-particle" : "", "parse-names" : false, "suffix" : "" }, { "dropping-particle" : "", "family" : "Caillaud", "given" : "C", "non-dropping-particle" : "", "parse-names" : false, "suffix" : "" }, { "dropping-particle" : "", "family" : "Peruchon", "given" : "E", "non-dropping-particle" : "", "parse-names" : false, "suffix" : "" }, { "dropping-particle" : "", "family" : "Couret", "given" : "I", "non-dropping-particle" : "", "parse-names" : false, "suffix" : "" }, { "dropping-particle" : "", "family" : "Rossi", "given" : "M", "non-dropping-particle" : "", "parse-names" : false, "suffix" : "" }, { "dropping-particle" : "", "family" : "Mariano-Goulart", "given" : "D", "non-dropping-particle" : "", "parse-names" : false, "suffix" : "" } ], "container-title" : "British journal of sports medicine", "id" : "ITEM-1", "issue" : "8", "issued" : { "date-parts" : [ [ "2005", "8" ] ] }, "page" : "497-502", "title" : "Response of bone metabolism related hormones to a single session of strenuous exercise in active elderly subjects.", "type" : "article", "volume" : "39" }, "uris" : [ "http://www.mendeley.com/documents/?uuid=4c9d5a80-0e81-4876-a82f-f4d2a9386160" ] } ], "mendeley" : { "manualFormatting" : "Ma\u00efmoun et al. (2005)", "previouslyFormattedCitation" : "(Ma\u00efmoun et al. 2005)"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Maïmoun et al. (2005)</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exercise induced insignificant changes in serum BSAP and serum OC in response to a single session of strenuous exercise. Also</w:t>
      </w:r>
      <w:r w:rsidR="002E0F84">
        <w:rPr>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"URL" : "http://www.sid.ir/en/ViewPaper.asp?ID=219294&amp;vDate=NOVEMBER-DECEMBER 2012&amp;vEnd=685&amp;vJournal=JOURNAL+OF+SHAHID+SADOUGHI+UNIVERSITY+OF+MEDICAL+SCIENCES+AND+HEALTH+SERVICES&amp;vNo=5 (80)&amp;vStart=676&amp;vVolume=19&amp;vWriter=KHORSHIDI D.,MATINHOMAEE H.,AZARBAYJANI M.A.,HOSSEIN NEZHAD A.", "accessed" : { "date-parts" : [ [ "2013", "6", "28" ] ] }, "author" : [ { "dropping-particle" : "", "family" : "KHORSHIDI D.,MATINHOMAEE H.,AZARBAYJANI M.A.", "given" : "HOSSEIN NEZHAD A.", "non-dropping-particle" : "", "parse-names" : false, "suffix" : "" } ], "container-title" : "JOURNAL OF SHAHID SADOUGHI UNIVERSITY OF MEDICAL SCIENCES AND HEALTH SERVICES", "id" : "ITEM-1", "issued" : { "date-parts" : [ [ "2012" ] ] }, "page" : "19(5 (80));676-685.", "title" : "EFFECT OF ONE PERIOD OF AEROBIC EXERCISE ON SERUM LEVELS OF ALKALINE PHOSPHATASE AND OSTEOCALCIN IN PATIENTS WITH TYPE 2 DIABETES", "type" : "webpage" }, "uris" : [ "http://www.mendeley.com/documents/?uuid=71331c40-07a4-4afc-8bab-95859c937b0c" ] } ], "mendeley" : { "manualFormatting" : "Khorshidi et al.,(2012)", "previouslyFormattedCitation" : "(KHORSHIDI D.,MATINHOMAEE H.,AZARBAYJANI M.A. 2012)"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Khorshidi et al. (2012)</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reported that exercise induced insignificant change in alkaline phosphatase after a period of 10 weeks.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treadmill exercise training in ovariectomized rats for 9 weeks induced significant decrease in undercarboxylated osteocalcin level (UnOc)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lastRenderedPageBreak/>
        <w:t>According to our knowledge there is no data available on the effect of</w:t>
      </w:r>
      <w:r w:rsidRPr="00AB6A32">
        <w:rPr>
          <w:rFonts w:ascii="Times New Roman" w:hAnsi="Times New Roman" w:cs="Times New Roman"/>
          <w:sz w:val="20"/>
          <w:szCs w:val="20"/>
        </w:rPr>
        <w:tab/>
        <w:t xml:space="preserve"> long term exercise on undercarboxylated osteocalcin, all available data study the change in the level of UnOc post-acute exercise (i.e. after a single bout of exercise) and they all report a significantly increased UnOc level shortly after acute exercise</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"10.1007/s00198-010-1370-7", "ISSN" : "1433-2965", "PMID" : "20734028", "abstract" : "The purpose of this study was to examine if the reduction in glucose post-exercise is mediated by undercarboxylated osteocalcin (unOC). Obese men were randomly assigned to do aerobic or power exercises. The change in unOC levels was correlated with the change in glucose levels post-exercise. The reduction in glucose post-acute exercise may be partly related to increased unOC.", "author" : [ { "dropping-particle" : "", "family" : "Levinger", "given" : "I", "non-dropping-particle" : "", "parse-names" : false, "suffix" : "" }, { "dropping-particle" : "", "family" : "Zebaze", "given" : "R", "non-dropping-particle" : "", "parse-names" : false, "suffix" : "" }, { "dropping-particle" : "", "family" : "Jerums", "given" : "G", "non-dropping-particle" : "", "parse-names" : false, "suffix" : "" }, { "dropping-particle" : "", "family" : "Hare", "given" : "D L", "non-dropping-particle" : "", "parse-names" : false, "suffix" : "" }, { "dropping-particle" : "", "family" : "Selig", "given" : "S", "non-dropping-particle" : "", "parse-names" : false, "suffix" : "" }, { "dropping-particle" : "", "family" : "Seeman", "given" : "E", "non-dropping-particle" : "", "parse-names" : false, "suffix" : "" } ], "container-title" : "Osteoporosis international : a journal established as result of cooperation between the European Foundation for Osteoporosis and the National Osteoporosis Foundation of the USA", "id" : "ITEM-1", "issue" : "5", "issued" : { "date-parts" : [ [ "2011", "5" ] ] }, "page" : "1621-6", "title" : "The effect of acute exercise on undercarboxylated osteocalcin in obese men.", "type" : "article", "volume" : "22" }, "uris" : [ "http://www.mendeley.com/documents/?uuid=c0503522-e8ec-43e5-b844-018ede53387a" ] } ], "mendeley" : { "manualFormatting" : "Levinger et al., (2011)", "previouslyFormattedCitation" : "(Levinger et al. 2011)"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Levinger et al., 2011)</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This apparent conflict with the results of</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the present study may be explained that our results are on long term exercise, while the available studies are on a single session of exercise. Moreover our results don't reflect the short term effect of our last exercise cession because we did the blood sampling 36h after the last cession which is relatively long duration.</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treadmill exercise training in ovariectomized rats for 9 weeks induced a significant decrease in Tartrate Resistant Acid Phosphatase (TRAP)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accordance with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"10.1152/japplphysiol.00333.2011", "ISSN" : "1522-1601", "PMID" : "21868687", "abstract" : "The time course of changes in plasma bone turnover markers following an acute bout of resistance training (RT) or plyometrics (PLY) has not been well characterized. This study is the first to compare the acute response of bone formation and resorption markers to a single bout of RT or PLY. Using a partially randomized, cross-over study design, 12 recreationally active men, aged 43 \u00b1 5 yr, each completed four exercise trials: RT (Fed/Fasted) and PLY (Fed/Fasted). In addition to the RT and PLY trials, 5 of the original 12 participants also completed a fasted, no-exercise control trial to examine time-of-day variation. For each trial, blood was drawn immediately before exercise (PRE), immediately following exercise, and 15 min, 30 min, 1 h, 2 h, and 24 h following PRE for determination of plasma bone-specific alkaline phosphatase (BAP), osteocalcin (OC), tartrate-resistant acid phosphatase 5b (TRAP5b), COOH-terminal telopeptide of type I collagen (CTX), testosterone, parathyroid hormone, and cortisol. A one-factor repeated-measures ANOVA was performed for each trial to detect changes in bone markers during the 2 h following RT or PLY. TRAP5b transiently decreased during the 2 h following all exercise trials (main effect for time, P &lt; 0.05), but returned to PRE concentrations 2 h postexercise. BAP, CTX, and OC remained unchanged, except for reductions in BAP and CTX following PLY-Fasted and PLY-Fed, respectively. During the control trial, BAP decreased, while TRAP5b, CTX, and OC remained unchanged. In general, plasma hormone concentrations decreased during the 2 h following PLY or RT, and cumulative decreases in TRAP5b during the 2 h following exercise were positively correlated with cumulative decreases in parathyroid hormone. The results of the present study suggest that the timing of the measurement of bone turnover markers relative to the last exercise bout is important for detection of exercise-associated changes in bone turnover markers, as the markers returned to preexercise values within 2 h of RT or PLY.", "author" : [ { "dropping-particle" : "", "family" : "Rogers", "given" : "Robert S", "non-dropping-particle" : "", "parse-names" : false, "suffix" : "" }, { "dropping-particle" : "", "family" : "Dawson", "given" : "Andrew W", "non-dropping-particle" : "", "parse-names" : false, "suffix" : "" }, { "dropping-particle" : "", "family" : "Wang", "given" : "Ze", "non-dropping-particle" : "", "parse-names" : false, "suffix" : "" }, { "dropping-particle" : "", "family" : "Thyfault", "given" : "John P", "non-dropping-particle" : "", "parse-names" : false, "suffix" : "" }, { "dropping-particle" : "", "family" : "Hinton", "given" : "Pamela S", "non-dropping-particle" : "", "parse-names" : false, "suffix" : "" } ], "container-title" : "Journal of applied physiology (Bethesda, Md. : 1985)", "id" : "ITEM-1", "issue" : "5", "issued" : { "date-parts" : [ [ "2011", "11", "1" ] ] }, "page" : "1353-60", "title" : "Acute response of plasma markers of bone turnover to a single bout of resistance training or plyometrics.", "type" : "article-journal", "volume" : "111" }, "uris" : [ "http://www.mendeley.com/documents/?uuid=0b77ef03-3bbc-4b6d-81e2-35beba2321c7" ] } ], "mendeley" : { "manualFormatting" : "Rogers et al. (2011)", "previouslyFormattedCitation" : "(Rogers et al. 2011)"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Rogers et al. (2011)</w:t>
      </w:r>
      <w:r w:rsidR="004E7994" w:rsidRPr="00AB6A32">
        <w:rPr>
          <w:rStyle w:val="IntenseEmphasis"/>
          <w:rFonts w:ascii="Times New Roman" w:hAnsi="Times New Roman" w:cs="Times New Roman"/>
          <w:sz w:val="20"/>
          <w:szCs w:val="20"/>
        </w:rPr>
        <w:fldChar w:fldCharType="end"/>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who observed a significant transient decline in the bone resorption marker TRAP5b during the 2 h following a single bout of exercise.</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Also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"author" : [ { "dropping-particle" : "", "family" : "Whipple", "given" : "TJ", "non-dropping-particle" : "", "parse-names" : false, "suffix" : "" }, { "dropping-particle" : "", "family" : "Le", "given" : "BH", "non-dropping-particle" : "", "parse-names" : false, "suffix" : "" }, { "dropping-particle" : "", "family" : "Demers", "given" : "LM", "non-dropping-particle" : "", "parse-names" : false, "suffix" : "" }, { "dropping-particle" : "", "family" : "Chinchilli", "given" : "VM", "non-dropping-particle" : "", "parse-names" : false, "suffix" : "" }, { "dropping-particle" : "", "family" : "Petit", "given" : "MA", "non-dropping-particle" : "", "parse-names" : false, "suffix" : "" }, { "dropping-particle" : "", "family" : "Sharkey", "given" : "N", "non-dropping-particle" : "", "parse-names" : false, "suffix" : "" }, { "dropping-particle" : "", "family" : "Williams", "given" : "NI.", "non-dropping-particle" : "", "parse-names" : false, "suffix" : "" } ], "id" : "ITEM-1", "issued" : { "date-parts" : [ [ "2004" ] ] }, "page" : ";25(7):496-501", "publisher" : "Int J Sports Med.", "title" : "Acute effects of moderate intensity resistance exercise on bone cell activity.", "type" : "article" }, "uris" : [ "http://www.mendeley.com/documents/?uuid=4e2d1f5d-ca24-41b9-b96f-8df43f5ba6a4" ] } ], "mendeley" : { "manualFormatting" : "Whipple et al.,(2004)", "previouslyFormattedCitation" : "(Whipple et al. 2004)"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Whipple et al. (2004)</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observed that moderate intensity resistance training acutely reduces bone resorption for at least 8 hours post exercise in untrained young men then markers return to baseline within 24 hrs.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In contrast to our results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"10.1016/j.metabol.2009.06.035", "ISSN" : "1532-8600", "PMID" : "19765782", "abstract" : "The benefits of exercise on glucose metabolism, inflammation, and serum tartrate-resistant acid phosphatase 5a (TRACP 5a) protein levels in Chinese male adolescents have not been extensively analyzed. Therefore, we examined the effects of a 12-week exercise program on weight, adiposity, insulin sensitivity (IS), and inflammatory marker expression, including the novel macrophage marker TRACP 5a, in obese Chinese male adolescents. A total of 106 male adolescents were recruited from the Army Academy in Taiwan and classified as lean (body mass index [BMI], 20.9 +/- 0.2 kg/m(2)) or obese (BMI, 27.7 +/- 0.2 kg/m(2)). Body composition, IS, and inflammatory markers were measured in both groups at baseline and in the obese group after completion of a 12-week exercise program. Body weight, BMI, waist circumference, body fat mass and percentage, homeostasis model assessment for insulin resistance, fasting plasma glucose, fasting serum insulin, 2-hour postchallenge plasma glucose concentration, interleukin-6, C-reactive protein, and serum TRACP 5a were significantly higher in the obese group as compared with the lean group. In addition, serum TRACP 5a was positively correlated with body mass and fat indices. After completion of the exercise program, significant reductions in all anthropometric, metabolic, and inflammatory indicators, with the exception of serum TRACP 5a were observed. Although the obese participants remained obese, exercise training significantly improved IS and reduced interleukin-6 and C-reactive protein. Tartrate-resistant acid phosphatase 5a remained unaffected by exercise training, consistent with our hypothesis that it is associated with increased adipose tissue in obese individuals.", "author" : [ { "dropping-particle" : "", "family" : "Shih", "given" : "Kuang-Chung", "non-dropping-particle" : "", "parse-names" : false, "suffix" : "" }, { "dropping-particle" : "", "family" : "Janckila", "given" : "Anthony J", "non-dropping-particle" : "", "parse-names" : false, "suffix" : "" }, { "dropping-particle" : "", "family" : "Kwok", "given" : "Ching-Fai", "non-dropping-particle" : "", "parse-names" : false, "suffix" : "" }, { "dropping-particle" : "", "family" : "Ho", "given" : "Low-Tone", "non-dropping-particle" : "", "parse-names" : false, "suffix" : "" }, { "dropping-particle" : "", "family" : "Chou", "given" : "Yu-Ching", "non-dropping-particle" : "", "parse-names" : false, "suffix" : "" }, { "dropping-particle" : "", "family" : "Chao", "given" : "Tsu-Yi", "non-dropping-particle" : "", "parse-names" : false, "suffix" : "" } ], "container-title" : "Metabolism: clinical and experimental", "id" : "ITEM-1", "issue" : "1", "issued" : { "date-parts" : [ [ "2010", "1" ] ] }, "page" : "144-51", "title" : "Effects of exercise on insulin sensitivity, inflammatory cytokines, and serum tartrate-resistant acid phosphatase 5a in obese Chinese male adolescents.", "type" : "article-journal", "volume" : "59" }, "uris" : [ "http://www.mendeley.com/documents/?uuid=a61218c7-5d37-4c1e-9aad-49d20e87abd8" ] } ], "mendeley" : { "manualFormatting" : "Shih et al.,(2010)", "previouslyFormattedCitation" : "(Shih et al. 2010)"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Shih et al. (2010)</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reported that a 12-week exercise program in obese Chinese male adolescents didn’t affect Tartrate-resistant acid phosphatase 5a level. Also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"author" : [ { "dropping-particle" : "", "family" : "Pollock", "given" : "Norman", "non-dropping-particle" : "", "parse-names" : false, "suffix" : "" } ], "container-title" : "ASBMR", "id" : "ITEM-1", "issued" : { "date-parts" : [ [ "2011" ] ] }, "title" : "Increased exercise improved bone turnover, insulin sensitivity, adiposity in obese children | Endocrinology", "type" : "article-journal" }, "uris" : [ "http://www.mendeley.com/documents/?uuid=1c71c26d-fcd4-4c75-af65-224aa39f1b4e" ] } ], "mendeley" : { "manualFormatting" : "Pollock, (2011)", "previouslyFormattedCitation" : "(Pollock 2011)"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Pollock (2011)</w:t>
      </w:r>
      <w:r w:rsidR="004E7994" w:rsidRPr="00AB6A32">
        <w:rPr>
          <w:rStyle w:val="IntenseEmphasis"/>
          <w:rFonts w:ascii="Times New Roman" w:hAnsi="Times New Roman" w:cs="Times New Roman"/>
          <w:sz w:val="20"/>
          <w:szCs w:val="20"/>
        </w:rPr>
        <w:fldChar w:fldCharType="end"/>
      </w:r>
      <w:r w:rsidRPr="00AB6A32">
        <w:rPr>
          <w:rStyle w:val="IntenseEmphasis"/>
          <w:rFonts w:ascii="Times New Roman" w:hAnsi="Times New Roman" w:cs="Times New Roman"/>
          <w:sz w:val="20"/>
          <w:szCs w:val="20"/>
        </w:rPr>
        <w:t xml:space="preserve"> </w:t>
      </w:r>
      <w:r w:rsidRPr="00AB6A32">
        <w:rPr>
          <w:rFonts w:ascii="Times New Roman" w:hAnsi="Times New Roman" w:cs="Times New Roman"/>
          <w:sz w:val="20"/>
          <w:szCs w:val="20"/>
        </w:rPr>
        <w:t>reported that there was insignificant effect of exercise on bone resorption</w:t>
      </w:r>
      <w:r w:rsidR="002E0F84">
        <w:rPr>
          <w:rFonts w:ascii="Times New Roman" w:hAnsi="Times New Roman" w:cs="Times New Roman"/>
          <w:sz w:val="20"/>
          <w:szCs w:val="20"/>
        </w:rPr>
        <w:t>.</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vitamin D supplementation in ovariectomized rats for 9 weeks induced insignificant change in Osteocalcin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accordance with </w:t>
      </w:r>
      <w:r w:rsidRPr="00AB6A32">
        <w:rPr>
          <w:rStyle w:val="IntenseEmphasis"/>
          <w:rFonts w:ascii="Times New Roman" w:hAnsi="Times New Roman" w:cs="Times New Roman"/>
          <w:sz w:val="20"/>
          <w:szCs w:val="20"/>
        </w:rPr>
        <w:t>David et al. (2000)</w:t>
      </w:r>
      <w:r w:rsidRPr="00AB6A32">
        <w:rPr>
          <w:rFonts w:ascii="Times New Roman" w:hAnsi="Times New Roman" w:cs="Times New Roman"/>
          <w:sz w:val="20"/>
          <w:szCs w:val="20"/>
        </w:rPr>
        <w:t> who reported that vitamin D supplementation for 6 months in healthy postmenopausal women (under the age of 70 years) with normal vitamin D levels, induced insignificant changes in osteocalcin level at 3 months or 6 months. Also</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"10.1359/jbmr.060302", "ISSN" : "0884-0431", "PMID" : "16753014", "abstract" : "UNLABELLED: The effect of vitamin D supplementation on bone mineral augmentation in 212 adolescent girls with adequate calcium intake was studied in a randomized placebo-controlled setting. Bone mineral augmentation determined by DXA increased with supplementation both in the femur and the lumbar vertebrae in a dose-responsive manner. Supplementation decreased the urinary excretion of resorption markers, but had no impact on formation markers.\n\nINTRODUCTION: Adequate vitamin D intake protects the elderly against osteoporosis, but there exists no indisputable evidence that vitamin D supplementation would benefit bone mineral augmentation. The aim of this 1-year study was to determine in a randomized double-blinded trial the effect of 5 and 10 microg vitamin D3 supplementation on bone mineral augmentation in adolescent girls with adequate dietary calcium intake.\n\nMATERIALS AND METHODS: Altogether, 228 girls (mean age, 11.4 +/- 0.4 years) participated. Their BMC was measured by DXA from the femur and lumbar spine. Serum 25-hydroxyvitamin D [S-25(OH)D], intact PTH (S-iPTH), osteocalcin (S-OC), and urinary pyridinoline (U-Pyr) and deoxypyridinoline (U-Dpyr) were measured. Statistical analysis was performed both with the intention-to-treat (IT) and compliance-based (CB) method.\n\nRESULTS: In the CB analysis, vitamin D supplementation increased femoral BMC augmentation by 14.3% with 5 microg and by 17.2% with 10 microg compared with the placebo group (ANCOVA, p = 0.012). A dose-response effect was observed in the vertebrae (ANCOVA, p = 0.039), although only with the highest dose. The mean concentration of S-25(OH)D increased (p &lt; 0.001) in the 5-microg group by 5.7 +/- 15.7 nM and in the 10-microg group by 12.4 +/- 13.7 nM, whereas it decreased by 6.7 +/- 11.3 nM in the placebo group. Supplementation had no effect on S-iPTH or S-OC, but it decreased U-DPyr (p = 0.042).\n\nCONCLUSIONS: Bone mineral augmentation in the femur was 14.3% and 17.2% higher in the groups receiving 5 and 10 microg of vitamin D, respectively, compared with the placebo group, but only 10 mug increased lumbar spine BMC augmentation significantly. Vitamin D supplementation decreased the concentration of bone resorption markers, but had no impact on bone formation markers, thus explaining increased bone mineral augmentation. However, the positive effects were noted with the CB method but not with IT.", "author" : [ { "dropping-particle" : "", "family" : "Viljakainen", "given" : "Heli T", "non-dropping-particle" : "", "parse-names" : false, "suffix" : "" }, { "dropping-particle" : "", "family" : "Natri", "given" : "Anna-Mari", "non-dropping-particle" : "", "parse-names" : false, "suffix" : "" }, { "dropping-particle" : "", "family" : "K\u00e4rkk\u00e4inen", "given" : "Merja", "non-dropping-particle" : "", "parse-names" : false, "suffix" : "" }, { "dropping-particle" : "", "family" : "Huttunen", "given" : "Minna M", "non-dropping-particle" : "", "parse-names" : false, "suffix" : "" }, { "dropping-particle" : "", "family" : "Palssa", "given" : "Anette", "non-dropping-particle" : "", "parse-names" : false, "suffix" : "" }, { "dropping-particle" : "", "family" : "Jakobsen", "given" : "Jette", "non-dropping-particle" : "", "parse-names" : false, "suffix" : "" }, { "dropping-particle" : "", "family" : "Cashman", "given" : "Kevin D", "non-dropping-particle" : "", "parse-names" : false, "suffix" : "" }, { "dropping-particle" : "", "family" : "M\u00f8lgaard", "given" : "Christian", "non-dropping-particle" : "", "parse-names" : false, "suffix" : "" }, { "dropping-particle" : "", "family" : "Lamberg-Allardt", "given" : "Christel", "non-dropping-particle" : "", "parse-names" : false, "suffix" : "" } ], "container-title" : "Journal of bone and mineral research : the official journal of the American Society for Bone and Mineral Research", "id" : "ITEM-1", "issue" : "6", "issued" : { "date-parts" : [ [ "2006", "6" ] ] }, "page" : "836-44", "title" : "A positive dose-response effect of vitamin D supplementation on site-specific bone mineral augmentation in adolescent girls: a double-blinded randomized placebo-controlled 1-year intervention.", "type" : "article-journal", "volume" : "21" }, "uris" : [ "http://www.mendeley.com/documents/?uuid=86c3847b-c719-4d8d-87ed-d599a10e4195" ] } ], "mendeley" : { "manualFormatting" : "Viljakainen et al. (2006)", "previouslyFormattedCitation" : "(Viljakainen et al. 2006)"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Viljakainen et al.</w:t>
      </w:r>
      <w:r w:rsidR="002E0F84">
        <w:rPr>
          <w:rStyle w:val="IntenseEmphasis"/>
          <w:rFonts w:ascii="Times New Roman" w:hAnsi="Times New Roman" w:cs="Times New Roman"/>
          <w:noProof/>
          <w:sz w:val="20"/>
          <w:szCs w:val="20"/>
        </w:rPr>
        <w:t xml:space="preserve"> </w:t>
      </w:r>
      <w:r w:rsidRPr="00AB6A32">
        <w:rPr>
          <w:rStyle w:val="IntenseEmphasis"/>
          <w:rFonts w:ascii="Times New Roman" w:hAnsi="Times New Roman" w:cs="Times New Roman"/>
          <w:noProof/>
          <w:sz w:val="20"/>
          <w:szCs w:val="20"/>
        </w:rPr>
        <w:t>(2006)</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stated that vitamin D supplementation in adolescent girls had no effect on serum osteocalcin.</w:t>
      </w:r>
    </w:p>
    <w:p w:rsidR="003E44C4" w:rsidRPr="00AB6A32" w:rsidRDefault="003E44C4" w:rsidP="00AB6A32">
      <w:pPr>
        <w:snapToGrid w:val="0"/>
        <w:spacing w:after="0" w:line="240" w:lineRule="auto"/>
        <w:jc w:val="both"/>
        <w:rPr>
          <w:rFonts w:ascii="Times New Roman" w:hAnsi="Times New Roman" w:cs="Times New Roman"/>
          <w:sz w:val="20"/>
          <w:szCs w:val="20"/>
        </w:rPr>
      </w:pPr>
      <w:r w:rsidRPr="00AB6A32">
        <w:rPr>
          <w:rStyle w:val="IntenseEmphasis"/>
          <w:rFonts w:ascii="Times New Roman" w:hAnsi="Times New Roman" w:cs="Times New Roman"/>
          <w:sz w:val="20"/>
          <w:szCs w:val="20"/>
        </w:rPr>
        <w:t>Ambroszkiewicz et al. (2009)</w:t>
      </w:r>
      <w:r w:rsidRPr="00AB6A32">
        <w:rPr>
          <w:rFonts w:ascii="Times New Roman" w:hAnsi="Times New Roman" w:cs="Times New Roman"/>
          <w:sz w:val="20"/>
          <w:szCs w:val="20"/>
        </w:rPr>
        <w:t xml:space="preserve"> reported that vitamin D and calcium supplementation for 4-months in children on vegetarian diet induced insignificant differences in osteocalcin level.</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In contrast to the present study </w:t>
      </w:r>
      <w:r w:rsidRPr="00AB6A32">
        <w:rPr>
          <w:rStyle w:val="IntenseEmphasis"/>
          <w:rFonts w:ascii="Times New Roman" w:hAnsi="Times New Roman" w:cs="Times New Roman"/>
          <w:sz w:val="20"/>
          <w:szCs w:val="20"/>
        </w:rPr>
        <w:t>Herrmann et al</w:t>
      </w:r>
      <w:r w:rsidRPr="00AB6A32">
        <w:rPr>
          <w:rStyle w:val="IntenseEmphasis"/>
          <w:rFonts w:ascii="Times New Roman" w:hAnsi="Times New Roman" w:cs="Times New Roman"/>
          <w:color w:val="FF0000"/>
          <w:sz w:val="20"/>
          <w:szCs w:val="20"/>
        </w:rPr>
        <w:t>.</w:t>
      </w:r>
      <w:r w:rsidRPr="00AB6A32">
        <w:rPr>
          <w:rStyle w:val="IntenseEmphasis"/>
          <w:rFonts w:ascii="Times New Roman" w:hAnsi="Times New Roman" w:cs="Times New Roman"/>
          <w:sz w:val="20"/>
          <w:szCs w:val="20"/>
        </w:rPr>
        <w:t xml:space="preserve"> (2013)</w:t>
      </w:r>
      <w:r w:rsidRPr="00AB6A32">
        <w:rPr>
          <w:rFonts w:ascii="Times New Roman" w:hAnsi="Times New Roman" w:cs="Times New Roman"/>
          <w:sz w:val="20"/>
          <w:szCs w:val="20"/>
        </w:rPr>
        <w:t xml:space="preserve"> reported that one year of supplementation with vitamin D3 to healthy subjects significantly decreased bone formation markers osteocalcin and BSAP.</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lastRenderedPageBreak/>
        <w:t>In the present study vitamin D supplementation in ovariectomized rats for 9 weeks induced insignificant change in Bone Specific Alkaline Phosphatase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This finding is in Concurrence with</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"ISSN" : "1462-0324", "PMID" : "11085807", "abstract" : "As there is little evidence of the efficacy of 25-hydroxyvitamin D3 (25-HCC) in reducing the risk of new fractures in osteoporotic women, we performed an open, prospective study with a follow-up of 1 yr in 58 females over 65 yr of age with osteoporosis and proximal femoral fractures. The patient group received 1 g calcium per day and 10 640 IU 25-HCC per week, while the control group received 1 g calcium daily. Biochemical markers of bone remodelling, serum calcium and parathyroid hormone were determined. Bone mineral density was assessed in the lumbar spine and in the proximal femur by two methods. After 1 yr of treatment, 25-HCC corrected secondary hyperparathyroidism, increased urine calcium excretion, and increased bone mass in the femoral neck, but had no effect upon the appearance of new fractures.", "author" : [ { "dropping-particle" : "", "family" : "Sosa", "given" : "M", "non-dropping-particle" : "", "parse-names" : false, "suffix" : "" }, { "dropping-particle" : "", "family" : "L\u00e1inez", "given" : "P", "non-dropping-particle" : "", "parse-names" : false, "suffix" : "" }, { "dropping-particle" : "", "family" : "Arbelo", "given" : "a", "non-dropping-particle" : "", "parse-names" : false, "suffix" : "" }, { "dropping-particle" : "", "family" : "Navarro", "given" : "M C", "non-dropping-particle" : "", "parse-names" : false, "suffix" : "" } ], "container-title" : "Rheumatology (Oxford, England)", "id" : "ITEM-1", "issue" : "11", "issued" : { "date-parts" : [ [ "2000", "11" ] ] }, "page" : "1263-8", "title" : "The effect of 25-dihydroxyvitamin D on the bone mineral metabolism of elderly women with hip fracture.", "type" : "article", "volume" : "39" }, "uris" : [ "http://www.mendeley.com/documents/?uuid=486d7a10-6ec3-4e19-ab08-5a7488ca498b" ] } ], "mendeley" : { "manualFormatting" : "Sosa et al.,(2000)", "previouslyFormattedCitation" : "(Sosa et al. 2000b)"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Sosa et al., (2000)</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25hydroxy cholecalciferol treatment in postmenopausal osteoporotic females with femoral fractures revealed insignificant change in Alkaline Phosphatase.</w:t>
      </w:r>
      <w:r w:rsidRPr="00AB6A32">
        <w:rPr>
          <w:rStyle w:val="IntenseEmphasis"/>
          <w:rFonts w:ascii="Times New Roman" w:hAnsi="Times New Roman" w:cs="Times New Roman"/>
          <w:sz w:val="20"/>
          <w:szCs w:val="20"/>
        </w:rPr>
        <w:t xml:space="preserve"> </w:t>
      </w:r>
      <w:r w:rsidRPr="00AB6A32">
        <w:rPr>
          <w:rFonts w:ascii="Times New Roman" w:hAnsi="Times New Roman" w:cs="Times New Roman"/>
          <w:sz w:val="20"/>
          <w:szCs w:val="20"/>
        </w:rPr>
        <w:t>Similarly</w:t>
      </w:r>
      <w:r w:rsidR="002E0F84">
        <w:rPr>
          <w:rFonts w:ascii="Times New Roman" w:hAnsi="Times New Roman" w:cs="Times New Roman"/>
          <w:sz w:val="20"/>
          <w:szCs w:val="20"/>
        </w:rPr>
        <w:t xml:space="preserve"> </w:t>
      </w:r>
      <w:r w:rsidRPr="00AB6A32">
        <w:rPr>
          <w:rStyle w:val="IntenseEmphasis"/>
          <w:rFonts w:ascii="Times New Roman" w:hAnsi="Times New Roman" w:cs="Times New Roman"/>
          <w:sz w:val="20"/>
          <w:szCs w:val="20"/>
        </w:rPr>
        <w:t>Barnes et al. (2006)</w:t>
      </w:r>
      <w:r w:rsidRPr="00AB6A32">
        <w:rPr>
          <w:rFonts w:ascii="Times New Roman" w:hAnsi="Times New Roman" w:cs="Times New Roman"/>
          <w:sz w:val="20"/>
          <w:szCs w:val="20"/>
        </w:rPr>
        <w:t xml:space="preserve"> stated that 8 weeks of vitamin D Supplementation in young adults, Induced insignificant changes on bone turnover markers.</w:t>
      </w:r>
    </w:p>
    <w:p w:rsidR="003E44C4" w:rsidRPr="00AB6A32" w:rsidRDefault="003E44C4" w:rsidP="00AB6A32">
      <w:pPr>
        <w:snapToGrid w:val="0"/>
        <w:spacing w:after="0" w:line="240" w:lineRule="auto"/>
        <w:jc w:val="both"/>
        <w:rPr>
          <w:rFonts w:ascii="Times New Roman" w:hAnsi="Times New Roman" w:cs="Times New Roman"/>
          <w:sz w:val="20"/>
          <w:szCs w:val="20"/>
        </w:rPr>
      </w:pPr>
      <w:r w:rsidRPr="00AB6A32">
        <w:rPr>
          <w:rStyle w:val="IntenseEmphasis"/>
          <w:rFonts w:ascii="Times New Roman" w:hAnsi="Times New Roman" w:cs="Times New Roman"/>
          <w:sz w:val="20"/>
          <w:szCs w:val="20"/>
        </w:rPr>
        <w:t>Tanzy and Camacho (2011)</w:t>
      </w:r>
      <w:r w:rsidRPr="00AB6A32">
        <w:rPr>
          <w:rFonts w:ascii="Times New Roman" w:hAnsi="Times New Roman" w:cs="Times New Roman"/>
          <w:sz w:val="20"/>
          <w:szCs w:val="20"/>
          <w:shd w:val="clear" w:color="auto" w:fill="FFFFFF"/>
        </w:rPr>
        <w:t xml:space="preserve"> reported that correction of vitamin D deficiency </w:t>
      </w:r>
      <w:r w:rsidRPr="00AB6A32">
        <w:rPr>
          <w:rFonts w:ascii="Times New Roman" w:hAnsi="Times New Roman" w:cs="Times New Roman"/>
          <w:sz w:val="20"/>
          <w:szCs w:val="20"/>
        </w:rPr>
        <w:t>in postmenopausal women with osteopenia</w:t>
      </w:r>
      <w:r w:rsidRPr="00AB6A32">
        <w:rPr>
          <w:rFonts w:ascii="Times New Roman" w:hAnsi="Times New Roman" w:cs="Times New Roman"/>
          <w:sz w:val="20"/>
          <w:szCs w:val="20"/>
          <w:shd w:val="clear" w:color="auto" w:fill="FFFFFF"/>
        </w:rPr>
        <w:t xml:space="preserve"> and osteoporosis </w:t>
      </w:r>
      <w:r w:rsidRPr="00AB6A32">
        <w:rPr>
          <w:rFonts w:ascii="Times New Roman" w:hAnsi="Times New Roman" w:cs="Times New Roman"/>
          <w:sz w:val="20"/>
          <w:szCs w:val="20"/>
        </w:rPr>
        <w:t>with high-dose</w:t>
      </w:r>
      <w:r w:rsidRPr="00AB6A32">
        <w:rPr>
          <w:rFonts w:ascii="Times New Roman" w:hAnsi="Times New Roman" w:cs="Times New Roman"/>
          <w:sz w:val="20"/>
          <w:szCs w:val="20"/>
          <w:shd w:val="clear" w:color="auto" w:fill="FFFFFF"/>
        </w:rPr>
        <w:t xml:space="preserve"> vitamin D supplementation for 1 year lead to a significant decrease in BSAP. </w:t>
      </w:r>
      <w:r w:rsidRPr="00AB6A32">
        <w:rPr>
          <w:rFonts w:ascii="Times New Roman" w:hAnsi="Times New Roman" w:cs="Times New Roman"/>
          <w:sz w:val="20"/>
          <w:szCs w:val="20"/>
        </w:rPr>
        <w:t>The contradiction with the present study may be explained by the differences in dosage and duration of the study.</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vitamin D supplementation in ovariectomized rats for 9 weeks induced insignificant change in Undercarboxylated Osteocalcin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hint="eastAsia"/>
          <w:sz w:val="20"/>
          <w:szCs w:val="20"/>
          <w:lang w:eastAsia="zh-CN"/>
        </w:rPr>
      </w:pPr>
      <w:r w:rsidRPr="00AB6A32">
        <w:rPr>
          <w:rFonts w:ascii="Times New Roman" w:hAnsi="Times New Roman" w:cs="Times New Roman"/>
          <w:sz w:val="20"/>
          <w:szCs w:val="20"/>
        </w:rPr>
        <w:t xml:space="preserve">This finding is in accordance with </w:t>
      </w:r>
      <w:r w:rsidR="004E7994" w:rsidRPr="00AB6A32">
        <w:rPr>
          <w:rFonts w:ascii="Times New Roman" w:hAnsi="Times New Roman" w:cs="Times New Roman"/>
          <w:sz w:val="20"/>
          <w:szCs w:val="20"/>
        </w:rPr>
        <w:fldChar w:fldCharType="begin" w:fldLock="1"/>
      </w:r>
      <w:r w:rsidRPr="00AB6A32">
        <w:rPr>
          <w:rFonts w:ascii="Times New Roman" w:hAnsi="Times New Roman" w:cs="Times New Roman"/>
          <w:sz w:val="20"/>
          <w:szCs w:val="20"/>
        </w:rPr>
        <w:instrText>ADDIN CSL_CITATION { "citationItems" : [ { "id" : "ITEM-1", "itemData" : { "author" : [ { "dropping-particle" : "", "family" : "Takahashi", "given" : "", "non-dropping-particle" : "", "parse-names" : false, "suffix" : "" }, { "dropping-particle" : "", "family" : "Naitou", "given" : "", "non-dropping-particle" : "", "parse-names" : false, "suffix" : "" }, { "dropping-particle" : "", "family" : "Ohishi", "given" : "", "non-dropping-particle" : "", "parse-names" : false, "suffix" : "" }, { "dropping-particle" : "", "family" : "Kushida", "given" : "", "non-dropping-particle" : "", "parse-names" : false, "suffix" : "" }, { "dropping-particle" : "", "family" : "Miura", "given" : "", "non-dropping-particle" : "", "parse-names" : false, "suffix" : "" } ], "id" : "ITEM-1", "issued" : { "date-parts" : [ [ "2001" ] ] }, "page" : "Clin Endocrinol (Oxf). Feb;54(2):219-24.", "title" : "Effect of vitamin K and/or D on undercarboxylated and intact osteocalcin in osteoporotic patients with vertebral or hip fractures.", "type" : "article" }, "uris" : [ "http://www.mendeley.com/documents/?uuid=4565d1d0-d08e-4578-a2b6-1a32320dcd7a" ] } ], "mendeley" : { "manualFormatting" : "Takahashi et al. (2001)", "previouslyFormattedCitation" : "(Takahashi et al. 2001)" }, "properties" : { "noteIndex" : 0 }, "schema" : "https://github.com/citation-style-language/schema/raw/master/csl-citation.json" }</w:instrText>
      </w:r>
      <w:r w:rsidR="004E7994" w:rsidRPr="00AB6A32">
        <w:rPr>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Takahashi et al. (2001)</w:t>
      </w:r>
      <w:r w:rsidR="004E7994" w:rsidRPr="00AB6A32">
        <w:rPr>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4 weeks of vitamin D supplementation in premenopausal, postmenopausal healthy females and osteoporotic patients with vertebral fractures or hip fractures; did not change undercarboxylated osteocalcin while intact OC tended to increase slightly but not significantly. This is probably because vitamin D induces osteocalcin gene expression while it has no role in the post translational modification (i.e. carboxylation of osteocalcin</w:t>
      </w:r>
      <w:r w:rsidR="002E0F84">
        <w:rPr>
          <w:rFonts w:ascii="Times New Roman" w:hAnsi="Times New Roman" w:cs="Times New Roman"/>
          <w:sz w:val="20"/>
          <w:szCs w:val="20"/>
        </w:rPr>
        <w:t>)</w:t>
      </w:r>
      <w:r w:rsidRPr="00AB6A32">
        <w:rPr>
          <w:rFonts w:ascii="Times New Roman" w:hAnsi="Times New Roman" w:cs="Times New Roman"/>
          <w:sz w:val="20"/>
          <w:szCs w:val="20"/>
        </w:rPr>
        <w:t>, accordingly has no effect on Undercarboxylated Osteocalcin level.</w:t>
      </w:r>
      <w:r w:rsidRPr="00AB6A32">
        <w:rPr>
          <w:rStyle w:val="IntenseEmphasis"/>
          <w:rFonts w:ascii="Times New Roman" w:hAnsi="Times New Roman" w:cs="Times New Roman"/>
          <w:sz w:val="20"/>
          <w:szCs w:val="20"/>
        </w:rPr>
        <w:t xml:space="preserve"> </w:t>
      </w:r>
      <w:proofErr w:type="gramStart"/>
      <w:r w:rsidRPr="00AB6A32">
        <w:rPr>
          <w:rStyle w:val="IntenseEmphasis"/>
          <w:rFonts w:ascii="Times New Roman" w:hAnsi="Times New Roman" w:cs="Times New Roman"/>
          <w:sz w:val="20"/>
          <w:szCs w:val="20"/>
        </w:rPr>
        <w:t>(Adams et al., 2005)</w:t>
      </w:r>
      <w:r w:rsidR="002E0F84">
        <w:rPr>
          <w:rStyle w:val="IntenseEmphasis"/>
          <w:rFonts w:ascii="Times New Roman" w:hAnsi="Times New Roman" w:cs="Times New Roman" w:hint="eastAsia"/>
          <w:sz w:val="20"/>
          <w:szCs w:val="20"/>
          <w:lang w:eastAsia="zh-CN"/>
        </w:rPr>
        <w:t>.</w:t>
      </w:r>
      <w:proofErr w:type="gramEnd"/>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vitamin D supplementation in ovariectomized rats for 9 weeks induced significant decrease in Tartrate Resistant Acid Phosphatase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Concurrence with </w:t>
      </w:r>
      <w:r w:rsidRPr="00AB6A32">
        <w:rPr>
          <w:rFonts w:ascii="Times New Roman" w:hAnsi="Times New Roman" w:cs="Times New Roman"/>
          <w:b/>
          <w:bCs/>
          <w:i/>
          <w:iCs/>
          <w:sz w:val="20"/>
          <w:szCs w:val="20"/>
        </w:rPr>
        <w:t>El Khassawna</w:t>
      </w:r>
      <w:r w:rsidRPr="00AB6A32">
        <w:rPr>
          <w:rStyle w:val="IntenseEmphasis"/>
          <w:rFonts w:ascii="Times New Roman" w:hAnsi="Times New Roman" w:cs="Times New Roman"/>
          <w:sz w:val="20"/>
          <w:szCs w:val="20"/>
        </w:rPr>
        <w:t xml:space="preserve"> et al. (2013)</w:t>
      </w:r>
      <w:r w:rsidRPr="00AB6A32">
        <w:rPr>
          <w:rFonts w:ascii="Times New Roman" w:hAnsi="Times New Roman" w:cs="Times New Roman"/>
          <w:sz w:val="20"/>
          <w:szCs w:val="20"/>
        </w:rPr>
        <w:t xml:space="preserve"> who reported that consumption of vitamin D and calcium-fortified dairy product by healthy postmenopausal women for 18 weeks, reduces the serum concentration of the bone resorption marker TRAP5b and increase serum IGF-I. Similarly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"10.1017/S0007114509371743", "ISSN" : "1475-2662", "PMID" : "19519975", "abstract" : "Acceleration of bone remodelling increases the risk of fragility fractures. The objective of the present study was to explore in elderly women whether a vitamin D and Ca-fortified dairy product providing about 17-25 % of the recommended intakes in vitamin D, Ca and proteins would reduce secondary hyperparathyroidism and bone remodelling in a way that may attenuate age-related bone loss in the long term. Thirty-seven institutionalised women, aged 84.8 (sd 8.1) years, with low serum 25-hydroxyvitamin D (5.5 (sd 1.7) ng/ml) were enrolled into a multicentre open trial to consume during 1 month two servings of soft plain cheese made of semi-skimmed milk providing daily 686 kJ (164 kcal), 2.5 microg vitamin D, 302 mg Ca and 14.2 g proteins. The primary endpoint was the change in serum carboxy terminal cross-linked telopeptide of type I collagen (CTX), selected as a marker of bone resorption. Thirty-five subjects remained compliant. Mean serum changes were: 25-hydroyvitamin D, +14.5 % (P = 0.0051); parathyroid hormone (PTH), - 12.3 % (P = 0.0011); CTX, - 7.5 % (P = 0.01); tartrate-resistant acid phosphatase isoform 5b (TRAP 5b), - 9.9 % (P &lt; 0.0001); albumin, +6.2 % (P &lt; 0.0001); insulin-like growth factor-I (IGF-I),+16.9 % (P &lt; 0.0001); osteocalcin, +8.3 % (P = 0.0166); amino-terminal propeptide of type 1 procollagen (P1NP),+19.3 % (P = 0.0031). The present open trial suggests that fortified soft plain cheese consumed by elderly women with vitamin D insufficiency can reduce bone resorption markers by positively influencing Ca and protein economy, as expressed by decreased PTH and increased IGF-I, respectively. The rise in the bone formation marker P1NP could be explained by a protein-mediated increase in IGF-I. Thus, such a dietary intervention might uncouple, at least transiently, bone resorption from bone formation and thereby attenuate age-related bone loss.", "author" : [ { "dropping-particle" : "", "family" : "Bonjour", "given" : "Jean-Philippe", "non-dropping-particle" : "", "parse-names" : false, "suffix" : "" }, { "dropping-particle" : "", "family" : "Benoit", "given" : "Val\u00e9rie", "non-dropping-particle" : "", "parse-names" : false, "suffix" : "" }, { "dropping-particle" : "", "family" : "Pourchaire", "given" : "Olivier", "non-dropping-particle" : "", "parse-names" : false, "suffix" : "" }, { "dropping-particle" : "", "family" : "Ferry", "given" : "Monique", "non-dropping-particle" : "", "parse-names" : false, "suffix" : "" }, { "dropping-particle" : "", "family" : "Rousseau", "given" : "Brigitte", "non-dropping-particle" : "", "parse-names" : false, "suffix" : "" }, { "dropping-particle" : "", "family" : "Souberbielle", "given" : "Jean-Claude", "non-dropping-particle" : "", "parse-names" : false, "suffix" : "" } ], "container-title" : "The British journal of nutrition", "id" : "ITEM-1", "issue" : "7", "issued" : { "date-parts" : [ [ "2009", "10", "1" ] ] }, "page" : "962-6", "publisher" : "Cambridge University Press", "title" : "Inhibition of markers of bone resorption by consumption of vitamin D and calcium-fortified soft plain cheese by institutionalised elderly women.", "type" : "article-journal", "volume" : "102" }, "uris" : [ "http://www.mendeley.com/documents/?uuid=1046760c-b9d4-447f-9418-9dd21b5d0650" ] } ], "mendeley" : { "previouslyFormattedCitation" : "(Bonjour et al. 2009)"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sz w:val="20"/>
          <w:szCs w:val="20"/>
        </w:rPr>
        <w:t>Bonjour et al. (2009)</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suggests that vitamin D fortification of soft cheese consumed by elderly women with vitamin D insufficiency can reduce bone resorption marker, tartrate-resistant acid phosphatase isoform 5b.</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Contrary to the present study</w:t>
      </w:r>
      <w:r w:rsidRPr="00AB6A32">
        <w:rPr>
          <w:rStyle w:val="IntenseEmphasis"/>
          <w:rFonts w:ascii="Times New Roman" w:hAnsi="Times New Roman" w:cs="Times New Roman"/>
          <w:sz w:val="20"/>
          <w:szCs w:val="20"/>
        </w:rPr>
        <w:t xml:space="preserve"> Ambroszkiewicz et al. (2009)</w:t>
      </w:r>
      <w:r w:rsidRPr="00AB6A32">
        <w:rPr>
          <w:rFonts w:ascii="Times New Roman" w:hAnsi="Times New Roman" w:cs="Times New Roman"/>
          <w:sz w:val="20"/>
          <w:szCs w:val="20"/>
        </w:rPr>
        <w:t xml:space="preserve"> reported that vitamin D and calcium </w:t>
      </w:r>
      <w:r w:rsidRPr="00AB6A32">
        <w:rPr>
          <w:rFonts w:ascii="Times New Roman" w:hAnsi="Times New Roman" w:cs="Times New Roman"/>
          <w:sz w:val="20"/>
          <w:szCs w:val="20"/>
        </w:rPr>
        <w:lastRenderedPageBreak/>
        <w:t>supplementation for 4-months in children on vegetarian diet induced insignificant differences in tartrate-resistant acid phosphatase isoenzyme 5b markers.</w:t>
      </w:r>
    </w:p>
    <w:p w:rsidR="003E44C4" w:rsidRPr="00AB6A32" w:rsidRDefault="003E44C4" w:rsidP="002E0F84">
      <w:pPr>
        <w:snapToGrid w:val="0"/>
        <w:spacing w:after="0" w:line="240" w:lineRule="auto"/>
        <w:ind w:firstLine="425"/>
        <w:jc w:val="both"/>
        <w:rPr>
          <w:rFonts w:ascii="Times New Roman" w:hAnsi="Times New Roman" w:cs="Times New Roman"/>
          <w:sz w:val="20"/>
          <w:szCs w:val="20"/>
        </w:rPr>
      </w:pPr>
      <w:r w:rsidRPr="00AB6A32">
        <w:rPr>
          <w:rStyle w:val="IntenseEmphasis"/>
          <w:rFonts w:ascii="Times New Roman" w:hAnsi="Times New Roman" w:cs="Times New Roman"/>
          <w:sz w:val="20"/>
          <w:szCs w:val="20"/>
        </w:rPr>
        <w:t>Kristin et al. (2012)</w:t>
      </w:r>
      <w:r w:rsidRPr="00AB6A32">
        <w:rPr>
          <w:rFonts w:ascii="Times New Roman" w:hAnsi="Times New Roman" w:cs="Times New Roman"/>
          <w:sz w:val="20"/>
          <w:szCs w:val="20"/>
        </w:rPr>
        <w:t xml:space="preserve"> reported that four weeks of daily supplementation with 10 μg vitamin D3in young individuals, increased tartrate-resistant acid phosphatase 5b concentration and decreased intact parathyroid hormone (iPTH), and this did not differ by mode of administration. These results suggest an increased bone resorption following vitamin D supplementation, despite a decrease in parathyroid hormone levels.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vitamin K supplementation in ovariectomized rats for 9 weeks induced insignificant change in osteocalcin level (OC)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This finding is in Concurrence with</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"author" : [ { "dropping-particle" : "", "family" : "Takahashi", "given" : "", "non-dropping-particle" : "", "parse-names" : false, "suffix" : "" }, { "dropping-particle" : "", "family" : "Naitou", "given" : "", "non-dropping-particle" : "", "parse-names" : false, "suffix" : "" }, { "dropping-particle" : "", "family" : "Ohishi", "given" : "", "non-dropping-particle" : "", "parse-names" : false, "suffix" : "" }, { "dropping-particle" : "", "family" : "Kushida", "given" : "", "non-dropping-particle" : "", "parse-names" : false, "suffix" : "" }, { "dropping-particle" : "", "family" : "Miura", "given" : "", "non-dropping-particle" : "", "parse-names" : false, "suffix" : "" } ], "id" : "ITEM-1", "issued" : { "date-parts" : [ [ "2001" ] ] }, "page" : "Clin Endocrinol (Oxf). Feb;54(2):219-24.", "title" : "Effect of vitamin K and/or D on undercarboxylated and intact osteocalcin in osteoporotic patients with vertebral or hip fractures.", "type" : "article" }, "uris" : [ "http://www.mendeley.com/documents/?uuid=4565d1d0-d08e-4578-a2b6-1a32320dcd7a" ] } ], "mendeley" : { "manualFormatting" : "Takahashi et al.,( 2001)", "previouslyFormattedCitation" : "(Takahashi et al. 2001)"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 xml:space="preserve">Takahashi et al. </w:t>
      </w:r>
      <w:r w:rsidR="002E0F84">
        <w:rPr>
          <w:rStyle w:val="IntenseEmphasis"/>
          <w:rFonts w:ascii="Times New Roman" w:hAnsi="Times New Roman" w:cs="Times New Roman"/>
          <w:noProof/>
          <w:sz w:val="20"/>
          <w:szCs w:val="20"/>
        </w:rPr>
        <w:t>(</w:t>
      </w:r>
      <w:r w:rsidRPr="00AB6A32">
        <w:rPr>
          <w:rStyle w:val="IntenseEmphasis"/>
          <w:rFonts w:ascii="Times New Roman" w:hAnsi="Times New Roman" w:cs="Times New Roman"/>
          <w:noProof/>
          <w:sz w:val="20"/>
          <w:szCs w:val="20"/>
        </w:rPr>
        <w:t>2001)</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4 weeks of vitamin K supplementation in perimenopausal healthy and osteoporotic females, induced insignificant change in osteocalcin level.</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The present study revealed that vitamin K supplementation in ovariectomized rats for 9 weeks induced insignificant change in Bone Specific Alkaline Phosphatase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consistence with </w:t>
      </w:r>
      <w:hyperlink r:id="rId30" w:history="1">
        <w:r w:rsidRPr="00AB6A32">
          <w:rPr>
            <w:rStyle w:val="IntenseEmphasis"/>
            <w:rFonts w:ascii="Times New Roman" w:hAnsi="Times New Roman" w:cs="Times New Roman"/>
            <w:sz w:val="20"/>
            <w:szCs w:val="20"/>
          </w:rPr>
          <w:t>Binkley </w:t>
        </w:r>
      </w:hyperlink>
      <w:r w:rsidRPr="00AB6A32">
        <w:rPr>
          <w:rStyle w:val="IntenseEmphasis"/>
          <w:rFonts w:ascii="Times New Roman" w:hAnsi="Times New Roman" w:cs="Times New Roman"/>
          <w:sz w:val="20"/>
          <w:szCs w:val="20"/>
        </w:rPr>
        <w:t>et al. (2009)</w:t>
      </w:r>
      <w:r w:rsidRPr="00AB6A32">
        <w:rPr>
          <w:rFonts w:ascii="Times New Roman" w:hAnsi="Times New Roman" w:cs="Times New Roman"/>
          <w:sz w:val="20"/>
          <w:szCs w:val="20"/>
        </w:rPr>
        <w:t xml:space="preserve"> reported that Phylloquinone and MK4</w:t>
      </w:r>
      <w:r w:rsidRPr="00AB6A32">
        <w:rPr>
          <w:rFonts w:ascii="Times New Roman" w:hAnsi="Times New Roman" w:cs="Times New Roman"/>
          <w:sz w:val="20"/>
          <w:szCs w:val="20"/>
          <w:shd w:val="clear" w:color="auto" w:fill="FFFFFF"/>
        </w:rPr>
        <w:t xml:space="preserve"> treatment reduced serum undercarboxylated osteocalcin but did not alter serum bone-specific alkaline phosphatase (BSAP).</w:t>
      </w:r>
      <w:r w:rsidRPr="00AB6A32">
        <w:rPr>
          <w:rFonts w:ascii="Times New Roman" w:hAnsi="Times New Roman" w:cs="Times New Roman"/>
          <w:sz w:val="20"/>
          <w:szCs w:val="20"/>
        </w:rPr>
        <w:t xml:space="preserve"> Also</w:t>
      </w:r>
      <w:r w:rsidRPr="00AB6A32">
        <w:rPr>
          <w:rStyle w:val="IntenseEmphasis"/>
          <w:rFonts w:ascii="Times New Roman" w:hAnsi="Times New Roman" w:cs="Times New Roman"/>
          <w:sz w:val="20"/>
          <w:szCs w:val="20"/>
        </w:rPr>
        <w:t xml:space="preserve"> Bügel et al. (2007)</w:t>
      </w:r>
      <w:r w:rsidRPr="00AB6A32">
        <w:rPr>
          <w:rFonts w:ascii="Times New Roman" w:hAnsi="Times New Roman" w:cs="Times New Roman"/>
          <w:sz w:val="20"/>
          <w:szCs w:val="20"/>
        </w:rPr>
        <w:t xml:space="preserve"> reported that daily supplementation with phylloquinone for 6 weeks in postmenopausal women induced insignificant change in</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serum bone-specific alkaline phosphatase while it induced significant</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increase in total osteocalcin.</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vitamin K supplementation in ovariectomized rats for 9 weeks induced significant decrease in undercarboxylated osteocalcin (UnOc) level compared to ovariectomized control rats (group Ia) &amp; vitamin D supplementation (group Ib).</w:t>
      </w:r>
    </w:p>
    <w:p w:rsidR="003E44C4" w:rsidRPr="00AB6A32" w:rsidRDefault="003E44C4" w:rsidP="00AB6A32">
      <w:pPr>
        <w:snapToGrid w:val="0"/>
        <w:spacing w:after="0" w:line="240" w:lineRule="auto"/>
        <w:ind w:firstLine="425"/>
        <w:jc w:val="both"/>
        <w:rPr>
          <w:rStyle w:val="IntenseEmphasis"/>
          <w:rFonts w:ascii="Times New Roman" w:hAnsi="Times New Roman" w:cs="Times New Roman"/>
          <w:sz w:val="20"/>
        </w:rPr>
      </w:pPr>
      <w:r w:rsidRPr="00AB6A32">
        <w:rPr>
          <w:rFonts w:ascii="Times New Roman" w:hAnsi="Times New Roman" w:cs="Times New Roman"/>
          <w:sz w:val="20"/>
          <w:szCs w:val="20"/>
        </w:rPr>
        <w:t>This finding is concurrent with</w:t>
      </w:r>
      <w:r w:rsidRPr="00AB6A32">
        <w:rPr>
          <w:rStyle w:val="IntenseEmphasis"/>
          <w:rFonts w:ascii="Times New Roman" w:hAnsi="Times New Roman" w:cs="Times New Roman"/>
          <w:sz w:val="20"/>
          <w:szCs w:val="20"/>
        </w:rPr>
        <w:t xml:space="preserve"> Vermeer and Theuwissen, (2011)</w:t>
      </w:r>
      <w:r w:rsidR="002E0F84">
        <w:rPr>
          <w:rStyle w:val="IntenseEmphasis"/>
          <w:rFonts w:ascii="Times New Roman" w:hAnsi="Times New Roman" w:cs="Times New Roman"/>
          <w:sz w:val="20"/>
          <w:szCs w:val="20"/>
        </w:rPr>
        <w:t>;</w:t>
      </w:r>
      <w:r w:rsidRPr="00AB6A32">
        <w:rPr>
          <w:rFonts w:ascii="Times New Roman" w:hAnsi="Times New Roman" w:cs="Times New Roman"/>
          <w:sz w:val="20"/>
          <w:szCs w:val="20"/>
        </w:rPr>
        <w:t xml:space="preserve"> </w:t>
      </w:r>
      <w:r w:rsidRPr="00AB6A32">
        <w:rPr>
          <w:rStyle w:val="IntenseEmphasis"/>
          <w:rFonts w:ascii="Times New Roman" w:hAnsi="Times New Roman" w:cs="Times New Roman"/>
          <w:sz w:val="20"/>
          <w:szCs w:val="20"/>
        </w:rPr>
        <w:t xml:space="preserve">Naito et al. (2012); Miki et al., (2012); </w:t>
      </w:r>
      <w:r w:rsidRPr="00AB6A32">
        <w:rPr>
          <w:rFonts w:ascii="Times New Roman" w:hAnsi="Times New Roman" w:cs="Times New Roman"/>
          <w:sz w:val="20"/>
          <w:szCs w:val="20"/>
        </w:rPr>
        <w:t>who reported that serum undercarboxylated osteocalcin (UnOc) is a marker for vitamin K metabolism. It increases in vitamin K deficiency and decreases after supplementation with vitamin K.</w:t>
      </w:r>
    </w:p>
    <w:p w:rsidR="003E44C4" w:rsidRPr="00AB6A32" w:rsidRDefault="003E44C4" w:rsidP="00AB6A32">
      <w:pPr>
        <w:snapToGrid w:val="0"/>
        <w:spacing w:after="0" w:line="240" w:lineRule="auto"/>
        <w:ind w:firstLine="425"/>
        <w:jc w:val="both"/>
        <w:rPr>
          <w:rFonts w:ascii="Times New Roman" w:hAnsi="Times New Roman" w:cs="Times New Roman"/>
          <w:sz w:val="20"/>
        </w:rPr>
      </w:pPr>
      <w:r w:rsidRPr="00AB6A32">
        <w:rPr>
          <w:rFonts w:ascii="Times New Roman" w:hAnsi="Times New Roman" w:cs="Times New Roman"/>
          <w:sz w:val="20"/>
          <w:szCs w:val="20"/>
        </w:rPr>
        <w:t xml:space="preserve">In support of this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"author" : [ { "dropping-particle" : "", "family" : "Takahashi", "given" : "", "non-dropping-particle" : "", "parse-names" : false, "suffix" : "" }, { "dropping-particle" : "", "family" : "Naitou", "given" : "", "non-dropping-particle" : "", "parse-names" : false, "suffix" : "" }, { "dropping-particle" : "", "family" : "Ohishi", "given" : "", "non-dropping-particle" : "", "parse-names" : false, "suffix" : "" }, { "dropping-particle" : "", "family" : "Kushida", "given" : "", "non-dropping-particle" : "", "parse-names" : false, "suffix" : "" }, { "dropping-particle" : "", "family" : "Miura", "given" : "", "non-dropping-particle" : "", "parse-names" : false, "suffix" : "" } ], "id" : "ITEM-1", "issued" : { "date-parts" : [ [ "2001" ] ] }, "page" : "Clin Endocrinol (Oxf). Feb;54(2):219-24.", "title" : "Effect of vitamin K and/or D on undercarboxylated and intact osteocalcin in osteoporotic patients with vertebral or hip fractures.", "type" : "article" }, "uris" : [ "http://www.mendeley.com/documents/?uuid=4565d1d0-d08e-4578-a2b6-1a32320dcd7a" ] } ], "mendeley" : { "manualFormatting" : "Takahashi et al., (2001)", "previouslyFormattedCitation" : "(Takahashi et al. 2001)"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Takahashi et al. (2001)</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reported that 4 weeks of vitamin K supplementation in perimenopausal healthy and osteoporotic females, decreased</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undercarboxylated osteocalcin. Similarly</w:t>
      </w:r>
      <w:r w:rsidRPr="00AB6A32">
        <w:rPr>
          <w:rStyle w:val="IntenseEmphasis"/>
          <w:rFonts w:ascii="Times New Roman" w:hAnsi="Times New Roman" w:cs="Times New Roman"/>
          <w:sz w:val="20"/>
          <w:szCs w:val="20"/>
        </w:rPr>
        <w:t xml:space="preserve"> Purwosunu et al. (2006)</w:t>
      </w:r>
      <w:r w:rsidRPr="00AB6A32">
        <w:rPr>
          <w:rFonts w:ascii="Times New Roman" w:hAnsi="Times New Roman" w:cs="Times New Roman"/>
          <w:sz w:val="20"/>
          <w:szCs w:val="20"/>
        </w:rPr>
        <w:t xml:space="preserve"> reported that vitamin K</w:t>
      </w:r>
      <w:r w:rsidRPr="00AB6A32">
        <w:rPr>
          <w:rFonts w:ascii="Times New Roman" w:hAnsi="Times New Roman" w:cs="Times New Roman"/>
          <w:sz w:val="20"/>
          <w:szCs w:val="20"/>
          <w:vertAlign w:val="subscript"/>
        </w:rPr>
        <w:t>2</w:t>
      </w:r>
      <w:r w:rsidRPr="00AB6A32">
        <w:rPr>
          <w:rFonts w:ascii="Times New Roman" w:hAnsi="Times New Roman" w:cs="Times New Roman"/>
          <w:sz w:val="20"/>
          <w:szCs w:val="20"/>
        </w:rPr>
        <w:t xml:space="preserve"> supplementation with calcium significantly decreased UnOc level in postmenopausal women in Indonesia.</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lastRenderedPageBreak/>
        <w:t>The present study revealed that vitamin K supplementation in ovariectomized rats for 9 weeks induced a significant decrease in Tartrate Resistant Acid Phosphatase level compared to ovariectomized control rats.</w:t>
      </w:r>
    </w:p>
    <w:p w:rsidR="003E44C4" w:rsidRPr="00AB6A32" w:rsidRDefault="003E44C4" w:rsidP="00AB6A32">
      <w:pPr>
        <w:snapToGrid w:val="0"/>
        <w:spacing w:after="0" w:line="240" w:lineRule="auto"/>
        <w:ind w:firstLine="425"/>
        <w:jc w:val="both"/>
        <w:rPr>
          <w:rStyle w:val="IntenseEmphasis"/>
          <w:rFonts w:ascii="Times New Roman" w:hAnsi="Times New Roman" w:cs="Times New Roman"/>
          <w:b w:val="0"/>
          <w:bCs w:val="0"/>
          <w:i w:val="0"/>
          <w:iCs w:val="0"/>
          <w:sz w:val="20"/>
        </w:rPr>
      </w:pPr>
      <w:r w:rsidRPr="00AB6A32">
        <w:rPr>
          <w:rFonts w:ascii="Times New Roman" w:hAnsi="Times New Roman" w:cs="Times New Roman"/>
          <w:sz w:val="20"/>
          <w:szCs w:val="20"/>
        </w:rPr>
        <w:t xml:space="preserve">This finding is in consistence with </w:t>
      </w:r>
      <w:r w:rsidRPr="00AB6A32">
        <w:rPr>
          <w:rStyle w:val="IntenseEmphasis"/>
          <w:rFonts w:ascii="Times New Roman" w:hAnsi="Times New Roman" w:cs="Times New Roman"/>
          <w:sz w:val="20"/>
          <w:szCs w:val="20"/>
        </w:rPr>
        <w:t>Atkins et al. (</w:t>
      </w:r>
      <w:hyperlink r:id="rId31" w:anchor="ref-2" w:history="1">
        <w:r w:rsidRPr="00AB6A32">
          <w:rPr>
            <w:rStyle w:val="IntenseEmphasis"/>
            <w:rFonts w:ascii="Times New Roman" w:hAnsi="Times New Roman" w:cs="Times New Roman"/>
            <w:sz w:val="20"/>
            <w:szCs w:val="20"/>
          </w:rPr>
          <w:t>2009</w:t>
        </w:r>
      </w:hyperlink>
      <w:r w:rsidRPr="00AB6A32">
        <w:rPr>
          <w:rStyle w:val="IntenseEmphasis"/>
          <w:rFonts w:ascii="Times New Roman" w:hAnsi="Times New Roman" w:cs="Times New Roman"/>
          <w:sz w:val="20"/>
          <w:szCs w:val="20"/>
        </w:rPr>
        <w:t>)</w:t>
      </w:r>
      <w:r w:rsidRPr="00AB6A32">
        <w:rPr>
          <w:rFonts w:ascii="Times New Roman" w:hAnsi="Times New Roman" w:cs="Times New Roman"/>
          <w:sz w:val="20"/>
          <w:szCs w:val="20"/>
        </w:rPr>
        <w:t xml:space="preserve"> demonstrate that vitamin K inhibits expression of</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RANKL</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 xml:space="preserve">in the osteocyte cell-like line, thus it decrease osteoclastogenesis and so it decrease TRAP which is a marker of osteoclast viability. Moreover </w:t>
      </w:r>
      <w:r w:rsidRPr="00AB6A32">
        <w:rPr>
          <w:rStyle w:val="IntenseEmphasis"/>
          <w:rFonts w:ascii="Times New Roman" w:hAnsi="Times New Roman" w:cs="Times New Roman"/>
          <w:sz w:val="20"/>
          <w:szCs w:val="20"/>
        </w:rPr>
        <w:t>Shea et al</w:t>
      </w:r>
      <w:proofErr w:type="gramStart"/>
      <w:r w:rsidRPr="00AB6A32">
        <w:rPr>
          <w:rStyle w:val="IntenseEmphasis"/>
          <w:rFonts w:ascii="Times New Roman" w:hAnsi="Times New Roman" w:cs="Times New Roman"/>
          <w:sz w:val="20"/>
          <w:szCs w:val="20"/>
        </w:rPr>
        <w:t>.(</w:t>
      </w:r>
      <w:proofErr w:type="gramEnd"/>
      <w:r w:rsidRPr="00AB6A32">
        <w:rPr>
          <w:rStyle w:val="IntenseEmphasis"/>
          <w:rFonts w:ascii="Times New Roman" w:hAnsi="Times New Roman" w:cs="Times New Roman"/>
          <w:sz w:val="20"/>
          <w:szCs w:val="20"/>
        </w:rPr>
        <w:t>2008)</w:t>
      </w:r>
      <w:r w:rsidRPr="00AB6A32">
        <w:rPr>
          <w:rFonts w:ascii="Times New Roman" w:hAnsi="Times New Roman" w:cs="Times New Roman"/>
          <w:sz w:val="20"/>
          <w:szCs w:val="20"/>
        </w:rPr>
        <w:t xml:space="preserve"> suggested that vitamin K’s inverse association with inflammatory markers was separate from its gamma-carboxylation function, since UnOc showed no association with these markers. This anti</w:t>
      </w:r>
      <w:r w:rsidR="000B3147" w:rsidRPr="00AB6A32">
        <w:rPr>
          <w:rFonts w:ascii="Times New Roman" w:hAnsi="Times New Roman" w:cs="Times New Roman"/>
          <w:sz w:val="20"/>
          <w:szCs w:val="20"/>
        </w:rPr>
        <w:t>-</w:t>
      </w:r>
      <w:r w:rsidRPr="00AB6A32">
        <w:rPr>
          <w:rFonts w:ascii="Times New Roman" w:hAnsi="Times New Roman" w:cs="Times New Roman"/>
          <w:sz w:val="20"/>
          <w:szCs w:val="20"/>
        </w:rPr>
        <w:t xml:space="preserve"> inflammatory action of vitamin K plays a role in the suppression of osteoclastogenesis and so decreases tartrate-resistant acid phosphatase</w:t>
      </w:r>
      <w:r w:rsidRPr="00AB6A32">
        <w:rPr>
          <w:rStyle w:val="IntenseEmphasis"/>
          <w:rFonts w:ascii="Times New Roman" w:hAnsi="Times New Roman" w:cs="Times New Roman"/>
          <w:sz w:val="20"/>
          <w:szCs w:val="20"/>
        </w:rPr>
        <w:t xml:space="preserve"> level.</w:t>
      </w:r>
    </w:p>
    <w:p w:rsidR="003E44C4" w:rsidRPr="00AB6A32" w:rsidRDefault="003E44C4" w:rsidP="00AB6A32">
      <w:pPr>
        <w:snapToGrid w:val="0"/>
        <w:spacing w:after="0" w:line="240" w:lineRule="auto"/>
        <w:ind w:firstLine="425"/>
        <w:jc w:val="both"/>
        <w:rPr>
          <w:rFonts w:ascii="Times New Roman" w:hAnsi="Times New Roman" w:cs="Times New Roman"/>
          <w:sz w:val="20"/>
        </w:rPr>
      </w:pPr>
      <w:r w:rsidRPr="00AB6A32">
        <w:rPr>
          <w:rFonts w:ascii="Times New Roman" w:hAnsi="Times New Roman" w:cs="Times New Roman"/>
          <w:sz w:val="20"/>
          <w:szCs w:val="20"/>
        </w:rPr>
        <w:t>The present study revealed that vitamin D &amp;K supplementation in ovariectomized rats for 9 weeks induced insignificant change in osteocalcin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This finding is in acceptance with</w:t>
      </w:r>
      <w:r w:rsidR="002E0F84">
        <w:rPr>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"10.3346/jkms.2011.26.8.1093", "ISSN" : "1598-6357", "PMID" : "21860562", "abstract" : "There are inconsistent findings on the effects of vitamin K on bone mineral density (BMD) and undercarboxylated osteocalcin (UcOC). The present intervention study evaluated the effect in subjects over 60-yr-old. The vitamin K group (vitamin K + vitamin D + calcium supplement; 15 mg of vitamin K2 [menatetrenone] three times daily, 400 IU of vitamin D once a day, and 315 mg of calcium twice daily) and the control group (vitamin D + calcium supplement) were randomly assigned. During the six months of treatment, seventy eight women participated (38 in the vitamin K group and 40 in the control group) and 45 women completed the study. The baseline characteristics of study participants did not differ between the vitamin K and the control groups. In a per protocol analysis after 6 months, L3 bone mineral density has increased statistically significantly in the vitamin K group compared to the control group (0.01 \u00b1 0.03 g/cm(2) vs -0.008 \u00b1 0.04 g/cm(2), P = 0.049). UcOC concentration was also significantly decreased in the vitamin K group (-1.6 \u00b1 1.6 ng/dL vs -0.4 \u00b1 1.1 ng/dL, P = 0.008). In conclusion, addition of vitamin K to vitamin D and calcium supplements in the postmenopausal Korean women increase the L3 BMD and reduce the UcOC concentration.", "author" : [ { "dropping-particle" : "", "family" : "Je", "given" : "Sang Hyeon", "non-dropping-particle" : "", "parse-names" : false, "suffix" : "" }, { "dropping-particle" : "", "family" : "Joo", "given" : "Nam-Seok", "non-dropping-particle" : "", "parse-names" : false, "suffix" : "" }, { "dropping-particle" : "", "family" : "Choi", "given" : "Beom-hee", "non-dropping-particle" : "", "parse-names" : false, "suffix" : "" }, { "dropping-particle" : "", "family" : "Kim", "given" : "Kwang-Min", "non-dropping-particle" : "", "parse-names" : false, "suffix" : "" }, { "dropping-particle" : "", "family" : "Kim", "given" : "Bom-Taeck", "non-dropping-particle" : "", "parse-names" : false, "suffix" : "" }, { "dropping-particle" : "", "family" : "Park", "given" : "Sat-Byul", "non-dropping-particle" : "", "parse-names" : false, "suffix" : "" }, { "dropping-particle" : "", "family" : "Cho", "given" : "Doo-Yeoun", "non-dropping-particle" : "", "parse-names" : false, "suffix" : "" }, { "dropping-particle" : "", "family" : "Kim", "given" : "Kyu-Nam", "non-dropping-particle" : "", "parse-names" : false, "suffix" : "" }, { "dropping-particle" : "", "family" : "Lee", "given" : "Duck-Joo", "non-dropping-particle" : "", "parse-names" : false, "suffix" : "" } ], "container-title" : "Journal of Korean medical science", "id" : "ITEM-1", "issue" : "8", "issued" : { "date-parts" : [ [ "2011", "8", "1" ] ] }, "page" : "1093-8", "publisher" : "Korean Academy of Medical Sciences", "title" : "Vitamin K supplement along with vitamin D and calcium reduced serum concentration of undercarboxylated osteocalcin while increasing bone mineral density in Korean postmenopausal women over sixty-years-old.", "type" : "article-journal", "volume" : "26" }, "uris" : [ "http://www.mendeley.com/documents/?uuid=1ef94c45-9760-40b4-af8a-b75e8d9466b8" ] } ], "mendeley" : { "manualFormatting" : "Je et al., (2011)", "previouslyFormattedCitation" : "(Je et al. 2011a)"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Je et al. (2011)</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reported that combined vitamin D &amp; K supplementation for 6 months in postmenopausal Korean women over sixty years old insignificantly increased osteocalcin level while it significantly decreased UnOc concentration.</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combined vitamin D &amp; K supplementation in ovariectomized rats for 9 weeks induced a synergistic effect that significantly increased Bone Specific Alkaline Phosphatase level compared to ovariectomized control rats, with no significant difference with other groups as detected by ANOVA.</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This finding is in consistence with</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"10.1359/jbmr.081254", "ISSN" : "1523-4681", "PMID" : "19113922", "abstract" : "Low vitamin K status is associated with low BMD and increased fracture risk. Additionally, a specific menaquinone, menatetrenone (MK4), may reduce fracture risk. However, whether vitamin K plays a role in the skeletal health of North American women remains unclear. Moreover, various K vitamers (e.g., phylloquinone and MK4) may have differing skeletal effects. The objective of this study was to evaluate the impact of phylloquinone or MK4 treatment on markers of skeletal turnover and BMD in nonosteoporotic, postmenopausal, North American women. In this double-blind, placebo-controlled study, 381 postmenopausal women received phylloquinone (1 mg daily), MK4 (45 mg daily), or placebo for 12 mo. All participants received daily calcium and vitamin D(3) supplementation. Serum bone-specific alkaline phosphatase (BSALP) and n-telopeptide of type 1 collagen (NTX) were measured at baseline and 1, 3, 6, and 12 mo. Lumbar spine and proximal femur BMD and proximal femur geometry were measured by DXA at baseline and 6 and 12 mo. At baseline, the three treatment groups did not differ in demographics or study endpoints. Compliance with calcium, phylloquinone, and MK4 treatment was 93%, 93%, and 87%, respectively. Phylloquinone and MK4 treatment reduced serum undercarboxylated osteocalcin but did not alter BSALP or NTX. No effect of phylloquinone or MK4 on lumbar spine or proximal femur BMD or proximal femur geometric parameters was observed. This study does not support a role for vitamin K supplementation in osteoporosis prevention among healthy, postmenopausal, North American women receiving calcium and vitamin D supplementation.", "author" : [ { "dropping-particle" : "", "family" : "Binkley", "given" : "Neil", "non-dropping-particle" : "", "parse-names" : false, "suffix" : "" }, { "dropping-particle" : "", "family" : "Harke", "given" : "Judith", "non-dropping-particle" : "", "parse-names" : false, "suffix" : "" }, { "dropping-particle" : "", "family" : "Krueger", "given" : "Diane", "non-dropping-particle" : "", "parse-names" : false, "suffix" : "" }, { "dropping-particle" : "", "family" : "Engelke", "given" : "Jean", "non-dropping-particle" : "", "parse-names" : false, "suffix" : "" }, { "dropping-particle" : "", "family" : "Vallarta-Ast", "given" : "Nellie", "non-dropping-particle" : "", "parse-names" : false, "suffix" : "" }, { "dropping-particle" : "", "family" : "Gemar", "given" : "Dessa", "non-dropping-particle" : "", "parse-names" : false, "suffix" : "" }, { "dropping-particle" : "", "family" : "Checovich", "given" : "Mary", "non-dropping-particle" : "", "parse-names" : false, "suffix" : "" }, { "dropping-particle" : "", "family" : "Chappell", "given" : "Richard", "non-dropping-particle" : "", "parse-names" : false, "suffix" : "" }, { "dropping-particle" : "", "family" : "Suttie", "given" : "John", "non-dropping-particle" : "", "parse-names" : false, "suffix" : "" } ], "container-title" : "Journal of bone and mineral research : the official journal of the American Society for Bone and Mineral Research", "id" : "ITEM-1", "issue" : "6", "issued" : { "date-parts" : [ [ "2009", "6" ] ] }, "page" : "983-91", "title" : "Vitamin K treatment reduces undercarboxylated osteocalcin but does not alter bone turnover, density, or geometry in healthy postmenopausal North American women.", "type" : "article-journal", "volume" : "24" }, "uris" : [ "http://www.mendeley.com/documents/?uuid=dbcf6dd5-2de4-4cd7-9cbc-a0c6438172f4" ] } ], "mendeley" : { "manualFormatting" : " Binkley et al.,(2009)", "previouslyFormattedCitation" : "(Binkley et al. 2009b)"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002E0F84">
        <w:rPr>
          <w:rStyle w:val="IntenseEmphasis"/>
          <w:rFonts w:ascii="Times New Roman" w:hAnsi="Times New Roman" w:cs="Times New Roman"/>
          <w:noProof/>
          <w:sz w:val="20"/>
          <w:szCs w:val="20"/>
        </w:rPr>
        <w:t xml:space="preserve"> </w:t>
      </w:r>
      <w:r w:rsidRPr="00AB6A32">
        <w:rPr>
          <w:rStyle w:val="IntenseEmphasis"/>
          <w:rFonts w:ascii="Times New Roman" w:hAnsi="Times New Roman" w:cs="Times New Roman"/>
          <w:noProof/>
          <w:sz w:val="20"/>
          <w:szCs w:val="20"/>
        </w:rPr>
        <w:t>Binkley et al., (2009)</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who observed that combined vitamin K (Phylloquinone or MK4</w:t>
      </w:r>
      <w:r w:rsidR="002E0F84">
        <w:rPr>
          <w:rFonts w:ascii="Times New Roman" w:hAnsi="Times New Roman" w:cs="Times New Roman"/>
          <w:sz w:val="20"/>
          <w:szCs w:val="20"/>
        </w:rPr>
        <w:t>)</w:t>
      </w:r>
      <w:r w:rsidRPr="00AB6A32">
        <w:rPr>
          <w:rFonts w:ascii="Times New Roman" w:hAnsi="Times New Roman" w:cs="Times New Roman"/>
          <w:sz w:val="20"/>
          <w:szCs w:val="20"/>
        </w:rPr>
        <w:t xml:space="preserve"> with vitamin D &amp;calcium</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supplementation for 1 year</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did not alter Bone Specific Alkaline Phosphatase level as compared to calcium and vitamin D supplementation alone.</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In the present study combined vitamin D &amp; K supplementation in ovariectomized rats for 9 weeks induced a significant decreased in Undercarboxylated Osteocalcin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This finding is in concurrence with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"10.1359/jbmr.081254", "ISSN" : "1523-4681", "PMID" : "19113922", "abstract" : "Low vitamin K status is associated with low BMD and increased fracture risk. Additionally, a specific menaquinone, menatetrenone (MK4), may reduce fracture risk. However, whether vitamin K plays a role in the skeletal health of North American women remains unclear. Moreover, various K vitamers (e.g., phylloquinone and MK4) may have differing skeletal effects. The objective of this study was to evaluate the impact of phylloquinone or MK4 treatment on markers of skeletal turnover and BMD in nonosteoporotic, postmenopausal, North American women. In this double-blind, placebo-controlled study, 381 postmenopausal women received phylloquinone (1 mg daily), MK4 (45 mg daily), or placebo for 12 mo. All participants received daily calcium and vitamin D(3) supplementation. Serum bone-specific alkaline phosphatase (BSALP) and n-telopeptide of type 1 collagen (NTX) were measured at baseline and 1, 3, 6, and 12 mo. Lumbar spine and proximal femur BMD and proximal femur geometry were measured by DXA at baseline and 6 and 12 mo. At baseline, the three treatment groups did not differ in demographics or study endpoints. Compliance with calcium, phylloquinone, and MK4 treatment was 93%, 93%, and 87%, respectively. Phylloquinone and MK4 treatment reduced serum undercarboxylated osteocalcin but did not alter BSALP or NTX. No effect of phylloquinone or MK4 on lumbar spine or proximal femur BMD or proximal femur geometric parameters was observed. This study does not support a role for vitamin K supplementation in osteoporosis prevention among healthy, postmenopausal, North American women receiving calcium and vitamin D supplementation.", "author" : [ { "dropping-particle" : "", "family" : "Binkley", "given" : "Neil", "non-dropping-particle" : "", "parse-names" : false, "suffix" : "" }, { "dropping-particle" : "", "family" : "Harke", "given" : "Judith", "non-dropping-particle" : "", "parse-names" : false, "suffix" : "" }, { "dropping-particle" : "", "family" : "Krueger", "given" : "Diane", "non-dropping-particle" : "", "parse-names" : false, "suffix" : "" }, { "dropping-particle" : "", "family" : "Engelke", "given" : "Jean", "non-dropping-particle" : "", "parse-names" : false, "suffix" : "" }, { "dropping-particle" : "", "family" : "Vallarta-Ast", "given" : "Nellie", "non-dropping-particle" : "", "parse-names" : false, "suffix" : "" }, { "dropping-particle" : "", "family" : "Gemar", "given" : "Dessa", "non-dropping-particle" : "", "parse-names" : false, "suffix" : "" }, { "dropping-particle" : "", "family" : "Checovich", "given" : "Mary", "non-dropping-particle" : "", "parse-names" : false, "suffix" : "" }, { "dropping-particle" : "", "family" : "Chappell", "given" : "Richard", "non-dropping-particle" : "", "parse-names" : false, "suffix" : "" }, { "dropping-particle" : "", "family" : "Suttie", "given" : "John", "non-dropping-particle" : "", "parse-names" : false, "suffix" : "" } ], "container-title" : "Journal of bone and mineral research : the official journal of the American Society for Bone and Mineral Research", "id" : "ITEM-1", "issue" : "6", "issued" : { "date-parts" : [ [ "2009", "6" ] ] }, "page" : "983-91", "title" : "Vitamin K treatment reduces undercarboxylated osteocalcin but does not alter bone turnover, density, or geometry in healthy postmenopausal North American women.", "type" : "article-journal", "volume" : "24" }, "uris" : [ "http://www.mendeley.com/documents/?uuid=dbcf6dd5-2de4-4cd7-9cbc-a0c6438172f4" ] } ], "mendeley" : { "manualFormatting" : " Binkley et al. (2009)", "previouslyFormattedCitation" : "(Binkley et al. 2009b)"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 xml:space="preserve"> Binkley et al. (2009)</w:t>
      </w:r>
      <w:r w:rsidR="004E7994" w:rsidRPr="00AB6A32">
        <w:rPr>
          <w:rStyle w:val="IntenseEmphasis"/>
          <w:rFonts w:ascii="Times New Roman" w:hAnsi="Times New Roman" w:cs="Times New Roman"/>
          <w:sz w:val="20"/>
          <w:szCs w:val="20"/>
        </w:rPr>
        <w:fldChar w:fldCharType="end"/>
      </w:r>
      <w:r w:rsidR="002E0F84">
        <w:rPr>
          <w:rStyle w:val="IntenseEmphasis"/>
          <w:rFonts w:ascii="Times New Roman" w:hAnsi="Times New Roman" w:cs="Times New Roman" w:hint="eastAsia"/>
          <w:sz w:val="20"/>
          <w:szCs w:val="20"/>
          <w:lang w:eastAsia="zh-CN"/>
        </w:rPr>
        <w:t xml:space="preserve"> </w:t>
      </w:r>
      <w:r w:rsidRPr="00AB6A32">
        <w:rPr>
          <w:rFonts w:ascii="Times New Roman" w:hAnsi="Times New Roman" w:cs="Times New Roman"/>
          <w:sz w:val="20"/>
          <w:szCs w:val="20"/>
        </w:rPr>
        <w:t>reported that combined vitamin K (Phylloquinone or MK4), vitamin D &amp;calcium supplementation for 1 year</w:t>
      </w:r>
      <w:r w:rsidR="002E0F84">
        <w:rPr>
          <w:rFonts w:ascii="Times New Roman" w:hAnsi="Times New Roman" w:cs="Times New Roman"/>
          <w:sz w:val="20"/>
          <w:szCs w:val="20"/>
        </w:rPr>
        <w:t xml:space="preserve"> </w:t>
      </w:r>
      <w:r w:rsidRPr="00AB6A32">
        <w:rPr>
          <w:rFonts w:ascii="Times New Roman" w:hAnsi="Times New Roman" w:cs="Times New Roman"/>
          <w:sz w:val="20"/>
          <w:szCs w:val="20"/>
        </w:rPr>
        <w:t>reduced serum under</w:t>
      </w:r>
      <w:r w:rsidR="002E0F84">
        <w:rPr>
          <w:rFonts w:ascii="Times New Roman" w:hAnsi="Times New Roman" w:cs="Times New Roman" w:hint="eastAsia"/>
          <w:sz w:val="20"/>
          <w:szCs w:val="20"/>
          <w:lang w:eastAsia="zh-CN"/>
        </w:rPr>
        <w:t xml:space="preserve"> </w:t>
      </w:r>
      <w:r w:rsidRPr="00AB6A32">
        <w:rPr>
          <w:rFonts w:ascii="Times New Roman" w:hAnsi="Times New Roman" w:cs="Times New Roman"/>
          <w:sz w:val="20"/>
          <w:szCs w:val="20"/>
        </w:rPr>
        <w:t>carboxylated osteocalcin as compared to calcium and vitamin D supplementation.</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Recently</w:t>
      </w:r>
      <w:r w:rsidRPr="00AB6A32">
        <w:rPr>
          <w:rStyle w:val="IntenseEmphasis"/>
          <w:rFonts w:ascii="Times New Roman" w:hAnsi="Times New Roman" w:cs="Times New Roman"/>
          <w:sz w:val="20"/>
          <w:szCs w:val="20"/>
        </w:rPr>
        <w:t xml:space="preserve"> </w:t>
      </w:r>
      <w:r w:rsidR="004E7994" w:rsidRPr="00AB6A32">
        <w:rPr>
          <w:rStyle w:val="IntenseEmphasis"/>
          <w:rFonts w:ascii="Times New Roman" w:hAnsi="Times New Roman" w:cs="Times New Roman"/>
          <w:sz w:val="20"/>
          <w:szCs w:val="20"/>
        </w:rPr>
        <w:fldChar w:fldCharType="begin" w:fldLock="1"/>
      </w:r>
      <w:r w:rsidRPr="00AB6A32">
        <w:rPr>
          <w:rStyle w:val="IntenseEmphasis"/>
          <w:rFonts w:ascii="Times New Roman" w:hAnsi="Times New Roman" w:cs="Times New Roman"/>
          <w:sz w:val="20"/>
          <w:szCs w:val="20"/>
        </w:rPr>
        <w:instrText>ADDIN CSL_CITATION { "citationItems" : [ { "id" : "ITEM-1", "itemData" : { "DOI" : "10.3346/jkms.2011.26.8.1093", "ISSN" : "1598-6357", "PMID" : "21860562", "abstract" : "There are inconsistent findings on the effects of vitamin K on bone mineral density (BMD) and undercarboxylated osteocalcin (UcOC). The present intervention study evaluated the effect in subjects over 60-yr-old. The vitamin K group (vitamin K + vitamin D + calcium supplement; 15 mg of vitamin K2 [menatetrenone] three times daily, 400 IU of vitamin D once a day, and 315 mg of calcium twice daily) and the control group (vitamin D + calcium supplement) were randomly assigned. During the six months of treatment, seventy eight women participated (38 in the vitamin K group and 40 in the control group) and 45 women completed the study. The baseline characteristics of study participants did not differ between the vitamin K and the control groups. In a per protocol analysis after 6 months, L3 bone mineral density has increased statistically significantly in the vitamin K group compared to the control group (0.01 \u00b1 0.03 g/cm(2) vs -0.008 \u00b1 0.04 g/cm(2), P = 0.049). UcOC concentration was also significantly decreased in the vitamin K group (-1.6 \u00b1 1.6 ng/dL vs -0.4 \u00b1 1.1 ng/dL, P = 0.008). In conclusion, addition of vitamin K to vitamin D and calcium supplements in the postmenopausal Korean women increase the L3 BMD and reduce the UcOC concentration.", "author" : [ { "dropping-particle" : "", "family" : "Je", "given" : "Sang Hyeon", "non-dropping-particle" : "", "parse-names" : false, "suffix" : "" }, { "dropping-particle" : "", "family" : "Joo", "given" : "Nam-Seok", "non-dropping-particle" : "", "parse-names" : false, "suffix" : "" }, { "dropping-particle" : "", "family" : "Choi", "given" : "Beom-hee", "non-dropping-particle" : "", "parse-names" : false, "suffix" : "" }, { "dropping-particle" : "", "family" : "Kim", "given" : "Kwang-Min", "non-dropping-particle" : "", "parse-names" : false, "suffix" : "" }, { "dropping-particle" : "", "family" : "Kim", "given" : "Bom-Taeck", "non-dropping-particle" : "", "parse-names" : false, "suffix" : "" }, { "dropping-particle" : "", "family" : "Park", "given" : "Sat-Byul", "non-dropping-particle" : "", "parse-names" : false, "suffix" : "" }, { "dropping-particle" : "", "family" : "Cho", "given" : "Doo-Yeoun", "non-dropping-particle" : "", "parse-names" : false, "suffix" : "" }, { "dropping-particle" : "", "family" : "Kim", "given" : "Kyu-Nam", "non-dropping-particle" : "", "parse-names" : false, "suffix" : "" }, { "dropping-particle" : "", "family" : "Lee", "given" : "Duck-Joo", "non-dropping-particle" : "", "parse-names" : false, "suffix" : "" } ], "container-title" : "Journal of Korean medical science", "id" : "ITEM-1", "issue" : "8", "issued" : { "date-parts" : [ [ "2011", "8" ] ] }, "page" : "1093-8", "title" : "Vitamin K supplement along with vitamin D and calcium reduced serum concentration of undercarboxylated osteocalcin while increasing bone mineral density in Korean postmenopausal women over sixty-years-old.", "type" : "article", "volume" : "26" }, "uris" : [ "http://www.mendeley.com/documents/?uuid=0ca59d57-a89a-4c1e-bf5f-299e56f20951" ] } ], "mendeley" : { "manualFormatting" : "Je et al. (2011)", "previouslyFormattedCitation" : "(Je et al. 2011b)" }, "properties" : { "noteIndex" : 0 }, "schema" : "https://github.com/citation-style-language/schema/raw/master/csl-citation.json" }</w:instrText>
      </w:r>
      <w:r w:rsidR="004E7994" w:rsidRPr="00AB6A32">
        <w:rPr>
          <w:rStyle w:val="IntenseEmphasis"/>
          <w:rFonts w:ascii="Times New Roman" w:hAnsi="Times New Roman" w:cs="Times New Roman"/>
          <w:sz w:val="20"/>
          <w:szCs w:val="20"/>
        </w:rPr>
        <w:fldChar w:fldCharType="separate"/>
      </w:r>
      <w:r w:rsidRPr="00AB6A32">
        <w:rPr>
          <w:rStyle w:val="IntenseEmphasis"/>
          <w:rFonts w:ascii="Times New Roman" w:hAnsi="Times New Roman" w:cs="Times New Roman"/>
          <w:noProof/>
          <w:sz w:val="20"/>
          <w:szCs w:val="20"/>
        </w:rPr>
        <w:t>Je et al. (2011)</w:t>
      </w:r>
      <w:r w:rsidR="004E7994" w:rsidRPr="00AB6A32">
        <w:rPr>
          <w:rStyle w:val="IntenseEmphasis"/>
          <w:rFonts w:ascii="Times New Roman" w:hAnsi="Times New Roman" w:cs="Times New Roman"/>
          <w:sz w:val="20"/>
          <w:szCs w:val="20"/>
        </w:rPr>
        <w:fldChar w:fldCharType="end"/>
      </w:r>
      <w:r w:rsidRPr="00AB6A32">
        <w:rPr>
          <w:rFonts w:ascii="Times New Roman" w:hAnsi="Times New Roman" w:cs="Times New Roman"/>
          <w:sz w:val="20"/>
          <w:szCs w:val="20"/>
        </w:rPr>
        <w:t xml:space="preserve"> detected that combined vitamin K2 therapy with vitamin D3 for postmenopausal Japanese women for 6 months significantly decreased UnOc concentration and improved BMD values.</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lastRenderedPageBreak/>
        <w:t>In the present study combined vitamin D &amp; K supplementation in ovariectomized rats for 9 weeks induced a significant decreased in Tartrate Resistant Acid Phosphatase level compared to ovariectomized control rats.</w:t>
      </w:r>
    </w:p>
    <w:p w:rsidR="003E44C4" w:rsidRPr="00AB6A32" w:rsidRDefault="003E44C4" w:rsidP="00AB6A32">
      <w:pPr>
        <w:snapToGrid w:val="0"/>
        <w:spacing w:after="0" w:line="240" w:lineRule="auto"/>
        <w:ind w:firstLine="425"/>
        <w:jc w:val="both"/>
        <w:rPr>
          <w:rFonts w:ascii="Times New Roman" w:hAnsi="Times New Roman" w:cs="Times New Roman"/>
          <w:b/>
          <w:bCs/>
          <w:i/>
          <w:iCs/>
          <w:sz w:val="20"/>
          <w:szCs w:val="20"/>
        </w:rPr>
      </w:pPr>
      <w:r w:rsidRPr="00AB6A32">
        <w:rPr>
          <w:rFonts w:ascii="Times New Roman" w:hAnsi="Times New Roman" w:cs="Times New Roman"/>
          <w:sz w:val="20"/>
          <w:szCs w:val="20"/>
        </w:rPr>
        <w:t>This finding is in consistence with</w:t>
      </w:r>
      <w:r w:rsidRPr="00AB6A32">
        <w:rPr>
          <w:rStyle w:val="IntenseEmphasis"/>
          <w:rFonts w:ascii="Times New Roman" w:hAnsi="Times New Roman" w:cs="Times New Roman"/>
          <w:sz w:val="20"/>
          <w:szCs w:val="20"/>
        </w:rPr>
        <w:t xml:space="preserve"> Lijima et al. (2012) who reported that </w:t>
      </w:r>
      <w:r w:rsidRPr="00AB6A32">
        <w:rPr>
          <w:rFonts w:ascii="Times New Roman" w:hAnsi="Times New Roman" w:cs="Times New Roman"/>
          <w:sz w:val="20"/>
          <w:szCs w:val="20"/>
        </w:rPr>
        <w:t>Both vitamins have been found to down-regulate pro-inflammatory cytokines and biomarkers, proinflammatory imbalances of cytokines such as IL-6 and tumor necrosis factor-alpha (TNF-a) are implicated in osteoporotic bone deterioration through increasing osteoclastogenesis and bone resorption</w:t>
      </w:r>
      <w:r w:rsidR="002E0F84">
        <w:rPr>
          <w:rFonts w:ascii="Times New Roman" w:hAnsi="Times New Roman" w:cs="Times New Roman"/>
          <w:sz w:val="20"/>
          <w:szCs w:val="20"/>
        </w:rPr>
        <w:t xml:space="preserve"> </w:t>
      </w:r>
      <w:r w:rsidRPr="00AB6A32">
        <w:rPr>
          <w:rStyle w:val="IntenseEmphasis"/>
          <w:rFonts w:ascii="Times New Roman" w:hAnsi="Times New Roman" w:cs="Times New Roman"/>
          <w:sz w:val="20"/>
          <w:szCs w:val="20"/>
        </w:rPr>
        <w:t xml:space="preserve">(Bagger et al., 2006). </w:t>
      </w:r>
      <w:r w:rsidRPr="00AB6A32">
        <w:rPr>
          <w:rFonts w:ascii="Times New Roman" w:hAnsi="Times New Roman" w:cs="Times New Roman"/>
          <w:sz w:val="20"/>
          <w:szCs w:val="20"/>
        </w:rPr>
        <w:t>Therefore combined vitamins D and K induce more reduction in bone resorption and more decrease in Tartrate Resistant Acid Phosphatase level.</w:t>
      </w:r>
    </w:p>
    <w:p w:rsidR="003E44C4" w:rsidRPr="00AB6A32" w:rsidRDefault="003E44C4" w:rsidP="00AB6A32">
      <w:pPr>
        <w:snapToGrid w:val="0"/>
        <w:spacing w:after="0" w:line="240" w:lineRule="auto"/>
        <w:ind w:firstLine="425"/>
        <w:jc w:val="both"/>
        <w:rPr>
          <w:rFonts w:ascii="Times New Roman" w:hAnsi="Times New Roman" w:cs="Times New Roman"/>
          <w:sz w:val="20"/>
          <w:szCs w:val="20"/>
        </w:rPr>
      </w:pPr>
      <w:r w:rsidRPr="00AB6A32">
        <w:rPr>
          <w:rFonts w:ascii="Times New Roman" w:hAnsi="Times New Roman" w:cs="Times New Roman"/>
          <w:sz w:val="20"/>
          <w:szCs w:val="20"/>
        </w:rPr>
        <w:t xml:space="preserve">On the other hand </w:t>
      </w:r>
      <w:r w:rsidR="000B3147" w:rsidRPr="00AB6A32">
        <w:rPr>
          <w:rStyle w:val="IntenseEmphasis"/>
          <w:rFonts w:ascii="Times New Roman" w:hAnsi="Times New Roman" w:cs="Times New Roman"/>
          <w:sz w:val="20"/>
          <w:szCs w:val="20"/>
        </w:rPr>
        <w:t>Fu et al.</w:t>
      </w:r>
      <w:r w:rsidRPr="00AB6A32">
        <w:rPr>
          <w:rStyle w:val="IntenseEmphasis"/>
          <w:rFonts w:ascii="Times New Roman" w:hAnsi="Times New Roman" w:cs="Times New Roman"/>
          <w:sz w:val="20"/>
          <w:szCs w:val="20"/>
        </w:rPr>
        <w:t xml:space="preserve"> (2012) </w:t>
      </w:r>
      <w:r w:rsidRPr="00AB6A32">
        <w:rPr>
          <w:rFonts w:ascii="Times New Roman" w:hAnsi="Times New Roman" w:cs="Times New Roman"/>
          <w:sz w:val="20"/>
          <w:szCs w:val="20"/>
        </w:rPr>
        <w:t>reported that phylloquinone, MK4 or MK7 Supplementation in ovariectomized Norway rats fed a diet that meets nutritional requirements for calcium and vitamin D, insignificantly changed Tartrate Resistant Acid Phosphatase level.</w:t>
      </w:r>
    </w:p>
    <w:p w:rsidR="003E44C4" w:rsidRPr="00AB6A32" w:rsidRDefault="003E44C4" w:rsidP="00AB6A32">
      <w:pPr>
        <w:autoSpaceDE w:val="0"/>
        <w:autoSpaceDN w:val="0"/>
        <w:adjustRightInd w:val="0"/>
        <w:snapToGrid w:val="0"/>
        <w:spacing w:after="0" w:line="240" w:lineRule="auto"/>
        <w:ind w:firstLine="425"/>
        <w:jc w:val="both"/>
        <w:rPr>
          <w:rFonts w:ascii="Times New Roman" w:eastAsia="Times New Roman" w:hAnsi="Times New Roman" w:cs="Times New Roman"/>
          <w:b/>
          <w:bCs/>
          <w:color w:val="000000"/>
          <w:sz w:val="20"/>
          <w:szCs w:val="20"/>
          <w:highlight w:val="white"/>
        </w:rPr>
      </w:pPr>
    </w:p>
    <w:p w:rsidR="003E44C4" w:rsidRPr="0030217E" w:rsidRDefault="003E44C4" w:rsidP="0030217E">
      <w:pPr>
        <w:autoSpaceDE w:val="0"/>
        <w:autoSpaceDN w:val="0"/>
        <w:adjustRightInd w:val="0"/>
        <w:snapToGrid w:val="0"/>
        <w:spacing w:after="0" w:line="240" w:lineRule="auto"/>
        <w:jc w:val="both"/>
        <w:rPr>
          <w:rFonts w:ascii="Times New Roman" w:eastAsia="Times New Roman" w:hAnsi="Times New Roman" w:cs="Times New Roman"/>
          <w:b/>
          <w:bCs/>
          <w:sz w:val="20"/>
          <w:szCs w:val="20"/>
          <w:highlight w:val="white"/>
        </w:rPr>
      </w:pPr>
      <w:r w:rsidRPr="0030217E">
        <w:rPr>
          <w:rFonts w:ascii="Times New Roman" w:eastAsia="Times New Roman" w:hAnsi="Times New Roman" w:cs="Times New Roman"/>
          <w:b/>
          <w:bCs/>
          <w:color w:val="000000"/>
          <w:sz w:val="20"/>
          <w:szCs w:val="20"/>
          <w:highlight w:val="white"/>
        </w:rPr>
        <w:t>References:</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Adams, J. and Pepping,</w:t>
      </w:r>
      <w:r w:rsidR="002E0F84">
        <w:rPr>
          <w:bCs/>
          <w:sz w:val="20"/>
          <w:szCs w:val="20"/>
        </w:rPr>
        <w:t xml:space="preserve"> </w:t>
      </w:r>
      <w:r w:rsidRPr="0030217E">
        <w:rPr>
          <w:bCs/>
          <w:sz w:val="20"/>
          <w:szCs w:val="20"/>
        </w:rPr>
        <w:t>J.</w:t>
      </w:r>
      <w:r w:rsidRPr="0030217E">
        <w:rPr>
          <w:sz w:val="20"/>
          <w:szCs w:val="20"/>
        </w:rPr>
        <w:t xml:space="preserve"> (2005) Vitamin K in the treatment and prevention of osteoporosis and arterial calcification. Am J Health Syst Pharm.;62(15):1574-81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Allan, G.</w:t>
      </w:r>
      <w:r w:rsidR="002E0F84">
        <w:rPr>
          <w:bCs/>
          <w:sz w:val="20"/>
          <w:szCs w:val="20"/>
        </w:rPr>
        <w:t>;</w:t>
      </w:r>
      <w:r w:rsidRPr="0030217E">
        <w:rPr>
          <w:bCs/>
          <w:sz w:val="20"/>
          <w:szCs w:val="20"/>
        </w:rPr>
        <w:t xml:space="preserve"> and Need</w:t>
      </w:r>
      <w:r w:rsidRPr="0030217E">
        <w:rPr>
          <w:sz w:val="20"/>
          <w:szCs w:val="20"/>
        </w:rPr>
        <w:t>. (2006) Bone resorption markers in vitamin D insufficiency. Clinica Chimica Acta. Pages 48–52</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Allison J.L.</w:t>
      </w:r>
      <w:r w:rsidR="002E0F84">
        <w:rPr>
          <w:bCs/>
          <w:sz w:val="20"/>
          <w:szCs w:val="20"/>
        </w:rPr>
        <w:t>;</w:t>
      </w:r>
      <w:r w:rsidRPr="0030217E">
        <w:rPr>
          <w:bCs/>
          <w:sz w:val="20"/>
          <w:szCs w:val="20"/>
        </w:rPr>
        <w:t xml:space="preserve"> Stephen H. and Srichord F. </w:t>
      </w:r>
      <w:r w:rsidRPr="0030217E">
        <w:rPr>
          <w:sz w:val="20"/>
          <w:szCs w:val="20"/>
        </w:rPr>
        <w:t>(2000) Measurment of osteocalcin</w:t>
      </w:r>
      <w:r w:rsidR="002E0F84">
        <w:rPr>
          <w:sz w:val="20"/>
          <w:szCs w:val="20"/>
        </w:rPr>
        <w:t>.</w:t>
      </w:r>
      <w:r w:rsidRPr="0030217E">
        <w:rPr>
          <w:sz w:val="20"/>
          <w:szCs w:val="20"/>
        </w:rPr>
        <w:t xml:space="preserve"> Ann Clin Biochem; 37; 432-446</w:t>
      </w:r>
      <w:r w:rsidR="002E0F84">
        <w:rPr>
          <w:rFonts w:eastAsiaTheme="minorEastAsia" w:hint="eastAsia"/>
          <w:sz w:val="20"/>
          <w:szCs w:val="20"/>
          <w:lang w:eastAsia="zh-CN"/>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Ambroszkiewicz, J.</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Klemarczyk, W.</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Gajewska, J.</w:t>
      </w:r>
      <w:proofErr w:type="gramStart"/>
      <w:r w:rsidR="002E0F84">
        <w:rPr>
          <w:bCs/>
          <w:sz w:val="20"/>
          <w:szCs w:val="20"/>
        </w:rPr>
        <w:t>;</w:t>
      </w:r>
      <w:r w:rsidRPr="0030217E">
        <w:rPr>
          <w:bCs/>
          <w:sz w:val="20"/>
          <w:szCs w:val="20"/>
        </w:rPr>
        <w:t>Chełchowska</w:t>
      </w:r>
      <w:proofErr w:type="gramEnd"/>
      <w:r w:rsidRPr="0030217E">
        <w:rPr>
          <w:bCs/>
          <w:sz w:val="20"/>
          <w:szCs w:val="20"/>
        </w:rPr>
        <w:t>, M.</w:t>
      </w:r>
      <w:r w:rsidR="002E0F84">
        <w:rPr>
          <w:bCs/>
          <w:sz w:val="20"/>
          <w:szCs w:val="20"/>
        </w:rPr>
        <w:t>;</w:t>
      </w:r>
      <w:r w:rsidRPr="0030217E">
        <w:rPr>
          <w:bCs/>
          <w:sz w:val="20"/>
          <w:szCs w:val="20"/>
        </w:rPr>
        <w:t>Strucińska, M.;</w:t>
      </w:r>
      <w:r w:rsidR="002E0F84">
        <w:rPr>
          <w:rFonts w:eastAsiaTheme="minorEastAsia" w:hint="eastAsia"/>
          <w:bCs/>
          <w:sz w:val="20"/>
          <w:szCs w:val="20"/>
          <w:lang w:eastAsia="zh-CN"/>
        </w:rPr>
        <w:t xml:space="preserve"> </w:t>
      </w:r>
      <w:r w:rsidRPr="0030217E">
        <w:rPr>
          <w:bCs/>
          <w:sz w:val="20"/>
          <w:szCs w:val="20"/>
        </w:rPr>
        <w:t>Ołtarzewski, M. and Laskowska-Klita, T.</w:t>
      </w:r>
      <w:r w:rsidRPr="0030217E">
        <w:rPr>
          <w:sz w:val="20"/>
          <w:szCs w:val="20"/>
        </w:rPr>
        <w:t xml:space="preserve"> (2009) Effect of vitamin D supplementation on serum 25-hydroxyvitamin D and bone turnover markers concentrations in vegetarian children. Med Wieku Rozwoj.</w:t>
      </w:r>
      <w:proofErr w:type="gramStart"/>
      <w:r w:rsidRPr="0030217E">
        <w:rPr>
          <w:sz w:val="20"/>
          <w:szCs w:val="20"/>
        </w:rPr>
        <w:t>;13</w:t>
      </w:r>
      <w:proofErr w:type="gramEnd"/>
      <w:r w:rsidRPr="0030217E">
        <w:rPr>
          <w:sz w:val="20"/>
          <w:szCs w:val="20"/>
        </w:rPr>
        <w:t>(1):34-9</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sz w:val="20"/>
          <w:szCs w:val="20"/>
        </w:rPr>
        <w:t>Angel NZ, Walsh N, Forwood MR, Ostrowski MC, Cassady AI, Hume DA (2000). "Transgenic mice overexpressing tartrate-resistant acid phosphatase exhibit an increased rate of bone turnover". J. Bone Miner. Res. 15 (1): 103–10.</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Angela, M.C.; Lianne, T.; Yuna, L.; George, T.; Gillian, H.; Judy, S.; Hanxian, H; Reinhold, V.; Lilian, T.; Sophie, J. and Robert, J.</w:t>
      </w:r>
      <w:r w:rsidRPr="0030217E">
        <w:rPr>
          <w:sz w:val="20"/>
          <w:szCs w:val="20"/>
        </w:rPr>
        <w:t xml:space="preserve"> (2008)</w:t>
      </w:r>
      <w:r w:rsidR="002E0F84">
        <w:rPr>
          <w:sz w:val="20"/>
          <w:szCs w:val="20"/>
        </w:rPr>
        <w:t xml:space="preserve"> </w:t>
      </w:r>
      <w:r w:rsidRPr="0030217E">
        <w:rPr>
          <w:sz w:val="20"/>
          <w:szCs w:val="20"/>
        </w:rPr>
        <w:t>Vitamin K Supplementation in Postmenopausal Women with Osteopenia (ECKO Trial): A Randomized Controlled Trial</w:t>
      </w:r>
      <w:r w:rsidR="002E0F84">
        <w:rPr>
          <w:sz w:val="20"/>
          <w:szCs w:val="20"/>
        </w:rPr>
        <w:t xml:space="preserve"> </w:t>
      </w:r>
      <w:r w:rsidRPr="0030217E">
        <w:rPr>
          <w:sz w:val="20"/>
          <w:szCs w:val="20"/>
        </w:rPr>
        <w:t>PLoS Med; 5(10): 1–12</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Atkins, GJ.</w:t>
      </w:r>
      <w:proofErr w:type="gramStart"/>
      <w:r w:rsidR="002E0F84">
        <w:rPr>
          <w:bCs/>
          <w:sz w:val="20"/>
          <w:szCs w:val="20"/>
        </w:rPr>
        <w:t>;</w:t>
      </w:r>
      <w:r w:rsidRPr="0030217E">
        <w:rPr>
          <w:bCs/>
          <w:sz w:val="20"/>
          <w:szCs w:val="20"/>
        </w:rPr>
        <w:t>Welldon</w:t>
      </w:r>
      <w:proofErr w:type="gramEnd"/>
      <w:r w:rsidRPr="0030217E">
        <w:rPr>
          <w:bCs/>
          <w:sz w:val="20"/>
          <w:szCs w:val="20"/>
        </w:rPr>
        <w:t>, KJ.</w:t>
      </w:r>
      <w:r w:rsidR="002E0F84">
        <w:rPr>
          <w:bCs/>
          <w:sz w:val="20"/>
          <w:szCs w:val="20"/>
        </w:rPr>
        <w:t>;</w:t>
      </w:r>
      <w:r w:rsidRPr="0030217E">
        <w:rPr>
          <w:bCs/>
          <w:sz w:val="20"/>
          <w:szCs w:val="20"/>
        </w:rPr>
        <w:t>Wijenayaka, AR.</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Bonewald, L. and Findlay, DM.</w:t>
      </w:r>
      <w:r w:rsidRPr="0030217E">
        <w:rPr>
          <w:sz w:val="20"/>
          <w:szCs w:val="20"/>
        </w:rPr>
        <w:t xml:space="preserve"> (2009) Vitamin </w:t>
      </w:r>
      <w:r w:rsidRPr="0030217E">
        <w:rPr>
          <w:sz w:val="20"/>
          <w:szCs w:val="20"/>
        </w:rPr>
        <w:lastRenderedPageBreak/>
        <w:t>K promotes mineralization;osteoblast to osteocyte transition;and an anti-catabolic phenotype by γ-carboxylation-dependent and -independent mechanisms. Am J Physiol Cell Physiol.</w:t>
      </w:r>
      <w:proofErr w:type="gramStart"/>
      <w:r w:rsidRPr="0030217E">
        <w:rPr>
          <w:sz w:val="20"/>
          <w:szCs w:val="20"/>
        </w:rPr>
        <w:t>;10.1152</w:t>
      </w:r>
      <w:proofErr w:type="gramEnd"/>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Autier, P.; Haentjens, P.; Bentin, J.; Baillon, J.M.; Grivegnee. A.R</w:t>
      </w:r>
      <w:proofErr w:type="gramStart"/>
      <w:r w:rsidRPr="0030217E">
        <w:rPr>
          <w:bCs/>
          <w:sz w:val="20"/>
          <w:szCs w:val="20"/>
        </w:rPr>
        <w:t>,;</w:t>
      </w:r>
      <w:proofErr w:type="gramEnd"/>
      <w:r w:rsidRPr="0030217E">
        <w:rPr>
          <w:bCs/>
          <w:sz w:val="20"/>
          <w:szCs w:val="20"/>
        </w:rPr>
        <w:t xml:space="preserve"> Closon, M.C. and Boonen, S.</w:t>
      </w:r>
      <w:r w:rsidRPr="0030217E">
        <w:rPr>
          <w:sz w:val="20"/>
          <w:szCs w:val="20"/>
        </w:rPr>
        <w:t xml:space="preserve"> (2000) Costs induced by hip fractures: a prospective controlled study in Belgium. Belgian Hip Fracture Study Group. Osteoporos Int</w:t>
      </w:r>
      <w:proofErr w:type="gramStart"/>
      <w:r w:rsidR="002E0F84">
        <w:rPr>
          <w:sz w:val="20"/>
          <w:szCs w:val="20"/>
        </w:rPr>
        <w:t>;</w:t>
      </w:r>
      <w:r w:rsidRPr="0030217E">
        <w:rPr>
          <w:sz w:val="20"/>
          <w:szCs w:val="20"/>
        </w:rPr>
        <w:t>11:373</w:t>
      </w:r>
      <w:proofErr w:type="gramEnd"/>
      <w:r w:rsidRPr="0030217E">
        <w:rPr>
          <w:sz w:val="20"/>
          <w:szCs w:val="20"/>
        </w:rPr>
        <w:t>-380</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 xml:space="preserve">Bagger, </w:t>
      </w:r>
      <w:proofErr w:type="gramStart"/>
      <w:r w:rsidRPr="0030217E">
        <w:rPr>
          <w:bCs/>
          <w:sz w:val="20"/>
          <w:szCs w:val="20"/>
        </w:rPr>
        <w:t>YZ.</w:t>
      </w:r>
      <w:r w:rsidR="002E0F84">
        <w:rPr>
          <w:bCs/>
          <w:sz w:val="20"/>
          <w:szCs w:val="20"/>
        </w:rPr>
        <w:t>;</w:t>
      </w:r>
      <w:proofErr w:type="gramEnd"/>
      <w:r w:rsidR="002E0F84">
        <w:rPr>
          <w:rFonts w:eastAsiaTheme="minorEastAsia" w:hint="eastAsia"/>
          <w:bCs/>
          <w:sz w:val="20"/>
          <w:szCs w:val="20"/>
          <w:lang w:eastAsia="zh-CN"/>
        </w:rPr>
        <w:t xml:space="preserve"> </w:t>
      </w:r>
      <w:r w:rsidRPr="0030217E">
        <w:rPr>
          <w:bCs/>
          <w:sz w:val="20"/>
          <w:szCs w:val="20"/>
        </w:rPr>
        <w:t>Tanko, LB.</w:t>
      </w:r>
      <w:r w:rsidR="002E0F84">
        <w:rPr>
          <w:bCs/>
          <w:sz w:val="20"/>
          <w:szCs w:val="20"/>
        </w:rPr>
        <w:t>;</w:t>
      </w:r>
      <w:r w:rsidRPr="0030217E">
        <w:rPr>
          <w:bCs/>
          <w:sz w:val="20"/>
          <w:szCs w:val="20"/>
        </w:rPr>
        <w:t>Alexandersen, P.;et al.</w:t>
      </w:r>
      <w:r w:rsidRPr="0030217E">
        <w:rPr>
          <w:sz w:val="20"/>
          <w:szCs w:val="20"/>
        </w:rPr>
        <w:t xml:space="preserve"> (2006) Radiographic measure of aorta calcification is a site-specific predictor of bone loss and fracture risk at the hip. J Intern Med.</w:t>
      </w:r>
      <w:proofErr w:type="gramStart"/>
      <w:r w:rsidRPr="0030217E">
        <w:rPr>
          <w:sz w:val="20"/>
          <w:szCs w:val="20"/>
        </w:rPr>
        <w:t>;259:598</w:t>
      </w:r>
      <w:proofErr w:type="gramEnd"/>
      <w:r w:rsidRPr="0030217E">
        <w:rPr>
          <w:sz w:val="20"/>
          <w:szCs w:val="20"/>
        </w:rPr>
        <w:t>-605</w:t>
      </w:r>
      <w:r w:rsidRPr="0030217E">
        <w:rPr>
          <w:rFonts w:hint="cs"/>
          <w:sz w:val="20"/>
          <w:szCs w:val="20"/>
        </w:rPr>
        <w:t>.</w:t>
      </w:r>
    </w:p>
    <w:p w:rsidR="003E44C4" w:rsidRPr="002E0F84" w:rsidRDefault="003E44C4" w:rsidP="0030217E">
      <w:pPr>
        <w:pStyle w:val="ListParagraph"/>
        <w:numPr>
          <w:ilvl w:val="0"/>
          <w:numId w:val="4"/>
        </w:numPr>
        <w:snapToGrid w:val="0"/>
        <w:spacing w:before="0" w:line="240" w:lineRule="auto"/>
        <w:jc w:val="both"/>
        <w:rPr>
          <w:sz w:val="20"/>
          <w:szCs w:val="20"/>
        </w:rPr>
      </w:pPr>
      <w:r w:rsidRPr="002E0F84">
        <w:rPr>
          <w:bCs/>
          <w:sz w:val="20"/>
          <w:szCs w:val="20"/>
        </w:rPr>
        <w:t>Bakhtyar Tartibian; Behzad Hajizadeh Maleki;</w:t>
      </w:r>
      <w:r w:rsidR="002E0F84" w:rsidRPr="002E0F84">
        <w:rPr>
          <w:bCs/>
          <w:sz w:val="20"/>
          <w:szCs w:val="20"/>
        </w:rPr>
        <w:t xml:space="preserve"> </w:t>
      </w:r>
      <w:r w:rsidRPr="002E0F84">
        <w:rPr>
          <w:bCs/>
          <w:sz w:val="20"/>
          <w:szCs w:val="20"/>
        </w:rPr>
        <w:t>Jill Kanaley; and</w:t>
      </w:r>
      <w:r w:rsidR="002E0F84" w:rsidRPr="002E0F84">
        <w:rPr>
          <w:rFonts w:eastAsiaTheme="minorEastAsia" w:hint="eastAsia"/>
          <w:bCs/>
          <w:sz w:val="20"/>
          <w:szCs w:val="20"/>
          <w:lang w:eastAsia="zh-CN"/>
        </w:rPr>
        <w:t xml:space="preserve"> </w:t>
      </w:r>
      <w:r w:rsidRPr="002E0F84">
        <w:rPr>
          <w:bCs/>
          <w:sz w:val="20"/>
          <w:szCs w:val="20"/>
        </w:rPr>
        <w:t xml:space="preserve">Karim Sadeghi. </w:t>
      </w:r>
      <w:r w:rsidRPr="002E0F84">
        <w:rPr>
          <w:sz w:val="20"/>
          <w:szCs w:val="20"/>
        </w:rPr>
        <w:t>(2011) Long-term aerobic exercise and omega-3</w:t>
      </w:r>
      <w:r w:rsidR="002E0F84" w:rsidRPr="002E0F84">
        <w:rPr>
          <w:rFonts w:eastAsiaTheme="minorEastAsia" w:hint="eastAsia"/>
          <w:sz w:val="20"/>
          <w:szCs w:val="20"/>
          <w:lang w:eastAsia="zh-CN"/>
        </w:rPr>
        <w:t>.</w:t>
      </w:r>
      <w:r w:rsidR="002E0F84">
        <w:rPr>
          <w:rFonts w:eastAsiaTheme="minorEastAsia" w:hint="eastAsia"/>
          <w:sz w:val="20"/>
          <w:szCs w:val="20"/>
          <w:lang w:eastAsia="zh-CN"/>
        </w:rPr>
        <w:t xml:space="preserve"> </w:t>
      </w:r>
      <w:r w:rsidRPr="002E0F84">
        <w:rPr>
          <w:sz w:val="20"/>
          <w:szCs w:val="20"/>
        </w:rPr>
        <w:t>supplementation modulate osteoporosis through inflammatory mechanisms in post-menopausal women: a randomized; repeated measures study</w:t>
      </w:r>
      <w:r w:rsidR="002E0F84" w:rsidRPr="002E0F84">
        <w:rPr>
          <w:sz w:val="20"/>
          <w:szCs w:val="20"/>
        </w:rPr>
        <w:t>.</w:t>
      </w:r>
      <w:r w:rsidRPr="002E0F84">
        <w:rPr>
          <w:sz w:val="20"/>
          <w:szCs w:val="20"/>
        </w:rPr>
        <w:t xml:space="preserve"> Nutr Metab (Lond); 8: 71.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Barnes, MS.</w:t>
      </w:r>
      <w:proofErr w:type="gramStart"/>
      <w:r w:rsidR="002E0F84">
        <w:rPr>
          <w:bCs/>
          <w:sz w:val="20"/>
          <w:szCs w:val="20"/>
        </w:rPr>
        <w:t>;</w:t>
      </w:r>
      <w:r w:rsidRPr="0030217E">
        <w:rPr>
          <w:bCs/>
          <w:sz w:val="20"/>
          <w:szCs w:val="20"/>
        </w:rPr>
        <w:t>Robson</w:t>
      </w:r>
      <w:proofErr w:type="gramEnd"/>
      <w:r w:rsidRPr="0030217E">
        <w:rPr>
          <w:bCs/>
          <w:sz w:val="20"/>
          <w:szCs w:val="20"/>
        </w:rPr>
        <w:t>, PJ.</w:t>
      </w:r>
      <w:r w:rsidR="002E0F84">
        <w:rPr>
          <w:bCs/>
          <w:sz w:val="20"/>
          <w:szCs w:val="20"/>
        </w:rPr>
        <w:t>;</w:t>
      </w:r>
      <w:r w:rsidRPr="0030217E">
        <w:rPr>
          <w:bCs/>
          <w:sz w:val="20"/>
          <w:szCs w:val="20"/>
        </w:rPr>
        <w:t>Bonham, MP.</w:t>
      </w:r>
      <w:r w:rsidR="002E0F84">
        <w:rPr>
          <w:bCs/>
          <w:sz w:val="20"/>
          <w:szCs w:val="20"/>
        </w:rPr>
        <w:t>;</w:t>
      </w:r>
      <w:r w:rsidRPr="0030217E">
        <w:rPr>
          <w:bCs/>
          <w:sz w:val="20"/>
          <w:szCs w:val="20"/>
        </w:rPr>
        <w:t xml:space="preserve">Strain, JJ. </w:t>
      </w:r>
      <w:proofErr w:type="gramStart"/>
      <w:r w:rsidRPr="0030217E">
        <w:rPr>
          <w:bCs/>
          <w:sz w:val="20"/>
          <w:szCs w:val="20"/>
        </w:rPr>
        <w:t>and</w:t>
      </w:r>
      <w:proofErr w:type="gramEnd"/>
      <w:r w:rsidRPr="0030217E">
        <w:rPr>
          <w:bCs/>
          <w:sz w:val="20"/>
          <w:szCs w:val="20"/>
        </w:rPr>
        <w:t xml:space="preserve"> Wallace, JM.</w:t>
      </w:r>
      <w:r w:rsidRPr="0030217E">
        <w:rPr>
          <w:sz w:val="20"/>
          <w:szCs w:val="20"/>
        </w:rPr>
        <w:t xml:space="preserve"> (2006) Effect of vitamin D supplementation on vitamin D status and bone turnover markers in young adults. European Journal of Clinical Nutrition.</w:t>
      </w:r>
      <w:proofErr w:type="gramStart"/>
      <w:r w:rsidRPr="0030217E">
        <w:rPr>
          <w:sz w:val="20"/>
          <w:szCs w:val="20"/>
        </w:rPr>
        <w:t>;60</w:t>
      </w:r>
      <w:proofErr w:type="gramEnd"/>
      <w:r w:rsidRPr="0030217E">
        <w:rPr>
          <w:sz w:val="20"/>
          <w:szCs w:val="20"/>
        </w:rPr>
        <w:t>;727–733</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Binkley, N. C.; Krueger, D. C.; Engelke, J. A.; Foley, A. L.; and Suttie, J. W.</w:t>
      </w:r>
      <w:r w:rsidRPr="0030217E">
        <w:rPr>
          <w:sz w:val="20"/>
          <w:szCs w:val="20"/>
        </w:rPr>
        <w:t xml:space="preserve"> (2009a, December). Vitamin K supplementation reduces serum concentrations of under-gamma-carboxylated osteocalcin in healthy young and elderly adults. The American Journal of Clinical Nutrition</w:t>
      </w:r>
      <w:proofErr w:type="gramStart"/>
      <w:r w:rsidRPr="0030217E">
        <w:rPr>
          <w:sz w:val="20"/>
          <w:szCs w:val="20"/>
        </w:rPr>
        <w:t>;72:1523</w:t>
      </w:r>
      <w:proofErr w:type="gramEnd"/>
      <w:r w:rsidRPr="0030217E">
        <w:rPr>
          <w:sz w:val="20"/>
          <w:szCs w:val="20"/>
        </w:rPr>
        <w:t>-1531.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Body, J.J.; Bergmann, P.; Boonen, S.; Boutsen, Y.; Devogelaer, J.P.; Goemaere, S.; Kaufman, J.M.; Rozenberg, S. and Reginster, J.Y</w:t>
      </w:r>
      <w:r w:rsidRPr="0030217E">
        <w:rPr>
          <w:sz w:val="20"/>
          <w:szCs w:val="20"/>
        </w:rPr>
        <w:t>.(2010) Evidence-based guidelines for the pharmacological treatment of postmenopausal osteoporosis: a consensus document by the Belgian Bone Club. Osteoporos Int</w:t>
      </w:r>
      <w:proofErr w:type="gramStart"/>
      <w:r w:rsidR="002E0F84">
        <w:rPr>
          <w:sz w:val="20"/>
          <w:szCs w:val="20"/>
        </w:rPr>
        <w:t>;</w:t>
      </w:r>
      <w:r w:rsidRPr="0030217E">
        <w:rPr>
          <w:sz w:val="20"/>
          <w:szCs w:val="20"/>
        </w:rPr>
        <w:t>21:1657</w:t>
      </w:r>
      <w:proofErr w:type="gramEnd"/>
      <w:r w:rsidRPr="0030217E">
        <w:rPr>
          <w:sz w:val="20"/>
          <w:szCs w:val="20"/>
        </w:rPr>
        <w:t>-1680</w:t>
      </w:r>
      <w:r w:rsidR="002E0F84">
        <w:rPr>
          <w:rFonts w:eastAsiaTheme="minorEastAsia" w:hint="eastAsia"/>
          <w:sz w:val="20"/>
          <w:szCs w:val="20"/>
          <w:lang w:eastAsia="zh-CN"/>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Bonjour, J.P.; Benoit, V.; Pourchaire, O.; Ferry, M.; Rousseau, B.; and Souberbielle, J.C.</w:t>
      </w:r>
      <w:r w:rsidRPr="0030217E">
        <w:rPr>
          <w:sz w:val="20"/>
          <w:szCs w:val="20"/>
        </w:rPr>
        <w:t xml:space="preserve"> (2009). Inhibition of markers of bone resorption by consumption of vitamin D and calcium-fortified soft plain cheese by institutionalised elderly women. The British Journal of Nutrition, 102(7), 962–6.</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Bonnet, N.; and Ferrari, S. L.</w:t>
      </w:r>
      <w:r w:rsidRPr="0030217E">
        <w:rPr>
          <w:sz w:val="20"/>
          <w:szCs w:val="20"/>
        </w:rPr>
        <w:t xml:space="preserve"> (2010). Exercise and the skeleton: How it works and what it really does. IBMS Bone</w:t>
      </w:r>
      <w:r w:rsidR="002E0F84">
        <w:rPr>
          <w:rFonts w:eastAsiaTheme="minorEastAsia" w:hint="eastAsia"/>
          <w:sz w:val="20"/>
          <w:szCs w:val="20"/>
          <w:lang w:eastAsia="zh-CN"/>
        </w:rPr>
        <w:t xml:space="preserve"> </w:t>
      </w:r>
      <w:proofErr w:type="gramStart"/>
      <w:r w:rsidRPr="0030217E">
        <w:rPr>
          <w:sz w:val="20"/>
          <w:szCs w:val="20"/>
        </w:rPr>
        <w:t>KEy.</w:t>
      </w:r>
      <w:r w:rsidR="002E0F84">
        <w:rPr>
          <w:sz w:val="20"/>
          <w:szCs w:val="20"/>
        </w:rPr>
        <w:t>;</w:t>
      </w:r>
      <w:proofErr w:type="gramEnd"/>
      <w:r w:rsidRPr="0030217E">
        <w:rPr>
          <w:sz w:val="20"/>
          <w:szCs w:val="20"/>
        </w:rPr>
        <w:t xml:space="preserve"> 27:1112- 1121.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Bügel, S.</w:t>
      </w:r>
      <w:r w:rsidR="002E0F84">
        <w:rPr>
          <w:bCs/>
          <w:sz w:val="20"/>
          <w:szCs w:val="20"/>
        </w:rPr>
        <w:t>;</w:t>
      </w:r>
      <w:r w:rsidRPr="0030217E">
        <w:rPr>
          <w:bCs/>
          <w:sz w:val="20"/>
          <w:szCs w:val="20"/>
        </w:rPr>
        <w:t>Sørensen, AD.</w:t>
      </w:r>
      <w:r w:rsidR="002E0F84">
        <w:rPr>
          <w:bCs/>
          <w:sz w:val="20"/>
          <w:szCs w:val="20"/>
        </w:rPr>
        <w:t>;</w:t>
      </w:r>
      <w:r w:rsidRPr="0030217E">
        <w:rPr>
          <w:bCs/>
          <w:sz w:val="20"/>
          <w:szCs w:val="20"/>
        </w:rPr>
        <w:t>Hels, O.</w:t>
      </w:r>
      <w:r w:rsidR="002E0F84">
        <w:rPr>
          <w:bCs/>
          <w:sz w:val="20"/>
          <w:szCs w:val="20"/>
        </w:rPr>
        <w:t>;</w:t>
      </w:r>
      <w:r w:rsidRPr="0030217E">
        <w:rPr>
          <w:bCs/>
          <w:sz w:val="20"/>
          <w:szCs w:val="20"/>
        </w:rPr>
        <w:t>Kristensen, M.</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Vermeer, C.</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Jakobsen, J.</w:t>
      </w:r>
      <w:r w:rsidR="002E0F84">
        <w:rPr>
          <w:bCs/>
          <w:sz w:val="20"/>
          <w:szCs w:val="20"/>
        </w:rPr>
        <w:t>;</w:t>
      </w:r>
      <w:r w:rsidRPr="0030217E">
        <w:rPr>
          <w:bCs/>
          <w:sz w:val="20"/>
          <w:szCs w:val="20"/>
        </w:rPr>
        <w:t>Flynn, A.</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Mølgaard, C. and Cashman, KD.</w:t>
      </w:r>
      <w:r w:rsidRPr="0030217E">
        <w:rPr>
          <w:sz w:val="20"/>
          <w:szCs w:val="20"/>
        </w:rPr>
        <w:t xml:space="preserve"> (2007) Effect </w:t>
      </w:r>
      <w:r w:rsidRPr="0030217E">
        <w:rPr>
          <w:sz w:val="20"/>
          <w:szCs w:val="20"/>
        </w:rPr>
        <w:lastRenderedPageBreak/>
        <w:t>of phylloquinone supplementation on biochemical markers of vitamin K status and bone turnover in postmenopausal women. Br J Nutr.</w:t>
      </w:r>
      <w:proofErr w:type="gramStart"/>
      <w:r w:rsidRPr="0030217E">
        <w:rPr>
          <w:sz w:val="20"/>
          <w:szCs w:val="20"/>
        </w:rPr>
        <w:t>;97</w:t>
      </w:r>
      <w:proofErr w:type="gramEnd"/>
      <w:r w:rsidRPr="0030217E">
        <w:rPr>
          <w:sz w:val="20"/>
          <w:szCs w:val="20"/>
        </w:rPr>
        <w:t>(2):373-80</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Carstanjen, B.; Amory, H.; Sulon, J.; Hars, O.; Remy, B.; Langlois, P.; and Lepage, O. M</w:t>
      </w:r>
      <w:r w:rsidRPr="0030217E">
        <w:rPr>
          <w:sz w:val="20"/>
          <w:szCs w:val="20"/>
        </w:rPr>
        <w:t>. (2005). Serum osteocalcin and CTX-MMP concentration in young exercising thoroughbred racehorses. Journal of veterinary medicine. A, Physiology, Pathology, Clinical Medicine, 52(3), 114–20.</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Cheung, A.M.; Tile, L.; Lee, Y.; Tomlinson, G.; Hawker, G.; Scher, J.; Hu, H.; Vieth, R.; Thompson, L.; Jamal, S. and Josse, R</w:t>
      </w:r>
      <w:r w:rsidR="002E0F84">
        <w:rPr>
          <w:sz w:val="20"/>
          <w:szCs w:val="20"/>
        </w:rPr>
        <w:t>.</w:t>
      </w:r>
      <w:r w:rsidRPr="0030217E">
        <w:rPr>
          <w:sz w:val="20"/>
          <w:szCs w:val="20"/>
        </w:rPr>
        <w:t>(2008) Vitamin K supplementation in postmenopausal women with osteopenia (ECKO trial): a randomized controlled trial.PLoS Med. 14;5(10):e196</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David Hunter</w:t>
      </w:r>
      <w:r w:rsidR="002E0F84">
        <w:rPr>
          <w:bCs/>
          <w:sz w:val="20"/>
          <w:szCs w:val="20"/>
        </w:rPr>
        <w:t>;</w:t>
      </w:r>
      <w:r w:rsidRPr="0030217E">
        <w:rPr>
          <w:bCs/>
          <w:sz w:val="20"/>
          <w:szCs w:val="20"/>
        </w:rPr>
        <w:t>Philippa Major</w:t>
      </w:r>
      <w:r w:rsidR="002E0F84">
        <w:rPr>
          <w:bCs/>
          <w:sz w:val="20"/>
          <w:szCs w:val="20"/>
        </w:rPr>
        <w:t>;</w:t>
      </w:r>
      <w:r w:rsidRPr="0030217E">
        <w:rPr>
          <w:bCs/>
          <w:sz w:val="20"/>
          <w:szCs w:val="20"/>
        </w:rPr>
        <w:t>Nigel Arden</w:t>
      </w:r>
      <w:r w:rsidR="002E0F84">
        <w:rPr>
          <w:bCs/>
          <w:sz w:val="20"/>
          <w:szCs w:val="20"/>
        </w:rPr>
        <w:t>;</w:t>
      </w:r>
      <w:r w:rsidRPr="0030217E">
        <w:rPr>
          <w:bCs/>
          <w:sz w:val="20"/>
          <w:szCs w:val="20"/>
        </w:rPr>
        <w:t xml:space="preserve"> Swaminathan,</w:t>
      </w:r>
      <w:r w:rsidR="002E0F84">
        <w:rPr>
          <w:bCs/>
          <w:sz w:val="20"/>
          <w:szCs w:val="20"/>
        </w:rPr>
        <w:t>;</w:t>
      </w:r>
      <w:r w:rsidRPr="0030217E">
        <w:rPr>
          <w:bCs/>
          <w:sz w:val="20"/>
          <w:szCs w:val="20"/>
        </w:rPr>
        <w:t xml:space="preserve">Toby Andrew, </w:t>
      </w:r>
      <w:r w:rsidRPr="0030217E">
        <w:rPr>
          <w:bCs/>
          <w:i/>
          <w:iCs/>
          <w:sz w:val="20"/>
          <w:szCs w:val="20"/>
        </w:rPr>
        <w:t>et al.</w:t>
      </w:r>
      <w:r w:rsidRPr="0030217E">
        <w:rPr>
          <w:sz w:val="20"/>
          <w:szCs w:val="20"/>
        </w:rPr>
        <w:t xml:space="preserve"> (2000) Randomized Controlled Trial of Vitamin D Supplementation on Preventing Postmenopausal Bone Loss and Modifying Bone Metabolism Using Identical Twin Pairs Journal of Bone and Mineral Research.;2276–2283</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Dolbow, D.R.; Gorgey, A.S.; Daniels, J.A.; Adler, R.A.; Moore, J.R. and Gater, D.R.</w:t>
      </w:r>
      <w:r w:rsidRPr="0030217E">
        <w:rPr>
          <w:sz w:val="20"/>
          <w:szCs w:val="20"/>
        </w:rPr>
        <w:t xml:space="preserve"> (2011) </w:t>
      </w:r>
      <w:proofErr w:type="gramStart"/>
      <w:r w:rsidRPr="0030217E">
        <w:rPr>
          <w:sz w:val="20"/>
          <w:szCs w:val="20"/>
        </w:rPr>
        <w:t>The</w:t>
      </w:r>
      <w:proofErr w:type="gramEnd"/>
      <w:r w:rsidRPr="0030217E">
        <w:rPr>
          <w:sz w:val="20"/>
          <w:szCs w:val="20"/>
        </w:rPr>
        <w:t xml:space="preserve"> effects of spinal cord injury and exercise on bone mass: A literature review. Neuro</w:t>
      </w:r>
      <w:r w:rsidR="002E0F84">
        <w:rPr>
          <w:rFonts w:eastAsiaTheme="minorEastAsia" w:hint="eastAsia"/>
          <w:sz w:val="20"/>
          <w:szCs w:val="20"/>
          <w:lang w:eastAsia="zh-CN"/>
        </w:rPr>
        <w:t xml:space="preserve"> </w:t>
      </w:r>
      <w:r w:rsidRPr="0030217E">
        <w:rPr>
          <w:sz w:val="20"/>
          <w:szCs w:val="20"/>
        </w:rPr>
        <w:t>Rehabilitation. 1</w:t>
      </w:r>
      <w:proofErr w:type="gramStart"/>
      <w:r w:rsidRPr="0030217E">
        <w:rPr>
          <w:sz w:val="20"/>
          <w:szCs w:val="20"/>
        </w:rPr>
        <w:t>;29</w:t>
      </w:r>
      <w:proofErr w:type="gramEnd"/>
      <w:r w:rsidRPr="0030217E">
        <w:rPr>
          <w:sz w:val="20"/>
          <w:szCs w:val="20"/>
        </w:rPr>
        <w:t>(3):261-9</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El Khassawna T, Böcker W, Govindarajan P, Schliefke N, Hürter B, et al. (2013)</w:t>
      </w:r>
      <w:r w:rsidRPr="0030217E">
        <w:rPr>
          <w:sz w:val="20"/>
          <w:szCs w:val="20"/>
        </w:rPr>
        <w:t>: Effects of Multi-Deficiencies-Diet on Bone Parameters of Peripheral Bone in Ovariectomized Mature Rat. PLoS ONE 8(8): e71665.</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 xml:space="preserve">Fanxin, L. </w:t>
      </w:r>
      <w:r w:rsidRPr="0030217E">
        <w:rPr>
          <w:sz w:val="20"/>
          <w:szCs w:val="20"/>
        </w:rPr>
        <w:t xml:space="preserve">(January 2012) </w:t>
      </w:r>
      <w:hyperlink r:id="rId32" w:history="1">
        <w:r w:rsidRPr="0030217E">
          <w:rPr>
            <w:rStyle w:val="Hyperlink"/>
            <w:color w:val="auto"/>
            <w:sz w:val="20"/>
            <w:szCs w:val="20"/>
            <w:u w:val="none"/>
          </w:rPr>
          <w:t>Building strong bones: molecular regulation of the osteoblast lineage</w:t>
        </w:r>
      </w:hyperlink>
      <w:r w:rsidRPr="0030217E">
        <w:rPr>
          <w:sz w:val="20"/>
          <w:szCs w:val="20"/>
        </w:rPr>
        <w:t>.</w:t>
      </w:r>
      <w:r w:rsidR="002E0F84">
        <w:rPr>
          <w:rFonts w:eastAsiaTheme="minorEastAsia" w:hint="eastAsia"/>
          <w:sz w:val="20"/>
          <w:szCs w:val="20"/>
          <w:lang w:eastAsia="zh-CN"/>
        </w:rPr>
        <w:t xml:space="preserve"> </w:t>
      </w:r>
      <w:r w:rsidRPr="0030217E">
        <w:rPr>
          <w:sz w:val="20"/>
          <w:szCs w:val="20"/>
        </w:rPr>
        <w:t>Nature Reviews Molecular Cell Biology; 13, 27-38</w:t>
      </w:r>
      <w:r w:rsidR="002E0F84">
        <w:rPr>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sz w:val="20"/>
          <w:szCs w:val="20"/>
        </w:rPr>
        <w:t>Ferron, M.</w:t>
      </w:r>
      <w:r w:rsidR="002E0F84">
        <w:rPr>
          <w:sz w:val="20"/>
          <w:szCs w:val="20"/>
        </w:rPr>
        <w:t>;</w:t>
      </w:r>
      <w:r w:rsidRPr="0030217E">
        <w:rPr>
          <w:sz w:val="20"/>
          <w:szCs w:val="20"/>
        </w:rPr>
        <w:t>Hinoi, E.</w:t>
      </w:r>
      <w:r w:rsidR="002E0F84">
        <w:rPr>
          <w:sz w:val="20"/>
          <w:szCs w:val="20"/>
        </w:rPr>
        <w:t>;</w:t>
      </w:r>
      <w:r w:rsidRPr="0030217E">
        <w:rPr>
          <w:sz w:val="20"/>
          <w:szCs w:val="20"/>
        </w:rPr>
        <w:t>Karsenty, G. and Ducy, P. (2008) Osteocalcin differentially regulates beta cell and adipocyte gene expression and affects the development of metabolic diseases in wild-type mice. Proc Natl Acad Sci USA.</w:t>
      </w:r>
      <w:proofErr w:type="gramStart"/>
      <w:r w:rsidRPr="0030217E">
        <w:rPr>
          <w:sz w:val="20"/>
          <w:szCs w:val="20"/>
        </w:rPr>
        <w:t>;105</w:t>
      </w:r>
      <w:proofErr w:type="gramEnd"/>
      <w:r w:rsidRPr="0030217E">
        <w:rPr>
          <w:sz w:val="20"/>
          <w:szCs w:val="20"/>
        </w:rPr>
        <w:t>: 5266– 5270</w:t>
      </w:r>
      <w:r w:rsidRPr="0030217E">
        <w:rPr>
          <w:rFonts w:eastAsia="Arial"/>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 xml:space="preserve">Fernández-Real, J. M.; Izquierdo, M.; Ortega, F.; Gorostiaga, E.; Gómez-Ambrosi, J.; Moreno-Navarrete, J. M. </w:t>
      </w:r>
      <w:r w:rsidRPr="0030217E">
        <w:rPr>
          <w:bCs/>
          <w:i/>
          <w:iCs/>
          <w:sz w:val="20"/>
          <w:szCs w:val="20"/>
        </w:rPr>
        <w:t>et al.</w:t>
      </w:r>
      <w:r w:rsidRPr="0030217E">
        <w:rPr>
          <w:sz w:val="20"/>
          <w:szCs w:val="20"/>
        </w:rPr>
        <w:t xml:space="preserve"> (2009). The relationship of serum osteocalcin concentration to insulin secretion, sensitivity, and disposal with hypocaloric diet and resistance training. The Journal of Clinical Endocrinology and Metabolism.</w:t>
      </w:r>
      <w:proofErr w:type="gramStart"/>
      <w:r w:rsidR="002E0F84">
        <w:rPr>
          <w:sz w:val="20"/>
          <w:szCs w:val="20"/>
        </w:rPr>
        <w:t>;</w:t>
      </w:r>
      <w:r w:rsidRPr="0030217E">
        <w:rPr>
          <w:sz w:val="20"/>
          <w:szCs w:val="20"/>
        </w:rPr>
        <w:t>10:210</w:t>
      </w:r>
      <w:proofErr w:type="gramEnd"/>
      <w:r w:rsidRPr="0030217E">
        <w:rPr>
          <w:sz w:val="20"/>
          <w:szCs w:val="20"/>
        </w:rPr>
        <w:t>-222.</w:t>
      </w:r>
    </w:p>
    <w:p w:rsidR="003E44C4" w:rsidRPr="0030217E" w:rsidRDefault="004E7994" w:rsidP="0030217E">
      <w:pPr>
        <w:pStyle w:val="ListParagraph"/>
        <w:numPr>
          <w:ilvl w:val="0"/>
          <w:numId w:val="4"/>
        </w:numPr>
        <w:snapToGrid w:val="0"/>
        <w:spacing w:before="0" w:line="240" w:lineRule="auto"/>
        <w:jc w:val="both"/>
        <w:rPr>
          <w:sz w:val="20"/>
          <w:szCs w:val="20"/>
        </w:rPr>
      </w:pPr>
      <w:hyperlink r:id="rId33" w:history="1">
        <w:r w:rsidR="003E44C4" w:rsidRPr="0030217E">
          <w:rPr>
            <w:rStyle w:val="Hyperlink"/>
            <w:bCs/>
            <w:color w:val="auto"/>
            <w:sz w:val="20"/>
            <w:szCs w:val="20"/>
            <w:u w:val="none"/>
          </w:rPr>
          <w:t>Fu X</w:t>
        </w:r>
      </w:hyperlink>
      <w:r w:rsidR="003E44C4" w:rsidRPr="0030217E">
        <w:rPr>
          <w:bCs/>
          <w:sz w:val="20"/>
          <w:szCs w:val="20"/>
        </w:rPr>
        <w:t xml:space="preserve">, </w:t>
      </w:r>
      <w:hyperlink r:id="rId34" w:history="1">
        <w:r w:rsidR="003E44C4" w:rsidRPr="0030217E">
          <w:rPr>
            <w:rStyle w:val="Hyperlink"/>
            <w:bCs/>
            <w:color w:val="auto"/>
            <w:sz w:val="20"/>
            <w:szCs w:val="20"/>
            <w:u w:val="none"/>
          </w:rPr>
          <w:t>Moreines J</w:t>
        </w:r>
      </w:hyperlink>
      <w:r w:rsidR="003E44C4" w:rsidRPr="0030217E">
        <w:rPr>
          <w:bCs/>
          <w:sz w:val="20"/>
          <w:szCs w:val="20"/>
        </w:rPr>
        <w:t xml:space="preserve">, </w:t>
      </w:r>
      <w:hyperlink r:id="rId35" w:history="1">
        <w:r w:rsidR="003E44C4" w:rsidRPr="0030217E">
          <w:rPr>
            <w:rStyle w:val="Hyperlink"/>
            <w:bCs/>
            <w:color w:val="auto"/>
            <w:sz w:val="20"/>
            <w:szCs w:val="20"/>
            <w:u w:val="none"/>
          </w:rPr>
          <w:t>Booth S L</w:t>
        </w:r>
      </w:hyperlink>
      <w:r w:rsidR="003E44C4" w:rsidRPr="0030217E">
        <w:rPr>
          <w:bCs/>
          <w:sz w:val="20"/>
          <w:szCs w:val="20"/>
        </w:rPr>
        <w:t xml:space="preserve">. </w:t>
      </w:r>
      <w:r w:rsidR="002E0F84">
        <w:rPr>
          <w:bCs/>
          <w:sz w:val="20"/>
          <w:szCs w:val="20"/>
        </w:rPr>
        <w:t>(</w:t>
      </w:r>
      <w:r w:rsidR="003E44C4" w:rsidRPr="0030217E">
        <w:rPr>
          <w:bCs/>
          <w:sz w:val="20"/>
          <w:szCs w:val="20"/>
        </w:rPr>
        <w:t>2012)</w:t>
      </w:r>
      <w:proofErr w:type="gramStart"/>
      <w:r w:rsidR="002E0F84">
        <w:rPr>
          <w:bCs/>
          <w:sz w:val="20"/>
          <w:szCs w:val="20"/>
        </w:rPr>
        <w:t>:</w:t>
      </w:r>
      <w:r w:rsidR="003E44C4" w:rsidRPr="0030217E">
        <w:rPr>
          <w:sz w:val="20"/>
          <w:szCs w:val="20"/>
        </w:rPr>
        <w:t>Vitamin</w:t>
      </w:r>
      <w:proofErr w:type="gramEnd"/>
      <w:r w:rsidR="003E44C4" w:rsidRPr="0030217E">
        <w:rPr>
          <w:sz w:val="20"/>
          <w:szCs w:val="20"/>
        </w:rPr>
        <w:t xml:space="preserve"> K supplementation does not prevent bone loss in </w:t>
      </w:r>
      <w:r w:rsidR="003E44C4" w:rsidRPr="0030217E">
        <w:rPr>
          <w:sz w:val="20"/>
          <w:szCs w:val="20"/>
        </w:rPr>
        <w:lastRenderedPageBreak/>
        <w:t xml:space="preserve">ovariectomized Norway rats. </w:t>
      </w:r>
      <w:hyperlink r:id="rId36" w:tooltip="Nutrition &amp; metabolism." w:history="1">
        <w:r w:rsidR="003E44C4" w:rsidRPr="0030217E">
          <w:rPr>
            <w:rStyle w:val="Hyperlink"/>
            <w:color w:val="auto"/>
            <w:sz w:val="20"/>
            <w:szCs w:val="20"/>
            <w:u w:val="none"/>
          </w:rPr>
          <w:t>Nutr Metab (Lond).</w:t>
        </w:r>
      </w:hyperlink>
      <w:r w:rsidR="002E0F84">
        <w:rPr>
          <w:sz w:val="20"/>
          <w:szCs w:val="20"/>
        </w:rPr>
        <w:t xml:space="preserve"> </w:t>
      </w:r>
      <w:r w:rsidR="003E44C4" w:rsidRPr="0030217E">
        <w:rPr>
          <w:sz w:val="20"/>
          <w:szCs w:val="20"/>
        </w:rPr>
        <w:t>20; 9(1):12.</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Glowacki, J.; Shuo Geng, M. D.; and Shuanhu Zhou, P. D.</w:t>
      </w:r>
      <w:r w:rsidRPr="0030217E">
        <w:rPr>
          <w:sz w:val="20"/>
          <w:szCs w:val="20"/>
        </w:rPr>
        <w:t xml:space="preserve"> (2011). Vitamin D Metabolism in Osteoblast Progenitor Cells in Human Marrow. Orthopaedic Journal</w:t>
      </w:r>
      <w:r w:rsidR="002E0F84">
        <w:rPr>
          <w:sz w:val="20"/>
          <w:szCs w:val="20"/>
        </w:rPr>
        <w:t>.</w:t>
      </w:r>
      <w:proofErr w:type="gramStart"/>
      <w:r w:rsidRPr="0030217E">
        <w:rPr>
          <w:sz w:val="20"/>
          <w:szCs w:val="20"/>
        </w:rPr>
        <w:t>;2:11</w:t>
      </w:r>
      <w:proofErr w:type="gramEnd"/>
      <w:r w:rsidRPr="0030217E">
        <w:rPr>
          <w:sz w:val="20"/>
          <w:szCs w:val="20"/>
        </w:rPr>
        <w:t>-14.</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Halima, P</w:t>
      </w:r>
      <w:r w:rsidRPr="0030217E">
        <w:rPr>
          <w:sz w:val="20"/>
          <w:szCs w:val="20"/>
        </w:rPr>
        <w:t>. (2013). Bone Alkaline Phosphatase (BAP) a biochemical marker of bone turnover. Monograph_English_.</w:t>
      </w:r>
      <w:proofErr w:type="gramStart"/>
      <w:r w:rsidRPr="0030217E">
        <w:rPr>
          <w:sz w:val="20"/>
          <w:szCs w:val="20"/>
        </w:rPr>
        <w:t>;3:32</w:t>
      </w:r>
      <w:proofErr w:type="gramEnd"/>
      <w:r w:rsidRPr="0030217E">
        <w:rPr>
          <w:sz w:val="20"/>
          <w:szCs w:val="20"/>
        </w:rPr>
        <w:t>-37.</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Herrmann, W.</w:t>
      </w:r>
      <w:proofErr w:type="gramStart"/>
      <w:r w:rsidR="002E0F84">
        <w:rPr>
          <w:bCs/>
          <w:sz w:val="20"/>
          <w:szCs w:val="20"/>
        </w:rPr>
        <w:t>;</w:t>
      </w:r>
      <w:r w:rsidRPr="0030217E">
        <w:rPr>
          <w:bCs/>
          <w:sz w:val="20"/>
          <w:szCs w:val="20"/>
        </w:rPr>
        <w:t>Kirsch</w:t>
      </w:r>
      <w:proofErr w:type="gramEnd"/>
      <w:r w:rsidRPr="0030217E">
        <w:rPr>
          <w:bCs/>
          <w:sz w:val="20"/>
          <w:szCs w:val="20"/>
        </w:rPr>
        <w:t>, SH.</w:t>
      </w:r>
      <w:r w:rsidR="002E0F84">
        <w:rPr>
          <w:bCs/>
          <w:sz w:val="20"/>
          <w:szCs w:val="20"/>
        </w:rPr>
        <w:t>;</w:t>
      </w:r>
      <w:r w:rsidRPr="0030217E">
        <w:rPr>
          <w:bCs/>
          <w:sz w:val="20"/>
          <w:szCs w:val="20"/>
        </w:rPr>
        <w:t>Kruse, V.</w:t>
      </w:r>
      <w:r w:rsidR="002E0F84">
        <w:rPr>
          <w:bCs/>
          <w:sz w:val="20"/>
          <w:szCs w:val="20"/>
        </w:rPr>
        <w:t>;</w:t>
      </w:r>
      <w:r w:rsidRPr="0030217E">
        <w:rPr>
          <w:bCs/>
          <w:sz w:val="20"/>
          <w:szCs w:val="20"/>
        </w:rPr>
        <w:t>Eckert, R.</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Gräber, S.</w:t>
      </w:r>
      <w:r w:rsidR="002E0F84">
        <w:rPr>
          <w:bCs/>
          <w:sz w:val="20"/>
          <w:szCs w:val="20"/>
        </w:rPr>
        <w:t>;</w:t>
      </w:r>
      <w:r w:rsidRPr="0030217E">
        <w:rPr>
          <w:bCs/>
          <w:sz w:val="20"/>
          <w:szCs w:val="20"/>
        </w:rPr>
        <w:t>Geisel, J. and Obeid, R.</w:t>
      </w:r>
      <w:r w:rsidRPr="0030217E">
        <w:rPr>
          <w:sz w:val="20"/>
          <w:szCs w:val="20"/>
        </w:rPr>
        <w:t xml:space="preserve"> (2013) One year B and D vitamins supplementation improves metabolic Biochemical markers of bone turnover</w:t>
      </w:r>
      <w:r w:rsidR="002E0F84">
        <w:rPr>
          <w:sz w:val="20"/>
          <w:szCs w:val="20"/>
        </w:rPr>
        <w:t>.</w:t>
      </w:r>
      <w:r w:rsidRPr="0030217E">
        <w:rPr>
          <w:sz w:val="20"/>
          <w:szCs w:val="20"/>
        </w:rPr>
        <w:t xml:space="preserve"> Clin Chem Lab Med.</w:t>
      </w:r>
      <w:proofErr w:type="gramStart"/>
      <w:r w:rsidRPr="0030217E">
        <w:rPr>
          <w:sz w:val="20"/>
          <w:szCs w:val="20"/>
        </w:rPr>
        <w:t>;1</w:t>
      </w:r>
      <w:proofErr w:type="gramEnd"/>
      <w:r w:rsidRPr="0030217E">
        <w:rPr>
          <w:sz w:val="20"/>
          <w:szCs w:val="20"/>
        </w:rPr>
        <w:t>;51(3):639-47</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Iwamoto, J.</w:t>
      </w:r>
      <w:proofErr w:type="gramStart"/>
      <w:r w:rsidR="002E0F84">
        <w:rPr>
          <w:bCs/>
          <w:sz w:val="20"/>
          <w:szCs w:val="20"/>
        </w:rPr>
        <w:t>;</w:t>
      </w:r>
      <w:r w:rsidRPr="0030217E">
        <w:rPr>
          <w:bCs/>
          <w:sz w:val="20"/>
          <w:szCs w:val="20"/>
        </w:rPr>
        <w:t>Takeda</w:t>
      </w:r>
      <w:proofErr w:type="gramEnd"/>
      <w:r w:rsidRPr="0030217E">
        <w:rPr>
          <w:bCs/>
          <w:sz w:val="20"/>
          <w:szCs w:val="20"/>
        </w:rPr>
        <w:t>, T. and Sato, Y.</w:t>
      </w:r>
      <w:r w:rsidRPr="0030217E">
        <w:rPr>
          <w:sz w:val="20"/>
          <w:szCs w:val="20"/>
        </w:rPr>
        <w:t xml:space="preserve"> (2005) Effect of treadmill exercise on bone mass in female rats. Exp Anim. 54(1):1-6</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Je, S. H.; Joo, N.S.; Choi, B.; Kim, K.M.; Kim, B.T.; Park, S.B.;and Lee, D.J.</w:t>
      </w:r>
      <w:r w:rsidRPr="0030217E">
        <w:rPr>
          <w:sz w:val="20"/>
          <w:szCs w:val="20"/>
        </w:rPr>
        <w:t xml:space="preserve"> (2011). Vitamin K supplement along with vitamin D and calcium reduced serum concentration of undercarboxylated osteocalcin while increasing bone mineral density in Korean postmenopausal women over sixty-years-old. Journal of Korean medical science, 26(8), 1093–8.</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 xml:space="preserve">Khorshidi, D.; Matinhomaee, H.; Azarbayjani, M.A. </w:t>
      </w:r>
      <w:r w:rsidRPr="0030217E">
        <w:rPr>
          <w:bCs/>
          <w:i/>
          <w:iCs/>
          <w:sz w:val="20"/>
          <w:szCs w:val="20"/>
        </w:rPr>
        <w:t>et al</w:t>
      </w:r>
      <w:r w:rsidRPr="0030217E">
        <w:rPr>
          <w:i/>
          <w:iCs/>
          <w:sz w:val="20"/>
          <w:szCs w:val="20"/>
        </w:rPr>
        <w:t>.</w:t>
      </w:r>
      <w:r w:rsidRPr="0030217E">
        <w:rPr>
          <w:sz w:val="20"/>
          <w:szCs w:val="20"/>
        </w:rPr>
        <w:t xml:space="preserve"> (2012). </w:t>
      </w:r>
      <w:proofErr w:type="gramStart"/>
      <w:r w:rsidRPr="0030217E">
        <w:rPr>
          <w:sz w:val="20"/>
          <w:szCs w:val="20"/>
        </w:rPr>
        <w:t>effect</w:t>
      </w:r>
      <w:proofErr w:type="gramEnd"/>
      <w:r w:rsidRPr="0030217E">
        <w:rPr>
          <w:sz w:val="20"/>
          <w:szCs w:val="20"/>
        </w:rPr>
        <w:t xml:space="preserve"> of one period of aerobic exercise on serum levels of alkaline phosphatase and osteocalcin in patients with type 2 diabetes. </w:t>
      </w:r>
      <w:proofErr w:type="gramStart"/>
      <w:r w:rsidRPr="0030217E">
        <w:rPr>
          <w:sz w:val="20"/>
          <w:szCs w:val="20"/>
        </w:rPr>
        <w:t>journal</w:t>
      </w:r>
      <w:proofErr w:type="gramEnd"/>
      <w:r w:rsidRPr="0030217E">
        <w:rPr>
          <w:sz w:val="20"/>
          <w:szCs w:val="20"/>
        </w:rPr>
        <w:t xml:space="preserve"> of shahid sadoughi university of medical sciences and health services. 5 (80)</w:t>
      </w:r>
      <w:proofErr w:type="gramStart"/>
      <w:r w:rsidRPr="0030217E">
        <w:rPr>
          <w:sz w:val="20"/>
          <w:szCs w:val="20"/>
        </w:rPr>
        <w:t>,676</w:t>
      </w:r>
      <w:proofErr w:type="gramEnd"/>
      <w:r w:rsidRPr="0030217E">
        <w:rPr>
          <w:sz w:val="20"/>
          <w:szCs w:val="20"/>
        </w:rPr>
        <w:t>-19.</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Kim, SH.</w:t>
      </w:r>
      <w:r w:rsidR="002E0F84">
        <w:rPr>
          <w:bCs/>
          <w:sz w:val="20"/>
          <w:szCs w:val="20"/>
        </w:rPr>
        <w:t>;</w:t>
      </w:r>
      <w:r w:rsidRPr="0030217E">
        <w:rPr>
          <w:bCs/>
          <w:sz w:val="20"/>
          <w:szCs w:val="20"/>
        </w:rPr>
        <w:t>Kim, HB.</w:t>
      </w:r>
      <w:r w:rsidR="002E0F84">
        <w:rPr>
          <w:bCs/>
          <w:sz w:val="20"/>
          <w:szCs w:val="20"/>
        </w:rPr>
        <w:t>;</w:t>
      </w:r>
      <w:r w:rsidRPr="0030217E">
        <w:rPr>
          <w:bCs/>
          <w:sz w:val="20"/>
          <w:szCs w:val="20"/>
        </w:rPr>
        <w:t>Jang, MH.</w:t>
      </w:r>
      <w:r w:rsidR="002E0F84">
        <w:rPr>
          <w:bCs/>
          <w:sz w:val="20"/>
          <w:szCs w:val="20"/>
        </w:rPr>
        <w:t>;</w:t>
      </w:r>
      <w:r w:rsidRPr="0030217E">
        <w:rPr>
          <w:bCs/>
          <w:sz w:val="20"/>
          <w:szCs w:val="20"/>
        </w:rPr>
        <w:t>Lim, BV.</w:t>
      </w:r>
      <w:r w:rsidR="002E0F84">
        <w:rPr>
          <w:bCs/>
          <w:sz w:val="20"/>
          <w:szCs w:val="20"/>
        </w:rPr>
        <w:t>;</w:t>
      </w:r>
      <w:r w:rsidRPr="0030217E">
        <w:rPr>
          <w:bCs/>
          <w:sz w:val="20"/>
          <w:szCs w:val="20"/>
        </w:rPr>
        <w:t>Kim, YJ.</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Kim, YP.</w:t>
      </w:r>
      <w:r w:rsidR="002E0F84">
        <w:rPr>
          <w:bCs/>
          <w:sz w:val="20"/>
          <w:szCs w:val="20"/>
        </w:rPr>
        <w:t>;</w:t>
      </w:r>
      <w:r w:rsidRPr="0030217E">
        <w:rPr>
          <w:bCs/>
          <w:sz w:val="20"/>
          <w:szCs w:val="20"/>
        </w:rPr>
        <w:t>Kim, SS.</w:t>
      </w:r>
      <w:r w:rsidR="002E0F84">
        <w:rPr>
          <w:bCs/>
          <w:sz w:val="20"/>
          <w:szCs w:val="20"/>
        </w:rPr>
        <w:t>;</w:t>
      </w:r>
      <w:r w:rsidRPr="0030217E">
        <w:rPr>
          <w:bCs/>
          <w:sz w:val="20"/>
          <w:szCs w:val="20"/>
        </w:rPr>
        <w:t xml:space="preserve">Kim, EH. </w:t>
      </w:r>
      <w:proofErr w:type="gramStart"/>
      <w:r w:rsidRPr="0030217E">
        <w:rPr>
          <w:bCs/>
          <w:sz w:val="20"/>
          <w:szCs w:val="20"/>
        </w:rPr>
        <w:t>and</w:t>
      </w:r>
      <w:proofErr w:type="gramEnd"/>
      <w:r w:rsidRPr="0030217E">
        <w:rPr>
          <w:bCs/>
          <w:sz w:val="20"/>
          <w:szCs w:val="20"/>
        </w:rPr>
        <w:t xml:space="preserve"> Kim, CJ.</w:t>
      </w:r>
      <w:r w:rsidRPr="0030217E">
        <w:rPr>
          <w:sz w:val="20"/>
          <w:szCs w:val="20"/>
        </w:rPr>
        <w:t xml:space="preserve"> (2002) Treadmill exercise increases cell proliferation without altering of apoptosis in dentate gyrus of Sprague-Dawley rats. Dongdaemoon-gu</w:t>
      </w:r>
      <w:proofErr w:type="gramStart"/>
      <w:r w:rsidRPr="0030217E">
        <w:rPr>
          <w:sz w:val="20"/>
          <w:szCs w:val="20"/>
        </w:rPr>
        <w:t>;Seoul</w:t>
      </w:r>
      <w:proofErr w:type="gramEnd"/>
      <w:r w:rsidRPr="0030217E">
        <w:rPr>
          <w:sz w:val="20"/>
          <w:szCs w:val="20"/>
        </w:rPr>
        <w:t>.;130-701</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Kristin Holvik Ahmed, A. Madar</w:t>
      </w:r>
      <w:r w:rsidR="002E0F84">
        <w:rPr>
          <w:bCs/>
          <w:sz w:val="20"/>
          <w:szCs w:val="20"/>
        </w:rPr>
        <w:t>;</w:t>
      </w:r>
      <w:r w:rsidRPr="0030217E">
        <w:rPr>
          <w:bCs/>
          <w:sz w:val="20"/>
          <w:szCs w:val="20"/>
        </w:rPr>
        <w:t>Haakon, E. Meyer</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Cathrine, M. Lofthus and Lars, C.</w:t>
      </w:r>
      <w:r w:rsidRPr="0030217E">
        <w:rPr>
          <w:sz w:val="20"/>
          <w:szCs w:val="20"/>
        </w:rPr>
        <w:t xml:space="preserve"> (2012) Stene Changes in the vitamin D endocrine system and bone turnover after oral vitamin D3 supplementation in healthy adults: results of a randomised trial. BMC Endocrine Disorders.</w:t>
      </w:r>
      <w:proofErr w:type="gramStart"/>
      <w:r w:rsidRPr="0030217E">
        <w:rPr>
          <w:sz w:val="20"/>
          <w:szCs w:val="20"/>
        </w:rPr>
        <w:t>;12:7</w:t>
      </w:r>
      <w:proofErr w:type="gramEnd"/>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Lamb, J.J.; Holick, M.F.; Lerman, R.H.; Konda, V.R.; Minich, D.M.; Desai</w:t>
      </w:r>
      <w:r w:rsidR="002E0F84">
        <w:rPr>
          <w:bCs/>
          <w:sz w:val="20"/>
          <w:szCs w:val="20"/>
        </w:rPr>
        <w:t>,</w:t>
      </w:r>
      <w:r w:rsidRPr="0030217E">
        <w:rPr>
          <w:bCs/>
          <w:sz w:val="20"/>
          <w:szCs w:val="20"/>
        </w:rPr>
        <w:t>A.; Chen, T.C.; Austin, M.; Kornberg, J.; Chang, J.L.; His, A.; Bland, J.S. and Tripp, M.L</w:t>
      </w:r>
      <w:r w:rsidRPr="0030217E">
        <w:rPr>
          <w:sz w:val="20"/>
          <w:szCs w:val="20"/>
        </w:rPr>
        <w:t>.(2011)Nutritional supplementation of hop rho iso-alpha acids; berberine; vitamin D₃; and vitamin K₁ produces a favorable bone biomarker profile supporting healthy bone metabolism in postmenopausal women with metabolic syndrome. Nutr Res.; 31(5):347-55</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lastRenderedPageBreak/>
        <w:t>Levinger, I.; Zebaze, R.; Jerums, G.; Hare, D. L.; Selig, S.; and Seeman, E.</w:t>
      </w:r>
      <w:r w:rsidRPr="0030217E">
        <w:rPr>
          <w:sz w:val="20"/>
          <w:szCs w:val="20"/>
        </w:rPr>
        <w:t xml:space="preserve"> (2011). The effect of acute exercise on undercarboxylated osteocalcin in obese men. Osteoporosis International .; 10 -1370-7</w:t>
      </w:r>
      <w:r w:rsidR="002E0F84">
        <w:rPr>
          <w:rFonts w:eastAsiaTheme="minorEastAsia" w:hint="eastAsia"/>
          <w:sz w:val="20"/>
          <w:szCs w:val="20"/>
          <w:lang w:eastAsia="zh-CN"/>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Lijima, H.</w:t>
      </w:r>
      <w:proofErr w:type="gramStart"/>
      <w:r w:rsidR="002E0F84">
        <w:rPr>
          <w:bCs/>
          <w:sz w:val="20"/>
          <w:szCs w:val="20"/>
        </w:rPr>
        <w:t>;</w:t>
      </w:r>
      <w:r w:rsidRPr="0030217E">
        <w:rPr>
          <w:bCs/>
          <w:sz w:val="20"/>
          <w:szCs w:val="20"/>
        </w:rPr>
        <w:t>Shinzaki</w:t>
      </w:r>
      <w:proofErr w:type="gramEnd"/>
      <w:r w:rsidRPr="0030217E">
        <w:rPr>
          <w:bCs/>
          <w:sz w:val="20"/>
          <w:szCs w:val="20"/>
        </w:rPr>
        <w:t xml:space="preserve">, S. and Takehara, T. </w:t>
      </w:r>
      <w:r w:rsidRPr="0030217E">
        <w:rPr>
          <w:sz w:val="20"/>
          <w:szCs w:val="20"/>
        </w:rPr>
        <w:t>(2012) The importance of vitamins D and K for the bone health and immune function in inflammatory bowel disease.</w:t>
      </w:r>
      <w:r w:rsidR="002E0F84">
        <w:rPr>
          <w:sz w:val="20"/>
          <w:szCs w:val="20"/>
        </w:rPr>
        <w:t xml:space="preserve"> </w:t>
      </w:r>
      <w:r w:rsidRPr="0030217E">
        <w:rPr>
          <w:sz w:val="20"/>
          <w:szCs w:val="20"/>
        </w:rPr>
        <w:t>Curr Opin Clin Nutr Metab Care.</w:t>
      </w:r>
      <w:proofErr w:type="gramStart"/>
      <w:r w:rsidRPr="0030217E">
        <w:rPr>
          <w:sz w:val="20"/>
          <w:szCs w:val="20"/>
        </w:rPr>
        <w:t>;15</w:t>
      </w:r>
      <w:proofErr w:type="gramEnd"/>
      <w:r w:rsidRPr="0030217E">
        <w:rPr>
          <w:sz w:val="20"/>
          <w:szCs w:val="20"/>
        </w:rPr>
        <w:t>(6):635-40</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Ljusberg J, Wang Y, Lång P, Norgård M, Dodds R, Hultenby K, Ek-Rylander B, Andersson G. (2005):</w:t>
      </w:r>
      <w:r w:rsidRPr="0030217E">
        <w:rPr>
          <w:sz w:val="20"/>
          <w:szCs w:val="20"/>
        </w:rPr>
        <w:t xml:space="preserve"> Proteolytic excision of a repressive loop domain in tartrate-resistant acid phosphatase by cathepsin K in osteoclasts. J Biol Chem. 5; 280(31): 28370-81.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Maïmoun, L.; Simar, D.; Malatesta, D.; Caillaud, C.; Peruchon, E.; Couret, I.; and Mariano-Goulart, D</w:t>
      </w:r>
      <w:r w:rsidRPr="0030217E">
        <w:rPr>
          <w:sz w:val="20"/>
          <w:szCs w:val="20"/>
        </w:rPr>
        <w:t>. (2005). Response of bone metabolism related hormones to a single session of strenuous exercise in active elderly subjects. British Journal of Sports Medicine. 4:44-49.</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Miki, T. and Masaki, H.</w:t>
      </w:r>
      <w:r w:rsidRPr="0030217E">
        <w:rPr>
          <w:sz w:val="20"/>
          <w:szCs w:val="20"/>
        </w:rPr>
        <w:t xml:space="preserve"> (2012) New approved markers of bone turnover for osteoporosis in Japan.</w:t>
      </w:r>
      <w:r w:rsidR="002E0F84">
        <w:rPr>
          <w:sz w:val="20"/>
          <w:szCs w:val="20"/>
        </w:rPr>
        <w:t xml:space="preserve"> </w:t>
      </w:r>
      <w:r w:rsidRPr="0030217E">
        <w:rPr>
          <w:sz w:val="20"/>
          <w:szCs w:val="20"/>
        </w:rPr>
        <w:t>Clinical Calcium.</w:t>
      </w:r>
      <w:proofErr w:type="gramStart"/>
      <w:r w:rsidRPr="0030217E">
        <w:rPr>
          <w:sz w:val="20"/>
          <w:szCs w:val="20"/>
        </w:rPr>
        <w:t>;22</w:t>
      </w:r>
      <w:proofErr w:type="gramEnd"/>
      <w:r w:rsidRPr="0030217E">
        <w:rPr>
          <w:sz w:val="20"/>
          <w:szCs w:val="20"/>
        </w:rPr>
        <w:t>(6):877-83</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Mitchell, T.</w:t>
      </w:r>
      <w:r w:rsidRPr="0030217E">
        <w:rPr>
          <w:sz w:val="20"/>
          <w:szCs w:val="20"/>
        </w:rPr>
        <w:t xml:space="preserve"> (2000). Stunning new research shows that vitamin K may be one of the most extraordinary anti-aging vitamins ever discovered. LE Magazine</w:t>
      </w:r>
      <w:r w:rsidR="002E0F84">
        <w:rPr>
          <w:sz w:val="20"/>
          <w:szCs w:val="20"/>
        </w:rPr>
        <w:t>.</w:t>
      </w:r>
      <w:proofErr w:type="gramStart"/>
      <w:r w:rsidRPr="0030217E">
        <w:rPr>
          <w:sz w:val="20"/>
          <w:szCs w:val="20"/>
        </w:rPr>
        <w:t>;4:33</w:t>
      </w:r>
      <w:proofErr w:type="gramEnd"/>
      <w:r w:rsidRPr="0030217E">
        <w:rPr>
          <w:sz w:val="20"/>
          <w:szCs w:val="20"/>
        </w:rPr>
        <w:t>-38.</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Naito, K.</w:t>
      </w:r>
      <w:proofErr w:type="gramStart"/>
      <w:r w:rsidR="002E0F84">
        <w:rPr>
          <w:bCs/>
          <w:sz w:val="20"/>
          <w:szCs w:val="20"/>
        </w:rPr>
        <w:t>;</w:t>
      </w:r>
      <w:r w:rsidRPr="0030217E">
        <w:rPr>
          <w:bCs/>
          <w:sz w:val="20"/>
          <w:szCs w:val="20"/>
        </w:rPr>
        <w:t>Watari</w:t>
      </w:r>
      <w:proofErr w:type="gramEnd"/>
      <w:r w:rsidRPr="0030217E">
        <w:rPr>
          <w:bCs/>
          <w:sz w:val="20"/>
          <w:szCs w:val="20"/>
        </w:rPr>
        <w:t>, T.</w:t>
      </w:r>
      <w:r w:rsidR="002E0F84">
        <w:rPr>
          <w:bCs/>
          <w:sz w:val="20"/>
          <w:szCs w:val="20"/>
        </w:rPr>
        <w:t>;</w:t>
      </w:r>
      <w:r w:rsidRPr="0030217E">
        <w:rPr>
          <w:bCs/>
          <w:sz w:val="20"/>
          <w:szCs w:val="20"/>
        </w:rPr>
        <w:t>O</w:t>
      </w:r>
      <w:proofErr w:type="gramStart"/>
      <w:r w:rsidRPr="0030217E">
        <w:rPr>
          <w:bCs/>
          <w:sz w:val="20"/>
          <w:szCs w:val="20"/>
        </w:rPr>
        <w:t>bayashi</w:t>
      </w:r>
      <w:proofErr w:type="gramEnd"/>
      <w:r w:rsidRPr="0030217E">
        <w:rPr>
          <w:bCs/>
          <w:sz w:val="20"/>
          <w:szCs w:val="20"/>
        </w:rPr>
        <w:t>, O.</w:t>
      </w:r>
      <w:r w:rsidR="002E0F84">
        <w:rPr>
          <w:bCs/>
          <w:sz w:val="20"/>
          <w:szCs w:val="20"/>
        </w:rPr>
        <w:t>;</w:t>
      </w:r>
      <w:r w:rsidRPr="0030217E">
        <w:rPr>
          <w:bCs/>
          <w:sz w:val="20"/>
          <w:szCs w:val="20"/>
        </w:rPr>
        <w:t>Katsube, S.</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Nagaoka, I. and Kaneko, K</w:t>
      </w:r>
      <w:r w:rsidRPr="0030217E">
        <w:rPr>
          <w:sz w:val="20"/>
          <w:szCs w:val="20"/>
        </w:rPr>
        <w:t>. (2012) Relationship between serum undercarboxylated osteocalcin and hyaluronan levels in patients with bilateral knee osteoarthritis.</w:t>
      </w:r>
      <w:r w:rsidR="002E0F84">
        <w:rPr>
          <w:sz w:val="20"/>
          <w:szCs w:val="20"/>
        </w:rPr>
        <w:t xml:space="preserve"> </w:t>
      </w:r>
      <w:r w:rsidRPr="0030217E">
        <w:rPr>
          <w:sz w:val="20"/>
          <w:szCs w:val="20"/>
        </w:rPr>
        <w:t>International Journal of Mol Med.; 29(5):756-60</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Neil Binkley</w:t>
      </w:r>
      <w:proofErr w:type="gramStart"/>
      <w:r w:rsidRPr="0030217E">
        <w:rPr>
          <w:bCs/>
          <w:sz w:val="20"/>
          <w:szCs w:val="20"/>
        </w:rPr>
        <w:t>;Judith</w:t>
      </w:r>
      <w:proofErr w:type="gramEnd"/>
      <w:r w:rsidRPr="0030217E">
        <w:rPr>
          <w:bCs/>
          <w:sz w:val="20"/>
          <w:szCs w:val="20"/>
        </w:rPr>
        <w:t xml:space="preserve"> Harke;Diane Krueger and Jean Engelke</w:t>
      </w:r>
      <w:r w:rsidR="002E0F84">
        <w:rPr>
          <w:sz w:val="20"/>
          <w:szCs w:val="20"/>
        </w:rPr>
        <w:t>.</w:t>
      </w:r>
      <w:r w:rsidRPr="0030217E">
        <w:rPr>
          <w:sz w:val="20"/>
          <w:szCs w:val="20"/>
        </w:rPr>
        <w:t>(2009) Vitamin K Treatment Reduces Undercarboxylated Osteocalcin but Does Not Alter Bone Turnover; Density; or Geometry in Healthy Postmenopausal North American Women</w:t>
      </w:r>
      <w:r w:rsidR="002E0F84">
        <w:rPr>
          <w:sz w:val="20"/>
          <w:szCs w:val="20"/>
        </w:rPr>
        <w:t xml:space="preserve">. </w:t>
      </w:r>
      <w:r w:rsidRPr="0030217E">
        <w:rPr>
          <w:sz w:val="20"/>
          <w:szCs w:val="20"/>
        </w:rPr>
        <w:t>J Bone Miner Res; 24(6).</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Nowak, A.; Pogrzebna, M.; Celichowski, J.; and Pilaczyńska-Szcześniak, Ł.</w:t>
      </w:r>
      <w:r w:rsidRPr="0030217E">
        <w:rPr>
          <w:sz w:val="20"/>
          <w:szCs w:val="20"/>
        </w:rPr>
        <w:t xml:space="preserve"> (2008). Serum Osteocalcin Concentration in Treadmill-Trained Adult Male Wistar Rats. Journal of Human Kinetics, 19(-1), 121–130.</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rFonts w:eastAsia="Calibri"/>
          <w:bCs/>
          <w:sz w:val="20"/>
          <w:szCs w:val="20"/>
        </w:rPr>
        <w:t>Parasuraman</w:t>
      </w:r>
      <w:proofErr w:type="gramStart"/>
      <w:r w:rsidRPr="0030217E">
        <w:rPr>
          <w:rFonts w:eastAsia="Calibri"/>
          <w:bCs/>
          <w:sz w:val="20"/>
          <w:szCs w:val="20"/>
        </w:rPr>
        <w:t>,S</w:t>
      </w:r>
      <w:proofErr w:type="gramEnd"/>
      <w:r w:rsidRPr="0030217E">
        <w:rPr>
          <w:rFonts w:eastAsia="Calibri"/>
          <w:bCs/>
          <w:sz w:val="20"/>
          <w:szCs w:val="20"/>
        </w:rPr>
        <w:t>.; Raveendran,R. and Kesavan,R.</w:t>
      </w:r>
      <w:r w:rsidRPr="0030217E">
        <w:rPr>
          <w:rFonts w:eastAsia="Calibri"/>
          <w:sz w:val="20"/>
          <w:szCs w:val="20"/>
        </w:rPr>
        <w:t xml:space="preserve"> (2010)</w:t>
      </w:r>
      <w:r w:rsidR="002E0F84">
        <w:rPr>
          <w:rFonts w:eastAsiaTheme="minorEastAsia" w:hint="eastAsia"/>
          <w:sz w:val="20"/>
          <w:szCs w:val="20"/>
          <w:lang w:eastAsia="zh-CN"/>
        </w:rPr>
        <w:t xml:space="preserve">. </w:t>
      </w:r>
      <w:r w:rsidRPr="0030217E">
        <w:rPr>
          <w:rFonts w:eastAsia="Calibri"/>
          <w:sz w:val="20"/>
          <w:szCs w:val="20"/>
        </w:rPr>
        <w:t>Blood sample collection in small laboratory animals J Pharmacol Pharmacother. Jul-Dec; 1(2): 87–93.</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Pollock, N.</w:t>
      </w:r>
      <w:r w:rsidRPr="0030217E">
        <w:rPr>
          <w:sz w:val="20"/>
          <w:szCs w:val="20"/>
        </w:rPr>
        <w:t xml:space="preserve"> (2011). Increased exercise improved bone turnover, insulin sensitivity, adiposity in obese children | Endocrinology.</w:t>
      </w:r>
      <w:proofErr w:type="gramStart"/>
      <w:r w:rsidRPr="0030217E">
        <w:rPr>
          <w:sz w:val="20"/>
          <w:szCs w:val="20"/>
        </w:rPr>
        <w:t>;5:45</w:t>
      </w:r>
      <w:proofErr w:type="gramEnd"/>
      <w:r w:rsidRPr="0030217E">
        <w:rPr>
          <w:sz w:val="20"/>
          <w:szCs w:val="20"/>
        </w:rPr>
        <w:t>-49.</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sz w:val="20"/>
          <w:szCs w:val="20"/>
        </w:rPr>
        <w:t>Purwosunu, Y.</w:t>
      </w:r>
      <w:proofErr w:type="gramStart"/>
      <w:r w:rsidR="002E0F84">
        <w:rPr>
          <w:sz w:val="20"/>
          <w:szCs w:val="20"/>
        </w:rPr>
        <w:t>;</w:t>
      </w:r>
      <w:r w:rsidRPr="0030217E">
        <w:rPr>
          <w:sz w:val="20"/>
          <w:szCs w:val="20"/>
        </w:rPr>
        <w:t>Muharram</w:t>
      </w:r>
      <w:proofErr w:type="gramEnd"/>
      <w:r w:rsidR="002E0F84">
        <w:rPr>
          <w:sz w:val="20"/>
          <w:szCs w:val="20"/>
        </w:rPr>
        <w:t>;</w:t>
      </w:r>
      <w:r w:rsidRPr="0030217E">
        <w:rPr>
          <w:sz w:val="20"/>
          <w:szCs w:val="20"/>
        </w:rPr>
        <w:t>Rachman, IA.</w:t>
      </w:r>
      <w:r w:rsidR="002E0F84">
        <w:rPr>
          <w:sz w:val="20"/>
          <w:szCs w:val="20"/>
        </w:rPr>
        <w:t>;</w:t>
      </w:r>
      <w:r w:rsidR="002E0F84">
        <w:rPr>
          <w:rFonts w:eastAsiaTheme="minorEastAsia" w:hint="eastAsia"/>
          <w:sz w:val="20"/>
          <w:szCs w:val="20"/>
          <w:lang w:eastAsia="zh-CN"/>
        </w:rPr>
        <w:t xml:space="preserve"> </w:t>
      </w:r>
      <w:r w:rsidRPr="0030217E">
        <w:rPr>
          <w:sz w:val="20"/>
          <w:szCs w:val="20"/>
        </w:rPr>
        <w:t xml:space="preserve">Reksoprodjo, S. and Sekizawa,A. (2006) Vitamin K2 treatment for postmenopausal </w:t>
      </w:r>
      <w:r w:rsidRPr="0030217E">
        <w:rPr>
          <w:sz w:val="20"/>
          <w:szCs w:val="20"/>
        </w:rPr>
        <w:lastRenderedPageBreak/>
        <w:t>osteoporosis in Indonesia. J Obstet Gynaecol Res.</w:t>
      </w:r>
      <w:proofErr w:type="gramStart"/>
      <w:r w:rsidRPr="0030217E">
        <w:rPr>
          <w:sz w:val="20"/>
          <w:szCs w:val="20"/>
        </w:rPr>
        <w:t>;32:230</w:t>
      </w:r>
      <w:proofErr w:type="gramEnd"/>
      <w:r w:rsidRPr="0030217E">
        <w:rPr>
          <w:sz w:val="20"/>
          <w:szCs w:val="20"/>
        </w:rPr>
        <w:t>–234</w:t>
      </w:r>
      <w:r w:rsidRPr="0030217E">
        <w:rPr>
          <w:rFonts w:eastAsia="Arial"/>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rFonts w:eastAsia="Calibri"/>
          <w:bCs/>
          <w:sz w:val="20"/>
          <w:szCs w:val="20"/>
        </w:rPr>
        <w:t>Rogers, R. S.; Dawson, A. W.; Wang, Z.; Thyfault, J. P.; and Hinton, P. S.</w:t>
      </w:r>
      <w:r w:rsidRPr="0030217E">
        <w:rPr>
          <w:rFonts w:eastAsia="Calibri"/>
          <w:sz w:val="20"/>
          <w:szCs w:val="20"/>
        </w:rPr>
        <w:t xml:space="preserve"> (2011). Acute response of plasma markers of bone turnover to a single bout of resistance training or plyometrics. Journal of Applied Physiology; 111(5), 1353–60.</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sz w:val="20"/>
          <w:szCs w:val="20"/>
        </w:rPr>
        <w:t>Sadat, A.; Abdulmohsen, H. Al Elq; Haifa, A. Al-Turki; Fathma, A. AlMulhim;and Amein, K. Al-Ali (2011)</w:t>
      </w:r>
      <w:r w:rsidR="002E0F84">
        <w:rPr>
          <w:sz w:val="20"/>
          <w:szCs w:val="20"/>
        </w:rPr>
        <w:t xml:space="preserve"> </w:t>
      </w:r>
      <w:r w:rsidRPr="0030217E">
        <w:rPr>
          <w:sz w:val="20"/>
          <w:szCs w:val="20"/>
        </w:rPr>
        <w:t>Influence of vitamin D levels on bone mineral density and osteoporosis. Ann Saudi Med.; 31(6): 602-608</w:t>
      </w:r>
      <w:r w:rsidR="002E0F84">
        <w:rPr>
          <w:rFonts w:eastAsia="Arial"/>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Safinaz, A. Elhabashy</w:t>
      </w:r>
      <w:proofErr w:type="gramStart"/>
      <w:r w:rsidR="002E0F84">
        <w:rPr>
          <w:bCs/>
          <w:sz w:val="20"/>
          <w:szCs w:val="20"/>
        </w:rPr>
        <w:t>;</w:t>
      </w:r>
      <w:r w:rsidRPr="0030217E">
        <w:rPr>
          <w:bCs/>
          <w:sz w:val="20"/>
          <w:szCs w:val="20"/>
        </w:rPr>
        <w:t>Omaima</w:t>
      </w:r>
      <w:proofErr w:type="gramEnd"/>
      <w:r w:rsidRPr="0030217E">
        <w:rPr>
          <w:bCs/>
          <w:sz w:val="20"/>
          <w:szCs w:val="20"/>
        </w:rPr>
        <w:t>, M. Said</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Mervat, H. Agaiby</w:t>
      </w:r>
      <w:r w:rsidR="002E0F84">
        <w:rPr>
          <w:bCs/>
          <w:sz w:val="20"/>
          <w:szCs w:val="20"/>
        </w:rPr>
        <w:t>;</w:t>
      </w:r>
      <w:r w:rsidRPr="0030217E">
        <w:rPr>
          <w:bCs/>
          <w:sz w:val="20"/>
          <w:szCs w:val="20"/>
        </w:rPr>
        <w:t>Amr, A. Abdelrazek and Sayed Abdelhamid</w:t>
      </w:r>
      <w:r w:rsidRPr="0030217E">
        <w:rPr>
          <w:sz w:val="20"/>
          <w:szCs w:val="20"/>
        </w:rPr>
        <w:t xml:space="preserve"> (2011) Diabetology &amp; Metabolic Syndrome.;3:25-29</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Shea, MK.</w:t>
      </w:r>
      <w:proofErr w:type="gramStart"/>
      <w:r w:rsidR="002E0F84">
        <w:rPr>
          <w:bCs/>
          <w:sz w:val="20"/>
          <w:szCs w:val="20"/>
        </w:rPr>
        <w:t>;</w:t>
      </w:r>
      <w:r w:rsidRPr="0030217E">
        <w:rPr>
          <w:bCs/>
          <w:sz w:val="20"/>
          <w:szCs w:val="20"/>
        </w:rPr>
        <w:t>Dallal</w:t>
      </w:r>
      <w:proofErr w:type="gramEnd"/>
      <w:r w:rsidRPr="0030217E">
        <w:rPr>
          <w:bCs/>
          <w:sz w:val="20"/>
          <w:szCs w:val="20"/>
        </w:rPr>
        <w:t>, GE.</w:t>
      </w:r>
      <w:r w:rsidR="002E0F84">
        <w:rPr>
          <w:bCs/>
          <w:sz w:val="20"/>
          <w:szCs w:val="20"/>
        </w:rPr>
        <w:t>;</w:t>
      </w:r>
      <w:r w:rsidRPr="0030217E">
        <w:rPr>
          <w:bCs/>
          <w:sz w:val="20"/>
          <w:szCs w:val="20"/>
        </w:rPr>
        <w:t>D</w:t>
      </w:r>
      <w:proofErr w:type="gramStart"/>
      <w:r w:rsidRPr="0030217E">
        <w:rPr>
          <w:bCs/>
          <w:sz w:val="20"/>
          <w:szCs w:val="20"/>
        </w:rPr>
        <w:t>awson-Hughes</w:t>
      </w:r>
      <w:proofErr w:type="gramEnd"/>
      <w:r w:rsidRPr="0030217E">
        <w:rPr>
          <w:bCs/>
          <w:sz w:val="20"/>
          <w:szCs w:val="20"/>
        </w:rPr>
        <w:t>, B.</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Ordovas, JM.</w:t>
      </w:r>
      <w:r w:rsidR="002E0F84">
        <w:rPr>
          <w:bCs/>
          <w:sz w:val="20"/>
          <w:szCs w:val="20"/>
        </w:rPr>
        <w:t>;</w:t>
      </w:r>
      <w:r w:rsidRPr="0030217E">
        <w:rPr>
          <w:bCs/>
          <w:sz w:val="20"/>
          <w:szCs w:val="20"/>
        </w:rPr>
        <w:t>O'Donnell, CJ.</w:t>
      </w:r>
      <w:proofErr w:type="gramStart"/>
      <w:r w:rsidR="002E0F84">
        <w:rPr>
          <w:bCs/>
          <w:sz w:val="20"/>
          <w:szCs w:val="20"/>
        </w:rPr>
        <w:t>;</w:t>
      </w:r>
      <w:r w:rsidRPr="0030217E">
        <w:rPr>
          <w:bCs/>
          <w:sz w:val="20"/>
          <w:szCs w:val="20"/>
        </w:rPr>
        <w:t>Gundberg</w:t>
      </w:r>
      <w:proofErr w:type="gramEnd"/>
      <w:r w:rsidRPr="0030217E">
        <w:rPr>
          <w:bCs/>
          <w:sz w:val="20"/>
          <w:szCs w:val="20"/>
        </w:rPr>
        <w:t>, CM.</w:t>
      </w:r>
      <w:r w:rsidR="002E0F84">
        <w:rPr>
          <w:bCs/>
          <w:sz w:val="20"/>
          <w:szCs w:val="20"/>
        </w:rPr>
        <w:t>;</w:t>
      </w:r>
      <w:r w:rsidR="002E0F84">
        <w:rPr>
          <w:rFonts w:eastAsiaTheme="minorEastAsia" w:hint="eastAsia"/>
          <w:bCs/>
          <w:sz w:val="20"/>
          <w:szCs w:val="20"/>
          <w:lang w:eastAsia="zh-CN"/>
        </w:rPr>
        <w:t xml:space="preserve"> </w:t>
      </w:r>
      <w:r w:rsidRPr="0030217E">
        <w:rPr>
          <w:bCs/>
          <w:sz w:val="20"/>
          <w:szCs w:val="20"/>
        </w:rPr>
        <w:t xml:space="preserve">Peterson, JW. </w:t>
      </w:r>
      <w:proofErr w:type="gramStart"/>
      <w:r w:rsidRPr="0030217E">
        <w:rPr>
          <w:bCs/>
          <w:sz w:val="20"/>
          <w:szCs w:val="20"/>
        </w:rPr>
        <w:t>and</w:t>
      </w:r>
      <w:proofErr w:type="gramEnd"/>
      <w:r w:rsidRPr="0030217E">
        <w:rPr>
          <w:bCs/>
          <w:sz w:val="20"/>
          <w:szCs w:val="20"/>
        </w:rPr>
        <w:t xml:space="preserve"> Booth, SL</w:t>
      </w:r>
      <w:r w:rsidRPr="0030217E">
        <w:rPr>
          <w:sz w:val="20"/>
          <w:szCs w:val="20"/>
        </w:rPr>
        <w:t>.</w:t>
      </w:r>
      <w:r w:rsidR="002E0F84">
        <w:rPr>
          <w:sz w:val="20"/>
          <w:szCs w:val="20"/>
        </w:rPr>
        <w:t>(</w:t>
      </w:r>
      <w:r w:rsidRPr="0030217E">
        <w:rPr>
          <w:sz w:val="20"/>
          <w:szCs w:val="20"/>
        </w:rPr>
        <w:t>2008) Vitamin K;circulating cytokines; and bone mineral density in older men and women. Am J Clin Nutr.</w:t>
      </w:r>
      <w:proofErr w:type="gramStart"/>
      <w:r w:rsidRPr="0030217E">
        <w:rPr>
          <w:sz w:val="20"/>
          <w:szCs w:val="20"/>
        </w:rPr>
        <w:t>;88</w:t>
      </w:r>
      <w:proofErr w:type="gramEnd"/>
      <w:r w:rsidRPr="0030217E">
        <w:rPr>
          <w:sz w:val="20"/>
          <w:szCs w:val="20"/>
        </w:rPr>
        <w:t>(2):356-63</w:t>
      </w:r>
      <w:r w:rsidRPr="0030217E">
        <w:rPr>
          <w:rFonts w:hint="cs"/>
          <w:sz w:val="20"/>
          <w:szCs w:val="20"/>
        </w:rPr>
        <w:t>.</w:t>
      </w:r>
    </w:p>
    <w:p w:rsidR="003E44C4" w:rsidRPr="0030217E" w:rsidRDefault="004E7994" w:rsidP="0030217E">
      <w:pPr>
        <w:pStyle w:val="ListParagraph"/>
        <w:numPr>
          <w:ilvl w:val="0"/>
          <w:numId w:val="4"/>
        </w:numPr>
        <w:snapToGrid w:val="0"/>
        <w:spacing w:before="0" w:line="240" w:lineRule="auto"/>
        <w:jc w:val="both"/>
        <w:rPr>
          <w:sz w:val="20"/>
          <w:szCs w:val="20"/>
        </w:rPr>
      </w:pPr>
      <w:hyperlink r:id="rId37" w:history="1">
        <w:r w:rsidR="003E44C4" w:rsidRPr="0030217E">
          <w:rPr>
            <w:rStyle w:val="Hyperlink"/>
            <w:bCs/>
            <w:color w:val="auto"/>
            <w:sz w:val="20"/>
            <w:szCs w:val="20"/>
          </w:rPr>
          <w:t>Shih, K.C</w:t>
        </w:r>
      </w:hyperlink>
      <w:r w:rsidR="003E44C4" w:rsidRPr="0030217E">
        <w:rPr>
          <w:bCs/>
          <w:sz w:val="20"/>
          <w:szCs w:val="20"/>
        </w:rPr>
        <w:t>.;</w:t>
      </w:r>
      <w:r w:rsidR="003E44C4" w:rsidRPr="0030217E">
        <w:rPr>
          <w:rStyle w:val="apple-converted-space"/>
          <w:bCs/>
          <w:sz w:val="20"/>
        </w:rPr>
        <w:t> </w:t>
      </w:r>
      <w:hyperlink r:id="rId38" w:history="1">
        <w:r w:rsidR="003E44C4" w:rsidRPr="0030217E">
          <w:rPr>
            <w:rStyle w:val="Hyperlink"/>
            <w:bCs/>
            <w:color w:val="auto"/>
            <w:sz w:val="20"/>
            <w:szCs w:val="20"/>
          </w:rPr>
          <w:t>Janckila, A.J</w:t>
        </w:r>
      </w:hyperlink>
      <w:r w:rsidR="003E44C4" w:rsidRPr="0030217E">
        <w:rPr>
          <w:bCs/>
          <w:sz w:val="20"/>
          <w:szCs w:val="20"/>
        </w:rPr>
        <w:t>.;</w:t>
      </w:r>
      <w:r w:rsidR="003E44C4" w:rsidRPr="0030217E">
        <w:rPr>
          <w:rStyle w:val="apple-converted-space"/>
          <w:bCs/>
          <w:sz w:val="20"/>
        </w:rPr>
        <w:t> </w:t>
      </w:r>
      <w:hyperlink r:id="rId39" w:history="1">
        <w:r w:rsidR="003E44C4" w:rsidRPr="0030217E">
          <w:rPr>
            <w:rStyle w:val="Hyperlink"/>
            <w:bCs/>
            <w:color w:val="auto"/>
            <w:sz w:val="20"/>
            <w:szCs w:val="20"/>
          </w:rPr>
          <w:t>Kwok, C.F</w:t>
        </w:r>
      </w:hyperlink>
      <w:r w:rsidR="003E44C4" w:rsidRPr="0030217E">
        <w:rPr>
          <w:bCs/>
          <w:sz w:val="20"/>
          <w:szCs w:val="20"/>
        </w:rPr>
        <w:t>.;</w:t>
      </w:r>
      <w:r w:rsidR="003E44C4" w:rsidRPr="0030217E">
        <w:rPr>
          <w:rStyle w:val="apple-converted-space"/>
          <w:bCs/>
          <w:sz w:val="20"/>
        </w:rPr>
        <w:t> </w:t>
      </w:r>
      <w:hyperlink r:id="rId40" w:history="1">
        <w:r w:rsidR="003E44C4" w:rsidRPr="0030217E">
          <w:rPr>
            <w:rStyle w:val="Hyperlink"/>
            <w:bCs/>
            <w:color w:val="auto"/>
            <w:sz w:val="20"/>
            <w:szCs w:val="20"/>
          </w:rPr>
          <w:t>Ho, L.T</w:t>
        </w:r>
      </w:hyperlink>
      <w:r w:rsidR="003E44C4" w:rsidRPr="0030217E">
        <w:rPr>
          <w:bCs/>
          <w:sz w:val="20"/>
          <w:szCs w:val="20"/>
        </w:rPr>
        <w:t>.;</w:t>
      </w:r>
      <w:r w:rsidR="002E0F84">
        <w:rPr>
          <w:rStyle w:val="apple-converted-space"/>
          <w:rFonts w:eastAsiaTheme="minorEastAsia" w:hint="eastAsia"/>
          <w:bCs/>
          <w:sz w:val="20"/>
          <w:lang w:eastAsia="zh-CN"/>
        </w:rPr>
        <w:t xml:space="preserve"> </w:t>
      </w:r>
      <w:hyperlink r:id="rId41" w:history="1">
        <w:r w:rsidR="003E44C4" w:rsidRPr="0030217E">
          <w:rPr>
            <w:rStyle w:val="Hyperlink"/>
            <w:bCs/>
            <w:color w:val="auto"/>
            <w:sz w:val="20"/>
            <w:szCs w:val="20"/>
          </w:rPr>
          <w:t>Chou, Y.C</w:t>
        </w:r>
      </w:hyperlink>
      <w:r w:rsidR="003E44C4" w:rsidRPr="0030217E">
        <w:rPr>
          <w:bCs/>
          <w:sz w:val="20"/>
          <w:szCs w:val="20"/>
        </w:rPr>
        <w:t xml:space="preserve">. </w:t>
      </w:r>
      <w:proofErr w:type="gramStart"/>
      <w:r w:rsidR="003E44C4" w:rsidRPr="0030217E">
        <w:rPr>
          <w:bCs/>
          <w:sz w:val="20"/>
          <w:szCs w:val="20"/>
        </w:rPr>
        <w:t>and</w:t>
      </w:r>
      <w:proofErr w:type="gramEnd"/>
      <w:r w:rsidR="003E44C4" w:rsidRPr="0030217E">
        <w:rPr>
          <w:rStyle w:val="apple-converted-space"/>
          <w:bCs/>
          <w:sz w:val="20"/>
        </w:rPr>
        <w:t> </w:t>
      </w:r>
      <w:hyperlink r:id="rId42" w:history="1">
        <w:r w:rsidR="003E44C4" w:rsidRPr="0030217E">
          <w:rPr>
            <w:rStyle w:val="Hyperlink"/>
            <w:bCs/>
            <w:color w:val="auto"/>
            <w:sz w:val="20"/>
            <w:szCs w:val="20"/>
          </w:rPr>
          <w:t>Chao, T.Y</w:t>
        </w:r>
      </w:hyperlink>
      <w:r w:rsidR="003E44C4" w:rsidRPr="0030217E">
        <w:rPr>
          <w:bCs/>
          <w:sz w:val="20"/>
          <w:szCs w:val="20"/>
        </w:rPr>
        <w:t xml:space="preserve">.(2010) </w:t>
      </w:r>
      <w:r w:rsidR="003E44C4" w:rsidRPr="0030217E">
        <w:rPr>
          <w:sz w:val="20"/>
          <w:szCs w:val="20"/>
        </w:rPr>
        <w:t>Effects of exercise on insulin sensitivity, inflammatory cytokines, and serum tartrate-resistant acid phosphatase 5a in obese Chinese male adolescents. Metabolism; 59(1):144-51.</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Sosa, M.; Láinez, P.; Arbelo, A.; and Navarro, M. C.</w:t>
      </w:r>
      <w:r w:rsidRPr="0030217E">
        <w:rPr>
          <w:sz w:val="20"/>
          <w:szCs w:val="20"/>
        </w:rPr>
        <w:t xml:space="preserve"> (2000). The effect of 25-dihydroxyvitamin D on the bone mineral </w:t>
      </w:r>
      <w:r w:rsidRPr="0030217E">
        <w:rPr>
          <w:sz w:val="20"/>
          <w:szCs w:val="20"/>
        </w:rPr>
        <w:lastRenderedPageBreak/>
        <w:t>metabolism of elderly women with hip fracture. Rheumatology.</w:t>
      </w:r>
      <w:proofErr w:type="gramStart"/>
      <w:r w:rsidRPr="0030217E">
        <w:rPr>
          <w:sz w:val="20"/>
          <w:szCs w:val="20"/>
        </w:rPr>
        <w:t>;220:111</w:t>
      </w:r>
      <w:proofErr w:type="gramEnd"/>
      <w:r w:rsidRPr="0030217E">
        <w:rPr>
          <w:sz w:val="20"/>
          <w:szCs w:val="20"/>
        </w:rPr>
        <w:t>-118.</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Takahashi, M.</w:t>
      </w:r>
      <w:proofErr w:type="gramStart"/>
      <w:r w:rsidR="002E0F84">
        <w:rPr>
          <w:bCs/>
          <w:sz w:val="20"/>
          <w:szCs w:val="20"/>
        </w:rPr>
        <w:t>;</w:t>
      </w:r>
      <w:r w:rsidRPr="0030217E">
        <w:rPr>
          <w:bCs/>
          <w:sz w:val="20"/>
          <w:szCs w:val="20"/>
        </w:rPr>
        <w:t>Naitou</w:t>
      </w:r>
      <w:proofErr w:type="gramEnd"/>
      <w:r w:rsidRPr="0030217E">
        <w:rPr>
          <w:bCs/>
          <w:sz w:val="20"/>
          <w:szCs w:val="20"/>
        </w:rPr>
        <w:t>, K.</w:t>
      </w:r>
      <w:r w:rsidR="002E0F84">
        <w:rPr>
          <w:bCs/>
          <w:sz w:val="20"/>
          <w:szCs w:val="20"/>
        </w:rPr>
        <w:t>;</w:t>
      </w:r>
      <w:r w:rsidRPr="0030217E">
        <w:rPr>
          <w:bCs/>
          <w:sz w:val="20"/>
          <w:szCs w:val="20"/>
        </w:rPr>
        <w:t>O</w:t>
      </w:r>
      <w:proofErr w:type="gramStart"/>
      <w:r w:rsidRPr="0030217E">
        <w:rPr>
          <w:bCs/>
          <w:sz w:val="20"/>
          <w:szCs w:val="20"/>
        </w:rPr>
        <w:t>hishi</w:t>
      </w:r>
      <w:proofErr w:type="gramEnd"/>
      <w:r w:rsidRPr="0030217E">
        <w:rPr>
          <w:bCs/>
          <w:sz w:val="20"/>
          <w:szCs w:val="20"/>
        </w:rPr>
        <w:t>, T.</w:t>
      </w:r>
      <w:r w:rsidR="002E0F84">
        <w:rPr>
          <w:bCs/>
          <w:sz w:val="20"/>
          <w:szCs w:val="20"/>
        </w:rPr>
        <w:t>;</w:t>
      </w:r>
      <w:r w:rsidRPr="0030217E">
        <w:rPr>
          <w:bCs/>
          <w:sz w:val="20"/>
          <w:szCs w:val="20"/>
        </w:rPr>
        <w:t>Kushida, K. and Miura, M</w:t>
      </w:r>
      <w:r w:rsidRPr="0030217E">
        <w:rPr>
          <w:sz w:val="20"/>
          <w:szCs w:val="20"/>
        </w:rPr>
        <w:t>. (2001) Effect of vitamin K and/or D on undercarboxylated and intact osteocalcin in osteoporotic patients with vertebral or hip fractures. Clin Endocrinol (Oxf)</w:t>
      </w:r>
      <w:proofErr w:type="gramStart"/>
      <w:r w:rsidRPr="0030217E">
        <w:rPr>
          <w:sz w:val="20"/>
          <w:szCs w:val="20"/>
        </w:rPr>
        <w:t>.;</w:t>
      </w:r>
      <w:proofErr w:type="gramEnd"/>
      <w:r w:rsidRPr="0030217E">
        <w:rPr>
          <w:sz w:val="20"/>
          <w:szCs w:val="20"/>
        </w:rPr>
        <w:t xml:space="preserve"> 54(2): 219-24</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Tanzy, ME.</w:t>
      </w:r>
      <w:proofErr w:type="gramStart"/>
      <w:r w:rsidR="002E0F84">
        <w:rPr>
          <w:bCs/>
          <w:sz w:val="20"/>
          <w:szCs w:val="20"/>
        </w:rPr>
        <w:t>;</w:t>
      </w:r>
      <w:r w:rsidRPr="0030217E">
        <w:rPr>
          <w:bCs/>
          <w:sz w:val="20"/>
          <w:szCs w:val="20"/>
        </w:rPr>
        <w:t>and</w:t>
      </w:r>
      <w:proofErr w:type="gramEnd"/>
      <w:r w:rsidRPr="0030217E">
        <w:rPr>
          <w:bCs/>
          <w:sz w:val="20"/>
          <w:szCs w:val="20"/>
        </w:rPr>
        <w:t xml:space="preserve"> Camacho, PM.</w:t>
      </w:r>
      <w:r w:rsidRPr="0030217E">
        <w:rPr>
          <w:sz w:val="20"/>
          <w:szCs w:val="20"/>
        </w:rPr>
        <w:t xml:space="preserve"> (2011) Effect of vitamin D therapy on bone turnover markers in postmenopausal women with osteoporosis and osteopenia. Endocr Pract.</w:t>
      </w:r>
      <w:proofErr w:type="gramStart"/>
      <w:r w:rsidR="002E0F84">
        <w:rPr>
          <w:sz w:val="20"/>
          <w:szCs w:val="20"/>
        </w:rPr>
        <w:t>;</w:t>
      </w:r>
      <w:r w:rsidRPr="0030217E">
        <w:rPr>
          <w:sz w:val="20"/>
          <w:szCs w:val="20"/>
        </w:rPr>
        <w:t>17</w:t>
      </w:r>
      <w:proofErr w:type="gramEnd"/>
      <w:r w:rsidRPr="0030217E">
        <w:rPr>
          <w:sz w:val="20"/>
          <w:szCs w:val="20"/>
        </w:rPr>
        <w:t>(6):873-9</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Vermeer, C. and Theuwissen, E.</w:t>
      </w:r>
      <w:r w:rsidRPr="0030217E">
        <w:rPr>
          <w:sz w:val="20"/>
          <w:szCs w:val="20"/>
        </w:rPr>
        <w:t xml:space="preserve"> (2011) Vitamin K;</w:t>
      </w:r>
      <w:r w:rsidR="002E0F84">
        <w:rPr>
          <w:rFonts w:eastAsiaTheme="minorEastAsia" w:hint="eastAsia"/>
          <w:sz w:val="20"/>
          <w:szCs w:val="20"/>
          <w:lang w:eastAsia="zh-CN"/>
        </w:rPr>
        <w:t xml:space="preserve"> </w:t>
      </w:r>
      <w:r w:rsidRPr="0030217E">
        <w:rPr>
          <w:sz w:val="20"/>
          <w:szCs w:val="20"/>
        </w:rPr>
        <w:t>osteoporosis and degenerative diseases of ageing. Menopause International.</w:t>
      </w:r>
      <w:proofErr w:type="gramStart"/>
      <w:r w:rsidRPr="0030217E">
        <w:rPr>
          <w:sz w:val="20"/>
          <w:szCs w:val="20"/>
        </w:rPr>
        <w:t>;17</w:t>
      </w:r>
      <w:proofErr w:type="gramEnd"/>
      <w:r w:rsidRPr="0030217E">
        <w:rPr>
          <w:sz w:val="20"/>
          <w:szCs w:val="20"/>
        </w:rPr>
        <w:t>(1):19-23</w:t>
      </w:r>
      <w:r w:rsidRPr="0030217E">
        <w:rPr>
          <w:rFonts w:hint="cs"/>
          <w:sz w:val="20"/>
          <w:szCs w:val="20"/>
        </w:rPr>
        <w:t>.</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rFonts w:eastAsia="Calibri"/>
          <w:bCs/>
          <w:sz w:val="20"/>
          <w:szCs w:val="20"/>
        </w:rPr>
        <w:t>Viljakainen, H. T.; Natri, A.M.; Kärkkäinen, M.; Huttunen, M.M.; Palssa, A.; Jakobsen, J.;</w:t>
      </w:r>
      <w:r w:rsidR="002E0F84">
        <w:rPr>
          <w:rFonts w:eastAsiaTheme="minorEastAsia" w:hint="eastAsia"/>
          <w:bCs/>
          <w:sz w:val="20"/>
          <w:szCs w:val="20"/>
          <w:lang w:eastAsia="zh-CN"/>
        </w:rPr>
        <w:t xml:space="preserve"> </w:t>
      </w:r>
      <w:r w:rsidRPr="0030217E">
        <w:rPr>
          <w:rFonts w:eastAsia="Calibri"/>
          <w:bCs/>
          <w:sz w:val="20"/>
          <w:szCs w:val="20"/>
        </w:rPr>
        <w:t>and Lamberg-Allardt, C.</w:t>
      </w:r>
      <w:r w:rsidRPr="0030217E">
        <w:rPr>
          <w:rFonts w:eastAsia="Calibri"/>
          <w:sz w:val="20"/>
          <w:szCs w:val="20"/>
        </w:rPr>
        <w:t xml:space="preserve"> (2006). A positive dose-response effect of vitamin D supplementation on site-specific bone mineral augmentation in adolescent girls: a double-blinded randomized placebo-controlled 1-year intervention. Journal of bone and mineral research : the official journal of the American Society for Bone and Mineral Research, 21(6), 836–44.</w:t>
      </w:r>
    </w:p>
    <w:p w:rsidR="003E44C4" w:rsidRPr="0030217E" w:rsidRDefault="003E44C4" w:rsidP="0030217E">
      <w:pPr>
        <w:pStyle w:val="ListParagraph"/>
        <w:numPr>
          <w:ilvl w:val="0"/>
          <w:numId w:val="4"/>
        </w:numPr>
        <w:snapToGrid w:val="0"/>
        <w:spacing w:before="0" w:line="240" w:lineRule="auto"/>
        <w:jc w:val="both"/>
        <w:rPr>
          <w:sz w:val="20"/>
          <w:szCs w:val="20"/>
        </w:rPr>
      </w:pPr>
      <w:r w:rsidRPr="0030217E">
        <w:rPr>
          <w:bCs/>
          <w:sz w:val="20"/>
          <w:szCs w:val="20"/>
        </w:rPr>
        <w:t>Whipple, T.; Le, B.; Demers, L.; Chinchilli, V.; Petit, M.; Sharkey, N.; and Williams, N.</w:t>
      </w:r>
      <w:r w:rsidRPr="0030217E">
        <w:rPr>
          <w:sz w:val="20"/>
          <w:szCs w:val="20"/>
        </w:rPr>
        <w:t xml:space="preserve"> (2004). Acute effects of moderate intensity resistance exercise on bone cell activity. Int J Sports Med</w:t>
      </w:r>
      <w:r w:rsidRPr="0030217E">
        <w:rPr>
          <w:rFonts w:hint="cs"/>
          <w:sz w:val="20"/>
          <w:szCs w:val="20"/>
        </w:rPr>
        <w:t>.</w:t>
      </w:r>
      <w:proofErr w:type="gramStart"/>
      <w:r w:rsidRPr="0030217E">
        <w:rPr>
          <w:sz w:val="20"/>
          <w:szCs w:val="20"/>
        </w:rPr>
        <w:t>;11:132</w:t>
      </w:r>
      <w:proofErr w:type="gramEnd"/>
      <w:r w:rsidRPr="0030217E">
        <w:rPr>
          <w:sz w:val="20"/>
          <w:szCs w:val="20"/>
        </w:rPr>
        <w:t>-137.</w:t>
      </w:r>
    </w:p>
    <w:p w:rsidR="00AB6A32" w:rsidRPr="0030217E" w:rsidRDefault="00AB6A32" w:rsidP="0030217E">
      <w:pPr>
        <w:snapToGrid w:val="0"/>
        <w:spacing w:after="0" w:line="240" w:lineRule="auto"/>
        <w:ind w:left="425" w:hanging="425"/>
        <w:jc w:val="both"/>
        <w:rPr>
          <w:rFonts w:ascii="Times New Roman" w:hAnsi="Times New Roman" w:cs="Times New Roman"/>
          <w:sz w:val="20"/>
          <w:szCs w:val="20"/>
        </w:rPr>
      </w:pPr>
    </w:p>
    <w:p w:rsidR="00AB6A32" w:rsidRPr="0030217E" w:rsidRDefault="00AB6A32" w:rsidP="0030217E">
      <w:pPr>
        <w:snapToGrid w:val="0"/>
        <w:spacing w:after="0" w:line="240" w:lineRule="auto"/>
        <w:ind w:left="425" w:hanging="425"/>
        <w:jc w:val="both"/>
        <w:rPr>
          <w:rFonts w:ascii="Times New Roman" w:hAnsi="Times New Roman" w:cs="Times New Roman"/>
          <w:sz w:val="20"/>
          <w:szCs w:val="20"/>
        </w:rPr>
        <w:sectPr w:rsidR="00AB6A32" w:rsidRPr="0030217E" w:rsidSect="003749D6">
          <w:headerReference w:type="default" r:id="rId43"/>
          <w:footerReference w:type="default" r:id="rId44"/>
          <w:type w:val="continuous"/>
          <w:pgSz w:w="12240" w:h="15840" w:code="1"/>
          <w:pgMar w:top="1440" w:right="1440" w:bottom="1440" w:left="1440" w:header="720" w:footer="720" w:gutter="0"/>
          <w:cols w:num="2" w:space="709"/>
        </w:sectPr>
      </w:pPr>
    </w:p>
    <w:p w:rsidR="003E44C4" w:rsidRPr="0030217E" w:rsidRDefault="003E44C4" w:rsidP="0030217E">
      <w:pPr>
        <w:snapToGrid w:val="0"/>
        <w:spacing w:after="0" w:line="240" w:lineRule="auto"/>
        <w:ind w:left="425" w:hanging="425"/>
        <w:jc w:val="both"/>
        <w:rPr>
          <w:rFonts w:ascii="Times New Roman" w:hAnsi="Times New Roman" w:cs="Times New Roman"/>
          <w:sz w:val="20"/>
          <w:szCs w:val="20"/>
        </w:rPr>
      </w:pPr>
    </w:p>
    <w:p w:rsidR="00323507" w:rsidRPr="0030217E" w:rsidRDefault="00323507" w:rsidP="0030217E">
      <w:pPr>
        <w:snapToGrid w:val="0"/>
        <w:spacing w:after="0" w:line="240" w:lineRule="auto"/>
        <w:ind w:left="425" w:hanging="425"/>
        <w:jc w:val="both"/>
        <w:rPr>
          <w:rFonts w:ascii="Times New Roman" w:hAnsi="Times New Roman" w:cs="Times New Roman"/>
          <w:sz w:val="20"/>
          <w:szCs w:val="20"/>
          <w:lang w:eastAsia="zh-CN"/>
        </w:rPr>
      </w:pPr>
    </w:p>
    <w:p w:rsidR="00AB6A32" w:rsidRPr="0030217E" w:rsidRDefault="00AB6A32" w:rsidP="0030217E">
      <w:pPr>
        <w:snapToGrid w:val="0"/>
        <w:spacing w:after="0" w:line="240" w:lineRule="auto"/>
        <w:ind w:left="425" w:hanging="425"/>
        <w:jc w:val="both"/>
        <w:rPr>
          <w:rFonts w:ascii="Times New Roman" w:hAnsi="Times New Roman" w:cs="Times New Roman"/>
          <w:sz w:val="20"/>
          <w:lang w:eastAsia="zh-CN"/>
        </w:rPr>
      </w:pPr>
    </w:p>
    <w:p w:rsidR="005E7955" w:rsidRPr="00AB6A32" w:rsidRDefault="00323507" w:rsidP="00AB6A32">
      <w:pPr>
        <w:snapToGrid w:val="0"/>
        <w:spacing w:after="0" w:line="240" w:lineRule="auto"/>
        <w:ind w:left="425" w:hanging="425"/>
        <w:jc w:val="both"/>
        <w:rPr>
          <w:rFonts w:ascii="Times New Roman" w:hAnsi="Times New Roman" w:cs="Times New Roman"/>
          <w:sz w:val="20"/>
        </w:rPr>
      </w:pPr>
      <w:r w:rsidRPr="00AB6A32">
        <w:rPr>
          <w:rFonts w:ascii="Times New Roman" w:hAnsi="Times New Roman" w:cs="Times New Roman"/>
          <w:sz w:val="20"/>
        </w:rPr>
        <w:t>9/2</w:t>
      </w:r>
      <w:r w:rsidR="00AB6A32" w:rsidRPr="00AB6A32">
        <w:rPr>
          <w:rFonts w:ascii="Times New Roman" w:hAnsi="Times New Roman" w:cs="Times New Roman" w:hint="eastAsia"/>
          <w:sz w:val="20"/>
          <w:lang w:eastAsia="zh-CN"/>
        </w:rPr>
        <w:t>6</w:t>
      </w:r>
      <w:r w:rsidRPr="00AB6A32">
        <w:rPr>
          <w:rFonts w:ascii="Times New Roman" w:hAnsi="Times New Roman" w:cs="Times New Roman"/>
          <w:sz w:val="20"/>
        </w:rPr>
        <w:t>/2014</w:t>
      </w:r>
    </w:p>
    <w:sectPr w:rsidR="005E7955" w:rsidRPr="00AB6A32" w:rsidSect="003749D6">
      <w:headerReference w:type="default" r:id="rId45"/>
      <w:footerReference w:type="default" r:id="rId4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84" w:rsidRDefault="002E0F84" w:rsidP="000B3147">
      <w:pPr>
        <w:spacing w:after="0" w:line="240" w:lineRule="auto"/>
      </w:pPr>
      <w:r>
        <w:separator/>
      </w:r>
    </w:p>
  </w:endnote>
  <w:endnote w:type="continuationSeparator" w:id="0">
    <w:p w:rsidR="002E0F84" w:rsidRDefault="002E0F84" w:rsidP="000B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spacing w:after="0" w:line="240" w:lineRule="auto"/>
      <w:jc w:val="center"/>
      <w:rPr>
        <w:rFonts w:ascii="Times New Roman" w:hAnsi="Times New Roman" w:cs="Times New Roman"/>
        <w:sz w:val="20"/>
      </w:rPr>
    </w:pPr>
    <w:r w:rsidRPr="00323507">
      <w:rPr>
        <w:rFonts w:ascii="Times New Roman" w:hAnsi="Times New Roman" w:cs="Times New Roman"/>
        <w:sz w:val="20"/>
      </w:rPr>
      <w:fldChar w:fldCharType="begin"/>
    </w:r>
    <w:r w:rsidRPr="00323507">
      <w:rPr>
        <w:rFonts w:ascii="Times New Roman" w:hAnsi="Times New Roman" w:cs="Times New Roman"/>
        <w:sz w:val="20"/>
      </w:rPr>
      <w:instrText xml:space="preserve"> page </w:instrText>
    </w:r>
    <w:r w:rsidRPr="00323507">
      <w:rPr>
        <w:rFonts w:ascii="Times New Roman" w:hAnsi="Times New Roman" w:cs="Times New Roman"/>
        <w:sz w:val="20"/>
      </w:rPr>
      <w:fldChar w:fldCharType="separate"/>
    </w:r>
    <w:r>
      <w:rPr>
        <w:rFonts w:ascii="Times New Roman" w:hAnsi="Times New Roman" w:cs="Times New Roman"/>
        <w:noProof/>
        <w:sz w:val="20"/>
      </w:rPr>
      <w:t>1</w:t>
    </w:r>
    <w:r w:rsidRPr="0032350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spacing w:after="0" w:line="240" w:lineRule="auto"/>
      <w:jc w:val="center"/>
      <w:rPr>
        <w:rFonts w:ascii="Times New Roman" w:hAnsi="Times New Roman" w:cs="Times New Roman"/>
        <w:sz w:val="20"/>
      </w:rPr>
    </w:pPr>
    <w:r w:rsidRPr="00323507">
      <w:rPr>
        <w:rFonts w:ascii="Times New Roman" w:hAnsi="Times New Roman" w:cs="Times New Roman"/>
        <w:sz w:val="20"/>
      </w:rPr>
      <w:fldChar w:fldCharType="begin"/>
    </w:r>
    <w:r w:rsidRPr="00323507">
      <w:rPr>
        <w:rFonts w:ascii="Times New Roman" w:hAnsi="Times New Roman" w:cs="Times New Roman"/>
        <w:sz w:val="20"/>
      </w:rPr>
      <w:instrText xml:space="preserve"> page </w:instrText>
    </w:r>
    <w:r w:rsidRPr="00323507">
      <w:rPr>
        <w:rFonts w:ascii="Times New Roman" w:hAnsi="Times New Roman" w:cs="Times New Roman"/>
        <w:sz w:val="20"/>
      </w:rPr>
      <w:fldChar w:fldCharType="separate"/>
    </w:r>
    <w:r w:rsidR="0046185B">
      <w:rPr>
        <w:rFonts w:ascii="Times New Roman" w:hAnsi="Times New Roman" w:cs="Times New Roman"/>
        <w:noProof/>
        <w:sz w:val="20"/>
      </w:rPr>
      <w:t>11</w:t>
    </w:r>
    <w:r w:rsidRPr="0032350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spacing w:after="0" w:line="240" w:lineRule="auto"/>
      <w:jc w:val="center"/>
      <w:rPr>
        <w:rFonts w:ascii="Times New Roman" w:hAnsi="Times New Roman" w:cs="Times New Roman"/>
        <w:sz w:val="20"/>
      </w:rPr>
    </w:pPr>
    <w:r w:rsidRPr="00323507">
      <w:rPr>
        <w:rFonts w:ascii="Times New Roman" w:hAnsi="Times New Roman" w:cs="Times New Roman"/>
        <w:sz w:val="20"/>
      </w:rPr>
      <w:fldChar w:fldCharType="begin"/>
    </w:r>
    <w:r w:rsidRPr="00323507">
      <w:rPr>
        <w:rFonts w:ascii="Times New Roman" w:hAnsi="Times New Roman" w:cs="Times New Roman"/>
        <w:sz w:val="20"/>
      </w:rPr>
      <w:instrText xml:space="preserve"> page </w:instrText>
    </w:r>
    <w:r w:rsidRPr="00323507">
      <w:rPr>
        <w:rFonts w:ascii="Times New Roman" w:hAnsi="Times New Roman" w:cs="Times New Roman"/>
        <w:sz w:val="20"/>
      </w:rPr>
      <w:fldChar w:fldCharType="separate"/>
    </w:r>
    <w:r>
      <w:rPr>
        <w:rFonts w:ascii="Times New Roman" w:hAnsi="Times New Roman" w:cs="Times New Roman"/>
        <w:noProof/>
        <w:sz w:val="20"/>
      </w:rPr>
      <w:t>1</w:t>
    </w:r>
    <w:r w:rsidRPr="0032350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84" w:rsidRDefault="002E0F84" w:rsidP="000B3147">
      <w:pPr>
        <w:spacing w:after="0" w:line="240" w:lineRule="auto"/>
      </w:pPr>
      <w:r>
        <w:separator/>
      </w:r>
    </w:p>
  </w:footnote>
  <w:footnote w:type="continuationSeparator" w:id="0">
    <w:p w:rsidR="002E0F84" w:rsidRDefault="002E0F84" w:rsidP="000B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3507">
      <w:rPr>
        <w:rFonts w:ascii="Times New Roman" w:hAnsi="Times New Roman" w:cs="Times New Roman" w:hint="eastAsia"/>
        <w:iCs/>
        <w:color w:val="000000"/>
        <w:sz w:val="20"/>
        <w:szCs w:val="20"/>
      </w:rPr>
      <w:tab/>
    </w:r>
    <w:r w:rsidRPr="00323507">
      <w:rPr>
        <w:rFonts w:ascii="Times New Roman" w:hAnsi="Times New Roman" w:cs="Times New Roman"/>
        <w:sz w:val="20"/>
        <w:szCs w:val="20"/>
      </w:rPr>
      <w:t>Nature and Science 201</w:t>
    </w:r>
    <w:r>
      <w:rPr>
        <w:rFonts w:ascii="Times New Roman" w:hAnsi="Times New Roman" w:cs="Times New Roman" w:hint="eastAsia"/>
        <w:sz w:val="20"/>
        <w:szCs w:val="20"/>
        <w:lang w:eastAsia="zh-CN"/>
      </w:rPr>
      <w:t>5</w:t>
    </w:r>
    <w:proofErr w:type="gramStart"/>
    <w:r w:rsidRPr="00323507">
      <w:rPr>
        <w:rFonts w:ascii="Times New Roman" w:hAnsi="Times New Roman" w:cs="Times New Roman"/>
        <w:sz w:val="20"/>
        <w:szCs w:val="20"/>
      </w:rPr>
      <w:t>;1</w:t>
    </w:r>
    <w:r>
      <w:rPr>
        <w:rFonts w:ascii="Times New Roman" w:hAnsi="Times New Roman" w:cs="Times New Roman" w:hint="eastAsia"/>
        <w:sz w:val="20"/>
        <w:szCs w:val="20"/>
        <w:lang w:eastAsia="zh-CN"/>
      </w:rPr>
      <w:t>3</w:t>
    </w:r>
    <w:proofErr w:type="gramEnd"/>
    <w:r w:rsidRPr="00323507">
      <w:rPr>
        <w:rFonts w:ascii="Times New Roman" w:hAnsi="Times New Roman" w:cs="Times New Roman"/>
        <w:sz w:val="20"/>
        <w:szCs w:val="20"/>
      </w:rPr>
      <w:t>(</w:t>
    </w:r>
    <w:r w:rsidRPr="00323507">
      <w:rPr>
        <w:rFonts w:ascii="Times New Roman" w:hAnsi="Times New Roman" w:cs="Times New Roman" w:hint="eastAsia"/>
        <w:sz w:val="20"/>
        <w:szCs w:val="20"/>
      </w:rPr>
      <w:t>1</w:t>
    </w:r>
    <w:r w:rsidRPr="00323507">
      <w:rPr>
        <w:rFonts w:ascii="Times New Roman" w:hAnsi="Times New Roman" w:cs="Times New Roman"/>
        <w:sz w:val="20"/>
        <w:szCs w:val="20"/>
      </w:rPr>
      <w:t xml:space="preserve">) </w:t>
    </w:r>
    <w:r w:rsidRPr="00323507">
      <w:rPr>
        <w:rFonts w:ascii="Times New Roman" w:hAnsi="Times New Roman" w:cs="Times New Roman"/>
        <w:color w:val="000000"/>
        <w:sz w:val="20"/>
        <w:szCs w:val="20"/>
      </w:rPr>
      <w:t xml:space="preserve"> </w:t>
    </w:r>
    <w:r w:rsidRPr="00323507">
      <w:rPr>
        <w:rFonts w:ascii="Times New Roman" w:hAnsi="Times New Roman" w:cs="Times New Roman" w:hint="eastAsia"/>
        <w:color w:val="000000"/>
        <w:sz w:val="20"/>
        <w:szCs w:val="20"/>
      </w:rPr>
      <w:tab/>
    </w:r>
    <w:r w:rsidRPr="00323507">
      <w:rPr>
        <w:rFonts w:ascii="Times New Roman" w:hAnsi="Times New Roman" w:cs="Times New Roman"/>
        <w:color w:val="000000"/>
        <w:sz w:val="20"/>
        <w:szCs w:val="20"/>
      </w:rPr>
      <w:t xml:space="preserve"> </w:t>
    </w:r>
    <w:hyperlink r:id="rId1" w:history="1">
      <w:r w:rsidRPr="00323507">
        <w:rPr>
          <w:rStyle w:val="Hyperlink"/>
          <w:rFonts w:ascii="Times New Roman" w:hAnsi="Times New Roman" w:cs="Times New Roman"/>
          <w:sz w:val="20"/>
          <w:szCs w:val="20"/>
        </w:rPr>
        <w:t>http://www.sciencepub.net/nature</w:t>
      </w:r>
    </w:hyperlink>
  </w:p>
  <w:p w:rsidR="002E0F84" w:rsidRPr="00323507" w:rsidRDefault="002E0F84" w:rsidP="003235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3507">
      <w:rPr>
        <w:rFonts w:ascii="Times New Roman" w:hAnsi="Times New Roman" w:cs="Times New Roman" w:hint="eastAsia"/>
        <w:iCs/>
        <w:color w:val="000000"/>
        <w:sz w:val="20"/>
        <w:szCs w:val="20"/>
      </w:rPr>
      <w:tab/>
    </w:r>
    <w:r w:rsidRPr="00323507">
      <w:rPr>
        <w:rFonts w:ascii="Times New Roman" w:hAnsi="Times New Roman" w:cs="Times New Roman"/>
        <w:sz w:val="20"/>
        <w:szCs w:val="20"/>
      </w:rPr>
      <w:t>Nature and Science 201</w:t>
    </w:r>
    <w:r>
      <w:rPr>
        <w:rFonts w:ascii="Times New Roman" w:hAnsi="Times New Roman" w:cs="Times New Roman" w:hint="eastAsia"/>
        <w:sz w:val="20"/>
        <w:szCs w:val="20"/>
        <w:lang w:eastAsia="zh-CN"/>
      </w:rPr>
      <w:t>5</w:t>
    </w:r>
    <w:proofErr w:type="gramStart"/>
    <w:r w:rsidRPr="00323507">
      <w:rPr>
        <w:rFonts w:ascii="Times New Roman" w:hAnsi="Times New Roman" w:cs="Times New Roman"/>
        <w:sz w:val="20"/>
        <w:szCs w:val="20"/>
      </w:rPr>
      <w:t>;1</w:t>
    </w:r>
    <w:r>
      <w:rPr>
        <w:rFonts w:ascii="Times New Roman" w:hAnsi="Times New Roman" w:cs="Times New Roman" w:hint="eastAsia"/>
        <w:sz w:val="20"/>
        <w:szCs w:val="20"/>
        <w:lang w:eastAsia="zh-CN"/>
      </w:rPr>
      <w:t>3</w:t>
    </w:r>
    <w:proofErr w:type="gramEnd"/>
    <w:r w:rsidRPr="00323507">
      <w:rPr>
        <w:rFonts w:ascii="Times New Roman" w:hAnsi="Times New Roman" w:cs="Times New Roman"/>
        <w:sz w:val="20"/>
        <w:szCs w:val="20"/>
      </w:rPr>
      <w:t>(</w:t>
    </w:r>
    <w:r w:rsidRPr="00323507">
      <w:rPr>
        <w:rFonts w:ascii="Times New Roman" w:hAnsi="Times New Roman" w:cs="Times New Roman" w:hint="eastAsia"/>
        <w:sz w:val="20"/>
        <w:szCs w:val="20"/>
      </w:rPr>
      <w:t>1</w:t>
    </w:r>
    <w:r w:rsidRPr="00323507">
      <w:rPr>
        <w:rFonts w:ascii="Times New Roman" w:hAnsi="Times New Roman" w:cs="Times New Roman"/>
        <w:sz w:val="20"/>
        <w:szCs w:val="20"/>
      </w:rPr>
      <w:t xml:space="preserve">) </w:t>
    </w:r>
    <w:r w:rsidRPr="00323507">
      <w:rPr>
        <w:rFonts w:ascii="Times New Roman" w:hAnsi="Times New Roman" w:cs="Times New Roman"/>
        <w:color w:val="000000"/>
        <w:sz w:val="20"/>
        <w:szCs w:val="20"/>
      </w:rPr>
      <w:t xml:space="preserve"> </w:t>
    </w:r>
    <w:r w:rsidRPr="00323507">
      <w:rPr>
        <w:rFonts w:ascii="Times New Roman" w:hAnsi="Times New Roman" w:cs="Times New Roman" w:hint="eastAsia"/>
        <w:color w:val="000000"/>
        <w:sz w:val="20"/>
        <w:szCs w:val="20"/>
      </w:rPr>
      <w:tab/>
    </w:r>
    <w:r w:rsidRPr="00323507">
      <w:rPr>
        <w:rFonts w:ascii="Times New Roman" w:hAnsi="Times New Roman" w:cs="Times New Roman"/>
        <w:color w:val="000000"/>
        <w:sz w:val="20"/>
        <w:szCs w:val="20"/>
      </w:rPr>
      <w:t xml:space="preserve"> </w:t>
    </w:r>
    <w:hyperlink r:id="rId1" w:history="1">
      <w:r w:rsidRPr="00323507">
        <w:rPr>
          <w:rStyle w:val="Hyperlink"/>
          <w:rFonts w:ascii="Times New Roman" w:hAnsi="Times New Roman" w:cs="Times New Roman"/>
          <w:sz w:val="20"/>
          <w:szCs w:val="20"/>
        </w:rPr>
        <w:t>http://www.sciencepub.net/nature</w:t>
      </w:r>
    </w:hyperlink>
  </w:p>
  <w:p w:rsidR="002E0F84" w:rsidRPr="00323507" w:rsidRDefault="002E0F84" w:rsidP="003235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84" w:rsidRPr="00323507" w:rsidRDefault="002E0F84" w:rsidP="0032350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3507">
      <w:rPr>
        <w:rFonts w:ascii="Times New Roman" w:hAnsi="Times New Roman" w:cs="Times New Roman" w:hint="eastAsia"/>
        <w:iCs/>
        <w:color w:val="000000"/>
        <w:sz w:val="20"/>
        <w:szCs w:val="20"/>
      </w:rPr>
      <w:tab/>
    </w:r>
    <w:r w:rsidRPr="00323507">
      <w:rPr>
        <w:rFonts w:ascii="Times New Roman" w:hAnsi="Times New Roman" w:cs="Times New Roman"/>
        <w:sz w:val="20"/>
        <w:szCs w:val="20"/>
      </w:rPr>
      <w:t>Nature and Science 201</w:t>
    </w:r>
    <w:r>
      <w:rPr>
        <w:rFonts w:ascii="Times New Roman" w:hAnsi="Times New Roman" w:cs="Times New Roman" w:hint="eastAsia"/>
        <w:sz w:val="20"/>
        <w:szCs w:val="20"/>
        <w:lang w:eastAsia="zh-CN"/>
      </w:rPr>
      <w:t>5</w:t>
    </w:r>
    <w:proofErr w:type="gramStart"/>
    <w:r w:rsidRPr="00323507">
      <w:rPr>
        <w:rFonts w:ascii="Times New Roman" w:hAnsi="Times New Roman" w:cs="Times New Roman"/>
        <w:sz w:val="20"/>
        <w:szCs w:val="20"/>
      </w:rPr>
      <w:t>;1</w:t>
    </w:r>
    <w:r>
      <w:rPr>
        <w:rFonts w:ascii="Times New Roman" w:hAnsi="Times New Roman" w:cs="Times New Roman" w:hint="eastAsia"/>
        <w:sz w:val="20"/>
        <w:szCs w:val="20"/>
        <w:lang w:eastAsia="zh-CN"/>
      </w:rPr>
      <w:t>3</w:t>
    </w:r>
    <w:proofErr w:type="gramEnd"/>
    <w:r w:rsidRPr="00323507">
      <w:rPr>
        <w:rFonts w:ascii="Times New Roman" w:hAnsi="Times New Roman" w:cs="Times New Roman"/>
        <w:sz w:val="20"/>
        <w:szCs w:val="20"/>
      </w:rPr>
      <w:t>(</w:t>
    </w:r>
    <w:r w:rsidRPr="00323507">
      <w:rPr>
        <w:rFonts w:ascii="Times New Roman" w:hAnsi="Times New Roman" w:cs="Times New Roman" w:hint="eastAsia"/>
        <w:sz w:val="20"/>
        <w:szCs w:val="20"/>
      </w:rPr>
      <w:t>1</w:t>
    </w:r>
    <w:r w:rsidRPr="00323507">
      <w:rPr>
        <w:rFonts w:ascii="Times New Roman" w:hAnsi="Times New Roman" w:cs="Times New Roman"/>
        <w:sz w:val="20"/>
        <w:szCs w:val="20"/>
      </w:rPr>
      <w:t xml:space="preserve">) </w:t>
    </w:r>
    <w:r w:rsidRPr="00323507">
      <w:rPr>
        <w:rFonts w:ascii="Times New Roman" w:hAnsi="Times New Roman" w:cs="Times New Roman"/>
        <w:color w:val="000000"/>
        <w:sz w:val="20"/>
        <w:szCs w:val="20"/>
      </w:rPr>
      <w:t xml:space="preserve"> </w:t>
    </w:r>
    <w:r w:rsidRPr="00323507">
      <w:rPr>
        <w:rFonts w:ascii="Times New Roman" w:hAnsi="Times New Roman" w:cs="Times New Roman" w:hint="eastAsia"/>
        <w:color w:val="000000"/>
        <w:sz w:val="20"/>
        <w:szCs w:val="20"/>
      </w:rPr>
      <w:tab/>
    </w:r>
    <w:r w:rsidRPr="00323507">
      <w:rPr>
        <w:rFonts w:ascii="Times New Roman" w:hAnsi="Times New Roman" w:cs="Times New Roman"/>
        <w:color w:val="000000"/>
        <w:sz w:val="20"/>
        <w:szCs w:val="20"/>
      </w:rPr>
      <w:t xml:space="preserve"> </w:t>
    </w:r>
    <w:hyperlink r:id="rId1" w:history="1">
      <w:r w:rsidRPr="00323507">
        <w:rPr>
          <w:rStyle w:val="Hyperlink"/>
          <w:rFonts w:ascii="Times New Roman" w:hAnsi="Times New Roman" w:cs="Times New Roman"/>
          <w:sz w:val="20"/>
          <w:szCs w:val="20"/>
        </w:rPr>
        <w:t>http://www.sciencepub.net/nature</w:t>
      </w:r>
    </w:hyperlink>
  </w:p>
  <w:p w:rsidR="002E0F84" w:rsidRPr="00323507" w:rsidRDefault="002E0F84" w:rsidP="0032350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0841"/>
    <w:multiLevelType w:val="hybridMultilevel"/>
    <w:tmpl w:val="D0609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BB260F"/>
    <w:multiLevelType w:val="hybridMultilevel"/>
    <w:tmpl w:val="8A8E15E0"/>
    <w:lvl w:ilvl="0" w:tplc="0409000F">
      <w:start w:val="1"/>
      <w:numFmt w:val="decimal"/>
      <w:lvlText w:val="%1."/>
      <w:lvlJc w:val="left"/>
      <w:pPr>
        <w:ind w:left="2912" w:hanging="360"/>
      </w:pPr>
    </w:lvl>
    <w:lvl w:ilvl="1" w:tplc="04090019">
      <w:start w:val="1"/>
      <w:numFmt w:val="lowerLetter"/>
      <w:lvlText w:val="%2."/>
      <w:lvlJc w:val="left"/>
      <w:pPr>
        <w:ind w:left="3632" w:hanging="360"/>
      </w:pPr>
    </w:lvl>
    <w:lvl w:ilvl="2" w:tplc="0409001B">
      <w:start w:val="1"/>
      <w:numFmt w:val="lowerRoman"/>
      <w:lvlText w:val="%3."/>
      <w:lvlJc w:val="right"/>
      <w:pPr>
        <w:ind w:left="4352" w:hanging="180"/>
      </w:pPr>
    </w:lvl>
    <w:lvl w:ilvl="3" w:tplc="0409000F">
      <w:start w:val="1"/>
      <w:numFmt w:val="decimal"/>
      <w:lvlText w:val="%4."/>
      <w:lvlJc w:val="left"/>
      <w:pPr>
        <w:ind w:left="5072" w:hanging="360"/>
      </w:pPr>
    </w:lvl>
    <w:lvl w:ilvl="4" w:tplc="04090019">
      <w:start w:val="1"/>
      <w:numFmt w:val="lowerLetter"/>
      <w:lvlText w:val="%5."/>
      <w:lvlJc w:val="left"/>
      <w:pPr>
        <w:ind w:left="5792" w:hanging="360"/>
      </w:pPr>
    </w:lvl>
    <w:lvl w:ilvl="5" w:tplc="0409001B">
      <w:start w:val="1"/>
      <w:numFmt w:val="lowerRoman"/>
      <w:lvlText w:val="%6."/>
      <w:lvlJc w:val="right"/>
      <w:pPr>
        <w:ind w:left="6512" w:hanging="180"/>
      </w:pPr>
    </w:lvl>
    <w:lvl w:ilvl="6" w:tplc="0409000F">
      <w:start w:val="1"/>
      <w:numFmt w:val="decimal"/>
      <w:lvlText w:val="%7."/>
      <w:lvlJc w:val="left"/>
      <w:pPr>
        <w:ind w:left="7232" w:hanging="360"/>
      </w:pPr>
    </w:lvl>
    <w:lvl w:ilvl="7" w:tplc="04090019">
      <w:start w:val="1"/>
      <w:numFmt w:val="lowerLetter"/>
      <w:lvlText w:val="%8."/>
      <w:lvlJc w:val="left"/>
      <w:pPr>
        <w:ind w:left="7952" w:hanging="360"/>
      </w:pPr>
    </w:lvl>
    <w:lvl w:ilvl="8" w:tplc="0409001B">
      <w:start w:val="1"/>
      <w:numFmt w:val="lowerRoman"/>
      <w:lvlText w:val="%9."/>
      <w:lvlJc w:val="right"/>
      <w:pPr>
        <w:ind w:left="8672" w:hanging="180"/>
      </w:pPr>
    </w:lvl>
  </w:abstractNum>
  <w:abstractNum w:abstractNumId="2">
    <w:nsid w:val="66615945"/>
    <w:multiLevelType w:val="hybridMultilevel"/>
    <w:tmpl w:val="E76230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dirty"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286A54"/>
    <w:rsid w:val="000B3147"/>
    <w:rsid w:val="000C0904"/>
    <w:rsid w:val="000F55A8"/>
    <w:rsid w:val="001474DB"/>
    <w:rsid w:val="001D6504"/>
    <w:rsid w:val="00286A54"/>
    <w:rsid w:val="002E0F84"/>
    <w:rsid w:val="0030217E"/>
    <w:rsid w:val="00323507"/>
    <w:rsid w:val="003749D6"/>
    <w:rsid w:val="003D62B1"/>
    <w:rsid w:val="003E44C4"/>
    <w:rsid w:val="00412D35"/>
    <w:rsid w:val="0046185B"/>
    <w:rsid w:val="00463884"/>
    <w:rsid w:val="004E7994"/>
    <w:rsid w:val="00550DA7"/>
    <w:rsid w:val="00595DAE"/>
    <w:rsid w:val="005E7955"/>
    <w:rsid w:val="0065284B"/>
    <w:rsid w:val="00777FEF"/>
    <w:rsid w:val="007B1CD9"/>
    <w:rsid w:val="0082368A"/>
    <w:rsid w:val="009D55C9"/>
    <w:rsid w:val="00A0761D"/>
    <w:rsid w:val="00AB6A32"/>
    <w:rsid w:val="00B32144"/>
    <w:rsid w:val="00CD79C9"/>
    <w:rsid w:val="00D132E0"/>
    <w:rsid w:val="00D20ABF"/>
    <w:rsid w:val="00D94647"/>
    <w:rsid w:val="00E65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4C4"/>
    <w:rPr>
      <w:color w:val="0000FF"/>
      <w:u w:val="single"/>
    </w:rPr>
  </w:style>
  <w:style w:type="paragraph" w:styleId="CommentText">
    <w:name w:val="annotation text"/>
    <w:basedOn w:val="Normal"/>
    <w:link w:val="CommentTextChar"/>
    <w:uiPriority w:val="99"/>
    <w:semiHidden/>
    <w:unhideWhenUsed/>
    <w:rsid w:val="003E44C4"/>
    <w:pPr>
      <w:spacing w:line="240" w:lineRule="auto"/>
    </w:pPr>
    <w:rPr>
      <w:sz w:val="20"/>
      <w:szCs w:val="20"/>
    </w:rPr>
  </w:style>
  <w:style w:type="character" w:customStyle="1" w:styleId="CommentTextChar">
    <w:name w:val="Comment Text Char"/>
    <w:basedOn w:val="DefaultParagraphFont"/>
    <w:link w:val="CommentText"/>
    <w:uiPriority w:val="99"/>
    <w:semiHidden/>
    <w:rsid w:val="003E44C4"/>
    <w:rPr>
      <w:sz w:val="20"/>
      <w:szCs w:val="20"/>
    </w:rPr>
  </w:style>
  <w:style w:type="character" w:customStyle="1" w:styleId="ListParagraphChar">
    <w:name w:val="List Paragraph Char"/>
    <w:basedOn w:val="DefaultParagraphFont"/>
    <w:link w:val="ListParagraph"/>
    <w:uiPriority w:val="34"/>
    <w:locked/>
    <w:rsid w:val="003E44C4"/>
    <w:rPr>
      <w:rFonts w:ascii="Times New Roman" w:eastAsia="Times New Roman" w:hAnsi="Times New Roman" w:cs="Times New Roman"/>
      <w:sz w:val="28"/>
      <w:szCs w:val="28"/>
      <w:lang w:bidi="ar-EG"/>
    </w:rPr>
  </w:style>
  <w:style w:type="paragraph" w:styleId="ListParagraph">
    <w:name w:val="List Paragraph"/>
    <w:basedOn w:val="Normal"/>
    <w:link w:val="ListParagraphChar"/>
    <w:uiPriority w:val="34"/>
    <w:qFormat/>
    <w:rsid w:val="003E44C4"/>
    <w:pPr>
      <w:spacing w:before="120" w:after="0"/>
      <w:ind w:left="720" w:firstLine="720"/>
      <w:contextualSpacing/>
      <w:jc w:val="lowKashida"/>
    </w:pPr>
    <w:rPr>
      <w:rFonts w:ascii="Times New Roman" w:eastAsia="Times New Roman" w:hAnsi="Times New Roman" w:cs="Times New Roman"/>
      <w:sz w:val="28"/>
      <w:szCs w:val="28"/>
      <w:lang w:bidi="ar-EG"/>
    </w:rPr>
  </w:style>
  <w:style w:type="character" w:styleId="CommentReference">
    <w:name w:val="annotation reference"/>
    <w:basedOn w:val="DefaultParagraphFont"/>
    <w:uiPriority w:val="99"/>
    <w:semiHidden/>
    <w:unhideWhenUsed/>
    <w:rsid w:val="003E44C4"/>
    <w:rPr>
      <w:sz w:val="16"/>
      <w:szCs w:val="16"/>
    </w:rPr>
  </w:style>
  <w:style w:type="character" w:styleId="IntenseEmphasis">
    <w:name w:val="Intense Emphasis"/>
    <w:aliases w:val="ref"/>
    <w:uiPriority w:val="21"/>
    <w:qFormat/>
    <w:rsid w:val="003E44C4"/>
    <w:rPr>
      <w:b/>
      <w:bCs/>
      <w:i/>
      <w:iCs/>
    </w:rPr>
  </w:style>
  <w:style w:type="character" w:customStyle="1" w:styleId="apple-converted-space">
    <w:name w:val="apple-converted-space"/>
    <w:basedOn w:val="DefaultParagraphFont"/>
    <w:rsid w:val="003E44C4"/>
  </w:style>
  <w:style w:type="paragraph" w:styleId="BalloonText">
    <w:name w:val="Balloon Text"/>
    <w:basedOn w:val="Normal"/>
    <w:link w:val="BalloonTextChar"/>
    <w:uiPriority w:val="99"/>
    <w:semiHidden/>
    <w:unhideWhenUsed/>
    <w:rsid w:val="003E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C4"/>
    <w:rPr>
      <w:rFonts w:ascii="Tahoma" w:hAnsi="Tahoma" w:cs="Tahoma"/>
      <w:sz w:val="16"/>
      <w:szCs w:val="16"/>
    </w:rPr>
  </w:style>
  <w:style w:type="paragraph" w:styleId="Header">
    <w:name w:val="header"/>
    <w:basedOn w:val="Normal"/>
    <w:link w:val="HeaderChar"/>
    <w:uiPriority w:val="99"/>
    <w:unhideWhenUsed/>
    <w:rsid w:val="000B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47"/>
  </w:style>
  <w:style w:type="paragraph" w:styleId="Footer">
    <w:name w:val="footer"/>
    <w:basedOn w:val="Normal"/>
    <w:link w:val="FooterChar"/>
    <w:uiPriority w:val="99"/>
    <w:unhideWhenUsed/>
    <w:rsid w:val="000B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4C4"/>
    <w:rPr>
      <w:color w:val="0000FF"/>
      <w:u w:val="single"/>
    </w:rPr>
  </w:style>
  <w:style w:type="paragraph" w:styleId="CommentText">
    <w:name w:val="annotation text"/>
    <w:basedOn w:val="Normal"/>
    <w:link w:val="CommentTextChar"/>
    <w:uiPriority w:val="99"/>
    <w:semiHidden/>
    <w:unhideWhenUsed/>
    <w:rsid w:val="003E44C4"/>
    <w:pPr>
      <w:spacing w:line="240" w:lineRule="auto"/>
    </w:pPr>
    <w:rPr>
      <w:sz w:val="20"/>
      <w:szCs w:val="20"/>
    </w:rPr>
  </w:style>
  <w:style w:type="character" w:customStyle="1" w:styleId="CommentTextChar">
    <w:name w:val="Comment Text Char"/>
    <w:basedOn w:val="DefaultParagraphFont"/>
    <w:link w:val="CommentText"/>
    <w:uiPriority w:val="99"/>
    <w:semiHidden/>
    <w:rsid w:val="003E44C4"/>
    <w:rPr>
      <w:sz w:val="20"/>
      <w:szCs w:val="20"/>
    </w:rPr>
  </w:style>
  <w:style w:type="character" w:customStyle="1" w:styleId="ListParagraphChar">
    <w:name w:val="List Paragraph Char"/>
    <w:basedOn w:val="DefaultParagraphFont"/>
    <w:link w:val="ListParagraph"/>
    <w:uiPriority w:val="34"/>
    <w:locked/>
    <w:rsid w:val="003E44C4"/>
    <w:rPr>
      <w:rFonts w:ascii="Times New Roman" w:eastAsia="Times New Roman" w:hAnsi="Times New Roman" w:cs="Times New Roman"/>
      <w:sz w:val="28"/>
      <w:szCs w:val="28"/>
      <w:lang w:bidi="ar-EG"/>
    </w:rPr>
  </w:style>
  <w:style w:type="paragraph" w:styleId="ListParagraph">
    <w:name w:val="List Paragraph"/>
    <w:basedOn w:val="Normal"/>
    <w:link w:val="ListParagraphChar"/>
    <w:uiPriority w:val="34"/>
    <w:qFormat/>
    <w:rsid w:val="003E44C4"/>
    <w:pPr>
      <w:spacing w:before="120" w:after="0"/>
      <w:ind w:left="720" w:firstLine="720"/>
      <w:contextualSpacing/>
      <w:jc w:val="lowKashida"/>
    </w:pPr>
    <w:rPr>
      <w:rFonts w:ascii="Times New Roman" w:eastAsia="Times New Roman" w:hAnsi="Times New Roman" w:cs="Times New Roman"/>
      <w:sz w:val="28"/>
      <w:szCs w:val="28"/>
      <w:lang w:bidi="ar-EG"/>
    </w:rPr>
  </w:style>
  <w:style w:type="character" w:styleId="CommentReference">
    <w:name w:val="annotation reference"/>
    <w:basedOn w:val="DefaultParagraphFont"/>
    <w:uiPriority w:val="99"/>
    <w:semiHidden/>
    <w:unhideWhenUsed/>
    <w:rsid w:val="003E44C4"/>
    <w:rPr>
      <w:sz w:val="16"/>
      <w:szCs w:val="16"/>
    </w:rPr>
  </w:style>
  <w:style w:type="character" w:styleId="IntenseEmphasis">
    <w:name w:val="Intense Emphasis"/>
    <w:aliases w:val="ref"/>
    <w:uiPriority w:val="21"/>
    <w:qFormat/>
    <w:rsid w:val="003E44C4"/>
    <w:rPr>
      <w:b/>
      <w:bCs/>
      <w:i/>
      <w:iCs/>
    </w:rPr>
  </w:style>
  <w:style w:type="character" w:customStyle="1" w:styleId="apple-converted-space">
    <w:name w:val="apple-converted-space"/>
    <w:basedOn w:val="DefaultParagraphFont"/>
    <w:rsid w:val="003E44C4"/>
  </w:style>
  <w:style w:type="paragraph" w:styleId="BalloonText">
    <w:name w:val="Balloon Text"/>
    <w:basedOn w:val="Normal"/>
    <w:link w:val="BalloonTextChar"/>
    <w:uiPriority w:val="99"/>
    <w:semiHidden/>
    <w:unhideWhenUsed/>
    <w:rsid w:val="003E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C4"/>
    <w:rPr>
      <w:rFonts w:ascii="Tahoma" w:hAnsi="Tahoma" w:cs="Tahoma"/>
      <w:sz w:val="16"/>
      <w:szCs w:val="16"/>
    </w:rPr>
  </w:style>
  <w:style w:type="paragraph" w:styleId="Header">
    <w:name w:val="header"/>
    <w:basedOn w:val="Normal"/>
    <w:link w:val="HeaderChar"/>
    <w:uiPriority w:val="99"/>
    <w:unhideWhenUsed/>
    <w:rsid w:val="000B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47"/>
  </w:style>
  <w:style w:type="paragraph" w:styleId="Footer">
    <w:name w:val="footer"/>
    <w:basedOn w:val="Normal"/>
    <w:link w:val="FooterChar"/>
    <w:uiPriority w:val="99"/>
    <w:unhideWhenUsed/>
    <w:rsid w:val="000B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47"/>
  </w:style>
</w:styles>
</file>

<file path=word/webSettings.xml><?xml version="1.0" encoding="utf-8"?>
<w:webSettings xmlns:r="http://schemas.openxmlformats.org/officeDocument/2006/relationships" xmlns:w="http://schemas.openxmlformats.org/wordprocessingml/2006/main">
  <w:divs>
    <w:div w:id="12825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www.ncbi.nlm.nih.gov/pubmed?term=Kwok%20CF%5BAuthor%5D&amp;cauthor=true&amp;cauthor_uid=19765782"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ncbi.nlm.nih.gov/pubmed?term=Moreines%20J%5BAuthor%5D&amp;cauthor=true&amp;cauthor_uid=22348311" TargetMode="External"/><Relationship Id="rId42" Type="http://schemas.openxmlformats.org/officeDocument/2006/relationships/hyperlink" Target="http://www.ncbi.nlm.nih.gov/pubmed?term=Chao%20TY%5BAuthor%5D&amp;cauthor=true&amp;cauthor_uid=1976578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al" TargetMode="External"/><Relationship Id="rId17" Type="http://schemas.openxmlformats.org/officeDocument/2006/relationships/hyperlink" Target="http://www.ncbi.nlm.nih.gov/pubmed/?term=Parasuraman%20S%5Bauth%5D" TargetMode="External"/><Relationship Id="rId25" Type="http://schemas.openxmlformats.org/officeDocument/2006/relationships/image" Target="media/image8.png"/><Relationship Id="rId33" Type="http://schemas.openxmlformats.org/officeDocument/2006/relationships/hyperlink" Target="http://www.ncbi.nlm.nih.gov/pubmed?term=Fu%20X%5BAuthor%5D&amp;cauthor=true&amp;cauthor_uid=22348311" TargetMode="External"/><Relationship Id="rId38" Type="http://schemas.openxmlformats.org/officeDocument/2006/relationships/hyperlink" Target="http://www.ncbi.nlm.nih.gov/pubmed?term=Janckila%20AJ%5BAuthor%5D&amp;cauthor=true&amp;cauthor_uid=1976578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t.al"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www.ncbi.nlm.nih.gov/pubmed?term=Chou%20YC%5BAuthor%5D&amp;cauthor=true&amp;cauthor_uid=19765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nature.com/nrm/journal/v13/n1/full/nrm3254.html" TargetMode="External"/><Relationship Id="rId37" Type="http://schemas.openxmlformats.org/officeDocument/2006/relationships/hyperlink" Target="http://www.ncbi.nlm.nih.gov/pubmed?term=Shih%20KC%5BAuthor%5D&amp;cauthor=true&amp;cauthor_uid=19765782" TargetMode="External"/><Relationship Id="rId40" Type="http://schemas.openxmlformats.org/officeDocument/2006/relationships/hyperlink" Target="http://www.ncbi.nlm.nih.gov/pubmed?term=Ho%20LT%5BAuthor%5D&amp;cauthor=true&amp;cauthor_uid=19765782"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t.a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www.ncbi.nlm.nih.gov/pubmed/22348311" TargetMode="External"/><Relationship Id="rId49"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ajpcell.physiology.org/content/297/6/C1336.ful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e.g.in"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ncbi.nlm.nih.gov/pubmed?term=Binkley%20N%5BAuthor%5D&amp;cauthor=true&amp;cauthor_uid=19113922" TargetMode="External"/><Relationship Id="rId35" Type="http://schemas.openxmlformats.org/officeDocument/2006/relationships/hyperlink" Target="http://www.ncbi.nlm.nih.gov/pubmed?term=Booth%20SL%5BAuthor%5D&amp;cauthor=true&amp;cauthor_uid=22348311"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mailto:gehanphysiology@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2F05-3BBD-4534-AC21-FD92E65D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16515</Words>
  <Characters>94136</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Nature and science 2014; 12(x)                                                            http://wwwsciencepub net/nature</vt:lpstr>
    </vt:vector>
  </TitlesOfParts>
  <Company>微软中国</Company>
  <LinksUpToDate>false</LinksUpToDate>
  <CharactersWithSpaces>110431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2014; 12(x)                                                            http://wwwsciencepub net/nature</dc:title>
  <dc:creator>Mohamed</dc:creator>
  <cp:lastModifiedBy>Administrator</cp:lastModifiedBy>
  <cp:revision>4</cp:revision>
  <cp:lastPrinted>2014-09-30T01:55:00Z</cp:lastPrinted>
  <dcterms:created xsi:type="dcterms:W3CDTF">2014-09-30T04:27:00Z</dcterms:created>
  <dcterms:modified xsi:type="dcterms:W3CDTF">2014-09-30T03:38:00Z</dcterms:modified>
</cp:coreProperties>
</file>