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3D5" w:rsidRPr="009C6D1E" w:rsidRDefault="00E313D5" w:rsidP="00E85D24">
      <w:pPr>
        <w:widowControl w:val="0"/>
        <w:autoSpaceDE w:val="0"/>
        <w:autoSpaceDN w:val="0"/>
        <w:adjustRightInd w:val="0"/>
        <w:snapToGrid w:val="0"/>
        <w:jc w:val="center"/>
        <w:rPr>
          <w:sz w:val="20"/>
          <w:szCs w:val="20"/>
        </w:rPr>
      </w:pPr>
      <w:r w:rsidRPr="009C6D1E">
        <w:rPr>
          <w:b/>
          <w:bCs/>
          <w:sz w:val="20"/>
          <w:szCs w:val="20"/>
        </w:rPr>
        <w:t xml:space="preserve">Multi-slice Computed Tomography versus Invasive Coronary Angiography in Symptomatic Patients Post </w:t>
      </w:r>
      <w:proofErr w:type="spellStart"/>
      <w:r w:rsidRPr="009C6D1E">
        <w:rPr>
          <w:b/>
          <w:bCs/>
          <w:sz w:val="20"/>
          <w:szCs w:val="20"/>
        </w:rPr>
        <w:t>Percutaneous</w:t>
      </w:r>
      <w:proofErr w:type="spellEnd"/>
      <w:r w:rsidRPr="009C6D1E">
        <w:rPr>
          <w:b/>
          <w:bCs/>
          <w:sz w:val="20"/>
          <w:szCs w:val="20"/>
        </w:rPr>
        <w:t xml:space="preserve"> Coronary Interventions</w:t>
      </w:r>
    </w:p>
    <w:p w:rsidR="00471E57" w:rsidRPr="009C6D1E" w:rsidRDefault="00471E57" w:rsidP="00E85D24">
      <w:pPr>
        <w:snapToGrid w:val="0"/>
        <w:jc w:val="center"/>
        <w:rPr>
          <w:sz w:val="20"/>
          <w:szCs w:val="20"/>
        </w:rPr>
      </w:pPr>
    </w:p>
    <w:p w:rsidR="00E313D5" w:rsidRPr="009C6D1E" w:rsidRDefault="00E313D5" w:rsidP="00E85D24">
      <w:pPr>
        <w:widowControl w:val="0"/>
        <w:overflowPunct w:val="0"/>
        <w:autoSpaceDE w:val="0"/>
        <w:autoSpaceDN w:val="0"/>
        <w:adjustRightInd w:val="0"/>
        <w:snapToGrid w:val="0"/>
        <w:jc w:val="center"/>
        <w:rPr>
          <w:sz w:val="20"/>
          <w:szCs w:val="20"/>
        </w:rPr>
      </w:pPr>
      <w:r w:rsidRPr="009C6D1E">
        <w:rPr>
          <w:sz w:val="20"/>
          <w:szCs w:val="20"/>
        </w:rPr>
        <w:t>Islam Shawky</w:t>
      </w:r>
      <w:r w:rsidR="00D76768" w:rsidRPr="009C6D1E">
        <w:rPr>
          <w:sz w:val="20"/>
          <w:szCs w:val="20"/>
          <w:vertAlign w:val="superscript"/>
        </w:rPr>
        <w:t>1</w:t>
      </w:r>
      <w:r w:rsidRPr="009C6D1E">
        <w:rPr>
          <w:sz w:val="20"/>
          <w:szCs w:val="20"/>
        </w:rPr>
        <w:t xml:space="preserve">, </w:t>
      </w:r>
      <w:proofErr w:type="spellStart"/>
      <w:r w:rsidRPr="009C6D1E">
        <w:rPr>
          <w:sz w:val="20"/>
          <w:szCs w:val="20"/>
        </w:rPr>
        <w:t>Mohamad</w:t>
      </w:r>
      <w:proofErr w:type="spellEnd"/>
      <w:r w:rsidRPr="009C6D1E">
        <w:rPr>
          <w:sz w:val="20"/>
          <w:szCs w:val="20"/>
        </w:rPr>
        <w:t xml:space="preserve"> Omar</w:t>
      </w:r>
      <w:r w:rsidR="00D76768" w:rsidRPr="009C6D1E">
        <w:rPr>
          <w:sz w:val="20"/>
          <w:szCs w:val="20"/>
          <w:vertAlign w:val="superscript"/>
        </w:rPr>
        <w:t>1</w:t>
      </w:r>
      <w:r w:rsidRPr="009C6D1E">
        <w:rPr>
          <w:sz w:val="20"/>
          <w:szCs w:val="20"/>
        </w:rPr>
        <w:t>, Ahmad Fahmy</w:t>
      </w:r>
      <w:r w:rsidR="00D76768" w:rsidRPr="009C6D1E">
        <w:rPr>
          <w:sz w:val="20"/>
          <w:szCs w:val="20"/>
          <w:vertAlign w:val="superscript"/>
        </w:rPr>
        <w:t>1</w:t>
      </w:r>
      <w:r w:rsidRPr="009C6D1E">
        <w:rPr>
          <w:sz w:val="20"/>
          <w:szCs w:val="20"/>
        </w:rPr>
        <w:t xml:space="preserve">, </w:t>
      </w:r>
      <w:proofErr w:type="spellStart"/>
      <w:r w:rsidRPr="009C6D1E">
        <w:rPr>
          <w:sz w:val="20"/>
          <w:szCs w:val="20"/>
        </w:rPr>
        <w:t>Khaled</w:t>
      </w:r>
      <w:proofErr w:type="spellEnd"/>
      <w:r w:rsidRPr="009C6D1E">
        <w:rPr>
          <w:sz w:val="20"/>
          <w:szCs w:val="20"/>
        </w:rPr>
        <w:t xml:space="preserve"> Nageeb</w:t>
      </w:r>
      <w:r w:rsidR="00D76768" w:rsidRPr="009C6D1E">
        <w:rPr>
          <w:sz w:val="20"/>
          <w:szCs w:val="20"/>
          <w:vertAlign w:val="superscript"/>
        </w:rPr>
        <w:t>1</w:t>
      </w:r>
      <w:r w:rsidRPr="009C6D1E">
        <w:rPr>
          <w:sz w:val="20"/>
          <w:szCs w:val="20"/>
        </w:rPr>
        <w:t>, M. Adel Attia</w:t>
      </w:r>
      <w:r w:rsidR="00D76768" w:rsidRPr="009C6D1E">
        <w:rPr>
          <w:sz w:val="20"/>
          <w:szCs w:val="20"/>
          <w:vertAlign w:val="superscript"/>
        </w:rPr>
        <w:t>1</w:t>
      </w:r>
      <w:r w:rsidRPr="009C6D1E">
        <w:rPr>
          <w:sz w:val="20"/>
          <w:szCs w:val="20"/>
        </w:rPr>
        <w:t xml:space="preserve">, </w:t>
      </w:r>
      <w:proofErr w:type="spellStart"/>
      <w:r w:rsidRPr="009C6D1E">
        <w:rPr>
          <w:sz w:val="20"/>
          <w:szCs w:val="20"/>
        </w:rPr>
        <w:t>Mostafa</w:t>
      </w:r>
      <w:proofErr w:type="spellEnd"/>
      <w:r w:rsidRPr="009C6D1E">
        <w:rPr>
          <w:sz w:val="20"/>
          <w:szCs w:val="20"/>
        </w:rPr>
        <w:t xml:space="preserve"> Mokarrab</w:t>
      </w:r>
      <w:r w:rsidR="00D76768" w:rsidRPr="009C6D1E">
        <w:rPr>
          <w:sz w:val="20"/>
          <w:szCs w:val="20"/>
          <w:vertAlign w:val="superscript"/>
        </w:rPr>
        <w:t>1</w:t>
      </w:r>
      <w:r w:rsidRPr="009C6D1E">
        <w:rPr>
          <w:sz w:val="20"/>
          <w:szCs w:val="20"/>
        </w:rPr>
        <w:t xml:space="preserve">, </w:t>
      </w:r>
      <w:proofErr w:type="spellStart"/>
      <w:r w:rsidRPr="009C6D1E">
        <w:rPr>
          <w:sz w:val="20"/>
          <w:szCs w:val="20"/>
        </w:rPr>
        <w:t>Mohamad</w:t>
      </w:r>
      <w:proofErr w:type="spellEnd"/>
      <w:r w:rsidRPr="009C6D1E">
        <w:rPr>
          <w:sz w:val="20"/>
          <w:szCs w:val="20"/>
        </w:rPr>
        <w:t xml:space="preserve"> Aboud</w:t>
      </w:r>
      <w:r w:rsidR="00D76768" w:rsidRPr="009C6D1E">
        <w:rPr>
          <w:sz w:val="20"/>
          <w:szCs w:val="20"/>
          <w:vertAlign w:val="superscript"/>
        </w:rPr>
        <w:t>2</w:t>
      </w:r>
      <w:r w:rsidRPr="009C6D1E">
        <w:rPr>
          <w:sz w:val="20"/>
          <w:szCs w:val="20"/>
        </w:rPr>
        <w:t xml:space="preserve">, </w:t>
      </w:r>
      <w:proofErr w:type="spellStart"/>
      <w:r w:rsidRPr="009C6D1E">
        <w:rPr>
          <w:sz w:val="20"/>
          <w:szCs w:val="20"/>
        </w:rPr>
        <w:t>Ezz</w:t>
      </w:r>
      <w:proofErr w:type="spellEnd"/>
      <w:r w:rsidRPr="009C6D1E">
        <w:rPr>
          <w:sz w:val="20"/>
          <w:szCs w:val="20"/>
        </w:rPr>
        <w:t xml:space="preserve"> El Sawy</w:t>
      </w:r>
      <w:r w:rsidR="00D76768" w:rsidRPr="009C6D1E">
        <w:rPr>
          <w:sz w:val="20"/>
          <w:szCs w:val="20"/>
          <w:vertAlign w:val="superscript"/>
        </w:rPr>
        <w:t>1</w:t>
      </w:r>
      <w:r w:rsidRPr="009C6D1E">
        <w:rPr>
          <w:sz w:val="20"/>
          <w:szCs w:val="20"/>
        </w:rPr>
        <w:t>.</w:t>
      </w:r>
    </w:p>
    <w:p w:rsidR="00E313D5" w:rsidRPr="009C6D1E" w:rsidRDefault="00E313D5" w:rsidP="00E85D24">
      <w:pPr>
        <w:widowControl w:val="0"/>
        <w:autoSpaceDE w:val="0"/>
        <w:autoSpaceDN w:val="0"/>
        <w:adjustRightInd w:val="0"/>
        <w:snapToGrid w:val="0"/>
        <w:jc w:val="center"/>
        <w:rPr>
          <w:sz w:val="20"/>
          <w:szCs w:val="20"/>
        </w:rPr>
      </w:pPr>
    </w:p>
    <w:p w:rsidR="00E313D5" w:rsidRPr="009C6D1E" w:rsidRDefault="00D76768" w:rsidP="00E85D24">
      <w:pPr>
        <w:widowControl w:val="0"/>
        <w:autoSpaceDE w:val="0"/>
        <w:autoSpaceDN w:val="0"/>
        <w:adjustRightInd w:val="0"/>
        <w:snapToGrid w:val="0"/>
        <w:jc w:val="center"/>
        <w:rPr>
          <w:sz w:val="20"/>
          <w:szCs w:val="20"/>
        </w:rPr>
      </w:pPr>
      <w:r w:rsidRPr="009C6D1E">
        <w:rPr>
          <w:sz w:val="20"/>
          <w:szCs w:val="20"/>
          <w:vertAlign w:val="superscript"/>
        </w:rPr>
        <w:t>1</w:t>
      </w:r>
      <w:r w:rsidR="00E313D5" w:rsidRPr="009C6D1E">
        <w:rPr>
          <w:sz w:val="20"/>
          <w:szCs w:val="20"/>
        </w:rPr>
        <w:t xml:space="preserve">Cardiology Department, </w:t>
      </w:r>
      <w:r w:rsidRPr="009C6D1E">
        <w:rPr>
          <w:sz w:val="20"/>
          <w:szCs w:val="20"/>
          <w:vertAlign w:val="superscript"/>
        </w:rPr>
        <w:t>2</w:t>
      </w:r>
      <w:r w:rsidR="00E313D5" w:rsidRPr="009C6D1E">
        <w:rPr>
          <w:sz w:val="20"/>
          <w:szCs w:val="20"/>
        </w:rPr>
        <w:t>Radiology Department, Faculty of Medicine,  Al-</w:t>
      </w:r>
      <w:proofErr w:type="spellStart"/>
      <w:r w:rsidR="00E313D5" w:rsidRPr="009C6D1E">
        <w:rPr>
          <w:sz w:val="20"/>
          <w:szCs w:val="20"/>
        </w:rPr>
        <w:t>Azhar</w:t>
      </w:r>
      <w:proofErr w:type="spellEnd"/>
      <w:r w:rsidR="00E313D5" w:rsidRPr="009C6D1E">
        <w:rPr>
          <w:sz w:val="20"/>
          <w:szCs w:val="20"/>
        </w:rPr>
        <w:t xml:space="preserve"> University, Egypt.</w:t>
      </w:r>
    </w:p>
    <w:p w:rsidR="001817C7" w:rsidRPr="009C6D1E" w:rsidRDefault="001817C7" w:rsidP="00E85D24">
      <w:pPr>
        <w:snapToGrid w:val="0"/>
        <w:jc w:val="center"/>
        <w:rPr>
          <w:sz w:val="20"/>
          <w:szCs w:val="20"/>
        </w:rPr>
      </w:pPr>
    </w:p>
    <w:p w:rsidR="00E313D5" w:rsidRPr="009C6D1E" w:rsidRDefault="00471E57" w:rsidP="00E85D24">
      <w:pPr>
        <w:widowControl w:val="0"/>
        <w:tabs>
          <w:tab w:val="left" w:pos="2180"/>
        </w:tabs>
        <w:autoSpaceDE w:val="0"/>
        <w:autoSpaceDN w:val="0"/>
        <w:adjustRightInd w:val="0"/>
        <w:snapToGrid w:val="0"/>
        <w:jc w:val="both"/>
        <w:rPr>
          <w:sz w:val="20"/>
          <w:szCs w:val="20"/>
        </w:rPr>
      </w:pPr>
      <w:r w:rsidRPr="009C6D1E">
        <w:rPr>
          <w:b/>
          <w:sz w:val="20"/>
          <w:szCs w:val="20"/>
        </w:rPr>
        <w:t xml:space="preserve">Abstract: </w:t>
      </w:r>
      <w:r w:rsidR="00E313D5" w:rsidRPr="009C6D1E">
        <w:rPr>
          <w:b/>
          <w:bCs/>
          <w:sz w:val="20"/>
          <w:szCs w:val="20"/>
        </w:rPr>
        <w:t>Objectives</w:t>
      </w:r>
      <w:r w:rsidR="00E313D5" w:rsidRPr="009C6D1E">
        <w:rPr>
          <w:sz w:val="20"/>
          <w:szCs w:val="20"/>
        </w:rPr>
        <w:t>: This study sought to evaluate the diagnostic accuracy of 64-slice multi-slice computed tomography (MSCT) for the assessment o</w:t>
      </w:r>
      <w:r w:rsidR="001207E5" w:rsidRPr="009C6D1E">
        <w:rPr>
          <w:sz w:val="20"/>
          <w:szCs w:val="20"/>
        </w:rPr>
        <w:t>f</w:t>
      </w:r>
      <w:r w:rsidR="00E313D5" w:rsidRPr="009C6D1E">
        <w:rPr>
          <w:sz w:val="20"/>
          <w:szCs w:val="20"/>
        </w:rPr>
        <w:t xml:space="preserve"> in-stent </w:t>
      </w:r>
      <w:proofErr w:type="spellStart"/>
      <w:r w:rsidR="00E313D5" w:rsidRPr="009C6D1E">
        <w:rPr>
          <w:sz w:val="20"/>
          <w:szCs w:val="20"/>
        </w:rPr>
        <w:t>stenosis</w:t>
      </w:r>
      <w:proofErr w:type="spellEnd"/>
      <w:r w:rsidR="00E313D5" w:rsidRPr="009C6D1E">
        <w:rPr>
          <w:sz w:val="20"/>
          <w:szCs w:val="20"/>
        </w:rPr>
        <w:t xml:space="preserve"> using conventional coronary angiography as the reference standard. </w:t>
      </w:r>
      <w:r w:rsidR="00E313D5" w:rsidRPr="009C6D1E">
        <w:rPr>
          <w:b/>
          <w:bCs/>
          <w:sz w:val="20"/>
          <w:szCs w:val="20"/>
        </w:rPr>
        <w:t>Background</w:t>
      </w:r>
      <w:r w:rsidR="00E313D5" w:rsidRPr="009C6D1E">
        <w:rPr>
          <w:sz w:val="20"/>
          <w:szCs w:val="20"/>
        </w:rPr>
        <w:t xml:space="preserve">: Although promising results have been obtained using 64-slice computed tomography for the detection of coronary artery </w:t>
      </w:r>
      <w:proofErr w:type="spellStart"/>
      <w:r w:rsidR="00E313D5" w:rsidRPr="009C6D1E">
        <w:rPr>
          <w:sz w:val="20"/>
          <w:szCs w:val="20"/>
        </w:rPr>
        <w:t>stenosis</w:t>
      </w:r>
      <w:proofErr w:type="spellEnd"/>
      <w:r w:rsidR="00E313D5" w:rsidRPr="009C6D1E">
        <w:rPr>
          <w:sz w:val="20"/>
          <w:szCs w:val="20"/>
        </w:rPr>
        <w:t xml:space="preserve"> in native coronary arteries, as compared with previous-generation of MSCT scanners, but data on the evaluation of coronary stents are scarce. </w:t>
      </w:r>
      <w:r w:rsidR="00E313D5" w:rsidRPr="009C6D1E">
        <w:rPr>
          <w:b/>
          <w:bCs/>
          <w:sz w:val="20"/>
          <w:szCs w:val="20"/>
        </w:rPr>
        <w:t>Methods</w:t>
      </w:r>
      <w:r w:rsidR="00E313D5" w:rsidRPr="009C6D1E">
        <w:rPr>
          <w:sz w:val="20"/>
          <w:szCs w:val="20"/>
        </w:rPr>
        <w:t>:</w:t>
      </w:r>
      <w:r w:rsidR="00E313D5" w:rsidRPr="009C6D1E">
        <w:rPr>
          <w:b/>
          <w:bCs/>
          <w:sz w:val="20"/>
          <w:szCs w:val="20"/>
        </w:rPr>
        <w:t xml:space="preserve"> </w:t>
      </w:r>
      <w:r w:rsidR="00E313D5" w:rsidRPr="009C6D1E">
        <w:rPr>
          <w:sz w:val="20"/>
          <w:szCs w:val="20"/>
        </w:rPr>
        <w:t xml:space="preserve">In 48 patients (42 [88%] male, ages 55± 11 years) with previous stent (≥ 2.5 mm diameter) implantation (n = 90), 64-slice MSCT angiography using either Definition dual-source 64-slice, Siemens, [n=14] or </w:t>
      </w:r>
      <w:proofErr w:type="spellStart"/>
      <w:r w:rsidR="00E313D5" w:rsidRPr="009C6D1E">
        <w:rPr>
          <w:sz w:val="20"/>
          <w:szCs w:val="20"/>
        </w:rPr>
        <w:t>Aquilion</w:t>
      </w:r>
      <w:proofErr w:type="spellEnd"/>
      <w:r w:rsidR="00E313D5" w:rsidRPr="009C6D1E">
        <w:rPr>
          <w:sz w:val="20"/>
          <w:szCs w:val="20"/>
        </w:rPr>
        <w:t xml:space="preserve"> 64-slice, Toshiba Medical Systems, [n=34]) was performed. At each center, coronary stents were evaluated by 2 experienced observers and evaluated for the presence of significant (≥50%) in-stent </w:t>
      </w:r>
      <w:proofErr w:type="spellStart"/>
      <w:r w:rsidR="00E313D5" w:rsidRPr="009C6D1E">
        <w:rPr>
          <w:sz w:val="20"/>
          <w:szCs w:val="20"/>
        </w:rPr>
        <w:t>restenosis</w:t>
      </w:r>
      <w:proofErr w:type="spellEnd"/>
      <w:r w:rsidR="00E313D5" w:rsidRPr="009C6D1E">
        <w:rPr>
          <w:sz w:val="20"/>
          <w:szCs w:val="20"/>
        </w:rPr>
        <w:t>. Quantitative coronary angiography served as the standard of reference</w:t>
      </w:r>
      <w:r w:rsidR="00E313D5" w:rsidRPr="009C6D1E">
        <w:rPr>
          <w:b/>
          <w:bCs/>
          <w:sz w:val="20"/>
          <w:szCs w:val="20"/>
        </w:rPr>
        <w:t>.</w:t>
      </w:r>
      <w:r w:rsidR="00E313D5" w:rsidRPr="009C6D1E">
        <w:rPr>
          <w:sz w:val="20"/>
          <w:szCs w:val="20"/>
        </w:rPr>
        <w:t xml:space="preserve"> </w:t>
      </w:r>
      <w:r w:rsidR="00E313D5" w:rsidRPr="009C6D1E">
        <w:rPr>
          <w:b/>
          <w:bCs/>
          <w:sz w:val="20"/>
          <w:szCs w:val="20"/>
        </w:rPr>
        <w:t>Results</w:t>
      </w:r>
      <w:r w:rsidR="00E313D5" w:rsidRPr="009C6D1E">
        <w:rPr>
          <w:sz w:val="20"/>
          <w:szCs w:val="20"/>
        </w:rPr>
        <w:t xml:space="preserve">: A total of 11 (12%) </w:t>
      </w:r>
      <w:proofErr w:type="spellStart"/>
      <w:r w:rsidR="00E313D5" w:rsidRPr="009C6D1E">
        <w:rPr>
          <w:sz w:val="20"/>
          <w:szCs w:val="20"/>
        </w:rPr>
        <w:t>stented</w:t>
      </w:r>
      <w:proofErr w:type="spellEnd"/>
      <w:r w:rsidR="00E313D5" w:rsidRPr="009C6D1E">
        <w:rPr>
          <w:sz w:val="20"/>
          <w:szCs w:val="20"/>
        </w:rPr>
        <w:t xml:space="preserve"> segments were excluded because of poor image quality. In the interpretable stents, 24 of the 79 (30.4%) evaluated stents were significantly </w:t>
      </w:r>
      <w:proofErr w:type="spellStart"/>
      <w:r w:rsidR="00E313D5" w:rsidRPr="009C6D1E">
        <w:rPr>
          <w:sz w:val="20"/>
          <w:szCs w:val="20"/>
        </w:rPr>
        <w:t>stenosed</w:t>
      </w:r>
      <w:proofErr w:type="spellEnd"/>
      <w:r w:rsidR="00E313D5" w:rsidRPr="009C6D1E">
        <w:rPr>
          <w:sz w:val="20"/>
          <w:szCs w:val="20"/>
        </w:rPr>
        <w:t>, of which 18 were correctly detected by 64- Slice MSCT. Accordingly, sensitivity, specificity, and positive and negative predictive value to identify in-stent re-</w:t>
      </w:r>
      <w:proofErr w:type="spellStart"/>
      <w:r w:rsidR="00E313D5" w:rsidRPr="009C6D1E">
        <w:rPr>
          <w:sz w:val="20"/>
          <w:szCs w:val="20"/>
        </w:rPr>
        <w:t>stenosis</w:t>
      </w:r>
      <w:proofErr w:type="spellEnd"/>
      <w:r w:rsidR="00E313D5" w:rsidRPr="009C6D1E">
        <w:rPr>
          <w:sz w:val="20"/>
          <w:szCs w:val="20"/>
        </w:rPr>
        <w:t xml:space="preserve"> in interpretable stents were 75%, 95%, 86% and 90%, respectively. </w:t>
      </w:r>
      <w:r w:rsidR="00E313D5" w:rsidRPr="009C6D1E">
        <w:rPr>
          <w:b/>
          <w:bCs/>
          <w:sz w:val="20"/>
          <w:szCs w:val="20"/>
        </w:rPr>
        <w:t>Conclusions</w:t>
      </w:r>
      <w:r w:rsidR="00E313D5" w:rsidRPr="009C6D1E">
        <w:rPr>
          <w:sz w:val="20"/>
          <w:szCs w:val="20"/>
        </w:rPr>
        <w:t xml:space="preserve">: In selected patients, ISR can be evaluated with 64-slice MSCT with good diagnostic accuracy. In particular, a high negative predictive value of 90% which indicating that 64-slice MSCT may be most valuable as a noninvasive method of excluding in-stent </w:t>
      </w:r>
      <w:proofErr w:type="spellStart"/>
      <w:r w:rsidR="00E313D5" w:rsidRPr="009C6D1E">
        <w:rPr>
          <w:sz w:val="20"/>
          <w:szCs w:val="20"/>
        </w:rPr>
        <w:t>restenosis</w:t>
      </w:r>
      <w:proofErr w:type="spellEnd"/>
      <w:r w:rsidR="00E313D5" w:rsidRPr="009C6D1E">
        <w:rPr>
          <w:sz w:val="20"/>
          <w:szCs w:val="20"/>
        </w:rPr>
        <w:t>.</w:t>
      </w:r>
    </w:p>
    <w:p w:rsidR="00E85D24" w:rsidRPr="009C6D1E" w:rsidRDefault="00966860" w:rsidP="009C6D1E">
      <w:pPr>
        <w:snapToGrid w:val="0"/>
        <w:jc w:val="both"/>
        <w:rPr>
          <w:sz w:val="20"/>
          <w:szCs w:val="20"/>
          <w:lang w:eastAsia="zh-CN"/>
        </w:rPr>
      </w:pPr>
      <w:r w:rsidRPr="009C6D1E">
        <w:rPr>
          <w:color w:val="000000"/>
          <w:sz w:val="20"/>
          <w:szCs w:val="20"/>
        </w:rPr>
        <w:t>[</w:t>
      </w:r>
      <w:r w:rsidR="00E313D5" w:rsidRPr="009C6D1E">
        <w:rPr>
          <w:sz w:val="20"/>
          <w:szCs w:val="20"/>
        </w:rPr>
        <w:t xml:space="preserve">Islam </w:t>
      </w:r>
      <w:proofErr w:type="spellStart"/>
      <w:r w:rsidR="00E313D5" w:rsidRPr="009C6D1E">
        <w:rPr>
          <w:sz w:val="20"/>
          <w:szCs w:val="20"/>
        </w:rPr>
        <w:t>Shawky</w:t>
      </w:r>
      <w:proofErr w:type="spellEnd"/>
      <w:r w:rsidR="00E313D5" w:rsidRPr="009C6D1E">
        <w:rPr>
          <w:sz w:val="20"/>
          <w:szCs w:val="20"/>
        </w:rPr>
        <w:t xml:space="preserve">, </w:t>
      </w:r>
      <w:proofErr w:type="spellStart"/>
      <w:r w:rsidR="00E313D5" w:rsidRPr="009C6D1E">
        <w:rPr>
          <w:sz w:val="20"/>
          <w:szCs w:val="20"/>
        </w:rPr>
        <w:t>Mohamad</w:t>
      </w:r>
      <w:proofErr w:type="spellEnd"/>
      <w:r w:rsidR="00E313D5" w:rsidRPr="009C6D1E">
        <w:rPr>
          <w:sz w:val="20"/>
          <w:szCs w:val="20"/>
        </w:rPr>
        <w:t xml:space="preserve"> Omar, Ahmad </w:t>
      </w:r>
      <w:proofErr w:type="spellStart"/>
      <w:r w:rsidR="00E313D5" w:rsidRPr="009C6D1E">
        <w:rPr>
          <w:sz w:val="20"/>
          <w:szCs w:val="20"/>
        </w:rPr>
        <w:t>Fahmy</w:t>
      </w:r>
      <w:proofErr w:type="spellEnd"/>
      <w:r w:rsidR="00E313D5" w:rsidRPr="009C6D1E">
        <w:rPr>
          <w:sz w:val="20"/>
          <w:szCs w:val="20"/>
        </w:rPr>
        <w:t xml:space="preserve">, </w:t>
      </w:r>
      <w:proofErr w:type="spellStart"/>
      <w:r w:rsidR="00E313D5" w:rsidRPr="009C6D1E">
        <w:rPr>
          <w:sz w:val="20"/>
          <w:szCs w:val="20"/>
        </w:rPr>
        <w:t>Khaled</w:t>
      </w:r>
      <w:proofErr w:type="spellEnd"/>
      <w:r w:rsidR="00E313D5" w:rsidRPr="009C6D1E">
        <w:rPr>
          <w:sz w:val="20"/>
          <w:szCs w:val="20"/>
        </w:rPr>
        <w:t xml:space="preserve"> </w:t>
      </w:r>
      <w:proofErr w:type="spellStart"/>
      <w:r w:rsidR="00E313D5" w:rsidRPr="009C6D1E">
        <w:rPr>
          <w:sz w:val="20"/>
          <w:szCs w:val="20"/>
        </w:rPr>
        <w:t>Nageeb</w:t>
      </w:r>
      <w:proofErr w:type="spellEnd"/>
      <w:r w:rsidR="00E313D5" w:rsidRPr="009C6D1E">
        <w:rPr>
          <w:sz w:val="20"/>
          <w:szCs w:val="20"/>
        </w:rPr>
        <w:t xml:space="preserve">, M. Adel </w:t>
      </w:r>
      <w:proofErr w:type="spellStart"/>
      <w:r w:rsidR="00E313D5" w:rsidRPr="009C6D1E">
        <w:rPr>
          <w:sz w:val="20"/>
          <w:szCs w:val="20"/>
        </w:rPr>
        <w:t>Attia</w:t>
      </w:r>
      <w:proofErr w:type="spellEnd"/>
      <w:r w:rsidR="00E313D5" w:rsidRPr="009C6D1E">
        <w:rPr>
          <w:sz w:val="20"/>
          <w:szCs w:val="20"/>
        </w:rPr>
        <w:t xml:space="preserve">, </w:t>
      </w:r>
      <w:proofErr w:type="spellStart"/>
      <w:r w:rsidR="00E313D5" w:rsidRPr="009C6D1E">
        <w:rPr>
          <w:sz w:val="20"/>
          <w:szCs w:val="20"/>
        </w:rPr>
        <w:t>Mostafa</w:t>
      </w:r>
      <w:proofErr w:type="spellEnd"/>
      <w:r w:rsidR="00E313D5" w:rsidRPr="009C6D1E">
        <w:rPr>
          <w:sz w:val="20"/>
          <w:szCs w:val="20"/>
        </w:rPr>
        <w:t xml:space="preserve"> </w:t>
      </w:r>
      <w:proofErr w:type="spellStart"/>
      <w:r w:rsidR="00E313D5" w:rsidRPr="009C6D1E">
        <w:rPr>
          <w:sz w:val="20"/>
          <w:szCs w:val="20"/>
        </w:rPr>
        <w:t>Mokarrab</w:t>
      </w:r>
      <w:proofErr w:type="spellEnd"/>
      <w:r w:rsidR="00E313D5" w:rsidRPr="009C6D1E">
        <w:rPr>
          <w:sz w:val="20"/>
          <w:szCs w:val="20"/>
        </w:rPr>
        <w:t xml:space="preserve">, </w:t>
      </w:r>
      <w:proofErr w:type="spellStart"/>
      <w:r w:rsidR="00E313D5" w:rsidRPr="009C6D1E">
        <w:rPr>
          <w:sz w:val="20"/>
          <w:szCs w:val="20"/>
        </w:rPr>
        <w:t>Mohamad</w:t>
      </w:r>
      <w:proofErr w:type="spellEnd"/>
      <w:r w:rsidR="00FC01C7">
        <w:rPr>
          <w:sz w:val="20"/>
          <w:szCs w:val="20"/>
        </w:rPr>
        <w:t>.</w:t>
      </w:r>
      <w:r w:rsidR="00E313D5" w:rsidRPr="009C6D1E">
        <w:rPr>
          <w:sz w:val="20"/>
          <w:szCs w:val="20"/>
        </w:rPr>
        <w:t xml:space="preserve"> </w:t>
      </w:r>
      <w:proofErr w:type="spellStart"/>
      <w:r w:rsidR="00E313D5" w:rsidRPr="009C6D1E">
        <w:rPr>
          <w:sz w:val="20"/>
          <w:szCs w:val="20"/>
        </w:rPr>
        <w:t>Aboud</w:t>
      </w:r>
      <w:proofErr w:type="spellEnd"/>
      <w:r w:rsidR="00E313D5" w:rsidRPr="009C6D1E">
        <w:rPr>
          <w:sz w:val="20"/>
          <w:szCs w:val="20"/>
        </w:rPr>
        <w:t xml:space="preserve">, </w:t>
      </w:r>
      <w:proofErr w:type="spellStart"/>
      <w:r w:rsidR="00E313D5" w:rsidRPr="009C6D1E">
        <w:rPr>
          <w:sz w:val="20"/>
          <w:szCs w:val="20"/>
        </w:rPr>
        <w:t>Ezz</w:t>
      </w:r>
      <w:proofErr w:type="spellEnd"/>
      <w:r w:rsidR="00E313D5" w:rsidRPr="009C6D1E">
        <w:rPr>
          <w:sz w:val="20"/>
          <w:szCs w:val="20"/>
        </w:rPr>
        <w:t xml:space="preserve"> El </w:t>
      </w:r>
      <w:proofErr w:type="spellStart"/>
      <w:r w:rsidR="00E313D5" w:rsidRPr="009C6D1E">
        <w:rPr>
          <w:sz w:val="20"/>
          <w:szCs w:val="20"/>
        </w:rPr>
        <w:t>Sawy</w:t>
      </w:r>
      <w:proofErr w:type="spellEnd"/>
      <w:r w:rsidR="00734A5D" w:rsidRPr="009C6D1E">
        <w:rPr>
          <w:sz w:val="20"/>
          <w:szCs w:val="20"/>
        </w:rPr>
        <w:t xml:space="preserve">. </w:t>
      </w:r>
      <w:r w:rsidR="00E313D5" w:rsidRPr="009C6D1E">
        <w:rPr>
          <w:b/>
          <w:bCs/>
          <w:sz w:val="20"/>
          <w:szCs w:val="20"/>
        </w:rPr>
        <w:t xml:space="preserve">Multi-slice Computed Tomography versus Invasive Coronary Angiography in Symptomatic Patients Post </w:t>
      </w:r>
      <w:proofErr w:type="spellStart"/>
      <w:r w:rsidR="00E313D5" w:rsidRPr="009C6D1E">
        <w:rPr>
          <w:b/>
          <w:bCs/>
          <w:sz w:val="20"/>
          <w:szCs w:val="20"/>
        </w:rPr>
        <w:t>Percutaneous</w:t>
      </w:r>
      <w:proofErr w:type="spellEnd"/>
      <w:r w:rsidR="00E313D5" w:rsidRPr="009C6D1E">
        <w:rPr>
          <w:b/>
          <w:bCs/>
          <w:sz w:val="20"/>
          <w:szCs w:val="20"/>
        </w:rPr>
        <w:t xml:space="preserve"> Coronary Interventions</w:t>
      </w:r>
      <w:r w:rsidR="00E85D24" w:rsidRPr="009C6D1E">
        <w:rPr>
          <w:rFonts w:eastAsia="Times New Roman"/>
          <w:b/>
          <w:bCs/>
          <w:sz w:val="20"/>
          <w:szCs w:val="20"/>
          <w:lang w:bidi="fa-IR"/>
        </w:rPr>
        <w:t>.</w:t>
      </w:r>
      <w:r w:rsidR="00E85D24" w:rsidRPr="009C6D1E">
        <w:rPr>
          <w:b/>
          <w:bCs/>
          <w:sz w:val="20"/>
          <w:szCs w:val="20"/>
        </w:rPr>
        <w:t xml:space="preserve"> </w:t>
      </w:r>
      <w:r w:rsidR="00E85D24" w:rsidRPr="009C6D1E">
        <w:rPr>
          <w:rFonts w:eastAsia="Times New Roman"/>
          <w:bCs/>
          <w:i/>
          <w:sz w:val="20"/>
          <w:szCs w:val="20"/>
        </w:rPr>
        <w:t xml:space="preserve">Nat </w:t>
      </w:r>
      <w:proofErr w:type="spellStart"/>
      <w:r w:rsidR="00E85D24" w:rsidRPr="009C6D1E">
        <w:rPr>
          <w:rFonts w:eastAsia="Times New Roman"/>
          <w:bCs/>
          <w:i/>
          <w:sz w:val="20"/>
          <w:szCs w:val="20"/>
        </w:rPr>
        <w:t>Sci</w:t>
      </w:r>
      <w:proofErr w:type="spellEnd"/>
      <w:r w:rsidR="00E85D24" w:rsidRPr="009C6D1E">
        <w:rPr>
          <w:rFonts w:eastAsiaTheme="minorEastAsia"/>
          <w:bCs/>
          <w:i/>
          <w:sz w:val="20"/>
          <w:szCs w:val="20"/>
        </w:rPr>
        <w:t xml:space="preserve"> </w:t>
      </w:r>
      <w:r w:rsidR="00E85D24" w:rsidRPr="009C6D1E">
        <w:rPr>
          <w:sz w:val="20"/>
          <w:szCs w:val="20"/>
        </w:rPr>
        <w:t>2014;12(10</w:t>
      </w:r>
      <w:r w:rsidR="004D454C">
        <w:rPr>
          <w:sz w:val="20"/>
          <w:szCs w:val="20"/>
        </w:rPr>
        <w:t>)</w:t>
      </w:r>
      <w:r w:rsidR="00E85D24" w:rsidRPr="009C6D1E">
        <w:rPr>
          <w:sz w:val="20"/>
          <w:szCs w:val="20"/>
        </w:rPr>
        <w:t>:</w:t>
      </w:r>
      <w:r w:rsidR="0027636F">
        <w:rPr>
          <w:noProof/>
          <w:color w:val="000000"/>
          <w:sz w:val="20"/>
          <w:szCs w:val="20"/>
        </w:rPr>
        <w:t>1</w:t>
      </w:r>
      <w:r w:rsidR="00694EF9">
        <w:rPr>
          <w:noProof/>
          <w:color w:val="000000"/>
          <w:sz w:val="20"/>
          <w:szCs w:val="20"/>
        </w:rPr>
        <w:t>39</w:t>
      </w:r>
      <w:r w:rsidR="00E85D24" w:rsidRPr="009C6D1E">
        <w:rPr>
          <w:color w:val="000000"/>
          <w:sz w:val="20"/>
          <w:szCs w:val="20"/>
        </w:rPr>
        <w:t>-</w:t>
      </w:r>
      <w:r w:rsidR="0027636F">
        <w:rPr>
          <w:noProof/>
          <w:color w:val="000000"/>
          <w:sz w:val="20"/>
          <w:szCs w:val="20"/>
        </w:rPr>
        <w:t>14</w:t>
      </w:r>
      <w:r w:rsidR="00694EF9">
        <w:rPr>
          <w:noProof/>
          <w:color w:val="000000"/>
          <w:sz w:val="20"/>
          <w:szCs w:val="20"/>
        </w:rPr>
        <w:t>5</w:t>
      </w:r>
      <w:r w:rsidR="00E85D24" w:rsidRPr="009C6D1E">
        <w:rPr>
          <w:sz w:val="20"/>
          <w:szCs w:val="20"/>
        </w:rPr>
        <w:t>]. (ISSN: 1545-0740).</w:t>
      </w:r>
      <w:r w:rsidR="00E85D24" w:rsidRPr="009C6D1E">
        <w:rPr>
          <w:color w:val="0000FF"/>
          <w:sz w:val="20"/>
          <w:szCs w:val="20"/>
        </w:rPr>
        <w:t xml:space="preserve"> </w:t>
      </w:r>
      <w:hyperlink r:id="rId7" w:history="1">
        <w:r w:rsidR="00E85D24" w:rsidRPr="009C6D1E">
          <w:rPr>
            <w:rStyle w:val="Hyperlink"/>
            <w:sz w:val="20"/>
            <w:szCs w:val="20"/>
          </w:rPr>
          <w:t>http://www.sciencepub.net/nature</w:t>
        </w:r>
      </w:hyperlink>
      <w:r w:rsidR="00E85D24" w:rsidRPr="009C6D1E">
        <w:rPr>
          <w:sz w:val="20"/>
          <w:szCs w:val="20"/>
        </w:rPr>
        <w:t xml:space="preserve">. </w:t>
      </w:r>
      <w:r w:rsidR="00E85D24" w:rsidRPr="009C6D1E">
        <w:rPr>
          <w:sz w:val="20"/>
          <w:szCs w:val="20"/>
          <w:lang w:eastAsia="zh-CN"/>
        </w:rPr>
        <w:t>16</w:t>
      </w:r>
    </w:p>
    <w:p w:rsidR="001817C7" w:rsidRPr="009C6D1E" w:rsidRDefault="001817C7" w:rsidP="00E85D24">
      <w:pPr>
        <w:widowControl w:val="0"/>
        <w:overflowPunct w:val="0"/>
        <w:autoSpaceDE w:val="0"/>
        <w:autoSpaceDN w:val="0"/>
        <w:adjustRightInd w:val="0"/>
        <w:snapToGrid w:val="0"/>
        <w:jc w:val="both"/>
        <w:rPr>
          <w:sz w:val="20"/>
          <w:szCs w:val="20"/>
        </w:rPr>
      </w:pPr>
    </w:p>
    <w:p w:rsidR="001817C7" w:rsidRPr="009C6D1E" w:rsidRDefault="001817C7" w:rsidP="00E85D24">
      <w:pPr>
        <w:snapToGrid w:val="0"/>
        <w:jc w:val="both"/>
        <w:rPr>
          <w:color w:val="FF0000"/>
          <w:sz w:val="20"/>
          <w:szCs w:val="20"/>
        </w:rPr>
      </w:pPr>
      <w:r w:rsidRPr="009C6D1E">
        <w:rPr>
          <w:b/>
          <w:sz w:val="20"/>
          <w:szCs w:val="20"/>
        </w:rPr>
        <w:t>Keywords:</w:t>
      </w:r>
      <w:r w:rsidR="001207E5" w:rsidRPr="009C6D1E">
        <w:rPr>
          <w:sz w:val="20"/>
          <w:szCs w:val="20"/>
        </w:rPr>
        <w:t xml:space="preserve"> multi-slice computed tomography, coronary artery </w:t>
      </w:r>
      <w:proofErr w:type="spellStart"/>
      <w:r w:rsidR="001207E5" w:rsidRPr="009C6D1E">
        <w:rPr>
          <w:sz w:val="20"/>
          <w:szCs w:val="20"/>
        </w:rPr>
        <w:t>stenosis</w:t>
      </w:r>
      <w:proofErr w:type="spellEnd"/>
      <w:r w:rsidR="001207E5" w:rsidRPr="009C6D1E">
        <w:rPr>
          <w:sz w:val="20"/>
          <w:szCs w:val="20"/>
        </w:rPr>
        <w:t>, scarce.</w:t>
      </w:r>
    </w:p>
    <w:p w:rsidR="00E85D24" w:rsidRPr="009C6D1E" w:rsidRDefault="00E85D24" w:rsidP="00E85D24">
      <w:pPr>
        <w:snapToGrid w:val="0"/>
        <w:jc w:val="both"/>
        <w:rPr>
          <w:b/>
          <w:sz w:val="20"/>
          <w:szCs w:val="20"/>
        </w:rPr>
      </w:pPr>
    </w:p>
    <w:p w:rsidR="00E85D24" w:rsidRPr="009C6D1E" w:rsidRDefault="00E85D24" w:rsidP="00E85D24">
      <w:pPr>
        <w:snapToGrid w:val="0"/>
        <w:jc w:val="both"/>
        <w:rPr>
          <w:b/>
          <w:sz w:val="20"/>
          <w:szCs w:val="20"/>
        </w:rPr>
        <w:sectPr w:rsidR="00E85D24" w:rsidRPr="009C6D1E" w:rsidSect="00694EF9">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139"/>
          <w:cols w:space="720"/>
          <w:docGrid w:linePitch="360"/>
        </w:sectPr>
      </w:pPr>
    </w:p>
    <w:p w:rsidR="00471E57" w:rsidRPr="009C6D1E" w:rsidRDefault="00471E57" w:rsidP="00E85D24">
      <w:pPr>
        <w:snapToGrid w:val="0"/>
        <w:jc w:val="both"/>
        <w:rPr>
          <w:b/>
          <w:sz w:val="20"/>
          <w:szCs w:val="20"/>
        </w:rPr>
      </w:pPr>
      <w:r w:rsidRPr="009C6D1E">
        <w:rPr>
          <w:b/>
          <w:sz w:val="20"/>
          <w:szCs w:val="20"/>
        </w:rPr>
        <w:lastRenderedPageBreak/>
        <w:t>1. Introduction</w:t>
      </w:r>
    </w:p>
    <w:p w:rsidR="00E313D5" w:rsidRPr="009C6D1E" w:rsidRDefault="001207E5" w:rsidP="00E85D24">
      <w:pPr>
        <w:autoSpaceDE w:val="0"/>
        <w:autoSpaceDN w:val="0"/>
        <w:adjustRightInd w:val="0"/>
        <w:snapToGrid w:val="0"/>
        <w:ind w:firstLine="425"/>
        <w:jc w:val="both"/>
        <w:rPr>
          <w:sz w:val="20"/>
          <w:szCs w:val="20"/>
        </w:rPr>
      </w:pPr>
      <w:r w:rsidRPr="009C6D1E">
        <w:rPr>
          <w:sz w:val="20"/>
          <w:szCs w:val="20"/>
        </w:rPr>
        <w:t>C</w:t>
      </w:r>
      <w:r w:rsidR="00E313D5" w:rsidRPr="009C6D1E">
        <w:rPr>
          <w:sz w:val="20"/>
          <w:szCs w:val="20"/>
        </w:rPr>
        <w:t xml:space="preserve">oronary stents implantation was established as a golden method for treating patients with coronary artery disease (1, 2). Though, conventional coronary angiography is still the domain of the assessment of ‘in-stent’ </w:t>
      </w:r>
      <w:proofErr w:type="spellStart"/>
      <w:r w:rsidR="00E313D5" w:rsidRPr="009C6D1E">
        <w:rPr>
          <w:sz w:val="20"/>
          <w:szCs w:val="20"/>
        </w:rPr>
        <w:t>restenosis</w:t>
      </w:r>
      <w:proofErr w:type="spellEnd"/>
      <w:r w:rsidR="00E313D5" w:rsidRPr="009C6D1E">
        <w:rPr>
          <w:sz w:val="20"/>
          <w:szCs w:val="20"/>
        </w:rPr>
        <w:t xml:space="preserve"> in symptomatic patients with previously stents implantation, but it has many limitations because of its invasiveness and high medical expense (3). Thus, a non-invasive alternative to assess the patency of the </w:t>
      </w:r>
      <w:proofErr w:type="spellStart"/>
      <w:r w:rsidR="00E313D5" w:rsidRPr="009C6D1E">
        <w:rPr>
          <w:sz w:val="20"/>
          <w:szCs w:val="20"/>
        </w:rPr>
        <w:t>stented</w:t>
      </w:r>
      <w:proofErr w:type="spellEnd"/>
      <w:r w:rsidR="00E313D5" w:rsidRPr="009C6D1E">
        <w:rPr>
          <w:sz w:val="20"/>
          <w:szCs w:val="20"/>
        </w:rPr>
        <w:t xml:space="preserve"> arterial segment would be highly desirable.</w:t>
      </w:r>
    </w:p>
    <w:p w:rsidR="00E313D5" w:rsidRPr="009C6D1E" w:rsidRDefault="00E313D5" w:rsidP="00E85D24">
      <w:pPr>
        <w:autoSpaceDE w:val="0"/>
        <w:autoSpaceDN w:val="0"/>
        <w:adjustRightInd w:val="0"/>
        <w:snapToGrid w:val="0"/>
        <w:ind w:firstLine="425"/>
        <w:jc w:val="both"/>
        <w:rPr>
          <w:sz w:val="20"/>
          <w:szCs w:val="20"/>
        </w:rPr>
      </w:pPr>
      <w:r w:rsidRPr="009C6D1E">
        <w:rPr>
          <w:sz w:val="20"/>
          <w:szCs w:val="20"/>
        </w:rPr>
        <w:t>The multi-slice computed tomography (MSCT) is emerging technique that provides a non invasive tool to assess stents patency in patients undergoing stent implantation, however, the application of MSCT Faced a lot of difficulties when initially performed on four-slice multi-detector CT scanners, because of limited spatial and temporal resolution and long acquisition times that required intolerably long breath-holds.(4)</w:t>
      </w:r>
    </w:p>
    <w:p w:rsidR="00E313D5" w:rsidRPr="009C6D1E" w:rsidRDefault="00E313D5" w:rsidP="00E85D24">
      <w:pPr>
        <w:autoSpaceDE w:val="0"/>
        <w:autoSpaceDN w:val="0"/>
        <w:adjustRightInd w:val="0"/>
        <w:snapToGrid w:val="0"/>
        <w:ind w:firstLine="425"/>
        <w:jc w:val="both"/>
        <w:rPr>
          <w:sz w:val="20"/>
          <w:szCs w:val="20"/>
        </w:rPr>
      </w:pPr>
      <w:r w:rsidRPr="009C6D1E">
        <w:rPr>
          <w:sz w:val="20"/>
          <w:szCs w:val="20"/>
        </w:rPr>
        <w:t xml:space="preserve">With the continuous evolution, Sixteen-slice scanners produced revolutionary improvement in MSCT technique, with increasing numbers of detector rows, Sixty four slice scanners were building on the improvement seen with sixteen slices CT </w:t>
      </w:r>
      <w:r w:rsidRPr="009C6D1E">
        <w:rPr>
          <w:sz w:val="20"/>
          <w:szCs w:val="20"/>
        </w:rPr>
        <w:lastRenderedPageBreak/>
        <w:t>scanners, they now provide Coronary arterial images with markedly improved temporal and spatial resolution able to perform reliable cardiac imaging not only independent of the heart rate, but also without the compromises of beta blockers or multi-segment reconstruction, so. It constitutes a promising new concept for cardiac CT as compared to earlier scanner generations. (5, 6)</w:t>
      </w:r>
    </w:p>
    <w:p w:rsidR="00E313D5" w:rsidRPr="009C6D1E" w:rsidRDefault="00E313D5" w:rsidP="00E85D24">
      <w:pPr>
        <w:autoSpaceDE w:val="0"/>
        <w:autoSpaceDN w:val="0"/>
        <w:adjustRightInd w:val="0"/>
        <w:snapToGrid w:val="0"/>
        <w:ind w:firstLine="425"/>
        <w:jc w:val="both"/>
        <w:rPr>
          <w:sz w:val="20"/>
          <w:szCs w:val="20"/>
        </w:rPr>
      </w:pPr>
      <w:r w:rsidRPr="009C6D1E">
        <w:rPr>
          <w:sz w:val="20"/>
          <w:szCs w:val="20"/>
        </w:rPr>
        <w:t xml:space="preserve">Although promising results have been obtained using multi-slice computed tomography for the detection of coronary artery </w:t>
      </w:r>
      <w:proofErr w:type="spellStart"/>
      <w:r w:rsidRPr="009C6D1E">
        <w:rPr>
          <w:sz w:val="20"/>
          <w:szCs w:val="20"/>
        </w:rPr>
        <w:t>stenosis</w:t>
      </w:r>
      <w:proofErr w:type="spellEnd"/>
      <w:r w:rsidRPr="009C6D1E">
        <w:rPr>
          <w:sz w:val="20"/>
          <w:szCs w:val="20"/>
        </w:rPr>
        <w:t xml:space="preserve"> in native coronary arteries (10) but evaluation of metallic stents was not been promising (11, 12), while substantial improvement in image quality and diagnostic accuracy observed with 16-slice as compared to 4-slice MSCT systems, however still relatively high numbers of stents with inadequate image quality were reported. In particular, stents with thicker struts or smaller diameters tended to suffer from degraded image quality. Since 64-slice MSCT systems became available, studies evaluating coronary stent in vitro suggest further improvement in image quality promising a new concept for cardiac CT as compared to earlier scanner generations (13).</w:t>
      </w:r>
    </w:p>
    <w:p w:rsidR="00E313D5" w:rsidRPr="009C6D1E" w:rsidRDefault="00E313D5" w:rsidP="00E85D24">
      <w:pPr>
        <w:autoSpaceDE w:val="0"/>
        <w:autoSpaceDN w:val="0"/>
        <w:adjustRightInd w:val="0"/>
        <w:snapToGrid w:val="0"/>
        <w:ind w:firstLine="425"/>
        <w:jc w:val="both"/>
        <w:rPr>
          <w:sz w:val="20"/>
          <w:szCs w:val="20"/>
        </w:rPr>
      </w:pPr>
      <w:r w:rsidRPr="009C6D1E">
        <w:rPr>
          <w:sz w:val="20"/>
          <w:szCs w:val="20"/>
        </w:rPr>
        <w:lastRenderedPageBreak/>
        <w:t xml:space="preserve">The purpose of the present study was to assess the diagnostic performance of 64-slice multi-detector computed tomography for the evaluation of coronary stent </w:t>
      </w:r>
      <w:proofErr w:type="spellStart"/>
      <w:r w:rsidRPr="009C6D1E">
        <w:rPr>
          <w:sz w:val="20"/>
          <w:szCs w:val="20"/>
        </w:rPr>
        <w:t>stenosis</w:t>
      </w:r>
      <w:proofErr w:type="spellEnd"/>
      <w:r w:rsidRPr="009C6D1E">
        <w:rPr>
          <w:sz w:val="20"/>
          <w:szCs w:val="20"/>
        </w:rPr>
        <w:t xml:space="preserve"> and occlusion by using conventional coronary angiography as the reference standard.</w:t>
      </w:r>
    </w:p>
    <w:p w:rsidR="00E313D5" w:rsidRPr="009C6D1E" w:rsidRDefault="00E313D5" w:rsidP="00E85D24">
      <w:pPr>
        <w:widowControl w:val="0"/>
        <w:autoSpaceDE w:val="0"/>
        <w:autoSpaceDN w:val="0"/>
        <w:adjustRightInd w:val="0"/>
        <w:snapToGrid w:val="0"/>
        <w:jc w:val="both"/>
        <w:rPr>
          <w:b/>
          <w:bCs/>
          <w:sz w:val="20"/>
          <w:szCs w:val="20"/>
        </w:rPr>
      </w:pPr>
    </w:p>
    <w:p w:rsidR="00E313D5" w:rsidRPr="009C6D1E" w:rsidRDefault="00E313D5" w:rsidP="00E85D24">
      <w:pPr>
        <w:widowControl w:val="0"/>
        <w:autoSpaceDE w:val="0"/>
        <w:autoSpaceDN w:val="0"/>
        <w:adjustRightInd w:val="0"/>
        <w:snapToGrid w:val="0"/>
        <w:jc w:val="both"/>
        <w:rPr>
          <w:sz w:val="20"/>
          <w:szCs w:val="20"/>
        </w:rPr>
      </w:pPr>
      <w:r w:rsidRPr="009C6D1E">
        <w:rPr>
          <w:b/>
          <w:bCs/>
          <w:sz w:val="20"/>
          <w:szCs w:val="20"/>
        </w:rPr>
        <w:t>2. Methods</w:t>
      </w:r>
    </w:p>
    <w:p w:rsidR="00E313D5" w:rsidRPr="009C6D1E" w:rsidRDefault="00E313D5" w:rsidP="00E85D24">
      <w:pPr>
        <w:snapToGrid w:val="0"/>
        <w:jc w:val="both"/>
        <w:rPr>
          <w:sz w:val="20"/>
          <w:szCs w:val="20"/>
        </w:rPr>
      </w:pPr>
      <w:r w:rsidRPr="009C6D1E">
        <w:rPr>
          <w:b/>
          <w:bCs/>
          <w:sz w:val="20"/>
          <w:szCs w:val="20"/>
        </w:rPr>
        <w:t xml:space="preserve">Study population. </w:t>
      </w:r>
      <w:r w:rsidRPr="009C6D1E">
        <w:rPr>
          <w:sz w:val="20"/>
          <w:szCs w:val="20"/>
        </w:rPr>
        <w:t xml:space="preserve">The study group consisted of 48 patients who had previously undergone </w:t>
      </w:r>
      <w:proofErr w:type="spellStart"/>
      <w:r w:rsidRPr="009C6D1E">
        <w:rPr>
          <w:sz w:val="20"/>
          <w:szCs w:val="20"/>
        </w:rPr>
        <w:t>percutaneous</w:t>
      </w:r>
      <w:proofErr w:type="spellEnd"/>
      <w:r w:rsidRPr="009C6D1E">
        <w:rPr>
          <w:sz w:val="20"/>
          <w:szCs w:val="20"/>
        </w:rPr>
        <w:t xml:space="preserve"> coronary angioplasty with stent placement. Patients were referred for conventional coronary angiography; Referral of patients for invasive coronary angiography was based on the presence of symptoms of ischemia, in addition, 64-</w:t>
      </w:r>
      <w:r w:rsidRPr="009C6D1E">
        <w:rPr>
          <w:b/>
          <w:sz w:val="20"/>
          <w:szCs w:val="20"/>
        </w:rPr>
        <w:t xml:space="preserve"> </w:t>
      </w:r>
      <w:r w:rsidRPr="009C6D1E">
        <w:rPr>
          <w:sz w:val="20"/>
          <w:szCs w:val="20"/>
        </w:rPr>
        <w:t xml:space="preserve">-slice coronary angiography was done before invasive coronary angiography as a tool for non-invasive evaluation of the coronary stents, and there were no coronary events in between the two studies. Exclusion criteria were the following: 1) </w:t>
      </w:r>
      <w:proofErr w:type="spellStart"/>
      <w:r w:rsidRPr="009C6D1E">
        <w:rPr>
          <w:sz w:val="20"/>
          <w:szCs w:val="20"/>
        </w:rPr>
        <w:t>atrial</w:t>
      </w:r>
      <w:proofErr w:type="spellEnd"/>
      <w:r w:rsidRPr="009C6D1E">
        <w:rPr>
          <w:sz w:val="20"/>
          <w:szCs w:val="20"/>
        </w:rPr>
        <w:t xml:space="preserve"> fibrillation, 2) renal insufficiency (serum </w:t>
      </w:r>
      <w:proofErr w:type="spellStart"/>
      <w:r w:rsidRPr="009C6D1E">
        <w:rPr>
          <w:sz w:val="20"/>
          <w:szCs w:val="20"/>
        </w:rPr>
        <w:t>creatinine</w:t>
      </w:r>
      <w:proofErr w:type="spellEnd"/>
      <w:r w:rsidRPr="009C6D1E">
        <w:rPr>
          <w:sz w:val="20"/>
          <w:szCs w:val="20"/>
        </w:rPr>
        <w:t xml:space="preserve"> &gt;1.6), 3) known allergy to iodine contrast media, all participating patients gave informed consent.</w:t>
      </w:r>
    </w:p>
    <w:p w:rsidR="00E313D5" w:rsidRPr="009C6D1E" w:rsidRDefault="00E313D5" w:rsidP="00E85D24">
      <w:pPr>
        <w:snapToGrid w:val="0"/>
        <w:contextualSpacing/>
        <w:jc w:val="both"/>
        <w:rPr>
          <w:sz w:val="20"/>
          <w:szCs w:val="20"/>
        </w:rPr>
      </w:pPr>
      <w:r w:rsidRPr="009C6D1E">
        <w:rPr>
          <w:b/>
          <w:bCs/>
          <w:sz w:val="20"/>
          <w:szCs w:val="20"/>
        </w:rPr>
        <w:t xml:space="preserve">Scan protocol and image reconstruction. </w:t>
      </w:r>
      <w:r w:rsidRPr="009C6D1E">
        <w:rPr>
          <w:sz w:val="20"/>
          <w:szCs w:val="20"/>
        </w:rPr>
        <w:t xml:space="preserve">All patients were instructed to remain fasting for about four hours before doing the scan, Thirteen patients (27%) had a </w:t>
      </w:r>
      <w:proofErr w:type="spellStart"/>
      <w:r w:rsidRPr="009C6D1E">
        <w:rPr>
          <w:sz w:val="20"/>
          <w:szCs w:val="20"/>
        </w:rPr>
        <w:t>prescan</w:t>
      </w:r>
      <w:proofErr w:type="spellEnd"/>
      <w:r w:rsidRPr="009C6D1E">
        <w:rPr>
          <w:sz w:val="20"/>
          <w:szCs w:val="20"/>
        </w:rPr>
        <w:t xml:space="preserve"> heart rate &gt;65 beats/min, and were given a single oral dose of 100 mg </w:t>
      </w:r>
      <w:proofErr w:type="spellStart"/>
      <w:r w:rsidRPr="009C6D1E">
        <w:rPr>
          <w:sz w:val="20"/>
          <w:szCs w:val="20"/>
        </w:rPr>
        <w:t>Atenolol</w:t>
      </w:r>
      <w:proofErr w:type="spellEnd"/>
      <w:r w:rsidRPr="009C6D1E">
        <w:rPr>
          <w:sz w:val="20"/>
          <w:szCs w:val="20"/>
        </w:rPr>
        <w:t xml:space="preserve"> 1 h before the examination in the absence of contraindications.</w:t>
      </w:r>
    </w:p>
    <w:p w:rsidR="00E313D5" w:rsidRPr="009C6D1E" w:rsidRDefault="00E313D5" w:rsidP="00E85D24">
      <w:pPr>
        <w:snapToGrid w:val="0"/>
        <w:ind w:firstLine="425"/>
        <w:contextualSpacing/>
        <w:jc w:val="both"/>
        <w:rPr>
          <w:sz w:val="20"/>
          <w:szCs w:val="20"/>
        </w:rPr>
      </w:pPr>
      <w:r w:rsidRPr="009C6D1E">
        <w:rPr>
          <w:sz w:val="20"/>
          <w:szCs w:val="20"/>
        </w:rPr>
        <w:t xml:space="preserve">The full procedure was explained to the patient, breathing exercise was done to make sure the patient can hold his breath adequately, an intra-venous (IV) access was secured (an 18 G </w:t>
      </w:r>
      <w:proofErr w:type="spellStart"/>
      <w:r w:rsidRPr="009C6D1E">
        <w:rPr>
          <w:sz w:val="20"/>
          <w:szCs w:val="20"/>
        </w:rPr>
        <w:t>cannula</w:t>
      </w:r>
      <w:proofErr w:type="spellEnd"/>
      <w:r w:rsidRPr="009C6D1E">
        <w:rPr>
          <w:sz w:val="20"/>
          <w:szCs w:val="20"/>
        </w:rPr>
        <w:t xml:space="preserve">), followed by IV saline injection to make sure of the patency of the line and to make sure there were no extravasations, the scans were performed using two 64-slice scanners (Definition dual-source 64-slice, Siemens, [n=14] and </w:t>
      </w:r>
      <w:proofErr w:type="spellStart"/>
      <w:r w:rsidRPr="009C6D1E">
        <w:rPr>
          <w:sz w:val="20"/>
          <w:szCs w:val="20"/>
        </w:rPr>
        <w:t>Aquilion</w:t>
      </w:r>
      <w:proofErr w:type="spellEnd"/>
      <w:r w:rsidRPr="009C6D1E">
        <w:rPr>
          <w:sz w:val="20"/>
          <w:szCs w:val="20"/>
        </w:rPr>
        <w:t xml:space="preserve"> 64-slice, Toshiba Medical Systems, [n=34]), a </w:t>
      </w:r>
      <w:proofErr w:type="spellStart"/>
      <w:r w:rsidRPr="009C6D1E">
        <w:rPr>
          <w:sz w:val="20"/>
          <w:szCs w:val="20"/>
        </w:rPr>
        <w:t>topogram</w:t>
      </w:r>
      <w:proofErr w:type="spellEnd"/>
      <w:r w:rsidRPr="009C6D1E">
        <w:rPr>
          <w:sz w:val="20"/>
          <w:szCs w:val="20"/>
        </w:rPr>
        <w:t xml:space="preserve"> of the chest was done on which the attempted scan volume was planned, the contrast media was then injected using the dual head injector, followed by a 50 ml of saline chaser. The injection rate was set at 5 ml/sec for both the contrast and the saline. The contrast used was a non ionic </w:t>
      </w:r>
      <w:proofErr w:type="spellStart"/>
      <w:r w:rsidRPr="009C6D1E">
        <w:rPr>
          <w:sz w:val="20"/>
          <w:szCs w:val="20"/>
        </w:rPr>
        <w:t>iso-osmolar</w:t>
      </w:r>
      <w:proofErr w:type="spellEnd"/>
      <w:r w:rsidRPr="009C6D1E">
        <w:rPr>
          <w:sz w:val="20"/>
          <w:szCs w:val="20"/>
        </w:rPr>
        <w:t xml:space="preserve"> iodine containing contrast (</w:t>
      </w:r>
      <w:proofErr w:type="spellStart"/>
      <w:r w:rsidRPr="009C6D1E">
        <w:rPr>
          <w:sz w:val="20"/>
          <w:szCs w:val="20"/>
        </w:rPr>
        <w:t>Scanlux</w:t>
      </w:r>
      <w:proofErr w:type="spellEnd"/>
      <w:r w:rsidRPr="009C6D1E">
        <w:rPr>
          <w:sz w:val="20"/>
          <w:szCs w:val="20"/>
        </w:rPr>
        <w:t>, 370). The volume of the contrast was determined based on the calculated scan time, e.g. for a 12 seconds scan a 70 ml of contrast was administered (12 s X 5 ml/s + 10 ml).</w:t>
      </w:r>
    </w:p>
    <w:p w:rsidR="00E313D5" w:rsidRPr="009C6D1E" w:rsidRDefault="00E313D5" w:rsidP="00E85D24">
      <w:pPr>
        <w:snapToGrid w:val="0"/>
        <w:ind w:firstLine="425"/>
        <w:contextualSpacing/>
        <w:jc w:val="both"/>
        <w:rPr>
          <w:sz w:val="20"/>
          <w:szCs w:val="20"/>
        </w:rPr>
      </w:pPr>
      <w:r w:rsidRPr="009C6D1E">
        <w:rPr>
          <w:sz w:val="20"/>
          <w:szCs w:val="20"/>
        </w:rPr>
        <w:t xml:space="preserve">Twelve seconds after starting the contrast injection, serial axial scans were taken at the base of the heart where the Hounsfield units (HU) were calculated at the ROI. The scans were taken every two second (bolus-tracking technique), when the attenuation reaches 120 HU in the region of interest the cardiac scan was started automatically, the </w:t>
      </w:r>
      <w:r w:rsidRPr="009C6D1E">
        <w:rPr>
          <w:sz w:val="20"/>
          <w:szCs w:val="20"/>
        </w:rPr>
        <w:lastRenderedPageBreak/>
        <w:t xml:space="preserve">contrast enhanced cardiac scans were performed by spiral retrospectively ECG gated scans. The scans were acquired with a collimated slice thickness of 0.5 mm, 64 slices per gantry rotation (64X0.5). The scan pitch was 2. The gantry rotation speed was 400 msec. The scan was also acquired during a single deep breath hold. The tube voltage was set at 120 </w:t>
      </w:r>
      <w:proofErr w:type="spellStart"/>
      <w:r w:rsidRPr="009C6D1E">
        <w:rPr>
          <w:sz w:val="20"/>
          <w:szCs w:val="20"/>
        </w:rPr>
        <w:t>Kv</w:t>
      </w:r>
      <w:proofErr w:type="spellEnd"/>
      <w:r w:rsidRPr="009C6D1E">
        <w:rPr>
          <w:sz w:val="20"/>
          <w:szCs w:val="20"/>
        </w:rPr>
        <w:t xml:space="preserve"> and the tube current was set at a range of 400-480 </w:t>
      </w:r>
      <w:proofErr w:type="spellStart"/>
      <w:r w:rsidRPr="009C6D1E">
        <w:rPr>
          <w:sz w:val="20"/>
          <w:szCs w:val="20"/>
        </w:rPr>
        <w:t>mAs</w:t>
      </w:r>
      <w:proofErr w:type="spellEnd"/>
      <w:r w:rsidRPr="009C6D1E">
        <w:rPr>
          <w:sz w:val="20"/>
          <w:szCs w:val="20"/>
        </w:rPr>
        <w:t>, where higher doses were given to obese patients.</w:t>
      </w:r>
    </w:p>
    <w:p w:rsidR="00E313D5" w:rsidRPr="009C6D1E" w:rsidRDefault="00E313D5" w:rsidP="00E85D24">
      <w:pPr>
        <w:snapToGrid w:val="0"/>
        <w:ind w:firstLine="425"/>
        <w:jc w:val="both"/>
        <w:rPr>
          <w:sz w:val="20"/>
          <w:szCs w:val="20"/>
        </w:rPr>
      </w:pPr>
      <w:r w:rsidRPr="009C6D1E">
        <w:rPr>
          <w:sz w:val="20"/>
          <w:szCs w:val="20"/>
        </w:rPr>
        <w:t>Axial slices were reconstructed from the acquired MSCT data with the use of segmented or half reconstruction algorithms. Image data sets were reconstructed during the mid-to-end diastolic phase, during which coronary artery displacement is relatively small, with reconstruction window positions starting at 400 ms before the next R wave and/or at 75% of the R-to-R interval. If indicated, additional temporal window positions were explored, including the end-systolic phase to obtain images with least motion arte-facts.</w:t>
      </w:r>
    </w:p>
    <w:p w:rsidR="00E313D5" w:rsidRPr="009C6D1E" w:rsidRDefault="00E313D5" w:rsidP="00E85D24">
      <w:pPr>
        <w:widowControl w:val="0"/>
        <w:overflowPunct w:val="0"/>
        <w:autoSpaceDE w:val="0"/>
        <w:autoSpaceDN w:val="0"/>
        <w:adjustRightInd w:val="0"/>
        <w:snapToGrid w:val="0"/>
        <w:ind w:firstLine="425"/>
        <w:jc w:val="both"/>
        <w:rPr>
          <w:sz w:val="20"/>
          <w:szCs w:val="20"/>
        </w:rPr>
      </w:pPr>
      <w:r w:rsidRPr="009C6D1E">
        <w:rPr>
          <w:sz w:val="20"/>
          <w:szCs w:val="20"/>
        </w:rPr>
        <w:t xml:space="preserve">The data sets were reconstructed at effective section thickness of 1.0mm (thin section), and reconstruction increment was 0.5 mm. Two sets of CT images were reconstructed with convolution during image data post processing: One set with a medium-smooth kernel and the other with a sharp kernel. Images generated with the sharp kernel are useful in general for visualizing </w:t>
      </w:r>
      <w:proofErr w:type="spellStart"/>
      <w:r w:rsidRPr="009C6D1E">
        <w:rPr>
          <w:sz w:val="20"/>
          <w:szCs w:val="20"/>
        </w:rPr>
        <w:t>ﬁne</w:t>
      </w:r>
      <w:proofErr w:type="spellEnd"/>
      <w:r w:rsidRPr="009C6D1E">
        <w:rPr>
          <w:sz w:val="20"/>
          <w:szCs w:val="20"/>
        </w:rPr>
        <w:t xml:space="preserve"> details in high-contrast materials (metals used in stents), whereas images generated with the smooth kernel generally are used for delineating low-contrast objects such as blood vessels.</w:t>
      </w:r>
    </w:p>
    <w:p w:rsidR="00E313D5" w:rsidRPr="009C6D1E" w:rsidRDefault="00E313D5" w:rsidP="00E85D24">
      <w:pPr>
        <w:snapToGrid w:val="0"/>
        <w:contextualSpacing/>
        <w:jc w:val="both"/>
        <w:rPr>
          <w:sz w:val="20"/>
          <w:szCs w:val="20"/>
        </w:rPr>
      </w:pPr>
      <w:r w:rsidRPr="009C6D1E">
        <w:rPr>
          <w:b/>
          <w:bCs/>
          <w:sz w:val="20"/>
          <w:szCs w:val="20"/>
        </w:rPr>
        <w:t xml:space="preserve">MSCT image interpretation. </w:t>
      </w:r>
      <w:r w:rsidRPr="009C6D1E">
        <w:rPr>
          <w:sz w:val="20"/>
          <w:szCs w:val="20"/>
        </w:rPr>
        <w:t>The data sets were then displayed and analyzed using several modes of presentation (axial images, MPR, oblique MPR, curved MPR, MIP as well as VRT formats), Image noise was measured by calculating the standard deviation of the mean CT attenuation in the ascending aorta. To improve the delineation of the stents, the images were displayed in a zoom mode with the window level at 200 HU and with window width ranging from 700 to 2000 HU. We found that the combination of a 200-HU window level with 1500-HU window width provided a better visualization of stents with respect to both in-stent luminal dimension and stent strut contrast enhancement. Thus, the data obtained in this setting were used for further analysis.</w:t>
      </w:r>
    </w:p>
    <w:p w:rsidR="00E313D5" w:rsidRPr="009C6D1E" w:rsidRDefault="00E313D5" w:rsidP="00E85D24">
      <w:pPr>
        <w:snapToGrid w:val="0"/>
        <w:ind w:firstLine="425"/>
        <w:contextualSpacing/>
        <w:jc w:val="both"/>
        <w:rPr>
          <w:sz w:val="20"/>
          <w:szCs w:val="20"/>
        </w:rPr>
      </w:pPr>
      <w:r w:rsidRPr="009C6D1E">
        <w:rPr>
          <w:sz w:val="20"/>
          <w:szCs w:val="20"/>
        </w:rPr>
        <w:t>First, each individual stent was assigned an image quality score of: 1 (un-interpretable, no diagnosis possible), 2 (moderate image quality, minor or moderate artifacts present but diagnosis possible) or 3 (good image quality, no artifacts) as previously described. (14)</w:t>
      </w:r>
    </w:p>
    <w:p w:rsidR="00E313D5" w:rsidRPr="009C6D1E" w:rsidRDefault="00E313D5" w:rsidP="00E85D24">
      <w:pPr>
        <w:snapToGrid w:val="0"/>
        <w:ind w:firstLine="425"/>
        <w:contextualSpacing/>
        <w:jc w:val="both"/>
        <w:rPr>
          <w:sz w:val="20"/>
          <w:szCs w:val="20"/>
        </w:rPr>
      </w:pPr>
      <w:r w:rsidRPr="009C6D1E">
        <w:rPr>
          <w:sz w:val="20"/>
          <w:szCs w:val="20"/>
        </w:rPr>
        <w:t xml:space="preserve">In-stent luminal diameter and coronary artery lumen 5.00 mm proximal and distal to the stent were </w:t>
      </w:r>
      <w:r w:rsidRPr="009C6D1E">
        <w:rPr>
          <w:sz w:val="20"/>
          <w:szCs w:val="20"/>
        </w:rPr>
        <w:lastRenderedPageBreak/>
        <w:t xml:space="preserve">measured by using electronic calipers. At each site, measurements were made on transverse images of three adjacent sections; the presence of more than 50% reduction of lumen diameter is a significant </w:t>
      </w:r>
      <w:proofErr w:type="spellStart"/>
      <w:r w:rsidRPr="009C6D1E">
        <w:rPr>
          <w:sz w:val="20"/>
          <w:szCs w:val="20"/>
        </w:rPr>
        <w:t>restenosis</w:t>
      </w:r>
      <w:proofErr w:type="spellEnd"/>
      <w:r w:rsidRPr="009C6D1E">
        <w:rPr>
          <w:sz w:val="20"/>
          <w:szCs w:val="20"/>
        </w:rPr>
        <w:t>. (15)</w:t>
      </w:r>
    </w:p>
    <w:p w:rsidR="00E313D5" w:rsidRPr="009C6D1E" w:rsidRDefault="00E313D5" w:rsidP="00E85D24">
      <w:pPr>
        <w:snapToGrid w:val="0"/>
        <w:ind w:firstLine="425"/>
        <w:contextualSpacing/>
        <w:jc w:val="both"/>
        <w:rPr>
          <w:sz w:val="20"/>
          <w:szCs w:val="20"/>
        </w:rPr>
      </w:pPr>
      <w:r w:rsidRPr="009C6D1E">
        <w:rPr>
          <w:sz w:val="20"/>
          <w:szCs w:val="20"/>
        </w:rPr>
        <w:t xml:space="preserve">In cases of extensive </w:t>
      </w:r>
      <w:proofErr w:type="spellStart"/>
      <w:r w:rsidRPr="009C6D1E">
        <w:rPr>
          <w:sz w:val="20"/>
          <w:szCs w:val="20"/>
        </w:rPr>
        <w:t>calciﬁcation</w:t>
      </w:r>
      <w:proofErr w:type="spellEnd"/>
      <w:r w:rsidRPr="009C6D1E">
        <w:rPr>
          <w:sz w:val="20"/>
          <w:szCs w:val="20"/>
        </w:rPr>
        <w:t xml:space="preserve"> attached to the stent or if the axis of the stent was neither perpendicular nor parallel to the imaging plane, the measurements were performed on the MPR images that showed a longitudinal view of the stent. scans were analyzed by two observers experienced in cardiac MDCT.</w:t>
      </w:r>
    </w:p>
    <w:p w:rsidR="00E313D5" w:rsidRPr="009C6D1E" w:rsidRDefault="00E313D5" w:rsidP="00E85D24">
      <w:pPr>
        <w:snapToGrid w:val="0"/>
        <w:jc w:val="both"/>
        <w:rPr>
          <w:sz w:val="20"/>
          <w:szCs w:val="20"/>
        </w:rPr>
      </w:pPr>
      <w:r w:rsidRPr="009C6D1E">
        <w:rPr>
          <w:b/>
          <w:bCs/>
          <w:sz w:val="20"/>
          <w:szCs w:val="20"/>
        </w:rPr>
        <w:t xml:space="preserve">Invasive coronary angiography. </w:t>
      </w:r>
      <w:r w:rsidRPr="009C6D1E">
        <w:rPr>
          <w:sz w:val="20"/>
          <w:szCs w:val="20"/>
        </w:rPr>
        <w:t xml:space="preserve">Conventional coronary angiography was performed with standard </w:t>
      </w:r>
      <w:proofErr w:type="spellStart"/>
      <w:r w:rsidRPr="009C6D1E">
        <w:rPr>
          <w:sz w:val="20"/>
          <w:szCs w:val="20"/>
        </w:rPr>
        <w:t>Judkins</w:t>
      </w:r>
      <w:proofErr w:type="spellEnd"/>
      <w:r w:rsidRPr="009C6D1E">
        <w:rPr>
          <w:sz w:val="20"/>
          <w:szCs w:val="20"/>
        </w:rPr>
        <w:t xml:space="preserve"> technique with access via the femoral and evaluated by a reviewer blinded to the MSCT results with the use of quantitative coronary angiography systems, assessment of the </w:t>
      </w:r>
      <w:proofErr w:type="spellStart"/>
      <w:r w:rsidRPr="009C6D1E">
        <w:rPr>
          <w:sz w:val="20"/>
          <w:szCs w:val="20"/>
        </w:rPr>
        <w:t>stented</w:t>
      </w:r>
      <w:proofErr w:type="spellEnd"/>
      <w:r w:rsidRPr="009C6D1E">
        <w:rPr>
          <w:sz w:val="20"/>
          <w:szCs w:val="20"/>
        </w:rPr>
        <w:t xml:space="preserve"> segment as well as its proximal and distal (5.00 mm) Lumina and percentage diameter reduction was determined. An in-stent lumen diameter narrowing ≥50% in diameter (up to in-stent occlusion) was defined as a significant </w:t>
      </w:r>
      <w:proofErr w:type="spellStart"/>
      <w:r w:rsidRPr="009C6D1E">
        <w:rPr>
          <w:sz w:val="20"/>
          <w:szCs w:val="20"/>
        </w:rPr>
        <w:t>restenosis</w:t>
      </w:r>
      <w:proofErr w:type="spellEnd"/>
      <w:r w:rsidRPr="009C6D1E">
        <w:rPr>
          <w:sz w:val="20"/>
          <w:szCs w:val="20"/>
        </w:rPr>
        <w:t>, measurements on conventional angiograms served as the reference standard for in-stent luminal measurements on CT images. (16)</w:t>
      </w:r>
    </w:p>
    <w:p w:rsidR="00E313D5" w:rsidRPr="009C6D1E" w:rsidRDefault="00E313D5" w:rsidP="00E85D24">
      <w:pPr>
        <w:widowControl w:val="0"/>
        <w:overflowPunct w:val="0"/>
        <w:autoSpaceDE w:val="0"/>
        <w:autoSpaceDN w:val="0"/>
        <w:adjustRightInd w:val="0"/>
        <w:snapToGrid w:val="0"/>
        <w:jc w:val="both"/>
        <w:rPr>
          <w:sz w:val="20"/>
          <w:szCs w:val="20"/>
        </w:rPr>
      </w:pPr>
      <w:r w:rsidRPr="009C6D1E">
        <w:rPr>
          <w:b/>
          <w:bCs/>
          <w:sz w:val="20"/>
          <w:szCs w:val="20"/>
        </w:rPr>
        <w:t>Statistical analysis:</w:t>
      </w:r>
    </w:p>
    <w:p w:rsidR="00E313D5" w:rsidRPr="009C6D1E" w:rsidRDefault="00E313D5" w:rsidP="00E85D24">
      <w:pPr>
        <w:widowControl w:val="0"/>
        <w:overflowPunct w:val="0"/>
        <w:autoSpaceDE w:val="0"/>
        <w:autoSpaceDN w:val="0"/>
        <w:adjustRightInd w:val="0"/>
        <w:snapToGrid w:val="0"/>
        <w:ind w:firstLine="425"/>
        <w:jc w:val="both"/>
        <w:rPr>
          <w:sz w:val="20"/>
          <w:szCs w:val="20"/>
        </w:rPr>
      </w:pPr>
      <w:r w:rsidRPr="009C6D1E">
        <w:rPr>
          <w:sz w:val="20"/>
          <w:szCs w:val="20"/>
        </w:rPr>
        <w:t xml:space="preserve">Data entry and analysis were accomplished with the aid of computer's SPSS program version 17. The results were represented in tabular forms and charts then interpreted. Mean, standard deviation, range, frequency and percentage were used as descriptive statistics .Chi square test and paired t-test were used as tests of significance, the significant was adjusted when </w:t>
      </w:r>
      <w:r w:rsidRPr="009C6D1E">
        <w:rPr>
          <w:i/>
          <w:iCs/>
          <w:sz w:val="20"/>
          <w:szCs w:val="20"/>
        </w:rPr>
        <w:t>P</w:t>
      </w:r>
      <w:r w:rsidRPr="009C6D1E">
        <w:rPr>
          <w:sz w:val="20"/>
          <w:szCs w:val="20"/>
        </w:rPr>
        <w:t xml:space="preserve">&lt; 0.05, Sensitivity, specificity, positive and negative predictive values for the detection of in-stent </w:t>
      </w:r>
      <w:proofErr w:type="spellStart"/>
      <w:r w:rsidRPr="009C6D1E">
        <w:rPr>
          <w:sz w:val="20"/>
          <w:szCs w:val="20"/>
        </w:rPr>
        <w:t>restenosis</w:t>
      </w:r>
      <w:proofErr w:type="spellEnd"/>
      <w:r w:rsidRPr="009C6D1E">
        <w:rPr>
          <w:sz w:val="20"/>
          <w:szCs w:val="20"/>
        </w:rPr>
        <w:t xml:space="preserve"> were calculated</w:t>
      </w:r>
    </w:p>
    <w:p w:rsidR="00E313D5" w:rsidRPr="009C6D1E" w:rsidRDefault="00E313D5" w:rsidP="00E85D24">
      <w:pPr>
        <w:widowControl w:val="0"/>
        <w:autoSpaceDE w:val="0"/>
        <w:autoSpaceDN w:val="0"/>
        <w:adjustRightInd w:val="0"/>
        <w:snapToGrid w:val="0"/>
        <w:jc w:val="both"/>
        <w:rPr>
          <w:sz w:val="20"/>
          <w:szCs w:val="20"/>
        </w:rPr>
      </w:pPr>
    </w:p>
    <w:p w:rsidR="00E313D5" w:rsidRPr="009C6D1E" w:rsidRDefault="00E313D5" w:rsidP="00E85D24">
      <w:pPr>
        <w:widowControl w:val="0"/>
        <w:autoSpaceDE w:val="0"/>
        <w:autoSpaceDN w:val="0"/>
        <w:adjustRightInd w:val="0"/>
        <w:snapToGrid w:val="0"/>
        <w:jc w:val="both"/>
        <w:rPr>
          <w:sz w:val="20"/>
          <w:szCs w:val="20"/>
        </w:rPr>
      </w:pPr>
      <w:r w:rsidRPr="009C6D1E">
        <w:rPr>
          <w:b/>
          <w:bCs/>
          <w:sz w:val="20"/>
          <w:szCs w:val="20"/>
        </w:rPr>
        <w:t>3. Results</w:t>
      </w:r>
    </w:p>
    <w:p w:rsidR="00E313D5" w:rsidRPr="009C6D1E" w:rsidRDefault="00E313D5" w:rsidP="00E85D24">
      <w:pPr>
        <w:snapToGrid w:val="0"/>
        <w:jc w:val="both"/>
        <w:rPr>
          <w:sz w:val="20"/>
          <w:szCs w:val="20"/>
        </w:rPr>
      </w:pPr>
      <w:r w:rsidRPr="009C6D1E">
        <w:rPr>
          <w:b/>
          <w:bCs/>
          <w:sz w:val="20"/>
          <w:szCs w:val="20"/>
        </w:rPr>
        <w:t xml:space="preserve">Patient characteristics. </w:t>
      </w:r>
      <w:r w:rsidRPr="009C6D1E">
        <w:rPr>
          <w:sz w:val="20"/>
          <w:szCs w:val="20"/>
        </w:rPr>
        <w:t xml:space="preserve">In total, 48 patients 42, (88%) males, there mean ages 55±8, Baseline characteristics of the study population are provided in </w:t>
      </w:r>
      <w:hyperlink w:anchor="page5" w:history="1">
        <w:r w:rsidRPr="009C6D1E">
          <w:rPr>
            <w:sz w:val="20"/>
            <w:szCs w:val="20"/>
          </w:rPr>
          <w:t xml:space="preserve"> Table </w:t>
        </w:r>
      </w:hyperlink>
      <w:r w:rsidRPr="009C6D1E">
        <w:rPr>
          <w:sz w:val="20"/>
          <w:szCs w:val="20"/>
        </w:rPr>
        <w:t xml:space="preserve">1. The average time interval between stent implantation and 64-slice MSCT coronary angiography was 20 ±16 months.  64-slice MSCT and conventional angiography were performed within 1 month of each other; MSCT was always performed first. The sites of stents implantation were: right coronary artery in 18 stents (22.8%), left main coronary artery in 2 stents (2.5%), left anterior descending coronary artery in 40 stents (50.6%), left </w:t>
      </w:r>
      <w:proofErr w:type="spellStart"/>
      <w:r w:rsidRPr="009C6D1E">
        <w:rPr>
          <w:sz w:val="20"/>
          <w:szCs w:val="20"/>
        </w:rPr>
        <w:t>Circumﬂex</w:t>
      </w:r>
      <w:proofErr w:type="spellEnd"/>
      <w:r w:rsidRPr="009C6D1E">
        <w:rPr>
          <w:sz w:val="20"/>
          <w:szCs w:val="20"/>
        </w:rPr>
        <w:t xml:space="preserve"> coronary artery in 15 stents (19 %) and </w:t>
      </w:r>
      <w:proofErr w:type="spellStart"/>
      <w:r w:rsidRPr="009C6D1E">
        <w:rPr>
          <w:sz w:val="20"/>
          <w:szCs w:val="20"/>
        </w:rPr>
        <w:t>saphenous</w:t>
      </w:r>
      <w:proofErr w:type="spellEnd"/>
      <w:r w:rsidRPr="009C6D1E">
        <w:rPr>
          <w:sz w:val="20"/>
          <w:szCs w:val="20"/>
        </w:rPr>
        <w:t xml:space="preserve"> venous grafts in 4 stents (5.1%).</w:t>
      </w:r>
    </w:p>
    <w:p w:rsidR="00E313D5" w:rsidRPr="009C6D1E" w:rsidRDefault="00E313D5" w:rsidP="00E85D24">
      <w:pPr>
        <w:snapToGrid w:val="0"/>
        <w:ind w:firstLine="425"/>
        <w:jc w:val="both"/>
        <w:rPr>
          <w:sz w:val="20"/>
          <w:szCs w:val="20"/>
        </w:rPr>
      </w:pPr>
      <w:r w:rsidRPr="009C6D1E">
        <w:rPr>
          <w:sz w:val="20"/>
          <w:szCs w:val="20"/>
        </w:rPr>
        <w:t xml:space="preserve">The site of stent implantation was: right coronary artery in 55 (28.6%), left main coronary artery in 11 (5.7%), left anterior descending coronary artery in 113 (58.9%), and left circumflex coronary </w:t>
      </w:r>
      <w:r w:rsidRPr="009C6D1E">
        <w:rPr>
          <w:sz w:val="20"/>
          <w:szCs w:val="20"/>
        </w:rPr>
        <w:lastRenderedPageBreak/>
        <w:t>artery in 13 (6.8%). The average stent diameter was 4.2±1 mm (range from 2.5 to 4.5 mm), whereas the mean stent length 20±10 (ranged from 12 to 33 mm.</w:t>
      </w:r>
    </w:p>
    <w:p w:rsidR="00E313D5" w:rsidRPr="009C6D1E" w:rsidRDefault="00E313D5" w:rsidP="00E85D24">
      <w:pPr>
        <w:snapToGrid w:val="0"/>
        <w:ind w:firstLine="425"/>
        <w:jc w:val="both"/>
        <w:rPr>
          <w:sz w:val="20"/>
          <w:szCs w:val="20"/>
        </w:rPr>
      </w:pPr>
      <w:r w:rsidRPr="009C6D1E">
        <w:rPr>
          <w:sz w:val="20"/>
          <w:szCs w:val="20"/>
        </w:rPr>
        <w:t>Six different stents types were evaluated, 72 stents (93%) were drug-eluting stents (</w:t>
      </w:r>
      <w:proofErr w:type="spellStart"/>
      <w:r w:rsidRPr="009C6D1E">
        <w:rPr>
          <w:sz w:val="20"/>
          <w:szCs w:val="20"/>
        </w:rPr>
        <w:t>Taxus</w:t>
      </w:r>
      <w:proofErr w:type="spellEnd"/>
      <w:r w:rsidRPr="009C6D1E">
        <w:rPr>
          <w:sz w:val="20"/>
          <w:szCs w:val="20"/>
        </w:rPr>
        <w:t xml:space="preserve">, Boston </w:t>
      </w:r>
      <w:proofErr w:type="spellStart"/>
      <w:r w:rsidRPr="009C6D1E">
        <w:rPr>
          <w:sz w:val="20"/>
          <w:szCs w:val="20"/>
        </w:rPr>
        <w:t>Scientiﬁc</w:t>
      </w:r>
      <w:proofErr w:type="spellEnd"/>
      <w:r w:rsidRPr="009C6D1E">
        <w:rPr>
          <w:sz w:val="20"/>
          <w:szCs w:val="20"/>
        </w:rPr>
        <w:t>, [n = 51]). (</w:t>
      </w:r>
      <w:proofErr w:type="spellStart"/>
      <w:r w:rsidRPr="009C6D1E">
        <w:rPr>
          <w:sz w:val="20"/>
          <w:szCs w:val="20"/>
        </w:rPr>
        <w:t>Cypher</w:t>
      </w:r>
      <w:proofErr w:type="spellEnd"/>
      <w:r w:rsidRPr="009C6D1E">
        <w:rPr>
          <w:sz w:val="20"/>
          <w:szCs w:val="20"/>
        </w:rPr>
        <w:t xml:space="preserve">, </w:t>
      </w:r>
      <w:proofErr w:type="spellStart"/>
      <w:r w:rsidRPr="009C6D1E">
        <w:rPr>
          <w:sz w:val="20"/>
          <w:szCs w:val="20"/>
        </w:rPr>
        <w:t>Cordis</w:t>
      </w:r>
      <w:proofErr w:type="spellEnd"/>
      <w:r w:rsidRPr="009C6D1E">
        <w:rPr>
          <w:sz w:val="20"/>
          <w:szCs w:val="20"/>
        </w:rPr>
        <w:t xml:space="preserve"> Corp., Johnson &amp; Johnson, [n = 18]) (</w:t>
      </w:r>
      <w:proofErr w:type="spellStart"/>
      <w:r w:rsidRPr="009C6D1E">
        <w:rPr>
          <w:sz w:val="20"/>
          <w:szCs w:val="20"/>
        </w:rPr>
        <w:t>Xience</w:t>
      </w:r>
      <w:proofErr w:type="spellEnd"/>
      <w:r w:rsidRPr="009C6D1E">
        <w:rPr>
          <w:sz w:val="20"/>
          <w:szCs w:val="20"/>
        </w:rPr>
        <w:t xml:space="preserve">, Abbott Corporation, [n = 3]). (Endeavour, Medtronic, Minneapolis, </w:t>
      </w:r>
      <w:proofErr w:type="spellStart"/>
      <w:r w:rsidRPr="009C6D1E">
        <w:rPr>
          <w:sz w:val="20"/>
          <w:szCs w:val="20"/>
        </w:rPr>
        <w:t>Minn</w:t>
      </w:r>
      <w:proofErr w:type="spellEnd"/>
      <w:r w:rsidRPr="009C6D1E">
        <w:rPr>
          <w:sz w:val="20"/>
          <w:szCs w:val="20"/>
        </w:rPr>
        <w:t xml:space="preserve"> [n = 2]). In addition to 5 stents (7%) were non drug-eluting (Zeta, Abbott Corporation, [n = 2]) (Express, </w:t>
      </w:r>
      <w:proofErr w:type="spellStart"/>
      <w:r w:rsidRPr="009C6D1E">
        <w:rPr>
          <w:sz w:val="20"/>
          <w:szCs w:val="20"/>
        </w:rPr>
        <w:t>Cordis</w:t>
      </w:r>
      <w:proofErr w:type="spellEnd"/>
      <w:r w:rsidRPr="009C6D1E">
        <w:rPr>
          <w:sz w:val="20"/>
          <w:szCs w:val="20"/>
        </w:rPr>
        <w:t xml:space="preserve"> Corporation, [n = 3]).</w:t>
      </w:r>
    </w:p>
    <w:p w:rsidR="00E313D5" w:rsidRPr="009C6D1E" w:rsidRDefault="00E313D5" w:rsidP="00E85D24">
      <w:pPr>
        <w:snapToGrid w:val="0"/>
        <w:jc w:val="both"/>
        <w:rPr>
          <w:sz w:val="20"/>
          <w:szCs w:val="20"/>
        </w:rPr>
      </w:pPr>
      <w:r w:rsidRPr="009C6D1E">
        <w:rPr>
          <w:b/>
          <w:bCs/>
          <w:sz w:val="20"/>
          <w:szCs w:val="20"/>
        </w:rPr>
        <w:t xml:space="preserve">Coronary stent analysis. </w:t>
      </w:r>
      <w:r w:rsidRPr="009C6D1E">
        <w:rPr>
          <w:sz w:val="20"/>
          <w:szCs w:val="20"/>
        </w:rPr>
        <w:t>In a total of 90 coronary stents, 79 stents (88%) were available for evaluation in the study, whereas 11 stents (12%) were considered un-interpretable because of residual motion and high-density artifacts, they were excluded, stents number per patient were ranged from 1to 5 stents.</w:t>
      </w:r>
    </w:p>
    <w:p w:rsidR="00E313D5" w:rsidRPr="009C6D1E" w:rsidRDefault="00E313D5" w:rsidP="00E85D24">
      <w:pPr>
        <w:widowControl w:val="0"/>
        <w:overflowPunct w:val="0"/>
        <w:autoSpaceDE w:val="0"/>
        <w:autoSpaceDN w:val="0"/>
        <w:adjustRightInd w:val="0"/>
        <w:snapToGrid w:val="0"/>
        <w:ind w:firstLine="425"/>
        <w:contextualSpacing/>
        <w:jc w:val="both"/>
        <w:rPr>
          <w:sz w:val="20"/>
          <w:szCs w:val="20"/>
        </w:rPr>
      </w:pPr>
      <w:proofErr w:type="spellStart"/>
      <w:r w:rsidRPr="009C6D1E">
        <w:rPr>
          <w:sz w:val="20"/>
          <w:szCs w:val="20"/>
        </w:rPr>
        <w:t>Signiﬁcant</w:t>
      </w:r>
      <w:proofErr w:type="spellEnd"/>
      <w:r w:rsidRPr="009C6D1E">
        <w:rPr>
          <w:sz w:val="20"/>
          <w:szCs w:val="20"/>
        </w:rPr>
        <w:t xml:space="preserve"> ISR (non occlusive ISR and total stent occlusions) were detected in 24 stents (30.4%) as determined by conventional angiography, 18 stents of them (22.8%) were correctly identified by MSCT (figure 31, 32), while the remaining 6 stents were misdiagnosed by MSCT. Stent Patency was detected in 55 stents (69,6%) as determined by conventional angiography, 52 stents of them (94%) were correctly identified by MSCT (figure 33, 34), while the remaining 3 stents (6%) were misdiagnosed by MSCT. Accordingly, the overall sensitivity, </w:t>
      </w:r>
      <w:proofErr w:type="spellStart"/>
      <w:r w:rsidRPr="009C6D1E">
        <w:rPr>
          <w:sz w:val="20"/>
          <w:szCs w:val="20"/>
        </w:rPr>
        <w:t>speciﬁcity</w:t>
      </w:r>
      <w:proofErr w:type="spellEnd"/>
      <w:r w:rsidRPr="009C6D1E">
        <w:rPr>
          <w:sz w:val="20"/>
          <w:szCs w:val="20"/>
        </w:rPr>
        <w:t xml:space="preserve"> and positive and negative predictive value of MSCT to detect </w:t>
      </w:r>
      <w:proofErr w:type="spellStart"/>
      <w:r w:rsidRPr="009C6D1E">
        <w:rPr>
          <w:sz w:val="20"/>
          <w:szCs w:val="20"/>
        </w:rPr>
        <w:t>signiﬁcant</w:t>
      </w:r>
      <w:proofErr w:type="spellEnd"/>
      <w:r w:rsidRPr="009C6D1E">
        <w:rPr>
          <w:sz w:val="20"/>
          <w:szCs w:val="20"/>
        </w:rPr>
        <w:t xml:space="preserve">  in-stent </w:t>
      </w:r>
      <w:proofErr w:type="spellStart"/>
      <w:r w:rsidRPr="009C6D1E">
        <w:rPr>
          <w:sz w:val="20"/>
          <w:szCs w:val="20"/>
        </w:rPr>
        <w:t>restenosis</w:t>
      </w:r>
      <w:proofErr w:type="spellEnd"/>
      <w:r w:rsidRPr="009C6D1E">
        <w:rPr>
          <w:sz w:val="20"/>
          <w:szCs w:val="20"/>
        </w:rPr>
        <w:t xml:space="preserve"> were 75%, 95%, 86% and 90% respectively, where as overall accuracy is 89%.</w:t>
      </w:r>
    </w:p>
    <w:p w:rsidR="00E313D5" w:rsidRPr="009C6D1E" w:rsidRDefault="00E313D5" w:rsidP="00E85D24">
      <w:pPr>
        <w:widowControl w:val="0"/>
        <w:overflowPunct w:val="0"/>
        <w:autoSpaceDE w:val="0"/>
        <w:autoSpaceDN w:val="0"/>
        <w:adjustRightInd w:val="0"/>
        <w:snapToGrid w:val="0"/>
        <w:ind w:firstLine="425"/>
        <w:contextualSpacing/>
        <w:jc w:val="both"/>
        <w:rPr>
          <w:sz w:val="20"/>
          <w:szCs w:val="20"/>
        </w:rPr>
      </w:pPr>
      <w:r w:rsidRPr="009C6D1E">
        <w:rPr>
          <w:sz w:val="20"/>
          <w:szCs w:val="20"/>
        </w:rPr>
        <w:t>In sub-analysis, overall false diagnosis by MSCT were detected in 9 stents, there were an influence of stent size on false diagnosis of MSCT where 3 stent with false positive have size ≤3mm and all 6 stent with false negative have size &gt;3mm (</w:t>
      </w:r>
      <w:r w:rsidRPr="009C6D1E">
        <w:rPr>
          <w:i/>
          <w:iCs/>
          <w:sz w:val="20"/>
          <w:szCs w:val="20"/>
        </w:rPr>
        <w:t>P</w:t>
      </w:r>
      <w:r w:rsidRPr="009C6D1E">
        <w:rPr>
          <w:sz w:val="20"/>
          <w:szCs w:val="20"/>
        </w:rPr>
        <w:t>&lt;0.05)</w:t>
      </w:r>
    </w:p>
    <w:p w:rsidR="00E313D5" w:rsidRPr="009C6D1E" w:rsidRDefault="00E313D5" w:rsidP="00E85D24">
      <w:pPr>
        <w:widowControl w:val="0"/>
        <w:overflowPunct w:val="0"/>
        <w:autoSpaceDE w:val="0"/>
        <w:autoSpaceDN w:val="0"/>
        <w:adjustRightInd w:val="0"/>
        <w:snapToGrid w:val="0"/>
        <w:ind w:firstLine="425"/>
        <w:contextualSpacing/>
        <w:jc w:val="both"/>
        <w:rPr>
          <w:sz w:val="20"/>
          <w:szCs w:val="20"/>
        </w:rPr>
      </w:pPr>
      <w:r w:rsidRPr="009C6D1E">
        <w:rPr>
          <w:sz w:val="20"/>
          <w:szCs w:val="20"/>
        </w:rPr>
        <w:t xml:space="preserve">The accuracy of MSCT was increased in assessment of proximally located stent versus non </w:t>
      </w:r>
      <w:proofErr w:type="spellStart"/>
      <w:r w:rsidRPr="009C6D1E">
        <w:rPr>
          <w:sz w:val="20"/>
          <w:szCs w:val="20"/>
        </w:rPr>
        <w:t>proximaly</w:t>
      </w:r>
      <w:proofErr w:type="spellEnd"/>
      <w:r w:rsidRPr="009C6D1E">
        <w:rPr>
          <w:sz w:val="20"/>
          <w:szCs w:val="20"/>
        </w:rPr>
        <w:t xml:space="preserve"> located stents, sensitivity and specificity 82% and 97% versus 69 and 92 respectively, with P &gt; 0.05.</w:t>
      </w:r>
    </w:p>
    <w:p w:rsidR="00E313D5" w:rsidRPr="009C6D1E" w:rsidRDefault="00E313D5" w:rsidP="00E85D24">
      <w:pPr>
        <w:widowControl w:val="0"/>
        <w:overflowPunct w:val="0"/>
        <w:autoSpaceDE w:val="0"/>
        <w:autoSpaceDN w:val="0"/>
        <w:adjustRightInd w:val="0"/>
        <w:snapToGrid w:val="0"/>
        <w:ind w:firstLine="425"/>
        <w:contextualSpacing/>
        <w:jc w:val="both"/>
        <w:rPr>
          <w:sz w:val="20"/>
          <w:szCs w:val="20"/>
        </w:rPr>
      </w:pPr>
      <w:r w:rsidRPr="009C6D1E">
        <w:rPr>
          <w:sz w:val="20"/>
          <w:szCs w:val="20"/>
        </w:rPr>
        <w:t xml:space="preserve">All stents with false positive (3 stents) had thicker struts while all stent with false negative had thin struts, where </w:t>
      </w:r>
      <w:r w:rsidRPr="009C6D1E">
        <w:rPr>
          <w:i/>
          <w:iCs/>
          <w:sz w:val="20"/>
          <w:szCs w:val="20"/>
        </w:rPr>
        <w:t>P</w:t>
      </w:r>
      <w:r w:rsidRPr="009C6D1E">
        <w:rPr>
          <w:sz w:val="20"/>
          <w:szCs w:val="20"/>
        </w:rPr>
        <w:t>&lt;0.05.</w:t>
      </w:r>
    </w:p>
    <w:p w:rsidR="00E313D5" w:rsidRDefault="00E313D5" w:rsidP="00E85D24">
      <w:pPr>
        <w:widowControl w:val="0"/>
        <w:overflowPunct w:val="0"/>
        <w:autoSpaceDE w:val="0"/>
        <w:autoSpaceDN w:val="0"/>
        <w:adjustRightInd w:val="0"/>
        <w:snapToGrid w:val="0"/>
        <w:ind w:firstLine="425"/>
        <w:jc w:val="both"/>
        <w:rPr>
          <w:sz w:val="20"/>
          <w:szCs w:val="20"/>
          <w:lang w:eastAsia="zh-CN"/>
        </w:rPr>
      </w:pPr>
      <w:r w:rsidRPr="009C6D1E">
        <w:rPr>
          <w:sz w:val="20"/>
          <w:szCs w:val="20"/>
        </w:rPr>
        <w:t xml:space="preserve">Per-vessel analysis: revealed stent location at LCX is associated with poor assessment and worst accuracy than other arteries, in total 40 stents at LAD, The incidence of significant in-stent </w:t>
      </w:r>
      <w:proofErr w:type="spellStart"/>
      <w:r w:rsidRPr="009C6D1E">
        <w:rPr>
          <w:sz w:val="20"/>
          <w:szCs w:val="20"/>
        </w:rPr>
        <w:t>restenosis</w:t>
      </w:r>
      <w:proofErr w:type="spellEnd"/>
      <w:r w:rsidRPr="009C6D1E">
        <w:rPr>
          <w:sz w:val="20"/>
          <w:szCs w:val="20"/>
        </w:rPr>
        <w:t xml:space="preserve"> was 30% (12 of 40), as determined by conventional angiography, 9 stents of them were correctly identified by MSCT, while the incidence of stent patency was 70% (28 of 40), as determined by conventional angiography, 25 stents of them were </w:t>
      </w:r>
      <w:r w:rsidRPr="009C6D1E">
        <w:rPr>
          <w:sz w:val="20"/>
          <w:szCs w:val="20"/>
        </w:rPr>
        <w:lastRenderedPageBreak/>
        <w:t xml:space="preserve">correctly identified by MSCT. On the other hand, in total 15 stents at LCX, The incidence of significant in-stent </w:t>
      </w:r>
      <w:proofErr w:type="spellStart"/>
      <w:r w:rsidRPr="009C6D1E">
        <w:rPr>
          <w:sz w:val="20"/>
          <w:szCs w:val="20"/>
        </w:rPr>
        <w:t>restenosis</w:t>
      </w:r>
      <w:proofErr w:type="spellEnd"/>
      <w:r w:rsidRPr="009C6D1E">
        <w:rPr>
          <w:sz w:val="20"/>
          <w:szCs w:val="20"/>
        </w:rPr>
        <w:t xml:space="preserve"> was 40% (6 of 15), as determined by conventional angiography, 4 stents of them were correctly identified by MSCT, while the incidence of stent patency was 60% (9 of 15), as determined by conventional angiography, 7 stents of them were correctly identified by MSCT.</w:t>
      </w:r>
      <w:r w:rsidRPr="009C6D1E">
        <w:rPr>
          <w:sz w:val="20"/>
          <w:szCs w:val="20"/>
          <w:lang w:bidi="ar-EG"/>
        </w:rPr>
        <w:t xml:space="preserve"> </w:t>
      </w:r>
      <w:r w:rsidRPr="009C6D1E">
        <w:rPr>
          <w:sz w:val="20"/>
          <w:szCs w:val="20"/>
        </w:rPr>
        <w:t xml:space="preserve">Accordingly, the overall sensitivity and </w:t>
      </w:r>
      <w:proofErr w:type="spellStart"/>
      <w:r w:rsidRPr="009C6D1E">
        <w:rPr>
          <w:sz w:val="20"/>
          <w:szCs w:val="20"/>
        </w:rPr>
        <w:t>speciﬁcity</w:t>
      </w:r>
      <w:proofErr w:type="spellEnd"/>
      <w:r w:rsidRPr="009C6D1E">
        <w:rPr>
          <w:sz w:val="20"/>
          <w:szCs w:val="20"/>
        </w:rPr>
        <w:t xml:space="preserve">  for LAD, RCA and LCX were 75%, 89%, 100%, 86%, 67%, 78%, respectively.</w:t>
      </w:r>
    </w:p>
    <w:p w:rsidR="009C6D1E" w:rsidRDefault="009C6D1E" w:rsidP="009C6D1E">
      <w:pPr>
        <w:widowControl w:val="0"/>
        <w:overflowPunct w:val="0"/>
        <w:autoSpaceDE w:val="0"/>
        <w:autoSpaceDN w:val="0"/>
        <w:adjustRightInd w:val="0"/>
        <w:snapToGrid w:val="0"/>
        <w:ind w:firstLine="425"/>
        <w:jc w:val="both"/>
        <w:rPr>
          <w:sz w:val="20"/>
          <w:szCs w:val="18"/>
          <w:lang w:eastAsia="zh-CN"/>
        </w:rPr>
      </w:pPr>
      <w:r w:rsidRPr="009C6D1E">
        <w:rPr>
          <w:sz w:val="20"/>
          <w:szCs w:val="18"/>
        </w:rPr>
        <w:t xml:space="preserve">CABG </w:t>
      </w:r>
      <w:r w:rsidRPr="009C6D1E">
        <w:rPr>
          <w:rFonts w:ascii="Cambria Math" w:hAnsi="Cambria Math"/>
          <w:sz w:val="20"/>
          <w:szCs w:val="18"/>
        </w:rPr>
        <w:t>₃</w:t>
      </w:r>
      <w:r w:rsidRPr="009C6D1E">
        <w:rPr>
          <w:sz w:val="20"/>
          <w:szCs w:val="18"/>
        </w:rPr>
        <w:t xml:space="preserve"> coronary artery bypass grafts; LAD </w:t>
      </w:r>
      <w:r w:rsidRPr="009C6D1E">
        <w:rPr>
          <w:rFonts w:ascii="Cambria Math" w:hAnsi="Cambria Math"/>
          <w:sz w:val="20"/>
          <w:szCs w:val="18"/>
        </w:rPr>
        <w:t>₃</w:t>
      </w:r>
      <w:r w:rsidRPr="009C6D1E">
        <w:rPr>
          <w:sz w:val="20"/>
          <w:szCs w:val="18"/>
        </w:rPr>
        <w:t xml:space="preserve"> left anterior descending coronary artery; LCX </w:t>
      </w:r>
      <w:r w:rsidRPr="009C6D1E">
        <w:rPr>
          <w:rFonts w:ascii="Cambria Math" w:hAnsi="Cambria Math"/>
          <w:sz w:val="20"/>
          <w:szCs w:val="18"/>
        </w:rPr>
        <w:t>₃</w:t>
      </w:r>
      <w:r w:rsidRPr="009C6D1E">
        <w:rPr>
          <w:sz w:val="20"/>
          <w:szCs w:val="18"/>
        </w:rPr>
        <w:t xml:space="preserve"> left circumflex coronary artery; LM </w:t>
      </w:r>
      <w:r w:rsidRPr="009C6D1E">
        <w:rPr>
          <w:rFonts w:ascii="Cambria Math" w:hAnsi="Cambria Math"/>
          <w:sz w:val="20"/>
          <w:szCs w:val="18"/>
        </w:rPr>
        <w:t>₃</w:t>
      </w:r>
      <w:r w:rsidRPr="009C6D1E">
        <w:rPr>
          <w:sz w:val="20"/>
          <w:szCs w:val="18"/>
        </w:rPr>
        <w:t xml:space="preserve"> left main coronary artery; RCA; right coronary artery. SVG; </w:t>
      </w:r>
      <w:proofErr w:type="spellStart"/>
      <w:r w:rsidRPr="009C6D1E">
        <w:rPr>
          <w:sz w:val="20"/>
          <w:szCs w:val="18"/>
        </w:rPr>
        <w:t>Savenous</w:t>
      </w:r>
      <w:proofErr w:type="spellEnd"/>
      <w:r w:rsidRPr="009C6D1E">
        <w:rPr>
          <w:sz w:val="20"/>
          <w:szCs w:val="18"/>
        </w:rPr>
        <w:t xml:space="preserve"> vein graft.</w:t>
      </w:r>
    </w:p>
    <w:p w:rsidR="009C6D1E" w:rsidRPr="009C6D1E" w:rsidRDefault="009C6D1E" w:rsidP="009C6D1E">
      <w:pPr>
        <w:widowControl w:val="0"/>
        <w:overflowPunct w:val="0"/>
        <w:autoSpaceDE w:val="0"/>
        <w:autoSpaceDN w:val="0"/>
        <w:adjustRightInd w:val="0"/>
        <w:snapToGrid w:val="0"/>
        <w:ind w:firstLine="425"/>
        <w:jc w:val="both"/>
        <w:rPr>
          <w:sz w:val="20"/>
          <w:szCs w:val="1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1101"/>
        <w:gridCol w:w="2444"/>
      </w:tblGrid>
      <w:tr w:rsidR="009C6D1E" w:rsidRPr="009C6D1E" w:rsidTr="009C6D1E">
        <w:trPr>
          <w:jc w:val="center"/>
        </w:trPr>
        <w:tc>
          <w:tcPr>
            <w:tcW w:w="0" w:type="auto"/>
            <w:shd w:val="clear" w:color="auto" w:fill="080E7E"/>
            <w:vAlign w:val="center"/>
            <w:hideMark/>
          </w:tcPr>
          <w:p w:rsidR="009C6D1E" w:rsidRPr="009C6D1E" w:rsidRDefault="009C6D1E" w:rsidP="009C6D1E">
            <w:pPr>
              <w:snapToGrid w:val="0"/>
              <w:jc w:val="center"/>
              <w:rPr>
                <w:b/>
                <w:bCs/>
                <w:color w:val="000000"/>
                <w:sz w:val="16"/>
                <w:szCs w:val="16"/>
              </w:rPr>
            </w:pPr>
            <w:r w:rsidRPr="009C6D1E">
              <w:rPr>
                <w:b/>
                <w:bCs/>
                <w:color w:val="000000"/>
                <w:sz w:val="16"/>
                <w:szCs w:val="16"/>
              </w:rPr>
              <w:t>Table No.1</w:t>
            </w:r>
          </w:p>
        </w:tc>
        <w:tc>
          <w:tcPr>
            <w:tcW w:w="0" w:type="auto"/>
            <w:shd w:val="clear" w:color="auto" w:fill="F0E3CC"/>
            <w:vAlign w:val="center"/>
            <w:hideMark/>
          </w:tcPr>
          <w:p w:rsidR="009C6D1E" w:rsidRPr="009C6D1E" w:rsidRDefault="009C6D1E" w:rsidP="009C6D1E">
            <w:pPr>
              <w:snapToGrid w:val="0"/>
              <w:jc w:val="center"/>
              <w:rPr>
                <w:b/>
                <w:bCs/>
                <w:color w:val="000000"/>
                <w:sz w:val="16"/>
                <w:szCs w:val="16"/>
              </w:rPr>
            </w:pPr>
            <w:r w:rsidRPr="009C6D1E">
              <w:rPr>
                <w:b/>
                <w:bCs/>
                <w:color w:val="000000"/>
                <w:sz w:val="16"/>
                <w:szCs w:val="16"/>
              </w:rPr>
              <w:t>Demographic and Angiographic</w:t>
            </w:r>
          </w:p>
          <w:p w:rsidR="009C6D1E" w:rsidRPr="009C6D1E" w:rsidRDefault="009C6D1E" w:rsidP="009C6D1E">
            <w:pPr>
              <w:snapToGrid w:val="0"/>
              <w:jc w:val="center"/>
              <w:rPr>
                <w:color w:val="000000"/>
                <w:sz w:val="16"/>
                <w:szCs w:val="16"/>
              </w:rPr>
            </w:pPr>
            <w:r w:rsidRPr="009C6D1E">
              <w:rPr>
                <w:color w:val="000000"/>
                <w:sz w:val="16"/>
                <w:szCs w:val="16"/>
              </w:rPr>
              <w:t>Characteristics of Patients (n = 48)</w:t>
            </w:r>
          </w:p>
          <w:p w:rsidR="009C6D1E" w:rsidRPr="009C6D1E" w:rsidRDefault="009C6D1E" w:rsidP="009C6D1E">
            <w:pPr>
              <w:snapToGrid w:val="0"/>
              <w:jc w:val="center"/>
              <w:rPr>
                <w:color w:val="000000"/>
                <w:sz w:val="16"/>
                <w:szCs w:val="16"/>
              </w:rPr>
            </w:pPr>
            <w:r w:rsidRPr="009C6D1E">
              <w:rPr>
                <w:color w:val="000000"/>
                <w:sz w:val="16"/>
                <w:szCs w:val="16"/>
              </w:rPr>
              <w:t>N (%)</w:t>
            </w:r>
          </w:p>
        </w:tc>
      </w:tr>
      <w:tr w:rsidR="009C6D1E" w:rsidRPr="009C6D1E" w:rsidTr="009C6D1E">
        <w:trPr>
          <w:jc w:val="center"/>
        </w:trPr>
        <w:tc>
          <w:tcPr>
            <w:tcW w:w="0" w:type="auto"/>
            <w:shd w:val="clear" w:color="auto" w:fill="EAD8B8"/>
            <w:vAlign w:val="center"/>
            <w:hideMark/>
          </w:tcPr>
          <w:p w:rsidR="009C6D1E" w:rsidRPr="009C6D1E" w:rsidRDefault="009C6D1E" w:rsidP="009C6D1E">
            <w:pPr>
              <w:snapToGrid w:val="0"/>
              <w:jc w:val="center"/>
              <w:rPr>
                <w:color w:val="000000"/>
                <w:sz w:val="16"/>
                <w:szCs w:val="16"/>
              </w:rPr>
            </w:pPr>
            <w:r w:rsidRPr="009C6D1E">
              <w:rPr>
                <w:color w:val="000000"/>
                <w:sz w:val="16"/>
                <w:szCs w:val="16"/>
              </w:rPr>
              <w:t>Male</w:t>
            </w:r>
          </w:p>
        </w:tc>
        <w:tc>
          <w:tcPr>
            <w:tcW w:w="0" w:type="auto"/>
            <w:shd w:val="clear" w:color="auto" w:fill="EAD8B8"/>
            <w:vAlign w:val="center"/>
            <w:hideMark/>
          </w:tcPr>
          <w:p w:rsidR="009C6D1E" w:rsidRPr="009C6D1E" w:rsidRDefault="009C6D1E" w:rsidP="009C6D1E">
            <w:pPr>
              <w:snapToGrid w:val="0"/>
              <w:jc w:val="center"/>
              <w:rPr>
                <w:color w:val="000000"/>
                <w:sz w:val="16"/>
                <w:szCs w:val="16"/>
              </w:rPr>
            </w:pPr>
            <w:r w:rsidRPr="009C6D1E">
              <w:rPr>
                <w:color w:val="000000"/>
                <w:sz w:val="16"/>
                <w:szCs w:val="16"/>
              </w:rPr>
              <w:t>42 (88%)</w:t>
            </w:r>
          </w:p>
        </w:tc>
      </w:tr>
      <w:tr w:rsidR="009C6D1E" w:rsidRPr="009C6D1E" w:rsidTr="009C6D1E">
        <w:trPr>
          <w:jc w:val="center"/>
        </w:trPr>
        <w:tc>
          <w:tcPr>
            <w:tcW w:w="0" w:type="auto"/>
            <w:shd w:val="clear" w:color="auto" w:fill="F0E3CC"/>
            <w:vAlign w:val="center"/>
            <w:hideMark/>
          </w:tcPr>
          <w:p w:rsidR="009C6D1E" w:rsidRPr="009C6D1E" w:rsidRDefault="009C6D1E" w:rsidP="009C6D1E">
            <w:pPr>
              <w:snapToGrid w:val="0"/>
              <w:jc w:val="center"/>
              <w:rPr>
                <w:color w:val="000000"/>
                <w:sz w:val="16"/>
                <w:szCs w:val="16"/>
              </w:rPr>
            </w:pPr>
            <w:r w:rsidRPr="009C6D1E">
              <w:rPr>
                <w:color w:val="000000"/>
                <w:sz w:val="16"/>
                <w:szCs w:val="16"/>
              </w:rPr>
              <w:t>Type II DM</w:t>
            </w:r>
          </w:p>
        </w:tc>
        <w:tc>
          <w:tcPr>
            <w:tcW w:w="0" w:type="auto"/>
            <w:shd w:val="clear" w:color="auto" w:fill="F0E3CC"/>
            <w:vAlign w:val="center"/>
            <w:hideMark/>
          </w:tcPr>
          <w:p w:rsidR="009C6D1E" w:rsidRPr="009C6D1E" w:rsidRDefault="009C6D1E" w:rsidP="009C6D1E">
            <w:pPr>
              <w:snapToGrid w:val="0"/>
              <w:jc w:val="center"/>
              <w:rPr>
                <w:color w:val="000000"/>
                <w:sz w:val="16"/>
                <w:szCs w:val="16"/>
              </w:rPr>
            </w:pPr>
            <w:r w:rsidRPr="009C6D1E">
              <w:rPr>
                <w:color w:val="000000"/>
                <w:sz w:val="16"/>
                <w:szCs w:val="16"/>
              </w:rPr>
              <w:t>28 (58%)</w:t>
            </w:r>
          </w:p>
        </w:tc>
      </w:tr>
      <w:tr w:rsidR="009C6D1E" w:rsidRPr="009C6D1E" w:rsidTr="009C6D1E">
        <w:trPr>
          <w:jc w:val="center"/>
        </w:trPr>
        <w:tc>
          <w:tcPr>
            <w:tcW w:w="0" w:type="auto"/>
            <w:shd w:val="clear" w:color="auto" w:fill="EAD8B8"/>
            <w:vAlign w:val="center"/>
            <w:hideMark/>
          </w:tcPr>
          <w:p w:rsidR="009C6D1E" w:rsidRPr="009C6D1E" w:rsidRDefault="009C6D1E" w:rsidP="009C6D1E">
            <w:pPr>
              <w:snapToGrid w:val="0"/>
              <w:jc w:val="center"/>
              <w:rPr>
                <w:color w:val="000000"/>
                <w:sz w:val="16"/>
                <w:szCs w:val="16"/>
              </w:rPr>
            </w:pPr>
            <w:r w:rsidRPr="009C6D1E">
              <w:rPr>
                <w:color w:val="000000"/>
                <w:sz w:val="16"/>
                <w:szCs w:val="16"/>
              </w:rPr>
              <w:t>HTN</w:t>
            </w:r>
          </w:p>
        </w:tc>
        <w:tc>
          <w:tcPr>
            <w:tcW w:w="0" w:type="auto"/>
            <w:shd w:val="clear" w:color="auto" w:fill="EAD8B8"/>
            <w:vAlign w:val="center"/>
            <w:hideMark/>
          </w:tcPr>
          <w:p w:rsidR="009C6D1E" w:rsidRPr="009C6D1E" w:rsidRDefault="009C6D1E" w:rsidP="009C6D1E">
            <w:pPr>
              <w:snapToGrid w:val="0"/>
              <w:jc w:val="center"/>
              <w:rPr>
                <w:color w:val="000000"/>
                <w:sz w:val="16"/>
                <w:szCs w:val="16"/>
              </w:rPr>
            </w:pPr>
            <w:r w:rsidRPr="009C6D1E">
              <w:rPr>
                <w:color w:val="000000"/>
                <w:sz w:val="16"/>
                <w:szCs w:val="16"/>
              </w:rPr>
              <w:t>32 (67%)</w:t>
            </w:r>
          </w:p>
        </w:tc>
      </w:tr>
      <w:tr w:rsidR="009C6D1E" w:rsidRPr="009C6D1E" w:rsidTr="009C6D1E">
        <w:trPr>
          <w:jc w:val="center"/>
        </w:trPr>
        <w:tc>
          <w:tcPr>
            <w:tcW w:w="0" w:type="auto"/>
            <w:shd w:val="clear" w:color="auto" w:fill="F0E3CC"/>
            <w:vAlign w:val="center"/>
            <w:hideMark/>
          </w:tcPr>
          <w:p w:rsidR="009C6D1E" w:rsidRPr="009C6D1E" w:rsidRDefault="009C6D1E" w:rsidP="009C6D1E">
            <w:pPr>
              <w:snapToGrid w:val="0"/>
              <w:jc w:val="center"/>
              <w:rPr>
                <w:color w:val="000000"/>
                <w:sz w:val="16"/>
                <w:szCs w:val="16"/>
              </w:rPr>
            </w:pPr>
            <w:r w:rsidRPr="009C6D1E">
              <w:rPr>
                <w:color w:val="000000"/>
                <w:sz w:val="16"/>
                <w:szCs w:val="16"/>
              </w:rPr>
              <w:t>Smoking</w:t>
            </w:r>
          </w:p>
        </w:tc>
        <w:tc>
          <w:tcPr>
            <w:tcW w:w="0" w:type="auto"/>
            <w:shd w:val="clear" w:color="auto" w:fill="F0E3CC"/>
            <w:vAlign w:val="center"/>
            <w:hideMark/>
          </w:tcPr>
          <w:p w:rsidR="009C6D1E" w:rsidRPr="009C6D1E" w:rsidRDefault="009C6D1E" w:rsidP="009C6D1E">
            <w:pPr>
              <w:snapToGrid w:val="0"/>
              <w:jc w:val="center"/>
              <w:rPr>
                <w:color w:val="000000"/>
                <w:sz w:val="16"/>
                <w:szCs w:val="16"/>
              </w:rPr>
            </w:pPr>
            <w:r w:rsidRPr="009C6D1E">
              <w:rPr>
                <w:color w:val="000000"/>
                <w:sz w:val="16"/>
                <w:szCs w:val="16"/>
              </w:rPr>
              <w:t>26 (54%)</w:t>
            </w:r>
          </w:p>
        </w:tc>
      </w:tr>
      <w:tr w:rsidR="009C6D1E" w:rsidRPr="009C6D1E" w:rsidTr="009C6D1E">
        <w:trPr>
          <w:jc w:val="center"/>
        </w:trPr>
        <w:tc>
          <w:tcPr>
            <w:tcW w:w="0" w:type="auto"/>
            <w:shd w:val="clear" w:color="auto" w:fill="EAD8B8"/>
            <w:vAlign w:val="center"/>
            <w:hideMark/>
          </w:tcPr>
          <w:p w:rsidR="009C6D1E" w:rsidRPr="009C6D1E" w:rsidRDefault="009C6D1E" w:rsidP="009C6D1E">
            <w:pPr>
              <w:snapToGrid w:val="0"/>
              <w:jc w:val="center"/>
              <w:rPr>
                <w:color w:val="000000"/>
                <w:sz w:val="16"/>
                <w:szCs w:val="16"/>
              </w:rPr>
            </w:pPr>
            <w:proofErr w:type="spellStart"/>
            <w:r w:rsidRPr="009C6D1E">
              <w:rPr>
                <w:color w:val="000000"/>
                <w:sz w:val="16"/>
                <w:szCs w:val="16"/>
              </w:rPr>
              <w:t>Dyslipidemia</w:t>
            </w:r>
            <w:proofErr w:type="spellEnd"/>
          </w:p>
        </w:tc>
        <w:tc>
          <w:tcPr>
            <w:tcW w:w="0" w:type="auto"/>
            <w:shd w:val="clear" w:color="auto" w:fill="EAD8B8"/>
            <w:vAlign w:val="center"/>
            <w:hideMark/>
          </w:tcPr>
          <w:p w:rsidR="009C6D1E" w:rsidRPr="009C6D1E" w:rsidRDefault="009C6D1E" w:rsidP="009C6D1E">
            <w:pPr>
              <w:snapToGrid w:val="0"/>
              <w:jc w:val="center"/>
              <w:rPr>
                <w:color w:val="000000"/>
                <w:sz w:val="16"/>
                <w:szCs w:val="16"/>
              </w:rPr>
            </w:pPr>
            <w:r w:rsidRPr="009C6D1E">
              <w:rPr>
                <w:color w:val="000000"/>
                <w:sz w:val="16"/>
                <w:szCs w:val="16"/>
              </w:rPr>
              <w:t>35 (73%)</w:t>
            </w:r>
          </w:p>
        </w:tc>
      </w:tr>
      <w:tr w:rsidR="009C6D1E" w:rsidRPr="009C6D1E" w:rsidTr="009C6D1E">
        <w:trPr>
          <w:jc w:val="center"/>
        </w:trPr>
        <w:tc>
          <w:tcPr>
            <w:tcW w:w="0" w:type="auto"/>
            <w:shd w:val="clear" w:color="auto" w:fill="F0E3CC"/>
            <w:vAlign w:val="center"/>
            <w:hideMark/>
          </w:tcPr>
          <w:p w:rsidR="009C6D1E" w:rsidRPr="009C6D1E" w:rsidRDefault="009C6D1E" w:rsidP="009C6D1E">
            <w:pPr>
              <w:snapToGrid w:val="0"/>
              <w:jc w:val="center"/>
              <w:rPr>
                <w:color w:val="000000"/>
                <w:sz w:val="16"/>
                <w:szCs w:val="16"/>
              </w:rPr>
            </w:pPr>
            <w:r w:rsidRPr="009C6D1E">
              <w:rPr>
                <w:color w:val="000000"/>
                <w:sz w:val="16"/>
                <w:szCs w:val="16"/>
              </w:rPr>
              <w:t>CABG</w:t>
            </w:r>
          </w:p>
        </w:tc>
        <w:tc>
          <w:tcPr>
            <w:tcW w:w="0" w:type="auto"/>
            <w:shd w:val="clear" w:color="auto" w:fill="F0E3CC"/>
            <w:vAlign w:val="center"/>
            <w:hideMark/>
          </w:tcPr>
          <w:p w:rsidR="009C6D1E" w:rsidRPr="009C6D1E" w:rsidRDefault="009C6D1E" w:rsidP="009C6D1E">
            <w:pPr>
              <w:snapToGrid w:val="0"/>
              <w:jc w:val="center"/>
              <w:rPr>
                <w:color w:val="000000"/>
                <w:sz w:val="16"/>
                <w:szCs w:val="16"/>
              </w:rPr>
            </w:pPr>
            <w:r w:rsidRPr="009C6D1E">
              <w:rPr>
                <w:color w:val="000000"/>
                <w:sz w:val="16"/>
                <w:szCs w:val="16"/>
              </w:rPr>
              <w:t>10 (21%)</w:t>
            </w:r>
          </w:p>
        </w:tc>
      </w:tr>
      <w:tr w:rsidR="009C6D1E" w:rsidRPr="009C6D1E" w:rsidTr="009C6D1E">
        <w:trPr>
          <w:jc w:val="center"/>
        </w:trPr>
        <w:tc>
          <w:tcPr>
            <w:tcW w:w="0" w:type="auto"/>
            <w:shd w:val="clear" w:color="auto" w:fill="EAD8B8"/>
            <w:vAlign w:val="center"/>
            <w:hideMark/>
          </w:tcPr>
          <w:p w:rsidR="009C6D1E" w:rsidRPr="009C6D1E" w:rsidRDefault="009C6D1E" w:rsidP="009C6D1E">
            <w:pPr>
              <w:snapToGrid w:val="0"/>
              <w:jc w:val="center"/>
              <w:rPr>
                <w:color w:val="000000"/>
                <w:sz w:val="16"/>
                <w:szCs w:val="16"/>
              </w:rPr>
            </w:pPr>
            <w:r w:rsidRPr="009C6D1E">
              <w:rPr>
                <w:color w:val="000000"/>
                <w:sz w:val="16"/>
                <w:szCs w:val="16"/>
              </w:rPr>
              <w:t>Stent location</w:t>
            </w:r>
          </w:p>
        </w:tc>
        <w:tc>
          <w:tcPr>
            <w:tcW w:w="0" w:type="auto"/>
            <w:shd w:val="clear" w:color="auto" w:fill="EAD8B8"/>
            <w:vAlign w:val="center"/>
            <w:hideMark/>
          </w:tcPr>
          <w:p w:rsidR="009C6D1E" w:rsidRPr="009C6D1E" w:rsidRDefault="009C6D1E" w:rsidP="009C6D1E">
            <w:pPr>
              <w:snapToGrid w:val="0"/>
              <w:jc w:val="center"/>
              <w:rPr>
                <w:color w:val="000000"/>
                <w:sz w:val="16"/>
                <w:szCs w:val="16"/>
              </w:rPr>
            </w:pPr>
          </w:p>
        </w:tc>
      </w:tr>
      <w:tr w:rsidR="009C6D1E" w:rsidRPr="009C6D1E" w:rsidTr="009C6D1E">
        <w:trPr>
          <w:jc w:val="center"/>
        </w:trPr>
        <w:tc>
          <w:tcPr>
            <w:tcW w:w="0" w:type="auto"/>
            <w:shd w:val="clear" w:color="auto" w:fill="F0E3CC"/>
            <w:vAlign w:val="center"/>
            <w:hideMark/>
          </w:tcPr>
          <w:p w:rsidR="009C6D1E" w:rsidRPr="009C6D1E" w:rsidRDefault="009C6D1E" w:rsidP="009C6D1E">
            <w:pPr>
              <w:snapToGrid w:val="0"/>
              <w:jc w:val="center"/>
              <w:rPr>
                <w:color w:val="000000"/>
                <w:sz w:val="16"/>
                <w:szCs w:val="16"/>
              </w:rPr>
            </w:pPr>
            <w:r w:rsidRPr="009C6D1E">
              <w:rPr>
                <w:color w:val="000000"/>
                <w:sz w:val="16"/>
                <w:szCs w:val="16"/>
              </w:rPr>
              <w:t>RCA</w:t>
            </w:r>
          </w:p>
        </w:tc>
        <w:tc>
          <w:tcPr>
            <w:tcW w:w="0" w:type="auto"/>
            <w:shd w:val="clear" w:color="auto" w:fill="F0E3CC"/>
            <w:vAlign w:val="center"/>
            <w:hideMark/>
          </w:tcPr>
          <w:p w:rsidR="009C6D1E" w:rsidRPr="009C6D1E" w:rsidRDefault="009C6D1E" w:rsidP="009C6D1E">
            <w:pPr>
              <w:snapToGrid w:val="0"/>
              <w:jc w:val="center"/>
              <w:rPr>
                <w:color w:val="000000"/>
                <w:sz w:val="16"/>
                <w:szCs w:val="16"/>
              </w:rPr>
            </w:pPr>
            <w:r w:rsidRPr="009C6D1E">
              <w:rPr>
                <w:color w:val="000000"/>
                <w:sz w:val="16"/>
                <w:szCs w:val="16"/>
              </w:rPr>
              <w:t>18 (22.8%)</w:t>
            </w:r>
          </w:p>
        </w:tc>
      </w:tr>
      <w:tr w:rsidR="009C6D1E" w:rsidRPr="009C6D1E" w:rsidTr="009C6D1E">
        <w:trPr>
          <w:jc w:val="center"/>
        </w:trPr>
        <w:tc>
          <w:tcPr>
            <w:tcW w:w="0" w:type="auto"/>
            <w:shd w:val="clear" w:color="auto" w:fill="F0E3CC"/>
            <w:vAlign w:val="center"/>
            <w:hideMark/>
          </w:tcPr>
          <w:p w:rsidR="009C6D1E" w:rsidRPr="009C6D1E" w:rsidRDefault="009C6D1E" w:rsidP="009C6D1E">
            <w:pPr>
              <w:snapToGrid w:val="0"/>
              <w:jc w:val="center"/>
              <w:rPr>
                <w:color w:val="000000"/>
                <w:sz w:val="16"/>
                <w:szCs w:val="16"/>
              </w:rPr>
            </w:pPr>
            <w:r w:rsidRPr="009C6D1E">
              <w:rPr>
                <w:color w:val="000000"/>
                <w:sz w:val="16"/>
                <w:szCs w:val="16"/>
              </w:rPr>
              <w:t>LM</w:t>
            </w:r>
          </w:p>
        </w:tc>
        <w:tc>
          <w:tcPr>
            <w:tcW w:w="0" w:type="auto"/>
            <w:shd w:val="clear" w:color="auto" w:fill="F0E3CC"/>
            <w:vAlign w:val="center"/>
            <w:hideMark/>
          </w:tcPr>
          <w:p w:rsidR="009C6D1E" w:rsidRPr="009C6D1E" w:rsidRDefault="009C6D1E" w:rsidP="009C6D1E">
            <w:pPr>
              <w:snapToGrid w:val="0"/>
              <w:jc w:val="center"/>
              <w:rPr>
                <w:color w:val="000000"/>
                <w:sz w:val="16"/>
                <w:szCs w:val="16"/>
              </w:rPr>
            </w:pPr>
            <w:r w:rsidRPr="009C6D1E">
              <w:rPr>
                <w:color w:val="000000"/>
                <w:sz w:val="16"/>
                <w:szCs w:val="16"/>
              </w:rPr>
              <w:t>2 (2.5%)</w:t>
            </w:r>
          </w:p>
        </w:tc>
      </w:tr>
      <w:tr w:rsidR="009C6D1E" w:rsidRPr="009C6D1E" w:rsidTr="009C6D1E">
        <w:trPr>
          <w:jc w:val="center"/>
        </w:trPr>
        <w:tc>
          <w:tcPr>
            <w:tcW w:w="0" w:type="auto"/>
            <w:shd w:val="clear" w:color="auto" w:fill="F0E3CC"/>
            <w:vAlign w:val="center"/>
          </w:tcPr>
          <w:p w:rsidR="009C6D1E" w:rsidRPr="009C6D1E" w:rsidRDefault="009C6D1E" w:rsidP="009C6D1E">
            <w:pPr>
              <w:snapToGrid w:val="0"/>
              <w:jc w:val="center"/>
              <w:rPr>
                <w:color w:val="000000"/>
                <w:sz w:val="16"/>
                <w:szCs w:val="16"/>
              </w:rPr>
            </w:pPr>
            <w:r w:rsidRPr="009C6D1E">
              <w:rPr>
                <w:color w:val="000000"/>
                <w:sz w:val="16"/>
                <w:szCs w:val="16"/>
              </w:rPr>
              <w:t>LAD</w:t>
            </w:r>
          </w:p>
        </w:tc>
        <w:tc>
          <w:tcPr>
            <w:tcW w:w="0" w:type="auto"/>
            <w:shd w:val="clear" w:color="auto" w:fill="F0E3CC"/>
            <w:vAlign w:val="center"/>
          </w:tcPr>
          <w:p w:rsidR="009C6D1E" w:rsidRPr="009C6D1E" w:rsidRDefault="009C6D1E" w:rsidP="009C6D1E">
            <w:pPr>
              <w:snapToGrid w:val="0"/>
              <w:jc w:val="center"/>
              <w:rPr>
                <w:color w:val="000000"/>
                <w:sz w:val="16"/>
                <w:szCs w:val="16"/>
              </w:rPr>
            </w:pPr>
            <w:r w:rsidRPr="009C6D1E">
              <w:rPr>
                <w:color w:val="000000"/>
                <w:sz w:val="16"/>
                <w:szCs w:val="16"/>
              </w:rPr>
              <w:t>40 (50.6%)</w:t>
            </w:r>
          </w:p>
        </w:tc>
      </w:tr>
      <w:tr w:rsidR="009C6D1E" w:rsidRPr="009C6D1E" w:rsidTr="009C6D1E">
        <w:trPr>
          <w:jc w:val="center"/>
        </w:trPr>
        <w:tc>
          <w:tcPr>
            <w:tcW w:w="0" w:type="auto"/>
            <w:shd w:val="clear" w:color="auto" w:fill="F0E3CC"/>
            <w:vAlign w:val="center"/>
          </w:tcPr>
          <w:p w:rsidR="009C6D1E" w:rsidRPr="009C6D1E" w:rsidRDefault="009C6D1E" w:rsidP="009C6D1E">
            <w:pPr>
              <w:snapToGrid w:val="0"/>
              <w:jc w:val="center"/>
              <w:rPr>
                <w:color w:val="000000"/>
                <w:sz w:val="16"/>
                <w:szCs w:val="16"/>
              </w:rPr>
            </w:pPr>
            <w:r w:rsidRPr="009C6D1E">
              <w:rPr>
                <w:color w:val="000000"/>
                <w:sz w:val="16"/>
                <w:szCs w:val="16"/>
              </w:rPr>
              <w:t>LCX</w:t>
            </w:r>
          </w:p>
        </w:tc>
        <w:tc>
          <w:tcPr>
            <w:tcW w:w="0" w:type="auto"/>
            <w:shd w:val="clear" w:color="auto" w:fill="F0E3CC"/>
            <w:vAlign w:val="center"/>
          </w:tcPr>
          <w:p w:rsidR="009C6D1E" w:rsidRPr="009C6D1E" w:rsidRDefault="009C6D1E" w:rsidP="009C6D1E">
            <w:pPr>
              <w:snapToGrid w:val="0"/>
              <w:jc w:val="center"/>
              <w:rPr>
                <w:color w:val="000000"/>
                <w:sz w:val="16"/>
                <w:szCs w:val="16"/>
              </w:rPr>
            </w:pPr>
            <w:r w:rsidRPr="009C6D1E">
              <w:rPr>
                <w:color w:val="000000"/>
                <w:sz w:val="16"/>
                <w:szCs w:val="16"/>
              </w:rPr>
              <w:t>15 (19%)</w:t>
            </w:r>
          </w:p>
        </w:tc>
      </w:tr>
      <w:tr w:rsidR="009C6D1E" w:rsidRPr="009C6D1E" w:rsidTr="009C6D1E">
        <w:trPr>
          <w:jc w:val="center"/>
        </w:trPr>
        <w:tc>
          <w:tcPr>
            <w:tcW w:w="0" w:type="auto"/>
            <w:shd w:val="clear" w:color="auto" w:fill="F0E3CC"/>
            <w:vAlign w:val="center"/>
          </w:tcPr>
          <w:p w:rsidR="009C6D1E" w:rsidRPr="009C6D1E" w:rsidRDefault="009C6D1E" w:rsidP="009C6D1E">
            <w:pPr>
              <w:snapToGrid w:val="0"/>
              <w:jc w:val="center"/>
              <w:rPr>
                <w:color w:val="000000"/>
                <w:sz w:val="16"/>
                <w:szCs w:val="16"/>
              </w:rPr>
            </w:pPr>
            <w:r w:rsidRPr="009C6D1E">
              <w:rPr>
                <w:color w:val="000000"/>
                <w:sz w:val="16"/>
                <w:szCs w:val="16"/>
              </w:rPr>
              <w:t>SVG</w:t>
            </w:r>
          </w:p>
        </w:tc>
        <w:tc>
          <w:tcPr>
            <w:tcW w:w="0" w:type="auto"/>
            <w:shd w:val="clear" w:color="auto" w:fill="F0E3CC"/>
            <w:vAlign w:val="center"/>
          </w:tcPr>
          <w:p w:rsidR="009C6D1E" w:rsidRPr="009C6D1E" w:rsidRDefault="009C6D1E" w:rsidP="009C6D1E">
            <w:pPr>
              <w:snapToGrid w:val="0"/>
              <w:jc w:val="center"/>
              <w:rPr>
                <w:color w:val="000000"/>
                <w:sz w:val="16"/>
                <w:szCs w:val="16"/>
              </w:rPr>
            </w:pPr>
            <w:r w:rsidRPr="009C6D1E">
              <w:rPr>
                <w:color w:val="000000"/>
                <w:sz w:val="16"/>
                <w:szCs w:val="16"/>
              </w:rPr>
              <w:t>4 (5.1%)</w:t>
            </w:r>
          </w:p>
        </w:tc>
      </w:tr>
    </w:tbl>
    <w:p w:rsidR="009C6D1E" w:rsidRPr="009C6D1E" w:rsidRDefault="009C6D1E" w:rsidP="00E85D24">
      <w:pPr>
        <w:widowControl w:val="0"/>
        <w:overflowPunct w:val="0"/>
        <w:autoSpaceDE w:val="0"/>
        <w:autoSpaceDN w:val="0"/>
        <w:adjustRightInd w:val="0"/>
        <w:snapToGrid w:val="0"/>
        <w:ind w:firstLine="425"/>
        <w:jc w:val="both"/>
        <w:rPr>
          <w:sz w:val="20"/>
          <w:szCs w:val="20"/>
          <w:lang w:eastAsia="zh-CN"/>
        </w:rPr>
      </w:pPr>
    </w:p>
    <w:p w:rsidR="00E313D5" w:rsidRPr="009C6D1E" w:rsidRDefault="00E313D5" w:rsidP="00E85D24">
      <w:pPr>
        <w:widowControl w:val="0"/>
        <w:overflowPunct w:val="0"/>
        <w:autoSpaceDE w:val="0"/>
        <w:autoSpaceDN w:val="0"/>
        <w:adjustRightInd w:val="0"/>
        <w:snapToGrid w:val="0"/>
        <w:ind w:firstLine="425"/>
        <w:jc w:val="both"/>
        <w:rPr>
          <w:sz w:val="20"/>
          <w:szCs w:val="20"/>
        </w:rPr>
        <w:sectPr w:rsidR="00E313D5" w:rsidRPr="009C6D1E" w:rsidSect="00453B71">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720"/>
          <w:docGrid w:linePitch="360"/>
        </w:sectPr>
      </w:pPr>
    </w:p>
    <w:p w:rsidR="00176F1E" w:rsidRPr="009C6D1E" w:rsidRDefault="00176F1E" w:rsidP="00E85D24">
      <w:pPr>
        <w:widowControl w:val="0"/>
        <w:overflowPunct w:val="0"/>
        <w:autoSpaceDE w:val="0"/>
        <w:autoSpaceDN w:val="0"/>
        <w:adjustRightInd w:val="0"/>
        <w:snapToGrid w:val="0"/>
        <w:ind w:firstLine="425"/>
        <w:jc w:val="both"/>
        <w:rPr>
          <w:sz w:val="20"/>
          <w:szCs w:val="18"/>
        </w:rPr>
      </w:pPr>
    </w:p>
    <w:tbl>
      <w:tblPr>
        <w:tblW w:w="0" w:type="auto"/>
        <w:jc w:val="center"/>
        <w:tblLook w:val="04A0"/>
      </w:tblPr>
      <w:tblGrid>
        <w:gridCol w:w="4788"/>
        <w:gridCol w:w="4788"/>
      </w:tblGrid>
      <w:tr w:rsidR="00176F1E" w:rsidRPr="009C6D1E" w:rsidTr="0086169F">
        <w:trPr>
          <w:jc w:val="center"/>
        </w:trPr>
        <w:tc>
          <w:tcPr>
            <w:tcW w:w="9576" w:type="dxa"/>
            <w:gridSpan w:val="2"/>
          </w:tcPr>
          <w:p w:rsidR="00176F1E" w:rsidRPr="009C6D1E" w:rsidRDefault="00FE4FF3" w:rsidP="009C6D1E">
            <w:pPr>
              <w:snapToGrid w:val="0"/>
              <w:jc w:val="center"/>
              <w:rPr>
                <w:b/>
                <w:color w:val="000000"/>
                <w:sz w:val="20"/>
                <w:szCs w:val="18"/>
              </w:rPr>
            </w:pPr>
            <w:r w:rsidRPr="00FE4FF3">
              <w:rPr>
                <w:color w:val="000000"/>
                <w:sz w:val="20"/>
                <w:szCs w:val="18"/>
                <w:lang w:bidi="ar-E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45pt;height:161.3pt">
                  <v:imagedata r:id="rId14" o:title=""/>
                  <o:lock v:ext="edit" aspectratio="f"/>
                </v:shape>
              </w:pict>
            </w:r>
          </w:p>
        </w:tc>
      </w:tr>
      <w:tr w:rsidR="00176F1E" w:rsidRPr="009C6D1E" w:rsidTr="0086169F">
        <w:trPr>
          <w:jc w:val="center"/>
        </w:trPr>
        <w:tc>
          <w:tcPr>
            <w:tcW w:w="4788" w:type="dxa"/>
          </w:tcPr>
          <w:p w:rsidR="00176F1E" w:rsidRPr="009C6D1E" w:rsidRDefault="00176F1E" w:rsidP="009C6D1E">
            <w:pPr>
              <w:snapToGrid w:val="0"/>
              <w:jc w:val="center"/>
              <w:rPr>
                <w:b/>
                <w:color w:val="000000"/>
                <w:sz w:val="20"/>
                <w:szCs w:val="18"/>
              </w:rPr>
            </w:pPr>
            <w:r w:rsidRPr="009C6D1E">
              <w:rPr>
                <w:b/>
                <w:color w:val="000000"/>
                <w:sz w:val="20"/>
                <w:szCs w:val="18"/>
              </w:rPr>
              <w:t>B</w:t>
            </w:r>
          </w:p>
        </w:tc>
        <w:tc>
          <w:tcPr>
            <w:tcW w:w="4788" w:type="dxa"/>
          </w:tcPr>
          <w:p w:rsidR="00176F1E" w:rsidRPr="009C6D1E" w:rsidRDefault="00176F1E" w:rsidP="009C6D1E">
            <w:pPr>
              <w:snapToGrid w:val="0"/>
              <w:jc w:val="center"/>
              <w:rPr>
                <w:b/>
                <w:color w:val="000000"/>
                <w:sz w:val="20"/>
                <w:szCs w:val="18"/>
              </w:rPr>
            </w:pPr>
            <w:r w:rsidRPr="009C6D1E">
              <w:rPr>
                <w:b/>
                <w:color w:val="000000"/>
                <w:sz w:val="20"/>
                <w:szCs w:val="18"/>
              </w:rPr>
              <w:t>A</w:t>
            </w:r>
          </w:p>
        </w:tc>
      </w:tr>
    </w:tbl>
    <w:p w:rsidR="00176F1E" w:rsidRPr="009C6D1E" w:rsidRDefault="00176F1E" w:rsidP="009C6D1E">
      <w:pPr>
        <w:pStyle w:val="BodyText"/>
        <w:snapToGrid w:val="0"/>
        <w:spacing w:line="240" w:lineRule="auto"/>
        <w:jc w:val="both"/>
        <w:rPr>
          <w:b/>
          <w:bCs/>
          <w:sz w:val="20"/>
          <w:szCs w:val="18"/>
        </w:rPr>
      </w:pPr>
      <w:r w:rsidRPr="009C6D1E">
        <w:rPr>
          <w:b/>
          <w:sz w:val="20"/>
          <w:szCs w:val="18"/>
        </w:rPr>
        <w:t xml:space="preserve">Figure 1: </w:t>
      </w:r>
      <w:r w:rsidRPr="009C6D1E">
        <w:rPr>
          <w:b/>
          <w:bCs/>
          <w:sz w:val="20"/>
          <w:szCs w:val="18"/>
        </w:rPr>
        <w:t>(A). MSCT image with curved MPR view of LAD showing proximal stent with significant ISR. (B) Conventional angiographic view that confirmed significant ISR in proximal LAD (Patient no, 11, true positive result)</w:t>
      </w:r>
    </w:p>
    <w:p w:rsidR="00E313D5" w:rsidRPr="009C6D1E" w:rsidRDefault="00E313D5" w:rsidP="00E85D24">
      <w:pPr>
        <w:snapToGrid w:val="0"/>
        <w:ind w:firstLine="425"/>
        <w:jc w:val="both"/>
        <w:rPr>
          <w:b/>
          <w:sz w:val="20"/>
          <w:szCs w:val="20"/>
        </w:rPr>
      </w:pPr>
    </w:p>
    <w:tbl>
      <w:tblPr>
        <w:tblW w:w="5000" w:type="pct"/>
        <w:jc w:val="center"/>
        <w:tblBorders>
          <w:top w:val="single" w:sz="8" w:space="0" w:color="CF7B79"/>
          <w:left w:val="single" w:sz="8" w:space="0" w:color="CF7B79"/>
          <w:bottom w:val="single" w:sz="8" w:space="0" w:color="CF7B79"/>
          <w:right w:val="single" w:sz="8" w:space="0" w:color="CF7B79"/>
          <w:insideH w:val="single" w:sz="8" w:space="0" w:color="CF7B79"/>
        </w:tblBorders>
        <w:tblLook w:val="04A0"/>
      </w:tblPr>
      <w:tblGrid>
        <w:gridCol w:w="1755"/>
        <w:gridCol w:w="1383"/>
        <w:gridCol w:w="1660"/>
        <w:gridCol w:w="1660"/>
        <w:gridCol w:w="1038"/>
        <w:gridCol w:w="1038"/>
        <w:gridCol w:w="1042"/>
      </w:tblGrid>
      <w:tr w:rsidR="00176F1E" w:rsidRPr="009C6D1E" w:rsidTr="009C6D1E">
        <w:trPr>
          <w:trHeight w:val="131"/>
          <w:jc w:val="center"/>
        </w:trPr>
        <w:tc>
          <w:tcPr>
            <w:tcW w:w="916" w:type="pct"/>
            <w:vMerge w:val="restart"/>
            <w:tcBorders>
              <w:top w:val="single" w:sz="8" w:space="0" w:color="CF7B79"/>
              <w:left w:val="single" w:sz="8" w:space="0" w:color="CF7B79"/>
              <w:bottom w:val="single" w:sz="8" w:space="0" w:color="CF7B79"/>
              <w:right w:val="nil"/>
            </w:tcBorders>
            <w:shd w:val="clear" w:color="auto" w:fill="365F91"/>
            <w:vAlign w:val="center"/>
          </w:tcPr>
          <w:p w:rsidR="00176F1E" w:rsidRPr="009C6D1E" w:rsidRDefault="00176F1E" w:rsidP="00E85D24">
            <w:pPr>
              <w:tabs>
                <w:tab w:val="left" w:pos="7605"/>
              </w:tabs>
              <w:snapToGrid w:val="0"/>
              <w:jc w:val="both"/>
              <w:rPr>
                <w:color w:val="000000"/>
                <w:sz w:val="20"/>
                <w:szCs w:val="18"/>
                <w:lang w:bidi="ar-EG"/>
              </w:rPr>
            </w:pPr>
            <w:r w:rsidRPr="009C6D1E">
              <w:rPr>
                <w:b/>
                <w:bCs/>
                <w:color w:val="000000"/>
                <w:sz w:val="20"/>
                <w:szCs w:val="18"/>
                <w:lang w:bidi="ar-EG"/>
              </w:rPr>
              <w:t>Table 2</w:t>
            </w:r>
          </w:p>
        </w:tc>
        <w:tc>
          <w:tcPr>
            <w:tcW w:w="722" w:type="pct"/>
            <w:tcBorders>
              <w:top w:val="single" w:sz="8" w:space="0" w:color="CF7B79"/>
              <w:left w:val="nil"/>
              <w:bottom w:val="single" w:sz="8" w:space="0" w:color="CF7B79"/>
              <w:right w:val="nil"/>
            </w:tcBorders>
            <w:shd w:val="clear" w:color="auto" w:fill="C0504D"/>
            <w:vAlign w:val="bottom"/>
          </w:tcPr>
          <w:p w:rsidR="00176F1E" w:rsidRPr="009C6D1E" w:rsidRDefault="00176F1E" w:rsidP="00E85D24">
            <w:pPr>
              <w:tabs>
                <w:tab w:val="left" w:pos="7605"/>
              </w:tabs>
              <w:snapToGrid w:val="0"/>
              <w:jc w:val="both"/>
              <w:rPr>
                <w:color w:val="000000"/>
                <w:sz w:val="20"/>
                <w:szCs w:val="18"/>
                <w:lang w:bidi="ar-EG"/>
              </w:rPr>
            </w:pPr>
          </w:p>
        </w:tc>
        <w:tc>
          <w:tcPr>
            <w:tcW w:w="1734" w:type="pct"/>
            <w:gridSpan w:val="2"/>
            <w:tcBorders>
              <w:top w:val="single" w:sz="8" w:space="0" w:color="CF7B79"/>
              <w:left w:val="nil"/>
              <w:bottom w:val="single" w:sz="8" w:space="0" w:color="CF7B79"/>
              <w:right w:val="nil"/>
            </w:tcBorders>
            <w:shd w:val="clear" w:color="auto" w:fill="C0504D"/>
            <w:vAlign w:val="bottom"/>
          </w:tcPr>
          <w:p w:rsidR="00176F1E" w:rsidRPr="009C6D1E" w:rsidRDefault="00176F1E" w:rsidP="00E85D24">
            <w:pPr>
              <w:tabs>
                <w:tab w:val="left" w:pos="7605"/>
              </w:tabs>
              <w:snapToGrid w:val="0"/>
              <w:jc w:val="both"/>
              <w:rPr>
                <w:color w:val="000000"/>
                <w:sz w:val="20"/>
                <w:szCs w:val="18"/>
                <w:lang w:bidi="ar-EG"/>
              </w:rPr>
            </w:pPr>
            <w:r w:rsidRPr="009C6D1E">
              <w:rPr>
                <w:b/>
                <w:bCs/>
                <w:color w:val="000000"/>
                <w:sz w:val="20"/>
                <w:szCs w:val="18"/>
                <w:lang w:bidi="ar-EG"/>
              </w:rPr>
              <w:t>Stents Locations</w:t>
            </w:r>
          </w:p>
        </w:tc>
        <w:tc>
          <w:tcPr>
            <w:tcW w:w="1628" w:type="pct"/>
            <w:gridSpan w:val="3"/>
            <w:tcBorders>
              <w:top w:val="single" w:sz="8" w:space="0" w:color="CF7B79"/>
              <w:left w:val="nil"/>
              <w:bottom w:val="single" w:sz="8" w:space="0" w:color="CF7B79"/>
              <w:right w:val="single" w:sz="8" w:space="0" w:color="CF7B79"/>
            </w:tcBorders>
            <w:shd w:val="clear" w:color="auto" w:fill="C0504D"/>
            <w:vAlign w:val="bottom"/>
          </w:tcPr>
          <w:p w:rsidR="00176F1E" w:rsidRPr="009C6D1E" w:rsidRDefault="00176F1E" w:rsidP="00E85D24">
            <w:pPr>
              <w:tabs>
                <w:tab w:val="left" w:pos="7605"/>
              </w:tabs>
              <w:snapToGrid w:val="0"/>
              <w:jc w:val="both"/>
              <w:rPr>
                <w:color w:val="000000"/>
                <w:sz w:val="20"/>
                <w:szCs w:val="18"/>
                <w:lang w:bidi="ar-EG"/>
              </w:rPr>
            </w:pPr>
            <w:r w:rsidRPr="009C6D1E">
              <w:rPr>
                <w:b/>
                <w:bCs/>
                <w:color w:val="000000"/>
                <w:sz w:val="20"/>
                <w:szCs w:val="18"/>
                <w:lang w:bidi="ar-EG"/>
              </w:rPr>
              <w:t>Per-Vessel Analysis</w:t>
            </w:r>
          </w:p>
        </w:tc>
      </w:tr>
      <w:tr w:rsidR="00176F1E" w:rsidRPr="009C6D1E" w:rsidTr="009C6D1E">
        <w:trPr>
          <w:trHeight w:val="177"/>
          <w:jc w:val="center"/>
        </w:trPr>
        <w:tc>
          <w:tcPr>
            <w:tcW w:w="916" w:type="pct"/>
            <w:vMerge/>
            <w:tcBorders>
              <w:right w:val="nil"/>
            </w:tcBorders>
            <w:shd w:val="clear" w:color="auto" w:fill="365F91"/>
            <w:vAlign w:val="bottom"/>
          </w:tcPr>
          <w:p w:rsidR="00176F1E" w:rsidRPr="009C6D1E" w:rsidRDefault="00176F1E" w:rsidP="00E85D24">
            <w:pPr>
              <w:tabs>
                <w:tab w:val="left" w:pos="7605"/>
              </w:tabs>
              <w:snapToGrid w:val="0"/>
              <w:jc w:val="both"/>
              <w:rPr>
                <w:color w:val="000000"/>
                <w:sz w:val="20"/>
                <w:szCs w:val="18"/>
                <w:lang w:bidi="ar-EG"/>
              </w:rPr>
            </w:pPr>
          </w:p>
        </w:tc>
        <w:tc>
          <w:tcPr>
            <w:tcW w:w="722" w:type="pct"/>
            <w:tcBorders>
              <w:left w:val="nil"/>
              <w:right w:val="nil"/>
            </w:tcBorders>
            <w:shd w:val="clear" w:color="auto" w:fill="EFD3D2"/>
            <w:vAlign w:val="bottom"/>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Total</w:t>
            </w:r>
          </w:p>
        </w:tc>
        <w:tc>
          <w:tcPr>
            <w:tcW w:w="867" w:type="pct"/>
            <w:tcBorders>
              <w:left w:val="nil"/>
              <w:right w:val="nil"/>
            </w:tcBorders>
            <w:shd w:val="clear" w:color="auto" w:fill="EFD3D2"/>
            <w:vAlign w:val="bottom"/>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Proximal</w:t>
            </w:r>
          </w:p>
        </w:tc>
        <w:tc>
          <w:tcPr>
            <w:tcW w:w="867" w:type="pct"/>
            <w:tcBorders>
              <w:left w:val="nil"/>
              <w:right w:val="nil"/>
            </w:tcBorders>
            <w:shd w:val="clear" w:color="auto" w:fill="EFD3D2"/>
            <w:vAlign w:val="bottom"/>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Non proximal</w:t>
            </w:r>
          </w:p>
        </w:tc>
        <w:tc>
          <w:tcPr>
            <w:tcW w:w="542" w:type="pct"/>
            <w:tcBorders>
              <w:left w:val="nil"/>
              <w:right w:val="nil"/>
            </w:tcBorders>
            <w:shd w:val="clear" w:color="auto" w:fill="EFD3D2"/>
            <w:vAlign w:val="bottom"/>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LAD</w:t>
            </w:r>
          </w:p>
        </w:tc>
        <w:tc>
          <w:tcPr>
            <w:tcW w:w="542" w:type="pct"/>
            <w:tcBorders>
              <w:left w:val="nil"/>
              <w:right w:val="nil"/>
            </w:tcBorders>
            <w:shd w:val="clear" w:color="auto" w:fill="EFD3D2"/>
            <w:vAlign w:val="bottom"/>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LCX</w:t>
            </w:r>
          </w:p>
        </w:tc>
        <w:tc>
          <w:tcPr>
            <w:tcW w:w="543" w:type="pct"/>
            <w:tcBorders>
              <w:left w:val="nil"/>
            </w:tcBorders>
            <w:shd w:val="clear" w:color="auto" w:fill="EFD3D2"/>
            <w:vAlign w:val="bottom"/>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RCA</w:t>
            </w:r>
          </w:p>
        </w:tc>
      </w:tr>
      <w:tr w:rsidR="00176F1E" w:rsidRPr="009C6D1E" w:rsidTr="009C6D1E">
        <w:trPr>
          <w:trHeight w:val="75"/>
          <w:jc w:val="center"/>
        </w:trPr>
        <w:tc>
          <w:tcPr>
            <w:tcW w:w="916" w:type="pct"/>
            <w:tcBorders>
              <w:right w:val="nil"/>
            </w:tcBorders>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Sensitivity</w:t>
            </w:r>
          </w:p>
        </w:tc>
        <w:tc>
          <w:tcPr>
            <w:tcW w:w="722" w:type="pct"/>
            <w:tcBorders>
              <w:left w:val="nil"/>
              <w:right w:val="nil"/>
            </w:tcBorders>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75%</w:t>
            </w:r>
          </w:p>
        </w:tc>
        <w:tc>
          <w:tcPr>
            <w:tcW w:w="867" w:type="pct"/>
            <w:tcBorders>
              <w:left w:val="nil"/>
              <w:right w:val="nil"/>
            </w:tcBorders>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82%</w:t>
            </w:r>
          </w:p>
        </w:tc>
        <w:tc>
          <w:tcPr>
            <w:tcW w:w="867" w:type="pct"/>
            <w:tcBorders>
              <w:left w:val="nil"/>
              <w:right w:val="nil"/>
            </w:tcBorders>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69%</w:t>
            </w:r>
          </w:p>
        </w:tc>
        <w:tc>
          <w:tcPr>
            <w:tcW w:w="542" w:type="pct"/>
            <w:tcBorders>
              <w:left w:val="nil"/>
              <w:right w:val="nil"/>
            </w:tcBorders>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75%</w:t>
            </w:r>
          </w:p>
        </w:tc>
        <w:tc>
          <w:tcPr>
            <w:tcW w:w="542" w:type="pct"/>
            <w:tcBorders>
              <w:left w:val="nil"/>
              <w:right w:val="nil"/>
            </w:tcBorders>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67%</w:t>
            </w:r>
          </w:p>
        </w:tc>
        <w:tc>
          <w:tcPr>
            <w:tcW w:w="543" w:type="pct"/>
            <w:tcBorders>
              <w:left w:val="nil"/>
            </w:tcBorders>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100%</w:t>
            </w:r>
          </w:p>
        </w:tc>
      </w:tr>
      <w:tr w:rsidR="00176F1E" w:rsidRPr="009C6D1E" w:rsidTr="009C6D1E">
        <w:trPr>
          <w:trHeight w:val="75"/>
          <w:jc w:val="center"/>
        </w:trPr>
        <w:tc>
          <w:tcPr>
            <w:tcW w:w="916" w:type="pct"/>
            <w:tcBorders>
              <w:right w:val="nil"/>
            </w:tcBorders>
            <w:shd w:val="clear" w:color="auto" w:fill="EFD3D2"/>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Specificity</w:t>
            </w:r>
          </w:p>
        </w:tc>
        <w:tc>
          <w:tcPr>
            <w:tcW w:w="722" w:type="pct"/>
            <w:tcBorders>
              <w:left w:val="nil"/>
              <w:right w:val="nil"/>
            </w:tcBorders>
            <w:shd w:val="clear" w:color="auto" w:fill="EFD3D2"/>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95%</w:t>
            </w:r>
          </w:p>
        </w:tc>
        <w:tc>
          <w:tcPr>
            <w:tcW w:w="867" w:type="pct"/>
            <w:tcBorders>
              <w:left w:val="nil"/>
              <w:right w:val="nil"/>
            </w:tcBorders>
            <w:shd w:val="clear" w:color="auto" w:fill="EFD3D2"/>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97%</w:t>
            </w:r>
          </w:p>
        </w:tc>
        <w:tc>
          <w:tcPr>
            <w:tcW w:w="867" w:type="pct"/>
            <w:tcBorders>
              <w:left w:val="nil"/>
              <w:right w:val="nil"/>
            </w:tcBorders>
            <w:shd w:val="clear" w:color="auto" w:fill="EFD3D2"/>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92%</w:t>
            </w:r>
          </w:p>
        </w:tc>
        <w:tc>
          <w:tcPr>
            <w:tcW w:w="542" w:type="pct"/>
            <w:tcBorders>
              <w:left w:val="nil"/>
              <w:right w:val="nil"/>
            </w:tcBorders>
            <w:shd w:val="clear" w:color="auto" w:fill="EFD3D2"/>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89%</w:t>
            </w:r>
          </w:p>
        </w:tc>
        <w:tc>
          <w:tcPr>
            <w:tcW w:w="542" w:type="pct"/>
            <w:tcBorders>
              <w:left w:val="nil"/>
              <w:right w:val="nil"/>
            </w:tcBorders>
            <w:shd w:val="clear" w:color="auto" w:fill="EFD3D2"/>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78%</w:t>
            </w:r>
          </w:p>
        </w:tc>
        <w:tc>
          <w:tcPr>
            <w:tcW w:w="543" w:type="pct"/>
            <w:tcBorders>
              <w:left w:val="nil"/>
            </w:tcBorders>
            <w:shd w:val="clear" w:color="auto" w:fill="EFD3D2"/>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86%</w:t>
            </w:r>
          </w:p>
        </w:tc>
      </w:tr>
      <w:tr w:rsidR="00176F1E" w:rsidRPr="009C6D1E" w:rsidTr="009C6D1E">
        <w:trPr>
          <w:trHeight w:val="75"/>
          <w:jc w:val="center"/>
        </w:trPr>
        <w:tc>
          <w:tcPr>
            <w:tcW w:w="916" w:type="pct"/>
            <w:tcBorders>
              <w:right w:val="nil"/>
            </w:tcBorders>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PPV</w:t>
            </w:r>
          </w:p>
        </w:tc>
        <w:tc>
          <w:tcPr>
            <w:tcW w:w="722" w:type="pct"/>
            <w:tcBorders>
              <w:left w:val="nil"/>
              <w:right w:val="nil"/>
            </w:tcBorders>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86%</w:t>
            </w:r>
          </w:p>
        </w:tc>
        <w:tc>
          <w:tcPr>
            <w:tcW w:w="867" w:type="pct"/>
            <w:tcBorders>
              <w:left w:val="nil"/>
              <w:right w:val="nil"/>
            </w:tcBorders>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90%</w:t>
            </w:r>
          </w:p>
        </w:tc>
        <w:tc>
          <w:tcPr>
            <w:tcW w:w="867" w:type="pct"/>
            <w:tcBorders>
              <w:left w:val="nil"/>
              <w:right w:val="nil"/>
            </w:tcBorders>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82%</w:t>
            </w:r>
          </w:p>
        </w:tc>
        <w:tc>
          <w:tcPr>
            <w:tcW w:w="542" w:type="pct"/>
            <w:tcBorders>
              <w:left w:val="nil"/>
              <w:right w:val="nil"/>
            </w:tcBorders>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75%</w:t>
            </w:r>
          </w:p>
        </w:tc>
        <w:tc>
          <w:tcPr>
            <w:tcW w:w="542" w:type="pct"/>
            <w:tcBorders>
              <w:left w:val="nil"/>
              <w:right w:val="nil"/>
            </w:tcBorders>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67%</w:t>
            </w:r>
          </w:p>
        </w:tc>
        <w:tc>
          <w:tcPr>
            <w:tcW w:w="543" w:type="pct"/>
            <w:tcBorders>
              <w:left w:val="nil"/>
            </w:tcBorders>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67%</w:t>
            </w:r>
          </w:p>
        </w:tc>
      </w:tr>
      <w:tr w:rsidR="00176F1E" w:rsidRPr="009C6D1E" w:rsidTr="009C6D1E">
        <w:trPr>
          <w:trHeight w:val="75"/>
          <w:jc w:val="center"/>
        </w:trPr>
        <w:tc>
          <w:tcPr>
            <w:tcW w:w="916" w:type="pct"/>
            <w:tcBorders>
              <w:right w:val="nil"/>
            </w:tcBorders>
            <w:shd w:val="clear" w:color="auto" w:fill="EFD3D2"/>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NPV</w:t>
            </w:r>
          </w:p>
        </w:tc>
        <w:tc>
          <w:tcPr>
            <w:tcW w:w="722" w:type="pct"/>
            <w:tcBorders>
              <w:left w:val="nil"/>
              <w:right w:val="nil"/>
            </w:tcBorders>
            <w:shd w:val="clear" w:color="auto" w:fill="EFD3D2"/>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90%</w:t>
            </w:r>
          </w:p>
        </w:tc>
        <w:tc>
          <w:tcPr>
            <w:tcW w:w="867" w:type="pct"/>
            <w:tcBorders>
              <w:left w:val="nil"/>
              <w:right w:val="nil"/>
            </w:tcBorders>
            <w:shd w:val="clear" w:color="auto" w:fill="EFD3D2"/>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93%</w:t>
            </w:r>
          </w:p>
        </w:tc>
        <w:tc>
          <w:tcPr>
            <w:tcW w:w="867" w:type="pct"/>
            <w:tcBorders>
              <w:left w:val="nil"/>
              <w:right w:val="nil"/>
            </w:tcBorders>
            <w:shd w:val="clear" w:color="auto" w:fill="EFD3D2"/>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86%</w:t>
            </w:r>
          </w:p>
        </w:tc>
        <w:tc>
          <w:tcPr>
            <w:tcW w:w="542" w:type="pct"/>
            <w:tcBorders>
              <w:left w:val="nil"/>
              <w:right w:val="nil"/>
            </w:tcBorders>
            <w:shd w:val="clear" w:color="auto" w:fill="EFD3D2"/>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89%</w:t>
            </w:r>
          </w:p>
        </w:tc>
        <w:tc>
          <w:tcPr>
            <w:tcW w:w="542" w:type="pct"/>
            <w:tcBorders>
              <w:left w:val="nil"/>
              <w:right w:val="nil"/>
            </w:tcBorders>
            <w:shd w:val="clear" w:color="auto" w:fill="EFD3D2"/>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78%</w:t>
            </w:r>
          </w:p>
        </w:tc>
        <w:tc>
          <w:tcPr>
            <w:tcW w:w="543" w:type="pct"/>
            <w:tcBorders>
              <w:left w:val="nil"/>
            </w:tcBorders>
            <w:shd w:val="clear" w:color="auto" w:fill="EFD3D2"/>
            <w:vAlign w:val="center"/>
          </w:tcPr>
          <w:p w:rsidR="00176F1E" w:rsidRPr="009C6D1E" w:rsidRDefault="00176F1E" w:rsidP="00E85D24">
            <w:pPr>
              <w:tabs>
                <w:tab w:val="left" w:pos="7605"/>
              </w:tabs>
              <w:snapToGrid w:val="0"/>
              <w:jc w:val="both"/>
              <w:rPr>
                <w:color w:val="000000"/>
                <w:sz w:val="20"/>
                <w:szCs w:val="18"/>
                <w:lang w:bidi="ar-EG"/>
              </w:rPr>
            </w:pPr>
            <w:r w:rsidRPr="009C6D1E">
              <w:rPr>
                <w:color w:val="000000"/>
                <w:sz w:val="20"/>
                <w:szCs w:val="18"/>
                <w:lang w:bidi="ar-EG"/>
              </w:rPr>
              <w:t>100%</w:t>
            </w:r>
          </w:p>
        </w:tc>
      </w:tr>
    </w:tbl>
    <w:p w:rsidR="00176F1E" w:rsidRPr="009C6D1E" w:rsidRDefault="00176F1E" w:rsidP="009C6D1E">
      <w:pPr>
        <w:widowControl w:val="0"/>
        <w:overflowPunct w:val="0"/>
        <w:autoSpaceDE w:val="0"/>
        <w:autoSpaceDN w:val="0"/>
        <w:adjustRightInd w:val="0"/>
        <w:snapToGrid w:val="0"/>
        <w:jc w:val="both"/>
        <w:rPr>
          <w:sz w:val="20"/>
          <w:szCs w:val="14"/>
        </w:rPr>
      </w:pPr>
      <w:r w:rsidRPr="009C6D1E">
        <w:rPr>
          <w:sz w:val="20"/>
          <w:szCs w:val="16"/>
        </w:rPr>
        <w:t>PPV; Positive predictive value, NPV; Negative predictive value, LAD; left anterior descending coronary artery; LCX;  left circumflex coronary artery;  RCA; right coronary artery</w:t>
      </w:r>
      <w:r w:rsidRPr="009C6D1E">
        <w:rPr>
          <w:sz w:val="20"/>
          <w:szCs w:val="14"/>
        </w:rPr>
        <w:t>.</w:t>
      </w:r>
    </w:p>
    <w:p w:rsidR="009C6D1E" w:rsidRDefault="009C6D1E" w:rsidP="00E85D24">
      <w:pPr>
        <w:snapToGrid w:val="0"/>
        <w:ind w:firstLine="425"/>
        <w:jc w:val="both"/>
        <w:rPr>
          <w:b/>
          <w:sz w:val="20"/>
          <w:szCs w:val="20"/>
          <w:lang w:eastAsia="zh-CN"/>
        </w:rPr>
      </w:pPr>
    </w:p>
    <w:p w:rsidR="000871D5" w:rsidRDefault="000871D5" w:rsidP="00E85D24">
      <w:pPr>
        <w:snapToGrid w:val="0"/>
        <w:ind w:firstLine="425"/>
        <w:jc w:val="both"/>
        <w:rPr>
          <w:b/>
          <w:sz w:val="20"/>
          <w:szCs w:val="20"/>
          <w:lang w:eastAsia="zh-CN"/>
        </w:rPr>
        <w:sectPr w:rsidR="000871D5" w:rsidSect="00453B71">
          <w:footnotePr>
            <w:pos w:val="beneathText"/>
          </w:footnotePr>
          <w:type w:val="continuous"/>
          <w:pgSz w:w="12240" w:h="15840" w:code="1"/>
          <w:pgMar w:top="1440" w:right="1440" w:bottom="1440" w:left="1440" w:header="720" w:footer="720" w:gutter="0"/>
          <w:cols w:space="720"/>
          <w:docGrid w:linePitch="360"/>
        </w:sectPr>
      </w:pPr>
    </w:p>
    <w:p w:rsidR="000871D5" w:rsidRPr="009C6D1E" w:rsidRDefault="000871D5" w:rsidP="000871D5">
      <w:pPr>
        <w:snapToGrid w:val="0"/>
        <w:jc w:val="both"/>
        <w:rPr>
          <w:b/>
          <w:sz w:val="20"/>
          <w:szCs w:val="20"/>
        </w:rPr>
      </w:pPr>
      <w:r w:rsidRPr="009C6D1E">
        <w:rPr>
          <w:b/>
          <w:sz w:val="20"/>
          <w:szCs w:val="20"/>
        </w:rPr>
        <w:lastRenderedPageBreak/>
        <w:t>4. Discussion:</w:t>
      </w:r>
    </w:p>
    <w:p w:rsidR="000871D5" w:rsidRPr="009C6D1E" w:rsidRDefault="000871D5" w:rsidP="000871D5">
      <w:pPr>
        <w:snapToGrid w:val="0"/>
        <w:ind w:firstLine="425"/>
        <w:contextualSpacing/>
        <w:jc w:val="both"/>
        <w:rPr>
          <w:sz w:val="20"/>
          <w:szCs w:val="20"/>
          <w:lang w:val="en-GB" w:bidi="ar-EG"/>
        </w:rPr>
      </w:pPr>
      <w:r w:rsidRPr="009C6D1E">
        <w:rPr>
          <w:sz w:val="20"/>
          <w:szCs w:val="20"/>
          <w:lang w:val="en-GB" w:bidi="ar-EG"/>
        </w:rPr>
        <w:t xml:space="preserve">In the present study sensitivity, specificity and  PPV and  NPV of respectively  </w:t>
      </w:r>
      <w:r w:rsidRPr="009C6D1E">
        <w:rPr>
          <w:sz w:val="20"/>
          <w:szCs w:val="20"/>
          <w:lang w:bidi="ar-EG"/>
        </w:rPr>
        <w:t xml:space="preserve">75%, 95%, 86, 90 were observed for non invasive detection of </w:t>
      </w:r>
      <w:r w:rsidRPr="009C6D1E">
        <w:rPr>
          <w:sz w:val="20"/>
          <w:szCs w:val="20"/>
          <w:lang w:val="en-GB" w:bidi="ar-EG"/>
        </w:rPr>
        <w:t xml:space="preserve">in-stent </w:t>
      </w:r>
      <w:proofErr w:type="spellStart"/>
      <w:r w:rsidRPr="009C6D1E">
        <w:rPr>
          <w:sz w:val="20"/>
          <w:szCs w:val="20"/>
          <w:lang w:val="en-GB" w:bidi="ar-EG"/>
        </w:rPr>
        <w:t>restenosis</w:t>
      </w:r>
      <w:proofErr w:type="spellEnd"/>
      <w:r w:rsidRPr="009C6D1E">
        <w:rPr>
          <w:sz w:val="20"/>
          <w:szCs w:val="20"/>
          <w:lang w:val="en-GB" w:bidi="ar-EG"/>
        </w:rPr>
        <w:t xml:space="preserve">, denoting that 64-slice MSCT still challenging for the detection of stent occlusion and in-stent </w:t>
      </w:r>
      <w:proofErr w:type="spellStart"/>
      <w:r w:rsidRPr="009C6D1E">
        <w:rPr>
          <w:sz w:val="20"/>
          <w:szCs w:val="20"/>
          <w:lang w:val="en-GB" w:bidi="ar-EG"/>
        </w:rPr>
        <w:t>restenosis</w:t>
      </w:r>
      <w:proofErr w:type="spellEnd"/>
      <w:r w:rsidRPr="009C6D1E">
        <w:rPr>
          <w:sz w:val="20"/>
          <w:szCs w:val="20"/>
          <w:lang w:val="en-GB" w:bidi="ar-EG"/>
        </w:rPr>
        <w:t>. Our current observations compared</w:t>
      </w:r>
      <w:r w:rsidRPr="009C6D1E">
        <w:rPr>
          <w:sz w:val="20"/>
          <w:szCs w:val="20"/>
        </w:rPr>
        <w:t xml:space="preserve"> </w:t>
      </w:r>
      <w:r w:rsidRPr="009C6D1E">
        <w:rPr>
          <w:sz w:val="20"/>
          <w:szCs w:val="20"/>
          <w:lang w:val="en-GB" w:bidi="ar-EG"/>
        </w:rPr>
        <w:t xml:space="preserve">favourably with the previous study of </w:t>
      </w:r>
      <w:proofErr w:type="spellStart"/>
      <w:r w:rsidRPr="009C6D1E">
        <w:rPr>
          <w:sz w:val="20"/>
          <w:szCs w:val="20"/>
          <w:lang w:val="en-GB" w:bidi="ar-EG"/>
        </w:rPr>
        <w:t>Rist</w:t>
      </w:r>
      <w:proofErr w:type="spellEnd"/>
      <w:r w:rsidRPr="009C6D1E">
        <w:rPr>
          <w:sz w:val="20"/>
          <w:szCs w:val="20"/>
          <w:lang w:val="en-GB" w:bidi="ar-EG"/>
        </w:rPr>
        <w:t xml:space="preserve"> </w:t>
      </w:r>
      <w:r w:rsidRPr="009C6D1E">
        <w:rPr>
          <w:i/>
          <w:iCs/>
          <w:sz w:val="20"/>
          <w:szCs w:val="20"/>
          <w:lang w:val="en-GB" w:bidi="ar-EG"/>
        </w:rPr>
        <w:t>et al.</w:t>
      </w:r>
      <w:r w:rsidRPr="009C6D1E">
        <w:rPr>
          <w:sz w:val="20"/>
          <w:szCs w:val="20"/>
          <w:lang w:val="en-GB" w:bidi="ar-EG"/>
        </w:rPr>
        <w:t xml:space="preserve"> (17) in evaluating the accuracy of 64-slice CT to assess significant ISR in 25 patients with 46 stents. </w:t>
      </w:r>
      <w:r w:rsidRPr="009C6D1E">
        <w:rPr>
          <w:sz w:val="20"/>
          <w:szCs w:val="20"/>
          <w:lang w:val="en-GB" w:bidi="ar-EG"/>
        </w:rPr>
        <w:lastRenderedPageBreak/>
        <w:t xml:space="preserve">He observed 75% sensitivity and 92% specificity in detecting in stent </w:t>
      </w:r>
      <w:proofErr w:type="spellStart"/>
      <w:r w:rsidRPr="009C6D1E">
        <w:rPr>
          <w:sz w:val="20"/>
          <w:szCs w:val="20"/>
          <w:lang w:val="en-GB" w:bidi="ar-EG"/>
        </w:rPr>
        <w:t>restenosis</w:t>
      </w:r>
      <w:proofErr w:type="spellEnd"/>
      <w:r w:rsidRPr="009C6D1E">
        <w:rPr>
          <w:sz w:val="20"/>
          <w:szCs w:val="20"/>
          <w:lang w:val="en-GB" w:bidi="ar-EG"/>
        </w:rPr>
        <w:t xml:space="preserve">, these results were further underlined by </w:t>
      </w:r>
      <w:r w:rsidRPr="009C6D1E">
        <w:rPr>
          <w:sz w:val="20"/>
          <w:szCs w:val="20"/>
          <w:lang w:bidi="ar-DZ"/>
        </w:rPr>
        <w:t xml:space="preserve">Carbone </w:t>
      </w:r>
      <w:r w:rsidRPr="009C6D1E">
        <w:rPr>
          <w:i/>
          <w:iCs/>
          <w:sz w:val="20"/>
          <w:szCs w:val="20"/>
          <w:lang w:bidi="ar-DZ"/>
        </w:rPr>
        <w:t>et al.</w:t>
      </w:r>
      <w:r w:rsidRPr="009C6D1E">
        <w:rPr>
          <w:sz w:val="20"/>
          <w:szCs w:val="20"/>
          <w:lang w:bidi="ar-DZ"/>
        </w:rPr>
        <w:t xml:space="preserve"> </w:t>
      </w:r>
      <w:r w:rsidRPr="009C6D1E">
        <w:rPr>
          <w:sz w:val="20"/>
          <w:szCs w:val="20"/>
          <w:lang w:val="en-GB" w:bidi="ar-EG"/>
        </w:rPr>
        <w:t>(18)</w:t>
      </w:r>
    </w:p>
    <w:p w:rsidR="000871D5" w:rsidRPr="009C6D1E" w:rsidRDefault="000871D5" w:rsidP="000871D5">
      <w:pPr>
        <w:snapToGrid w:val="0"/>
        <w:ind w:firstLine="425"/>
        <w:contextualSpacing/>
        <w:jc w:val="both"/>
        <w:rPr>
          <w:sz w:val="20"/>
          <w:szCs w:val="20"/>
          <w:lang w:val="en-GB" w:bidi="ar-EG"/>
        </w:rPr>
      </w:pPr>
      <w:r w:rsidRPr="009C6D1E">
        <w:rPr>
          <w:sz w:val="20"/>
          <w:szCs w:val="20"/>
          <w:lang w:bidi="ar-EG"/>
        </w:rPr>
        <w:t xml:space="preserve">However, higher sensitivity and accuracy were reported </w:t>
      </w:r>
      <w:r w:rsidRPr="009C6D1E">
        <w:rPr>
          <w:sz w:val="20"/>
          <w:szCs w:val="20"/>
          <w:lang w:val="en-GB" w:bidi="ar-EG"/>
        </w:rPr>
        <w:t xml:space="preserve">in the study of </w:t>
      </w:r>
      <w:r w:rsidRPr="009C6D1E">
        <w:rPr>
          <w:sz w:val="20"/>
          <w:szCs w:val="20"/>
          <w:lang w:bidi="ar-EG"/>
        </w:rPr>
        <w:t xml:space="preserve">Chung </w:t>
      </w:r>
      <w:r w:rsidRPr="009C6D1E">
        <w:rPr>
          <w:i/>
          <w:iCs/>
          <w:sz w:val="20"/>
          <w:szCs w:val="20"/>
          <w:lang w:val="en-GB" w:bidi="ar-EG"/>
        </w:rPr>
        <w:t>et al.</w:t>
      </w:r>
      <w:r w:rsidRPr="009C6D1E">
        <w:rPr>
          <w:sz w:val="20"/>
          <w:szCs w:val="20"/>
          <w:lang w:val="en-GB" w:bidi="ar-EG"/>
        </w:rPr>
        <w:t xml:space="preserve"> (19) on 60 patients with 91 stents</w:t>
      </w:r>
      <w:r w:rsidRPr="009C6D1E">
        <w:rPr>
          <w:sz w:val="20"/>
          <w:szCs w:val="20"/>
          <w:lang w:bidi="ar-EG"/>
        </w:rPr>
        <w:t xml:space="preserve">, in stents that could be assessed [n=58], sensitivity, specificity, PPV and NPV were 90.0%, 73.5%, 58.1%, and 94.7%, respectively, for detection of significant ISR. Further </w:t>
      </w:r>
      <w:r w:rsidRPr="009C6D1E">
        <w:rPr>
          <w:sz w:val="20"/>
          <w:szCs w:val="20"/>
          <w:lang w:val="en-GB" w:bidi="ar-EG"/>
        </w:rPr>
        <w:t xml:space="preserve">excellent diagnostic </w:t>
      </w:r>
      <w:r w:rsidRPr="009C6D1E">
        <w:rPr>
          <w:sz w:val="20"/>
          <w:szCs w:val="20"/>
          <w:lang w:bidi="ar-EG"/>
        </w:rPr>
        <w:t xml:space="preserve">accuracy of 64-slice CT were </w:t>
      </w:r>
      <w:r w:rsidRPr="009C6D1E">
        <w:rPr>
          <w:sz w:val="20"/>
          <w:szCs w:val="20"/>
          <w:lang w:bidi="ar-EG"/>
        </w:rPr>
        <w:lastRenderedPageBreak/>
        <w:t xml:space="preserve">reported by </w:t>
      </w:r>
      <w:proofErr w:type="spellStart"/>
      <w:r w:rsidRPr="009C6D1E">
        <w:rPr>
          <w:sz w:val="20"/>
          <w:szCs w:val="20"/>
          <w:lang w:val="en-GB" w:bidi="ar-EG"/>
        </w:rPr>
        <w:t>Martuscelli</w:t>
      </w:r>
      <w:proofErr w:type="spellEnd"/>
      <w:r w:rsidRPr="009C6D1E">
        <w:rPr>
          <w:sz w:val="20"/>
          <w:szCs w:val="20"/>
          <w:lang w:val="en-GB" w:bidi="ar-EG"/>
        </w:rPr>
        <w:t xml:space="preserve"> </w:t>
      </w:r>
      <w:r w:rsidRPr="009C6D1E">
        <w:rPr>
          <w:i/>
          <w:iCs/>
          <w:sz w:val="20"/>
          <w:szCs w:val="20"/>
          <w:lang w:val="en-GB" w:bidi="ar-EG"/>
        </w:rPr>
        <w:t>et al.</w:t>
      </w:r>
      <w:r w:rsidRPr="009C6D1E">
        <w:rPr>
          <w:sz w:val="20"/>
          <w:szCs w:val="20"/>
          <w:lang w:val="en-GB" w:bidi="ar-EG"/>
        </w:rPr>
        <w:t xml:space="preserve"> (20)</w:t>
      </w:r>
      <w:r w:rsidRPr="009C6D1E">
        <w:rPr>
          <w:b/>
          <w:bCs/>
          <w:i/>
          <w:iCs/>
          <w:sz w:val="20"/>
          <w:szCs w:val="20"/>
          <w:lang w:val="en-GB" w:bidi="ar-EG"/>
        </w:rPr>
        <w:t xml:space="preserve"> </w:t>
      </w:r>
      <w:r w:rsidRPr="009C6D1E">
        <w:rPr>
          <w:sz w:val="20"/>
          <w:szCs w:val="20"/>
          <w:lang w:val="en-GB" w:bidi="ar-EG"/>
        </w:rPr>
        <w:t>also found</w:t>
      </w:r>
      <w:r w:rsidRPr="009C6D1E">
        <w:rPr>
          <w:b/>
          <w:bCs/>
          <w:i/>
          <w:iCs/>
          <w:sz w:val="20"/>
          <w:szCs w:val="20"/>
          <w:lang w:val="en-GB" w:bidi="ar-EG"/>
        </w:rPr>
        <w:t xml:space="preserve"> </w:t>
      </w:r>
      <w:r w:rsidRPr="009C6D1E">
        <w:rPr>
          <w:sz w:val="20"/>
          <w:szCs w:val="20"/>
          <w:lang w:val="en-GB" w:bidi="ar-EG"/>
        </w:rPr>
        <w:t xml:space="preserve">an excellent diagnostic </w:t>
      </w:r>
      <w:r w:rsidRPr="009C6D1E">
        <w:rPr>
          <w:sz w:val="20"/>
          <w:szCs w:val="20"/>
          <w:lang w:bidi="ar-EG"/>
        </w:rPr>
        <w:t xml:space="preserve">accuracy of 64-slice CT to detected significant ISR in his study on </w:t>
      </w:r>
      <w:r w:rsidRPr="009C6D1E">
        <w:rPr>
          <w:sz w:val="20"/>
          <w:szCs w:val="20"/>
          <w:lang w:val="en-GB" w:bidi="ar-EG"/>
        </w:rPr>
        <w:t xml:space="preserve">213 patients with 321 stents, however, ISR were detected only in </w:t>
      </w:r>
      <w:r w:rsidRPr="009C6D1E">
        <w:rPr>
          <w:sz w:val="20"/>
          <w:szCs w:val="20"/>
          <w:lang w:val="en-GB" w:bidi="ar-EG"/>
        </w:rPr>
        <w:lastRenderedPageBreak/>
        <w:t xml:space="preserve">27 stent, thus, sensitivity, </w:t>
      </w:r>
      <w:proofErr w:type="spellStart"/>
      <w:r w:rsidRPr="009C6D1E">
        <w:rPr>
          <w:sz w:val="20"/>
          <w:szCs w:val="20"/>
          <w:lang w:val="en-GB" w:bidi="ar-EG"/>
        </w:rPr>
        <w:t>speciﬁcity</w:t>
      </w:r>
      <w:proofErr w:type="spellEnd"/>
      <w:r w:rsidRPr="009C6D1E">
        <w:rPr>
          <w:sz w:val="20"/>
          <w:szCs w:val="20"/>
          <w:lang w:val="en-GB" w:bidi="ar-EG"/>
        </w:rPr>
        <w:t>, and PPV and NPV of 64- slice MSCT were 96%, 99%, 93%, and 99%.</w:t>
      </w:r>
    </w:p>
    <w:p w:rsidR="000871D5" w:rsidRDefault="000871D5" w:rsidP="009C6D1E">
      <w:pPr>
        <w:snapToGrid w:val="0"/>
        <w:jc w:val="center"/>
        <w:rPr>
          <w:b/>
          <w:bCs/>
          <w:color w:val="000000"/>
          <w:sz w:val="20"/>
          <w:szCs w:val="26"/>
        </w:rPr>
        <w:sectPr w:rsidR="000871D5" w:rsidSect="000871D5">
          <w:footnotePr>
            <w:pos w:val="beneathText"/>
          </w:footnotePr>
          <w:type w:val="continuous"/>
          <w:pgSz w:w="12240" w:h="15840" w:code="1"/>
          <w:pgMar w:top="1440" w:right="1440" w:bottom="1440" w:left="1440" w:header="720" w:footer="720" w:gutter="0"/>
          <w:cols w:num="2" w:space="720"/>
          <w:docGrid w:linePitch="360"/>
        </w:sectPr>
      </w:pPr>
    </w:p>
    <w:p w:rsidR="000871D5" w:rsidRDefault="000871D5"/>
    <w:tbl>
      <w:tblPr>
        <w:tblW w:w="0" w:type="auto"/>
        <w:jc w:val="center"/>
        <w:tblLook w:val="04A0"/>
      </w:tblPr>
      <w:tblGrid>
        <w:gridCol w:w="4788"/>
        <w:gridCol w:w="4788"/>
      </w:tblGrid>
      <w:tr w:rsidR="00176F1E" w:rsidRPr="009C6D1E" w:rsidTr="0086169F">
        <w:trPr>
          <w:jc w:val="center"/>
        </w:trPr>
        <w:tc>
          <w:tcPr>
            <w:tcW w:w="9576" w:type="dxa"/>
            <w:gridSpan w:val="2"/>
          </w:tcPr>
          <w:p w:rsidR="00176F1E" w:rsidRPr="009C6D1E" w:rsidRDefault="00FE4FF3" w:rsidP="009C6D1E">
            <w:pPr>
              <w:snapToGrid w:val="0"/>
              <w:jc w:val="center"/>
              <w:rPr>
                <w:b/>
                <w:color w:val="000000"/>
                <w:sz w:val="20"/>
                <w:szCs w:val="20"/>
              </w:rPr>
            </w:pPr>
            <w:r w:rsidRPr="00FE4FF3">
              <w:rPr>
                <w:b/>
                <w:bCs/>
                <w:color w:val="000000"/>
                <w:sz w:val="20"/>
                <w:szCs w:val="26"/>
              </w:rPr>
              <w:pict>
                <v:shape id="_x0000_i1026" type="#_x0000_t75" style="width:411.25pt;height:179.7pt">
                  <v:imagedata r:id="rId15" o:title=""/>
                  <o:lock v:ext="edit" aspectratio="f"/>
                </v:shape>
              </w:pict>
            </w:r>
          </w:p>
        </w:tc>
      </w:tr>
      <w:tr w:rsidR="00176F1E" w:rsidRPr="009C6D1E" w:rsidTr="0086169F">
        <w:trPr>
          <w:jc w:val="center"/>
        </w:trPr>
        <w:tc>
          <w:tcPr>
            <w:tcW w:w="4788" w:type="dxa"/>
          </w:tcPr>
          <w:p w:rsidR="00176F1E" w:rsidRPr="009C6D1E" w:rsidRDefault="00176F1E" w:rsidP="009C6D1E">
            <w:pPr>
              <w:snapToGrid w:val="0"/>
              <w:jc w:val="center"/>
              <w:rPr>
                <w:b/>
                <w:color w:val="000000"/>
                <w:sz w:val="20"/>
                <w:szCs w:val="20"/>
              </w:rPr>
            </w:pPr>
            <w:r w:rsidRPr="009C6D1E">
              <w:rPr>
                <w:b/>
                <w:color w:val="000000"/>
                <w:sz w:val="20"/>
                <w:szCs w:val="20"/>
              </w:rPr>
              <w:t>A</w:t>
            </w:r>
          </w:p>
        </w:tc>
        <w:tc>
          <w:tcPr>
            <w:tcW w:w="4788" w:type="dxa"/>
          </w:tcPr>
          <w:p w:rsidR="00176F1E" w:rsidRPr="009C6D1E" w:rsidRDefault="00176F1E" w:rsidP="009C6D1E">
            <w:pPr>
              <w:snapToGrid w:val="0"/>
              <w:jc w:val="center"/>
              <w:rPr>
                <w:b/>
                <w:color w:val="000000"/>
                <w:sz w:val="20"/>
                <w:szCs w:val="20"/>
              </w:rPr>
            </w:pPr>
            <w:r w:rsidRPr="009C6D1E">
              <w:rPr>
                <w:b/>
                <w:color w:val="000000"/>
                <w:sz w:val="20"/>
                <w:szCs w:val="20"/>
              </w:rPr>
              <w:t>B</w:t>
            </w:r>
          </w:p>
        </w:tc>
      </w:tr>
    </w:tbl>
    <w:p w:rsidR="00176F1E" w:rsidRPr="009C6D1E" w:rsidRDefault="00176F1E" w:rsidP="009C6D1E">
      <w:pPr>
        <w:pStyle w:val="BodyText"/>
        <w:snapToGrid w:val="0"/>
        <w:spacing w:line="240" w:lineRule="auto"/>
        <w:jc w:val="both"/>
        <w:rPr>
          <w:b/>
          <w:bCs/>
          <w:sz w:val="20"/>
          <w:szCs w:val="18"/>
        </w:rPr>
      </w:pPr>
      <w:r w:rsidRPr="009C6D1E">
        <w:rPr>
          <w:b/>
          <w:sz w:val="20"/>
          <w:szCs w:val="20"/>
        </w:rPr>
        <w:t xml:space="preserve">Figure 2: </w:t>
      </w:r>
      <w:r w:rsidRPr="009C6D1E">
        <w:rPr>
          <w:b/>
          <w:bCs/>
          <w:sz w:val="20"/>
          <w:szCs w:val="18"/>
        </w:rPr>
        <w:t>(A) MSCT image with curved MPR view of LCX showing patent stent implanted at mid segments (arrow).</w:t>
      </w:r>
    </w:p>
    <w:p w:rsidR="00176F1E" w:rsidRPr="009C6D1E" w:rsidRDefault="00176F1E" w:rsidP="00E85D24">
      <w:pPr>
        <w:pStyle w:val="BodyText"/>
        <w:snapToGrid w:val="0"/>
        <w:spacing w:line="240" w:lineRule="auto"/>
        <w:jc w:val="both"/>
        <w:rPr>
          <w:b/>
          <w:bCs/>
          <w:sz w:val="20"/>
          <w:szCs w:val="18"/>
        </w:rPr>
      </w:pPr>
      <w:r w:rsidRPr="009C6D1E">
        <w:rPr>
          <w:b/>
          <w:bCs/>
          <w:sz w:val="20"/>
          <w:szCs w:val="18"/>
        </w:rPr>
        <w:t>(B) Conventional angiographic view confirmed patency of mid LCX stents (arrow). (Patient no, 38, true negative result)</w:t>
      </w:r>
    </w:p>
    <w:p w:rsidR="00E85D24" w:rsidRPr="009C6D1E" w:rsidRDefault="00E85D24" w:rsidP="00E85D24">
      <w:pPr>
        <w:snapToGrid w:val="0"/>
        <w:jc w:val="both"/>
        <w:rPr>
          <w:b/>
          <w:sz w:val="20"/>
          <w:szCs w:val="20"/>
        </w:rPr>
      </w:pPr>
    </w:p>
    <w:p w:rsidR="00E85D24" w:rsidRPr="009C6D1E" w:rsidRDefault="00E85D24" w:rsidP="00E85D24">
      <w:pPr>
        <w:snapToGrid w:val="0"/>
        <w:jc w:val="both"/>
        <w:rPr>
          <w:b/>
          <w:sz w:val="20"/>
          <w:szCs w:val="20"/>
        </w:rPr>
        <w:sectPr w:rsidR="00E85D24" w:rsidRPr="009C6D1E" w:rsidSect="00453B71">
          <w:footnotePr>
            <w:pos w:val="beneathText"/>
          </w:footnotePr>
          <w:type w:val="continuous"/>
          <w:pgSz w:w="12240" w:h="15840" w:code="1"/>
          <w:pgMar w:top="1440" w:right="1440" w:bottom="1440" w:left="1440" w:header="720" w:footer="720" w:gutter="0"/>
          <w:cols w:space="720"/>
          <w:docGrid w:linePitch="360"/>
        </w:sectPr>
      </w:pPr>
    </w:p>
    <w:p w:rsidR="00176F1E" w:rsidRPr="009C6D1E" w:rsidRDefault="00176F1E" w:rsidP="00E85D24">
      <w:pPr>
        <w:snapToGrid w:val="0"/>
        <w:ind w:firstLine="425"/>
        <w:contextualSpacing/>
        <w:jc w:val="both"/>
        <w:rPr>
          <w:sz w:val="20"/>
          <w:szCs w:val="20"/>
          <w:lang w:val="en-GB" w:bidi="ar-EG"/>
        </w:rPr>
      </w:pPr>
      <w:r w:rsidRPr="009C6D1E">
        <w:rPr>
          <w:sz w:val="20"/>
          <w:szCs w:val="20"/>
          <w:lang w:val="en-GB" w:bidi="ar-EG"/>
        </w:rPr>
        <w:lastRenderedPageBreak/>
        <w:t xml:space="preserve">By the analysis of 14 studies comparing 64-slice CT angiography with conventional coronary angiography for the detection of coronary in-stent </w:t>
      </w:r>
      <w:proofErr w:type="spellStart"/>
      <w:r w:rsidRPr="009C6D1E">
        <w:rPr>
          <w:sz w:val="20"/>
          <w:szCs w:val="20"/>
          <w:lang w:val="en-GB" w:bidi="ar-EG"/>
        </w:rPr>
        <w:t>restenosis</w:t>
      </w:r>
      <w:proofErr w:type="spellEnd"/>
      <w:r w:rsidRPr="009C6D1E">
        <w:rPr>
          <w:sz w:val="20"/>
          <w:szCs w:val="20"/>
          <w:lang w:val="en-GB" w:bidi="ar-EG"/>
        </w:rPr>
        <w:t xml:space="preserve">, A meta-analysis of Sun Z and </w:t>
      </w:r>
      <w:proofErr w:type="spellStart"/>
      <w:r w:rsidRPr="009C6D1E">
        <w:rPr>
          <w:sz w:val="20"/>
          <w:szCs w:val="20"/>
          <w:lang w:val="en-GB" w:bidi="ar-EG"/>
        </w:rPr>
        <w:t>Almutairi</w:t>
      </w:r>
      <w:proofErr w:type="spellEnd"/>
      <w:r w:rsidRPr="009C6D1E">
        <w:rPr>
          <w:sz w:val="20"/>
          <w:szCs w:val="20"/>
          <w:lang w:val="en-GB" w:bidi="ar-EG"/>
        </w:rPr>
        <w:t xml:space="preserve">  (21) were estimates the sensitivity and specificity of  90% and 91% respectively based on assessable segments.</w:t>
      </w:r>
    </w:p>
    <w:p w:rsidR="00176F1E" w:rsidRPr="009C6D1E" w:rsidRDefault="00176F1E" w:rsidP="00E85D24">
      <w:pPr>
        <w:snapToGrid w:val="0"/>
        <w:ind w:firstLine="425"/>
        <w:contextualSpacing/>
        <w:jc w:val="both"/>
        <w:rPr>
          <w:sz w:val="20"/>
          <w:szCs w:val="20"/>
          <w:lang w:val="en-GB" w:bidi="ar-EG"/>
        </w:rPr>
      </w:pPr>
      <w:r w:rsidRPr="009C6D1E">
        <w:rPr>
          <w:sz w:val="20"/>
          <w:szCs w:val="20"/>
          <w:lang w:val="en-GB" w:bidi="ar-EG"/>
        </w:rPr>
        <w:t xml:space="preserve">During MSCT imaging, visualization of stents is particularly challenging because of the metallic struts resulting in blooming </w:t>
      </w:r>
      <w:proofErr w:type="spellStart"/>
      <w:r w:rsidRPr="009C6D1E">
        <w:rPr>
          <w:sz w:val="20"/>
          <w:szCs w:val="20"/>
          <w:lang w:val="en-GB" w:bidi="ar-EG"/>
        </w:rPr>
        <w:t>artifacts</w:t>
      </w:r>
      <w:proofErr w:type="spellEnd"/>
      <w:r w:rsidRPr="009C6D1E">
        <w:rPr>
          <w:sz w:val="20"/>
          <w:szCs w:val="20"/>
          <w:lang w:val="en-GB" w:bidi="ar-EG"/>
        </w:rPr>
        <w:t>. Accordingly, the stent wall appears enlarged on the MSCT images, which in turn</w:t>
      </w:r>
      <w:r w:rsidRPr="009C6D1E">
        <w:rPr>
          <w:b/>
          <w:sz w:val="20"/>
          <w:szCs w:val="20"/>
        </w:rPr>
        <w:t xml:space="preserve"> </w:t>
      </w:r>
      <w:r w:rsidRPr="009C6D1E">
        <w:rPr>
          <w:sz w:val="20"/>
          <w:szCs w:val="20"/>
          <w:lang w:val="en-GB" w:bidi="ar-EG"/>
        </w:rPr>
        <w:t xml:space="preserve">affects the capability to visualize the in-stent lumen. The extent of this artefact depends on the material and design of the stent, with more severe </w:t>
      </w:r>
      <w:proofErr w:type="spellStart"/>
      <w:r w:rsidRPr="009C6D1E">
        <w:rPr>
          <w:sz w:val="20"/>
          <w:szCs w:val="20"/>
          <w:lang w:val="en-GB" w:bidi="ar-EG"/>
        </w:rPr>
        <w:t>artifacts</w:t>
      </w:r>
      <w:proofErr w:type="spellEnd"/>
      <w:r w:rsidRPr="009C6D1E">
        <w:rPr>
          <w:sz w:val="20"/>
          <w:szCs w:val="20"/>
          <w:lang w:val="en-GB" w:bidi="ar-EG"/>
        </w:rPr>
        <w:t xml:space="preserve"> in stents with high metal content. Although this effect is of minor or no importance in large vessels, such as the aorta and its abdominal branches, it can considerably impair the visualization of the lumen in smaller vessels such as the coronary arteries as reported in the study of </w:t>
      </w:r>
      <w:proofErr w:type="spellStart"/>
      <w:r w:rsidR="00440137" w:rsidRPr="009C6D1E">
        <w:rPr>
          <w:sz w:val="20"/>
          <w:szCs w:val="20"/>
          <w:lang w:val="en-GB" w:bidi="ar-EG"/>
        </w:rPr>
        <w:t>M</w:t>
      </w:r>
      <w:r w:rsidRPr="009C6D1E">
        <w:rPr>
          <w:sz w:val="20"/>
          <w:szCs w:val="20"/>
          <w:lang w:val="en-GB" w:bidi="ar-EG"/>
        </w:rPr>
        <w:t>aintz</w:t>
      </w:r>
      <w:proofErr w:type="spellEnd"/>
      <w:r w:rsidRPr="009C6D1E">
        <w:rPr>
          <w:sz w:val="20"/>
          <w:szCs w:val="20"/>
          <w:lang w:val="en-GB" w:bidi="ar-EG"/>
        </w:rPr>
        <w:t xml:space="preserve">  </w:t>
      </w:r>
      <w:r w:rsidRPr="009C6D1E">
        <w:rPr>
          <w:i/>
          <w:iCs/>
          <w:sz w:val="20"/>
          <w:szCs w:val="20"/>
          <w:lang w:val="en-GB" w:bidi="ar-EG"/>
        </w:rPr>
        <w:t>et al.</w:t>
      </w:r>
      <w:r w:rsidRPr="009C6D1E">
        <w:rPr>
          <w:sz w:val="20"/>
          <w:szCs w:val="20"/>
          <w:lang w:val="en-GB" w:bidi="ar-EG"/>
        </w:rPr>
        <w:t xml:space="preserve"> (22).</w:t>
      </w:r>
    </w:p>
    <w:p w:rsidR="00176F1E" w:rsidRPr="009C6D1E" w:rsidRDefault="00176F1E" w:rsidP="00E85D24">
      <w:pPr>
        <w:snapToGrid w:val="0"/>
        <w:ind w:firstLine="425"/>
        <w:contextualSpacing/>
        <w:jc w:val="both"/>
        <w:rPr>
          <w:sz w:val="20"/>
          <w:szCs w:val="20"/>
          <w:lang w:val="en-GB" w:bidi="ar-EG"/>
        </w:rPr>
      </w:pPr>
      <w:r w:rsidRPr="009C6D1E">
        <w:rPr>
          <w:sz w:val="20"/>
          <w:szCs w:val="20"/>
          <w:lang w:val="en-GB" w:bidi="ar-EG"/>
        </w:rPr>
        <w:t xml:space="preserve">Not surprisingly, therefore, visualization of stent lumen could not be achieved in preliminary investigations using 4-slice MSCT scanners in the study of </w:t>
      </w:r>
      <w:proofErr w:type="spellStart"/>
      <w:r w:rsidRPr="009C6D1E">
        <w:rPr>
          <w:sz w:val="20"/>
          <w:szCs w:val="20"/>
          <w:lang w:val="en-GB" w:bidi="ar-EG"/>
        </w:rPr>
        <w:t>kruger</w:t>
      </w:r>
      <w:proofErr w:type="spellEnd"/>
      <w:r w:rsidRPr="009C6D1E">
        <w:rPr>
          <w:sz w:val="20"/>
          <w:szCs w:val="20"/>
          <w:lang w:val="en-GB" w:bidi="ar-EG"/>
        </w:rPr>
        <w:t xml:space="preserve"> </w:t>
      </w:r>
      <w:r w:rsidR="00440137" w:rsidRPr="009C6D1E">
        <w:rPr>
          <w:i/>
          <w:iCs/>
          <w:sz w:val="20"/>
          <w:szCs w:val="20"/>
          <w:lang w:val="en-GB" w:bidi="ar-EG"/>
        </w:rPr>
        <w:t>et al.</w:t>
      </w:r>
      <w:r w:rsidR="00440137" w:rsidRPr="009C6D1E">
        <w:rPr>
          <w:sz w:val="20"/>
          <w:szCs w:val="20"/>
          <w:lang w:val="en-GB" w:bidi="ar-EG"/>
        </w:rPr>
        <w:t xml:space="preserve"> </w:t>
      </w:r>
      <w:r w:rsidRPr="009C6D1E">
        <w:rPr>
          <w:sz w:val="20"/>
          <w:szCs w:val="20"/>
          <w:lang w:val="en-GB" w:bidi="ar-EG"/>
        </w:rPr>
        <w:t>(23).</w:t>
      </w:r>
    </w:p>
    <w:p w:rsidR="00176F1E" w:rsidRPr="009C6D1E" w:rsidRDefault="00176F1E" w:rsidP="00E85D24">
      <w:pPr>
        <w:snapToGrid w:val="0"/>
        <w:ind w:firstLine="425"/>
        <w:contextualSpacing/>
        <w:jc w:val="both"/>
        <w:rPr>
          <w:sz w:val="20"/>
          <w:szCs w:val="20"/>
          <w:lang w:val="en-GB" w:bidi="ar-EG"/>
        </w:rPr>
      </w:pPr>
      <w:r w:rsidRPr="009C6D1E">
        <w:rPr>
          <w:sz w:val="20"/>
          <w:szCs w:val="20"/>
          <w:lang w:val="en-GB" w:bidi="ar-EG"/>
        </w:rPr>
        <w:t xml:space="preserve">The prevalence of non-evaluable stents (12%, 11 from 90) was acceptable in contrast to rate of ( 2.6 to 23.5) reported by meta-analysis </w:t>
      </w:r>
      <w:proofErr w:type="spellStart"/>
      <w:r w:rsidRPr="009C6D1E">
        <w:rPr>
          <w:sz w:val="20"/>
          <w:szCs w:val="20"/>
          <w:lang w:val="en-GB" w:bidi="ar-EG"/>
        </w:rPr>
        <w:t>Andreini</w:t>
      </w:r>
      <w:proofErr w:type="spellEnd"/>
      <w:r w:rsidRPr="009C6D1E">
        <w:rPr>
          <w:sz w:val="20"/>
          <w:szCs w:val="20"/>
          <w:lang w:val="en-GB" w:bidi="ar-EG"/>
        </w:rPr>
        <w:t xml:space="preserve">  </w:t>
      </w:r>
      <w:r w:rsidR="00440137" w:rsidRPr="009C6D1E">
        <w:rPr>
          <w:i/>
          <w:iCs/>
          <w:sz w:val="20"/>
          <w:szCs w:val="20"/>
          <w:lang w:val="en-GB" w:bidi="ar-EG"/>
        </w:rPr>
        <w:t>et al.</w:t>
      </w:r>
      <w:r w:rsidR="00440137" w:rsidRPr="009C6D1E">
        <w:rPr>
          <w:sz w:val="20"/>
          <w:szCs w:val="20"/>
          <w:lang w:val="en-GB" w:bidi="ar-EG"/>
        </w:rPr>
        <w:t xml:space="preserve"> </w:t>
      </w:r>
      <w:r w:rsidRPr="009C6D1E">
        <w:rPr>
          <w:sz w:val="20"/>
          <w:szCs w:val="20"/>
          <w:lang w:val="en-GB" w:bidi="ar-EG"/>
        </w:rPr>
        <w:t>(  24)  on 24 study.</w:t>
      </w:r>
    </w:p>
    <w:p w:rsidR="00176F1E" w:rsidRPr="009C6D1E" w:rsidRDefault="00176F1E" w:rsidP="00E85D24">
      <w:pPr>
        <w:snapToGrid w:val="0"/>
        <w:ind w:firstLine="425"/>
        <w:contextualSpacing/>
        <w:jc w:val="both"/>
        <w:rPr>
          <w:sz w:val="20"/>
          <w:szCs w:val="20"/>
          <w:lang w:val="en-GB" w:bidi="ar-EG"/>
        </w:rPr>
      </w:pPr>
      <w:r w:rsidRPr="009C6D1E">
        <w:rPr>
          <w:sz w:val="20"/>
          <w:szCs w:val="20"/>
          <w:lang w:val="en-GB" w:bidi="ar-EG"/>
        </w:rPr>
        <w:lastRenderedPageBreak/>
        <w:t xml:space="preserve">In The current study, accuracy of MSCT is affected by stent size and struts thickness; thinner and wider stents were associated by high accuracy, as reported in the study of </w:t>
      </w:r>
      <w:proofErr w:type="spellStart"/>
      <w:r w:rsidRPr="009C6D1E">
        <w:rPr>
          <w:sz w:val="20"/>
          <w:szCs w:val="20"/>
          <w:lang w:val="en-GB" w:bidi="ar-EG"/>
        </w:rPr>
        <w:t>Cademartiri</w:t>
      </w:r>
      <w:proofErr w:type="spellEnd"/>
      <w:r w:rsidRPr="009C6D1E">
        <w:rPr>
          <w:sz w:val="20"/>
          <w:szCs w:val="20"/>
          <w:lang w:val="en-GB" w:bidi="ar-EG"/>
        </w:rPr>
        <w:t xml:space="preserve"> </w:t>
      </w:r>
      <w:r w:rsidR="00440137" w:rsidRPr="009C6D1E">
        <w:rPr>
          <w:i/>
          <w:iCs/>
          <w:sz w:val="20"/>
          <w:szCs w:val="20"/>
          <w:lang w:val="en-GB" w:bidi="ar-EG"/>
        </w:rPr>
        <w:t>et al.</w:t>
      </w:r>
      <w:r w:rsidR="00440137" w:rsidRPr="009C6D1E">
        <w:rPr>
          <w:sz w:val="20"/>
          <w:szCs w:val="20"/>
          <w:lang w:val="en-GB" w:bidi="ar-EG"/>
        </w:rPr>
        <w:t xml:space="preserve"> </w:t>
      </w:r>
      <w:r w:rsidRPr="009C6D1E">
        <w:rPr>
          <w:sz w:val="20"/>
          <w:szCs w:val="20"/>
          <w:lang w:val="en-GB" w:bidi="ar-EG"/>
        </w:rPr>
        <w:t>(25)</w:t>
      </w:r>
    </w:p>
    <w:p w:rsidR="00176F1E" w:rsidRPr="009C6D1E" w:rsidRDefault="00176F1E" w:rsidP="00E85D24">
      <w:pPr>
        <w:snapToGrid w:val="0"/>
        <w:ind w:firstLine="425"/>
        <w:contextualSpacing/>
        <w:jc w:val="both"/>
        <w:rPr>
          <w:sz w:val="20"/>
          <w:szCs w:val="20"/>
          <w:lang w:val="en-GB" w:bidi="ar-EG"/>
        </w:rPr>
      </w:pPr>
      <w:r w:rsidRPr="009C6D1E">
        <w:rPr>
          <w:sz w:val="20"/>
          <w:szCs w:val="20"/>
          <w:lang w:val="en-GB" w:bidi="ar-EG"/>
        </w:rPr>
        <w:t xml:space="preserve">Post processing was an important part of our study. We used an edge-enhancing high spatial resolution kernel for reconstruction. Because this kernel yields fewer blooming </w:t>
      </w:r>
      <w:proofErr w:type="spellStart"/>
      <w:r w:rsidRPr="009C6D1E">
        <w:rPr>
          <w:sz w:val="20"/>
          <w:szCs w:val="20"/>
          <w:lang w:val="en-GB" w:bidi="ar-EG"/>
        </w:rPr>
        <w:t>artifacts</w:t>
      </w:r>
      <w:proofErr w:type="spellEnd"/>
      <w:r w:rsidRPr="009C6D1E">
        <w:rPr>
          <w:sz w:val="20"/>
          <w:szCs w:val="20"/>
          <w:lang w:val="en-GB" w:bidi="ar-EG"/>
        </w:rPr>
        <w:t xml:space="preserve">, artificial lumen narrowing and </w:t>
      </w:r>
      <w:proofErr w:type="spellStart"/>
      <w:r w:rsidRPr="009C6D1E">
        <w:rPr>
          <w:sz w:val="20"/>
          <w:szCs w:val="20"/>
          <w:lang w:val="en-GB" w:bidi="ar-EG"/>
        </w:rPr>
        <w:t>intraluminal</w:t>
      </w:r>
      <w:proofErr w:type="spellEnd"/>
      <w:r w:rsidRPr="009C6D1E">
        <w:rPr>
          <w:sz w:val="20"/>
          <w:szCs w:val="20"/>
          <w:lang w:val="en-GB" w:bidi="ar-EG"/>
        </w:rPr>
        <w:t xml:space="preserve"> attenuation changes caused by such artefacts would be minimized. Therefore, edge-enhancing kernels can allow better visualization of the stents, even though image noise will increase as compared with image noise produced by standard kernels. </w:t>
      </w:r>
      <w:proofErr w:type="spellStart"/>
      <w:r w:rsidRPr="009C6D1E">
        <w:rPr>
          <w:sz w:val="20"/>
          <w:szCs w:val="20"/>
          <w:lang w:val="en-GB" w:bidi="ar-EG"/>
        </w:rPr>
        <w:t>Seifarth</w:t>
      </w:r>
      <w:proofErr w:type="spellEnd"/>
      <w:r w:rsidRPr="009C6D1E">
        <w:rPr>
          <w:sz w:val="20"/>
          <w:szCs w:val="20"/>
          <w:lang w:val="en-GB" w:bidi="ar-EG"/>
        </w:rPr>
        <w:t xml:space="preserve"> </w:t>
      </w:r>
      <w:r w:rsidR="00440137" w:rsidRPr="009C6D1E">
        <w:rPr>
          <w:i/>
          <w:iCs/>
          <w:sz w:val="20"/>
          <w:szCs w:val="20"/>
          <w:lang w:val="en-GB" w:bidi="ar-EG"/>
        </w:rPr>
        <w:t>et al.</w:t>
      </w:r>
      <w:r w:rsidR="00440137" w:rsidRPr="009C6D1E">
        <w:rPr>
          <w:sz w:val="20"/>
          <w:szCs w:val="20"/>
          <w:lang w:val="en-GB" w:bidi="ar-EG"/>
        </w:rPr>
        <w:t xml:space="preserve"> </w:t>
      </w:r>
      <w:r w:rsidRPr="009C6D1E">
        <w:rPr>
          <w:sz w:val="20"/>
          <w:szCs w:val="20"/>
          <w:lang w:val="en-GB" w:bidi="ar-EG"/>
        </w:rPr>
        <w:t>(26),  compared the effect of different reconstruction kernels and a noise-reducing post processing filter on the delineation of coronary artery stents and noticed that the visible lumen diameter was significantly greater in edge-enhancing high spatial resolution kernel post processed images.</w:t>
      </w:r>
    </w:p>
    <w:p w:rsidR="00176F1E" w:rsidRPr="009C6D1E" w:rsidRDefault="00176F1E" w:rsidP="00E85D24">
      <w:pPr>
        <w:snapToGrid w:val="0"/>
        <w:ind w:firstLine="425"/>
        <w:contextualSpacing/>
        <w:jc w:val="both"/>
        <w:rPr>
          <w:sz w:val="20"/>
          <w:szCs w:val="20"/>
          <w:lang w:val="en-GB" w:bidi="ar-EG"/>
        </w:rPr>
      </w:pPr>
      <w:r w:rsidRPr="009C6D1E">
        <w:rPr>
          <w:sz w:val="20"/>
          <w:szCs w:val="20"/>
          <w:lang w:val="en-GB" w:bidi="ar-EG"/>
        </w:rPr>
        <w:t>remarkable increase in sensitivity and specificity of MSCT in detecting significant ISR in proximal coronary artery compared to non proximal segments (</w:t>
      </w:r>
      <w:r w:rsidRPr="009C6D1E">
        <w:rPr>
          <w:sz w:val="20"/>
          <w:szCs w:val="20"/>
          <w:lang w:val="en-GB"/>
        </w:rPr>
        <w:t>82</w:t>
      </w:r>
      <w:r w:rsidRPr="009C6D1E">
        <w:rPr>
          <w:sz w:val="20"/>
          <w:szCs w:val="20"/>
        </w:rPr>
        <w:t>%, 97%, versus 69%, 92% respectively)</w:t>
      </w:r>
      <w:r w:rsidRPr="009C6D1E">
        <w:rPr>
          <w:sz w:val="20"/>
          <w:szCs w:val="20"/>
          <w:lang w:val="en-GB" w:bidi="ar-EG"/>
        </w:rPr>
        <w:t xml:space="preserve">, agreed with data reported by </w:t>
      </w:r>
      <w:proofErr w:type="spellStart"/>
      <w:r w:rsidRPr="009C6D1E">
        <w:rPr>
          <w:sz w:val="20"/>
          <w:szCs w:val="20"/>
          <w:lang w:val="en-GB" w:bidi="ar-EG"/>
        </w:rPr>
        <w:t>Chabbert</w:t>
      </w:r>
      <w:proofErr w:type="spellEnd"/>
      <w:r w:rsidRPr="009C6D1E">
        <w:rPr>
          <w:sz w:val="20"/>
          <w:szCs w:val="20"/>
          <w:lang w:val="en-GB" w:bidi="ar-EG"/>
        </w:rPr>
        <w:t xml:space="preserve"> </w:t>
      </w:r>
      <w:r w:rsidR="00440137" w:rsidRPr="009C6D1E">
        <w:rPr>
          <w:i/>
          <w:iCs/>
          <w:sz w:val="20"/>
          <w:szCs w:val="20"/>
          <w:lang w:val="en-GB" w:bidi="ar-EG"/>
        </w:rPr>
        <w:t>et al.</w:t>
      </w:r>
      <w:r w:rsidR="00440137" w:rsidRPr="009C6D1E">
        <w:rPr>
          <w:sz w:val="20"/>
          <w:szCs w:val="20"/>
          <w:lang w:val="en-GB" w:bidi="ar-EG"/>
        </w:rPr>
        <w:t xml:space="preserve"> </w:t>
      </w:r>
      <w:r w:rsidRPr="009C6D1E">
        <w:rPr>
          <w:sz w:val="20"/>
          <w:szCs w:val="20"/>
          <w:lang w:val="en-GB" w:bidi="ar-EG"/>
        </w:rPr>
        <w:t xml:space="preserve">(27), on 121 patient with 131 stents located in proximal coronary segments, when he reported excellent results with sensitivity of 93%, however it’s </w:t>
      </w:r>
      <w:r w:rsidRPr="009C6D1E">
        <w:rPr>
          <w:sz w:val="20"/>
          <w:szCs w:val="20"/>
          <w:lang w:val="en-GB" w:bidi="ar-EG"/>
        </w:rPr>
        <w:lastRenderedPageBreak/>
        <w:t>not statistically significant</w:t>
      </w:r>
      <w:r w:rsidRPr="009C6D1E">
        <w:rPr>
          <w:sz w:val="20"/>
          <w:szCs w:val="20"/>
          <w:lang w:bidi="ar-EG"/>
        </w:rPr>
        <w:t xml:space="preserve"> in the current study</w:t>
      </w:r>
      <w:r w:rsidRPr="009C6D1E">
        <w:rPr>
          <w:sz w:val="20"/>
          <w:szCs w:val="20"/>
          <w:lang w:val="en-GB" w:bidi="ar-EG"/>
        </w:rPr>
        <w:t>, which may be explained by limited number of stent.</w:t>
      </w:r>
    </w:p>
    <w:p w:rsidR="00176F1E" w:rsidRPr="009C6D1E" w:rsidRDefault="00176F1E" w:rsidP="00E85D24">
      <w:pPr>
        <w:snapToGrid w:val="0"/>
        <w:ind w:firstLine="425"/>
        <w:contextualSpacing/>
        <w:jc w:val="both"/>
        <w:rPr>
          <w:sz w:val="20"/>
          <w:szCs w:val="20"/>
          <w:lang w:val="en-GB" w:bidi="ar-EG"/>
        </w:rPr>
      </w:pPr>
      <w:r w:rsidRPr="009C6D1E">
        <w:rPr>
          <w:sz w:val="20"/>
          <w:szCs w:val="20"/>
          <w:lang w:val="en-GB" w:bidi="ar-EG"/>
        </w:rPr>
        <w:t xml:space="preserve">In the current study, stents implanted in LCX have the worst accuracy in comparison to LAD and RCA, as reported by Chung </w:t>
      </w:r>
      <w:r w:rsidR="00440137" w:rsidRPr="009C6D1E">
        <w:rPr>
          <w:i/>
          <w:iCs/>
          <w:sz w:val="20"/>
          <w:szCs w:val="20"/>
          <w:lang w:val="en-GB" w:bidi="ar-EG"/>
        </w:rPr>
        <w:t>et al.</w:t>
      </w:r>
      <w:r w:rsidR="00440137" w:rsidRPr="009C6D1E">
        <w:rPr>
          <w:sz w:val="20"/>
          <w:szCs w:val="20"/>
          <w:lang w:val="en-GB" w:bidi="ar-EG"/>
        </w:rPr>
        <w:t xml:space="preserve"> </w:t>
      </w:r>
      <w:r w:rsidRPr="009C6D1E">
        <w:rPr>
          <w:sz w:val="20"/>
          <w:szCs w:val="20"/>
          <w:lang w:val="en-GB" w:bidi="ar-EG"/>
        </w:rPr>
        <w:t>(28) in his study of 91 stent to determined factors affecting the ability of 64-multislice MSCT to detect, assess, and concluded that evaluation of stents by 64-MSCT is not recommended in stents with diameters of ≤2.75 mm or stents located at the left circumflex coronary artery.</w:t>
      </w:r>
    </w:p>
    <w:p w:rsidR="00176F1E" w:rsidRDefault="00176F1E" w:rsidP="00E85D24">
      <w:pPr>
        <w:snapToGrid w:val="0"/>
        <w:ind w:firstLine="425"/>
        <w:contextualSpacing/>
        <w:jc w:val="both"/>
        <w:rPr>
          <w:sz w:val="20"/>
          <w:szCs w:val="20"/>
          <w:lang w:val="en-GB" w:bidi="ar-EG"/>
        </w:rPr>
      </w:pPr>
      <w:r w:rsidRPr="009C6D1E">
        <w:rPr>
          <w:sz w:val="20"/>
          <w:szCs w:val="20"/>
          <w:lang w:val="en-GB" w:bidi="ar-EG"/>
        </w:rPr>
        <w:t xml:space="preserve">High negative predictive value (90%) was observed in this study, underlining the potential of MSCT as a non invasive technique to rule out the presence of in-stent </w:t>
      </w:r>
      <w:proofErr w:type="spellStart"/>
      <w:r w:rsidRPr="009C6D1E">
        <w:rPr>
          <w:sz w:val="20"/>
          <w:szCs w:val="20"/>
          <w:lang w:val="en-GB" w:bidi="ar-EG"/>
        </w:rPr>
        <w:t>restenosis</w:t>
      </w:r>
      <w:proofErr w:type="spellEnd"/>
      <w:r w:rsidRPr="009C6D1E">
        <w:rPr>
          <w:sz w:val="20"/>
          <w:szCs w:val="20"/>
          <w:lang w:val="en-GB" w:bidi="ar-EG"/>
        </w:rPr>
        <w:t xml:space="preserve">, This concept is consistent with the findings addressed by </w:t>
      </w:r>
      <w:proofErr w:type="spellStart"/>
      <w:r w:rsidRPr="009C6D1E">
        <w:rPr>
          <w:sz w:val="20"/>
          <w:szCs w:val="20"/>
          <w:lang w:val="en-GB" w:bidi="ar-EG"/>
        </w:rPr>
        <w:t>Kumbhani</w:t>
      </w:r>
      <w:proofErr w:type="spellEnd"/>
      <w:r w:rsidRPr="009C6D1E">
        <w:rPr>
          <w:sz w:val="20"/>
          <w:szCs w:val="20"/>
          <w:lang w:val="en-GB" w:bidi="ar-EG"/>
        </w:rPr>
        <w:t xml:space="preserve"> </w:t>
      </w:r>
      <w:r w:rsidR="00440137" w:rsidRPr="009C6D1E">
        <w:rPr>
          <w:i/>
          <w:iCs/>
          <w:sz w:val="20"/>
          <w:szCs w:val="20"/>
          <w:lang w:val="en-GB" w:bidi="ar-EG"/>
        </w:rPr>
        <w:t>et al.</w:t>
      </w:r>
      <w:r w:rsidR="00440137" w:rsidRPr="009C6D1E">
        <w:rPr>
          <w:sz w:val="20"/>
          <w:szCs w:val="20"/>
          <w:lang w:val="en-GB" w:bidi="ar-EG"/>
        </w:rPr>
        <w:t xml:space="preserve"> </w:t>
      </w:r>
      <w:r w:rsidRPr="009C6D1E">
        <w:rPr>
          <w:sz w:val="20"/>
          <w:szCs w:val="20"/>
          <w:lang w:val="en-GB" w:bidi="ar-EG"/>
        </w:rPr>
        <w:t>(29). who performed a meta-analysis including 14 studies with 895 patients and ensures the value of the MSCT as a rule out modality.</w:t>
      </w:r>
    </w:p>
    <w:p w:rsidR="00966BF3" w:rsidRPr="009C6D1E" w:rsidRDefault="00966BF3" w:rsidP="00E85D24">
      <w:pPr>
        <w:snapToGrid w:val="0"/>
        <w:ind w:firstLine="425"/>
        <w:contextualSpacing/>
        <w:jc w:val="both"/>
        <w:rPr>
          <w:sz w:val="20"/>
          <w:szCs w:val="20"/>
          <w:lang w:val="en-GB" w:bidi="ar-EG"/>
        </w:rPr>
      </w:pPr>
    </w:p>
    <w:p w:rsidR="00966BF3" w:rsidRDefault="00FE4FF3" w:rsidP="009C6D1E">
      <w:pPr>
        <w:snapToGrid w:val="0"/>
        <w:contextualSpacing/>
        <w:jc w:val="both"/>
        <w:rPr>
          <w:b/>
          <w:bCs/>
          <w:sz w:val="20"/>
          <w:szCs w:val="20"/>
        </w:rPr>
      </w:pPr>
      <w:hyperlink w:anchor="page7" w:history="1">
        <w:r w:rsidR="00176F1E" w:rsidRPr="009C6D1E">
          <w:rPr>
            <w:b/>
            <w:bCs/>
            <w:sz w:val="20"/>
            <w:szCs w:val="20"/>
          </w:rPr>
          <w:t>Study limitations.</w:t>
        </w:r>
      </w:hyperlink>
      <w:r w:rsidR="00176F1E" w:rsidRPr="009C6D1E">
        <w:rPr>
          <w:b/>
          <w:bCs/>
          <w:sz w:val="20"/>
          <w:szCs w:val="20"/>
        </w:rPr>
        <w:t xml:space="preserve"> </w:t>
      </w:r>
    </w:p>
    <w:p w:rsidR="00176F1E" w:rsidRPr="009C6D1E" w:rsidRDefault="00176F1E" w:rsidP="00966BF3">
      <w:pPr>
        <w:snapToGrid w:val="0"/>
        <w:ind w:firstLine="720"/>
        <w:contextualSpacing/>
        <w:jc w:val="both"/>
        <w:rPr>
          <w:sz w:val="20"/>
          <w:szCs w:val="20"/>
          <w:lang w:val="en-GB" w:bidi="ar-EG"/>
        </w:rPr>
      </w:pPr>
      <w:r w:rsidRPr="009C6D1E">
        <w:rPr>
          <w:sz w:val="20"/>
          <w:szCs w:val="20"/>
        </w:rPr>
        <w:t>Several</w:t>
      </w:r>
      <w:r w:rsidRPr="009C6D1E">
        <w:rPr>
          <w:b/>
          <w:bCs/>
          <w:sz w:val="20"/>
          <w:szCs w:val="20"/>
        </w:rPr>
        <w:t xml:space="preserve"> </w:t>
      </w:r>
      <w:r w:rsidRPr="009C6D1E">
        <w:rPr>
          <w:sz w:val="20"/>
          <w:szCs w:val="20"/>
        </w:rPr>
        <w:t>limitations should be addressed.</w:t>
      </w:r>
      <w:r w:rsidRPr="009C6D1E">
        <w:rPr>
          <w:b/>
          <w:bCs/>
          <w:sz w:val="20"/>
          <w:szCs w:val="20"/>
        </w:rPr>
        <w:t xml:space="preserve"> </w:t>
      </w:r>
      <w:r w:rsidRPr="009C6D1E">
        <w:rPr>
          <w:b/>
          <w:bCs/>
          <w:i/>
          <w:iCs/>
          <w:sz w:val="20"/>
          <w:szCs w:val="20"/>
          <w:lang w:val="en-GB" w:bidi="ar-EG"/>
        </w:rPr>
        <w:t>1) -</w:t>
      </w:r>
      <w:r w:rsidRPr="009C6D1E">
        <w:rPr>
          <w:sz w:val="20"/>
          <w:szCs w:val="20"/>
          <w:lang w:val="en-GB" w:bidi="ar-EG"/>
        </w:rPr>
        <w:t xml:space="preserve"> The overall rate of stents with a </w:t>
      </w:r>
      <w:proofErr w:type="spellStart"/>
      <w:r w:rsidRPr="009C6D1E">
        <w:rPr>
          <w:sz w:val="20"/>
          <w:szCs w:val="20"/>
          <w:lang w:val="en-GB" w:bidi="ar-EG"/>
        </w:rPr>
        <w:t>signiﬁcant</w:t>
      </w:r>
      <w:proofErr w:type="spellEnd"/>
      <w:r w:rsidRPr="009C6D1E">
        <w:rPr>
          <w:sz w:val="20"/>
          <w:szCs w:val="20"/>
          <w:lang w:val="en-GB" w:bidi="ar-EG"/>
        </w:rPr>
        <w:t xml:space="preserve"> ISR was relatively low, (24 of 79, 30.4%). This low rate of </w:t>
      </w:r>
      <w:proofErr w:type="spellStart"/>
      <w:r w:rsidRPr="009C6D1E">
        <w:rPr>
          <w:sz w:val="20"/>
          <w:szCs w:val="20"/>
          <w:lang w:val="en-GB" w:bidi="ar-EG"/>
        </w:rPr>
        <w:t>restenosis</w:t>
      </w:r>
      <w:proofErr w:type="spellEnd"/>
      <w:r w:rsidRPr="009C6D1E">
        <w:rPr>
          <w:sz w:val="20"/>
          <w:szCs w:val="20"/>
          <w:lang w:val="en-GB" w:bidi="ar-EG"/>
        </w:rPr>
        <w:t xml:space="preserve"> was below our assumptions for the statistical power of calculation. </w:t>
      </w:r>
      <w:r w:rsidRPr="009C6D1E">
        <w:rPr>
          <w:b/>
          <w:bCs/>
          <w:i/>
          <w:iCs/>
          <w:sz w:val="20"/>
          <w:szCs w:val="20"/>
          <w:lang w:val="en-GB" w:bidi="ar-EG"/>
        </w:rPr>
        <w:t>2) -</w:t>
      </w:r>
      <w:r w:rsidRPr="009C6D1E">
        <w:rPr>
          <w:b/>
          <w:bCs/>
          <w:i/>
          <w:iCs/>
          <w:sz w:val="20"/>
          <w:szCs w:val="20"/>
          <w:lang w:bidi="ar-DZ"/>
        </w:rPr>
        <w:t xml:space="preserve"> </w:t>
      </w:r>
      <w:r w:rsidRPr="009C6D1E">
        <w:rPr>
          <w:sz w:val="20"/>
          <w:szCs w:val="20"/>
          <w:lang w:bidi="ar-DZ"/>
        </w:rPr>
        <w:t>T</w:t>
      </w:r>
      <w:r w:rsidRPr="009C6D1E">
        <w:rPr>
          <w:sz w:val="20"/>
          <w:szCs w:val="20"/>
          <w:lang w:val="en-GB" w:bidi="ar-EG"/>
        </w:rPr>
        <w:t xml:space="preserve">he presence of non evaluable stents which affected the diagnostic value of MSCT in studies included it in analysis, making the MSCT a suitable non invasive procedure in selected population only. </w:t>
      </w:r>
      <w:r w:rsidRPr="009C6D1E">
        <w:rPr>
          <w:b/>
          <w:bCs/>
          <w:i/>
          <w:iCs/>
          <w:sz w:val="20"/>
          <w:szCs w:val="20"/>
          <w:lang w:val="en-GB" w:bidi="ar-EG"/>
        </w:rPr>
        <w:t>3) -</w:t>
      </w:r>
      <w:r w:rsidRPr="009C6D1E">
        <w:rPr>
          <w:sz w:val="20"/>
          <w:szCs w:val="20"/>
          <w:lang w:val="en-GB" w:bidi="ar-EG"/>
        </w:rPr>
        <w:t xml:space="preserve"> As reported previously with MSCT coronary angiography, only patients with regular and low heart rate were included in the study. Accordingly, the results of the present study may not apply to the general population, as patients with </w:t>
      </w:r>
      <w:proofErr w:type="spellStart"/>
      <w:r w:rsidRPr="009C6D1E">
        <w:rPr>
          <w:sz w:val="20"/>
          <w:szCs w:val="20"/>
          <w:lang w:val="en-GB" w:bidi="ar-EG"/>
        </w:rPr>
        <w:t>atrial</w:t>
      </w:r>
      <w:proofErr w:type="spellEnd"/>
      <w:r w:rsidRPr="009C6D1E">
        <w:rPr>
          <w:sz w:val="20"/>
          <w:szCs w:val="20"/>
          <w:lang w:val="en-GB" w:bidi="ar-EG"/>
        </w:rPr>
        <w:t xml:space="preserve"> </w:t>
      </w:r>
      <w:proofErr w:type="spellStart"/>
      <w:r w:rsidRPr="009C6D1E">
        <w:rPr>
          <w:sz w:val="20"/>
          <w:szCs w:val="20"/>
          <w:lang w:val="en-GB" w:bidi="ar-EG"/>
        </w:rPr>
        <w:t>ﬁbrillation</w:t>
      </w:r>
      <w:proofErr w:type="spellEnd"/>
      <w:r w:rsidRPr="009C6D1E">
        <w:rPr>
          <w:sz w:val="20"/>
          <w:szCs w:val="20"/>
          <w:lang w:val="en-GB" w:bidi="ar-EG"/>
        </w:rPr>
        <w:t xml:space="preserve"> were excluded. </w:t>
      </w:r>
      <w:r w:rsidRPr="009C6D1E">
        <w:rPr>
          <w:b/>
          <w:bCs/>
          <w:i/>
          <w:iCs/>
          <w:sz w:val="20"/>
          <w:szCs w:val="20"/>
          <w:lang w:val="en-GB" w:bidi="ar-EG"/>
        </w:rPr>
        <w:t>4) -</w:t>
      </w:r>
      <w:r w:rsidRPr="009C6D1E">
        <w:rPr>
          <w:sz w:val="20"/>
          <w:szCs w:val="20"/>
          <w:lang w:val="en-GB" w:bidi="ar-EG"/>
        </w:rPr>
        <w:t xml:space="preserve"> several disadvantages inherent to the technique itself, including the high radiation exposure (15 to 20 </w:t>
      </w:r>
      <w:proofErr w:type="spellStart"/>
      <w:r w:rsidRPr="009C6D1E">
        <w:rPr>
          <w:sz w:val="20"/>
          <w:szCs w:val="20"/>
          <w:lang w:val="en-GB" w:bidi="ar-EG"/>
        </w:rPr>
        <w:t>mSv</w:t>
      </w:r>
      <w:proofErr w:type="spellEnd"/>
      <w:r w:rsidRPr="009C6D1E">
        <w:rPr>
          <w:sz w:val="20"/>
          <w:szCs w:val="20"/>
          <w:lang w:val="en-GB" w:bidi="ar-EG"/>
        </w:rPr>
        <w:t xml:space="preserve">) and the use of iodinated contrast, which remain a matter of concern for routine use of this technique. (15). </w:t>
      </w:r>
      <w:r w:rsidRPr="009C6D1E">
        <w:rPr>
          <w:b/>
          <w:bCs/>
          <w:i/>
          <w:iCs/>
          <w:sz w:val="20"/>
          <w:szCs w:val="20"/>
          <w:lang w:val="en-GB" w:bidi="ar-EG"/>
        </w:rPr>
        <w:t>5) -</w:t>
      </w:r>
      <w:r w:rsidRPr="009C6D1E">
        <w:rPr>
          <w:sz w:val="20"/>
          <w:szCs w:val="20"/>
          <w:lang w:val="en-GB" w:bidi="ar-EG"/>
        </w:rPr>
        <w:t xml:space="preserve"> an important limitation of MSCT remains the fact that only anatomical information is obtained, whereas the presence or absence of ischemia cannot be established from the MSCT images. Accordingly, in patients with </w:t>
      </w:r>
      <w:proofErr w:type="spellStart"/>
      <w:r w:rsidRPr="009C6D1E">
        <w:rPr>
          <w:sz w:val="20"/>
          <w:szCs w:val="20"/>
          <w:lang w:val="en-GB" w:bidi="ar-EG"/>
        </w:rPr>
        <w:t>signiﬁcant</w:t>
      </w:r>
      <w:proofErr w:type="spellEnd"/>
      <w:r w:rsidRPr="009C6D1E">
        <w:rPr>
          <w:sz w:val="20"/>
          <w:szCs w:val="20"/>
          <w:lang w:val="en-GB" w:bidi="ar-EG"/>
        </w:rPr>
        <w:t xml:space="preserve"> </w:t>
      </w:r>
      <w:proofErr w:type="spellStart"/>
      <w:r w:rsidRPr="009C6D1E">
        <w:rPr>
          <w:sz w:val="20"/>
          <w:szCs w:val="20"/>
          <w:lang w:val="en-GB" w:bidi="ar-EG"/>
        </w:rPr>
        <w:t>restenosis</w:t>
      </w:r>
      <w:proofErr w:type="spellEnd"/>
      <w:r w:rsidRPr="009C6D1E">
        <w:rPr>
          <w:sz w:val="20"/>
          <w:szCs w:val="20"/>
          <w:lang w:val="en-GB" w:bidi="ar-EG"/>
        </w:rPr>
        <w:t>, functional testing remains mandatory to determine further management.(15)</w:t>
      </w:r>
    </w:p>
    <w:p w:rsidR="00176F1E" w:rsidRPr="009C6D1E" w:rsidRDefault="00176F1E" w:rsidP="00E85D24">
      <w:pPr>
        <w:widowControl w:val="0"/>
        <w:autoSpaceDE w:val="0"/>
        <w:autoSpaceDN w:val="0"/>
        <w:adjustRightInd w:val="0"/>
        <w:snapToGrid w:val="0"/>
        <w:jc w:val="both"/>
        <w:rPr>
          <w:b/>
          <w:bCs/>
          <w:sz w:val="20"/>
          <w:szCs w:val="20"/>
        </w:rPr>
      </w:pPr>
    </w:p>
    <w:p w:rsidR="00176F1E" w:rsidRPr="009C6D1E" w:rsidRDefault="00176F1E" w:rsidP="00E85D24">
      <w:pPr>
        <w:widowControl w:val="0"/>
        <w:autoSpaceDE w:val="0"/>
        <w:autoSpaceDN w:val="0"/>
        <w:adjustRightInd w:val="0"/>
        <w:snapToGrid w:val="0"/>
        <w:jc w:val="both"/>
        <w:rPr>
          <w:b/>
          <w:bCs/>
          <w:sz w:val="20"/>
          <w:szCs w:val="20"/>
        </w:rPr>
      </w:pPr>
      <w:r w:rsidRPr="009C6D1E">
        <w:rPr>
          <w:b/>
          <w:bCs/>
          <w:sz w:val="20"/>
          <w:szCs w:val="20"/>
        </w:rPr>
        <w:t>Conclusions</w:t>
      </w:r>
    </w:p>
    <w:p w:rsidR="00176F1E" w:rsidRPr="009C6D1E" w:rsidRDefault="00176F1E" w:rsidP="00E85D24">
      <w:pPr>
        <w:widowControl w:val="0"/>
        <w:autoSpaceDE w:val="0"/>
        <w:autoSpaceDN w:val="0"/>
        <w:adjustRightInd w:val="0"/>
        <w:snapToGrid w:val="0"/>
        <w:ind w:firstLine="425"/>
        <w:jc w:val="both"/>
        <w:rPr>
          <w:sz w:val="20"/>
          <w:szCs w:val="20"/>
          <w:lang w:val="en-GB"/>
        </w:rPr>
      </w:pPr>
      <w:r w:rsidRPr="009C6D1E">
        <w:rPr>
          <w:sz w:val="20"/>
          <w:szCs w:val="20"/>
          <w:lang w:val="en-GB"/>
        </w:rPr>
        <w:t>The detection of ISR by MSCT is possible with an accuracy that could justify its clinical application, the relatively high rate of non-evaluable stents does not allow its use in all patients, in particular, 64-slice CT is useful for non-invasive exclusion of ISR, and therefore, we can avoid invasive coronary angiography in a considerable number of patients.</w:t>
      </w:r>
    </w:p>
    <w:p w:rsidR="00176F1E" w:rsidRDefault="00176F1E" w:rsidP="00E85D24">
      <w:pPr>
        <w:snapToGrid w:val="0"/>
        <w:jc w:val="both"/>
        <w:rPr>
          <w:b/>
          <w:sz w:val="20"/>
          <w:szCs w:val="20"/>
          <w:lang w:val="en-GB"/>
        </w:rPr>
      </w:pPr>
    </w:p>
    <w:p w:rsidR="00176F1E" w:rsidRPr="009C6D1E" w:rsidRDefault="00176F1E" w:rsidP="00E85D24">
      <w:pPr>
        <w:widowControl w:val="0"/>
        <w:autoSpaceDE w:val="0"/>
        <w:autoSpaceDN w:val="0"/>
        <w:adjustRightInd w:val="0"/>
        <w:snapToGrid w:val="0"/>
        <w:jc w:val="both"/>
        <w:rPr>
          <w:sz w:val="20"/>
          <w:szCs w:val="20"/>
        </w:rPr>
      </w:pPr>
      <w:r w:rsidRPr="009C6D1E">
        <w:rPr>
          <w:b/>
          <w:bCs/>
          <w:sz w:val="20"/>
          <w:szCs w:val="20"/>
        </w:rPr>
        <w:lastRenderedPageBreak/>
        <w:t>References</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proofErr w:type="spellStart"/>
      <w:r w:rsidRPr="009C6D1E">
        <w:rPr>
          <w:sz w:val="20"/>
          <w:szCs w:val="20"/>
          <w:lang w:bidi="ar-DZ"/>
        </w:rPr>
        <w:t>Antoniucci</w:t>
      </w:r>
      <w:proofErr w:type="spellEnd"/>
      <w:r w:rsidRPr="009C6D1E">
        <w:rPr>
          <w:sz w:val="20"/>
          <w:szCs w:val="20"/>
          <w:lang w:bidi="ar-DZ"/>
        </w:rPr>
        <w:t xml:space="preserve"> D, </w:t>
      </w:r>
      <w:proofErr w:type="spellStart"/>
      <w:r w:rsidRPr="009C6D1E">
        <w:rPr>
          <w:sz w:val="20"/>
          <w:szCs w:val="20"/>
          <w:lang w:bidi="ar-DZ"/>
        </w:rPr>
        <w:t>Valenti</w:t>
      </w:r>
      <w:proofErr w:type="spellEnd"/>
      <w:r w:rsidRPr="009C6D1E">
        <w:rPr>
          <w:sz w:val="20"/>
          <w:szCs w:val="20"/>
          <w:lang w:bidi="ar-DZ"/>
        </w:rPr>
        <w:t xml:space="preserve"> R, Santoro GM, Bolognese L, Trapani M, </w:t>
      </w:r>
      <w:proofErr w:type="spellStart"/>
      <w:r w:rsidRPr="009C6D1E">
        <w:rPr>
          <w:sz w:val="20"/>
          <w:szCs w:val="20"/>
          <w:lang w:bidi="ar-DZ"/>
        </w:rPr>
        <w:t>Cerisano</w:t>
      </w:r>
      <w:proofErr w:type="spellEnd"/>
      <w:r w:rsidRPr="009C6D1E">
        <w:rPr>
          <w:sz w:val="20"/>
          <w:szCs w:val="20"/>
          <w:lang w:bidi="ar-DZ"/>
        </w:rPr>
        <w:t xml:space="preserve"> G, </w:t>
      </w:r>
      <w:r w:rsidR="00440137" w:rsidRPr="009C6D1E">
        <w:rPr>
          <w:i/>
          <w:iCs/>
          <w:sz w:val="20"/>
          <w:szCs w:val="20"/>
          <w:lang w:val="en-GB" w:bidi="ar-EG"/>
        </w:rPr>
        <w:t>et al.</w:t>
      </w:r>
      <w:r w:rsidR="00440137" w:rsidRPr="009C6D1E">
        <w:rPr>
          <w:sz w:val="20"/>
          <w:szCs w:val="20"/>
          <w:lang w:val="en-GB" w:bidi="ar-EG"/>
        </w:rPr>
        <w:t xml:space="preserve"> </w:t>
      </w:r>
      <w:proofErr w:type="spellStart"/>
      <w:r w:rsidRPr="009C6D1E">
        <w:rPr>
          <w:sz w:val="20"/>
          <w:szCs w:val="20"/>
          <w:lang w:bidi="ar-DZ"/>
        </w:rPr>
        <w:t>Restenosis</w:t>
      </w:r>
      <w:proofErr w:type="spellEnd"/>
      <w:r w:rsidRPr="009C6D1E">
        <w:rPr>
          <w:sz w:val="20"/>
          <w:szCs w:val="20"/>
          <w:lang w:bidi="ar-DZ"/>
        </w:rPr>
        <w:t xml:space="preserve"> after coronary </w:t>
      </w:r>
      <w:proofErr w:type="spellStart"/>
      <w:r w:rsidRPr="009C6D1E">
        <w:rPr>
          <w:sz w:val="20"/>
          <w:szCs w:val="20"/>
          <w:lang w:bidi="ar-DZ"/>
        </w:rPr>
        <w:t>stenting</w:t>
      </w:r>
      <w:proofErr w:type="spellEnd"/>
      <w:r w:rsidRPr="009C6D1E">
        <w:rPr>
          <w:sz w:val="20"/>
          <w:szCs w:val="20"/>
          <w:lang w:bidi="ar-DZ"/>
        </w:rPr>
        <w:t xml:space="preserve"> in current clinical practice. Am Heart J 1998; 135: 510 – 518.</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proofErr w:type="spellStart"/>
      <w:r w:rsidRPr="009C6D1E">
        <w:rPr>
          <w:sz w:val="20"/>
          <w:szCs w:val="20"/>
          <w:lang w:bidi="ar-DZ"/>
        </w:rPr>
        <w:t>Mehran</w:t>
      </w:r>
      <w:proofErr w:type="spellEnd"/>
      <w:r w:rsidRPr="009C6D1E">
        <w:rPr>
          <w:sz w:val="20"/>
          <w:szCs w:val="20"/>
          <w:lang w:bidi="ar-DZ"/>
        </w:rPr>
        <w:t xml:space="preserve"> R, </w:t>
      </w:r>
      <w:proofErr w:type="spellStart"/>
      <w:r w:rsidRPr="009C6D1E">
        <w:rPr>
          <w:sz w:val="20"/>
          <w:szCs w:val="20"/>
          <w:lang w:bidi="ar-DZ"/>
        </w:rPr>
        <w:t>Dangas</w:t>
      </w:r>
      <w:proofErr w:type="spellEnd"/>
      <w:r w:rsidRPr="009C6D1E">
        <w:rPr>
          <w:sz w:val="20"/>
          <w:szCs w:val="20"/>
          <w:lang w:bidi="ar-DZ"/>
        </w:rPr>
        <w:t xml:space="preserve"> G, </w:t>
      </w:r>
      <w:proofErr w:type="spellStart"/>
      <w:r w:rsidRPr="009C6D1E">
        <w:rPr>
          <w:sz w:val="20"/>
          <w:szCs w:val="20"/>
          <w:lang w:bidi="ar-DZ"/>
        </w:rPr>
        <w:t>Abizaid</w:t>
      </w:r>
      <w:proofErr w:type="spellEnd"/>
      <w:r w:rsidRPr="009C6D1E">
        <w:rPr>
          <w:sz w:val="20"/>
          <w:szCs w:val="20"/>
          <w:lang w:bidi="ar-DZ"/>
        </w:rPr>
        <w:t xml:space="preserve"> AS, </w:t>
      </w:r>
      <w:proofErr w:type="spellStart"/>
      <w:r w:rsidRPr="009C6D1E">
        <w:rPr>
          <w:sz w:val="20"/>
          <w:szCs w:val="20"/>
          <w:lang w:bidi="ar-DZ"/>
        </w:rPr>
        <w:t>Mintz</w:t>
      </w:r>
      <w:proofErr w:type="spellEnd"/>
      <w:r w:rsidRPr="009C6D1E">
        <w:rPr>
          <w:sz w:val="20"/>
          <w:szCs w:val="20"/>
          <w:lang w:bidi="ar-DZ"/>
        </w:rPr>
        <w:t xml:space="preserve"> GS, Lansky AJ, </w:t>
      </w:r>
      <w:proofErr w:type="spellStart"/>
      <w:r w:rsidRPr="009C6D1E">
        <w:rPr>
          <w:sz w:val="20"/>
          <w:szCs w:val="20"/>
          <w:lang w:bidi="ar-DZ"/>
        </w:rPr>
        <w:t>Satler</w:t>
      </w:r>
      <w:proofErr w:type="spellEnd"/>
      <w:r w:rsidRPr="009C6D1E">
        <w:rPr>
          <w:sz w:val="20"/>
          <w:szCs w:val="20"/>
          <w:lang w:bidi="ar-DZ"/>
        </w:rPr>
        <w:t xml:space="preserve"> LF, </w:t>
      </w:r>
      <w:r w:rsidR="00440137" w:rsidRPr="009C6D1E">
        <w:rPr>
          <w:i/>
          <w:iCs/>
          <w:sz w:val="20"/>
          <w:szCs w:val="20"/>
          <w:lang w:val="en-GB" w:bidi="ar-EG"/>
        </w:rPr>
        <w:t>et al.</w:t>
      </w:r>
      <w:r w:rsidR="00440137" w:rsidRPr="009C6D1E">
        <w:rPr>
          <w:sz w:val="20"/>
          <w:szCs w:val="20"/>
          <w:lang w:val="en-GB" w:bidi="ar-EG"/>
        </w:rPr>
        <w:t xml:space="preserve"> </w:t>
      </w:r>
      <w:r w:rsidRPr="009C6D1E">
        <w:rPr>
          <w:sz w:val="20"/>
          <w:szCs w:val="20"/>
          <w:lang w:bidi="ar-DZ"/>
        </w:rPr>
        <w:t xml:space="preserve">Angiographic patterns of in-stent </w:t>
      </w:r>
      <w:proofErr w:type="spellStart"/>
      <w:r w:rsidRPr="009C6D1E">
        <w:rPr>
          <w:sz w:val="20"/>
          <w:szCs w:val="20"/>
          <w:lang w:bidi="ar-DZ"/>
        </w:rPr>
        <w:t>restenosis</w:t>
      </w:r>
      <w:proofErr w:type="spellEnd"/>
      <w:r w:rsidRPr="009C6D1E">
        <w:rPr>
          <w:sz w:val="20"/>
          <w:szCs w:val="20"/>
          <w:lang w:bidi="ar-DZ"/>
        </w:rPr>
        <w:t>:  classification and implications for long-term outcome. Circulation 1999; 100: 1872–1878.</w:t>
      </w:r>
    </w:p>
    <w:p w:rsidR="00176F1E" w:rsidRPr="009C6D1E" w:rsidRDefault="006F298F"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r>
        <w:rPr>
          <w:sz w:val="20"/>
          <w:szCs w:val="20"/>
          <w:lang w:bidi="ar-DZ"/>
        </w:rPr>
        <w:t>Makoto Watanabe</w:t>
      </w:r>
      <w:r w:rsidR="00176F1E" w:rsidRPr="009C6D1E">
        <w:rPr>
          <w:sz w:val="20"/>
          <w:szCs w:val="20"/>
          <w:lang w:bidi="ar-DZ"/>
        </w:rPr>
        <w:t xml:space="preserve">; </w:t>
      </w:r>
      <w:proofErr w:type="spellStart"/>
      <w:r w:rsidR="00176F1E" w:rsidRPr="009C6D1E">
        <w:rPr>
          <w:sz w:val="20"/>
          <w:szCs w:val="20"/>
          <w:lang w:bidi="ar-DZ"/>
        </w:rPr>
        <w:t>Shiro</w:t>
      </w:r>
      <w:proofErr w:type="spellEnd"/>
      <w:r w:rsidR="00176F1E" w:rsidRPr="009C6D1E">
        <w:rPr>
          <w:sz w:val="20"/>
          <w:szCs w:val="20"/>
          <w:lang w:bidi="ar-DZ"/>
        </w:rPr>
        <w:t xml:space="preserve"> </w:t>
      </w:r>
      <w:proofErr w:type="spellStart"/>
      <w:r w:rsidR="00176F1E" w:rsidRPr="009C6D1E">
        <w:rPr>
          <w:sz w:val="20"/>
          <w:szCs w:val="20"/>
          <w:lang w:bidi="ar-DZ"/>
        </w:rPr>
        <w:t>Uemura</w:t>
      </w:r>
      <w:proofErr w:type="spellEnd"/>
      <w:r w:rsidR="00176F1E" w:rsidRPr="009C6D1E">
        <w:rPr>
          <w:sz w:val="20"/>
          <w:szCs w:val="20"/>
          <w:lang w:bidi="ar-DZ"/>
        </w:rPr>
        <w:t xml:space="preserve">,; Hajime </w:t>
      </w:r>
      <w:proofErr w:type="spellStart"/>
      <w:r w:rsidR="00176F1E" w:rsidRPr="009C6D1E">
        <w:rPr>
          <w:sz w:val="20"/>
          <w:szCs w:val="20"/>
          <w:lang w:bidi="ar-DZ"/>
        </w:rPr>
        <w:t>Iwama</w:t>
      </w:r>
      <w:proofErr w:type="spellEnd"/>
      <w:r w:rsidR="00176F1E" w:rsidRPr="009C6D1E">
        <w:rPr>
          <w:sz w:val="20"/>
          <w:szCs w:val="20"/>
          <w:lang w:bidi="ar-DZ"/>
        </w:rPr>
        <w:t xml:space="preserve">,. Usefulness of 16-Slice </w:t>
      </w:r>
      <w:proofErr w:type="spellStart"/>
      <w:r w:rsidR="00176F1E" w:rsidRPr="009C6D1E">
        <w:rPr>
          <w:sz w:val="20"/>
          <w:szCs w:val="20"/>
          <w:lang w:bidi="ar-DZ"/>
        </w:rPr>
        <w:t>Multislice</w:t>
      </w:r>
      <w:proofErr w:type="spellEnd"/>
      <w:r w:rsidR="00176F1E" w:rsidRPr="009C6D1E">
        <w:rPr>
          <w:sz w:val="20"/>
          <w:szCs w:val="20"/>
          <w:lang w:bidi="ar-DZ"/>
        </w:rPr>
        <w:t xml:space="preserve"> Spiral Computed Tomography for Follow-up Study of Coronary Stent Implantation. Circ J 2006; 70: 691 –697</w:t>
      </w:r>
      <w:r>
        <w:rPr>
          <w:sz w:val="20"/>
          <w:szCs w:val="20"/>
          <w:lang w:bidi="ar-DZ"/>
        </w:rPr>
        <w:t>.</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proofErr w:type="spellStart"/>
      <w:r w:rsidRPr="009C6D1E">
        <w:rPr>
          <w:sz w:val="20"/>
          <w:szCs w:val="20"/>
          <w:lang w:bidi="ar-DZ"/>
        </w:rPr>
        <w:t>Nieman</w:t>
      </w:r>
      <w:proofErr w:type="spellEnd"/>
      <w:r w:rsidRPr="009C6D1E">
        <w:rPr>
          <w:sz w:val="20"/>
          <w:szCs w:val="20"/>
          <w:lang w:bidi="ar-DZ"/>
        </w:rPr>
        <w:t xml:space="preserve"> K, </w:t>
      </w:r>
      <w:proofErr w:type="spellStart"/>
      <w:r w:rsidRPr="009C6D1E">
        <w:rPr>
          <w:sz w:val="20"/>
          <w:szCs w:val="20"/>
          <w:lang w:bidi="ar-DZ"/>
        </w:rPr>
        <w:t>Cademartiri</w:t>
      </w:r>
      <w:proofErr w:type="spellEnd"/>
      <w:r w:rsidRPr="009C6D1E">
        <w:rPr>
          <w:sz w:val="20"/>
          <w:szCs w:val="20"/>
          <w:lang w:bidi="ar-DZ"/>
        </w:rPr>
        <w:t xml:space="preserve"> F, </w:t>
      </w:r>
      <w:proofErr w:type="spellStart"/>
      <w:r w:rsidRPr="009C6D1E">
        <w:rPr>
          <w:sz w:val="20"/>
          <w:szCs w:val="20"/>
          <w:lang w:bidi="ar-DZ"/>
        </w:rPr>
        <w:t>Lemos</w:t>
      </w:r>
      <w:proofErr w:type="spellEnd"/>
      <w:r w:rsidRPr="009C6D1E">
        <w:rPr>
          <w:sz w:val="20"/>
          <w:szCs w:val="20"/>
          <w:lang w:bidi="ar-DZ"/>
        </w:rPr>
        <w:t xml:space="preserve"> P, </w:t>
      </w:r>
      <w:r w:rsidR="00440137" w:rsidRPr="009C6D1E">
        <w:rPr>
          <w:i/>
          <w:iCs/>
          <w:sz w:val="20"/>
          <w:szCs w:val="20"/>
          <w:lang w:val="en-GB" w:bidi="ar-EG"/>
        </w:rPr>
        <w:t>et al.</w:t>
      </w:r>
      <w:r w:rsidR="00440137" w:rsidRPr="009C6D1E">
        <w:rPr>
          <w:sz w:val="20"/>
          <w:szCs w:val="20"/>
          <w:lang w:val="en-GB" w:bidi="ar-EG"/>
        </w:rPr>
        <w:t xml:space="preserve"> </w:t>
      </w:r>
      <w:r w:rsidRPr="009C6D1E">
        <w:rPr>
          <w:sz w:val="20"/>
          <w:szCs w:val="20"/>
          <w:lang w:bidi="ar-DZ"/>
        </w:rPr>
        <w:t xml:space="preserve">Reliable non invasive coronary angiography with fast </w:t>
      </w:r>
      <w:proofErr w:type="spellStart"/>
      <w:r w:rsidRPr="009C6D1E">
        <w:rPr>
          <w:sz w:val="20"/>
          <w:szCs w:val="20"/>
          <w:lang w:bidi="ar-DZ"/>
        </w:rPr>
        <w:t>submillimeter</w:t>
      </w:r>
      <w:proofErr w:type="spellEnd"/>
      <w:r w:rsidRPr="009C6D1E">
        <w:rPr>
          <w:sz w:val="20"/>
          <w:szCs w:val="20"/>
          <w:lang w:bidi="ar-DZ"/>
        </w:rPr>
        <w:t xml:space="preserve"> </w:t>
      </w:r>
      <w:proofErr w:type="spellStart"/>
      <w:r w:rsidRPr="009C6D1E">
        <w:rPr>
          <w:sz w:val="20"/>
          <w:szCs w:val="20"/>
          <w:lang w:bidi="ar-DZ"/>
        </w:rPr>
        <w:t>multislice</w:t>
      </w:r>
      <w:proofErr w:type="spellEnd"/>
      <w:r w:rsidRPr="009C6D1E">
        <w:rPr>
          <w:sz w:val="20"/>
          <w:szCs w:val="20"/>
          <w:lang w:bidi="ar-DZ"/>
        </w:rPr>
        <w:t xml:space="preserve"> spiral computed tomography. Circulation 2002; 106: 2051-2054.</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proofErr w:type="spellStart"/>
      <w:r w:rsidRPr="009C6D1E">
        <w:rPr>
          <w:sz w:val="20"/>
          <w:szCs w:val="20"/>
          <w:lang w:bidi="ar-DZ"/>
        </w:rPr>
        <w:t>Schuijf</w:t>
      </w:r>
      <w:proofErr w:type="spellEnd"/>
      <w:r w:rsidRPr="009C6D1E">
        <w:rPr>
          <w:sz w:val="20"/>
          <w:szCs w:val="20"/>
          <w:lang w:bidi="ar-DZ"/>
        </w:rPr>
        <w:t xml:space="preserve"> JD, </w:t>
      </w:r>
      <w:proofErr w:type="spellStart"/>
      <w:r w:rsidRPr="009C6D1E">
        <w:rPr>
          <w:sz w:val="20"/>
          <w:szCs w:val="20"/>
          <w:lang w:bidi="ar-DZ"/>
        </w:rPr>
        <w:t>Bax</w:t>
      </w:r>
      <w:proofErr w:type="spellEnd"/>
      <w:r w:rsidRPr="009C6D1E">
        <w:rPr>
          <w:sz w:val="20"/>
          <w:szCs w:val="20"/>
          <w:lang w:bidi="ar-DZ"/>
        </w:rPr>
        <w:t xml:space="preserve"> JJ, </w:t>
      </w:r>
      <w:proofErr w:type="spellStart"/>
      <w:r w:rsidRPr="009C6D1E">
        <w:rPr>
          <w:sz w:val="20"/>
          <w:szCs w:val="20"/>
          <w:lang w:bidi="ar-DZ"/>
        </w:rPr>
        <w:t>Jukema</w:t>
      </w:r>
      <w:proofErr w:type="spellEnd"/>
      <w:r w:rsidRPr="009C6D1E">
        <w:rPr>
          <w:sz w:val="20"/>
          <w:szCs w:val="20"/>
          <w:lang w:bidi="ar-DZ"/>
        </w:rPr>
        <w:t xml:space="preserve"> JW, Lamb HJ, </w:t>
      </w:r>
      <w:proofErr w:type="spellStart"/>
      <w:r w:rsidRPr="009C6D1E">
        <w:rPr>
          <w:sz w:val="20"/>
          <w:szCs w:val="20"/>
          <w:lang w:bidi="ar-DZ"/>
        </w:rPr>
        <w:t>Warda</w:t>
      </w:r>
      <w:proofErr w:type="spellEnd"/>
      <w:r w:rsidRPr="009C6D1E">
        <w:rPr>
          <w:sz w:val="20"/>
          <w:szCs w:val="20"/>
          <w:lang w:bidi="ar-DZ"/>
        </w:rPr>
        <w:t xml:space="preserve"> HM, </w:t>
      </w:r>
      <w:proofErr w:type="spellStart"/>
      <w:r w:rsidRPr="009C6D1E">
        <w:rPr>
          <w:sz w:val="20"/>
          <w:szCs w:val="20"/>
          <w:lang w:bidi="ar-DZ"/>
        </w:rPr>
        <w:t>Vliegen</w:t>
      </w:r>
      <w:proofErr w:type="spellEnd"/>
      <w:r w:rsidRPr="009C6D1E">
        <w:rPr>
          <w:sz w:val="20"/>
          <w:szCs w:val="20"/>
          <w:lang w:bidi="ar-DZ"/>
        </w:rPr>
        <w:t xml:space="preserve"> HW, </w:t>
      </w:r>
      <w:r w:rsidR="00440137" w:rsidRPr="009C6D1E">
        <w:rPr>
          <w:i/>
          <w:iCs/>
          <w:sz w:val="20"/>
          <w:szCs w:val="20"/>
          <w:lang w:val="en-GB" w:bidi="ar-EG"/>
        </w:rPr>
        <w:t>et al.</w:t>
      </w:r>
      <w:r w:rsidRPr="009C6D1E">
        <w:rPr>
          <w:sz w:val="20"/>
          <w:szCs w:val="20"/>
          <w:lang w:bidi="ar-DZ"/>
        </w:rPr>
        <w:t xml:space="preserve">: Feasibility of assessment of coronary stent patency using 16-slice computed tomography. Am J </w:t>
      </w:r>
      <w:proofErr w:type="spellStart"/>
      <w:r w:rsidRPr="009C6D1E">
        <w:rPr>
          <w:sz w:val="20"/>
          <w:szCs w:val="20"/>
          <w:lang w:bidi="ar-DZ"/>
        </w:rPr>
        <w:t>Cardiol</w:t>
      </w:r>
      <w:proofErr w:type="spellEnd"/>
      <w:r w:rsidRPr="009C6D1E">
        <w:rPr>
          <w:sz w:val="20"/>
          <w:szCs w:val="20"/>
          <w:lang w:bidi="ar-DZ"/>
        </w:rPr>
        <w:t xml:space="preserve"> 2004; 94: 427– 430.</w:t>
      </w:r>
    </w:p>
    <w:p w:rsidR="00176F1E" w:rsidRPr="009C6D1E" w:rsidRDefault="00FE4FF3"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hyperlink r:id="rId16" w:history="1">
        <w:proofErr w:type="spellStart"/>
        <w:r w:rsidR="00176F1E" w:rsidRPr="009C6D1E">
          <w:rPr>
            <w:sz w:val="20"/>
            <w:szCs w:val="20"/>
            <w:lang w:bidi="ar-DZ"/>
          </w:rPr>
          <w:t>Oncel</w:t>
        </w:r>
        <w:proofErr w:type="spellEnd"/>
        <w:r w:rsidR="00176F1E" w:rsidRPr="009C6D1E">
          <w:rPr>
            <w:sz w:val="20"/>
            <w:szCs w:val="20"/>
            <w:lang w:bidi="ar-DZ"/>
          </w:rPr>
          <w:t xml:space="preserve"> D</w:t>
        </w:r>
      </w:hyperlink>
      <w:r w:rsidR="00176F1E" w:rsidRPr="009C6D1E">
        <w:rPr>
          <w:sz w:val="20"/>
          <w:szCs w:val="20"/>
          <w:lang w:bidi="ar-DZ"/>
        </w:rPr>
        <w:t xml:space="preserve">, </w:t>
      </w:r>
      <w:hyperlink r:id="rId17" w:history="1">
        <w:proofErr w:type="spellStart"/>
        <w:r w:rsidR="00176F1E" w:rsidRPr="009C6D1E">
          <w:rPr>
            <w:sz w:val="20"/>
            <w:szCs w:val="20"/>
            <w:lang w:bidi="ar-DZ"/>
          </w:rPr>
          <w:t>Oncel</w:t>
        </w:r>
        <w:proofErr w:type="spellEnd"/>
        <w:r w:rsidR="00176F1E" w:rsidRPr="009C6D1E">
          <w:rPr>
            <w:sz w:val="20"/>
            <w:szCs w:val="20"/>
            <w:lang w:bidi="ar-DZ"/>
          </w:rPr>
          <w:t xml:space="preserve"> G</w:t>
        </w:r>
      </w:hyperlink>
      <w:r w:rsidR="00176F1E" w:rsidRPr="009C6D1E">
        <w:rPr>
          <w:sz w:val="20"/>
          <w:szCs w:val="20"/>
          <w:lang w:bidi="ar-DZ"/>
        </w:rPr>
        <w:t xml:space="preserve">, </w:t>
      </w:r>
      <w:hyperlink r:id="rId18" w:history="1">
        <w:proofErr w:type="spellStart"/>
        <w:r w:rsidR="00176F1E" w:rsidRPr="009C6D1E">
          <w:rPr>
            <w:sz w:val="20"/>
            <w:szCs w:val="20"/>
            <w:lang w:bidi="ar-DZ"/>
          </w:rPr>
          <w:t>Karaca</w:t>
        </w:r>
        <w:proofErr w:type="spellEnd"/>
        <w:r w:rsidR="00176F1E" w:rsidRPr="009C6D1E">
          <w:rPr>
            <w:sz w:val="20"/>
            <w:szCs w:val="20"/>
            <w:lang w:bidi="ar-DZ"/>
          </w:rPr>
          <w:t xml:space="preserve"> M</w:t>
        </w:r>
      </w:hyperlink>
      <w:r w:rsidR="00176F1E" w:rsidRPr="009C6D1E">
        <w:rPr>
          <w:sz w:val="20"/>
          <w:szCs w:val="20"/>
          <w:lang w:bidi="ar-DZ"/>
        </w:rPr>
        <w:t xml:space="preserve">.: Coronary stent patency and in-stent </w:t>
      </w:r>
      <w:proofErr w:type="spellStart"/>
      <w:r w:rsidR="00176F1E" w:rsidRPr="009C6D1E">
        <w:rPr>
          <w:sz w:val="20"/>
          <w:szCs w:val="20"/>
          <w:lang w:bidi="ar-DZ"/>
        </w:rPr>
        <w:t>restenosis</w:t>
      </w:r>
      <w:proofErr w:type="spellEnd"/>
      <w:r w:rsidR="00176F1E" w:rsidRPr="009C6D1E">
        <w:rPr>
          <w:sz w:val="20"/>
          <w:szCs w:val="20"/>
          <w:lang w:bidi="ar-DZ"/>
        </w:rPr>
        <w:t xml:space="preserve"> determination with 64-section </w:t>
      </w:r>
      <w:proofErr w:type="spellStart"/>
      <w:r w:rsidR="00176F1E" w:rsidRPr="009C6D1E">
        <w:rPr>
          <w:sz w:val="20"/>
          <w:szCs w:val="20"/>
          <w:lang w:bidi="ar-DZ"/>
        </w:rPr>
        <w:t>multidetector</w:t>
      </w:r>
      <w:proofErr w:type="spellEnd"/>
      <w:r w:rsidR="00176F1E" w:rsidRPr="009C6D1E">
        <w:rPr>
          <w:sz w:val="20"/>
          <w:szCs w:val="20"/>
          <w:lang w:bidi="ar-DZ"/>
        </w:rPr>
        <w:t xml:space="preserve"> CT coronary angiography--initial experience. </w:t>
      </w:r>
      <w:hyperlink r:id="rId19" w:history="1">
        <w:r w:rsidR="00176F1E" w:rsidRPr="009C6D1E">
          <w:rPr>
            <w:sz w:val="20"/>
            <w:szCs w:val="20"/>
            <w:lang w:bidi="ar-DZ"/>
          </w:rPr>
          <w:t>Radiology.</w:t>
        </w:r>
      </w:hyperlink>
      <w:r w:rsidR="00176F1E" w:rsidRPr="009C6D1E">
        <w:rPr>
          <w:sz w:val="20"/>
          <w:szCs w:val="20"/>
          <w:lang w:bidi="ar-DZ"/>
        </w:rPr>
        <w:t xml:space="preserve"> 2007 Feb; 242(2):403-9.</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r w:rsidRPr="009C6D1E">
        <w:rPr>
          <w:sz w:val="20"/>
          <w:szCs w:val="20"/>
          <w:lang w:bidi="ar-DZ"/>
        </w:rPr>
        <w:t xml:space="preserve">Stephan Achenbach, MD, FESC, FACC.: Computed tomography coronary angiography. J Am </w:t>
      </w:r>
      <w:proofErr w:type="spellStart"/>
      <w:r w:rsidRPr="009C6D1E">
        <w:rPr>
          <w:sz w:val="20"/>
          <w:szCs w:val="20"/>
          <w:lang w:bidi="ar-DZ"/>
        </w:rPr>
        <w:t>Coll</w:t>
      </w:r>
      <w:proofErr w:type="spellEnd"/>
      <w:r w:rsidRPr="009C6D1E">
        <w:rPr>
          <w:sz w:val="20"/>
          <w:szCs w:val="20"/>
          <w:lang w:bidi="ar-DZ"/>
        </w:rPr>
        <w:t xml:space="preserve"> </w:t>
      </w:r>
      <w:proofErr w:type="spellStart"/>
      <w:r w:rsidRPr="009C6D1E">
        <w:rPr>
          <w:sz w:val="20"/>
          <w:szCs w:val="20"/>
          <w:lang w:bidi="ar-DZ"/>
        </w:rPr>
        <w:t>Cardiol</w:t>
      </w:r>
      <w:proofErr w:type="spellEnd"/>
      <w:r w:rsidRPr="009C6D1E">
        <w:rPr>
          <w:sz w:val="20"/>
          <w:szCs w:val="20"/>
          <w:lang w:bidi="ar-DZ"/>
        </w:rPr>
        <w:t>, 2006; 48:1919-1928.</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r w:rsidRPr="009C6D1E">
        <w:rPr>
          <w:sz w:val="20"/>
          <w:szCs w:val="20"/>
          <w:lang w:bidi="ar-DZ"/>
        </w:rPr>
        <w:t xml:space="preserve">Kondo C, Mori S, Endo M, </w:t>
      </w:r>
      <w:r w:rsidR="00440137" w:rsidRPr="009C6D1E">
        <w:rPr>
          <w:i/>
          <w:iCs/>
          <w:sz w:val="20"/>
          <w:szCs w:val="20"/>
          <w:lang w:val="en-GB" w:bidi="ar-EG"/>
        </w:rPr>
        <w:t>et al.</w:t>
      </w:r>
      <w:r w:rsidRPr="009C6D1E">
        <w:rPr>
          <w:sz w:val="20"/>
          <w:szCs w:val="20"/>
          <w:lang w:bidi="ar-DZ"/>
        </w:rPr>
        <w:t xml:space="preserve">: Real-time volumetric imaging of human heart without electrocardiographic gating by 256-detector row computed tomography: initial experience. J </w:t>
      </w:r>
      <w:proofErr w:type="spellStart"/>
      <w:r w:rsidRPr="009C6D1E">
        <w:rPr>
          <w:sz w:val="20"/>
          <w:szCs w:val="20"/>
          <w:lang w:bidi="ar-DZ"/>
        </w:rPr>
        <w:t>Comput</w:t>
      </w:r>
      <w:proofErr w:type="spellEnd"/>
      <w:r w:rsidRPr="009C6D1E">
        <w:rPr>
          <w:sz w:val="20"/>
          <w:szCs w:val="20"/>
          <w:lang w:bidi="ar-DZ"/>
        </w:rPr>
        <w:t xml:space="preserve"> Assist </w:t>
      </w:r>
      <w:proofErr w:type="spellStart"/>
      <w:r w:rsidRPr="009C6D1E">
        <w:rPr>
          <w:sz w:val="20"/>
          <w:szCs w:val="20"/>
          <w:lang w:bidi="ar-DZ"/>
        </w:rPr>
        <w:t>Tomogr</w:t>
      </w:r>
      <w:proofErr w:type="spellEnd"/>
      <w:r w:rsidRPr="009C6D1E">
        <w:rPr>
          <w:sz w:val="20"/>
          <w:szCs w:val="20"/>
          <w:lang w:bidi="ar-DZ"/>
        </w:rPr>
        <w:t xml:space="preserve"> 2005; 29:694-698.</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r w:rsidRPr="009C6D1E">
        <w:rPr>
          <w:sz w:val="20"/>
          <w:szCs w:val="20"/>
          <w:lang w:bidi="ar-DZ"/>
        </w:rPr>
        <w:t xml:space="preserve">Mori S, Kondo C, Suzuki N, Hattori A, </w:t>
      </w:r>
      <w:proofErr w:type="spellStart"/>
      <w:r w:rsidRPr="009C6D1E">
        <w:rPr>
          <w:sz w:val="20"/>
          <w:szCs w:val="20"/>
          <w:lang w:bidi="ar-DZ"/>
        </w:rPr>
        <w:t>Kusakabe</w:t>
      </w:r>
      <w:proofErr w:type="spellEnd"/>
      <w:r w:rsidRPr="009C6D1E">
        <w:rPr>
          <w:sz w:val="20"/>
          <w:szCs w:val="20"/>
          <w:lang w:bidi="ar-DZ"/>
        </w:rPr>
        <w:t xml:space="preserve"> M, Endo M. Volumetric coronary angiography using the 256-detector row computed tomography scanner: comparison </w:t>
      </w:r>
      <w:r w:rsidRPr="009C6D1E">
        <w:rPr>
          <w:i/>
          <w:iCs/>
          <w:sz w:val="20"/>
          <w:szCs w:val="20"/>
          <w:lang w:bidi="ar-DZ"/>
        </w:rPr>
        <w:t>in vivo</w:t>
      </w:r>
      <w:r w:rsidRPr="009C6D1E">
        <w:rPr>
          <w:sz w:val="20"/>
          <w:szCs w:val="20"/>
          <w:lang w:bidi="ar-DZ"/>
        </w:rPr>
        <w:t xml:space="preserve"> and </w:t>
      </w:r>
      <w:r w:rsidRPr="009C6D1E">
        <w:rPr>
          <w:i/>
          <w:iCs/>
          <w:sz w:val="20"/>
          <w:szCs w:val="20"/>
          <w:lang w:bidi="ar-DZ"/>
        </w:rPr>
        <w:t>in vitro</w:t>
      </w:r>
      <w:r w:rsidRPr="009C6D1E">
        <w:rPr>
          <w:sz w:val="20"/>
          <w:szCs w:val="20"/>
          <w:lang w:bidi="ar-DZ"/>
        </w:rPr>
        <w:t xml:space="preserve"> with porcine models. </w:t>
      </w:r>
      <w:proofErr w:type="spellStart"/>
      <w:r w:rsidRPr="009C6D1E">
        <w:rPr>
          <w:sz w:val="20"/>
          <w:szCs w:val="20"/>
          <w:lang w:bidi="ar-DZ"/>
        </w:rPr>
        <w:t>Acta</w:t>
      </w:r>
      <w:proofErr w:type="spellEnd"/>
      <w:r w:rsidRPr="009C6D1E">
        <w:rPr>
          <w:sz w:val="20"/>
          <w:szCs w:val="20"/>
          <w:lang w:bidi="ar-DZ"/>
        </w:rPr>
        <w:t xml:space="preserve"> </w:t>
      </w:r>
      <w:proofErr w:type="spellStart"/>
      <w:r w:rsidRPr="009C6D1E">
        <w:rPr>
          <w:sz w:val="20"/>
          <w:szCs w:val="20"/>
          <w:lang w:bidi="ar-DZ"/>
        </w:rPr>
        <w:t>Radiol</w:t>
      </w:r>
      <w:proofErr w:type="spellEnd"/>
      <w:r w:rsidRPr="009C6D1E">
        <w:rPr>
          <w:sz w:val="20"/>
          <w:szCs w:val="20"/>
          <w:lang w:bidi="ar-DZ"/>
        </w:rPr>
        <w:t xml:space="preserve"> 2006;47:186-191</w:t>
      </w:r>
      <w:r w:rsidR="006F298F">
        <w:rPr>
          <w:sz w:val="20"/>
          <w:szCs w:val="20"/>
          <w:lang w:bidi="ar-DZ"/>
        </w:rPr>
        <w:t>.</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proofErr w:type="spellStart"/>
      <w:r w:rsidRPr="009C6D1E">
        <w:rPr>
          <w:sz w:val="20"/>
          <w:szCs w:val="20"/>
          <w:lang w:bidi="ar-DZ"/>
        </w:rPr>
        <w:t>Mollet</w:t>
      </w:r>
      <w:proofErr w:type="spellEnd"/>
      <w:r w:rsidRPr="009C6D1E">
        <w:rPr>
          <w:sz w:val="20"/>
          <w:szCs w:val="20"/>
          <w:lang w:bidi="ar-DZ"/>
        </w:rPr>
        <w:t xml:space="preserve"> NR, </w:t>
      </w:r>
      <w:proofErr w:type="spellStart"/>
      <w:r w:rsidRPr="009C6D1E">
        <w:rPr>
          <w:sz w:val="20"/>
          <w:szCs w:val="20"/>
          <w:lang w:bidi="ar-DZ"/>
        </w:rPr>
        <w:t>Cademartiri</w:t>
      </w:r>
      <w:proofErr w:type="spellEnd"/>
      <w:r w:rsidRPr="009C6D1E">
        <w:rPr>
          <w:sz w:val="20"/>
          <w:szCs w:val="20"/>
          <w:lang w:bidi="ar-DZ"/>
        </w:rPr>
        <w:t xml:space="preserve"> F, van </w:t>
      </w:r>
      <w:proofErr w:type="spellStart"/>
      <w:r w:rsidRPr="009C6D1E">
        <w:rPr>
          <w:sz w:val="20"/>
          <w:szCs w:val="20"/>
          <w:lang w:bidi="ar-DZ"/>
        </w:rPr>
        <w:t>Mieghem</w:t>
      </w:r>
      <w:proofErr w:type="spellEnd"/>
      <w:r w:rsidRPr="009C6D1E">
        <w:rPr>
          <w:sz w:val="20"/>
          <w:szCs w:val="20"/>
          <w:lang w:bidi="ar-DZ"/>
        </w:rPr>
        <w:t xml:space="preserve"> CA, </w:t>
      </w:r>
      <w:r w:rsidR="00440137" w:rsidRPr="009C6D1E">
        <w:rPr>
          <w:i/>
          <w:iCs/>
          <w:sz w:val="20"/>
          <w:szCs w:val="20"/>
          <w:lang w:val="en-GB" w:bidi="ar-EG"/>
        </w:rPr>
        <w:t>et al.</w:t>
      </w:r>
      <w:r w:rsidR="00440137" w:rsidRPr="009C6D1E">
        <w:rPr>
          <w:sz w:val="20"/>
          <w:szCs w:val="20"/>
          <w:lang w:val="en-GB" w:bidi="ar-EG"/>
        </w:rPr>
        <w:t xml:space="preserve"> </w:t>
      </w:r>
      <w:r w:rsidRPr="009C6D1E">
        <w:rPr>
          <w:sz w:val="20"/>
          <w:szCs w:val="20"/>
          <w:lang w:bidi="ar-DZ"/>
        </w:rPr>
        <w:t>High-resolution spiral computed tomography coronary angiography in patients referred for diagnostic conventional coronary angiography. Circulation 2005; 112:2318-2323.</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r w:rsidRPr="009C6D1E">
        <w:rPr>
          <w:sz w:val="20"/>
          <w:szCs w:val="20"/>
          <w:lang w:bidi="ar-DZ"/>
        </w:rPr>
        <w:t xml:space="preserve">Achenbach S, Ropers D, Baum U, </w:t>
      </w:r>
      <w:r w:rsidR="00440137" w:rsidRPr="009C6D1E">
        <w:rPr>
          <w:i/>
          <w:iCs/>
          <w:sz w:val="20"/>
          <w:szCs w:val="20"/>
          <w:lang w:val="en-GB" w:bidi="ar-EG"/>
        </w:rPr>
        <w:t>et al.</w:t>
      </w:r>
      <w:r w:rsidR="00440137" w:rsidRPr="009C6D1E">
        <w:rPr>
          <w:sz w:val="20"/>
          <w:szCs w:val="20"/>
          <w:lang w:val="en-GB" w:bidi="ar-EG"/>
        </w:rPr>
        <w:t xml:space="preserve"> </w:t>
      </w:r>
      <w:r w:rsidRPr="009C6D1E">
        <w:rPr>
          <w:sz w:val="20"/>
          <w:szCs w:val="20"/>
          <w:lang w:bidi="ar-DZ"/>
        </w:rPr>
        <w:t xml:space="preserve">Assessment of coronary artery stent </w:t>
      </w:r>
      <w:proofErr w:type="spellStart"/>
      <w:r w:rsidRPr="009C6D1E">
        <w:rPr>
          <w:sz w:val="20"/>
          <w:szCs w:val="20"/>
          <w:lang w:bidi="ar-DZ"/>
        </w:rPr>
        <w:t>restenosis</w:t>
      </w:r>
      <w:proofErr w:type="spellEnd"/>
      <w:r w:rsidRPr="009C6D1E">
        <w:rPr>
          <w:sz w:val="20"/>
          <w:szCs w:val="20"/>
          <w:lang w:bidi="ar-DZ"/>
        </w:rPr>
        <w:t xml:space="preserve"> by 64-slice multi-detector computed tomography. </w:t>
      </w:r>
      <w:proofErr w:type="spellStart"/>
      <w:r w:rsidRPr="009C6D1E">
        <w:rPr>
          <w:sz w:val="20"/>
          <w:szCs w:val="20"/>
          <w:lang w:bidi="ar-DZ"/>
        </w:rPr>
        <w:t>Eur</w:t>
      </w:r>
      <w:proofErr w:type="spellEnd"/>
      <w:r w:rsidRPr="009C6D1E">
        <w:rPr>
          <w:sz w:val="20"/>
          <w:szCs w:val="20"/>
          <w:lang w:bidi="ar-DZ"/>
        </w:rPr>
        <w:t xml:space="preserve"> Heart J. 2006; 27:2567-2572.</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r w:rsidRPr="009C6D1E">
        <w:rPr>
          <w:sz w:val="20"/>
          <w:szCs w:val="20"/>
          <w:lang w:bidi="ar-DZ"/>
        </w:rPr>
        <w:t xml:space="preserve">Joanne D. </w:t>
      </w:r>
      <w:proofErr w:type="spellStart"/>
      <w:r w:rsidRPr="009C6D1E">
        <w:rPr>
          <w:sz w:val="20"/>
          <w:szCs w:val="20"/>
          <w:lang w:bidi="ar-DZ"/>
        </w:rPr>
        <w:t>Schuijf</w:t>
      </w:r>
      <w:proofErr w:type="spellEnd"/>
      <w:r w:rsidRPr="009C6D1E">
        <w:rPr>
          <w:sz w:val="20"/>
          <w:szCs w:val="20"/>
          <w:lang w:bidi="ar-DZ"/>
        </w:rPr>
        <w:t xml:space="preserve">, </w:t>
      </w:r>
      <w:proofErr w:type="spellStart"/>
      <w:r w:rsidRPr="009C6D1E">
        <w:rPr>
          <w:sz w:val="20"/>
          <w:szCs w:val="20"/>
          <w:lang w:bidi="ar-DZ"/>
        </w:rPr>
        <w:t>Gabija</w:t>
      </w:r>
      <w:proofErr w:type="spellEnd"/>
      <w:r w:rsidRPr="009C6D1E">
        <w:rPr>
          <w:sz w:val="20"/>
          <w:szCs w:val="20"/>
          <w:lang w:bidi="ar-DZ"/>
        </w:rPr>
        <w:t xml:space="preserve">, </w:t>
      </w:r>
      <w:r w:rsidR="00440137" w:rsidRPr="009C6D1E">
        <w:rPr>
          <w:i/>
          <w:iCs/>
          <w:sz w:val="20"/>
          <w:szCs w:val="20"/>
          <w:lang w:val="en-GB" w:bidi="ar-EG"/>
        </w:rPr>
        <w:t>et al.</w:t>
      </w:r>
      <w:r w:rsidR="00440137" w:rsidRPr="009C6D1E">
        <w:rPr>
          <w:sz w:val="20"/>
          <w:szCs w:val="20"/>
          <w:lang w:val="en-GB" w:bidi="ar-EG"/>
        </w:rPr>
        <w:t xml:space="preserve"> </w:t>
      </w:r>
      <w:r w:rsidRPr="009C6D1E">
        <w:rPr>
          <w:sz w:val="20"/>
          <w:szCs w:val="20"/>
          <w:lang w:bidi="ar-DZ"/>
        </w:rPr>
        <w:t xml:space="preserve">Evaluation of Patients with Previous Coronary Stent </w:t>
      </w:r>
      <w:r w:rsidRPr="009C6D1E">
        <w:rPr>
          <w:sz w:val="20"/>
          <w:szCs w:val="20"/>
          <w:lang w:bidi="ar-DZ"/>
        </w:rPr>
        <w:lastRenderedPageBreak/>
        <w:t xml:space="preserve">Implantation using 64-slice Multi-Slice Computed Tomography. </w:t>
      </w:r>
      <w:proofErr w:type="spellStart"/>
      <w:r w:rsidRPr="009C6D1E">
        <w:rPr>
          <w:sz w:val="20"/>
          <w:szCs w:val="20"/>
          <w:lang w:bidi="ar-DZ"/>
        </w:rPr>
        <w:t>Radiol</w:t>
      </w:r>
      <w:proofErr w:type="spellEnd"/>
      <w:r w:rsidRPr="009C6D1E">
        <w:rPr>
          <w:sz w:val="20"/>
          <w:szCs w:val="20"/>
          <w:lang w:bidi="ar-DZ"/>
        </w:rPr>
        <w:t>, 2007;37:167-181</w:t>
      </w:r>
      <w:r w:rsidR="006F298F">
        <w:rPr>
          <w:sz w:val="20"/>
          <w:szCs w:val="20"/>
          <w:lang w:bidi="ar-DZ"/>
        </w:rPr>
        <w:t>.</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r w:rsidRPr="009C6D1E">
        <w:rPr>
          <w:sz w:val="20"/>
          <w:szCs w:val="20"/>
          <w:lang w:bidi="ar-DZ"/>
        </w:rPr>
        <w:t xml:space="preserve">Achenbach S, Ropers U, Ropers D, </w:t>
      </w:r>
      <w:proofErr w:type="spellStart"/>
      <w:r w:rsidRPr="009C6D1E">
        <w:rPr>
          <w:sz w:val="20"/>
          <w:szCs w:val="20"/>
          <w:lang w:bidi="ar-DZ"/>
        </w:rPr>
        <w:t>Pflederer</w:t>
      </w:r>
      <w:proofErr w:type="spellEnd"/>
      <w:r w:rsidRPr="009C6D1E">
        <w:rPr>
          <w:sz w:val="20"/>
          <w:szCs w:val="20"/>
          <w:lang w:bidi="ar-DZ"/>
        </w:rPr>
        <w:t xml:space="preserve"> T, Anders K, </w:t>
      </w:r>
      <w:proofErr w:type="spellStart"/>
      <w:r w:rsidRPr="009C6D1E">
        <w:rPr>
          <w:sz w:val="20"/>
          <w:szCs w:val="20"/>
          <w:lang w:bidi="ar-DZ"/>
        </w:rPr>
        <w:t>Kuettner</w:t>
      </w:r>
      <w:proofErr w:type="spellEnd"/>
      <w:r w:rsidRPr="009C6D1E">
        <w:rPr>
          <w:sz w:val="20"/>
          <w:szCs w:val="20"/>
          <w:lang w:bidi="ar-DZ"/>
        </w:rPr>
        <w:t xml:space="preserve"> A (2007) Influence of heart rate on the diagnostic accuracy of dual-source computed tomography coronary angiography. J Am </w:t>
      </w:r>
      <w:proofErr w:type="spellStart"/>
      <w:r w:rsidRPr="009C6D1E">
        <w:rPr>
          <w:sz w:val="20"/>
          <w:szCs w:val="20"/>
          <w:lang w:bidi="ar-DZ"/>
        </w:rPr>
        <w:t>Coll</w:t>
      </w:r>
      <w:proofErr w:type="spellEnd"/>
      <w:r w:rsidRPr="009C6D1E">
        <w:rPr>
          <w:sz w:val="20"/>
          <w:szCs w:val="20"/>
          <w:lang w:bidi="ar-DZ"/>
        </w:rPr>
        <w:t xml:space="preserve"> </w:t>
      </w:r>
      <w:proofErr w:type="spellStart"/>
      <w:r w:rsidRPr="009C6D1E">
        <w:rPr>
          <w:sz w:val="20"/>
          <w:szCs w:val="20"/>
          <w:lang w:bidi="ar-DZ"/>
        </w:rPr>
        <w:t>Cardiol</w:t>
      </w:r>
      <w:proofErr w:type="spellEnd"/>
      <w:r w:rsidRPr="009C6D1E">
        <w:rPr>
          <w:sz w:val="20"/>
          <w:szCs w:val="20"/>
          <w:lang w:bidi="ar-DZ"/>
        </w:rPr>
        <w:t>.  Dec 18; 50:2393-8</w:t>
      </w:r>
      <w:r w:rsidR="006F298F">
        <w:rPr>
          <w:sz w:val="20"/>
          <w:szCs w:val="20"/>
          <w:lang w:bidi="ar-DZ"/>
        </w:rPr>
        <w:t>.</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proofErr w:type="spellStart"/>
      <w:r w:rsidRPr="009C6D1E">
        <w:rPr>
          <w:sz w:val="20"/>
          <w:szCs w:val="20"/>
          <w:lang w:bidi="ar-DZ"/>
        </w:rPr>
        <w:t>Oncel</w:t>
      </w:r>
      <w:proofErr w:type="spellEnd"/>
      <w:r w:rsidRPr="009C6D1E">
        <w:rPr>
          <w:sz w:val="20"/>
          <w:szCs w:val="20"/>
          <w:lang w:bidi="ar-DZ"/>
        </w:rPr>
        <w:t xml:space="preserve"> D, </w:t>
      </w:r>
      <w:proofErr w:type="spellStart"/>
      <w:r w:rsidRPr="009C6D1E">
        <w:rPr>
          <w:sz w:val="20"/>
          <w:szCs w:val="20"/>
          <w:lang w:bidi="ar-DZ"/>
        </w:rPr>
        <w:t>Oncel</w:t>
      </w:r>
      <w:proofErr w:type="spellEnd"/>
      <w:r w:rsidRPr="009C6D1E">
        <w:rPr>
          <w:sz w:val="20"/>
          <w:szCs w:val="20"/>
          <w:lang w:bidi="ar-DZ"/>
        </w:rPr>
        <w:t xml:space="preserve"> G, </w:t>
      </w:r>
      <w:proofErr w:type="spellStart"/>
      <w:r w:rsidRPr="009C6D1E">
        <w:rPr>
          <w:sz w:val="20"/>
          <w:szCs w:val="20"/>
          <w:lang w:bidi="ar-DZ"/>
        </w:rPr>
        <w:t>Karaca</w:t>
      </w:r>
      <w:proofErr w:type="spellEnd"/>
      <w:r w:rsidRPr="009C6D1E">
        <w:rPr>
          <w:sz w:val="20"/>
          <w:szCs w:val="20"/>
          <w:lang w:bidi="ar-DZ"/>
        </w:rPr>
        <w:t xml:space="preserve"> M. Coronary stent patency and in-stent </w:t>
      </w:r>
      <w:proofErr w:type="spellStart"/>
      <w:r w:rsidRPr="009C6D1E">
        <w:rPr>
          <w:sz w:val="20"/>
          <w:szCs w:val="20"/>
          <w:lang w:bidi="ar-DZ"/>
        </w:rPr>
        <w:t>restenosis</w:t>
      </w:r>
      <w:proofErr w:type="spellEnd"/>
      <w:r w:rsidRPr="009C6D1E">
        <w:rPr>
          <w:sz w:val="20"/>
          <w:szCs w:val="20"/>
          <w:lang w:bidi="ar-DZ"/>
        </w:rPr>
        <w:t xml:space="preserve"> determination with 64-section </w:t>
      </w:r>
      <w:proofErr w:type="spellStart"/>
      <w:r w:rsidRPr="009C6D1E">
        <w:rPr>
          <w:sz w:val="20"/>
          <w:szCs w:val="20"/>
          <w:lang w:bidi="ar-DZ"/>
        </w:rPr>
        <w:t>multidetector</w:t>
      </w:r>
      <w:proofErr w:type="spellEnd"/>
      <w:r w:rsidRPr="009C6D1E">
        <w:rPr>
          <w:sz w:val="20"/>
          <w:szCs w:val="20"/>
          <w:lang w:bidi="ar-DZ"/>
        </w:rPr>
        <w:t xml:space="preserve"> CT coronary angiography--initial experience. </w:t>
      </w:r>
      <w:hyperlink r:id="rId20" w:history="1">
        <w:r w:rsidRPr="009C6D1E">
          <w:rPr>
            <w:sz w:val="20"/>
            <w:szCs w:val="20"/>
            <w:lang w:bidi="ar-DZ"/>
          </w:rPr>
          <w:t>Radiology 2007.</w:t>
        </w:r>
      </w:hyperlink>
      <w:r w:rsidRPr="009C6D1E">
        <w:rPr>
          <w:sz w:val="20"/>
          <w:szCs w:val="20"/>
          <w:lang w:bidi="ar-DZ"/>
        </w:rPr>
        <w:t xml:space="preserve"> Feb; 242(2) 403-9</w:t>
      </w:r>
      <w:r w:rsidR="006F298F">
        <w:rPr>
          <w:sz w:val="20"/>
          <w:szCs w:val="20"/>
          <w:lang w:bidi="ar-DZ"/>
        </w:rPr>
        <w:t>.</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proofErr w:type="spellStart"/>
      <w:r w:rsidRPr="009C6D1E">
        <w:rPr>
          <w:sz w:val="20"/>
          <w:szCs w:val="20"/>
          <w:lang w:bidi="ar-DZ"/>
        </w:rPr>
        <w:t>Cademartiri</w:t>
      </w:r>
      <w:proofErr w:type="spellEnd"/>
      <w:r w:rsidRPr="009C6D1E">
        <w:rPr>
          <w:sz w:val="20"/>
          <w:szCs w:val="20"/>
          <w:lang w:bidi="ar-DZ"/>
        </w:rPr>
        <w:t xml:space="preserve"> F, </w:t>
      </w:r>
      <w:proofErr w:type="spellStart"/>
      <w:r w:rsidRPr="009C6D1E">
        <w:rPr>
          <w:sz w:val="20"/>
          <w:szCs w:val="20"/>
          <w:lang w:bidi="ar-DZ"/>
        </w:rPr>
        <w:t>Schuijf</w:t>
      </w:r>
      <w:proofErr w:type="spellEnd"/>
      <w:r w:rsidRPr="009C6D1E">
        <w:rPr>
          <w:sz w:val="20"/>
          <w:szCs w:val="20"/>
          <w:lang w:bidi="ar-DZ"/>
        </w:rPr>
        <w:t xml:space="preserve"> JD, </w:t>
      </w:r>
      <w:proofErr w:type="spellStart"/>
      <w:r w:rsidRPr="009C6D1E">
        <w:rPr>
          <w:sz w:val="20"/>
          <w:szCs w:val="20"/>
          <w:lang w:bidi="ar-DZ"/>
        </w:rPr>
        <w:t>Pugliese</w:t>
      </w:r>
      <w:proofErr w:type="spellEnd"/>
      <w:r w:rsidRPr="009C6D1E">
        <w:rPr>
          <w:sz w:val="20"/>
          <w:szCs w:val="20"/>
          <w:lang w:bidi="ar-DZ"/>
        </w:rPr>
        <w:t xml:space="preserve"> F, </w:t>
      </w:r>
      <w:r w:rsidR="00440137" w:rsidRPr="009C6D1E">
        <w:rPr>
          <w:i/>
          <w:iCs/>
          <w:sz w:val="20"/>
          <w:szCs w:val="20"/>
          <w:lang w:val="en-GB" w:bidi="ar-EG"/>
        </w:rPr>
        <w:t>et al.</w:t>
      </w:r>
      <w:r w:rsidR="00440137" w:rsidRPr="009C6D1E">
        <w:rPr>
          <w:sz w:val="20"/>
          <w:szCs w:val="20"/>
          <w:lang w:val="en-GB" w:bidi="ar-EG"/>
        </w:rPr>
        <w:t xml:space="preserve"> </w:t>
      </w:r>
      <w:r w:rsidRPr="009C6D1E">
        <w:rPr>
          <w:sz w:val="20"/>
          <w:szCs w:val="20"/>
          <w:lang w:bidi="ar-DZ"/>
        </w:rPr>
        <w:t xml:space="preserve">Usefulness of 64-slice </w:t>
      </w:r>
      <w:proofErr w:type="spellStart"/>
      <w:r w:rsidRPr="009C6D1E">
        <w:rPr>
          <w:sz w:val="20"/>
          <w:szCs w:val="20"/>
          <w:lang w:bidi="ar-DZ"/>
        </w:rPr>
        <w:t>multislice</w:t>
      </w:r>
      <w:proofErr w:type="spellEnd"/>
      <w:r w:rsidRPr="009C6D1E">
        <w:rPr>
          <w:sz w:val="20"/>
          <w:szCs w:val="20"/>
          <w:lang w:bidi="ar-DZ"/>
        </w:rPr>
        <w:t xml:space="preserve"> computed tomography coronary angiography to assess in-stent </w:t>
      </w:r>
      <w:proofErr w:type="spellStart"/>
      <w:r w:rsidRPr="009C6D1E">
        <w:rPr>
          <w:sz w:val="20"/>
          <w:szCs w:val="20"/>
          <w:lang w:bidi="ar-DZ"/>
        </w:rPr>
        <w:t>restenosis</w:t>
      </w:r>
      <w:proofErr w:type="spellEnd"/>
      <w:r w:rsidRPr="009C6D1E">
        <w:rPr>
          <w:sz w:val="20"/>
          <w:szCs w:val="20"/>
          <w:lang w:bidi="ar-DZ"/>
        </w:rPr>
        <w:t xml:space="preserve">. J Am </w:t>
      </w:r>
      <w:proofErr w:type="spellStart"/>
      <w:r w:rsidRPr="009C6D1E">
        <w:rPr>
          <w:sz w:val="20"/>
          <w:szCs w:val="20"/>
          <w:lang w:bidi="ar-DZ"/>
        </w:rPr>
        <w:t>Coll</w:t>
      </w:r>
      <w:proofErr w:type="spellEnd"/>
      <w:r w:rsidRPr="009C6D1E">
        <w:rPr>
          <w:sz w:val="20"/>
          <w:szCs w:val="20"/>
          <w:lang w:bidi="ar-DZ"/>
        </w:rPr>
        <w:t xml:space="preserve"> </w:t>
      </w:r>
      <w:proofErr w:type="spellStart"/>
      <w:r w:rsidRPr="009C6D1E">
        <w:rPr>
          <w:sz w:val="20"/>
          <w:szCs w:val="20"/>
          <w:lang w:bidi="ar-DZ"/>
        </w:rPr>
        <w:t>Cardiol</w:t>
      </w:r>
      <w:proofErr w:type="spellEnd"/>
      <w:r w:rsidRPr="009C6D1E">
        <w:rPr>
          <w:sz w:val="20"/>
          <w:szCs w:val="20"/>
          <w:lang w:bidi="ar-DZ"/>
        </w:rPr>
        <w:t xml:space="preserve"> 2007, 49:2204–2210</w:t>
      </w:r>
      <w:r w:rsidR="006F298F">
        <w:rPr>
          <w:sz w:val="20"/>
          <w:szCs w:val="20"/>
          <w:lang w:bidi="ar-DZ"/>
        </w:rPr>
        <w:t>.</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r w:rsidRPr="009C6D1E">
        <w:rPr>
          <w:sz w:val="20"/>
          <w:szCs w:val="20"/>
          <w:lang w:bidi="ar-DZ"/>
        </w:rPr>
        <w:t xml:space="preserve">Hoffmann R, </w:t>
      </w:r>
      <w:proofErr w:type="spellStart"/>
      <w:r w:rsidRPr="009C6D1E">
        <w:rPr>
          <w:sz w:val="20"/>
          <w:szCs w:val="20"/>
          <w:lang w:bidi="ar-DZ"/>
        </w:rPr>
        <w:t>Mintz</w:t>
      </w:r>
      <w:proofErr w:type="spellEnd"/>
      <w:r w:rsidRPr="009C6D1E">
        <w:rPr>
          <w:sz w:val="20"/>
          <w:szCs w:val="20"/>
          <w:lang w:bidi="ar-DZ"/>
        </w:rPr>
        <w:t xml:space="preserve"> GS, </w:t>
      </w:r>
      <w:proofErr w:type="spellStart"/>
      <w:r w:rsidRPr="009C6D1E">
        <w:rPr>
          <w:sz w:val="20"/>
          <w:szCs w:val="20"/>
          <w:lang w:bidi="ar-DZ"/>
        </w:rPr>
        <w:t>Dussaillant</w:t>
      </w:r>
      <w:proofErr w:type="spellEnd"/>
      <w:r w:rsidRPr="009C6D1E">
        <w:rPr>
          <w:sz w:val="20"/>
          <w:szCs w:val="20"/>
          <w:lang w:bidi="ar-DZ"/>
        </w:rPr>
        <w:t xml:space="preserve"> GR, </w:t>
      </w:r>
      <w:r w:rsidR="00440137" w:rsidRPr="009C6D1E">
        <w:rPr>
          <w:i/>
          <w:iCs/>
          <w:sz w:val="20"/>
          <w:szCs w:val="20"/>
          <w:lang w:val="en-GB" w:bidi="ar-EG"/>
        </w:rPr>
        <w:t>et al.</w:t>
      </w:r>
      <w:r w:rsidR="00440137" w:rsidRPr="009C6D1E">
        <w:rPr>
          <w:sz w:val="20"/>
          <w:szCs w:val="20"/>
          <w:lang w:val="en-GB" w:bidi="ar-EG"/>
        </w:rPr>
        <w:t xml:space="preserve"> </w:t>
      </w:r>
      <w:r w:rsidRPr="009C6D1E">
        <w:rPr>
          <w:sz w:val="20"/>
          <w:szCs w:val="20"/>
          <w:lang w:bidi="ar-DZ"/>
        </w:rPr>
        <w:t xml:space="preserve">Patterns and mechanisms of </w:t>
      </w:r>
      <w:proofErr w:type="spellStart"/>
      <w:r w:rsidRPr="009C6D1E">
        <w:rPr>
          <w:sz w:val="20"/>
          <w:szCs w:val="20"/>
          <w:lang w:bidi="ar-DZ"/>
        </w:rPr>
        <w:t>instent</w:t>
      </w:r>
      <w:proofErr w:type="spellEnd"/>
      <w:r w:rsidRPr="009C6D1E">
        <w:rPr>
          <w:sz w:val="20"/>
          <w:szCs w:val="20"/>
          <w:lang w:bidi="ar-DZ"/>
        </w:rPr>
        <w:t xml:space="preserve"> </w:t>
      </w:r>
      <w:proofErr w:type="spellStart"/>
      <w:r w:rsidRPr="009C6D1E">
        <w:rPr>
          <w:sz w:val="20"/>
          <w:szCs w:val="20"/>
          <w:lang w:bidi="ar-DZ"/>
        </w:rPr>
        <w:t>restenosis</w:t>
      </w:r>
      <w:proofErr w:type="spellEnd"/>
      <w:r w:rsidRPr="009C6D1E">
        <w:rPr>
          <w:sz w:val="20"/>
          <w:szCs w:val="20"/>
          <w:lang w:bidi="ar-DZ"/>
        </w:rPr>
        <w:t>: A serial intravascular ultrasound study. Circulation 1996, 94: 1247–54.</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proofErr w:type="spellStart"/>
      <w:r w:rsidRPr="009C6D1E">
        <w:rPr>
          <w:sz w:val="20"/>
          <w:szCs w:val="20"/>
          <w:lang w:bidi="ar-DZ"/>
        </w:rPr>
        <w:t>Rist</w:t>
      </w:r>
      <w:proofErr w:type="spellEnd"/>
      <w:r w:rsidRPr="009C6D1E">
        <w:rPr>
          <w:sz w:val="20"/>
          <w:szCs w:val="20"/>
          <w:lang w:bidi="ar-DZ"/>
        </w:rPr>
        <w:t xml:space="preserve"> C, </w:t>
      </w:r>
      <w:proofErr w:type="spellStart"/>
      <w:r w:rsidRPr="009C6D1E">
        <w:rPr>
          <w:sz w:val="20"/>
          <w:szCs w:val="20"/>
          <w:lang w:bidi="ar-DZ"/>
        </w:rPr>
        <w:t>vonZiegler</w:t>
      </w:r>
      <w:proofErr w:type="spellEnd"/>
      <w:r w:rsidRPr="009C6D1E">
        <w:rPr>
          <w:sz w:val="20"/>
          <w:szCs w:val="20"/>
          <w:lang w:bidi="ar-DZ"/>
        </w:rPr>
        <w:t xml:space="preserve"> F, Nikolaou K, </w:t>
      </w:r>
      <w:r w:rsidR="00440137" w:rsidRPr="009C6D1E">
        <w:rPr>
          <w:i/>
          <w:iCs/>
          <w:sz w:val="20"/>
          <w:szCs w:val="20"/>
          <w:lang w:val="en-GB" w:bidi="ar-EG"/>
        </w:rPr>
        <w:t>et al.</w:t>
      </w:r>
      <w:r w:rsidR="00440137" w:rsidRPr="009C6D1E">
        <w:rPr>
          <w:sz w:val="20"/>
          <w:szCs w:val="20"/>
          <w:lang w:val="en-GB" w:bidi="ar-EG"/>
        </w:rPr>
        <w:t xml:space="preserve"> </w:t>
      </w:r>
      <w:r w:rsidRPr="009C6D1E">
        <w:rPr>
          <w:sz w:val="20"/>
          <w:szCs w:val="20"/>
          <w:lang w:bidi="ar-DZ"/>
        </w:rPr>
        <w:t xml:space="preserve">Assessment of coronary artery stent patency and </w:t>
      </w:r>
      <w:proofErr w:type="spellStart"/>
      <w:r w:rsidRPr="009C6D1E">
        <w:rPr>
          <w:sz w:val="20"/>
          <w:szCs w:val="20"/>
          <w:lang w:bidi="ar-DZ"/>
        </w:rPr>
        <w:t>restenosis</w:t>
      </w:r>
      <w:proofErr w:type="spellEnd"/>
      <w:r w:rsidRPr="009C6D1E">
        <w:rPr>
          <w:sz w:val="20"/>
          <w:szCs w:val="20"/>
          <w:lang w:bidi="ar-DZ"/>
        </w:rPr>
        <w:t xml:space="preserve"> using 64-slice computed tomography. </w:t>
      </w:r>
      <w:proofErr w:type="spellStart"/>
      <w:r w:rsidRPr="009C6D1E">
        <w:rPr>
          <w:sz w:val="20"/>
          <w:szCs w:val="20"/>
          <w:lang w:bidi="ar-DZ"/>
        </w:rPr>
        <w:t>Acad</w:t>
      </w:r>
      <w:proofErr w:type="spellEnd"/>
      <w:r w:rsidRPr="009C6D1E">
        <w:rPr>
          <w:sz w:val="20"/>
          <w:szCs w:val="20"/>
          <w:lang w:bidi="ar-DZ"/>
        </w:rPr>
        <w:t xml:space="preserve"> </w:t>
      </w:r>
      <w:proofErr w:type="spellStart"/>
      <w:r w:rsidRPr="009C6D1E">
        <w:rPr>
          <w:sz w:val="20"/>
          <w:szCs w:val="20"/>
          <w:lang w:bidi="ar-DZ"/>
        </w:rPr>
        <w:t>Radiol</w:t>
      </w:r>
      <w:proofErr w:type="spellEnd"/>
      <w:r w:rsidRPr="009C6D1E">
        <w:rPr>
          <w:sz w:val="20"/>
          <w:szCs w:val="20"/>
          <w:lang w:bidi="ar-DZ"/>
        </w:rPr>
        <w:t xml:space="preserve"> 2006; 13:1465–73.</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r w:rsidRPr="009C6D1E">
        <w:rPr>
          <w:sz w:val="20"/>
          <w:szCs w:val="20"/>
          <w:lang w:bidi="ar-DZ"/>
        </w:rPr>
        <w:t xml:space="preserve">Carbone I, </w:t>
      </w:r>
      <w:proofErr w:type="spellStart"/>
      <w:r w:rsidRPr="009C6D1E">
        <w:rPr>
          <w:sz w:val="20"/>
          <w:szCs w:val="20"/>
          <w:lang w:bidi="ar-DZ"/>
        </w:rPr>
        <w:t>Francone</w:t>
      </w:r>
      <w:proofErr w:type="spellEnd"/>
      <w:r w:rsidRPr="009C6D1E">
        <w:rPr>
          <w:sz w:val="20"/>
          <w:szCs w:val="20"/>
          <w:lang w:bidi="ar-DZ"/>
        </w:rPr>
        <w:t xml:space="preserve"> M, </w:t>
      </w:r>
      <w:proofErr w:type="spellStart"/>
      <w:r w:rsidRPr="009C6D1E">
        <w:rPr>
          <w:sz w:val="20"/>
          <w:szCs w:val="20"/>
          <w:lang w:bidi="ar-DZ"/>
        </w:rPr>
        <w:t>Algeri</w:t>
      </w:r>
      <w:proofErr w:type="spellEnd"/>
      <w:r w:rsidRPr="009C6D1E">
        <w:rPr>
          <w:sz w:val="20"/>
          <w:szCs w:val="20"/>
          <w:lang w:bidi="ar-DZ"/>
        </w:rPr>
        <w:t xml:space="preserve"> E, </w:t>
      </w:r>
      <w:r w:rsidR="00440137" w:rsidRPr="009C6D1E">
        <w:rPr>
          <w:i/>
          <w:iCs/>
          <w:sz w:val="20"/>
          <w:szCs w:val="20"/>
          <w:lang w:val="en-GB" w:bidi="ar-EG"/>
        </w:rPr>
        <w:t>et al.</w:t>
      </w:r>
      <w:r w:rsidR="00440137" w:rsidRPr="009C6D1E">
        <w:rPr>
          <w:sz w:val="20"/>
          <w:szCs w:val="20"/>
          <w:lang w:val="en-GB" w:bidi="ar-EG"/>
        </w:rPr>
        <w:t xml:space="preserve"> </w:t>
      </w:r>
      <w:r w:rsidRPr="009C6D1E">
        <w:rPr>
          <w:sz w:val="20"/>
          <w:szCs w:val="20"/>
          <w:lang w:bidi="ar-DZ"/>
        </w:rPr>
        <w:t>Noninvasive evaluation of coronary artery stent patency with retro-</w:t>
      </w:r>
      <w:proofErr w:type="spellStart"/>
      <w:r w:rsidRPr="009C6D1E">
        <w:rPr>
          <w:sz w:val="20"/>
          <w:szCs w:val="20"/>
          <w:lang w:bidi="ar-DZ"/>
        </w:rPr>
        <w:t>spective</w:t>
      </w:r>
      <w:proofErr w:type="spellEnd"/>
      <w:r w:rsidRPr="009C6D1E">
        <w:rPr>
          <w:sz w:val="20"/>
          <w:szCs w:val="20"/>
          <w:lang w:bidi="ar-DZ"/>
        </w:rPr>
        <w:t xml:space="preserve"> ECG-gated 64-slice CT angiography. </w:t>
      </w:r>
      <w:proofErr w:type="spellStart"/>
      <w:r w:rsidRPr="009C6D1E">
        <w:rPr>
          <w:sz w:val="20"/>
          <w:szCs w:val="20"/>
          <w:lang w:bidi="ar-DZ"/>
        </w:rPr>
        <w:t>Eur</w:t>
      </w:r>
      <w:proofErr w:type="spellEnd"/>
      <w:r w:rsidRPr="009C6D1E">
        <w:rPr>
          <w:sz w:val="20"/>
          <w:szCs w:val="20"/>
          <w:lang w:bidi="ar-DZ"/>
        </w:rPr>
        <w:t xml:space="preserve"> </w:t>
      </w:r>
      <w:proofErr w:type="spellStart"/>
      <w:r w:rsidRPr="009C6D1E">
        <w:rPr>
          <w:sz w:val="20"/>
          <w:szCs w:val="20"/>
          <w:lang w:bidi="ar-DZ"/>
        </w:rPr>
        <w:t>Radiol</w:t>
      </w:r>
      <w:proofErr w:type="spellEnd"/>
      <w:r w:rsidRPr="009C6D1E">
        <w:rPr>
          <w:sz w:val="20"/>
          <w:szCs w:val="20"/>
          <w:lang w:bidi="ar-DZ"/>
        </w:rPr>
        <w:t xml:space="preserve"> 2008  18:234–243</w:t>
      </w:r>
      <w:r w:rsidR="00526509">
        <w:rPr>
          <w:sz w:val="20"/>
          <w:szCs w:val="20"/>
          <w:lang w:bidi="ar-DZ"/>
        </w:rPr>
        <w:t>.</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r w:rsidRPr="009C6D1E">
        <w:rPr>
          <w:sz w:val="20"/>
          <w:szCs w:val="20"/>
          <w:lang w:bidi="ar-DZ"/>
        </w:rPr>
        <w:t xml:space="preserve">Chung SH, Kim YJ, </w:t>
      </w:r>
      <w:proofErr w:type="spellStart"/>
      <w:r w:rsidRPr="009C6D1E">
        <w:rPr>
          <w:sz w:val="20"/>
          <w:szCs w:val="20"/>
          <w:lang w:bidi="ar-DZ"/>
        </w:rPr>
        <w:t>Hur</w:t>
      </w:r>
      <w:proofErr w:type="spellEnd"/>
      <w:r w:rsidRPr="009C6D1E">
        <w:rPr>
          <w:sz w:val="20"/>
          <w:szCs w:val="20"/>
          <w:lang w:bidi="ar-DZ"/>
        </w:rPr>
        <w:t xml:space="preserve"> J, </w:t>
      </w:r>
      <w:r w:rsidR="00440137" w:rsidRPr="009C6D1E">
        <w:rPr>
          <w:i/>
          <w:iCs/>
          <w:sz w:val="20"/>
          <w:szCs w:val="20"/>
          <w:lang w:val="en-GB" w:bidi="ar-EG"/>
        </w:rPr>
        <w:t>et al.</w:t>
      </w:r>
      <w:r w:rsidR="00440137" w:rsidRPr="009C6D1E">
        <w:rPr>
          <w:sz w:val="20"/>
          <w:szCs w:val="20"/>
          <w:lang w:val="en-GB" w:bidi="ar-EG"/>
        </w:rPr>
        <w:t xml:space="preserve"> </w:t>
      </w:r>
      <w:r w:rsidRPr="009C6D1E">
        <w:rPr>
          <w:sz w:val="20"/>
          <w:szCs w:val="20"/>
          <w:lang w:bidi="ar-DZ"/>
        </w:rPr>
        <w:t xml:space="preserve">Evaluation of coronary artery in-stent </w:t>
      </w:r>
      <w:proofErr w:type="spellStart"/>
      <w:r w:rsidRPr="009C6D1E">
        <w:rPr>
          <w:sz w:val="20"/>
          <w:szCs w:val="20"/>
          <w:lang w:bidi="ar-DZ"/>
        </w:rPr>
        <w:t>restenosis</w:t>
      </w:r>
      <w:proofErr w:type="spellEnd"/>
      <w:r w:rsidRPr="009C6D1E">
        <w:rPr>
          <w:sz w:val="20"/>
          <w:szCs w:val="20"/>
          <w:lang w:bidi="ar-DZ"/>
        </w:rPr>
        <w:t xml:space="preserve"> by 64-section computed tomography: factors affecting assessment and accurate diagnosis. J Thoracic Imaging 2010. Feb; 25(1):57-63.</w:t>
      </w:r>
    </w:p>
    <w:p w:rsidR="00176F1E" w:rsidRPr="009C6D1E" w:rsidRDefault="00FE4FF3"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hyperlink r:id="rId21" w:history="1">
        <w:proofErr w:type="spellStart"/>
        <w:r w:rsidR="00176F1E" w:rsidRPr="009C6D1E">
          <w:rPr>
            <w:sz w:val="20"/>
            <w:szCs w:val="20"/>
            <w:lang w:bidi="ar-DZ"/>
          </w:rPr>
          <w:t>Martuscelli</w:t>
        </w:r>
        <w:proofErr w:type="spellEnd"/>
        <w:r w:rsidR="00176F1E" w:rsidRPr="009C6D1E">
          <w:rPr>
            <w:sz w:val="20"/>
            <w:szCs w:val="20"/>
            <w:lang w:bidi="ar-DZ"/>
          </w:rPr>
          <w:t xml:space="preserve"> E</w:t>
        </w:r>
      </w:hyperlink>
      <w:r w:rsidR="00176F1E" w:rsidRPr="009C6D1E">
        <w:rPr>
          <w:sz w:val="20"/>
          <w:szCs w:val="20"/>
          <w:lang w:bidi="ar-DZ"/>
        </w:rPr>
        <w:t xml:space="preserve">, </w:t>
      </w:r>
      <w:hyperlink r:id="rId22" w:history="1">
        <w:proofErr w:type="spellStart"/>
        <w:r w:rsidR="00176F1E" w:rsidRPr="009C6D1E">
          <w:rPr>
            <w:sz w:val="20"/>
            <w:szCs w:val="20"/>
            <w:lang w:bidi="ar-DZ"/>
          </w:rPr>
          <w:t>Romagnoli</w:t>
        </w:r>
        <w:proofErr w:type="spellEnd"/>
        <w:r w:rsidR="00176F1E" w:rsidRPr="009C6D1E">
          <w:rPr>
            <w:sz w:val="20"/>
            <w:szCs w:val="20"/>
            <w:lang w:bidi="ar-DZ"/>
          </w:rPr>
          <w:t xml:space="preserve"> A</w:t>
        </w:r>
      </w:hyperlink>
      <w:r w:rsidR="00176F1E" w:rsidRPr="009C6D1E">
        <w:rPr>
          <w:sz w:val="20"/>
          <w:szCs w:val="20"/>
          <w:lang w:bidi="ar-DZ"/>
        </w:rPr>
        <w:t xml:space="preserve">, </w:t>
      </w:r>
      <w:hyperlink r:id="rId23" w:history="1">
        <w:proofErr w:type="spellStart"/>
        <w:r w:rsidR="00176F1E" w:rsidRPr="009C6D1E">
          <w:rPr>
            <w:sz w:val="20"/>
            <w:szCs w:val="20"/>
            <w:lang w:bidi="ar-DZ"/>
          </w:rPr>
          <w:t>D'eliseo</w:t>
        </w:r>
        <w:proofErr w:type="spellEnd"/>
        <w:r w:rsidR="00176F1E" w:rsidRPr="009C6D1E">
          <w:rPr>
            <w:sz w:val="20"/>
            <w:szCs w:val="20"/>
            <w:lang w:bidi="ar-DZ"/>
          </w:rPr>
          <w:t xml:space="preserve"> A</w:t>
        </w:r>
      </w:hyperlink>
      <w:r w:rsidR="00176F1E" w:rsidRPr="009C6D1E">
        <w:rPr>
          <w:sz w:val="20"/>
          <w:szCs w:val="20"/>
          <w:lang w:bidi="ar-DZ"/>
        </w:rPr>
        <w:t xml:space="preserve">, </w:t>
      </w:r>
      <w:r w:rsidR="00440137" w:rsidRPr="009C6D1E">
        <w:rPr>
          <w:i/>
          <w:iCs/>
          <w:sz w:val="20"/>
          <w:szCs w:val="20"/>
          <w:lang w:val="en-GB" w:bidi="ar-EG"/>
        </w:rPr>
        <w:t>et al.</w:t>
      </w:r>
      <w:r w:rsidR="00440137" w:rsidRPr="009C6D1E">
        <w:rPr>
          <w:sz w:val="20"/>
          <w:szCs w:val="20"/>
          <w:lang w:val="en-GB" w:bidi="ar-EG"/>
        </w:rPr>
        <w:t xml:space="preserve"> </w:t>
      </w:r>
      <w:r w:rsidR="00176F1E" w:rsidRPr="009C6D1E">
        <w:rPr>
          <w:sz w:val="20"/>
          <w:szCs w:val="20"/>
          <w:lang w:bidi="ar-DZ"/>
        </w:rPr>
        <w:t xml:space="preserve">Evaluation of coronary in-stent </w:t>
      </w:r>
      <w:proofErr w:type="spellStart"/>
      <w:r w:rsidR="00176F1E" w:rsidRPr="009C6D1E">
        <w:rPr>
          <w:sz w:val="20"/>
          <w:szCs w:val="20"/>
          <w:lang w:bidi="ar-DZ"/>
        </w:rPr>
        <w:t>restenosis</w:t>
      </w:r>
      <w:proofErr w:type="spellEnd"/>
      <w:r w:rsidR="00176F1E" w:rsidRPr="009C6D1E">
        <w:rPr>
          <w:sz w:val="20"/>
          <w:szCs w:val="20"/>
          <w:lang w:bidi="ar-DZ"/>
        </w:rPr>
        <w:t xml:space="preserve"> by 64-slice computed tomography in patients with optimal heart rate control by systematic administration of beta-blocker drugs. J </w:t>
      </w:r>
      <w:proofErr w:type="spellStart"/>
      <w:r w:rsidR="00176F1E" w:rsidRPr="009C6D1E">
        <w:rPr>
          <w:sz w:val="20"/>
          <w:szCs w:val="20"/>
          <w:lang w:bidi="ar-DZ"/>
        </w:rPr>
        <w:t>Cardiovasc</w:t>
      </w:r>
      <w:proofErr w:type="spellEnd"/>
      <w:r w:rsidR="00176F1E" w:rsidRPr="009C6D1E">
        <w:rPr>
          <w:sz w:val="20"/>
          <w:szCs w:val="20"/>
          <w:lang w:bidi="ar-DZ"/>
        </w:rPr>
        <w:t xml:space="preserve"> Med 2010 (Hagerstown). Jun; 11(6):431-9.</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r w:rsidRPr="009C6D1E">
        <w:rPr>
          <w:sz w:val="20"/>
          <w:szCs w:val="20"/>
          <w:lang w:bidi="ar-DZ"/>
        </w:rPr>
        <w:lastRenderedPageBreak/>
        <w:t xml:space="preserve">Sun Z and </w:t>
      </w:r>
      <w:proofErr w:type="spellStart"/>
      <w:r w:rsidRPr="009C6D1E">
        <w:rPr>
          <w:sz w:val="20"/>
          <w:szCs w:val="20"/>
          <w:lang w:bidi="ar-DZ"/>
        </w:rPr>
        <w:t>Almutairi</w:t>
      </w:r>
      <w:proofErr w:type="spellEnd"/>
      <w:r w:rsidRPr="009C6D1E">
        <w:rPr>
          <w:sz w:val="20"/>
          <w:szCs w:val="20"/>
          <w:lang w:bidi="ar-DZ"/>
        </w:rPr>
        <w:t xml:space="preserve"> AM. Diagnostic accuracy of 64 </w:t>
      </w:r>
      <w:proofErr w:type="spellStart"/>
      <w:r w:rsidRPr="009C6D1E">
        <w:rPr>
          <w:sz w:val="20"/>
          <w:szCs w:val="20"/>
          <w:lang w:bidi="ar-DZ"/>
        </w:rPr>
        <w:t>multislice</w:t>
      </w:r>
      <w:proofErr w:type="spellEnd"/>
      <w:r w:rsidRPr="009C6D1E">
        <w:rPr>
          <w:sz w:val="20"/>
          <w:szCs w:val="20"/>
          <w:lang w:bidi="ar-DZ"/>
        </w:rPr>
        <w:t xml:space="preserve"> CT angiography in the assessment of coronary in-stent </w:t>
      </w:r>
      <w:proofErr w:type="spellStart"/>
      <w:r w:rsidRPr="009C6D1E">
        <w:rPr>
          <w:sz w:val="20"/>
          <w:szCs w:val="20"/>
          <w:lang w:bidi="ar-DZ"/>
        </w:rPr>
        <w:t>restenosis</w:t>
      </w:r>
      <w:proofErr w:type="spellEnd"/>
      <w:r w:rsidRPr="009C6D1E">
        <w:rPr>
          <w:sz w:val="20"/>
          <w:szCs w:val="20"/>
          <w:lang w:bidi="ar-DZ"/>
        </w:rPr>
        <w:t xml:space="preserve">: a meta-analysis. </w:t>
      </w:r>
      <w:proofErr w:type="spellStart"/>
      <w:r w:rsidRPr="009C6D1E">
        <w:rPr>
          <w:sz w:val="20"/>
          <w:szCs w:val="20"/>
          <w:lang w:bidi="ar-DZ"/>
        </w:rPr>
        <w:t>Eur</w:t>
      </w:r>
      <w:proofErr w:type="spellEnd"/>
      <w:r w:rsidRPr="009C6D1E">
        <w:rPr>
          <w:sz w:val="20"/>
          <w:szCs w:val="20"/>
          <w:lang w:bidi="ar-DZ"/>
        </w:rPr>
        <w:t xml:space="preserve"> J </w:t>
      </w:r>
      <w:proofErr w:type="spellStart"/>
      <w:r w:rsidRPr="009C6D1E">
        <w:rPr>
          <w:sz w:val="20"/>
          <w:szCs w:val="20"/>
          <w:lang w:bidi="ar-DZ"/>
        </w:rPr>
        <w:t>Radiol</w:t>
      </w:r>
      <w:proofErr w:type="spellEnd"/>
      <w:r w:rsidRPr="009C6D1E">
        <w:rPr>
          <w:sz w:val="20"/>
          <w:szCs w:val="20"/>
          <w:lang w:bidi="ar-DZ"/>
        </w:rPr>
        <w:t xml:space="preserve"> 2010. Feb; 73(2):266-73</w:t>
      </w:r>
      <w:r w:rsidR="006F298F">
        <w:rPr>
          <w:sz w:val="20"/>
          <w:szCs w:val="20"/>
          <w:lang w:bidi="ar-DZ"/>
        </w:rPr>
        <w:t>.</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proofErr w:type="spellStart"/>
      <w:r w:rsidRPr="009C6D1E">
        <w:rPr>
          <w:sz w:val="20"/>
          <w:szCs w:val="20"/>
          <w:lang w:bidi="ar-DZ"/>
        </w:rPr>
        <w:t>Maintz</w:t>
      </w:r>
      <w:proofErr w:type="spellEnd"/>
      <w:r w:rsidRPr="009C6D1E">
        <w:rPr>
          <w:sz w:val="20"/>
          <w:szCs w:val="20"/>
          <w:lang w:bidi="ar-DZ"/>
        </w:rPr>
        <w:t xml:space="preserve"> D, </w:t>
      </w:r>
      <w:proofErr w:type="spellStart"/>
      <w:r w:rsidRPr="009C6D1E">
        <w:rPr>
          <w:sz w:val="20"/>
          <w:szCs w:val="20"/>
          <w:lang w:bidi="ar-DZ"/>
        </w:rPr>
        <w:t>Seifarth</w:t>
      </w:r>
      <w:proofErr w:type="spellEnd"/>
      <w:r w:rsidRPr="009C6D1E">
        <w:rPr>
          <w:sz w:val="20"/>
          <w:szCs w:val="20"/>
          <w:lang w:bidi="ar-DZ"/>
        </w:rPr>
        <w:t xml:space="preserve"> H, </w:t>
      </w:r>
      <w:proofErr w:type="spellStart"/>
      <w:r w:rsidRPr="009C6D1E">
        <w:rPr>
          <w:sz w:val="20"/>
          <w:szCs w:val="20"/>
          <w:lang w:bidi="ar-DZ"/>
        </w:rPr>
        <w:t>Raupach</w:t>
      </w:r>
      <w:proofErr w:type="spellEnd"/>
      <w:r w:rsidRPr="009C6D1E">
        <w:rPr>
          <w:sz w:val="20"/>
          <w:szCs w:val="20"/>
          <w:lang w:bidi="ar-DZ"/>
        </w:rPr>
        <w:t xml:space="preserve"> R, </w:t>
      </w:r>
      <w:r w:rsidR="00440137" w:rsidRPr="009C6D1E">
        <w:rPr>
          <w:i/>
          <w:iCs/>
          <w:sz w:val="20"/>
          <w:szCs w:val="20"/>
          <w:lang w:val="en-GB" w:bidi="ar-EG"/>
        </w:rPr>
        <w:t>et al.</w:t>
      </w:r>
      <w:r w:rsidR="00440137" w:rsidRPr="009C6D1E">
        <w:rPr>
          <w:sz w:val="20"/>
          <w:szCs w:val="20"/>
          <w:lang w:val="en-GB" w:bidi="ar-EG"/>
        </w:rPr>
        <w:t xml:space="preserve"> </w:t>
      </w:r>
      <w:r w:rsidRPr="009C6D1E">
        <w:rPr>
          <w:sz w:val="20"/>
          <w:szCs w:val="20"/>
          <w:lang w:bidi="ar-DZ"/>
        </w:rPr>
        <w:t xml:space="preserve">64-slice </w:t>
      </w:r>
      <w:proofErr w:type="spellStart"/>
      <w:r w:rsidRPr="009C6D1E">
        <w:rPr>
          <w:sz w:val="20"/>
          <w:szCs w:val="20"/>
          <w:lang w:bidi="ar-DZ"/>
        </w:rPr>
        <w:t>multidetector</w:t>
      </w:r>
      <w:proofErr w:type="spellEnd"/>
      <w:r w:rsidRPr="009C6D1E">
        <w:rPr>
          <w:sz w:val="20"/>
          <w:szCs w:val="20"/>
          <w:lang w:bidi="ar-DZ"/>
        </w:rPr>
        <w:t xml:space="preserve"> coronary CT angiography: in vitro evaluation of 68 different stents. </w:t>
      </w:r>
      <w:proofErr w:type="spellStart"/>
      <w:r w:rsidRPr="009C6D1E">
        <w:rPr>
          <w:sz w:val="20"/>
          <w:szCs w:val="20"/>
          <w:lang w:bidi="ar-DZ"/>
        </w:rPr>
        <w:t>Eur</w:t>
      </w:r>
      <w:proofErr w:type="spellEnd"/>
      <w:r w:rsidRPr="009C6D1E">
        <w:rPr>
          <w:sz w:val="20"/>
          <w:szCs w:val="20"/>
          <w:lang w:bidi="ar-DZ"/>
        </w:rPr>
        <w:t xml:space="preserve"> </w:t>
      </w:r>
      <w:proofErr w:type="spellStart"/>
      <w:r w:rsidRPr="009C6D1E">
        <w:rPr>
          <w:sz w:val="20"/>
          <w:szCs w:val="20"/>
          <w:lang w:bidi="ar-DZ"/>
        </w:rPr>
        <w:t>Radiol</w:t>
      </w:r>
      <w:proofErr w:type="spellEnd"/>
      <w:r w:rsidRPr="009C6D1E">
        <w:rPr>
          <w:sz w:val="20"/>
          <w:szCs w:val="20"/>
          <w:lang w:bidi="ar-DZ"/>
        </w:rPr>
        <w:t xml:space="preserve"> 2006; 16:818–26.</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r w:rsidRPr="009C6D1E">
        <w:rPr>
          <w:sz w:val="20"/>
          <w:szCs w:val="20"/>
          <w:lang w:bidi="ar-DZ"/>
        </w:rPr>
        <w:t xml:space="preserve">Kruger S, </w:t>
      </w:r>
      <w:proofErr w:type="spellStart"/>
      <w:r w:rsidRPr="009C6D1E">
        <w:rPr>
          <w:sz w:val="20"/>
          <w:szCs w:val="20"/>
          <w:lang w:bidi="ar-DZ"/>
        </w:rPr>
        <w:t>Mahnken</w:t>
      </w:r>
      <w:proofErr w:type="spellEnd"/>
      <w:r w:rsidRPr="009C6D1E">
        <w:rPr>
          <w:sz w:val="20"/>
          <w:szCs w:val="20"/>
          <w:lang w:bidi="ar-DZ"/>
        </w:rPr>
        <w:t xml:space="preserve"> AH, </w:t>
      </w:r>
      <w:proofErr w:type="spellStart"/>
      <w:r w:rsidRPr="009C6D1E">
        <w:rPr>
          <w:sz w:val="20"/>
          <w:szCs w:val="20"/>
          <w:lang w:bidi="ar-DZ"/>
        </w:rPr>
        <w:t>Sinha</w:t>
      </w:r>
      <w:proofErr w:type="spellEnd"/>
      <w:r w:rsidRPr="009C6D1E">
        <w:rPr>
          <w:sz w:val="20"/>
          <w:szCs w:val="20"/>
          <w:lang w:bidi="ar-DZ"/>
        </w:rPr>
        <w:t xml:space="preserve"> AM, </w:t>
      </w:r>
      <w:r w:rsidR="00440137" w:rsidRPr="009C6D1E">
        <w:rPr>
          <w:i/>
          <w:iCs/>
          <w:sz w:val="20"/>
          <w:szCs w:val="20"/>
          <w:lang w:val="en-GB" w:bidi="ar-EG"/>
        </w:rPr>
        <w:t>et al.</w:t>
      </w:r>
      <w:r w:rsidR="00440137" w:rsidRPr="009C6D1E">
        <w:rPr>
          <w:sz w:val="20"/>
          <w:szCs w:val="20"/>
          <w:lang w:val="en-GB" w:bidi="ar-EG"/>
        </w:rPr>
        <w:t xml:space="preserve"> </w:t>
      </w:r>
      <w:proofErr w:type="spellStart"/>
      <w:r w:rsidRPr="009C6D1E">
        <w:rPr>
          <w:sz w:val="20"/>
          <w:szCs w:val="20"/>
          <w:lang w:bidi="ar-DZ"/>
        </w:rPr>
        <w:t>Multislice</w:t>
      </w:r>
      <w:proofErr w:type="spellEnd"/>
      <w:r w:rsidRPr="009C6D1E">
        <w:rPr>
          <w:sz w:val="20"/>
          <w:szCs w:val="20"/>
          <w:lang w:bidi="ar-DZ"/>
        </w:rPr>
        <w:t xml:space="preserve"> spiral computed tomography for the detection of coronary stent </w:t>
      </w:r>
      <w:proofErr w:type="spellStart"/>
      <w:r w:rsidRPr="009C6D1E">
        <w:rPr>
          <w:sz w:val="20"/>
          <w:szCs w:val="20"/>
          <w:lang w:bidi="ar-DZ"/>
        </w:rPr>
        <w:t>restenosis</w:t>
      </w:r>
      <w:proofErr w:type="spellEnd"/>
      <w:r w:rsidRPr="009C6D1E">
        <w:rPr>
          <w:sz w:val="20"/>
          <w:szCs w:val="20"/>
          <w:lang w:bidi="ar-DZ"/>
        </w:rPr>
        <w:t xml:space="preserve"> and patency. </w:t>
      </w:r>
      <w:proofErr w:type="spellStart"/>
      <w:r w:rsidRPr="009C6D1E">
        <w:rPr>
          <w:sz w:val="20"/>
          <w:szCs w:val="20"/>
          <w:lang w:bidi="ar-DZ"/>
        </w:rPr>
        <w:t>Int</w:t>
      </w:r>
      <w:proofErr w:type="spellEnd"/>
      <w:r w:rsidRPr="009C6D1E">
        <w:rPr>
          <w:sz w:val="20"/>
          <w:szCs w:val="20"/>
          <w:lang w:bidi="ar-DZ"/>
        </w:rPr>
        <w:t xml:space="preserve"> J </w:t>
      </w:r>
      <w:proofErr w:type="spellStart"/>
      <w:r w:rsidRPr="009C6D1E">
        <w:rPr>
          <w:sz w:val="20"/>
          <w:szCs w:val="20"/>
          <w:lang w:bidi="ar-DZ"/>
        </w:rPr>
        <w:t>Cardiol</w:t>
      </w:r>
      <w:proofErr w:type="spellEnd"/>
      <w:r w:rsidRPr="009C6D1E">
        <w:rPr>
          <w:sz w:val="20"/>
          <w:szCs w:val="20"/>
          <w:lang w:bidi="ar-DZ"/>
        </w:rPr>
        <w:t xml:space="preserve"> 2003.89:167–72.</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r w:rsidRPr="009C6D1E">
        <w:rPr>
          <w:sz w:val="20"/>
          <w:szCs w:val="20"/>
          <w:lang w:bidi="ar-DZ"/>
        </w:rPr>
        <w:t xml:space="preserve">Andrés, Vicente &amp; </w:t>
      </w:r>
      <w:proofErr w:type="spellStart"/>
      <w:r w:rsidRPr="009C6D1E">
        <w:rPr>
          <w:sz w:val="20"/>
          <w:szCs w:val="20"/>
          <w:lang w:bidi="ar-DZ"/>
        </w:rPr>
        <w:t>Wessely</w:t>
      </w:r>
      <w:proofErr w:type="spellEnd"/>
      <w:r w:rsidRPr="009C6D1E">
        <w:rPr>
          <w:sz w:val="20"/>
          <w:szCs w:val="20"/>
          <w:lang w:bidi="ar-DZ"/>
        </w:rPr>
        <w:t xml:space="preserve">, </w:t>
      </w:r>
      <w:proofErr w:type="spellStart"/>
      <w:r w:rsidRPr="009C6D1E">
        <w:rPr>
          <w:sz w:val="20"/>
          <w:szCs w:val="20"/>
          <w:lang w:bidi="ar-DZ"/>
        </w:rPr>
        <w:t>Raine</w:t>
      </w:r>
      <w:proofErr w:type="spellEnd"/>
      <w:r w:rsidR="001207E5" w:rsidRPr="009C6D1E">
        <w:rPr>
          <w:sz w:val="20"/>
          <w:szCs w:val="20"/>
          <w:lang w:bidi="ar-DZ"/>
        </w:rPr>
        <w:t>,</w:t>
      </w:r>
      <w:r w:rsidRPr="009C6D1E">
        <w:rPr>
          <w:sz w:val="20"/>
          <w:szCs w:val="20"/>
          <w:lang w:bidi="ar-DZ"/>
        </w:rPr>
        <w:t xml:space="preserve"> In-stent </w:t>
      </w:r>
      <w:proofErr w:type="spellStart"/>
      <w:r w:rsidRPr="009C6D1E">
        <w:rPr>
          <w:sz w:val="20"/>
          <w:szCs w:val="20"/>
          <w:lang w:bidi="ar-DZ"/>
        </w:rPr>
        <w:t>restenosis</w:t>
      </w:r>
      <w:proofErr w:type="spellEnd"/>
      <w:r w:rsidRPr="009C6D1E">
        <w:rPr>
          <w:sz w:val="20"/>
          <w:szCs w:val="20"/>
          <w:lang w:bidi="ar-DZ"/>
        </w:rPr>
        <w:t xml:space="preserve">, Molecular mechanisms and therapeutic principles. </w:t>
      </w:r>
      <w:proofErr w:type="spellStart"/>
      <w:r w:rsidRPr="009C6D1E">
        <w:rPr>
          <w:sz w:val="20"/>
          <w:szCs w:val="20"/>
          <w:lang w:bidi="ar-DZ"/>
        </w:rPr>
        <w:t>SciTopics</w:t>
      </w:r>
      <w:proofErr w:type="spellEnd"/>
      <w:r w:rsidRPr="009C6D1E">
        <w:rPr>
          <w:sz w:val="20"/>
          <w:szCs w:val="20"/>
          <w:lang w:bidi="ar-DZ"/>
        </w:rPr>
        <w:t xml:space="preserve"> 2009. Retrieved from http://www.scitopics.com</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proofErr w:type="spellStart"/>
      <w:r w:rsidRPr="009C6D1E">
        <w:rPr>
          <w:sz w:val="20"/>
          <w:szCs w:val="20"/>
          <w:lang w:bidi="ar-DZ"/>
        </w:rPr>
        <w:t>Cademartiri</w:t>
      </w:r>
      <w:proofErr w:type="spellEnd"/>
      <w:r w:rsidRPr="009C6D1E">
        <w:rPr>
          <w:sz w:val="20"/>
          <w:szCs w:val="20"/>
          <w:lang w:bidi="ar-DZ"/>
        </w:rPr>
        <w:t xml:space="preserve"> F, </w:t>
      </w:r>
      <w:proofErr w:type="spellStart"/>
      <w:r w:rsidRPr="009C6D1E">
        <w:rPr>
          <w:sz w:val="20"/>
          <w:szCs w:val="20"/>
          <w:lang w:bidi="ar-DZ"/>
        </w:rPr>
        <w:t>Schuijf</w:t>
      </w:r>
      <w:proofErr w:type="spellEnd"/>
      <w:r w:rsidRPr="009C6D1E">
        <w:rPr>
          <w:sz w:val="20"/>
          <w:szCs w:val="20"/>
          <w:lang w:bidi="ar-DZ"/>
        </w:rPr>
        <w:t xml:space="preserve"> JD, </w:t>
      </w:r>
      <w:proofErr w:type="spellStart"/>
      <w:r w:rsidRPr="009C6D1E">
        <w:rPr>
          <w:sz w:val="20"/>
          <w:szCs w:val="20"/>
          <w:lang w:bidi="ar-DZ"/>
        </w:rPr>
        <w:t>Pugliese</w:t>
      </w:r>
      <w:proofErr w:type="spellEnd"/>
      <w:r w:rsidRPr="009C6D1E">
        <w:rPr>
          <w:sz w:val="20"/>
          <w:szCs w:val="20"/>
          <w:lang w:bidi="ar-DZ"/>
        </w:rPr>
        <w:t xml:space="preserve"> F. </w:t>
      </w:r>
      <w:r w:rsidR="00440137" w:rsidRPr="009C6D1E">
        <w:rPr>
          <w:i/>
          <w:iCs/>
          <w:sz w:val="20"/>
          <w:szCs w:val="20"/>
          <w:lang w:val="en-GB" w:bidi="ar-EG"/>
        </w:rPr>
        <w:t>et al.</w:t>
      </w:r>
      <w:r w:rsidR="00440137" w:rsidRPr="009C6D1E">
        <w:rPr>
          <w:sz w:val="20"/>
          <w:szCs w:val="20"/>
          <w:lang w:val="en-GB" w:bidi="ar-EG"/>
        </w:rPr>
        <w:t xml:space="preserve"> </w:t>
      </w:r>
      <w:r w:rsidRPr="009C6D1E">
        <w:rPr>
          <w:sz w:val="20"/>
          <w:szCs w:val="20"/>
          <w:lang w:bidi="ar-DZ"/>
        </w:rPr>
        <w:t xml:space="preserve">Usefulness of 64-slice </w:t>
      </w:r>
      <w:proofErr w:type="spellStart"/>
      <w:r w:rsidRPr="009C6D1E">
        <w:rPr>
          <w:sz w:val="20"/>
          <w:szCs w:val="20"/>
          <w:lang w:bidi="ar-DZ"/>
        </w:rPr>
        <w:t>multislice</w:t>
      </w:r>
      <w:proofErr w:type="spellEnd"/>
      <w:r w:rsidRPr="009C6D1E">
        <w:rPr>
          <w:sz w:val="20"/>
          <w:szCs w:val="20"/>
          <w:lang w:bidi="ar-DZ"/>
        </w:rPr>
        <w:t xml:space="preserve"> computed tomography coronary angiography to assess in-stent </w:t>
      </w:r>
      <w:proofErr w:type="spellStart"/>
      <w:r w:rsidRPr="009C6D1E">
        <w:rPr>
          <w:sz w:val="20"/>
          <w:szCs w:val="20"/>
          <w:lang w:bidi="ar-DZ"/>
        </w:rPr>
        <w:t>restenosis</w:t>
      </w:r>
      <w:proofErr w:type="spellEnd"/>
      <w:r w:rsidRPr="009C6D1E">
        <w:rPr>
          <w:sz w:val="20"/>
          <w:szCs w:val="20"/>
          <w:lang w:bidi="ar-DZ"/>
        </w:rPr>
        <w:t xml:space="preserve">. J Am </w:t>
      </w:r>
      <w:proofErr w:type="spellStart"/>
      <w:r w:rsidRPr="009C6D1E">
        <w:rPr>
          <w:sz w:val="20"/>
          <w:szCs w:val="20"/>
          <w:lang w:bidi="ar-DZ"/>
        </w:rPr>
        <w:t>Coll</w:t>
      </w:r>
      <w:proofErr w:type="spellEnd"/>
      <w:r w:rsidRPr="009C6D1E">
        <w:rPr>
          <w:sz w:val="20"/>
          <w:szCs w:val="20"/>
          <w:lang w:bidi="ar-DZ"/>
        </w:rPr>
        <w:t xml:space="preserve"> </w:t>
      </w:r>
      <w:proofErr w:type="spellStart"/>
      <w:r w:rsidRPr="009C6D1E">
        <w:rPr>
          <w:sz w:val="20"/>
          <w:szCs w:val="20"/>
          <w:lang w:bidi="ar-DZ"/>
        </w:rPr>
        <w:t>Cardiol</w:t>
      </w:r>
      <w:proofErr w:type="spellEnd"/>
      <w:r w:rsidRPr="009C6D1E">
        <w:rPr>
          <w:sz w:val="20"/>
          <w:szCs w:val="20"/>
          <w:lang w:bidi="ar-DZ"/>
        </w:rPr>
        <w:t xml:space="preserve"> 2007, 49:2204–2210</w:t>
      </w:r>
      <w:r w:rsidR="006F298F">
        <w:rPr>
          <w:sz w:val="20"/>
          <w:szCs w:val="20"/>
          <w:lang w:bidi="ar-DZ"/>
        </w:rPr>
        <w:t>.</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proofErr w:type="spellStart"/>
      <w:r w:rsidRPr="009C6D1E">
        <w:rPr>
          <w:sz w:val="20"/>
          <w:szCs w:val="20"/>
          <w:lang w:bidi="ar-DZ"/>
        </w:rPr>
        <w:t>Seifarth</w:t>
      </w:r>
      <w:proofErr w:type="spellEnd"/>
      <w:r w:rsidRPr="009C6D1E">
        <w:rPr>
          <w:sz w:val="20"/>
          <w:szCs w:val="20"/>
          <w:lang w:bidi="ar-DZ"/>
        </w:rPr>
        <w:t xml:space="preserve"> H, </w:t>
      </w:r>
      <w:proofErr w:type="spellStart"/>
      <w:r w:rsidRPr="009C6D1E">
        <w:rPr>
          <w:sz w:val="20"/>
          <w:szCs w:val="20"/>
          <w:lang w:bidi="ar-DZ"/>
        </w:rPr>
        <w:t>Raupach</w:t>
      </w:r>
      <w:proofErr w:type="spellEnd"/>
      <w:r w:rsidRPr="009C6D1E">
        <w:rPr>
          <w:sz w:val="20"/>
          <w:szCs w:val="20"/>
          <w:lang w:bidi="ar-DZ"/>
        </w:rPr>
        <w:t xml:space="preserve"> R, Schaller S, </w:t>
      </w:r>
      <w:r w:rsidR="00440137" w:rsidRPr="009C6D1E">
        <w:rPr>
          <w:i/>
          <w:iCs/>
          <w:sz w:val="20"/>
          <w:szCs w:val="20"/>
          <w:lang w:val="en-GB" w:bidi="ar-EG"/>
        </w:rPr>
        <w:t>et al.</w:t>
      </w:r>
      <w:r w:rsidR="00440137" w:rsidRPr="009C6D1E">
        <w:rPr>
          <w:sz w:val="20"/>
          <w:szCs w:val="20"/>
          <w:lang w:val="en-GB" w:bidi="ar-EG"/>
        </w:rPr>
        <w:t xml:space="preserve"> </w:t>
      </w:r>
      <w:r w:rsidRPr="009C6D1E">
        <w:rPr>
          <w:sz w:val="20"/>
          <w:szCs w:val="20"/>
          <w:lang w:bidi="ar-DZ"/>
        </w:rPr>
        <w:t xml:space="preserve">Assessment of coronary artery stents using 16-slice MDCT angiography: evaluation of a dedicated reconstruction kernel and a noise reduction filter. </w:t>
      </w:r>
      <w:proofErr w:type="spellStart"/>
      <w:r w:rsidRPr="009C6D1E">
        <w:rPr>
          <w:sz w:val="20"/>
          <w:szCs w:val="20"/>
          <w:lang w:bidi="ar-DZ"/>
        </w:rPr>
        <w:t>Eur</w:t>
      </w:r>
      <w:proofErr w:type="spellEnd"/>
      <w:r w:rsidRPr="009C6D1E">
        <w:rPr>
          <w:sz w:val="20"/>
          <w:szCs w:val="20"/>
          <w:lang w:bidi="ar-DZ"/>
        </w:rPr>
        <w:t xml:space="preserve"> </w:t>
      </w:r>
      <w:proofErr w:type="spellStart"/>
      <w:r w:rsidRPr="009C6D1E">
        <w:rPr>
          <w:sz w:val="20"/>
          <w:szCs w:val="20"/>
          <w:lang w:bidi="ar-DZ"/>
        </w:rPr>
        <w:t>Radiol</w:t>
      </w:r>
      <w:proofErr w:type="spellEnd"/>
      <w:r w:rsidRPr="009C6D1E">
        <w:rPr>
          <w:sz w:val="20"/>
          <w:szCs w:val="20"/>
          <w:lang w:bidi="ar-DZ"/>
        </w:rPr>
        <w:t xml:space="preserve"> 2005. 15:721–726</w:t>
      </w:r>
      <w:r w:rsidR="006F298F">
        <w:rPr>
          <w:sz w:val="20"/>
          <w:szCs w:val="20"/>
          <w:lang w:bidi="ar-DZ"/>
        </w:rPr>
        <w:t>.</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proofErr w:type="spellStart"/>
      <w:r w:rsidRPr="009C6D1E">
        <w:rPr>
          <w:sz w:val="20"/>
          <w:szCs w:val="20"/>
          <w:lang w:bidi="ar-DZ"/>
        </w:rPr>
        <w:t>Chabbert</w:t>
      </w:r>
      <w:proofErr w:type="spellEnd"/>
      <w:r w:rsidRPr="009C6D1E">
        <w:rPr>
          <w:sz w:val="20"/>
          <w:szCs w:val="20"/>
          <w:lang w:bidi="ar-DZ"/>
        </w:rPr>
        <w:t xml:space="preserve"> V, Carrie D, </w:t>
      </w:r>
      <w:proofErr w:type="spellStart"/>
      <w:r w:rsidRPr="009C6D1E">
        <w:rPr>
          <w:sz w:val="20"/>
          <w:szCs w:val="20"/>
          <w:lang w:bidi="ar-DZ"/>
        </w:rPr>
        <w:t>Bennaceur</w:t>
      </w:r>
      <w:proofErr w:type="spellEnd"/>
      <w:r w:rsidRPr="009C6D1E">
        <w:rPr>
          <w:sz w:val="20"/>
          <w:szCs w:val="20"/>
          <w:lang w:bidi="ar-DZ"/>
        </w:rPr>
        <w:t xml:space="preserve"> M, </w:t>
      </w:r>
      <w:r w:rsidR="00440137" w:rsidRPr="009C6D1E">
        <w:rPr>
          <w:i/>
          <w:iCs/>
          <w:sz w:val="20"/>
          <w:szCs w:val="20"/>
          <w:lang w:val="en-GB" w:bidi="ar-EG"/>
        </w:rPr>
        <w:t>et al.</w:t>
      </w:r>
      <w:r w:rsidR="00440137" w:rsidRPr="009C6D1E">
        <w:rPr>
          <w:sz w:val="20"/>
          <w:szCs w:val="20"/>
          <w:lang w:val="en-GB" w:bidi="ar-EG"/>
        </w:rPr>
        <w:t xml:space="preserve"> </w:t>
      </w:r>
      <w:r w:rsidRPr="009C6D1E">
        <w:rPr>
          <w:sz w:val="20"/>
          <w:szCs w:val="20"/>
          <w:lang w:bidi="ar-DZ"/>
        </w:rPr>
        <w:t xml:space="preserve">Evaluation of in-stent </w:t>
      </w:r>
      <w:proofErr w:type="spellStart"/>
      <w:r w:rsidRPr="009C6D1E">
        <w:rPr>
          <w:sz w:val="20"/>
          <w:szCs w:val="20"/>
          <w:lang w:bidi="ar-DZ"/>
        </w:rPr>
        <w:t>restenosis</w:t>
      </w:r>
      <w:proofErr w:type="spellEnd"/>
      <w:r w:rsidRPr="009C6D1E">
        <w:rPr>
          <w:sz w:val="20"/>
          <w:szCs w:val="20"/>
          <w:lang w:bidi="ar-DZ"/>
        </w:rPr>
        <w:t xml:space="preserve"> in proximal coronary arteries with </w:t>
      </w:r>
      <w:proofErr w:type="spellStart"/>
      <w:r w:rsidRPr="009C6D1E">
        <w:rPr>
          <w:sz w:val="20"/>
          <w:szCs w:val="20"/>
          <w:lang w:bidi="ar-DZ"/>
        </w:rPr>
        <w:t>multidetector</w:t>
      </w:r>
      <w:proofErr w:type="spellEnd"/>
      <w:r w:rsidRPr="009C6D1E">
        <w:rPr>
          <w:sz w:val="20"/>
          <w:szCs w:val="20"/>
          <w:lang w:bidi="ar-DZ"/>
        </w:rPr>
        <w:t xml:space="preserve"> computed tomography (MDCT). </w:t>
      </w:r>
      <w:proofErr w:type="spellStart"/>
      <w:r w:rsidRPr="009C6D1E">
        <w:rPr>
          <w:sz w:val="20"/>
          <w:szCs w:val="20"/>
          <w:lang w:bidi="ar-DZ"/>
        </w:rPr>
        <w:t>Eur</w:t>
      </w:r>
      <w:proofErr w:type="spellEnd"/>
      <w:r w:rsidRPr="009C6D1E">
        <w:rPr>
          <w:sz w:val="20"/>
          <w:szCs w:val="20"/>
          <w:lang w:bidi="ar-DZ"/>
        </w:rPr>
        <w:t xml:space="preserve"> </w:t>
      </w:r>
      <w:proofErr w:type="spellStart"/>
      <w:r w:rsidRPr="009C6D1E">
        <w:rPr>
          <w:sz w:val="20"/>
          <w:szCs w:val="20"/>
          <w:lang w:bidi="ar-DZ"/>
        </w:rPr>
        <w:t>Radiol</w:t>
      </w:r>
      <w:proofErr w:type="spellEnd"/>
      <w:r w:rsidRPr="009C6D1E">
        <w:rPr>
          <w:sz w:val="20"/>
          <w:szCs w:val="20"/>
          <w:lang w:bidi="ar-DZ"/>
        </w:rPr>
        <w:t xml:space="preserve"> 2006. 17:1452–1463</w:t>
      </w:r>
      <w:r w:rsidR="006F298F">
        <w:rPr>
          <w:sz w:val="20"/>
          <w:szCs w:val="20"/>
          <w:lang w:bidi="ar-DZ"/>
        </w:rPr>
        <w:t>.</w:t>
      </w:r>
    </w:p>
    <w:p w:rsidR="00176F1E" w:rsidRPr="009C6D1E" w:rsidRDefault="00176F1E" w:rsidP="009C6D1E">
      <w:pPr>
        <w:numPr>
          <w:ilvl w:val="0"/>
          <w:numId w:val="5"/>
        </w:numPr>
        <w:tabs>
          <w:tab w:val="clear" w:pos="720"/>
        </w:tabs>
        <w:suppressAutoHyphens w:val="0"/>
        <w:autoSpaceDE w:val="0"/>
        <w:autoSpaceDN w:val="0"/>
        <w:adjustRightInd w:val="0"/>
        <w:snapToGrid w:val="0"/>
        <w:ind w:left="425" w:hanging="425"/>
        <w:jc w:val="both"/>
        <w:rPr>
          <w:sz w:val="20"/>
          <w:szCs w:val="20"/>
          <w:lang w:bidi="ar-DZ"/>
        </w:rPr>
      </w:pPr>
      <w:r w:rsidRPr="009C6D1E">
        <w:rPr>
          <w:sz w:val="20"/>
          <w:szCs w:val="20"/>
          <w:lang w:bidi="ar-DZ"/>
        </w:rPr>
        <w:t xml:space="preserve">Chung SH, Kim YJ, </w:t>
      </w:r>
      <w:proofErr w:type="spellStart"/>
      <w:r w:rsidRPr="009C6D1E">
        <w:rPr>
          <w:sz w:val="20"/>
          <w:szCs w:val="20"/>
          <w:lang w:bidi="ar-DZ"/>
        </w:rPr>
        <w:t>Hur</w:t>
      </w:r>
      <w:proofErr w:type="spellEnd"/>
      <w:r w:rsidRPr="009C6D1E">
        <w:rPr>
          <w:sz w:val="20"/>
          <w:szCs w:val="20"/>
          <w:lang w:bidi="ar-DZ"/>
        </w:rPr>
        <w:t xml:space="preserve"> J, </w:t>
      </w:r>
      <w:r w:rsidR="00440137" w:rsidRPr="009C6D1E">
        <w:rPr>
          <w:i/>
          <w:iCs/>
          <w:sz w:val="20"/>
          <w:szCs w:val="20"/>
          <w:lang w:val="en-GB" w:bidi="ar-EG"/>
        </w:rPr>
        <w:t>et al.</w:t>
      </w:r>
      <w:r w:rsidR="00440137" w:rsidRPr="009C6D1E">
        <w:rPr>
          <w:sz w:val="20"/>
          <w:szCs w:val="20"/>
          <w:lang w:val="en-GB" w:bidi="ar-EG"/>
        </w:rPr>
        <w:t xml:space="preserve"> </w:t>
      </w:r>
      <w:r w:rsidRPr="009C6D1E">
        <w:rPr>
          <w:sz w:val="20"/>
          <w:szCs w:val="20"/>
          <w:lang w:bidi="ar-DZ"/>
        </w:rPr>
        <w:t xml:space="preserve">Evaluation of coronary artery in-stent </w:t>
      </w:r>
      <w:proofErr w:type="spellStart"/>
      <w:r w:rsidRPr="009C6D1E">
        <w:rPr>
          <w:sz w:val="20"/>
          <w:szCs w:val="20"/>
          <w:lang w:bidi="ar-DZ"/>
        </w:rPr>
        <w:t>restenosis</w:t>
      </w:r>
      <w:proofErr w:type="spellEnd"/>
      <w:r w:rsidRPr="009C6D1E">
        <w:rPr>
          <w:sz w:val="20"/>
          <w:szCs w:val="20"/>
          <w:lang w:bidi="ar-DZ"/>
        </w:rPr>
        <w:t xml:space="preserve"> by 64-section computed tomography: factors affecting assessment and accurate diagnosis. J </w:t>
      </w:r>
      <w:proofErr w:type="spellStart"/>
      <w:r w:rsidRPr="009C6D1E">
        <w:rPr>
          <w:sz w:val="20"/>
          <w:szCs w:val="20"/>
          <w:lang w:bidi="ar-DZ"/>
        </w:rPr>
        <w:t>Thorac</w:t>
      </w:r>
      <w:proofErr w:type="spellEnd"/>
      <w:r w:rsidRPr="009C6D1E">
        <w:rPr>
          <w:sz w:val="20"/>
          <w:szCs w:val="20"/>
          <w:lang w:bidi="ar-DZ"/>
        </w:rPr>
        <w:t xml:space="preserve"> Imaging 2010. Feb; 25(1):57-63.</w:t>
      </w:r>
    </w:p>
    <w:p w:rsidR="00E85D24" w:rsidRPr="006F298F" w:rsidRDefault="00176F1E" w:rsidP="00E85D24">
      <w:pPr>
        <w:numPr>
          <w:ilvl w:val="0"/>
          <w:numId w:val="5"/>
        </w:numPr>
        <w:tabs>
          <w:tab w:val="clear" w:pos="720"/>
          <w:tab w:val="num" w:pos="284"/>
        </w:tabs>
        <w:suppressAutoHyphens w:val="0"/>
        <w:autoSpaceDE w:val="0"/>
        <w:autoSpaceDN w:val="0"/>
        <w:adjustRightInd w:val="0"/>
        <w:snapToGrid w:val="0"/>
        <w:ind w:left="425" w:hanging="425"/>
        <w:jc w:val="both"/>
        <w:rPr>
          <w:b/>
          <w:sz w:val="20"/>
          <w:szCs w:val="20"/>
          <w:lang w:val="en-GB"/>
        </w:rPr>
      </w:pPr>
      <w:proofErr w:type="spellStart"/>
      <w:r w:rsidRPr="006F298F">
        <w:rPr>
          <w:sz w:val="20"/>
          <w:szCs w:val="20"/>
          <w:lang w:bidi="ar-DZ"/>
        </w:rPr>
        <w:t>Kumbhani</w:t>
      </w:r>
      <w:proofErr w:type="spellEnd"/>
      <w:r w:rsidRPr="006F298F">
        <w:rPr>
          <w:sz w:val="20"/>
          <w:szCs w:val="20"/>
          <w:lang w:bidi="ar-DZ"/>
        </w:rPr>
        <w:t xml:space="preserve"> DJ, </w:t>
      </w:r>
      <w:proofErr w:type="spellStart"/>
      <w:r w:rsidRPr="006F298F">
        <w:rPr>
          <w:sz w:val="20"/>
          <w:szCs w:val="20"/>
          <w:lang w:bidi="ar-DZ"/>
        </w:rPr>
        <w:t>Ingelmo</w:t>
      </w:r>
      <w:proofErr w:type="spellEnd"/>
      <w:r w:rsidRPr="006F298F">
        <w:rPr>
          <w:sz w:val="20"/>
          <w:szCs w:val="20"/>
          <w:lang w:bidi="ar-DZ"/>
        </w:rPr>
        <w:t xml:space="preserve"> CP, </w:t>
      </w:r>
      <w:proofErr w:type="spellStart"/>
      <w:r w:rsidRPr="006F298F">
        <w:rPr>
          <w:sz w:val="20"/>
          <w:szCs w:val="20"/>
          <w:lang w:bidi="ar-DZ"/>
        </w:rPr>
        <w:t>Schoenhagen</w:t>
      </w:r>
      <w:proofErr w:type="spellEnd"/>
      <w:r w:rsidRPr="006F298F">
        <w:rPr>
          <w:sz w:val="20"/>
          <w:szCs w:val="20"/>
          <w:lang w:bidi="ar-DZ"/>
        </w:rPr>
        <w:t xml:space="preserve"> P, Curtin RJ, </w:t>
      </w:r>
      <w:proofErr w:type="spellStart"/>
      <w:r w:rsidRPr="006F298F">
        <w:rPr>
          <w:sz w:val="20"/>
          <w:szCs w:val="20"/>
          <w:lang w:bidi="ar-DZ"/>
        </w:rPr>
        <w:t>Flamm</w:t>
      </w:r>
      <w:proofErr w:type="spellEnd"/>
      <w:r w:rsidRPr="006F298F">
        <w:rPr>
          <w:sz w:val="20"/>
          <w:szCs w:val="20"/>
          <w:lang w:bidi="ar-DZ"/>
        </w:rPr>
        <w:t xml:space="preserve"> SD, Desai MY. Meta-analysis of diagnostic efficacy of 64-slice computed tomography in the evaluation of coronary in-stent </w:t>
      </w:r>
      <w:proofErr w:type="spellStart"/>
      <w:r w:rsidRPr="006F298F">
        <w:rPr>
          <w:sz w:val="20"/>
          <w:szCs w:val="20"/>
          <w:lang w:bidi="ar-DZ"/>
        </w:rPr>
        <w:t>restenosis</w:t>
      </w:r>
      <w:proofErr w:type="spellEnd"/>
      <w:r w:rsidRPr="006F298F">
        <w:rPr>
          <w:sz w:val="20"/>
          <w:szCs w:val="20"/>
          <w:lang w:bidi="ar-DZ"/>
        </w:rPr>
        <w:t xml:space="preserve">. Am J </w:t>
      </w:r>
      <w:proofErr w:type="spellStart"/>
      <w:r w:rsidRPr="006F298F">
        <w:rPr>
          <w:sz w:val="20"/>
          <w:szCs w:val="20"/>
          <w:lang w:bidi="ar-DZ"/>
        </w:rPr>
        <w:t>Cardiol</w:t>
      </w:r>
      <w:proofErr w:type="spellEnd"/>
      <w:r w:rsidRPr="006F298F">
        <w:rPr>
          <w:sz w:val="20"/>
          <w:szCs w:val="20"/>
          <w:lang w:bidi="ar-DZ"/>
        </w:rPr>
        <w:t xml:space="preserve"> 2009. Jun 15; 103(12) 1675-81.</w:t>
      </w:r>
      <w:r w:rsidR="006F298F" w:rsidRPr="006F298F">
        <w:rPr>
          <w:sz w:val="20"/>
          <w:szCs w:val="20"/>
          <w:lang w:bidi="ar-DZ"/>
        </w:rPr>
        <w:t xml:space="preserve"> </w:t>
      </w:r>
    </w:p>
    <w:p w:rsidR="00E85D24" w:rsidRPr="009C6D1E" w:rsidRDefault="00E85D24" w:rsidP="00E85D24">
      <w:pPr>
        <w:tabs>
          <w:tab w:val="num" w:pos="284"/>
        </w:tabs>
        <w:snapToGrid w:val="0"/>
        <w:ind w:left="425" w:hanging="425"/>
        <w:jc w:val="both"/>
        <w:rPr>
          <w:b/>
          <w:sz w:val="20"/>
          <w:szCs w:val="20"/>
          <w:lang w:val="en-GB"/>
        </w:rPr>
        <w:sectPr w:rsidR="00E85D24" w:rsidRPr="009C6D1E" w:rsidSect="00453B71">
          <w:footnotePr>
            <w:pos w:val="beneathText"/>
          </w:footnotePr>
          <w:type w:val="continuous"/>
          <w:pgSz w:w="12240" w:h="15840" w:code="1"/>
          <w:pgMar w:top="1440" w:right="1440" w:bottom="1440" w:left="1440" w:header="720" w:footer="720" w:gutter="0"/>
          <w:cols w:num="2" w:space="720"/>
          <w:docGrid w:linePitch="360"/>
        </w:sectPr>
      </w:pPr>
    </w:p>
    <w:p w:rsidR="00E85D24" w:rsidRPr="009C6D1E" w:rsidRDefault="00E85D24" w:rsidP="00E85D24">
      <w:pPr>
        <w:tabs>
          <w:tab w:val="num" w:pos="284"/>
        </w:tabs>
        <w:snapToGrid w:val="0"/>
        <w:ind w:left="425" w:hanging="425"/>
        <w:jc w:val="both"/>
        <w:rPr>
          <w:b/>
          <w:sz w:val="20"/>
          <w:szCs w:val="20"/>
          <w:lang w:val="en-GB"/>
        </w:rPr>
      </w:pPr>
    </w:p>
    <w:p w:rsidR="00E831CD" w:rsidRDefault="00E831CD" w:rsidP="00E85D24">
      <w:pPr>
        <w:tabs>
          <w:tab w:val="num" w:pos="284"/>
        </w:tabs>
        <w:snapToGrid w:val="0"/>
        <w:ind w:left="425" w:hanging="425"/>
        <w:jc w:val="both"/>
        <w:rPr>
          <w:b/>
          <w:sz w:val="20"/>
          <w:szCs w:val="20"/>
          <w:lang w:val="en-GB" w:eastAsia="zh-CN"/>
        </w:rPr>
      </w:pPr>
    </w:p>
    <w:p w:rsidR="009C6D1E" w:rsidRPr="009C6D1E" w:rsidRDefault="009C6D1E" w:rsidP="00E85D24">
      <w:pPr>
        <w:tabs>
          <w:tab w:val="num" w:pos="284"/>
        </w:tabs>
        <w:snapToGrid w:val="0"/>
        <w:ind w:left="425" w:hanging="425"/>
        <w:jc w:val="both"/>
        <w:rPr>
          <w:b/>
          <w:sz w:val="20"/>
          <w:szCs w:val="20"/>
          <w:lang w:val="en-GB" w:eastAsia="zh-CN"/>
        </w:rPr>
      </w:pPr>
    </w:p>
    <w:p w:rsidR="00176F1E" w:rsidRPr="009C6D1E" w:rsidRDefault="00E831CD" w:rsidP="00E85D24">
      <w:pPr>
        <w:tabs>
          <w:tab w:val="num" w:pos="284"/>
        </w:tabs>
        <w:snapToGrid w:val="0"/>
        <w:ind w:left="425" w:hanging="425"/>
        <w:jc w:val="both"/>
        <w:rPr>
          <w:sz w:val="20"/>
          <w:szCs w:val="20"/>
          <w:lang w:val="en-GB"/>
        </w:rPr>
      </w:pPr>
      <w:r w:rsidRPr="009C6D1E">
        <w:rPr>
          <w:sz w:val="20"/>
          <w:szCs w:val="20"/>
          <w:lang w:val="en-GB"/>
        </w:rPr>
        <w:t>10/2/2014</w:t>
      </w:r>
    </w:p>
    <w:sectPr w:rsidR="00176F1E" w:rsidRPr="009C6D1E" w:rsidSect="00453B7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8FF" w:rsidRDefault="000938FF">
      <w:r>
        <w:separator/>
      </w:r>
    </w:p>
  </w:endnote>
  <w:endnote w:type="continuationSeparator" w:id="0">
    <w:p w:rsidR="000938FF" w:rsidRDefault="00093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D24" w:rsidRDefault="00FE4FF3" w:rsidP="00B3167C">
    <w:pPr>
      <w:pStyle w:val="Footer"/>
      <w:framePr w:wrap="around" w:vAnchor="text" w:hAnchor="margin" w:xAlign="center" w:y="1"/>
      <w:rPr>
        <w:rStyle w:val="PageNumber"/>
      </w:rPr>
    </w:pPr>
    <w:r>
      <w:rPr>
        <w:rStyle w:val="PageNumber"/>
      </w:rPr>
      <w:fldChar w:fldCharType="begin"/>
    </w:r>
    <w:r w:rsidR="00E85D24">
      <w:rPr>
        <w:rStyle w:val="PageNumber"/>
      </w:rPr>
      <w:instrText xml:space="preserve">PAGE  </w:instrText>
    </w:r>
    <w:r>
      <w:rPr>
        <w:rStyle w:val="PageNumber"/>
      </w:rPr>
      <w:fldChar w:fldCharType="end"/>
    </w:r>
  </w:p>
  <w:p w:rsidR="00E85D24" w:rsidRDefault="00E85D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D24" w:rsidRPr="00E831CD" w:rsidRDefault="00FE4FF3" w:rsidP="00E831CD">
    <w:pPr>
      <w:jc w:val="center"/>
      <w:rPr>
        <w:sz w:val="20"/>
      </w:rPr>
    </w:pPr>
    <w:r w:rsidRPr="00E831CD">
      <w:rPr>
        <w:sz w:val="20"/>
      </w:rPr>
      <w:fldChar w:fldCharType="begin"/>
    </w:r>
    <w:r w:rsidR="00E831CD" w:rsidRPr="00E831CD">
      <w:rPr>
        <w:sz w:val="20"/>
      </w:rPr>
      <w:instrText xml:space="preserve"> page </w:instrText>
    </w:r>
    <w:r w:rsidRPr="00E831CD">
      <w:rPr>
        <w:sz w:val="20"/>
      </w:rPr>
      <w:fldChar w:fldCharType="separate"/>
    </w:r>
    <w:r w:rsidR="00966BF3">
      <w:rPr>
        <w:noProof/>
        <w:sz w:val="20"/>
      </w:rPr>
      <w:t>139</w:t>
    </w:r>
    <w:r w:rsidRPr="00E831C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FE4FF3"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FE4FF3"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526509">
      <w:rPr>
        <w:rStyle w:val="PageNumber"/>
        <w:noProof/>
        <w:sz w:val="20"/>
        <w:szCs w:val="20"/>
      </w:rPr>
      <w:t>144</w:t>
    </w:r>
    <w:r w:rsidRPr="00B3167C">
      <w:rPr>
        <w:rStyle w:val="PageNumber"/>
        <w:sz w:val="20"/>
        <w:szCs w:val="20"/>
      </w:rPr>
      <w:fldChar w:fldCharType="end"/>
    </w:r>
  </w:p>
  <w:p w:rsidR="00471E57" w:rsidRDefault="00471E57" w:rsidP="009C6D1E">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8FF" w:rsidRDefault="000938FF">
      <w:r>
        <w:separator/>
      </w:r>
    </w:p>
  </w:footnote>
  <w:footnote w:type="continuationSeparator" w:id="0">
    <w:p w:rsidR="000938FF" w:rsidRDefault="00093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1CD" w:rsidRPr="00E831CD" w:rsidRDefault="00E831CD" w:rsidP="00E831CD">
    <w:pPr>
      <w:pBdr>
        <w:bottom w:val="thinThickMediumGap" w:sz="12" w:space="1" w:color="auto"/>
      </w:pBdr>
      <w:tabs>
        <w:tab w:val="left" w:pos="851"/>
        <w:tab w:val="right" w:pos="8364"/>
      </w:tabs>
      <w:adjustRightInd w:val="0"/>
      <w:snapToGrid w:val="0"/>
      <w:jc w:val="both"/>
      <w:rPr>
        <w:sz w:val="20"/>
        <w:szCs w:val="20"/>
      </w:rPr>
    </w:pPr>
    <w:r w:rsidRPr="00E831CD">
      <w:rPr>
        <w:rFonts w:hint="eastAsia"/>
        <w:iCs/>
        <w:color w:val="000000"/>
        <w:sz w:val="20"/>
        <w:szCs w:val="20"/>
      </w:rPr>
      <w:tab/>
    </w:r>
    <w:r w:rsidRPr="00E831CD">
      <w:rPr>
        <w:sz w:val="20"/>
        <w:szCs w:val="20"/>
      </w:rPr>
      <w:t>Nature and Science 201</w:t>
    </w:r>
    <w:r w:rsidRPr="00E831CD">
      <w:rPr>
        <w:rFonts w:hint="eastAsia"/>
        <w:sz w:val="20"/>
        <w:szCs w:val="20"/>
      </w:rPr>
      <w:t>4</w:t>
    </w:r>
    <w:r w:rsidRPr="00E831CD">
      <w:rPr>
        <w:sz w:val="20"/>
        <w:szCs w:val="20"/>
      </w:rPr>
      <w:t>;1</w:t>
    </w:r>
    <w:r w:rsidRPr="00E831CD">
      <w:rPr>
        <w:rFonts w:hint="eastAsia"/>
        <w:sz w:val="20"/>
        <w:szCs w:val="20"/>
      </w:rPr>
      <w:t>2</w:t>
    </w:r>
    <w:r w:rsidRPr="00E831CD">
      <w:rPr>
        <w:sz w:val="20"/>
        <w:szCs w:val="20"/>
      </w:rPr>
      <w:t>(</w:t>
    </w:r>
    <w:r w:rsidRPr="00E831CD">
      <w:rPr>
        <w:rFonts w:hint="eastAsia"/>
        <w:sz w:val="20"/>
        <w:szCs w:val="20"/>
      </w:rPr>
      <w:t>10)</w:t>
    </w:r>
    <w:r w:rsidRPr="00E831CD">
      <w:rPr>
        <w:color w:val="000000"/>
        <w:sz w:val="20"/>
        <w:szCs w:val="20"/>
      </w:rPr>
      <w:t xml:space="preserve"> </w:t>
    </w:r>
    <w:r w:rsidRPr="00E831CD">
      <w:rPr>
        <w:rFonts w:hint="eastAsia"/>
        <w:color w:val="000000"/>
        <w:sz w:val="20"/>
        <w:szCs w:val="20"/>
      </w:rPr>
      <w:tab/>
    </w:r>
    <w:r w:rsidRPr="00E831CD">
      <w:rPr>
        <w:color w:val="000000"/>
        <w:sz w:val="20"/>
        <w:szCs w:val="20"/>
      </w:rPr>
      <w:t xml:space="preserve"> </w:t>
    </w:r>
    <w:hyperlink r:id="rId1" w:history="1">
      <w:r w:rsidRPr="00E831CD">
        <w:rPr>
          <w:rStyle w:val="Hyperlink"/>
          <w:sz w:val="20"/>
          <w:szCs w:val="20"/>
        </w:rPr>
        <w:t>http://www.sciencepub.net/nature</w:t>
      </w:r>
    </w:hyperlink>
  </w:p>
  <w:p w:rsidR="00E831CD" w:rsidRPr="00E831CD" w:rsidRDefault="00E831CD" w:rsidP="00E831CD">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7E9" w:rsidRPr="00647E27" w:rsidRDefault="008A37E9" w:rsidP="008A37E9">
    <w:pPr>
      <w:pBdr>
        <w:bottom w:val="thinThickMediumGap" w:sz="12" w:space="1" w:color="auto"/>
      </w:pBdr>
      <w:tabs>
        <w:tab w:val="left" w:pos="9360"/>
      </w:tabs>
      <w:jc w:val="center"/>
      <w:rPr>
        <w:sz w:val="20"/>
        <w:szCs w:val="20"/>
      </w:rPr>
    </w:pPr>
    <w:r w:rsidRPr="00647E27">
      <w:rPr>
        <w:sz w:val="20"/>
        <w:szCs w:val="20"/>
      </w:rPr>
      <w:t>Nature and Science 201</w:t>
    </w:r>
    <w:r w:rsidR="006F5A6B">
      <w:rPr>
        <w:rFonts w:hint="eastAsia"/>
        <w:sz w:val="20"/>
        <w:szCs w:val="20"/>
        <w:lang w:eastAsia="zh-CN"/>
      </w:rPr>
      <w:t>4</w:t>
    </w:r>
    <w:r w:rsidRPr="00647E27">
      <w:rPr>
        <w:sz w:val="20"/>
        <w:szCs w:val="20"/>
      </w:rPr>
      <w:t>;</w:t>
    </w:r>
    <w:r>
      <w:rPr>
        <w:sz w:val="20"/>
        <w:szCs w:val="20"/>
      </w:rPr>
      <w:t>1</w:t>
    </w:r>
    <w:r w:rsidR="006F5A6B">
      <w:rPr>
        <w:rFonts w:hint="eastAsia"/>
        <w:sz w:val="20"/>
        <w:szCs w:val="20"/>
        <w:lang w:eastAsia="zh-CN"/>
      </w:rPr>
      <w:t>2</w:t>
    </w:r>
    <w:r w:rsidRPr="00647E27">
      <w:rPr>
        <w:sz w:val="20"/>
        <w:szCs w:val="20"/>
      </w:rPr>
      <w:t>(</w:t>
    </w:r>
    <w:r>
      <w:rPr>
        <w:sz w:val="20"/>
        <w:szCs w:val="20"/>
      </w:rPr>
      <w:t>x</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p w:rsidR="00F46A5E" w:rsidRPr="008A37E9" w:rsidRDefault="00F46A5E" w:rsidP="008A37E9">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1209D5"/>
    <w:multiLevelType w:val="hybridMultilevel"/>
    <w:tmpl w:val="9AF077A2"/>
    <w:lvl w:ilvl="0" w:tplc="13D88E08">
      <w:start w:val="1"/>
      <w:numFmt w:val="decimal"/>
      <w:lvlText w:val="%1."/>
      <w:lvlJc w:val="left"/>
      <w:pPr>
        <w:tabs>
          <w:tab w:val="num" w:pos="720"/>
        </w:tabs>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8433"/>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7FB1"/>
    <w:rsid w:val="00080CE9"/>
    <w:rsid w:val="000827B7"/>
    <w:rsid w:val="000871D5"/>
    <w:rsid w:val="00090A06"/>
    <w:rsid w:val="000917CF"/>
    <w:rsid w:val="000938FF"/>
    <w:rsid w:val="000C5F1C"/>
    <w:rsid w:val="000D4463"/>
    <w:rsid w:val="000E1B44"/>
    <w:rsid w:val="0010794D"/>
    <w:rsid w:val="001207E5"/>
    <w:rsid w:val="00176F1E"/>
    <w:rsid w:val="001817C7"/>
    <w:rsid w:val="001901BB"/>
    <w:rsid w:val="001A678A"/>
    <w:rsid w:val="001B41B8"/>
    <w:rsid w:val="0027636F"/>
    <w:rsid w:val="002A0A7E"/>
    <w:rsid w:val="002A3F39"/>
    <w:rsid w:val="002F17FB"/>
    <w:rsid w:val="002F20CD"/>
    <w:rsid w:val="002F6367"/>
    <w:rsid w:val="002F682C"/>
    <w:rsid w:val="00314F95"/>
    <w:rsid w:val="00322FAB"/>
    <w:rsid w:val="00337E37"/>
    <w:rsid w:val="00342698"/>
    <w:rsid w:val="00345581"/>
    <w:rsid w:val="003506F8"/>
    <w:rsid w:val="00374675"/>
    <w:rsid w:val="003C7F3D"/>
    <w:rsid w:val="003D3BEC"/>
    <w:rsid w:val="003E6D9C"/>
    <w:rsid w:val="0042390D"/>
    <w:rsid w:val="00440137"/>
    <w:rsid w:val="00453B71"/>
    <w:rsid w:val="00456753"/>
    <w:rsid w:val="00471E57"/>
    <w:rsid w:val="0047221F"/>
    <w:rsid w:val="0049143E"/>
    <w:rsid w:val="004B04C5"/>
    <w:rsid w:val="004C1816"/>
    <w:rsid w:val="004D0467"/>
    <w:rsid w:val="004D454C"/>
    <w:rsid w:val="00526509"/>
    <w:rsid w:val="00593132"/>
    <w:rsid w:val="005C2F35"/>
    <w:rsid w:val="005F5E04"/>
    <w:rsid w:val="00641FE3"/>
    <w:rsid w:val="0065209A"/>
    <w:rsid w:val="00694EF9"/>
    <w:rsid w:val="006D2418"/>
    <w:rsid w:val="006D5C2E"/>
    <w:rsid w:val="006E183B"/>
    <w:rsid w:val="006E6ACB"/>
    <w:rsid w:val="006F1706"/>
    <w:rsid w:val="006F298F"/>
    <w:rsid w:val="006F5A6B"/>
    <w:rsid w:val="00704AB1"/>
    <w:rsid w:val="00734A5D"/>
    <w:rsid w:val="00736333"/>
    <w:rsid w:val="00781866"/>
    <w:rsid w:val="0078507E"/>
    <w:rsid w:val="007D2C2B"/>
    <w:rsid w:val="007D746F"/>
    <w:rsid w:val="007E2AC7"/>
    <w:rsid w:val="00814FA7"/>
    <w:rsid w:val="00817F9F"/>
    <w:rsid w:val="0086169F"/>
    <w:rsid w:val="008A20AC"/>
    <w:rsid w:val="008A37E9"/>
    <w:rsid w:val="008B4831"/>
    <w:rsid w:val="008C20E4"/>
    <w:rsid w:val="00910C26"/>
    <w:rsid w:val="0091208A"/>
    <w:rsid w:val="00914558"/>
    <w:rsid w:val="0093397E"/>
    <w:rsid w:val="0094140D"/>
    <w:rsid w:val="009458E4"/>
    <w:rsid w:val="009459B3"/>
    <w:rsid w:val="00952EB8"/>
    <w:rsid w:val="00966860"/>
    <w:rsid w:val="00966BF3"/>
    <w:rsid w:val="00973C1F"/>
    <w:rsid w:val="009C6D1E"/>
    <w:rsid w:val="00A2654E"/>
    <w:rsid w:val="00A3476D"/>
    <w:rsid w:val="00B3167C"/>
    <w:rsid w:val="00B35579"/>
    <w:rsid w:val="00B47F73"/>
    <w:rsid w:val="00B60E8D"/>
    <w:rsid w:val="00B80C0E"/>
    <w:rsid w:val="00BB1BF7"/>
    <w:rsid w:val="00BD2A8D"/>
    <w:rsid w:val="00BD7432"/>
    <w:rsid w:val="00BF6579"/>
    <w:rsid w:val="00C2308D"/>
    <w:rsid w:val="00C23621"/>
    <w:rsid w:val="00C412DE"/>
    <w:rsid w:val="00C43A46"/>
    <w:rsid w:val="00C55FBD"/>
    <w:rsid w:val="00C8147E"/>
    <w:rsid w:val="00C92F68"/>
    <w:rsid w:val="00CD54D0"/>
    <w:rsid w:val="00CE7B2F"/>
    <w:rsid w:val="00CF5369"/>
    <w:rsid w:val="00D202D2"/>
    <w:rsid w:val="00D26F2E"/>
    <w:rsid w:val="00D3777A"/>
    <w:rsid w:val="00D45A43"/>
    <w:rsid w:val="00D76768"/>
    <w:rsid w:val="00DD0CD7"/>
    <w:rsid w:val="00DF7353"/>
    <w:rsid w:val="00E00CBB"/>
    <w:rsid w:val="00E2794F"/>
    <w:rsid w:val="00E313D5"/>
    <w:rsid w:val="00E667CD"/>
    <w:rsid w:val="00E831CD"/>
    <w:rsid w:val="00E85D24"/>
    <w:rsid w:val="00EC5C53"/>
    <w:rsid w:val="00ED4441"/>
    <w:rsid w:val="00EF3BA2"/>
    <w:rsid w:val="00EF4701"/>
    <w:rsid w:val="00F4399A"/>
    <w:rsid w:val="00F45062"/>
    <w:rsid w:val="00F46A5E"/>
    <w:rsid w:val="00FB5B6A"/>
    <w:rsid w:val="00FC01C7"/>
    <w:rsid w:val="00FC2367"/>
    <w:rsid w:val="00FC4906"/>
    <w:rsid w:val="00FE4FF3"/>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F5369"/>
    <w:pPr>
      <w:keepNext/>
      <w:tabs>
        <w:tab w:val="num" w:pos="0"/>
      </w:tabs>
      <w:outlineLvl w:val="0"/>
    </w:pPr>
    <w:rPr>
      <w:b/>
      <w:bCs/>
      <w:sz w:val="32"/>
    </w:rPr>
  </w:style>
  <w:style w:type="paragraph" w:styleId="Heading2">
    <w:name w:val="heading 2"/>
    <w:basedOn w:val="Normal"/>
    <w:next w:val="Normal"/>
    <w:qFormat/>
    <w:rsid w:val="00CF5369"/>
    <w:pPr>
      <w:keepNext/>
      <w:tabs>
        <w:tab w:val="num" w:pos="0"/>
      </w:tabs>
      <w:jc w:val="both"/>
      <w:outlineLvl w:val="1"/>
    </w:pPr>
    <w:rPr>
      <w:b/>
      <w:sz w:val="28"/>
    </w:rPr>
  </w:style>
  <w:style w:type="paragraph" w:styleId="Heading3">
    <w:name w:val="heading 3"/>
    <w:basedOn w:val="Normal"/>
    <w:next w:val="Normal"/>
    <w:qFormat/>
    <w:rsid w:val="00CF5369"/>
    <w:pPr>
      <w:keepNext/>
      <w:tabs>
        <w:tab w:val="num" w:pos="0"/>
      </w:tabs>
      <w:spacing w:line="360" w:lineRule="auto"/>
      <w:jc w:val="both"/>
      <w:outlineLvl w:val="2"/>
    </w:pPr>
    <w:rPr>
      <w:b/>
      <w:bCs/>
    </w:rPr>
  </w:style>
  <w:style w:type="paragraph" w:styleId="Heading6">
    <w:name w:val="heading 6"/>
    <w:basedOn w:val="Normal"/>
    <w:next w:val="Normal"/>
    <w:qFormat/>
    <w:rsid w:val="00CF536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F5369"/>
  </w:style>
  <w:style w:type="character" w:customStyle="1" w:styleId="WW-Absatz-Standardschriftart">
    <w:name w:val="WW-Absatz-Standardschriftart"/>
    <w:rsid w:val="00CF5369"/>
  </w:style>
  <w:style w:type="character" w:customStyle="1" w:styleId="WW-Absatz-Standardschriftart1">
    <w:name w:val="WW-Absatz-Standardschriftart1"/>
    <w:rsid w:val="00CF5369"/>
  </w:style>
  <w:style w:type="character" w:customStyle="1" w:styleId="WW-Absatz-Standardschriftart11">
    <w:name w:val="WW-Absatz-Standardschriftart11"/>
    <w:rsid w:val="00CF5369"/>
  </w:style>
  <w:style w:type="character" w:customStyle="1" w:styleId="WW-Absatz-Standardschriftart111">
    <w:name w:val="WW-Absatz-Standardschriftart111"/>
    <w:rsid w:val="00CF5369"/>
  </w:style>
  <w:style w:type="character" w:customStyle="1" w:styleId="WW-Absatz-Standardschriftart1111">
    <w:name w:val="WW-Absatz-Standardschriftart1111"/>
    <w:rsid w:val="00CF5369"/>
  </w:style>
  <w:style w:type="character" w:customStyle="1" w:styleId="WW-Absatz-Standardschriftart11111">
    <w:name w:val="WW-Absatz-Standardschriftart11111"/>
    <w:rsid w:val="00CF5369"/>
  </w:style>
  <w:style w:type="character" w:customStyle="1" w:styleId="WW-Absatz-Standardschriftart111111">
    <w:name w:val="WW-Absatz-Standardschriftart111111"/>
    <w:rsid w:val="00CF5369"/>
  </w:style>
  <w:style w:type="character" w:customStyle="1" w:styleId="WW-Absatz-Standardschriftart1111111">
    <w:name w:val="WW-Absatz-Standardschriftart1111111"/>
    <w:rsid w:val="00CF5369"/>
  </w:style>
  <w:style w:type="character" w:customStyle="1" w:styleId="WW-Absatz-Standardschriftart11111111">
    <w:name w:val="WW-Absatz-Standardschriftart11111111"/>
    <w:rsid w:val="00CF5369"/>
  </w:style>
  <w:style w:type="character" w:customStyle="1" w:styleId="WW-Absatz-Standardschriftart111111111">
    <w:name w:val="WW-Absatz-Standardschriftart111111111"/>
    <w:rsid w:val="00CF5369"/>
  </w:style>
  <w:style w:type="character" w:customStyle="1" w:styleId="WW-Absatz-Standardschriftart1111111111">
    <w:name w:val="WW-Absatz-Standardschriftart1111111111"/>
    <w:rsid w:val="00CF5369"/>
  </w:style>
  <w:style w:type="character" w:customStyle="1" w:styleId="WW-Absatz-Standardschriftart11111111111">
    <w:name w:val="WW-Absatz-Standardschriftart11111111111"/>
    <w:rsid w:val="00CF5369"/>
  </w:style>
  <w:style w:type="character" w:customStyle="1" w:styleId="WW-Absatz-Standardschriftart111111111111">
    <w:name w:val="WW-Absatz-Standardschriftart111111111111"/>
    <w:rsid w:val="00CF5369"/>
  </w:style>
  <w:style w:type="character" w:customStyle="1" w:styleId="WW-Absatz-Standardschriftart1111111111111">
    <w:name w:val="WW-Absatz-Standardschriftart1111111111111"/>
    <w:rsid w:val="00CF5369"/>
  </w:style>
  <w:style w:type="character" w:customStyle="1" w:styleId="WW-Absatz-Standardschriftart11111111111111">
    <w:name w:val="WW-Absatz-Standardschriftart11111111111111"/>
    <w:rsid w:val="00CF5369"/>
  </w:style>
  <w:style w:type="character" w:customStyle="1" w:styleId="WW-Absatz-Standardschriftart111111111111111">
    <w:name w:val="WW-Absatz-Standardschriftart111111111111111"/>
    <w:rsid w:val="00CF5369"/>
  </w:style>
  <w:style w:type="character" w:customStyle="1" w:styleId="WW-Absatz-Standardschriftart1111111111111111">
    <w:name w:val="WW-Absatz-Standardschriftart1111111111111111"/>
    <w:rsid w:val="00CF5369"/>
  </w:style>
  <w:style w:type="character" w:customStyle="1" w:styleId="WW8Num1z0">
    <w:name w:val="WW8Num1z0"/>
    <w:rsid w:val="00CF5369"/>
    <w:rPr>
      <w:rFonts w:ascii="Symbol" w:eastAsia="Times New Roman" w:hAnsi="Symbol" w:cs="Times New Roman"/>
    </w:rPr>
  </w:style>
  <w:style w:type="character" w:customStyle="1" w:styleId="WW8Num1z1">
    <w:name w:val="WW8Num1z1"/>
    <w:rsid w:val="00CF5369"/>
    <w:rPr>
      <w:rFonts w:ascii="Courier New" w:hAnsi="Courier New" w:cs="Courier New"/>
    </w:rPr>
  </w:style>
  <w:style w:type="character" w:customStyle="1" w:styleId="WW8Num1z2">
    <w:name w:val="WW8Num1z2"/>
    <w:rsid w:val="00CF5369"/>
    <w:rPr>
      <w:rFonts w:ascii="Wingdings" w:hAnsi="Wingdings"/>
    </w:rPr>
  </w:style>
  <w:style w:type="character" w:customStyle="1" w:styleId="WW8Num1z3">
    <w:name w:val="WW8Num1z3"/>
    <w:rsid w:val="00CF5369"/>
    <w:rPr>
      <w:rFonts w:ascii="Symbol" w:hAnsi="Symbol"/>
    </w:rPr>
  </w:style>
  <w:style w:type="character" w:styleId="PageNumber">
    <w:name w:val="page number"/>
    <w:basedOn w:val="DefaultParagraphFont"/>
    <w:rsid w:val="00CF5369"/>
  </w:style>
  <w:style w:type="character" w:styleId="Hyperlink">
    <w:name w:val="Hyperlink"/>
    <w:basedOn w:val="DefaultParagraphFont"/>
    <w:rsid w:val="00CF5369"/>
    <w:rPr>
      <w:color w:val="0000FF"/>
      <w:u w:val="single"/>
    </w:rPr>
  </w:style>
  <w:style w:type="character" w:styleId="FollowedHyperlink">
    <w:name w:val="FollowedHyperlink"/>
    <w:basedOn w:val="DefaultParagraphFont"/>
    <w:rsid w:val="00CF5369"/>
    <w:rPr>
      <w:color w:val="800080"/>
      <w:u w:val="single"/>
    </w:rPr>
  </w:style>
  <w:style w:type="character" w:customStyle="1" w:styleId="NumberingSymbols">
    <w:name w:val="Numbering Symbols"/>
    <w:rsid w:val="00CF5369"/>
  </w:style>
  <w:style w:type="paragraph" w:customStyle="1" w:styleId="Heading">
    <w:name w:val="Heading"/>
    <w:basedOn w:val="Normal"/>
    <w:next w:val="BodyText"/>
    <w:rsid w:val="00CF5369"/>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CF5369"/>
    <w:pPr>
      <w:spacing w:line="360" w:lineRule="auto"/>
    </w:pPr>
  </w:style>
  <w:style w:type="paragraph" w:styleId="List">
    <w:name w:val="List"/>
    <w:basedOn w:val="BodyText"/>
    <w:rsid w:val="00CF5369"/>
  </w:style>
  <w:style w:type="paragraph" w:styleId="Caption">
    <w:name w:val="caption"/>
    <w:basedOn w:val="Normal"/>
    <w:qFormat/>
    <w:rsid w:val="00CF5369"/>
    <w:pPr>
      <w:suppressLineNumbers/>
      <w:spacing w:before="120" w:after="120"/>
    </w:pPr>
    <w:rPr>
      <w:i/>
      <w:iCs/>
    </w:rPr>
  </w:style>
  <w:style w:type="paragraph" w:customStyle="1" w:styleId="Index">
    <w:name w:val="Index"/>
    <w:basedOn w:val="Normal"/>
    <w:rsid w:val="00CF5369"/>
    <w:pPr>
      <w:suppressLineNumbers/>
    </w:pPr>
  </w:style>
  <w:style w:type="paragraph" w:styleId="Header">
    <w:name w:val="header"/>
    <w:basedOn w:val="Normal"/>
    <w:next w:val="Heading1"/>
    <w:link w:val="HeaderChar"/>
    <w:rsid w:val="00CF5369"/>
    <w:pPr>
      <w:tabs>
        <w:tab w:val="center" w:pos="4320"/>
        <w:tab w:val="right" w:pos="8640"/>
      </w:tabs>
    </w:pPr>
  </w:style>
  <w:style w:type="paragraph" w:styleId="BodyTextIndent3">
    <w:name w:val="Body Text Indent 3"/>
    <w:basedOn w:val="Normal"/>
    <w:rsid w:val="00CF5369"/>
    <w:pPr>
      <w:spacing w:line="360" w:lineRule="auto"/>
      <w:ind w:firstLine="720"/>
      <w:jc w:val="both"/>
    </w:pPr>
    <w:rPr>
      <w:b/>
      <w:bCs/>
    </w:rPr>
  </w:style>
  <w:style w:type="paragraph" w:styleId="BodyTextIndent">
    <w:name w:val="Body Text Indent"/>
    <w:basedOn w:val="Normal"/>
    <w:rsid w:val="00CF5369"/>
    <w:pPr>
      <w:ind w:left="540" w:hanging="720"/>
      <w:jc w:val="both"/>
    </w:pPr>
  </w:style>
  <w:style w:type="paragraph" w:styleId="BodyTextIndent2">
    <w:name w:val="Body Text Indent 2"/>
    <w:basedOn w:val="Normal"/>
    <w:rsid w:val="00CF5369"/>
    <w:pPr>
      <w:spacing w:line="360" w:lineRule="auto"/>
      <w:ind w:firstLine="720"/>
      <w:jc w:val="both"/>
    </w:pPr>
  </w:style>
  <w:style w:type="paragraph" w:styleId="BodyText2">
    <w:name w:val="Body Text 2"/>
    <w:basedOn w:val="Normal"/>
    <w:rsid w:val="00CF5369"/>
    <w:pPr>
      <w:spacing w:line="360" w:lineRule="auto"/>
      <w:jc w:val="both"/>
    </w:pPr>
  </w:style>
  <w:style w:type="paragraph" w:styleId="Footer">
    <w:name w:val="footer"/>
    <w:basedOn w:val="Normal"/>
    <w:rsid w:val="00CF5369"/>
    <w:pPr>
      <w:tabs>
        <w:tab w:val="center" w:pos="4320"/>
        <w:tab w:val="right" w:pos="8640"/>
      </w:tabs>
    </w:pPr>
    <w:rPr>
      <w:sz w:val="32"/>
    </w:rPr>
  </w:style>
  <w:style w:type="paragraph" w:customStyle="1" w:styleId="TableContents">
    <w:name w:val="Table Contents"/>
    <w:basedOn w:val="Normal"/>
    <w:rsid w:val="00CF5369"/>
    <w:pPr>
      <w:suppressLineNumbers/>
    </w:pPr>
  </w:style>
  <w:style w:type="paragraph" w:customStyle="1" w:styleId="TableHeading">
    <w:name w:val="Table Heading"/>
    <w:basedOn w:val="TableContents"/>
    <w:rsid w:val="00CF5369"/>
    <w:pPr>
      <w:jc w:val="center"/>
    </w:pPr>
    <w:rPr>
      <w:b/>
      <w:bCs/>
    </w:rPr>
  </w:style>
  <w:style w:type="paragraph" w:customStyle="1" w:styleId="Framecontents">
    <w:name w:val="Frame contents"/>
    <w:basedOn w:val="BodyText"/>
    <w:rsid w:val="00CF5369"/>
  </w:style>
  <w:style w:type="paragraph" w:customStyle="1" w:styleId="Text">
    <w:name w:val="Text"/>
    <w:basedOn w:val="Normal"/>
    <w:rsid w:val="00CF5369"/>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table" w:styleId="TableGrid">
    <w:name w:val="Table Grid"/>
    <w:basedOn w:val="TableNormal"/>
    <w:uiPriority w:val="59"/>
    <w:rsid w:val="00E313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76F1E"/>
    <w:rPr>
      <w:sz w:val="24"/>
      <w:szCs w:val="24"/>
      <w:lang w:eastAsia="ar-SA"/>
    </w:rPr>
  </w:style>
  <w:style w:type="paragraph" w:styleId="ListParagraph">
    <w:name w:val="List Paragraph"/>
    <w:basedOn w:val="Normal"/>
    <w:uiPriority w:val="34"/>
    <w:qFormat/>
    <w:rsid w:val="00176F1E"/>
    <w:pPr>
      <w:suppressAutoHyphens w:val="0"/>
      <w:spacing w:after="200" w:line="276" w:lineRule="auto"/>
      <w:ind w:left="720"/>
    </w:pPr>
    <w:rPr>
      <w:rFonts w:ascii="Calibri" w:eastAsia="Times New Roman" w:hAnsi="Calibri" w:cs="Arial"/>
      <w:sz w:val="22"/>
      <w:szCs w:val="22"/>
      <w:lang w:eastAsia="en-US"/>
    </w:rPr>
  </w:style>
  <w:style w:type="character" w:styleId="CommentReference">
    <w:name w:val="annotation reference"/>
    <w:basedOn w:val="DefaultParagraphFont"/>
    <w:uiPriority w:val="99"/>
    <w:semiHidden/>
    <w:unhideWhenUsed/>
    <w:rsid w:val="00D76768"/>
    <w:rPr>
      <w:sz w:val="16"/>
      <w:szCs w:val="16"/>
    </w:rPr>
  </w:style>
  <w:style w:type="paragraph" w:styleId="CommentText">
    <w:name w:val="annotation text"/>
    <w:basedOn w:val="Normal"/>
    <w:link w:val="CommentTextChar"/>
    <w:uiPriority w:val="99"/>
    <w:semiHidden/>
    <w:unhideWhenUsed/>
    <w:rsid w:val="00D76768"/>
    <w:rPr>
      <w:sz w:val="20"/>
      <w:szCs w:val="20"/>
    </w:rPr>
  </w:style>
  <w:style w:type="character" w:customStyle="1" w:styleId="CommentTextChar">
    <w:name w:val="Comment Text Char"/>
    <w:basedOn w:val="DefaultParagraphFont"/>
    <w:link w:val="CommentText"/>
    <w:uiPriority w:val="99"/>
    <w:semiHidden/>
    <w:rsid w:val="00D76768"/>
    <w:rPr>
      <w:lang w:eastAsia="ar-SA"/>
    </w:rPr>
  </w:style>
  <w:style w:type="paragraph" w:styleId="CommentSubject">
    <w:name w:val="annotation subject"/>
    <w:basedOn w:val="CommentText"/>
    <w:next w:val="CommentText"/>
    <w:link w:val="CommentSubjectChar"/>
    <w:uiPriority w:val="99"/>
    <w:semiHidden/>
    <w:unhideWhenUsed/>
    <w:rsid w:val="00D76768"/>
    <w:rPr>
      <w:b/>
      <w:bCs/>
    </w:rPr>
  </w:style>
  <w:style w:type="character" w:customStyle="1" w:styleId="CommentSubjectChar">
    <w:name w:val="Comment Subject Char"/>
    <w:basedOn w:val="CommentTextChar"/>
    <w:link w:val="CommentSubject"/>
    <w:uiPriority w:val="99"/>
    <w:semiHidden/>
    <w:rsid w:val="00D76768"/>
    <w:rPr>
      <w:b/>
      <w:bCs/>
    </w:rPr>
  </w:style>
  <w:style w:type="paragraph" w:styleId="BalloonText">
    <w:name w:val="Balloon Text"/>
    <w:basedOn w:val="Normal"/>
    <w:link w:val="BalloonTextChar"/>
    <w:uiPriority w:val="99"/>
    <w:semiHidden/>
    <w:unhideWhenUsed/>
    <w:rsid w:val="00D76768"/>
    <w:rPr>
      <w:rFonts w:ascii="Tahoma" w:hAnsi="Tahoma" w:cs="Tahoma"/>
      <w:sz w:val="16"/>
      <w:szCs w:val="16"/>
    </w:rPr>
  </w:style>
  <w:style w:type="character" w:customStyle="1" w:styleId="BalloonTextChar">
    <w:name w:val="Balloon Text Char"/>
    <w:basedOn w:val="DefaultParagraphFont"/>
    <w:link w:val="BalloonText"/>
    <w:uiPriority w:val="99"/>
    <w:semiHidden/>
    <w:rsid w:val="00D7676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www.ncbi.nlm.nih.gov/sites/entrez?Db=pubmed&amp;Cmd=Search&amp;Term=%22Karaca%20M%22%5BAuthor%5D&amp;itool=EntrezSystem2.PEntrez.Pubmed.Pubmed_ResultsPanel.Pubmed_RVAbstractPlus" TargetMode="External"/><Relationship Id="rId3" Type="http://schemas.openxmlformats.org/officeDocument/2006/relationships/settings" Target="settings.xml"/><Relationship Id="rId21" Type="http://schemas.openxmlformats.org/officeDocument/2006/relationships/hyperlink" Target="http://www.ncbi.nlm.nih.gov/pubmed?term=%22Martuscelli%20E%22%5BAuthor%5D" TargetMode="External"/><Relationship Id="rId7" Type="http://schemas.openxmlformats.org/officeDocument/2006/relationships/hyperlink" Target="http://www.sciencepub.net/nature" TargetMode="External"/><Relationship Id="rId12" Type="http://schemas.openxmlformats.org/officeDocument/2006/relationships/footer" Target="footer3.xml"/><Relationship Id="rId17" Type="http://schemas.openxmlformats.org/officeDocument/2006/relationships/hyperlink" Target="http://www.ncbi.nlm.nih.gov/sites/entrez?Db=pubmed&amp;Cmd=Search&amp;Term=%22Oncel%20G%22%5BAuthor%5D&amp;itool=EntrezSystem2.PEntrez.Pubmed.Pubmed_ResultsPanel.Pubmed_RVAbstractPl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cbi.nlm.nih.gov/sites/entrez?Db=pubmed&amp;Cmd=Search&amp;Term=%22Oncel%20D%22%5BAuthor%5D&amp;itool=EntrezSystem2.PEntrez.Pubmed.Pubmed_ResultsPanel.Pubmed_RVAbstractPlus" TargetMode="External"/><Relationship Id="rId20" Type="http://schemas.openxmlformats.org/officeDocument/2006/relationships/hyperlink" Target="javascript:AL_get(this,%20'jour',%20'Radiolog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ncbi.nlm.nih.gov/pubmed?term=%22D%27eliseo%20A%22%5BAuthor%5D" TargetMode="External"/><Relationship Id="rId10" Type="http://schemas.openxmlformats.org/officeDocument/2006/relationships/footer" Target="footer2.xml"/><Relationship Id="rId19" Type="http://schemas.openxmlformats.org/officeDocument/2006/relationships/hyperlink" Target="javascript:AL_get(this,%20'jour',%20'Radiology.');"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yperlink" Target="http://www.ncbi.nlm.nih.gov/pubmed?term=%22Romagnoli%20A%22%5BAuthor%5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4522</Words>
  <Characters>25780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30242</CharactersWithSpaces>
  <SharedDoc>false</SharedDoc>
  <HLinks>
    <vt:vector size="84" baseType="variant">
      <vt:variant>
        <vt:i4>655367</vt:i4>
      </vt:variant>
      <vt:variant>
        <vt:i4>30</vt:i4>
      </vt:variant>
      <vt:variant>
        <vt:i4>0</vt:i4>
      </vt:variant>
      <vt:variant>
        <vt:i4>5</vt:i4>
      </vt:variant>
      <vt:variant>
        <vt:lpwstr>http://www.ncbi.nlm.nih.gov/pubmed?term=%22D%27eliseo%20A%22%5BAuthor%5D</vt:lpwstr>
      </vt:variant>
      <vt:variant>
        <vt:lpwstr/>
      </vt:variant>
      <vt:variant>
        <vt:i4>3866749</vt:i4>
      </vt:variant>
      <vt:variant>
        <vt:i4>27</vt:i4>
      </vt:variant>
      <vt:variant>
        <vt:i4>0</vt:i4>
      </vt:variant>
      <vt:variant>
        <vt:i4>5</vt:i4>
      </vt:variant>
      <vt:variant>
        <vt:lpwstr>http://www.ncbi.nlm.nih.gov/pubmed?term=%22Romagnoli%20A%22%5BAuthor%5D</vt:lpwstr>
      </vt:variant>
      <vt:variant>
        <vt:lpwstr/>
      </vt:variant>
      <vt:variant>
        <vt:i4>5046302</vt:i4>
      </vt:variant>
      <vt:variant>
        <vt:i4>24</vt:i4>
      </vt:variant>
      <vt:variant>
        <vt:i4>0</vt:i4>
      </vt:variant>
      <vt:variant>
        <vt:i4>5</vt:i4>
      </vt:variant>
      <vt:variant>
        <vt:lpwstr>http://www.ncbi.nlm.nih.gov/pubmed?term=%22Martuscelli%20E%22%5BAuthor%5D</vt:lpwstr>
      </vt:variant>
      <vt:variant>
        <vt:lpwstr/>
      </vt:variant>
      <vt:variant>
        <vt:i4>6094892</vt:i4>
      </vt:variant>
      <vt:variant>
        <vt:i4>21</vt:i4>
      </vt:variant>
      <vt:variant>
        <vt:i4>0</vt:i4>
      </vt:variant>
      <vt:variant>
        <vt:i4>5</vt:i4>
      </vt:variant>
      <vt:variant>
        <vt:lpwstr>javascript:AL_get(this, 'jour', 'Radiology.');</vt:lpwstr>
      </vt:variant>
      <vt:variant>
        <vt:lpwstr/>
      </vt:variant>
      <vt:variant>
        <vt:i4>6094892</vt:i4>
      </vt:variant>
      <vt:variant>
        <vt:i4>18</vt:i4>
      </vt:variant>
      <vt:variant>
        <vt:i4>0</vt:i4>
      </vt:variant>
      <vt:variant>
        <vt:i4>5</vt:i4>
      </vt:variant>
      <vt:variant>
        <vt:lpwstr>javascript:AL_get(this, 'jour', 'Radiology.');</vt:lpwstr>
      </vt:variant>
      <vt:variant>
        <vt:lpwstr/>
      </vt:variant>
      <vt:variant>
        <vt:i4>84</vt:i4>
      </vt:variant>
      <vt:variant>
        <vt:i4>15</vt:i4>
      </vt:variant>
      <vt:variant>
        <vt:i4>0</vt:i4>
      </vt:variant>
      <vt:variant>
        <vt:i4>5</vt:i4>
      </vt:variant>
      <vt:variant>
        <vt:lpwstr>http://www.ncbi.nlm.nih.gov/sites/entrez?Db=pubmed&amp;Cmd=Search&amp;Term=%22Karaca%20M%22%5BAuthor%5D&amp;itool=EntrezSystem2.PEntrez.Pubmed.Pubmed_ResultsPanel.Pubmed_RVAbstractPlus</vt:lpwstr>
      </vt:variant>
      <vt:variant>
        <vt:lpwstr/>
      </vt:variant>
      <vt:variant>
        <vt:i4>2228351</vt:i4>
      </vt:variant>
      <vt:variant>
        <vt:i4>12</vt:i4>
      </vt:variant>
      <vt:variant>
        <vt:i4>0</vt:i4>
      </vt:variant>
      <vt:variant>
        <vt:i4>5</vt:i4>
      </vt:variant>
      <vt:variant>
        <vt:lpwstr>http://www.ncbi.nlm.nih.gov/sites/entrez?Db=pubmed&amp;Cmd=Search&amp;Term=%22Oncel%20G%22%5BAuthor%5D&amp;itool=EntrezSystem2.PEntrez.Pubmed.Pubmed_ResultsPanel.Pubmed_RVAbstractPlus</vt:lpwstr>
      </vt:variant>
      <vt:variant>
        <vt:lpwstr/>
      </vt:variant>
      <vt:variant>
        <vt:i4>2228348</vt:i4>
      </vt:variant>
      <vt:variant>
        <vt:i4>9</vt:i4>
      </vt:variant>
      <vt:variant>
        <vt:i4>0</vt:i4>
      </vt:variant>
      <vt:variant>
        <vt:i4>5</vt:i4>
      </vt:variant>
      <vt:variant>
        <vt:lpwstr>http://www.ncbi.nlm.nih.gov/sites/entrez?Db=pubmed&amp;Cmd=Search&amp;Term=%22Oncel%20D%22%5BAuthor%5D&amp;itool=EntrezSystem2.PEntrez.Pubmed.Pubmed_ResultsPanel.Pubmed_RVAbstractPlus</vt:lpwstr>
      </vt:variant>
      <vt:variant>
        <vt:lpwstr/>
      </vt:variant>
      <vt:variant>
        <vt:i4>262167</vt:i4>
      </vt:variant>
      <vt:variant>
        <vt:i4>6</vt:i4>
      </vt:variant>
      <vt:variant>
        <vt:i4>0</vt:i4>
      </vt:variant>
      <vt:variant>
        <vt:i4>5</vt:i4>
      </vt:variant>
      <vt:variant>
        <vt:lpwstr/>
      </vt:variant>
      <vt:variant>
        <vt:lpwstr>page7</vt:lpwstr>
      </vt:variant>
      <vt:variant>
        <vt:i4>262167</vt:i4>
      </vt:variant>
      <vt:variant>
        <vt:i4>3</vt:i4>
      </vt:variant>
      <vt:variant>
        <vt:i4>0</vt:i4>
      </vt:variant>
      <vt:variant>
        <vt:i4>5</vt:i4>
      </vt:variant>
      <vt:variant>
        <vt:lpwstr/>
      </vt:variant>
      <vt:variant>
        <vt:lpwstr>page5</vt:lpwstr>
      </vt:variant>
      <vt:variant>
        <vt:i4>5898325</vt:i4>
      </vt:variant>
      <vt:variant>
        <vt:i4>0</vt:i4>
      </vt:variant>
      <vt:variant>
        <vt:i4>0</vt:i4>
      </vt:variant>
      <vt:variant>
        <vt:i4>5</vt:i4>
      </vt:variant>
      <vt:variant>
        <vt:lpwstr>http://www.sciencepub.net/nature</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11</cp:revision>
  <cp:lastPrinted>2014-10-06T01:08:00Z</cp:lastPrinted>
  <dcterms:created xsi:type="dcterms:W3CDTF">2014-10-05T04:18:00Z</dcterms:created>
  <dcterms:modified xsi:type="dcterms:W3CDTF">2014-10-06T01:09:00Z</dcterms:modified>
</cp:coreProperties>
</file>