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BF" w:rsidRPr="00CB0E2A" w:rsidRDefault="00CB684D" w:rsidP="00B6591E">
      <w:pPr>
        <w:bidi w:val="0"/>
        <w:jc w:val="center"/>
        <w:rPr>
          <w:b/>
          <w:sz w:val="20"/>
          <w:szCs w:val="20"/>
        </w:rPr>
      </w:pPr>
      <w:r w:rsidRPr="00CB0E2A">
        <w:rPr>
          <w:b/>
          <w:sz w:val="20"/>
          <w:szCs w:val="20"/>
        </w:rPr>
        <w:t>Value of</w:t>
      </w:r>
      <w:r w:rsidR="00310235" w:rsidRPr="00CB0E2A">
        <w:rPr>
          <w:b/>
          <w:sz w:val="20"/>
          <w:szCs w:val="20"/>
        </w:rPr>
        <w:t xml:space="preserve"> </w:t>
      </w:r>
      <w:r w:rsidRPr="00CB0E2A">
        <w:rPr>
          <w:b/>
          <w:sz w:val="20"/>
          <w:szCs w:val="20"/>
        </w:rPr>
        <w:t>Surgery on the Outcome</w:t>
      </w:r>
      <w:r w:rsidR="00B248D3" w:rsidRPr="00CB0E2A">
        <w:rPr>
          <w:b/>
          <w:sz w:val="20"/>
          <w:szCs w:val="20"/>
        </w:rPr>
        <w:t xml:space="preserve"> of </w:t>
      </w:r>
      <w:r w:rsidR="00361B59" w:rsidRPr="00CB0E2A">
        <w:rPr>
          <w:b/>
          <w:sz w:val="20"/>
          <w:szCs w:val="20"/>
        </w:rPr>
        <w:t xml:space="preserve">Olfactory Groove </w:t>
      </w:r>
      <w:proofErr w:type="spellStart"/>
      <w:r w:rsidR="00361B59" w:rsidRPr="00CB0E2A">
        <w:rPr>
          <w:b/>
          <w:sz w:val="20"/>
          <w:szCs w:val="20"/>
        </w:rPr>
        <w:t>Meningioma</w:t>
      </w:r>
      <w:proofErr w:type="spellEnd"/>
    </w:p>
    <w:p w:rsidR="00B6591E" w:rsidRPr="00CB0E2A" w:rsidRDefault="00B6591E" w:rsidP="00B6591E">
      <w:pPr>
        <w:bidi w:val="0"/>
        <w:jc w:val="center"/>
        <w:rPr>
          <w:b/>
          <w:sz w:val="20"/>
          <w:szCs w:val="20"/>
        </w:rPr>
      </w:pPr>
    </w:p>
    <w:p w:rsidR="007C45BF" w:rsidRPr="00CB0E2A" w:rsidRDefault="00B209D5" w:rsidP="00B6591E">
      <w:pPr>
        <w:bidi w:val="0"/>
        <w:jc w:val="center"/>
        <w:rPr>
          <w:b/>
          <w:sz w:val="20"/>
          <w:szCs w:val="20"/>
        </w:rPr>
      </w:pPr>
      <w:r w:rsidRPr="00CB0E2A">
        <w:rPr>
          <w:sz w:val="20"/>
          <w:szCs w:val="20"/>
        </w:rPr>
        <w:t xml:space="preserve">Abdel-Basset Ali </w:t>
      </w:r>
      <w:proofErr w:type="spellStart"/>
      <w:r w:rsidRPr="00CB0E2A">
        <w:rPr>
          <w:sz w:val="20"/>
          <w:szCs w:val="20"/>
        </w:rPr>
        <w:t>Saleh</w:t>
      </w:r>
      <w:proofErr w:type="spellEnd"/>
    </w:p>
    <w:p w:rsidR="00B6591E" w:rsidRPr="00CB0E2A" w:rsidRDefault="00B6591E" w:rsidP="00B6591E">
      <w:pPr>
        <w:bidi w:val="0"/>
        <w:jc w:val="center"/>
        <w:rPr>
          <w:b/>
          <w:sz w:val="20"/>
          <w:szCs w:val="20"/>
        </w:rPr>
      </w:pPr>
    </w:p>
    <w:p w:rsidR="00CD0231" w:rsidRPr="00CB0E2A" w:rsidRDefault="00B617EB" w:rsidP="00B6591E">
      <w:pPr>
        <w:bidi w:val="0"/>
        <w:jc w:val="center"/>
        <w:rPr>
          <w:sz w:val="20"/>
          <w:szCs w:val="20"/>
        </w:rPr>
      </w:pPr>
      <w:r w:rsidRPr="00CB0E2A">
        <w:rPr>
          <w:sz w:val="20"/>
          <w:szCs w:val="20"/>
        </w:rPr>
        <w:t xml:space="preserve">Department of Neurosurgery, </w:t>
      </w:r>
      <w:r w:rsidR="00B209D5" w:rsidRPr="00CB0E2A">
        <w:rPr>
          <w:sz w:val="20"/>
          <w:szCs w:val="20"/>
        </w:rPr>
        <w:t>Al-</w:t>
      </w:r>
      <w:proofErr w:type="spellStart"/>
      <w:r w:rsidR="00B209D5" w:rsidRPr="00CB0E2A">
        <w:rPr>
          <w:sz w:val="20"/>
          <w:szCs w:val="20"/>
        </w:rPr>
        <w:t>Azhar</w:t>
      </w:r>
      <w:proofErr w:type="spellEnd"/>
      <w:r w:rsidRPr="00CB0E2A">
        <w:rPr>
          <w:sz w:val="20"/>
          <w:szCs w:val="20"/>
        </w:rPr>
        <w:t xml:space="preserve"> University</w:t>
      </w:r>
    </w:p>
    <w:p w:rsidR="00B6591E" w:rsidRPr="00CB0E2A" w:rsidRDefault="009520A4" w:rsidP="00153291">
      <w:pPr>
        <w:bidi w:val="0"/>
        <w:jc w:val="center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BC71FD">
        <w:rPr>
          <w:bCs/>
          <w:sz w:val="20"/>
          <w:szCs w:val="20"/>
        </w:rPr>
        <w:t xml:space="preserve"> </w:t>
      </w:r>
    </w:p>
    <w:p w:rsidR="00886F35" w:rsidRPr="005B0AF7" w:rsidRDefault="00B617EB" w:rsidP="005B0AF7">
      <w:pPr>
        <w:bidi w:val="0"/>
        <w:jc w:val="both"/>
        <w:rPr>
          <w:b/>
          <w:bCs/>
          <w:sz w:val="20"/>
          <w:szCs w:val="20"/>
          <w:highlight w:val="green"/>
        </w:rPr>
      </w:pPr>
      <w:r w:rsidRPr="00CB0E2A">
        <w:rPr>
          <w:b/>
          <w:bCs/>
          <w:sz w:val="20"/>
          <w:szCs w:val="20"/>
        </w:rPr>
        <w:t>Abstract</w:t>
      </w:r>
      <w:r w:rsidR="00B6591E" w:rsidRPr="00CB0E2A">
        <w:rPr>
          <w:b/>
          <w:bCs/>
          <w:sz w:val="20"/>
          <w:szCs w:val="20"/>
        </w:rPr>
        <w:t xml:space="preserve">: </w:t>
      </w:r>
      <w:r w:rsidR="00F807FC" w:rsidRPr="00CB0E2A">
        <w:rPr>
          <w:b/>
          <w:bCs/>
          <w:sz w:val="20"/>
          <w:szCs w:val="20"/>
        </w:rPr>
        <w:t>Background</w:t>
      </w:r>
      <w:r w:rsidR="00F807FC" w:rsidRPr="00CB0E2A">
        <w:rPr>
          <w:sz w:val="20"/>
          <w:szCs w:val="20"/>
        </w:rPr>
        <w:t xml:space="preserve">: </w:t>
      </w:r>
      <w:r w:rsidR="002C6F68" w:rsidRPr="00CB0E2A">
        <w:rPr>
          <w:sz w:val="20"/>
          <w:szCs w:val="20"/>
        </w:rPr>
        <w:t>Olfactory groove</w:t>
      </w:r>
      <w:r w:rsidR="00155AB3" w:rsidRPr="00CB0E2A">
        <w:rPr>
          <w:sz w:val="20"/>
          <w:szCs w:val="20"/>
        </w:rPr>
        <w:t xml:space="preserve"> </w:t>
      </w:r>
      <w:proofErr w:type="spellStart"/>
      <w:r w:rsidR="00155AB3" w:rsidRPr="00CB0E2A">
        <w:rPr>
          <w:sz w:val="20"/>
          <w:szCs w:val="20"/>
        </w:rPr>
        <w:t>meningiomas</w:t>
      </w:r>
      <w:proofErr w:type="spellEnd"/>
      <w:r w:rsidR="0074698E" w:rsidRPr="00CB0E2A">
        <w:rPr>
          <w:sz w:val="20"/>
          <w:szCs w:val="20"/>
        </w:rPr>
        <w:t xml:space="preserve"> </w:t>
      </w:r>
      <w:r w:rsidR="00B60C2E" w:rsidRPr="00CB0E2A">
        <w:rPr>
          <w:sz w:val="20"/>
          <w:szCs w:val="20"/>
        </w:rPr>
        <w:t>re</w:t>
      </w:r>
      <w:r w:rsidR="0074698E" w:rsidRPr="00CB0E2A">
        <w:rPr>
          <w:sz w:val="20"/>
          <w:szCs w:val="20"/>
        </w:rPr>
        <w:t xml:space="preserve">present a difficult problem because </w:t>
      </w:r>
      <w:r w:rsidR="00B60C2E" w:rsidRPr="00CB0E2A">
        <w:rPr>
          <w:sz w:val="20"/>
          <w:szCs w:val="20"/>
        </w:rPr>
        <w:t>of</w:t>
      </w:r>
      <w:r w:rsidR="0074698E" w:rsidRPr="00CB0E2A">
        <w:rPr>
          <w:sz w:val="20"/>
          <w:szCs w:val="20"/>
        </w:rPr>
        <w:t xml:space="preserve"> involve</w:t>
      </w:r>
      <w:r w:rsidR="00B60C2E" w:rsidRPr="00CB0E2A">
        <w:rPr>
          <w:sz w:val="20"/>
          <w:szCs w:val="20"/>
        </w:rPr>
        <w:t>ment of</w:t>
      </w:r>
      <w:r w:rsidR="0074698E" w:rsidRPr="00CB0E2A">
        <w:rPr>
          <w:sz w:val="20"/>
          <w:szCs w:val="20"/>
        </w:rPr>
        <w:t xml:space="preserve"> the arteries of the anterior circulation </w:t>
      </w:r>
      <w:r w:rsidR="00B60C2E" w:rsidRPr="00CB0E2A">
        <w:rPr>
          <w:sz w:val="20"/>
          <w:szCs w:val="20"/>
        </w:rPr>
        <w:t>as well as</w:t>
      </w:r>
      <w:r w:rsidR="0074698E" w:rsidRPr="00CB0E2A">
        <w:rPr>
          <w:sz w:val="20"/>
          <w:szCs w:val="20"/>
        </w:rPr>
        <w:t xml:space="preserve"> </w:t>
      </w:r>
      <w:r w:rsidR="002C6F68" w:rsidRPr="00CB0E2A">
        <w:rPr>
          <w:sz w:val="20"/>
          <w:szCs w:val="20"/>
        </w:rPr>
        <w:t xml:space="preserve">the anterior visual </w:t>
      </w:r>
      <w:r w:rsidR="00CC7EDD" w:rsidRPr="00CB0E2A">
        <w:rPr>
          <w:sz w:val="20"/>
          <w:szCs w:val="20"/>
        </w:rPr>
        <w:t>pathways</w:t>
      </w:r>
      <w:r w:rsidR="00B60C2E" w:rsidRPr="00CB0E2A">
        <w:rPr>
          <w:sz w:val="20"/>
          <w:szCs w:val="20"/>
        </w:rPr>
        <w:t xml:space="preserve"> when increased in</w:t>
      </w:r>
      <w:r w:rsidR="002C6F68" w:rsidRPr="00CB0E2A">
        <w:rPr>
          <w:sz w:val="20"/>
          <w:szCs w:val="20"/>
        </w:rPr>
        <w:t xml:space="preserve"> size</w:t>
      </w:r>
      <w:r w:rsidR="0074698E" w:rsidRPr="00CB0E2A">
        <w:rPr>
          <w:sz w:val="20"/>
          <w:szCs w:val="20"/>
        </w:rPr>
        <w:t>.</w:t>
      </w:r>
      <w:r w:rsidR="005B0AF7">
        <w:rPr>
          <w:b/>
          <w:bCs/>
          <w:sz w:val="20"/>
          <w:szCs w:val="20"/>
        </w:rPr>
        <w:t xml:space="preserve"> </w:t>
      </w:r>
      <w:r w:rsidRPr="00CB0E2A">
        <w:rPr>
          <w:b/>
          <w:bCs/>
          <w:sz w:val="20"/>
          <w:szCs w:val="20"/>
        </w:rPr>
        <w:t>Objective</w:t>
      </w:r>
      <w:r w:rsidR="00F807FC" w:rsidRPr="00CB0E2A">
        <w:rPr>
          <w:sz w:val="20"/>
          <w:szCs w:val="20"/>
        </w:rPr>
        <w:t xml:space="preserve">: </w:t>
      </w:r>
      <w:r w:rsidR="005A76B0" w:rsidRPr="00CB0E2A">
        <w:rPr>
          <w:sz w:val="20"/>
          <w:szCs w:val="20"/>
        </w:rPr>
        <w:t>in</w:t>
      </w:r>
      <w:r w:rsidR="001256AB" w:rsidRPr="00CB0E2A">
        <w:rPr>
          <w:sz w:val="20"/>
          <w:szCs w:val="20"/>
        </w:rPr>
        <w:t xml:space="preserve"> my</w:t>
      </w:r>
      <w:r w:rsidR="005A76B0" w:rsidRPr="00CB0E2A">
        <w:rPr>
          <w:sz w:val="20"/>
          <w:szCs w:val="20"/>
        </w:rPr>
        <w:t xml:space="preserve"> study I will discuss 12</w:t>
      </w:r>
      <w:r w:rsidR="00F807FC" w:rsidRPr="00CB0E2A">
        <w:rPr>
          <w:sz w:val="20"/>
          <w:szCs w:val="20"/>
        </w:rPr>
        <w:t xml:space="preserve"> pa</w:t>
      </w:r>
      <w:r w:rsidR="002C6F68" w:rsidRPr="00CB0E2A">
        <w:rPr>
          <w:sz w:val="20"/>
          <w:szCs w:val="20"/>
        </w:rPr>
        <w:t>tients with olfactory groove</w:t>
      </w:r>
      <w:r w:rsidR="00F807FC" w:rsidRPr="00CB0E2A">
        <w:rPr>
          <w:sz w:val="20"/>
          <w:szCs w:val="20"/>
        </w:rPr>
        <w:t xml:space="preserve"> </w:t>
      </w:r>
      <w:proofErr w:type="spellStart"/>
      <w:r w:rsidR="00CC7EDD" w:rsidRPr="00CB0E2A">
        <w:rPr>
          <w:sz w:val="20"/>
          <w:szCs w:val="20"/>
        </w:rPr>
        <w:t>meningiomas</w:t>
      </w:r>
      <w:proofErr w:type="spellEnd"/>
      <w:r w:rsidR="005A76B0" w:rsidRPr="00CB0E2A">
        <w:rPr>
          <w:sz w:val="20"/>
          <w:szCs w:val="20"/>
        </w:rPr>
        <w:t xml:space="preserve"> regarding their clinical presentation, </w:t>
      </w:r>
      <w:r w:rsidR="00F807FC" w:rsidRPr="00CB0E2A">
        <w:rPr>
          <w:sz w:val="20"/>
          <w:szCs w:val="20"/>
        </w:rPr>
        <w:t xml:space="preserve">radiological </w:t>
      </w:r>
      <w:r w:rsidR="00F807FC" w:rsidRPr="00E3128F">
        <w:rPr>
          <w:sz w:val="20"/>
          <w:szCs w:val="20"/>
        </w:rPr>
        <w:t xml:space="preserve">appearance, surgical approach as well as </w:t>
      </w:r>
      <w:r w:rsidR="002B3524" w:rsidRPr="00E3128F">
        <w:rPr>
          <w:sz w:val="20"/>
          <w:szCs w:val="20"/>
        </w:rPr>
        <w:t>their post</w:t>
      </w:r>
      <w:r w:rsidR="00F807FC" w:rsidRPr="00E3128F">
        <w:rPr>
          <w:sz w:val="20"/>
          <w:szCs w:val="20"/>
        </w:rPr>
        <w:t xml:space="preserve"> </w:t>
      </w:r>
      <w:r w:rsidR="002B3524" w:rsidRPr="00E3128F">
        <w:rPr>
          <w:sz w:val="20"/>
          <w:szCs w:val="20"/>
        </w:rPr>
        <w:t>operative follow-up</w:t>
      </w:r>
      <w:r w:rsidR="00F807FC" w:rsidRPr="00E3128F">
        <w:rPr>
          <w:sz w:val="20"/>
          <w:szCs w:val="20"/>
        </w:rPr>
        <w:t>.</w:t>
      </w:r>
      <w:r w:rsidR="005B0AF7" w:rsidRPr="00E3128F">
        <w:rPr>
          <w:b/>
          <w:bCs/>
          <w:sz w:val="20"/>
          <w:szCs w:val="20"/>
        </w:rPr>
        <w:t xml:space="preserve"> </w:t>
      </w:r>
      <w:r w:rsidR="00AB69EC" w:rsidRPr="00E3128F">
        <w:rPr>
          <w:b/>
          <w:bCs/>
          <w:sz w:val="20"/>
          <w:szCs w:val="20"/>
        </w:rPr>
        <w:t>M</w:t>
      </w:r>
      <w:r w:rsidRPr="00E3128F">
        <w:rPr>
          <w:b/>
          <w:bCs/>
          <w:sz w:val="20"/>
          <w:szCs w:val="20"/>
        </w:rPr>
        <w:t>ethods:</w:t>
      </w:r>
      <w:r w:rsidRPr="00E3128F">
        <w:rPr>
          <w:sz w:val="20"/>
          <w:szCs w:val="20"/>
        </w:rPr>
        <w:t xml:space="preserve"> </w:t>
      </w:r>
      <w:r w:rsidR="002B3524" w:rsidRPr="00E3128F">
        <w:rPr>
          <w:sz w:val="20"/>
          <w:szCs w:val="20"/>
        </w:rPr>
        <w:t>All patients had been operated in Al-</w:t>
      </w:r>
      <w:proofErr w:type="spellStart"/>
      <w:r w:rsidR="002B3524" w:rsidRPr="00E3128F">
        <w:rPr>
          <w:sz w:val="20"/>
          <w:szCs w:val="20"/>
        </w:rPr>
        <w:t>Azhar</w:t>
      </w:r>
      <w:proofErr w:type="spellEnd"/>
      <w:r w:rsidR="002B3524" w:rsidRPr="00E3128F">
        <w:rPr>
          <w:sz w:val="20"/>
          <w:szCs w:val="20"/>
        </w:rPr>
        <w:t xml:space="preserve"> university hospitals in the period </w:t>
      </w:r>
      <w:proofErr w:type="gramStart"/>
      <w:r w:rsidR="002B3524" w:rsidRPr="00E3128F">
        <w:rPr>
          <w:sz w:val="20"/>
          <w:szCs w:val="20"/>
        </w:rPr>
        <w:t>between February 2005 to October 2011</w:t>
      </w:r>
      <w:proofErr w:type="gramEnd"/>
      <w:r w:rsidR="002B3524" w:rsidRPr="00E3128F">
        <w:rPr>
          <w:sz w:val="20"/>
          <w:szCs w:val="20"/>
        </w:rPr>
        <w:t>.</w:t>
      </w:r>
      <w:r w:rsidR="00F807FC" w:rsidRPr="00E3128F">
        <w:rPr>
          <w:sz w:val="20"/>
          <w:szCs w:val="20"/>
        </w:rPr>
        <w:t xml:space="preserve"> </w:t>
      </w:r>
      <w:r w:rsidR="002B3524" w:rsidRPr="00E3128F">
        <w:rPr>
          <w:sz w:val="20"/>
          <w:szCs w:val="20"/>
        </w:rPr>
        <w:t>Patients</w:t>
      </w:r>
      <w:r w:rsidR="00155AB3" w:rsidRPr="00E3128F">
        <w:rPr>
          <w:sz w:val="20"/>
          <w:szCs w:val="20"/>
        </w:rPr>
        <w:t>'</w:t>
      </w:r>
      <w:r w:rsidR="002B3524" w:rsidRPr="00E3128F">
        <w:rPr>
          <w:sz w:val="20"/>
          <w:szCs w:val="20"/>
        </w:rPr>
        <w:t xml:space="preserve"> data as</w:t>
      </w:r>
      <w:r w:rsidR="00F807FC" w:rsidRPr="00E3128F">
        <w:rPr>
          <w:sz w:val="20"/>
          <w:szCs w:val="20"/>
        </w:rPr>
        <w:t xml:space="preserve"> clinical </w:t>
      </w:r>
      <w:r w:rsidR="002B3524" w:rsidRPr="00E3128F">
        <w:rPr>
          <w:sz w:val="20"/>
          <w:szCs w:val="20"/>
        </w:rPr>
        <w:t>presentation</w:t>
      </w:r>
      <w:r w:rsidR="00F807FC" w:rsidRPr="00E3128F">
        <w:rPr>
          <w:sz w:val="20"/>
          <w:szCs w:val="20"/>
        </w:rPr>
        <w:t xml:space="preserve">, surgical approach, </w:t>
      </w:r>
      <w:r w:rsidR="00150CC0" w:rsidRPr="00E3128F">
        <w:rPr>
          <w:sz w:val="20"/>
          <w:szCs w:val="20"/>
        </w:rPr>
        <w:t>histo</w:t>
      </w:r>
      <w:r w:rsidR="00F807FC" w:rsidRPr="00E3128F">
        <w:rPr>
          <w:sz w:val="20"/>
          <w:szCs w:val="20"/>
        </w:rPr>
        <w:t>pathology</w:t>
      </w:r>
      <w:r w:rsidR="00150CC0" w:rsidRPr="00E3128F">
        <w:rPr>
          <w:sz w:val="20"/>
          <w:szCs w:val="20"/>
        </w:rPr>
        <w:t>,</w:t>
      </w:r>
      <w:r w:rsidR="00F807FC" w:rsidRPr="00E3128F">
        <w:rPr>
          <w:sz w:val="20"/>
          <w:szCs w:val="20"/>
        </w:rPr>
        <w:t xml:space="preserve"> outcomes </w:t>
      </w:r>
      <w:r w:rsidR="00150CC0" w:rsidRPr="00E3128F">
        <w:rPr>
          <w:sz w:val="20"/>
          <w:szCs w:val="20"/>
        </w:rPr>
        <w:t xml:space="preserve">and follow up </w:t>
      </w:r>
      <w:r w:rsidR="00F807FC" w:rsidRPr="00E3128F">
        <w:rPr>
          <w:sz w:val="20"/>
          <w:szCs w:val="20"/>
        </w:rPr>
        <w:t xml:space="preserve">were </w:t>
      </w:r>
      <w:r w:rsidR="00150CC0" w:rsidRPr="00E3128F">
        <w:rPr>
          <w:sz w:val="20"/>
          <w:szCs w:val="20"/>
        </w:rPr>
        <w:t xml:space="preserve">collected and </w:t>
      </w:r>
      <w:r w:rsidR="00F807FC" w:rsidRPr="00E3128F">
        <w:rPr>
          <w:sz w:val="20"/>
          <w:szCs w:val="20"/>
        </w:rPr>
        <w:t>recorded.</w:t>
      </w:r>
      <w:r w:rsidR="005B0AF7" w:rsidRPr="00E3128F">
        <w:rPr>
          <w:b/>
          <w:bCs/>
          <w:sz w:val="20"/>
          <w:szCs w:val="20"/>
        </w:rPr>
        <w:t xml:space="preserve"> </w:t>
      </w:r>
      <w:r w:rsidR="00336D48" w:rsidRPr="00E3128F">
        <w:rPr>
          <w:b/>
          <w:bCs/>
          <w:sz w:val="20"/>
          <w:szCs w:val="20"/>
        </w:rPr>
        <w:t>Results:</w:t>
      </w:r>
      <w:r w:rsidR="00336D48" w:rsidRPr="00E3128F">
        <w:rPr>
          <w:sz w:val="20"/>
          <w:szCs w:val="20"/>
        </w:rPr>
        <w:t xml:space="preserve"> There were </w:t>
      </w:r>
      <w:r w:rsidR="00155AB3" w:rsidRPr="00E3128F">
        <w:rPr>
          <w:sz w:val="20"/>
          <w:szCs w:val="20"/>
        </w:rPr>
        <w:t>10 women</w:t>
      </w:r>
      <w:r w:rsidR="00336D48" w:rsidRPr="00E3128F">
        <w:rPr>
          <w:sz w:val="20"/>
          <w:szCs w:val="20"/>
        </w:rPr>
        <w:t xml:space="preserve"> and two men ranging in age from 33 to 64 years with mean age of 47</w:t>
      </w:r>
      <w:r w:rsidR="006A0B06" w:rsidRPr="00E3128F">
        <w:rPr>
          <w:sz w:val="20"/>
          <w:szCs w:val="20"/>
        </w:rPr>
        <w:t xml:space="preserve"> years</w:t>
      </w:r>
      <w:r w:rsidR="00336D48" w:rsidRPr="00E3128F">
        <w:rPr>
          <w:sz w:val="20"/>
          <w:szCs w:val="20"/>
        </w:rPr>
        <w:t>. The leading symptom</w:t>
      </w:r>
      <w:r w:rsidR="00336D48" w:rsidRPr="00CB0E2A">
        <w:rPr>
          <w:sz w:val="20"/>
          <w:szCs w:val="20"/>
        </w:rPr>
        <w:t xml:space="preserve"> was </w:t>
      </w:r>
      <w:r w:rsidR="003D3DC3" w:rsidRPr="00CB0E2A">
        <w:rPr>
          <w:sz w:val="20"/>
          <w:szCs w:val="20"/>
        </w:rPr>
        <w:t>Dementia</w:t>
      </w:r>
      <w:r w:rsidR="00336D48" w:rsidRPr="00CB0E2A">
        <w:rPr>
          <w:sz w:val="20"/>
          <w:szCs w:val="20"/>
        </w:rPr>
        <w:t xml:space="preserve"> in 5 </w:t>
      </w:r>
      <w:r w:rsidR="00155AB3" w:rsidRPr="00CB0E2A">
        <w:rPr>
          <w:sz w:val="20"/>
          <w:szCs w:val="20"/>
        </w:rPr>
        <w:t>patients. The</w:t>
      </w:r>
      <w:r w:rsidR="003D3DC3" w:rsidRPr="00CB0E2A">
        <w:rPr>
          <w:sz w:val="20"/>
          <w:szCs w:val="20"/>
        </w:rPr>
        <w:t xml:space="preserve"> </w:t>
      </w:r>
      <w:proofErr w:type="spellStart"/>
      <w:r w:rsidR="003D3DC3" w:rsidRPr="00CB0E2A">
        <w:rPr>
          <w:sz w:val="20"/>
          <w:szCs w:val="20"/>
        </w:rPr>
        <w:t>bifrontal</w:t>
      </w:r>
      <w:proofErr w:type="spellEnd"/>
      <w:r w:rsidR="00336D48" w:rsidRPr="00CB0E2A">
        <w:rPr>
          <w:sz w:val="20"/>
          <w:szCs w:val="20"/>
        </w:rPr>
        <w:t xml:space="preserve"> approach was the surgical approach in all cases. Simpson grade I or II was achieved in 9 patients, and grade III or IV was attained in 3 cases.</w:t>
      </w:r>
      <w:r w:rsidR="009520A4">
        <w:rPr>
          <w:sz w:val="20"/>
          <w:szCs w:val="20"/>
        </w:rPr>
        <w:t xml:space="preserve"> </w:t>
      </w:r>
      <w:r w:rsidR="003D3DC3" w:rsidRPr="00CB0E2A">
        <w:rPr>
          <w:sz w:val="20"/>
          <w:szCs w:val="20"/>
        </w:rPr>
        <w:t>In 11</w:t>
      </w:r>
      <w:r w:rsidR="00336D48" w:rsidRPr="00CB0E2A">
        <w:rPr>
          <w:sz w:val="20"/>
          <w:szCs w:val="20"/>
        </w:rPr>
        <w:t xml:space="preserve"> patients there was a good result. One patient had a postoperative </w:t>
      </w:r>
      <w:proofErr w:type="spellStart"/>
      <w:r w:rsidR="00336D48" w:rsidRPr="00CB0E2A">
        <w:rPr>
          <w:sz w:val="20"/>
          <w:szCs w:val="20"/>
        </w:rPr>
        <w:t>intracerebral</w:t>
      </w:r>
      <w:proofErr w:type="spellEnd"/>
      <w:r w:rsidR="00336D48" w:rsidRPr="00CB0E2A">
        <w:rPr>
          <w:sz w:val="20"/>
          <w:szCs w:val="20"/>
        </w:rPr>
        <w:t xml:space="preserve"> hemorrhage after surgery an</w:t>
      </w:r>
      <w:r w:rsidR="003D3DC3" w:rsidRPr="00CB0E2A">
        <w:rPr>
          <w:sz w:val="20"/>
          <w:szCs w:val="20"/>
        </w:rPr>
        <w:t>d has a permanent dysphasia</w:t>
      </w:r>
      <w:r w:rsidR="00336D48" w:rsidRPr="00CB0E2A">
        <w:rPr>
          <w:sz w:val="20"/>
          <w:szCs w:val="20"/>
        </w:rPr>
        <w:t xml:space="preserve">. </w:t>
      </w:r>
      <w:r w:rsidRPr="00CB0E2A">
        <w:rPr>
          <w:b/>
          <w:bCs/>
          <w:sz w:val="20"/>
          <w:szCs w:val="20"/>
        </w:rPr>
        <w:t>Conclusion:</w:t>
      </w:r>
      <w:r w:rsidRPr="00CB0E2A">
        <w:rPr>
          <w:sz w:val="20"/>
          <w:szCs w:val="20"/>
        </w:rPr>
        <w:t xml:space="preserve"> </w:t>
      </w:r>
      <w:r w:rsidR="00886F35" w:rsidRPr="00CB0E2A">
        <w:rPr>
          <w:sz w:val="20"/>
          <w:szCs w:val="20"/>
        </w:rPr>
        <w:t xml:space="preserve">The </w:t>
      </w:r>
      <w:r w:rsidR="00FF3145" w:rsidRPr="00CB0E2A">
        <w:rPr>
          <w:sz w:val="20"/>
          <w:szCs w:val="20"/>
        </w:rPr>
        <w:t xml:space="preserve">Olfactory groove </w:t>
      </w:r>
      <w:proofErr w:type="spellStart"/>
      <w:r w:rsidR="00FF3145" w:rsidRPr="00CB0E2A">
        <w:rPr>
          <w:sz w:val="20"/>
          <w:szCs w:val="20"/>
        </w:rPr>
        <w:t>meningiomas</w:t>
      </w:r>
      <w:proofErr w:type="spellEnd"/>
      <w:r w:rsidR="00FF3145" w:rsidRPr="00CB0E2A">
        <w:rPr>
          <w:sz w:val="20"/>
          <w:szCs w:val="20"/>
        </w:rPr>
        <w:t xml:space="preserve"> </w:t>
      </w:r>
      <w:r w:rsidR="00886F35" w:rsidRPr="00CB0E2A">
        <w:rPr>
          <w:sz w:val="20"/>
          <w:szCs w:val="20"/>
        </w:rPr>
        <w:t>are frequent tumor</w:t>
      </w:r>
      <w:r w:rsidR="00FF3145" w:rsidRPr="00CB0E2A">
        <w:rPr>
          <w:sz w:val="20"/>
          <w:szCs w:val="20"/>
        </w:rPr>
        <w:t xml:space="preserve"> in neurosurgical practice that should be excised completely with minimum complication and</w:t>
      </w:r>
      <w:r w:rsidR="00886F35" w:rsidRPr="00CB0E2A">
        <w:rPr>
          <w:sz w:val="20"/>
          <w:szCs w:val="20"/>
        </w:rPr>
        <w:t xml:space="preserve"> good outcome.</w:t>
      </w:r>
    </w:p>
    <w:p w:rsidR="00B6591E" w:rsidRDefault="002A07CD" w:rsidP="002A07CD">
      <w:pPr>
        <w:bidi w:val="0"/>
        <w:jc w:val="both"/>
        <w:rPr>
          <w:sz w:val="20"/>
          <w:szCs w:val="20"/>
          <w:lang w:eastAsia="zh-CN"/>
        </w:rPr>
      </w:pPr>
      <w:proofErr w:type="gramStart"/>
      <w:r w:rsidRPr="00076467">
        <w:rPr>
          <w:rFonts w:hint="eastAsia"/>
          <w:b/>
          <w:bCs/>
          <w:sz w:val="20"/>
          <w:szCs w:val="20"/>
        </w:rPr>
        <w:t>[</w:t>
      </w:r>
      <w:r w:rsidR="00892A2F" w:rsidRPr="00CB0E2A">
        <w:rPr>
          <w:sz w:val="20"/>
          <w:szCs w:val="20"/>
        </w:rPr>
        <w:t xml:space="preserve">Abdel-Basset Ali </w:t>
      </w:r>
      <w:proofErr w:type="spellStart"/>
      <w:r w:rsidR="00892A2F" w:rsidRPr="00CB0E2A">
        <w:rPr>
          <w:sz w:val="20"/>
          <w:szCs w:val="20"/>
        </w:rPr>
        <w:t>Saleh</w:t>
      </w:r>
      <w:proofErr w:type="spellEnd"/>
      <w:r w:rsidRPr="00076467">
        <w:rPr>
          <w:sz w:val="20"/>
          <w:szCs w:val="20"/>
        </w:rPr>
        <w:t>.</w:t>
      </w:r>
      <w:proofErr w:type="gramEnd"/>
      <w:r w:rsidRPr="00076467">
        <w:rPr>
          <w:rFonts w:eastAsiaTheme="minorEastAsia" w:hint="eastAsia"/>
          <w:b/>
          <w:bCs/>
          <w:sz w:val="20"/>
          <w:szCs w:val="20"/>
          <w:lang w:bidi="fa-IR"/>
        </w:rPr>
        <w:t xml:space="preserve"> </w:t>
      </w:r>
      <w:proofErr w:type="gramStart"/>
      <w:r w:rsidR="00892A2F" w:rsidRPr="00CB0E2A">
        <w:rPr>
          <w:b/>
          <w:sz w:val="20"/>
          <w:szCs w:val="20"/>
        </w:rPr>
        <w:t xml:space="preserve">Value of Surgery on the Outcome of Olfactory Groove </w:t>
      </w:r>
      <w:proofErr w:type="spellStart"/>
      <w:r w:rsidR="00892A2F" w:rsidRPr="00CB0E2A">
        <w:rPr>
          <w:b/>
          <w:sz w:val="20"/>
          <w:szCs w:val="20"/>
        </w:rPr>
        <w:t>Meningioma</w:t>
      </w:r>
      <w:proofErr w:type="spellEnd"/>
      <w:r w:rsidRPr="00076467">
        <w:rPr>
          <w:rFonts w:eastAsia="Times New Roman"/>
          <w:b/>
          <w:bCs/>
          <w:sz w:val="20"/>
          <w:szCs w:val="20"/>
          <w:lang w:bidi="fa-IR"/>
        </w:rPr>
        <w:t>.</w:t>
      </w:r>
      <w:proofErr w:type="gramEnd"/>
      <w:r w:rsidRPr="00076467">
        <w:rPr>
          <w:rFonts w:hint="eastAsia"/>
          <w:b/>
          <w:bCs/>
          <w:sz w:val="20"/>
          <w:szCs w:val="20"/>
        </w:rPr>
        <w:t xml:space="preserve"> </w:t>
      </w:r>
      <w:r w:rsidRPr="00076467">
        <w:rPr>
          <w:rFonts w:eastAsia="Times New Roman"/>
          <w:bCs/>
          <w:i/>
          <w:sz w:val="20"/>
          <w:szCs w:val="20"/>
        </w:rPr>
        <w:t xml:space="preserve">Nat </w:t>
      </w:r>
      <w:proofErr w:type="spellStart"/>
      <w:r w:rsidRPr="00076467">
        <w:rPr>
          <w:rFonts w:eastAsia="Times New Roman"/>
          <w:bCs/>
          <w:i/>
          <w:sz w:val="20"/>
          <w:szCs w:val="20"/>
        </w:rPr>
        <w:t>Sci</w:t>
      </w:r>
      <w:proofErr w:type="spellEnd"/>
      <w:r w:rsidRPr="00076467">
        <w:rPr>
          <w:rFonts w:eastAsiaTheme="minorEastAsia" w:hint="eastAsia"/>
          <w:bCs/>
          <w:i/>
          <w:sz w:val="20"/>
          <w:szCs w:val="20"/>
        </w:rPr>
        <w:t xml:space="preserve"> </w:t>
      </w:r>
      <w:r w:rsidRPr="00076467">
        <w:rPr>
          <w:sz w:val="20"/>
          <w:szCs w:val="20"/>
        </w:rPr>
        <w:t>201</w:t>
      </w:r>
      <w:r>
        <w:rPr>
          <w:rFonts w:hint="eastAsia"/>
          <w:sz w:val="20"/>
          <w:szCs w:val="20"/>
        </w:rPr>
        <w:t>4</w:t>
      </w:r>
      <w:r w:rsidRPr="00076467">
        <w:rPr>
          <w:sz w:val="20"/>
          <w:szCs w:val="20"/>
        </w:rPr>
        <w:t>;1</w:t>
      </w:r>
      <w:r>
        <w:rPr>
          <w:rFonts w:hint="eastAsia"/>
          <w:sz w:val="20"/>
          <w:szCs w:val="20"/>
        </w:rPr>
        <w:t>2</w:t>
      </w:r>
      <w:r w:rsidRPr="00076467"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>3</w:t>
      </w:r>
      <w:r w:rsidRPr="00076467">
        <w:rPr>
          <w:sz w:val="20"/>
          <w:szCs w:val="20"/>
        </w:rPr>
        <w:t>):</w:t>
      </w:r>
      <w:r w:rsidR="00266AB6">
        <w:rPr>
          <w:noProof/>
          <w:color w:val="000000"/>
          <w:sz w:val="20"/>
          <w:szCs w:val="20"/>
        </w:rPr>
        <w:t>98</w:t>
      </w:r>
      <w:r w:rsidRPr="0050224F">
        <w:rPr>
          <w:color w:val="000000"/>
          <w:sz w:val="20"/>
          <w:szCs w:val="20"/>
        </w:rPr>
        <w:t>-</w:t>
      </w:r>
      <w:r w:rsidR="00266AB6">
        <w:rPr>
          <w:noProof/>
          <w:color w:val="000000"/>
          <w:sz w:val="20"/>
          <w:szCs w:val="20"/>
        </w:rPr>
        <w:t>102</w:t>
      </w:r>
      <w:r w:rsidRPr="00076467">
        <w:rPr>
          <w:sz w:val="20"/>
          <w:szCs w:val="20"/>
        </w:rPr>
        <w:t>]</w:t>
      </w:r>
      <w:r w:rsidRPr="00076467">
        <w:rPr>
          <w:rFonts w:hint="eastAsia"/>
          <w:sz w:val="20"/>
          <w:szCs w:val="20"/>
        </w:rPr>
        <w:t>.</w:t>
      </w:r>
      <w:r w:rsidRPr="00076467">
        <w:rPr>
          <w:sz w:val="20"/>
          <w:szCs w:val="20"/>
        </w:rPr>
        <w:t xml:space="preserve"> (ISSN: 1545-0740).</w:t>
      </w:r>
      <w:r w:rsidRPr="00853AD6">
        <w:rPr>
          <w:color w:val="0000FF"/>
          <w:sz w:val="20"/>
          <w:szCs w:val="20"/>
        </w:rPr>
        <w:t xml:space="preserve"> </w:t>
      </w:r>
      <w:hyperlink r:id="rId8" w:history="1">
        <w:r w:rsidRPr="00853AD6">
          <w:rPr>
            <w:rStyle w:val="Hyperlink"/>
            <w:sz w:val="20"/>
            <w:szCs w:val="20"/>
          </w:rPr>
          <w:t>http://www.sciencepub.net/nature</w:t>
        </w:r>
      </w:hyperlink>
      <w:r w:rsidRPr="00076467">
        <w:rPr>
          <w:sz w:val="20"/>
          <w:szCs w:val="20"/>
        </w:rPr>
        <w:t>.</w:t>
      </w:r>
      <w:r w:rsidRPr="00076467">
        <w:rPr>
          <w:rFonts w:hint="eastAsia"/>
          <w:sz w:val="20"/>
          <w:szCs w:val="20"/>
        </w:rPr>
        <w:t xml:space="preserve"> </w:t>
      </w:r>
      <w:r w:rsidR="00892A2F">
        <w:rPr>
          <w:rFonts w:hint="eastAsia"/>
          <w:sz w:val="20"/>
          <w:szCs w:val="20"/>
          <w:lang w:eastAsia="zh-CN"/>
        </w:rPr>
        <w:t>1</w:t>
      </w:r>
      <w:r w:rsidR="008C0FF1">
        <w:rPr>
          <w:rFonts w:hint="eastAsia"/>
          <w:sz w:val="20"/>
          <w:szCs w:val="20"/>
          <w:lang w:eastAsia="zh-CN"/>
        </w:rPr>
        <w:t>4</w:t>
      </w:r>
    </w:p>
    <w:p w:rsidR="00892A2F" w:rsidRPr="00CB0E2A" w:rsidRDefault="00892A2F" w:rsidP="00892A2F">
      <w:pPr>
        <w:bidi w:val="0"/>
        <w:jc w:val="both"/>
        <w:rPr>
          <w:b/>
          <w:sz w:val="20"/>
          <w:szCs w:val="20"/>
          <w:lang w:eastAsia="zh-CN"/>
        </w:rPr>
      </w:pPr>
    </w:p>
    <w:p w:rsidR="00CD0231" w:rsidRPr="00CB0E2A" w:rsidRDefault="00CD0231" w:rsidP="00B6591E">
      <w:pPr>
        <w:bidi w:val="0"/>
        <w:jc w:val="lowKashida"/>
        <w:rPr>
          <w:b/>
          <w:sz w:val="20"/>
          <w:szCs w:val="20"/>
        </w:rPr>
      </w:pPr>
      <w:r w:rsidRPr="00CB0E2A">
        <w:rPr>
          <w:b/>
          <w:sz w:val="20"/>
          <w:szCs w:val="20"/>
        </w:rPr>
        <w:t xml:space="preserve">Key Words: </w:t>
      </w:r>
      <w:r w:rsidRPr="00CB0E2A">
        <w:rPr>
          <w:sz w:val="20"/>
          <w:szCs w:val="20"/>
        </w:rPr>
        <w:t xml:space="preserve">Olfactory groove, </w:t>
      </w:r>
      <w:proofErr w:type="spellStart"/>
      <w:r w:rsidRPr="00CB0E2A">
        <w:rPr>
          <w:sz w:val="20"/>
          <w:szCs w:val="20"/>
        </w:rPr>
        <w:t>Meningioma</w:t>
      </w:r>
      <w:proofErr w:type="spellEnd"/>
      <w:r w:rsidRPr="00CB0E2A">
        <w:rPr>
          <w:sz w:val="20"/>
          <w:szCs w:val="20"/>
        </w:rPr>
        <w:t xml:space="preserve">, Dementia, </w:t>
      </w:r>
      <w:proofErr w:type="spellStart"/>
      <w:r w:rsidRPr="00CB0E2A">
        <w:rPr>
          <w:sz w:val="20"/>
          <w:szCs w:val="20"/>
        </w:rPr>
        <w:t>Bifrontal</w:t>
      </w:r>
      <w:proofErr w:type="spellEnd"/>
      <w:r w:rsidRPr="00CB0E2A">
        <w:rPr>
          <w:sz w:val="20"/>
          <w:szCs w:val="20"/>
        </w:rPr>
        <w:t xml:space="preserve"> approach.</w:t>
      </w:r>
    </w:p>
    <w:p w:rsidR="00923A47" w:rsidRPr="00CB0E2A" w:rsidRDefault="00923A47" w:rsidP="00B6591E">
      <w:pPr>
        <w:tabs>
          <w:tab w:val="left" w:pos="720"/>
        </w:tabs>
        <w:bidi w:val="0"/>
        <w:rPr>
          <w:b/>
          <w:sz w:val="20"/>
          <w:szCs w:val="20"/>
        </w:rPr>
      </w:pPr>
    </w:p>
    <w:p w:rsidR="00892A2F" w:rsidRDefault="00892A2F" w:rsidP="00B6591E">
      <w:pPr>
        <w:tabs>
          <w:tab w:val="left" w:pos="720"/>
        </w:tabs>
        <w:bidi w:val="0"/>
        <w:rPr>
          <w:b/>
          <w:sz w:val="20"/>
          <w:szCs w:val="20"/>
        </w:rPr>
        <w:sectPr w:rsidR="00892A2F" w:rsidSect="00266AB6">
          <w:headerReference w:type="default" r:id="rId9"/>
          <w:footerReference w:type="even" r:id="rId10"/>
          <w:footerReference w:type="default" r:id="rId11"/>
          <w:type w:val="continuous"/>
          <w:pgSz w:w="12242" w:h="15842" w:code="1"/>
          <w:pgMar w:top="1440" w:right="1440" w:bottom="1440" w:left="1440" w:header="720" w:footer="720" w:gutter="0"/>
          <w:pgNumType w:start="98"/>
          <w:cols w:space="709"/>
          <w:bidi/>
          <w:docGrid w:linePitch="360"/>
        </w:sectPr>
      </w:pPr>
    </w:p>
    <w:p w:rsidR="00887227" w:rsidRPr="00CB0E2A" w:rsidRDefault="00B6591E" w:rsidP="00B6591E">
      <w:pPr>
        <w:tabs>
          <w:tab w:val="left" w:pos="720"/>
        </w:tabs>
        <w:bidi w:val="0"/>
        <w:rPr>
          <w:b/>
          <w:sz w:val="20"/>
          <w:szCs w:val="20"/>
        </w:rPr>
      </w:pPr>
      <w:r w:rsidRPr="00CB0E2A">
        <w:rPr>
          <w:b/>
          <w:sz w:val="20"/>
          <w:szCs w:val="20"/>
        </w:rPr>
        <w:lastRenderedPageBreak/>
        <w:t xml:space="preserve">1. </w:t>
      </w:r>
      <w:r w:rsidR="00887227" w:rsidRPr="00CB0E2A">
        <w:rPr>
          <w:b/>
          <w:sz w:val="20"/>
          <w:szCs w:val="20"/>
        </w:rPr>
        <w:t>Introduction:</w:t>
      </w:r>
    </w:p>
    <w:p w:rsidR="00B36053" w:rsidRPr="00E3128F" w:rsidRDefault="000D1DAC" w:rsidP="00B6591E">
      <w:pPr>
        <w:autoSpaceDE w:val="0"/>
        <w:autoSpaceDN w:val="0"/>
        <w:bidi w:val="0"/>
        <w:adjustRightInd w:val="0"/>
        <w:ind w:firstLine="426"/>
        <w:jc w:val="lowKashida"/>
        <w:rPr>
          <w:sz w:val="20"/>
          <w:szCs w:val="20"/>
        </w:rPr>
      </w:pPr>
      <w:r w:rsidRPr="00E3128F">
        <w:rPr>
          <w:sz w:val="20"/>
          <w:szCs w:val="20"/>
        </w:rPr>
        <w:t xml:space="preserve">Olfactory groove </w:t>
      </w:r>
      <w:proofErr w:type="spellStart"/>
      <w:r w:rsidRPr="00E3128F">
        <w:rPr>
          <w:sz w:val="20"/>
          <w:szCs w:val="20"/>
        </w:rPr>
        <w:t>meningiomas</w:t>
      </w:r>
      <w:proofErr w:type="spellEnd"/>
      <w:r w:rsidRPr="00E3128F">
        <w:rPr>
          <w:sz w:val="20"/>
          <w:szCs w:val="20"/>
        </w:rPr>
        <w:t xml:space="preserve"> arise in the anterior cranial </w:t>
      </w:r>
      <w:proofErr w:type="spellStart"/>
      <w:r w:rsidRPr="00E3128F">
        <w:rPr>
          <w:sz w:val="20"/>
          <w:szCs w:val="20"/>
        </w:rPr>
        <w:t>fossa</w:t>
      </w:r>
      <w:proofErr w:type="spellEnd"/>
      <w:r w:rsidRPr="00E3128F">
        <w:rPr>
          <w:sz w:val="20"/>
          <w:szCs w:val="20"/>
        </w:rPr>
        <w:t xml:space="preserve"> at the </w:t>
      </w:r>
      <w:proofErr w:type="spellStart"/>
      <w:r w:rsidRPr="00E3128F">
        <w:rPr>
          <w:sz w:val="20"/>
          <w:szCs w:val="20"/>
        </w:rPr>
        <w:t>cribriform</w:t>
      </w:r>
      <w:proofErr w:type="spellEnd"/>
      <w:r w:rsidRPr="00E3128F">
        <w:rPr>
          <w:sz w:val="20"/>
          <w:szCs w:val="20"/>
        </w:rPr>
        <w:t xml:space="preserve"> plate of the </w:t>
      </w:r>
      <w:proofErr w:type="spellStart"/>
      <w:r w:rsidRPr="00E3128F">
        <w:rPr>
          <w:sz w:val="20"/>
          <w:szCs w:val="20"/>
        </w:rPr>
        <w:t>ethmoid</w:t>
      </w:r>
      <w:proofErr w:type="spellEnd"/>
      <w:r w:rsidRPr="00E3128F">
        <w:rPr>
          <w:sz w:val="20"/>
          <w:szCs w:val="20"/>
        </w:rPr>
        <w:t xml:space="preserve"> bone and the area of the suture adjoining the </w:t>
      </w:r>
      <w:proofErr w:type="spellStart"/>
      <w:r w:rsidRPr="00E3128F">
        <w:rPr>
          <w:sz w:val="20"/>
          <w:szCs w:val="20"/>
        </w:rPr>
        <w:t>planum</w:t>
      </w:r>
      <w:proofErr w:type="spellEnd"/>
      <w:r w:rsidRPr="00E3128F">
        <w:rPr>
          <w:sz w:val="20"/>
          <w:szCs w:val="20"/>
        </w:rPr>
        <w:t xml:space="preserve"> </w:t>
      </w:r>
      <w:proofErr w:type="spellStart"/>
      <w:r w:rsidRPr="00E3128F">
        <w:rPr>
          <w:sz w:val="20"/>
          <w:szCs w:val="20"/>
        </w:rPr>
        <w:t>sphenoidale</w:t>
      </w:r>
      <w:proofErr w:type="spellEnd"/>
      <w:r w:rsidRPr="00E3128F">
        <w:rPr>
          <w:sz w:val="20"/>
          <w:szCs w:val="20"/>
        </w:rPr>
        <w:t xml:space="preserve">. </w:t>
      </w:r>
      <w:r w:rsidR="00CC7EDD" w:rsidRPr="00E3128F">
        <w:rPr>
          <w:sz w:val="20"/>
          <w:szCs w:val="20"/>
        </w:rPr>
        <w:t xml:space="preserve">Olfactory groove </w:t>
      </w:r>
      <w:proofErr w:type="spellStart"/>
      <w:r w:rsidR="00CC7EDD" w:rsidRPr="00E3128F">
        <w:rPr>
          <w:sz w:val="20"/>
          <w:szCs w:val="20"/>
        </w:rPr>
        <w:t>meningiomas</w:t>
      </w:r>
      <w:proofErr w:type="spellEnd"/>
      <w:r w:rsidR="00CC7EDD" w:rsidRPr="00E3128F">
        <w:rPr>
          <w:sz w:val="20"/>
          <w:szCs w:val="20"/>
        </w:rPr>
        <w:t xml:space="preserve"> account for 4.5 to 13% of all intracranial </w:t>
      </w:r>
      <w:proofErr w:type="spellStart"/>
      <w:r w:rsidR="00CC7EDD" w:rsidRPr="00E3128F">
        <w:rPr>
          <w:sz w:val="20"/>
          <w:szCs w:val="20"/>
        </w:rPr>
        <w:t>meningiomas</w:t>
      </w:r>
      <w:proofErr w:type="spellEnd"/>
      <w:r w:rsidR="00CC7EDD" w:rsidRPr="00E3128F">
        <w:rPr>
          <w:sz w:val="20"/>
          <w:szCs w:val="20"/>
        </w:rPr>
        <w:t xml:space="preserve">. The tumor, which covers the entire </w:t>
      </w:r>
      <w:proofErr w:type="spellStart"/>
      <w:r w:rsidR="00CC7EDD" w:rsidRPr="00E3128F">
        <w:rPr>
          <w:sz w:val="20"/>
          <w:szCs w:val="20"/>
        </w:rPr>
        <w:t>crista</w:t>
      </w:r>
      <w:proofErr w:type="spellEnd"/>
      <w:r w:rsidR="00CC7EDD" w:rsidRPr="00E3128F">
        <w:rPr>
          <w:sz w:val="20"/>
          <w:szCs w:val="20"/>
        </w:rPr>
        <w:t xml:space="preserve"> </w:t>
      </w:r>
      <w:proofErr w:type="spellStart"/>
      <w:r w:rsidR="00CC7EDD" w:rsidRPr="00E3128F">
        <w:rPr>
          <w:sz w:val="20"/>
          <w:szCs w:val="20"/>
        </w:rPr>
        <w:t>gali</w:t>
      </w:r>
      <w:proofErr w:type="spellEnd"/>
      <w:r w:rsidR="00CC7EDD" w:rsidRPr="00E3128F">
        <w:rPr>
          <w:sz w:val="20"/>
          <w:szCs w:val="20"/>
        </w:rPr>
        <w:t xml:space="preserve"> to the posterior part of the </w:t>
      </w:r>
      <w:proofErr w:type="spellStart"/>
      <w:r w:rsidR="00CC7EDD" w:rsidRPr="00E3128F">
        <w:rPr>
          <w:sz w:val="20"/>
          <w:szCs w:val="20"/>
        </w:rPr>
        <w:t>planum</w:t>
      </w:r>
      <w:proofErr w:type="spellEnd"/>
      <w:r w:rsidR="00CC7EDD" w:rsidRPr="00E3128F">
        <w:rPr>
          <w:sz w:val="20"/>
          <w:szCs w:val="20"/>
        </w:rPr>
        <w:t xml:space="preserve"> </w:t>
      </w:r>
      <w:proofErr w:type="spellStart"/>
      <w:r w:rsidR="00CC7EDD" w:rsidRPr="00E3128F">
        <w:rPr>
          <w:sz w:val="20"/>
          <w:szCs w:val="20"/>
        </w:rPr>
        <w:t>sphenoidale</w:t>
      </w:r>
      <w:proofErr w:type="spellEnd"/>
      <w:r w:rsidR="00CC7EDD" w:rsidRPr="00E3128F">
        <w:rPr>
          <w:sz w:val="20"/>
          <w:szCs w:val="20"/>
        </w:rPr>
        <w:t xml:space="preserve">, could grow symmetrically to the anterior </w:t>
      </w:r>
      <w:proofErr w:type="spellStart"/>
      <w:r w:rsidR="00CC7EDD" w:rsidRPr="00E3128F">
        <w:rPr>
          <w:sz w:val="20"/>
          <w:szCs w:val="20"/>
        </w:rPr>
        <w:t>sagittal</w:t>
      </w:r>
      <w:proofErr w:type="spellEnd"/>
      <w:r w:rsidR="00CC7EDD" w:rsidRPr="00E3128F">
        <w:rPr>
          <w:sz w:val="20"/>
          <w:szCs w:val="20"/>
        </w:rPr>
        <w:t xml:space="preserve"> sinus and </w:t>
      </w:r>
      <w:proofErr w:type="spellStart"/>
      <w:r w:rsidR="00CC7EDD" w:rsidRPr="00E3128F">
        <w:rPr>
          <w:sz w:val="20"/>
          <w:szCs w:val="20"/>
        </w:rPr>
        <w:t>falx</w:t>
      </w:r>
      <w:proofErr w:type="spellEnd"/>
      <w:r w:rsidR="00CC7EDD" w:rsidRPr="00E3128F">
        <w:rPr>
          <w:sz w:val="20"/>
          <w:szCs w:val="20"/>
        </w:rPr>
        <w:t xml:space="preserve"> or mainly to one side (1, 2).</w:t>
      </w:r>
    </w:p>
    <w:p w:rsidR="002776A4" w:rsidRPr="00E3128F" w:rsidRDefault="000D1DAC" w:rsidP="009520A4">
      <w:pPr>
        <w:bidi w:val="0"/>
        <w:ind w:firstLineChars="213" w:firstLine="426"/>
        <w:jc w:val="lowKashida"/>
        <w:rPr>
          <w:sz w:val="20"/>
          <w:szCs w:val="20"/>
        </w:rPr>
      </w:pPr>
      <w:r w:rsidRPr="00E3128F">
        <w:rPr>
          <w:sz w:val="20"/>
          <w:szCs w:val="20"/>
        </w:rPr>
        <w:t xml:space="preserve">In case of large Olfactory groove </w:t>
      </w:r>
      <w:proofErr w:type="spellStart"/>
      <w:r w:rsidRPr="00E3128F">
        <w:rPr>
          <w:sz w:val="20"/>
          <w:szCs w:val="20"/>
        </w:rPr>
        <w:t>meningiomas</w:t>
      </w:r>
      <w:proofErr w:type="spellEnd"/>
      <w:r w:rsidRPr="00E3128F">
        <w:rPr>
          <w:sz w:val="20"/>
          <w:szCs w:val="20"/>
        </w:rPr>
        <w:t xml:space="preserve"> surgery represents a special challenge, because of their proximity to the arteries of the anterior circulation and the optic nerves. </w:t>
      </w:r>
      <w:r w:rsidR="002776A4" w:rsidRPr="00E3128F">
        <w:rPr>
          <w:sz w:val="20"/>
          <w:szCs w:val="20"/>
        </w:rPr>
        <w:t xml:space="preserve">The aim </w:t>
      </w:r>
      <w:r w:rsidR="00E3412F" w:rsidRPr="00E3128F">
        <w:rPr>
          <w:sz w:val="20"/>
          <w:szCs w:val="20"/>
        </w:rPr>
        <w:t>of this study was to present my</w:t>
      </w:r>
      <w:r w:rsidR="002776A4" w:rsidRPr="00E3128F">
        <w:rPr>
          <w:sz w:val="20"/>
          <w:szCs w:val="20"/>
        </w:rPr>
        <w:t xml:space="preserve"> series of patients with olfactory groove </w:t>
      </w:r>
      <w:proofErr w:type="spellStart"/>
      <w:r w:rsidR="002776A4" w:rsidRPr="00E3128F">
        <w:rPr>
          <w:sz w:val="20"/>
          <w:szCs w:val="20"/>
        </w:rPr>
        <w:t>meningiomas</w:t>
      </w:r>
      <w:proofErr w:type="spellEnd"/>
      <w:r w:rsidR="002776A4" w:rsidRPr="00E3128F">
        <w:rPr>
          <w:sz w:val="20"/>
          <w:szCs w:val="20"/>
        </w:rPr>
        <w:t xml:space="preserve"> concerning presenting symptoms, neurological deficits, radiological appearance, surgical approach and outcomes as well as clinical and radiological follow-up findings.</w:t>
      </w:r>
    </w:p>
    <w:p w:rsidR="000D1DAC" w:rsidRPr="00E3128F" w:rsidRDefault="000D1DAC" w:rsidP="00B6591E">
      <w:pPr>
        <w:tabs>
          <w:tab w:val="left" w:pos="720"/>
        </w:tabs>
        <w:bidi w:val="0"/>
        <w:jc w:val="lowKashida"/>
        <w:rPr>
          <w:sz w:val="20"/>
          <w:szCs w:val="20"/>
        </w:rPr>
      </w:pPr>
    </w:p>
    <w:p w:rsidR="00063B30" w:rsidRPr="00E3128F" w:rsidRDefault="00B6591E" w:rsidP="00EE14A8">
      <w:pPr>
        <w:bidi w:val="0"/>
        <w:jc w:val="both"/>
        <w:rPr>
          <w:sz w:val="20"/>
          <w:szCs w:val="20"/>
        </w:rPr>
      </w:pPr>
      <w:proofErr w:type="gramStart"/>
      <w:r w:rsidRPr="00E3128F">
        <w:rPr>
          <w:b/>
          <w:sz w:val="20"/>
          <w:szCs w:val="20"/>
        </w:rPr>
        <w:t>2.</w:t>
      </w:r>
      <w:r w:rsidR="00063B30" w:rsidRPr="00E3128F">
        <w:rPr>
          <w:b/>
          <w:sz w:val="20"/>
          <w:szCs w:val="20"/>
        </w:rPr>
        <w:t>M</w:t>
      </w:r>
      <w:r w:rsidR="00155AB3" w:rsidRPr="00E3128F">
        <w:rPr>
          <w:b/>
          <w:sz w:val="20"/>
          <w:szCs w:val="20"/>
        </w:rPr>
        <w:t>aterial</w:t>
      </w:r>
      <w:proofErr w:type="gramEnd"/>
      <w:r w:rsidR="00155AB3" w:rsidRPr="00E3128F">
        <w:rPr>
          <w:b/>
          <w:sz w:val="20"/>
          <w:szCs w:val="20"/>
        </w:rPr>
        <w:t xml:space="preserve"> and Methods</w:t>
      </w:r>
      <w:r w:rsidR="00063B30" w:rsidRPr="00E3128F">
        <w:rPr>
          <w:b/>
          <w:sz w:val="20"/>
          <w:szCs w:val="20"/>
        </w:rPr>
        <w:t>:</w:t>
      </w:r>
    </w:p>
    <w:p w:rsidR="006164FA" w:rsidRPr="00E3128F" w:rsidRDefault="00E40D00" w:rsidP="006A0B06">
      <w:pPr>
        <w:bidi w:val="0"/>
        <w:ind w:firstLine="426"/>
        <w:jc w:val="both"/>
        <w:rPr>
          <w:sz w:val="20"/>
          <w:szCs w:val="20"/>
        </w:rPr>
      </w:pPr>
      <w:r w:rsidRPr="00E3128F">
        <w:rPr>
          <w:sz w:val="20"/>
          <w:szCs w:val="20"/>
        </w:rPr>
        <w:t xml:space="preserve">During </w:t>
      </w:r>
      <w:r w:rsidR="0074698E" w:rsidRPr="00E3128F">
        <w:rPr>
          <w:sz w:val="20"/>
          <w:szCs w:val="20"/>
        </w:rPr>
        <w:t>February</w:t>
      </w:r>
      <w:r w:rsidRPr="00E3128F">
        <w:rPr>
          <w:sz w:val="20"/>
          <w:szCs w:val="20"/>
        </w:rPr>
        <w:t xml:space="preserve"> </w:t>
      </w:r>
      <w:r w:rsidR="00B11E4C" w:rsidRPr="00E3128F">
        <w:rPr>
          <w:sz w:val="20"/>
          <w:szCs w:val="20"/>
        </w:rPr>
        <w:t>2005</w:t>
      </w:r>
      <w:r w:rsidR="00361B59" w:rsidRPr="00E3128F">
        <w:rPr>
          <w:sz w:val="20"/>
          <w:szCs w:val="20"/>
        </w:rPr>
        <w:t xml:space="preserve"> to</w:t>
      </w:r>
      <w:r w:rsidR="00B11E4C" w:rsidRPr="00E3128F">
        <w:rPr>
          <w:sz w:val="20"/>
          <w:szCs w:val="20"/>
        </w:rPr>
        <w:t xml:space="preserve"> October</w:t>
      </w:r>
      <w:r w:rsidR="009520A4">
        <w:rPr>
          <w:sz w:val="20"/>
          <w:szCs w:val="20"/>
        </w:rPr>
        <w:t xml:space="preserve"> </w:t>
      </w:r>
      <w:r w:rsidR="00BD4471" w:rsidRPr="00E3128F">
        <w:rPr>
          <w:sz w:val="20"/>
          <w:szCs w:val="20"/>
        </w:rPr>
        <w:t>201</w:t>
      </w:r>
      <w:r w:rsidR="00B11E4C" w:rsidRPr="00E3128F">
        <w:rPr>
          <w:sz w:val="20"/>
          <w:szCs w:val="20"/>
        </w:rPr>
        <w:t>1</w:t>
      </w:r>
      <w:r w:rsidR="002E16F0" w:rsidRPr="00E3128F">
        <w:rPr>
          <w:sz w:val="20"/>
          <w:szCs w:val="20"/>
        </w:rPr>
        <w:t>, I</w:t>
      </w:r>
      <w:r w:rsidR="009520A4">
        <w:rPr>
          <w:sz w:val="20"/>
          <w:szCs w:val="20"/>
        </w:rPr>
        <w:t xml:space="preserve"> </w:t>
      </w:r>
      <w:r w:rsidRPr="00E3128F">
        <w:rPr>
          <w:sz w:val="20"/>
          <w:szCs w:val="20"/>
        </w:rPr>
        <w:t>prospectively followed a</w:t>
      </w:r>
      <w:r w:rsidR="0074698E" w:rsidRPr="00E3128F">
        <w:rPr>
          <w:sz w:val="20"/>
          <w:szCs w:val="20"/>
        </w:rPr>
        <w:t xml:space="preserve"> cohort of 12</w:t>
      </w:r>
      <w:r w:rsidRPr="00E3128F">
        <w:rPr>
          <w:sz w:val="20"/>
          <w:szCs w:val="20"/>
        </w:rPr>
        <w:t xml:space="preserve"> patients </w:t>
      </w:r>
      <w:r w:rsidR="006E5225" w:rsidRPr="00E3128F">
        <w:rPr>
          <w:sz w:val="20"/>
          <w:szCs w:val="20"/>
        </w:rPr>
        <w:t>with olfactory groove</w:t>
      </w:r>
      <w:r w:rsidR="0074698E" w:rsidRPr="00E3128F">
        <w:rPr>
          <w:sz w:val="20"/>
          <w:szCs w:val="20"/>
        </w:rPr>
        <w:t xml:space="preserve"> </w:t>
      </w:r>
      <w:proofErr w:type="spellStart"/>
      <w:r w:rsidR="0074698E" w:rsidRPr="00E3128F">
        <w:rPr>
          <w:sz w:val="20"/>
          <w:szCs w:val="20"/>
        </w:rPr>
        <w:t>meningioma</w:t>
      </w:r>
      <w:r w:rsidR="001B25D4" w:rsidRPr="00E3128F">
        <w:rPr>
          <w:sz w:val="20"/>
          <w:szCs w:val="20"/>
        </w:rPr>
        <w:t>s</w:t>
      </w:r>
      <w:proofErr w:type="spellEnd"/>
      <w:r w:rsidR="00DC079F" w:rsidRPr="00E3128F">
        <w:rPr>
          <w:sz w:val="20"/>
          <w:szCs w:val="20"/>
        </w:rPr>
        <w:t xml:space="preserve"> in department of </w:t>
      </w:r>
      <w:r w:rsidR="006A0B06" w:rsidRPr="00E3128F">
        <w:rPr>
          <w:sz w:val="20"/>
          <w:szCs w:val="20"/>
        </w:rPr>
        <w:t>N</w:t>
      </w:r>
      <w:r w:rsidR="00DC079F" w:rsidRPr="00E3128F">
        <w:rPr>
          <w:sz w:val="20"/>
          <w:szCs w:val="20"/>
        </w:rPr>
        <w:t>eurosurgery at</w:t>
      </w:r>
      <w:r w:rsidR="00953A01" w:rsidRPr="00E3128F">
        <w:rPr>
          <w:sz w:val="20"/>
          <w:szCs w:val="20"/>
        </w:rPr>
        <w:t xml:space="preserve"> Al-</w:t>
      </w:r>
      <w:proofErr w:type="spellStart"/>
      <w:r w:rsidR="00953A01" w:rsidRPr="00E3128F">
        <w:rPr>
          <w:sz w:val="20"/>
          <w:szCs w:val="20"/>
        </w:rPr>
        <w:t>Azhar</w:t>
      </w:r>
      <w:proofErr w:type="spellEnd"/>
      <w:r w:rsidR="00063B30" w:rsidRPr="00E3128F">
        <w:rPr>
          <w:sz w:val="20"/>
          <w:szCs w:val="20"/>
        </w:rPr>
        <w:t xml:space="preserve"> University</w:t>
      </w:r>
      <w:r w:rsidR="00DC079F" w:rsidRPr="00E3128F">
        <w:rPr>
          <w:sz w:val="20"/>
          <w:szCs w:val="20"/>
        </w:rPr>
        <w:t xml:space="preserve"> hospital</w:t>
      </w:r>
      <w:r w:rsidR="00953A01" w:rsidRPr="00E3128F">
        <w:rPr>
          <w:sz w:val="20"/>
          <w:szCs w:val="20"/>
        </w:rPr>
        <w:t>s</w:t>
      </w:r>
      <w:r w:rsidR="00DC079F" w:rsidRPr="00E3128F">
        <w:rPr>
          <w:sz w:val="20"/>
          <w:szCs w:val="20"/>
        </w:rPr>
        <w:t>.</w:t>
      </w:r>
      <w:r w:rsidR="009C271A" w:rsidRPr="00E3128F">
        <w:rPr>
          <w:sz w:val="20"/>
          <w:szCs w:val="20"/>
        </w:rPr>
        <w:t xml:space="preserve"> </w:t>
      </w:r>
      <w:r w:rsidR="00CC4A19" w:rsidRPr="00E3128F">
        <w:rPr>
          <w:sz w:val="20"/>
          <w:szCs w:val="20"/>
        </w:rPr>
        <w:t xml:space="preserve">Information on the </w:t>
      </w:r>
      <w:r w:rsidR="00155AB3" w:rsidRPr="00E3128F">
        <w:rPr>
          <w:sz w:val="20"/>
          <w:szCs w:val="20"/>
        </w:rPr>
        <w:t>patients'</w:t>
      </w:r>
      <w:r w:rsidR="00CC4A19" w:rsidRPr="00E3128F">
        <w:rPr>
          <w:sz w:val="20"/>
          <w:szCs w:val="20"/>
        </w:rPr>
        <w:t xml:space="preserve"> </w:t>
      </w:r>
      <w:r w:rsidR="009C271A" w:rsidRPr="00E3128F">
        <w:rPr>
          <w:sz w:val="20"/>
          <w:szCs w:val="20"/>
        </w:rPr>
        <w:t>clinical history and signs, surgical approach, pathology and outcomes were recorded.</w:t>
      </w:r>
    </w:p>
    <w:p w:rsidR="00DC079F" w:rsidRPr="00E3128F" w:rsidRDefault="00DC079F" w:rsidP="00B6591E">
      <w:pPr>
        <w:bidi w:val="0"/>
        <w:ind w:firstLine="426"/>
        <w:jc w:val="both"/>
        <w:rPr>
          <w:sz w:val="20"/>
          <w:szCs w:val="20"/>
        </w:rPr>
      </w:pPr>
      <w:r w:rsidRPr="00E3128F">
        <w:rPr>
          <w:sz w:val="20"/>
          <w:szCs w:val="20"/>
        </w:rPr>
        <w:t>All patients underwent an evaluation of visual acuity and visual fields, the results of which were compared to the post operative visual acuity and visual fields.</w:t>
      </w:r>
    </w:p>
    <w:p w:rsidR="00DC079F" w:rsidRPr="00E3128F" w:rsidRDefault="00DC079F" w:rsidP="00B6591E">
      <w:pPr>
        <w:bidi w:val="0"/>
        <w:ind w:firstLine="426"/>
        <w:jc w:val="lowKashida"/>
        <w:rPr>
          <w:sz w:val="20"/>
          <w:szCs w:val="20"/>
        </w:rPr>
      </w:pPr>
      <w:r w:rsidRPr="00E3128F">
        <w:rPr>
          <w:sz w:val="20"/>
          <w:szCs w:val="20"/>
        </w:rPr>
        <w:lastRenderedPageBreak/>
        <w:t xml:space="preserve">Preoperative </w:t>
      </w:r>
      <w:proofErr w:type="spellStart"/>
      <w:r w:rsidRPr="00E3128F">
        <w:rPr>
          <w:sz w:val="20"/>
          <w:szCs w:val="20"/>
        </w:rPr>
        <w:t>neuroimaging</w:t>
      </w:r>
      <w:proofErr w:type="spellEnd"/>
      <w:r w:rsidRPr="00E3128F">
        <w:rPr>
          <w:sz w:val="20"/>
          <w:szCs w:val="20"/>
        </w:rPr>
        <w:t xml:space="preserve"> investigations consisted of computerized tomography (CT) with tridimensional reconstruction and magnetic resonance imaging (MRI) using a 1.5-tesla unit, with and without contrast. CT scans were also obtained 24 h after surgery to identify immediately the presence of postoperative hematomas, </w:t>
      </w:r>
      <w:proofErr w:type="spellStart"/>
      <w:r w:rsidRPr="00E3128F">
        <w:rPr>
          <w:sz w:val="20"/>
          <w:szCs w:val="20"/>
        </w:rPr>
        <w:t>pneumocephalus</w:t>
      </w:r>
      <w:proofErr w:type="spellEnd"/>
      <w:r w:rsidRPr="00E3128F">
        <w:rPr>
          <w:sz w:val="20"/>
          <w:szCs w:val="20"/>
        </w:rPr>
        <w:t xml:space="preserve">, or other </w:t>
      </w:r>
      <w:proofErr w:type="gramStart"/>
      <w:r w:rsidRPr="00E3128F">
        <w:rPr>
          <w:sz w:val="20"/>
          <w:szCs w:val="20"/>
        </w:rPr>
        <w:t>surgical</w:t>
      </w:r>
      <w:proofErr w:type="gramEnd"/>
      <w:r w:rsidRPr="00E3128F">
        <w:rPr>
          <w:sz w:val="20"/>
          <w:szCs w:val="20"/>
        </w:rPr>
        <w:t xml:space="preserve"> complications. Postoperative control MRI was performed three and six months after surgery, and then annually, if necessary.</w:t>
      </w:r>
    </w:p>
    <w:p w:rsidR="00DC079F" w:rsidRPr="00E3128F" w:rsidRDefault="00DC079F" w:rsidP="00B6591E">
      <w:pPr>
        <w:autoSpaceDE w:val="0"/>
        <w:autoSpaceDN w:val="0"/>
        <w:bidi w:val="0"/>
        <w:adjustRightInd w:val="0"/>
        <w:ind w:firstLine="426"/>
        <w:jc w:val="both"/>
        <w:rPr>
          <w:sz w:val="20"/>
          <w:szCs w:val="20"/>
        </w:rPr>
      </w:pPr>
      <w:r w:rsidRPr="00E3128F">
        <w:rPr>
          <w:sz w:val="20"/>
          <w:szCs w:val="20"/>
        </w:rPr>
        <w:t xml:space="preserve">The extent of </w:t>
      </w:r>
      <w:r w:rsidR="00155AB3" w:rsidRPr="00E3128F">
        <w:rPr>
          <w:sz w:val="20"/>
          <w:szCs w:val="20"/>
        </w:rPr>
        <w:t>tumor</w:t>
      </w:r>
      <w:r w:rsidRPr="00E3128F">
        <w:rPr>
          <w:sz w:val="20"/>
          <w:szCs w:val="20"/>
        </w:rPr>
        <w:t xml:space="preserve"> resection was classified according to the </w:t>
      </w:r>
      <w:r w:rsidRPr="00E3128F">
        <w:rPr>
          <w:b/>
          <w:bCs/>
          <w:sz w:val="20"/>
          <w:szCs w:val="20"/>
        </w:rPr>
        <w:t>Simpson</w:t>
      </w:r>
      <w:r w:rsidRPr="00E3128F">
        <w:rPr>
          <w:sz w:val="20"/>
          <w:szCs w:val="20"/>
        </w:rPr>
        <w:t xml:space="preserve"> </w:t>
      </w:r>
      <w:r w:rsidR="003D3DC3" w:rsidRPr="00E3128F">
        <w:rPr>
          <w:sz w:val="20"/>
          <w:szCs w:val="20"/>
        </w:rPr>
        <w:t>classification (3</w:t>
      </w:r>
      <w:r w:rsidR="00E45016" w:rsidRPr="00E3128F">
        <w:rPr>
          <w:sz w:val="20"/>
          <w:szCs w:val="20"/>
        </w:rPr>
        <w:t>)</w:t>
      </w:r>
      <w:r w:rsidRPr="00E3128F">
        <w:rPr>
          <w:sz w:val="20"/>
          <w:szCs w:val="20"/>
        </w:rPr>
        <w:t xml:space="preserve">: </w:t>
      </w:r>
    </w:p>
    <w:p w:rsidR="00953A01" w:rsidRPr="00E3128F" w:rsidRDefault="00DC079F" w:rsidP="00B6591E">
      <w:pPr>
        <w:numPr>
          <w:ilvl w:val="0"/>
          <w:numId w:val="3"/>
        </w:numPr>
        <w:autoSpaceDE w:val="0"/>
        <w:autoSpaceDN w:val="0"/>
        <w:bidi w:val="0"/>
        <w:adjustRightInd w:val="0"/>
        <w:ind w:left="284" w:hanging="284"/>
        <w:jc w:val="both"/>
        <w:rPr>
          <w:sz w:val="20"/>
          <w:szCs w:val="20"/>
        </w:rPr>
      </w:pPr>
      <w:r w:rsidRPr="00E3128F">
        <w:rPr>
          <w:b/>
          <w:bCs/>
          <w:sz w:val="20"/>
          <w:szCs w:val="20"/>
        </w:rPr>
        <w:t>Grade I</w:t>
      </w:r>
      <w:r w:rsidRPr="00E3128F">
        <w:rPr>
          <w:sz w:val="20"/>
          <w:szCs w:val="20"/>
        </w:rPr>
        <w:t xml:space="preserve">: total </w:t>
      </w:r>
      <w:r w:rsidR="00155AB3" w:rsidRPr="00E3128F">
        <w:rPr>
          <w:sz w:val="20"/>
          <w:szCs w:val="20"/>
        </w:rPr>
        <w:t>tumor</w:t>
      </w:r>
      <w:r w:rsidRPr="00E3128F">
        <w:rPr>
          <w:sz w:val="20"/>
          <w:szCs w:val="20"/>
        </w:rPr>
        <w:t xml:space="preserve"> resection with excision of infiltrated </w:t>
      </w:r>
      <w:proofErr w:type="spellStart"/>
      <w:r w:rsidRPr="00E3128F">
        <w:rPr>
          <w:sz w:val="20"/>
          <w:szCs w:val="20"/>
        </w:rPr>
        <w:t>dura</w:t>
      </w:r>
      <w:proofErr w:type="spellEnd"/>
      <w:r w:rsidRPr="00E3128F">
        <w:rPr>
          <w:sz w:val="20"/>
          <w:szCs w:val="20"/>
        </w:rPr>
        <w:t>.</w:t>
      </w:r>
    </w:p>
    <w:p w:rsidR="00953A01" w:rsidRPr="00E3128F" w:rsidRDefault="00DC079F" w:rsidP="00B6591E">
      <w:pPr>
        <w:numPr>
          <w:ilvl w:val="0"/>
          <w:numId w:val="3"/>
        </w:numPr>
        <w:autoSpaceDE w:val="0"/>
        <w:autoSpaceDN w:val="0"/>
        <w:bidi w:val="0"/>
        <w:adjustRightInd w:val="0"/>
        <w:ind w:left="284" w:hanging="284"/>
        <w:jc w:val="both"/>
        <w:rPr>
          <w:sz w:val="20"/>
          <w:szCs w:val="20"/>
        </w:rPr>
      </w:pPr>
      <w:r w:rsidRPr="00E3128F">
        <w:rPr>
          <w:b/>
          <w:bCs/>
          <w:sz w:val="20"/>
          <w:szCs w:val="20"/>
        </w:rPr>
        <w:t>Grade II</w:t>
      </w:r>
      <w:r w:rsidRPr="00E3128F">
        <w:rPr>
          <w:sz w:val="20"/>
          <w:szCs w:val="20"/>
        </w:rPr>
        <w:t xml:space="preserve">: total </w:t>
      </w:r>
      <w:r w:rsidR="00155AB3" w:rsidRPr="00E3128F">
        <w:rPr>
          <w:sz w:val="20"/>
          <w:szCs w:val="20"/>
        </w:rPr>
        <w:t>tumor</w:t>
      </w:r>
      <w:r w:rsidRPr="00E3128F">
        <w:rPr>
          <w:sz w:val="20"/>
          <w:szCs w:val="20"/>
        </w:rPr>
        <w:t xml:space="preserve"> resection and coagulation of </w:t>
      </w:r>
      <w:proofErr w:type="spellStart"/>
      <w:r w:rsidRPr="00E3128F">
        <w:rPr>
          <w:sz w:val="20"/>
          <w:szCs w:val="20"/>
        </w:rPr>
        <w:t>dural</w:t>
      </w:r>
      <w:proofErr w:type="spellEnd"/>
      <w:r w:rsidRPr="00E3128F">
        <w:rPr>
          <w:sz w:val="20"/>
          <w:szCs w:val="20"/>
        </w:rPr>
        <w:t xml:space="preserve"> attachments</w:t>
      </w:r>
    </w:p>
    <w:p w:rsidR="00953A01" w:rsidRPr="00E3128F" w:rsidRDefault="00953A01" w:rsidP="00B6591E">
      <w:pPr>
        <w:numPr>
          <w:ilvl w:val="0"/>
          <w:numId w:val="3"/>
        </w:numPr>
        <w:autoSpaceDE w:val="0"/>
        <w:autoSpaceDN w:val="0"/>
        <w:bidi w:val="0"/>
        <w:adjustRightInd w:val="0"/>
        <w:ind w:left="284" w:hanging="284"/>
        <w:jc w:val="both"/>
        <w:rPr>
          <w:sz w:val="20"/>
          <w:szCs w:val="20"/>
        </w:rPr>
      </w:pPr>
      <w:r w:rsidRPr="00E3128F">
        <w:rPr>
          <w:b/>
          <w:bCs/>
          <w:sz w:val="20"/>
          <w:szCs w:val="20"/>
        </w:rPr>
        <w:t xml:space="preserve"> Grade </w:t>
      </w:r>
      <w:r w:rsidR="00DC079F" w:rsidRPr="00E3128F">
        <w:rPr>
          <w:b/>
          <w:bCs/>
          <w:sz w:val="20"/>
          <w:szCs w:val="20"/>
        </w:rPr>
        <w:t>III</w:t>
      </w:r>
      <w:r w:rsidR="00DC079F" w:rsidRPr="00E3128F">
        <w:rPr>
          <w:sz w:val="20"/>
          <w:szCs w:val="20"/>
        </w:rPr>
        <w:t xml:space="preserve">: gross total </w:t>
      </w:r>
      <w:r w:rsidR="00155AB3" w:rsidRPr="00E3128F">
        <w:rPr>
          <w:sz w:val="20"/>
          <w:szCs w:val="20"/>
        </w:rPr>
        <w:t>tumor</w:t>
      </w:r>
      <w:r w:rsidR="00DC079F" w:rsidRPr="00E3128F">
        <w:rPr>
          <w:sz w:val="20"/>
          <w:szCs w:val="20"/>
        </w:rPr>
        <w:t xml:space="preserve"> resection without excising </w:t>
      </w:r>
      <w:proofErr w:type="spellStart"/>
      <w:r w:rsidR="00DC079F" w:rsidRPr="00E3128F">
        <w:rPr>
          <w:sz w:val="20"/>
          <w:szCs w:val="20"/>
        </w:rPr>
        <w:t>dural</w:t>
      </w:r>
      <w:proofErr w:type="spellEnd"/>
      <w:r w:rsidR="00DC079F" w:rsidRPr="00E3128F">
        <w:rPr>
          <w:sz w:val="20"/>
          <w:szCs w:val="20"/>
        </w:rPr>
        <w:t xml:space="preserve"> attachments or </w:t>
      </w:r>
      <w:proofErr w:type="spellStart"/>
      <w:r w:rsidR="00DC079F" w:rsidRPr="00E3128F">
        <w:rPr>
          <w:sz w:val="20"/>
          <w:szCs w:val="20"/>
        </w:rPr>
        <w:t>extradural</w:t>
      </w:r>
      <w:proofErr w:type="spellEnd"/>
      <w:r w:rsidR="00DC079F" w:rsidRPr="00E3128F">
        <w:rPr>
          <w:sz w:val="20"/>
          <w:szCs w:val="20"/>
        </w:rPr>
        <w:t xml:space="preserve"> extensions (e.g. infiltrated sinus or bone).</w:t>
      </w:r>
    </w:p>
    <w:p w:rsidR="00DC079F" w:rsidRPr="00E3128F" w:rsidRDefault="00DC079F" w:rsidP="00B6591E">
      <w:pPr>
        <w:numPr>
          <w:ilvl w:val="0"/>
          <w:numId w:val="3"/>
        </w:numPr>
        <w:autoSpaceDE w:val="0"/>
        <w:autoSpaceDN w:val="0"/>
        <w:bidi w:val="0"/>
        <w:adjustRightInd w:val="0"/>
        <w:ind w:left="284" w:hanging="284"/>
        <w:jc w:val="both"/>
        <w:rPr>
          <w:sz w:val="20"/>
          <w:szCs w:val="20"/>
        </w:rPr>
      </w:pPr>
      <w:r w:rsidRPr="00E3128F">
        <w:rPr>
          <w:b/>
          <w:bCs/>
          <w:sz w:val="20"/>
          <w:szCs w:val="20"/>
        </w:rPr>
        <w:t>Grade IV</w:t>
      </w:r>
      <w:r w:rsidRPr="00E3128F">
        <w:rPr>
          <w:sz w:val="20"/>
          <w:szCs w:val="20"/>
        </w:rPr>
        <w:t xml:space="preserve">: subtotal </w:t>
      </w:r>
      <w:r w:rsidR="00155AB3" w:rsidRPr="00E3128F">
        <w:rPr>
          <w:sz w:val="20"/>
          <w:szCs w:val="20"/>
        </w:rPr>
        <w:t>tumor</w:t>
      </w:r>
      <w:r w:rsidRPr="00E3128F">
        <w:rPr>
          <w:sz w:val="20"/>
          <w:szCs w:val="20"/>
        </w:rPr>
        <w:t xml:space="preserve"> resection.</w:t>
      </w:r>
    </w:p>
    <w:p w:rsidR="00DC079F" w:rsidRPr="00E3128F" w:rsidRDefault="00953A01" w:rsidP="00892A2F">
      <w:pPr>
        <w:bidi w:val="0"/>
        <w:ind w:firstLine="425"/>
        <w:jc w:val="both"/>
        <w:rPr>
          <w:sz w:val="20"/>
          <w:szCs w:val="20"/>
        </w:rPr>
      </w:pPr>
      <w:r w:rsidRPr="00E3128F">
        <w:rPr>
          <w:sz w:val="20"/>
          <w:szCs w:val="20"/>
        </w:rPr>
        <w:t>For this</w:t>
      </w:r>
      <w:r w:rsidR="00B11E4C" w:rsidRPr="00E3128F">
        <w:rPr>
          <w:sz w:val="20"/>
          <w:szCs w:val="20"/>
        </w:rPr>
        <w:t xml:space="preserve"> study, I</w:t>
      </w:r>
      <w:r w:rsidR="00DC079F" w:rsidRPr="00E3128F">
        <w:rPr>
          <w:sz w:val="20"/>
          <w:szCs w:val="20"/>
        </w:rPr>
        <w:t xml:space="preserve"> collected the informed consent of all patients.</w:t>
      </w:r>
    </w:p>
    <w:p w:rsidR="00DC079F" w:rsidRPr="00E3128F" w:rsidRDefault="00DC079F" w:rsidP="00B6591E">
      <w:pPr>
        <w:bidi w:val="0"/>
        <w:rPr>
          <w:b/>
          <w:bCs/>
          <w:sz w:val="20"/>
          <w:szCs w:val="20"/>
        </w:rPr>
      </w:pPr>
      <w:r w:rsidRPr="00E3128F">
        <w:rPr>
          <w:b/>
          <w:bCs/>
          <w:sz w:val="20"/>
          <w:szCs w:val="20"/>
        </w:rPr>
        <w:t>Surgic</w:t>
      </w:r>
      <w:r w:rsidR="003F7872" w:rsidRPr="00E3128F">
        <w:rPr>
          <w:b/>
          <w:bCs/>
          <w:sz w:val="20"/>
          <w:szCs w:val="20"/>
        </w:rPr>
        <w:t>al procedure:</w:t>
      </w:r>
    </w:p>
    <w:p w:rsidR="00356F21" w:rsidRPr="00E3128F" w:rsidRDefault="00B36053" w:rsidP="00B6591E">
      <w:pPr>
        <w:bidi w:val="0"/>
        <w:ind w:firstLine="426"/>
        <w:jc w:val="both"/>
        <w:rPr>
          <w:sz w:val="20"/>
          <w:szCs w:val="20"/>
        </w:rPr>
      </w:pPr>
      <w:r w:rsidRPr="00E3128F">
        <w:rPr>
          <w:sz w:val="20"/>
          <w:szCs w:val="20"/>
        </w:rPr>
        <w:t>Surgery was</w:t>
      </w:r>
      <w:r w:rsidR="0021514E" w:rsidRPr="00E3128F">
        <w:rPr>
          <w:sz w:val="20"/>
          <w:szCs w:val="20"/>
        </w:rPr>
        <w:t xml:space="preserve"> performed with general </w:t>
      </w:r>
      <w:r w:rsidR="00155AB3" w:rsidRPr="00E3128F">
        <w:rPr>
          <w:sz w:val="20"/>
          <w:szCs w:val="20"/>
        </w:rPr>
        <w:t>anesthesia</w:t>
      </w:r>
      <w:r w:rsidR="0021514E" w:rsidRPr="00E3128F">
        <w:rPr>
          <w:sz w:val="20"/>
          <w:szCs w:val="20"/>
        </w:rPr>
        <w:t>, with the</w:t>
      </w:r>
      <w:r w:rsidR="001B25D4" w:rsidRPr="00E3128F">
        <w:rPr>
          <w:sz w:val="20"/>
          <w:szCs w:val="20"/>
        </w:rPr>
        <w:t xml:space="preserve"> </w:t>
      </w:r>
      <w:r w:rsidR="0021514E" w:rsidRPr="00E3128F">
        <w:rPr>
          <w:sz w:val="20"/>
          <w:szCs w:val="20"/>
        </w:rPr>
        <w:t>aid of an operating microscope and microsurgical instrumentation</w:t>
      </w:r>
      <w:r w:rsidR="001B25D4" w:rsidRPr="00E3128F">
        <w:rPr>
          <w:sz w:val="20"/>
          <w:szCs w:val="20"/>
        </w:rPr>
        <w:t xml:space="preserve"> </w:t>
      </w:r>
      <w:r w:rsidR="00A0070E" w:rsidRPr="00E3128F">
        <w:rPr>
          <w:sz w:val="20"/>
          <w:szCs w:val="20"/>
        </w:rPr>
        <w:t xml:space="preserve">in all cases. I recommend </w:t>
      </w:r>
      <w:proofErr w:type="spellStart"/>
      <w:r w:rsidR="00A0070E" w:rsidRPr="00E3128F">
        <w:rPr>
          <w:sz w:val="20"/>
          <w:szCs w:val="20"/>
        </w:rPr>
        <w:t>bifrontal</w:t>
      </w:r>
      <w:proofErr w:type="spellEnd"/>
      <w:r w:rsidR="00A0070E" w:rsidRPr="00E3128F">
        <w:rPr>
          <w:sz w:val="20"/>
          <w:szCs w:val="20"/>
        </w:rPr>
        <w:t xml:space="preserve"> craniotomy for removal of large </w:t>
      </w:r>
      <w:r w:rsidR="00CC7EDD" w:rsidRPr="00E3128F">
        <w:rPr>
          <w:sz w:val="20"/>
          <w:szCs w:val="20"/>
        </w:rPr>
        <w:t>tumors</w:t>
      </w:r>
      <w:r w:rsidR="00A0070E" w:rsidRPr="00E3128F">
        <w:rPr>
          <w:sz w:val="20"/>
          <w:szCs w:val="20"/>
        </w:rPr>
        <w:t xml:space="preserve">. The </w:t>
      </w:r>
      <w:proofErr w:type="spellStart"/>
      <w:r w:rsidR="00A0070E" w:rsidRPr="00E3128F">
        <w:rPr>
          <w:sz w:val="20"/>
          <w:szCs w:val="20"/>
        </w:rPr>
        <w:t>bifrontal</w:t>
      </w:r>
      <w:proofErr w:type="spellEnd"/>
      <w:r w:rsidR="00A0070E" w:rsidRPr="00E3128F">
        <w:rPr>
          <w:sz w:val="20"/>
          <w:szCs w:val="20"/>
        </w:rPr>
        <w:t xml:space="preserve"> approach permits adequate exposure and allows the surgeon to work on both sides, frontal and temporal, accessing the </w:t>
      </w:r>
      <w:proofErr w:type="spellStart"/>
      <w:r w:rsidR="00A0070E" w:rsidRPr="00E3128F">
        <w:rPr>
          <w:sz w:val="20"/>
          <w:szCs w:val="20"/>
        </w:rPr>
        <w:t>sylvian</w:t>
      </w:r>
      <w:proofErr w:type="spellEnd"/>
      <w:r w:rsidR="00A0070E" w:rsidRPr="00E3128F">
        <w:rPr>
          <w:sz w:val="20"/>
          <w:szCs w:val="20"/>
        </w:rPr>
        <w:t xml:space="preserve"> fissure. </w:t>
      </w:r>
    </w:p>
    <w:p w:rsidR="00A0070E" w:rsidRPr="00E3128F" w:rsidRDefault="00A0070E" w:rsidP="00892A2F">
      <w:pPr>
        <w:bidi w:val="0"/>
        <w:ind w:firstLine="425"/>
        <w:jc w:val="both"/>
        <w:rPr>
          <w:sz w:val="20"/>
          <w:szCs w:val="20"/>
        </w:rPr>
      </w:pPr>
      <w:r w:rsidRPr="00E3128F">
        <w:rPr>
          <w:sz w:val="20"/>
          <w:szCs w:val="20"/>
        </w:rPr>
        <w:t xml:space="preserve">The patients should be placed in a supine position, with the head in a neutral position and gently extended toward the floor. After the </w:t>
      </w:r>
      <w:proofErr w:type="spellStart"/>
      <w:r w:rsidRPr="00E3128F">
        <w:rPr>
          <w:sz w:val="20"/>
          <w:szCs w:val="20"/>
        </w:rPr>
        <w:t>bifrontal</w:t>
      </w:r>
      <w:proofErr w:type="spellEnd"/>
      <w:r w:rsidRPr="00E3128F">
        <w:rPr>
          <w:sz w:val="20"/>
          <w:szCs w:val="20"/>
        </w:rPr>
        <w:t xml:space="preserve"> craniotomy using </w:t>
      </w:r>
      <w:r w:rsidRPr="00E3128F">
        <w:rPr>
          <w:sz w:val="20"/>
          <w:szCs w:val="20"/>
        </w:rPr>
        <w:lastRenderedPageBreak/>
        <w:t xml:space="preserve">four burr holes, the bone flap is removed. The </w:t>
      </w:r>
      <w:proofErr w:type="spellStart"/>
      <w:r w:rsidRPr="00E3128F">
        <w:rPr>
          <w:sz w:val="20"/>
          <w:szCs w:val="20"/>
        </w:rPr>
        <w:t>dura</w:t>
      </w:r>
      <w:proofErr w:type="spellEnd"/>
      <w:r w:rsidRPr="00E3128F">
        <w:rPr>
          <w:sz w:val="20"/>
          <w:szCs w:val="20"/>
        </w:rPr>
        <w:t xml:space="preserve"> mater is opened in a downward turning C</w:t>
      </w:r>
      <w:r w:rsidR="00A351E4" w:rsidRPr="00E3128F">
        <w:rPr>
          <w:sz w:val="20"/>
          <w:szCs w:val="20"/>
        </w:rPr>
        <w:t xml:space="preserve"> </w:t>
      </w:r>
      <w:r w:rsidRPr="00E3128F">
        <w:rPr>
          <w:sz w:val="20"/>
          <w:szCs w:val="20"/>
        </w:rPr>
        <w:t xml:space="preserve">shape, and the </w:t>
      </w:r>
      <w:proofErr w:type="spellStart"/>
      <w:r w:rsidRPr="00E3128F">
        <w:rPr>
          <w:sz w:val="20"/>
          <w:szCs w:val="20"/>
        </w:rPr>
        <w:t>sagittal</w:t>
      </w:r>
      <w:proofErr w:type="spellEnd"/>
      <w:r w:rsidRPr="00E3128F">
        <w:rPr>
          <w:sz w:val="20"/>
          <w:szCs w:val="20"/>
        </w:rPr>
        <w:t xml:space="preserve"> sinus is closed by means of suture or ligation. Both frontal lobes are elevated with retractors in parallel and the </w:t>
      </w:r>
      <w:proofErr w:type="spellStart"/>
      <w:r w:rsidRPr="00E3128F">
        <w:rPr>
          <w:sz w:val="20"/>
          <w:szCs w:val="20"/>
        </w:rPr>
        <w:t>interhemispheric</w:t>
      </w:r>
      <w:proofErr w:type="spellEnd"/>
      <w:r w:rsidRPr="00E3128F">
        <w:rPr>
          <w:sz w:val="20"/>
          <w:szCs w:val="20"/>
        </w:rPr>
        <w:t xml:space="preserve"> fissure is dissected.</w:t>
      </w:r>
    </w:p>
    <w:p w:rsidR="00356F21" w:rsidRPr="00E3128F" w:rsidRDefault="00B36053" w:rsidP="00892A2F">
      <w:pPr>
        <w:bidi w:val="0"/>
        <w:ind w:firstLine="425"/>
        <w:jc w:val="both"/>
        <w:rPr>
          <w:sz w:val="20"/>
          <w:szCs w:val="20"/>
        </w:rPr>
      </w:pPr>
      <w:r w:rsidRPr="00E3128F">
        <w:rPr>
          <w:sz w:val="20"/>
          <w:szCs w:val="20"/>
        </w:rPr>
        <w:t>After drainage of the CSF, I</w:t>
      </w:r>
      <w:r w:rsidR="009520A4">
        <w:rPr>
          <w:sz w:val="20"/>
          <w:szCs w:val="20"/>
        </w:rPr>
        <w:t xml:space="preserve"> </w:t>
      </w:r>
      <w:r w:rsidR="00A0070E" w:rsidRPr="00E3128F">
        <w:rPr>
          <w:sz w:val="20"/>
          <w:szCs w:val="20"/>
        </w:rPr>
        <w:t xml:space="preserve">try to dissect the olfactory nerves from bottom to top, up to the olfactory insertion into the bone. In large </w:t>
      </w:r>
      <w:r w:rsidR="00CC7EDD" w:rsidRPr="00E3128F">
        <w:rPr>
          <w:sz w:val="20"/>
          <w:szCs w:val="20"/>
        </w:rPr>
        <w:t>tumors</w:t>
      </w:r>
      <w:r w:rsidR="00A0070E" w:rsidRPr="00E3128F">
        <w:rPr>
          <w:sz w:val="20"/>
          <w:szCs w:val="20"/>
        </w:rPr>
        <w:t xml:space="preserve"> this proves almost impossible. The microsurgical technique consists of </w:t>
      </w:r>
      <w:proofErr w:type="spellStart"/>
      <w:r w:rsidR="00A0070E" w:rsidRPr="00E3128F">
        <w:rPr>
          <w:sz w:val="20"/>
          <w:szCs w:val="20"/>
        </w:rPr>
        <w:t>debulking</w:t>
      </w:r>
      <w:proofErr w:type="spellEnd"/>
      <w:r w:rsidR="00A0070E" w:rsidRPr="00E3128F">
        <w:rPr>
          <w:sz w:val="20"/>
          <w:szCs w:val="20"/>
        </w:rPr>
        <w:t xml:space="preserve"> the </w:t>
      </w:r>
      <w:r w:rsidR="00CC7EDD" w:rsidRPr="00E3128F">
        <w:rPr>
          <w:sz w:val="20"/>
          <w:szCs w:val="20"/>
        </w:rPr>
        <w:t>tumor</w:t>
      </w:r>
      <w:r w:rsidR="00A0070E" w:rsidRPr="00E3128F">
        <w:rPr>
          <w:sz w:val="20"/>
          <w:szCs w:val="20"/>
        </w:rPr>
        <w:t xml:space="preserve"> by means of microsurgical instruments.</w:t>
      </w:r>
    </w:p>
    <w:p w:rsidR="00356F21" w:rsidRPr="00E3128F" w:rsidRDefault="00A0070E" w:rsidP="00892A2F">
      <w:pPr>
        <w:bidi w:val="0"/>
        <w:ind w:firstLine="425"/>
        <w:jc w:val="both"/>
        <w:rPr>
          <w:sz w:val="20"/>
          <w:szCs w:val="20"/>
        </w:rPr>
      </w:pPr>
      <w:r w:rsidRPr="00E3128F">
        <w:rPr>
          <w:sz w:val="20"/>
          <w:szCs w:val="20"/>
        </w:rPr>
        <w:t xml:space="preserve">The capsule is turned toward the centre of its </w:t>
      </w:r>
      <w:proofErr w:type="spellStart"/>
      <w:r w:rsidRPr="00E3128F">
        <w:rPr>
          <w:sz w:val="20"/>
          <w:szCs w:val="20"/>
        </w:rPr>
        <w:t>debulked</w:t>
      </w:r>
      <w:proofErr w:type="spellEnd"/>
      <w:r w:rsidRPr="00E3128F">
        <w:rPr>
          <w:sz w:val="20"/>
          <w:szCs w:val="20"/>
        </w:rPr>
        <w:t xml:space="preserve"> area using a </w:t>
      </w:r>
      <w:r w:rsidR="00CC7EDD" w:rsidRPr="00E3128F">
        <w:rPr>
          <w:sz w:val="20"/>
          <w:szCs w:val="20"/>
        </w:rPr>
        <w:t>tumor</w:t>
      </w:r>
      <w:r w:rsidRPr="00E3128F">
        <w:rPr>
          <w:sz w:val="20"/>
          <w:szCs w:val="20"/>
        </w:rPr>
        <w:t xml:space="preserve"> punch, and the cleavage plane between the superior portion of the </w:t>
      </w:r>
      <w:r w:rsidR="00CC7EDD" w:rsidRPr="00E3128F">
        <w:rPr>
          <w:sz w:val="20"/>
          <w:szCs w:val="20"/>
        </w:rPr>
        <w:t>tumor</w:t>
      </w:r>
      <w:r w:rsidRPr="00E3128F">
        <w:rPr>
          <w:sz w:val="20"/>
          <w:szCs w:val="20"/>
        </w:rPr>
        <w:t xml:space="preserve"> and the inferior portion of the frontal lobe is found and all feedings coagulated by bipolar forceps.</w:t>
      </w:r>
    </w:p>
    <w:p w:rsidR="00356F21" w:rsidRPr="00E3128F" w:rsidRDefault="00A0070E" w:rsidP="00892A2F">
      <w:pPr>
        <w:bidi w:val="0"/>
        <w:ind w:firstLine="425"/>
        <w:jc w:val="both"/>
        <w:rPr>
          <w:sz w:val="20"/>
          <w:szCs w:val="20"/>
        </w:rPr>
      </w:pPr>
      <w:r w:rsidRPr="00E3128F">
        <w:rPr>
          <w:sz w:val="20"/>
          <w:szCs w:val="20"/>
        </w:rPr>
        <w:t xml:space="preserve">The attachment to the </w:t>
      </w:r>
      <w:proofErr w:type="spellStart"/>
      <w:r w:rsidRPr="00E3128F">
        <w:rPr>
          <w:sz w:val="20"/>
          <w:szCs w:val="20"/>
        </w:rPr>
        <w:t>crista</w:t>
      </w:r>
      <w:proofErr w:type="spellEnd"/>
      <w:r w:rsidRPr="00E3128F">
        <w:rPr>
          <w:sz w:val="20"/>
          <w:szCs w:val="20"/>
        </w:rPr>
        <w:t xml:space="preserve"> </w:t>
      </w:r>
      <w:proofErr w:type="spellStart"/>
      <w:r w:rsidR="00CC7EDD" w:rsidRPr="00E3128F">
        <w:rPr>
          <w:sz w:val="20"/>
          <w:szCs w:val="20"/>
        </w:rPr>
        <w:t>gali</w:t>
      </w:r>
      <w:proofErr w:type="spellEnd"/>
      <w:r w:rsidRPr="00E3128F">
        <w:rPr>
          <w:sz w:val="20"/>
          <w:szCs w:val="20"/>
        </w:rPr>
        <w:t xml:space="preserve"> can be explored by a partial resection and coagulating the insertion or drilling the </w:t>
      </w:r>
      <w:proofErr w:type="spellStart"/>
      <w:r w:rsidR="00CC7EDD" w:rsidRPr="00E3128F">
        <w:rPr>
          <w:sz w:val="20"/>
          <w:szCs w:val="20"/>
        </w:rPr>
        <w:t>gali</w:t>
      </w:r>
      <w:proofErr w:type="spellEnd"/>
      <w:r w:rsidRPr="00E3128F">
        <w:rPr>
          <w:sz w:val="20"/>
          <w:szCs w:val="20"/>
        </w:rPr>
        <w:t xml:space="preserve"> </w:t>
      </w:r>
      <w:proofErr w:type="spellStart"/>
      <w:r w:rsidRPr="00E3128F">
        <w:rPr>
          <w:sz w:val="20"/>
          <w:szCs w:val="20"/>
        </w:rPr>
        <w:t>crista</w:t>
      </w:r>
      <w:proofErr w:type="spellEnd"/>
      <w:r w:rsidRPr="00E3128F">
        <w:rPr>
          <w:sz w:val="20"/>
          <w:szCs w:val="20"/>
        </w:rPr>
        <w:t xml:space="preserve">, and assessing the </w:t>
      </w:r>
      <w:proofErr w:type="spellStart"/>
      <w:r w:rsidR="00CC7EDD" w:rsidRPr="00E3128F">
        <w:rPr>
          <w:sz w:val="20"/>
          <w:szCs w:val="20"/>
        </w:rPr>
        <w:t>ethmoid</w:t>
      </w:r>
      <w:proofErr w:type="spellEnd"/>
      <w:r w:rsidRPr="00E3128F">
        <w:rPr>
          <w:sz w:val="20"/>
          <w:szCs w:val="20"/>
        </w:rPr>
        <w:t xml:space="preserve"> sinus in order to remove all invaded cavities.</w:t>
      </w:r>
    </w:p>
    <w:p w:rsidR="000053FC" w:rsidRPr="00E3128F" w:rsidRDefault="00A0070E" w:rsidP="00892A2F">
      <w:pPr>
        <w:bidi w:val="0"/>
        <w:ind w:firstLine="425"/>
        <w:jc w:val="both"/>
        <w:rPr>
          <w:sz w:val="20"/>
          <w:szCs w:val="20"/>
        </w:rPr>
      </w:pPr>
      <w:r w:rsidRPr="00E3128F">
        <w:rPr>
          <w:sz w:val="20"/>
          <w:szCs w:val="20"/>
        </w:rPr>
        <w:t xml:space="preserve">A </w:t>
      </w:r>
      <w:r w:rsidR="00CC7EDD" w:rsidRPr="00E3128F">
        <w:rPr>
          <w:sz w:val="20"/>
          <w:szCs w:val="20"/>
        </w:rPr>
        <w:t>pituitary</w:t>
      </w:r>
      <w:r w:rsidRPr="00E3128F">
        <w:rPr>
          <w:sz w:val="20"/>
          <w:szCs w:val="20"/>
        </w:rPr>
        <w:t xml:space="preserve"> curette</w:t>
      </w:r>
      <w:r w:rsidR="003D3DC3" w:rsidRPr="00E3128F">
        <w:rPr>
          <w:sz w:val="20"/>
          <w:szCs w:val="20"/>
        </w:rPr>
        <w:t xml:space="preserve"> </w:t>
      </w:r>
      <w:r w:rsidRPr="00E3128F">
        <w:rPr>
          <w:sz w:val="20"/>
          <w:szCs w:val="20"/>
        </w:rPr>
        <w:t xml:space="preserve">or </w:t>
      </w:r>
      <w:r w:rsidR="00CC7EDD" w:rsidRPr="00E3128F">
        <w:rPr>
          <w:sz w:val="20"/>
          <w:szCs w:val="20"/>
        </w:rPr>
        <w:t>tumor</w:t>
      </w:r>
      <w:r w:rsidRPr="00E3128F">
        <w:rPr>
          <w:sz w:val="20"/>
          <w:szCs w:val="20"/>
        </w:rPr>
        <w:t xml:space="preserve"> forceps can be used to take out the </w:t>
      </w:r>
      <w:r w:rsidR="00CC7EDD" w:rsidRPr="00E3128F">
        <w:rPr>
          <w:sz w:val="20"/>
          <w:szCs w:val="20"/>
        </w:rPr>
        <w:t>tumor</w:t>
      </w:r>
      <w:r w:rsidRPr="00E3128F">
        <w:rPr>
          <w:sz w:val="20"/>
          <w:szCs w:val="20"/>
        </w:rPr>
        <w:t xml:space="preserve"> from the </w:t>
      </w:r>
      <w:proofErr w:type="spellStart"/>
      <w:r w:rsidRPr="00E3128F">
        <w:rPr>
          <w:sz w:val="20"/>
          <w:szCs w:val="20"/>
        </w:rPr>
        <w:t>ethmoidal</w:t>
      </w:r>
      <w:proofErr w:type="spellEnd"/>
      <w:r w:rsidRPr="00E3128F">
        <w:rPr>
          <w:sz w:val="20"/>
          <w:szCs w:val="20"/>
        </w:rPr>
        <w:t xml:space="preserve"> cavity. Closure should be in watertight fashion in or</w:t>
      </w:r>
      <w:r w:rsidR="00B36053" w:rsidRPr="00E3128F">
        <w:rPr>
          <w:sz w:val="20"/>
          <w:szCs w:val="20"/>
        </w:rPr>
        <w:t>der to avoid any CSF leakage. I</w:t>
      </w:r>
      <w:r w:rsidRPr="00E3128F">
        <w:rPr>
          <w:sz w:val="20"/>
          <w:szCs w:val="20"/>
        </w:rPr>
        <w:t xml:space="preserve"> can close the hole in the bone with a piece of bone from the</w:t>
      </w:r>
      <w:r w:rsidR="003D3DC3" w:rsidRPr="00E3128F">
        <w:rPr>
          <w:sz w:val="20"/>
          <w:szCs w:val="20"/>
        </w:rPr>
        <w:t xml:space="preserve"> </w:t>
      </w:r>
      <w:r w:rsidRPr="00E3128F">
        <w:rPr>
          <w:sz w:val="20"/>
          <w:szCs w:val="20"/>
        </w:rPr>
        <w:t xml:space="preserve">sphenoid wing or a </w:t>
      </w:r>
      <w:proofErr w:type="spellStart"/>
      <w:r w:rsidRPr="00E3128F">
        <w:rPr>
          <w:sz w:val="20"/>
          <w:szCs w:val="20"/>
        </w:rPr>
        <w:t>methacrylate</w:t>
      </w:r>
      <w:proofErr w:type="spellEnd"/>
      <w:r w:rsidRPr="00E3128F">
        <w:rPr>
          <w:sz w:val="20"/>
          <w:szCs w:val="20"/>
        </w:rPr>
        <w:t xml:space="preserve"> graft, and using </w:t>
      </w:r>
      <w:proofErr w:type="spellStart"/>
      <w:r w:rsidRPr="00E3128F">
        <w:rPr>
          <w:sz w:val="20"/>
          <w:szCs w:val="20"/>
        </w:rPr>
        <w:t>pericranium</w:t>
      </w:r>
      <w:proofErr w:type="spellEnd"/>
      <w:r w:rsidRPr="00E3128F">
        <w:rPr>
          <w:sz w:val="20"/>
          <w:szCs w:val="20"/>
        </w:rPr>
        <w:t xml:space="preserve"> or </w:t>
      </w:r>
      <w:proofErr w:type="spellStart"/>
      <w:r w:rsidRPr="00E3128F">
        <w:rPr>
          <w:sz w:val="20"/>
          <w:szCs w:val="20"/>
        </w:rPr>
        <w:t>dura</w:t>
      </w:r>
      <w:proofErr w:type="spellEnd"/>
      <w:r w:rsidRPr="00E3128F">
        <w:rPr>
          <w:sz w:val="20"/>
          <w:szCs w:val="20"/>
        </w:rPr>
        <w:t xml:space="preserve"> substitutes. The large </w:t>
      </w:r>
      <w:proofErr w:type="spellStart"/>
      <w:r w:rsidRPr="00E3128F">
        <w:rPr>
          <w:sz w:val="20"/>
          <w:szCs w:val="20"/>
        </w:rPr>
        <w:t>dural</w:t>
      </w:r>
      <w:proofErr w:type="spellEnd"/>
      <w:r w:rsidRPr="00E3128F">
        <w:rPr>
          <w:sz w:val="20"/>
          <w:szCs w:val="20"/>
        </w:rPr>
        <w:t xml:space="preserve"> defect area can be </w:t>
      </w:r>
      <w:proofErr w:type="spellStart"/>
      <w:r w:rsidRPr="00E3128F">
        <w:rPr>
          <w:sz w:val="20"/>
          <w:szCs w:val="20"/>
        </w:rPr>
        <w:t>mi</w:t>
      </w:r>
      <w:r w:rsidR="00953A01" w:rsidRPr="00E3128F">
        <w:rPr>
          <w:sz w:val="20"/>
          <w:szCs w:val="20"/>
        </w:rPr>
        <w:t>crosurgically</w:t>
      </w:r>
      <w:proofErr w:type="spellEnd"/>
      <w:r w:rsidR="00953A01" w:rsidRPr="00E3128F">
        <w:rPr>
          <w:sz w:val="20"/>
          <w:szCs w:val="20"/>
        </w:rPr>
        <w:t xml:space="preserve"> closed watertight, or add adhesive </w:t>
      </w:r>
      <w:proofErr w:type="spellStart"/>
      <w:r w:rsidR="00953A01" w:rsidRPr="00E3128F">
        <w:rPr>
          <w:sz w:val="20"/>
          <w:szCs w:val="20"/>
        </w:rPr>
        <w:t>dural</w:t>
      </w:r>
      <w:proofErr w:type="spellEnd"/>
      <w:r w:rsidR="00953A01" w:rsidRPr="00E3128F">
        <w:rPr>
          <w:sz w:val="20"/>
          <w:szCs w:val="20"/>
        </w:rPr>
        <w:t xml:space="preserve"> patch</w:t>
      </w:r>
    </w:p>
    <w:p w:rsidR="000053FC" w:rsidRPr="00E3128F" w:rsidRDefault="000053FC" w:rsidP="00B6591E">
      <w:pPr>
        <w:bidi w:val="0"/>
        <w:rPr>
          <w:b/>
          <w:bCs/>
          <w:sz w:val="20"/>
          <w:szCs w:val="20"/>
        </w:rPr>
      </w:pPr>
      <w:r w:rsidRPr="00E3128F">
        <w:rPr>
          <w:b/>
          <w:bCs/>
          <w:sz w:val="20"/>
          <w:szCs w:val="20"/>
        </w:rPr>
        <w:t xml:space="preserve">Functional </w:t>
      </w:r>
      <w:r w:rsidR="00B6591E" w:rsidRPr="00E3128F">
        <w:rPr>
          <w:b/>
          <w:bCs/>
          <w:sz w:val="20"/>
          <w:szCs w:val="20"/>
        </w:rPr>
        <w:t>outcome:</w:t>
      </w:r>
    </w:p>
    <w:p w:rsidR="000053FC" w:rsidRPr="00E3128F" w:rsidRDefault="000053FC" w:rsidP="00B6591E">
      <w:pPr>
        <w:bidi w:val="0"/>
        <w:ind w:firstLine="426"/>
        <w:jc w:val="both"/>
        <w:rPr>
          <w:sz w:val="20"/>
          <w:szCs w:val="20"/>
        </w:rPr>
      </w:pPr>
      <w:r w:rsidRPr="00E3128F">
        <w:rPr>
          <w:sz w:val="20"/>
          <w:szCs w:val="20"/>
        </w:rPr>
        <w:t xml:space="preserve">The preoperative, postoperative (first 10 days) and the follow-up outcome were analyzed using the </w:t>
      </w:r>
      <w:proofErr w:type="spellStart"/>
      <w:r w:rsidRPr="00E3128F">
        <w:rPr>
          <w:sz w:val="20"/>
          <w:szCs w:val="20"/>
        </w:rPr>
        <w:t>Karnofsky</w:t>
      </w:r>
      <w:proofErr w:type="spellEnd"/>
      <w:r w:rsidRPr="00E3128F">
        <w:rPr>
          <w:sz w:val="20"/>
          <w:szCs w:val="20"/>
        </w:rPr>
        <w:t xml:space="preserve"> Performance Scale (KPS) to measure the degree of disability. Patients were classified into one of three groups. 1) Normal function or minimal symptoms and ability to work (KPS score 80-100), 2) Independent but not able to work (KPS score=70), and 3) Moderate or severe disability (KPS score ≥50). </w:t>
      </w:r>
    </w:p>
    <w:p w:rsidR="00B6591E" w:rsidRPr="00E3128F" w:rsidRDefault="00B6591E" w:rsidP="00B6591E">
      <w:pPr>
        <w:bidi w:val="0"/>
        <w:rPr>
          <w:b/>
          <w:sz w:val="20"/>
          <w:szCs w:val="20"/>
        </w:rPr>
      </w:pPr>
    </w:p>
    <w:p w:rsidR="00063B30" w:rsidRPr="00E3128F" w:rsidRDefault="00B6591E" w:rsidP="00B6591E">
      <w:pPr>
        <w:bidi w:val="0"/>
        <w:rPr>
          <w:b/>
          <w:sz w:val="20"/>
          <w:szCs w:val="20"/>
        </w:rPr>
      </w:pPr>
      <w:proofErr w:type="gramStart"/>
      <w:r w:rsidRPr="00E3128F">
        <w:rPr>
          <w:b/>
          <w:sz w:val="20"/>
          <w:szCs w:val="20"/>
        </w:rPr>
        <w:t>3.</w:t>
      </w:r>
      <w:r w:rsidR="001A6FDD" w:rsidRPr="00E3128F">
        <w:rPr>
          <w:b/>
          <w:sz w:val="20"/>
          <w:szCs w:val="20"/>
        </w:rPr>
        <w:t>Results</w:t>
      </w:r>
      <w:proofErr w:type="gramEnd"/>
      <w:r w:rsidR="00FB3C38" w:rsidRPr="00E3128F">
        <w:rPr>
          <w:b/>
          <w:sz w:val="20"/>
          <w:szCs w:val="20"/>
        </w:rPr>
        <w:t>:</w:t>
      </w:r>
    </w:p>
    <w:p w:rsidR="006C6A5B" w:rsidRPr="00E3128F" w:rsidRDefault="00406BA5" w:rsidP="00B6591E">
      <w:pPr>
        <w:bidi w:val="0"/>
        <w:ind w:firstLine="426"/>
        <w:jc w:val="both"/>
        <w:rPr>
          <w:sz w:val="20"/>
          <w:szCs w:val="20"/>
        </w:rPr>
      </w:pPr>
      <w:r w:rsidRPr="00E3128F">
        <w:rPr>
          <w:sz w:val="20"/>
          <w:szCs w:val="20"/>
        </w:rPr>
        <w:t>In this surgical series there were 12 patie</w:t>
      </w:r>
      <w:r w:rsidR="0070436A" w:rsidRPr="00E3128F">
        <w:rPr>
          <w:sz w:val="20"/>
          <w:szCs w:val="20"/>
        </w:rPr>
        <w:t xml:space="preserve">nts </w:t>
      </w:r>
      <w:r w:rsidR="0070436A" w:rsidRPr="00E3128F">
        <w:rPr>
          <w:b/>
          <w:bCs/>
          <w:sz w:val="20"/>
          <w:szCs w:val="20"/>
        </w:rPr>
        <w:t>(Table 1</w:t>
      </w:r>
      <w:r w:rsidR="00155AB3" w:rsidRPr="00E3128F">
        <w:rPr>
          <w:b/>
          <w:bCs/>
          <w:sz w:val="20"/>
          <w:szCs w:val="20"/>
        </w:rPr>
        <w:t xml:space="preserve">) </w:t>
      </w:r>
      <w:r w:rsidR="00155AB3" w:rsidRPr="00E3128F">
        <w:rPr>
          <w:sz w:val="20"/>
          <w:szCs w:val="20"/>
        </w:rPr>
        <w:t>prospectively</w:t>
      </w:r>
      <w:r w:rsidR="00CF1A1A" w:rsidRPr="00E3128F">
        <w:rPr>
          <w:sz w:val="20"/>
          <w:szCs w:val="20"/>
        </w:rPr>
        <w:t xml:space="preserve"> followed from February 2</w:t>
      </w:r>
      <w:r w:rsidR="00B11E4C" w:rsidRPr="00E3128F">
        <w:rPr>
          <w:sz w:val="20"/>
          <w:szCs w:val="20"/>
        </w:rPr>
        <w:t>005</w:t>
      </w:r>
      <w:r w:rsidR="0070436A" w:rsidRPr="00E3128F">
        <w:rPr>
          <w:sz w:val="20"/>
          <w:szCs w:val="20"/>
        </w:rPr>
        <w:t xml:space="preserve"> </w:t>
      </w:r>
      <w:r w:rsidR="0070436A" w:rsidRPr="00E3128F">
        <w:rPr>
          <w:sz w:val="20"/>
          <w:szCs w:val="20"/>
        </w:rPr>
        <w:lastRenderedPageBreak/>
        <w:t xml:space="preserve">to </w:t>
      </w:r>
      <w:r w:rsidR="00B11E4C" w:rsidRPr="00E3128F">
        <w:rPr>
          <w:sz w:val="20"/>
          <w:szCs w:val="20"/>
        </w:rPr>
        <w:t>October 2011</w:t>
      </w:r>
      <w:r w:rsidR="0002270A" w:rsidRPr="00E3128F">
        <w:rPr>
          <w:sz w:val="20"/>
          <w:szCs w:val="20"/>
        </w:rPr>
        <w:t xml:space="preserve"> in department of neurosurgery at </w:t>
      </w:r>
      <w:r w:rsidR="00953A01" w:rsidRPr="00E3128F">
        <w:rPr>
          <w:sz w:val="20"/>
          <w:szCs w:val="20"/>
        </w:rPr>
        <w:t>Al-</w:t>
      </w:r>
      <w:proofErr w:type="spellStart"/>
      <w:r w:rsidR="00953A01" w:rsidRPr="00E3128F">
        <w:rPr>
          <w:sz w:val="20"/>
          <w:szCs w:val="20"/>
        </w:rPr>
        <w:t>Azhar</w:t>
      </w:r>
      <w:r w:rsidR="0002270A" w:rsidRPr="00E3128F">
        <w:rPr>
          <w:sz w:val="20"/>
          <w:szCs w:val="20"/>
        </w:rPr>
        <w:t>l</w:t>
      </w:r>
      <w:proofErr w:type="spellEnd"/>
      <w:r w:rsidR="0002270A" w:rsidRPr="00E3128F">
        <w:rPr>
          <w:sz w:val="20"/>
          <w:szCs w:val="20"/>
        </w:rPr>
        <w:t xml:space="preserve"> University </w:t>
      </w:r>
      <w:proofErr w:type="gramStart"/>
      <w:r w:rsidR="0002270A" w:rsidRPr="00E3128F">
        <w:rPr>
          <w:sz w:val="20"/>
          <w:szCs w:val="20"/>
        </w:rPr>
        <w:t>hospital</w:t>
      </w:r>
      <w:r w:rsidR="00953A01" w:rsidRPr="00E3128F">
        <w:rPr>
          <w:sz w:val="20"/>
          <w:szCs w:val="20"/>
        </w:rPr>
        <w:t>s</w:t>
      </w:r>
      <w:r w:rsidR="0002270A" w:rsidRPr="00E3128F">
        <w:rPr>
          <w:sz w:val="20"/>
          <w:szCs w:val="20"/>
        </w:rPr>
        <w:t>.</w:t>
      </w:r>
      <w:proofErr w:type="gramEnd"/>
      <w:r w:rsidR="00CF1A1A" w:rsidRPr="00E3128F">
        <w:rPr>
          <w:sz w:val="20"/>
          <w:szCs w:val="20"/>
        </w:rPr>
        <w:t xml:space="preserve"> There were </w:t>
      </w:r>
      <w:r w:rsidR="00155AB3" w:rsidRPr="00E3128F">
        <w:rPr>
          <w:sz w:val="20"/>
          <w:szCs w:val="20"/>
        </w:rPr>
        <w:t>10 women</w:t>
      </w:r>
      <w:r w:rsidRPr="00E3128F">
        <w:rPr>
          <w:sz w:val="20"/>
          <w:szCs w:val="20"/>
        </w:rPr>
        <w:t xml:space="preserve"> and two men ranging in age from 33 to 64 years</w:t>
      </w:r>
      <w:r w:rsidR="00CF1A1A" w:rsidRPr="00E3128F">
        <w:rPr>
          <w:sz w:val="20"/>
          <w:szCs w:val="20"/>
        </w:rPr>
        <w:t xml:space="preserve"> with mean age of 47</w:t>
      </w:r>
      <w:r w:rsidRPr="00E3128F">
        <w:rPr>
          <w:sz w:val="20"/>
          <w:szCs w:val="20"/>
        </w:rPr>
        <w:t xml:space="preserve">. </w:t>
      </w:r>
    </w:p>
    <w:p w:rsidR="003F7872" w:rsidRPr="00E3128F" w:rsidRDefault="000D3EB4" w:rsidP="00B6591E">
      <w:pPr>
        <w:bidi w:val="0"/>
        <w:ind w:firstLine="426"/>
        <w:jc w:val="both"/>
        <w:rPr>
          <w:sz w:val="20"/>
          <w:szCs w:val="20"/>
        </w:rPr>
      </w:pPr>
      <w:r w:rsidRPr="00E3128F">
        <w:rPr>
          <w:sz w:val="20"/>
          <w:szCs w:val="20"/>
        </w:rPr>
        <w:t xml:space="preserve">The leading symptom was </w:t>
      </w:r>
      <w:r w:rsidR="006D77F4" w:rsidRPr="00E3128F">
        <w:rPr>
          <w:sz w:val="20"/>
          <w:szCs w:val="20"/>
        </w:rPr>
        <w:t>Dementia</w:t>
      </w:r>
      <w:r w:rsidR="0068335A" w:rsidRPr="00E3128F">
        <w:rPr>
          <w:sz w:val="20"/>
          <w:szCs w:val="20"/>
        </w:rPr>
        <w:t xml:space="preserve"> in 5 patients </w:t>
      </w:r>
      <w:r w:rsidR="006C6A5B" w:rsidRPr="00E3128F">
        <w:rPr>
          <w:sz w:val="20"/>
          <w:szCs w:val="20"/>
        </w:rPr>
        <w:t xml:space="preserve">followed by </w:t>
      </w:r>
      <w:r w:rsidR="006D77F4" w:rsidRPr="00E3128F">
        <w:rPr>
          <w:sz w:val="20"/>
          <w:szCs w:val="20"/>
        </w:rPr>
        <w:t>headache</w:t>
      </w:r>
      <w:r w:rsidR="0068335A" w:rsidRPr="00E3128F">
        <w:rPr>
          <w:sz w:val="20"/>
          <w:szCs w:val="20"/>
        </w:rPr>
        <w:t xml:space="preserve"> in 4 patients </w:t>
      </w:r>
      <w:r w:rsidR="00603F0F" w:rsidRPr="00E3128F">
        <w:rPr>
          <w:sz w:val="20"/>
          <w:szCs w:val="20"/>
        </w:rPr>
        <w:t>and symptoms of increased intracranial pressure</w:t>
      </w:r>
      <w:r w:rsidR="006C6A5B" w:rsidRPr="00E3128F">
        <w:rPr>
          <w:sz w:val="20"/>
          <w:szCs w:val="20"/>
        </w:rPr>
        <w:t xml:space="preserve"> in 4</w:t>
      </w:r>
      <w:r w:rsidRPr="00E3128F">
        <w:rPr>
          <w:sz w:val="20"/>
          <w:szCs w:val="20"/>
        </w:rPr>
        <w:t xml:space="preserve"> patients. </w:t>
      </w:r>
      <w:r w:rsidR="00A81B77" w:rsidRPr="00E3128F">
        <w:rPr>
          <w:sz w:val="20"/>
          <w:szCs w:val="20"/>
        </w:rPr>
        <w:t xml:space="preserve">Convulsions and visual deterioration </w:t>
      </w:r>
      <w:r w:rsidRPr="00E3128F">
        <w:rPr>
          <w:sz w:val="20"/>
          <w:szCs w:val="20"/>
        </w:rPr>
        <w:t>were also encountered as well as symptoms related to brain compression such as dy</w:t>
      </w:r>
      <w:r w:rsidR="00A81B77" w:rsidRPr="00E3128F">
        <w:rPr>
          <w:sz w:val="20"/>
          <w:szCs w:val="20"/>
        </w:rPr>
        <w:t>sphasia</w:t>
      </w:r>
      <w:r w:rsidR="006C6A5B" w:rsidRPr="00E3128F">
        <w:rPr>
          <w:sz w:val="20"/>
          <w:szCs w:val="20"/>
        </w:rPr>
        <w:t>.</w:t>
      </w:r>
      <w:r w:rsidR="009520A4">
        <w:rPr>
          <w:sz w:val="20"/>
          <w:szCs w:val="20"/>
        </w:rPr>
        <w:t xml:space="preserve"> </w:t>
      </w:r>
      <w:r w:rsidRPr="00E3128F">
        <w:rPr>
          <w:sz w:val="20"/>
          <w:szCs w:val="20"/>
        </w:rPr>
        <w:t xml:space="preserve">The presenting symptoms are summarized </w:t>
      </w:r>
      <w:r w:rsidR="00953A01" w:rsidRPr="00E3128F">
        <w:rPr>
          <w:sz w:val="20"/>
          <w:szCs w:val="20"/>
        </w:rPr>
        <w:t xml:space="preserve">in </w:t>
      </w:r>
      <w:r w:rsidR="00953A01" w:rsidRPr="00E3128F">
        <w:rPr>
          <w:b/>
          <w:bCs/>
          <w:sz w:val="20"/>
          <w:szCs w:val="20"/>
        </w:rPr>
        <w:t>(Table</w:t>
      </w:r>
      <w:r w:rsidR="001F6791" w:rsidRPr="00E3128F">
        <w:rPr>
          <w:b/>
          <w:bCs/>
          <w:sz w:val="20"/>
          <w:szCs w:val="20"/>
        </w:rPr>
        <w:t xml:space="preserve"> 1)</w:t>
      </w:r>
      <w:r w:rsidR="004B1EB6" w:rsidRPr="00E3128F">
        <w:rPr>
          <w:b/>
          <w:bCs/>
          <w:sz w:val="20"/>
          <w:szCs w:val="20"/>
        </w:rPr>
        <w:t>.</w:t>
      </w:r>
    </w:p>
    <w:p w:rsidR="00400FFF" w:rsidRPr="00E3128F" w:rsidRDefault="00400FFF" w:rsidP="00B6591E">
      <w:pPr>
        <w:bidi w:val="0"/>
        <w:ind w:firstLine="426"/>
        <w:jc w:val="both"/>
        <w:rPr>
          <w:sz w:val="20"/>
          <w:szCs w:val="20"/>
        </w:rPr>
      </w:pPr>
      <w:proofErr w:type="spellStart"/>
      <w:r w:rsidRPr="00E3128F">
        <w:rPr>
          <w:sz w:val="20"/>
          <w:szCs w:val="20"/>
        </w:rPr>
        <w:t>Neuroimaging</w:t>
      </w:r>
      <w:proofErr w:type="spellEnd"/>
      <w:r w:rsidRPr="00E3128F">
        <w:rPr>
          <w:sz w:val="20"/>
          <w:szCs w:val="20"/>
        </w:rPr>
        <w:t xml:space="preserve"> </w:t>
      </w:r>
      <w:r w:rsidR="00CF7E2D" w:rsidRPr="00E3128F">
        <w:rPr>
          <w:sz w:val="20"/>
          <w:szCs w:val="20"/>
        </w:rPr>
        <w:t xml:space="preserve">aided in identification of </w:t>
      </w:r>
      <w:proofErr w:type="spellStart"/>
      <w:r w:rsidR="00CF7E2D" w:rsidRPr="00E3128F">
        <w:rPr>
          <w:sz w:val="20"/>
          <w:szCs w:val="20"/>
        </w:rPr>
        <w:t>ethmoid</w:t>
      </w:r>
      <w:proofErr w:type="spellEnd"/>
      <w:r w:rsidRPr="00E3128F">
        <w:rPr>
          <w:sz w:val="20"/>
          <w:szCs w:val="20"/>
        </w:rPr>
        <w:t xml:space="preserve"> sinus </w:t>
      </w:r>
      <w:r w:rsidR="00155AB3" w:rsidRPr="00E3128F">
        <w:rPr>
          <w:sz w:val="20"/>
          <w:szCs w:val="20"/>
        </w:rPr>
        <w:t>invasion</w:t>
      </w:r>
      <w:r w:rsidR="00CF7E2D" w:rsidRPr="00E3128F">
        <w:rPr>
          <w:sz w:val="20"/>
          <w:szCs w:val="20"/>
        </w:rPr>
        <w:t>. 2</w:t>
      </w:r>
      <w:r w:rsidRPr="00E3128F">
        <w:rPr>
          <w:sz w:val="20"/>
          <w:szCs w:val="20"/>
        </w:rPr>
        <w:t xml:space="preserve"> cases in the study group were invading the cavernous sinus. Also imaging can classify these tumors into large ones &gt; 3cm in diameter and small ones les</w:t>
      </w:r>
      <w:r w:rsidR="00E23B15" w:rsidRPr="00E3128F">
        <w:rPr>
          <w:sz w:val="20"/>
          <w:szCs w:val="20"/>
        </w:rPr>
        <w:t xml:space="preserve">s than 3cm in diameter. </w:t>
      </w:r>
      <w:r w:rsidR="00E23B15" w:rsidRPr="00E3128F">
        <w:rPr>
          <w:b/>
          <w:bCs/>
          <w:sz w:val="20"/>
          <w:szCs w:val="20"/>
        </w:rPr>
        <w:t>(Table 4</w:t>
      </w:r>
      <w:r w:rsidRPr="00E3128F">
        <w:rPr>
          <w:b/>
          <w:bCs/>
          <w:sz w:val="20"/>
          <w:szCs w:val="20"/>
        </w:rPr>
        <w:t>)</w:t>
      </w:r>
      <w:r w:rsidRPr="00E3128F">
        <w:rPr>
          <w:sz w:val="20"/>
          <w:szCs w:val="20"/>
        </w:rPr>
        <w:t xml:space="preserve"> </w:t>
      </w:r>
    </w:p>
    <w:p w:rsidR="00CF7E2D" w:rsidRPr="00E3128F" w:rsidRDefault="00CF7E2D" w:rsidP="00B6591E">
      <w:pPr>
        <w:bidi w:val="0"/>
        <w:ind w:firstLine="426"/>
        <w:jc w:val="both"/>
        <w:rPr>
          <w:sz w:val="20"/>
          <w:szCs w:val="20"/>
        </w:rPr>
      </w:pPr>
      <w:r w:rsidRPr="00E3128F">
        <w:rPr>
          <w:sz w:val="20"/>
          <w:szCs w:val="20"/>
        </w:rPr>
        <w:t xml:space="preserve">The </w:t>
      </w:r>
      <w:proofErr w:type="spellStart"/>
      <w:r w:rsidRPr="00E3128F">
        <w:rPr>
          <w:sz w:val="20"/>
          <w:szCs w:val="20"/>
        </w:rPr>
        <w:t>bifrontal</w:t>
      </w:r>
      <w:proofErr w:type="spellEnd"/>
      <w:r w:rsidRPr="00E3128F">
        <w:rPr>
          <w:sz w:val="20"/>
          <w:szCs w:val="20"/>
        </w:rPr>
        <w:t xml:space="preserve"> craniotomy</w:t>
      </w:r>
      <w:r w:rsidR="00400FFF" w:rsidRPr="00E3128F">
        <w:rPr>
          <w:sz w:val="20"/>
          <w:szCs w:val="20"/>
        </w:rPr>
        <w:t xml:space="preserve"> approach was the surgical approach in all cases. </w:t>
      </w:r>
      <w:r w:rsidR="006F6824" w:rsidRPr="00E3128F">
        <w:rPr>
          <w:b/>
          <w:bCs/>
          <w:sz w:val="20"/>
          <w:szCs w:val="20"/>
        </w:rPr>
        <w:t>Simpson</w:t>
      </w:r>
      <w:r w:rsidR="006F6824" w:rsidRPr="00E3128F">
        <w:rPr>
          <w:sz w:val="20"/>
          <w:szCs w:val="20"/>
        </w:rPr>
        <w:t xml:space="preserve"> </w:t>
      </w:r>
      <w:r w:rsidR="006F6824" w:rsidRPr="00E3128F">
        <w:rPr>
          <w:b/>
          <w:bCs/>
          <w:sz w:val="20"/>
          <w:szCs w:val="20"/>
        </w:rPr>
        <w:t>grade I</w:t>
      </w:r>
      <w:r w:rsidR="006F6824" w:rsidRPr="00E3128F">
        <w:rPr>
          <w:sz w:val="20"/>
          <w:szCs w:val="20"/>
        </w:rPr>
        <w:t xml:space="preserve"> or </w:t>
      </w:r>
      <w:r w:rsidR="006F6824" w:rsidRPr="00E3128F">
        <w:rPr>
          <w:b/>
          <w:bCs/>
          <w:sz w:val="20"/>
          <w:szCs w:val="20"/>
        </w:rPr>
        <w:t>II</w:t>
      </w:r>
      <w:r w:rsidR="006F6824" w:rsidRPr="00E3128F">
        <w:rPr>
          <w:sz w:val="20"/>
          <w:szCs w:val="20"/>
        </w:rPr>
        <w:t xml:space="preserve"> was achieved in 9 patients, and </w:t>
      </w:r>
      <w:r w:rsidR="006F6824" w:rsidRPr="00E3128F">
        <w:rPr>
          <w:b/>
          <w:bCs/>
          <w:sz w:val="20"/>
          <w:szCs w:val="20"/>
        </w:rPr>
        <w:t>grade III</w:t>
      </w:r>
      <w:r w:rsidR="006F6824" w:rsidRPr="00E3128F">
        <w:rPr>
          <w:sz w:val="20"/>
          <w:szCs w:val="20"/>
        </w:rPr>
        <w:t xml:space="preserve"> or </w:t>
      </w:r>
      <w:r w:rsidR="006F6824" w:rsidRPr="00E3128F">
        <w:rPr>
          <w:b/>
          <w:bCs/>
          <w:sz w:val="20"/>
          <w:szCs w:val="20"/>
        </w:rPr>
        <w:t>IV</w:t>
      </w:r>
      <w:r w:rsidR="006F6824" w:rsidRPr="00E3128F">
        <w:rPr>
          <w:sz w:val="20"/>
          <w:szCs w:val="20"/>
        </w:rPr>
        <w:t xml:space="preserve"> was attained in 3 cases. </w:t>
      </w:r>
      <w:proofErr w:type="gramStart"/>
      <w:r w:rsidR="00E23B15" w:rsidRPr="00E3128F">
        <w:rPr>
          <w:b/>
          <w:bCs/>
          <w:sz w:val="20"/>
          <w:szCs w:val="20"/>
        </w:rPr>
        <w:t>(Table 4</w:t>
      </w:r>
      <w:r w:rsidRPr="00E3128F">
        <w:rPr>
          <w:b/>
          <w:bCs/>
          <w:sz w:val="20"/>
          <w:szCs w:val="20"/>
        </w:rPr>
        <w:t>)</w:t>
      </w:r>
      <w:r w:rsidRPr="00E3128F">
        <w:rPr>
          <w:sz w:val="20"/>
          <w:szCs w:val="20"/>
        </w:rPr>
        <w:t>.</w:t>
      </w:r>
      <w:proofErr w:type="gramEnd"/>
      <w:r w:rsidRPr="00E3128F">
        <w:rPr>
          <w:sz w:val="20"/>
          <w:szCs w:val="20"/>
        </w:rPr>
        <w:t xml:space="preserve"> </w:t>
      </w:r>
      <w:r w:rsidR="006F6824" w:rsidRPr="00E3128F">
        <w:rPr>
          <w:sz w:val="20"/>
          <w:szCs w:val="20"/>
        </w:rPr>
        <w:t xml:space="preserve">A </w:t>
      </w:r>
      <w:proofErr w:type="spellStart"/>
      <w:r w:rsidR="006F6824" w:rsidRPr="00E3128F">
        <w:rPr>
          <w:sz w:val="20"/>
          <w:szCs w:val="20"/>
        </w:rPr>
        <w:t>tumor</w:t>
      </w:r>
      <w:r w:rsidR="006F6824" w:rsidRPr="00E3128F">
        <w:rPr>
          <w:sz w:val="20"/>
          <w:szCs w:val="20"/>
        </w:rPr>
        <w:softHyphen/>
        <w:t>al</w:t>
      </w:r>
      <w:proofErr w:type="spellEnd"/>
      <w:r w:rsidR="006F6824" w:rsidRPr="00E3128F">
        <w:rPr>
          <w:sz w:val="20"/>
          <w:szCs w:val="20"/>
        </w:rPr>
        <w:t xml:space="preserve"> remnant (grade III or IV resection) was intentional</w:t>
      </w:r>
      <w:r w:rsidR="006F6824" w:rsidRPr="00E3128F">
        <w:rPr>
          <w:sz w:val="20"/>
          <w:szCs w:val="20"/>
        </w:rPr>
        <w:softHyphen/>
        <w:t>ly l</w:t>
      </w:r>
      <w:r w:rsidR="00400FFF" w:rsidRPr="00E3128F">
        <w:rPr>
          <w:sz w:val="20"/>
          <w:szCs w:val="20"/>
        </w:rPr>
        <w:t>eft in 3</w:t>
      </w:r>
      <w:r w:rsidR="00313D4F" w:rsidRPr="00E3128F">
        <w:rPr>
          <w:sz w:val="20"/>
          <w:szCs w:val="20"/>
        </w:rPr>
        <w:t xml:space="preserve"> patients. These 3</w:t>
      </w:r>
      <w:r w:rsidR="006F6824" w:rsidRPr="00E3128F">
        <w:rPr>
          <w:sz w:val="20"/>
          <w:szCs w:val="20"/>
        </w:rPr>
        <w:t xml:space="preserve"> patients included two patients who had tumors that were adherent to the</w:t>
      </w:r>
      <w:r w:rsidRPr="00E3128F">
        <w:rPr>
          <w:sz w:val="20"/>
          <w:szCs w:val="20"/>
        </w:rPr>
        <w:t xml:space="preserve"> anterior</w:t>
      </w:r>
      <w:r w:rsidR="006F6824" w:rsidRPr="00E3128F">
        <w:rPr>
          <w:sz w:val="20"/>
          <w:szCs w:val="20"/>
        </w:rPr>
        <w:t xml:space="preserve"> cerebra</w:t>
      </w:r>
      <w:r w:rsidRPr="00E3128F">
        <w:rPr>
          <w:sz w:val="20"/>
          <w:szCs w:val="20"/>
        </w:rPr>
        <w:t>l artery (A</w:t>
      </w:r>
      <w:r w:rsidR="006F6824" w:rsidRPr="00E3128F">
        <w:rPr>
          <w:sz w:val="20"/>
          <w:szCs w:val="20"/>
        </w:rPr>
        <w:t>CA)</w:t>
      </w:r>
      <w:r w:rsidRPr="00E3128F">
        <w:rPr>
          <w:sz w:val="20"/>
          <w:szCs w:val="20"/>
        </w:rPr>
        <w:t>.</w:t>
      </w:r>
    </w:p>
    <w:p w:rsidR="00153291" w:rsidRPr="00E3128F" w:rsidRDefault="00153291" w:rsidP="00153291">
      <w:pPr>
        <w:tabs>
          <w:tab w:val="right" w:pos="284"/>
        </w:tabs>
        <w:bidi w:val="0"/>
        <w:ind w:firstLine="426"/>
        <w:jc w:val="both"/>
        <w:rPr>
          <w:b/>
          <w:sz w:val="20"/>
          <w:szCs w:val="20"/>
          <w:lang w:eastAsia="zh-CN"/>
        </w:rPr>
      </w:pPr>
    </w:p>
    <w:p w:rsidR="00F01610" w:rsidRPr="00CB0E2A" w:rsidRDefault="00F01610" w:rsidP="00153291">
      <w:pPr>
        <w:bidi w:val="0"/>
        <w:jc w:val="center"/>
        <w:rPr>
          <w:b/>
          <w:bCs/>
          <w:sz w:val="20"/>
          <w:szCs w:val="20"/>
        </w:rPr>
      </w:pPr>
      <w:r w:rsidRPr="00CB0E2A">
        <w:rPr>
          <w:b/>
          <w:bCs/>
          <w:sz w:val="20"/>
          <w:szCs w:val="20"/>
        </w:rPr>
        <w:t>Table 1: Clinical data in the study group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856"/>
      </w:tblGrid>
      <w:tr w:rsidR="00F01610" w:rsidRPr="00DC1F78" w:rsidTr="00F01610">
        <w:trPr>
          <w:jc w:val="center"/>
        </w:trPr>
        <w:tc>
          <w:tcPr>
            <w:tcW w:w="2518" w:type="dxa"/>
          </w:tcPr>
          <w:p w:rsidR="00F01610" w:rsidRPr="00DC1F78" w:rsidRDefault="00F01610" w:rsidP="00005D82">
            <w:pPr>
              <w:bidi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56" w:type="dxa"/>
          </w:tcPr>
          <w:p w:rsidR="00F01610" w:rsidRPr="00DC1F78" w:rsidRDefault="00F01610" w:rsidP="00005D82">
            <w:pPr>
              <w:bidi w:val="0"/>
              <w:jc w:val="center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DC1F78">
              <w:rPr>
                <w:rFonts w:eastAsiaTheme="minorEastAsia"/>
                <w:b/>
                <w:bCs/>
                <w:sz w:val="16"/>
                <w:szCs w:val="16"/>
              </w:rPr>
              <w:t>No of patients (%)</w:t>
            </w:r>
          </w:p>
        </w:tc>
      </w:tr>
      <w:tr w:rsidR="00F01610" w:rsidRPr="00DC1F78" w:rsidTr="00F01610">
        <w:trPr>
          <w:jc w:val="center"/>
        </w:trPr>
        <w:tc>
          <w:tcPr>
            <w:tcW w:w="2518" w:type="dxa"/>
          </w:tcPr>
          <w:p w:rsidR="00F01610" w:rsidRPr="00DC1F78" w:rsidRDefault="00F01610" w:rsidP="00005D82">
            <w:pPr>
              <w:bidi w:val="0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DC1F78">
              <w:rPr>
                <w:rFonts w:eastAsiaTheme="minorEastAsia"/>
                <w:b/>
                <w:bCs/>
                <w:sz w:val="16"/>
                <w:szCs w:val="16"/>
              </w:rPr>
              <w:t>Age (yrs)</w:t>
            </w:r>
          </w:p>
        </w:tc>
        <w:tc>
          <w:tcPr>
            <w:tcW w:w="1856" w:type="dxa"/>
          </w:tcPr>
          <w:p w:rsidR="00F01610" w:rsidRPr="00DC1F78" w:rsidRDefault="00F01610" w:rsidP="00005D8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 w:rsidRPr="00DC1F78">
              <w:rPr>
                <w:rFonts w:eastAsiaTheme="minorEastAsia"/>
                <w:sz w:val="16"/>
                <w:szCs w:val="16"/>
              </w:rPr>
              <w:t>47, range 33-64</w:t>
            </w:r>
          </w:p>
        </w:tc>
      </w:tr>
      <w:tr w:rsidR="00F01610" w:rsidRPr="00DC1F78" w:rsidTr="00F01610">
        <w:trPr>
          <w:jc w:val="center"/>
        </w:trPr>
        <w:tc>
          <w:tcPr>
            <w:tcW w:w="2518" w:type="dxa"/>
          </w:tcPr>
          <w:p w:rsidR="00F01610" w:rsidRPr="00DC1F78" w:rsidRDefault="00F01610" w:rsidP="00005D82">
            <w:pPr>
              <w:bidi w:val="0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DC1F78">
              <w:rPr>
                <w:rFonts w:eastAsiaTheme="minorEastAsia"/>
                <w:b/>
                <w:bCs/>
                <w:sz w:val="16"/>
                <w:szCs w:val="16"/>
              </w:rPr>
              <w:t xml:space="preserve">Sex </w:t>
            </w:r>
          </w:p>
          <w:p w:rsidR="00F01610" w:rsidRPr="00DC1F78" w:rsidRDefault="00F01610" w:rsidP="00005D82">
            <w:pPr>
              <w:bidi w:val="0"/>
              <w:rPr>
                <w:rFonts w:eastAsiaTheme="minorEastAsia"/>
                <w:sz w:val="16"/>
                <w:szCs w:val="16"/>
              </w:rPr>
            </w:pPr>
            <w:r w:rsidRPr="00DC1F78">
              <w:rPr>
                <w:rFonts w:eastAsiaTheme="minorEastAsia"/>
                <w:sz w:val="16"/>
                <w:szCs w:val="16"/>
              </w:rPr>
              <w:t xml:space="preserve">          Female</w:t>
            </w:r>
          </w:p>
          <w:p w:rsidR="00F01610" w:rsidRPr="00DC1F78" w:rsidRDefault="00F01610" w:rsidP="00005D82">
            <w:pPr>
              <w:bidi w:val="0"/>
              <w:rPr>
                <w:rFonts w:eastAsiaTheme="minorEastAsia"/>
                <w:sz w:val="16"/>
                <w:szCs w:val="16"/>
              </w:rPr>
            </w:pPr>
            <w:r w:rsidRPr="00DC1F78">
              <w:rPr>
                <w:rFonts w:eastAsiaTheme="minorEastAsia"/>
                <w:sz w:val="16"/>
                <w:szCs w:val="16"/>
              </w:rPr>
              <w:t xml:space="preserve">          Male</w:t>
            </w:r>
          </w:p>
        </w:tc>
        <w:tc>
          <w:tcPr>
            <w:tcW w:w="1856" w:type="dxa"/>
          </w:tcPr>
          <w:p w:rsidR="00F01610" w:rsidRPr="00DC1F78" w:rsidRDefault="00F01610" w:rsidP="00005D8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  <w:p w:rsidR="00F01610" w:rsidRPr="00DC1F78" w:rsidRDefault="00F01610" w:rsidP="00005D8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 w:rsidRPr="00DC1F78">
              <w:rPr>
                <w:rFonts w:eastAsiaTheme="minorEastAsia"/>
                <w:sz w:val="16"/>
                <w:szCs w:val="16"/>
              </w:rPr>
              <w:t>10</w:t>
            </w:r>
          </w:p>
          <w:p w:rsidR="00F01610" w:rsidRPr="00DC1F78" w:rsidRDefault="00F01610" w:rsidP="00005D8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 w:rsidRPr="00DC1F78">
              <w:rPr>
                <w:rFonts w:eastAsiaTheme="minorEastAsia"/>
                <w:sz w:val="16"/>
                <w:szCs w:val="16"/>
              </w:rPr>
              <w:t>2</w:t>
            </w:r>
          </w:p>
        </w:tc>
      </w:tr>
      <w:tr w:rsidR="00F01610" w:rsidRPr="00DC1F78" w:rsidTr="00F01610">
        <w:trPr>
          <w:jc w:val="center"/>
        </w:trPr>
        <w:tc>
          <w:tcPr>
            <w:tcW w:w="2518" w:type="dxa"/>
          </w:tcPr>
          <w:p w:rsidR="00F01610" w:rsidRPr="00DC1F78" w:rsidRDefault="00F01610" w:rsidP="00005D82">
            <w:pPr>
              <w:bidi w:val="0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DC1F78">
              <w:rPr>
                <w:rFonts w:eastAsiaTheme="minorEastAsia"/>
                <w:b/>
                <w:bCs/>
                <w:sz w:val="16"/>
                <w:szCs w:val="16"/>
              </w:rPr>
              <w:t>Symptoms and signs</w:t>
            </w:r>
          </w:p>
        </w:tc>
        <w:tc>
          <w:tcPr>
            <w:tcW w:w="1856" w:type="dxa"/>
          </w:tcPr>
          <w:p w:rsidR="00F01610" w:rsidRPr="00DC1F78" w:rsidRDefault="00F01610" w:rsidP="00005D8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F01610" w:rsidRPr="00DC1F78" w:rsidTr="00F01610">
        <w:trPr>
          <w:jc w:val="center"/>
        </w:trPr>
        <w:tc>
          <w:tcPr>
            <w:tcW w:w="2518" w:type="dxa"/>
          </w:tcPr>
          <w:p w:rsidR="00F01610" w:rsidRPr="00DC1F78" w:rsidRDefault="00F01610" w:rsidP="00005D82">
            <w:pPr>
              <w:bidi w:val="0"/>
              <w:rPr>
                <w:rFonts w:eastAsiaTheme="minorEastAsia"/>
                <w:sz w:val="16"/>
                <w:szCs w:val="16"/>
              </w:rPr>
            </w:pPr>
            <w:r w:rsidRPr="00DC1F78">
              <w:rPr>
                <w:rFonts w:eastAsiaTheme="minorEastAsia"/>
                <w:sz w:val="16"/>
                <w:szCs w:val="16"/>
              </w:rPr>
              <w:t>Dementia</w:t>
            </w:r>
          </w:p>
        </w:tc>
        <w:tc>
          <w:tcPr>
            <w:tcW w:w="1856" w:type="dxa"/>
          </w:tcPr>
          <w:p w:rsidR="00F01610" w:rsidRPr="00DC1F78" w:rsidRDefault="00F01610" w:rsidP="00005D8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 w:rsidRPr="00DC1F78">
              <w:rPr>
                <w:rFonts w:eastAsiaTheme="minorEastAsia"/>
                <w:sz w:val="16"/>
                <w:szCs w:val="16"/>
              </w:rPr>
              <w:t>5 (42%)</w:t>
            </w:r>
          </w:p>
        </w:tc>
      </w:tr>
      <w:tr w:rsidR="00F01610" w:rsidRPr="00DC1F78" w:rsidTr="00F01610">
        <w:trPr>
          <w:jc w:val="center"/>
        </w:trPr>
        <w:tc>
          <w:tcPr>
            <w:tcW w:w="2518" w:type="dxa"/>
          </w:tcPr>
          <w:p w:rsidR="00F01610" w:rsidRPr="00DC1F78" w:rsidRDefault="00F01610" w:rsidP="00005D82">
            <w:pPr>
              <w:bidi w:val="0"/>
              <w:rPr>
                <w:rFonts w:eastAsiaTheme="minorEastAsia"/>
                <w:sz w:val="16"/>
                <w:szCs w:val="16"/>
              </w:rPr>
            </w:pPr>
            <w:r w:rsidRPr="00DC1F78">
              <w:rPr>
                <w:rFonts w:eastAsiaTheme="minorEastAsia"/>
                <w:sz w:val="16"/>
                <w:szCs w:val="16"/>
              </w:rPr>
              <w:t xml:space="preserve">Headache </w:t>
            </w:r>
          </w:p>
        </w:tc>
        <w:tc>
          <w:tcPr>
            <w:tcW w:w="1856" w:type="dxa"/>
          </w:tcPr>
          <w:p w:rsidR="00F01610" w:rsidRPr="00DC1F78" w:rsidRDefault="00F01610" w:rsidP="00005D8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 w:rsidRPr="00DC1F78">
              <w:rPr>
                <w:rFonts w:eastAsiaTheme="minorEastAsia"/>
                <w:sz w:val="16"/>
                <w:szCs w:val="16"/>
              </w:rPr>
              <w:t>4 (34%)</w:t>
            </w:r>
          </w:p>
        </w:tc>
      </w:tr>
      <w:tr w:rsidR="00F01610" w:rsidRPr="00DC1F78" w:rsidTr="00F01610">
        <w:trPr>
          <w:jc w:val="center"/>
        </w:trPr>
        <w:tc>
          <w:tcPr>
            <w:tcW w:w="2518" w:type="dxa"/>
          </w:tcPr>
          <w:p w:rsidR="00F01610" w:rsidRPr="00DC1F78" w:rsidRDefault="00F01610" w:rsidP="00005D82">
            <w:pPr>
              <w:bidi w:val="0"/>
              <w:rPr>
                <w:rFonts w:eastAsiaTheme="minorEastAsia"/>
                <w:sz w:val="16"/>
                <w:szCs w:val="16"/>
              </w:rPr>
            </w:pPr>
            <w:r w:rsidRPr="00DC1F78">
              <w:rPr>
                <w:rFonts w:eastAsiaTheme="minorEastAsia"/>
                <w:sz w:val="16"/>
                <w:szCs w:val="16"/>
              </w:rPr>
              <w:t>Symptoms of increased ICP</w:t>
            </w:r>
          </w:p>
        </w:tc>
        <w:tc>
          <w:tcPr>
            <w:tcW w:w="1856" w:type="dxa"/>
          </w:tcPr>
          <w:p w:rsidR="00F01610" w:rsidRPr="00DC1F78" w:rsidRDefault="00F01610" w:rsidP="00005D8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 w:rsidRPr="00DC1F78">
              <w:rPr>
                <w:rFonts w:eastAsiaTheme="minorEastAsia"/>
                <w:sz w:val="16"/>
                <w:szCs w:val="16"/>
              </w:rPr>
              <w:t>4</w:t>
            </w:r>
            <w:r w:rsidR="009520A4">
              <w:rPr>
                <w:rFonts w:eastAsiaTheme="minorEastAsia"/>
                <w:sz w:val="16"/>
                <w:szCs w:val="16"/>
              </w:rPr>
              <w:t xml:space="preserve"> </w:t>
            </w:r>
            <w:r w:rsidRPr="00DC1F78">
              <w:rPr>
                <w:rFonts w:eastAsiaTheme="minorEastAsia"/>
                <w:sz w:val="16"/>
                <w:szCs w:val="16"/>
              </w:rPr>
              <w:t>(25%)</w:t>
            </w:r>
          </w:p>
        </w:tc>
      </w:tr>
      <w:tr w:rsidR="00F01610" w:rsidRPr="00DC1F78" w:rsidTr="00F01610">
        <w:trPr>
          <w:jc w:val="center"/>
        </w:trPr>
        <w:tc>
          <w:tcPr>
            <w:tcW w:w="2518" w:type="dxa"/>
          </w:tcPr>
          <w:p w:rsidR="00F01610" w:rsidRPr="00DC1F78" w:rsidRDefault="00F01610" w:rsidP="00005D82">
            <w:pPr>
              <w:bidi w:val="0"/>
              <w:rPr>
                <w:rFonts w:eastAsiaTheme="minorEastAsia"/>
                <w:sz w:val="16"/>
                <w:szCs w:val="16"/>
              </w:rPr>
            </w:pPr>
            <w:r w:rsidRPr="00DC1F78">
              <w:rPr>
                <w:rFonts w:eastAsiaTheme="minorEastAsia"/>
                <w:sz w:val="16"/>
                <w:szCs w:val="16"/>
              </w:rPr>
              <w:t>Visual deterioration</w:t>
            </w:r>
          </w:p>
        </w:tc>
        <w:tc>
          <w:tcPr>
            <w:tcW w:w="1856" w:type="dxa"/>
          </w:tcPr>
          <w:p w:rsidR="00F01610" w:rsidRPr="00DC1F78" w:rsidRDefault="00F01610" w:rsidP="00005D8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 w:rsidRPr="00DC1F78">
              <w:rPr>
                <w:rFonts w:eastAsiaTheme="minorEastAsia"/>
                <w:sz w:val="16"/>
                <w:szCs w:val="16"/>
              </w:rPr>
              <w:t>4</w:t>
            </w:r>
            <w:r w:rsidR="009520A4">
              <w:rPr>
                <w:rFonts w:eastAsiaTheme="minorEastAsia"/>
                <w:sz w:val="16"/>
                <w:szCs w:val="16"/>
              </w:rPr>
              <w:t xml:space="preserve"> </w:t>
            </w:r>
            <w:r w:rsidRPr="00DC1F78">
              <w:rPr>
                <w:rFonts w:eastAsiaTheme="minorEastAsia"/>
                <w:sz w:val="16"/>
                <w:szCs w:val="16"/>
              </w:rPr>
              <w:t>(25%)</w:t>
            </w:r>
          </w:p>
        </w:tc>
      </w:tr>
      <w:tr w:rsidR="00F01610" w:rsidRPr="00DC1F78" w:rsidTr="00F01610">
        <w:trPr>
          <w:jc w:val="center"/>
        </w:trPr>
        <w:tc>
          <w:tcPr>
            <w:tcW w:w="2518" w:type="dxa"/>
          </w:tcPr>
          <w:p w:rsidR="00F01610" w:rsidRPr="00DC1F78" w:rsidRDefault="00F01610" w:rsidP="00005D82">
            <w:pPr>
              <w:bidi w:val="0"/>
              <w:rPr>
                <w:rFonts w:eastAsiaTheme="minorEastAsia"/>
                <w:sz w:val="16"/>
                <w:szCs w:val="16"/>
              </w:rPr>
            </w:pPr>
            <w:proofErr w:type="spellStart"/>
            <w:r w:rsidRPr="00DC1F78">
              <w:rPr>
                <w:rFonts w:eastAsiaTheme="minorEastAsia"/>
                <w:sz w:val="16"/>
                <w:szCs w:val="16"/>
              </w:rPr>
              <w:t>Papilloedema</w:t>
            </w:r>
            <w:proofErr w:type="spellEnd"/>
          </w:p>
        </w:tc>
        <w:tc>
          <w:tcPr>
            <w:tcW w:w="1856" w:type="dxa"/>
          </w:tcPr>
          <w:p w:rsidR="00F01610" w:rsidRPr="00DC1F78" w:rsidRDefault="00F01610" w:rsidP="00005D8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 w:rsidRPr="00DC1F78">
              <w:rPr>
                <w:rFonts w:eastAsiaTheme="minorEastAsia"/>
                <w:sz w:val="16"/>
                <w:szCs w:val="16"/>
              </w:rPr>
              <w:t>10</w:t>
            </w:r>
            <w:r w:rsidR="009520A4">
              <w:rPr>
                <w:rFonts w:eastAsiaTheme="minorEastAsia"/>
                <w:sz w:val="16"/>
                <w:szCs w:val="16"/>
              </w:rPr>
              <w:t xml:space="preserve"> </w:t>
            </w:r>
            <w:r w:rsidRPr="00DC1F78">
              <w:rPr>
                <w:rFonts w:eastAsiaTheme="minorEastAsia"/>
                <w:sz w:val="16"/>
                <w:szCs w:val="16"/>
              </w:rPr>
              <w:t>(83%)</w:t>
            </w:r>
          </w:p>
        </w:tc>
      </w:tr>
      <w:tr w:rsidR="00F01610" w:rsidRPr="00DC1F78" w:rsidTr="00F01610">
        <w:trPr>
          <w:jc w:val="center"/>
        </w:trPr>
        <w:tc>
          <w:tcPr>
            <w:tcW w:w="2518" w:type="dxa"/>
          </w:tcPr>
          <w:p w:rsidR="00F01610" w:rsidRPr="00DC1F78" w:rsidRDefault="00F01610" w:rsidP="00005D82">
            <w:pPr>
              <w:bidi w:val="0"/>
              <w:rPr>
                <w:rFonts w:eastAsiaTheme="minorEastAsia"/>
                <w:sz w:val="16"/>
                <w:szCs w:val="16"/>
              </w:rPr>
            </w:pPr>
            <w:r w:rsidRPr="00DC1F78">
              <w:rPr>
                <w:rFonts w:eastAsiaTheme="minorEastAsia"/>
                <w:sz w:val="16"/>
                <w:szCs w:val="16"/>
              </w:rPr>
              <w:t>Foster- Kennedy Syndrome</w:t>
            </w:r>
          </w:p>
        </w:tc>
        <w:tc>
          <w:tcPr>
            <w:tcW w:w="1856" w:type="dxa"/>
          </w:tcPr>
          <w:p w:rsidR="00F01610" w:rsidRPr="00DC1F78" w:rsidRDefault="00F01610" w:rsidP="00005D8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 w:rsidRPr="00DC1F78">
              <w:rPr>
                <w:rFonts w:eastAsiaTheme="minorEastAsia"/>
                <w:sz w:val="16"/>
                <w:szCs w:val="16"/>
              </w:rPr>
              <w:t>2</w:t>
            </w:r>
            <w:r w:rsidR="009520A4">
              <w:rPr>
                <w:rFonts w:eastAsiaTheme="minorEastAsia"/>
                <w:sz w:val="16"/>
                <w:szCs w:val="16"/>
              </w:rPr>
              <w:t xml:space="preserve"> </w:t>
            </w:r>
            <w:r w:rsidRPr="00DC1F78">
              <w:rPr>
                <w:rFonts w:eastAsiaTheme="minorEastAsia"/>
                <w:sz w:val="16"/>
                <w:szCs w:val="16"/>
              </w:rPr>
              <w:t>(17%)</w:t>
            </w:r>
          </w:p>
        </w:tc>
      </w:tr>
      <w:tr w:rsidR="00F01610" w:rsidRPr="00DC1F78" w:rsidTr="00F01610">
        <w:trPr>
          <w:jc w:val="center"/>
        </w:trPr>
        <w:tc>
          <w:tcPr>
            <w:tcW w:w="2518" w:type="dxa"/>
          </w:tcPr>
          <w:p w:rsidR="00F01610" w:rsidRPr="00DC1F78" w:rsidRDefault="00F01610" w:rsidP="00005D82">
            <w:pPr>
              <w:bidi w:val="0"/>
              <w:rPr>
                <w:rFonts w:eastAsiaTheme="minorEastAsia"/>
                <w:sz w:val="16"/>
                <w:szCs w:val="16"/>
              </w:rPr>
            </w:pPr>
            <w:r w:rsidRPr="00DC1F78">
              <w:rPr>
                <w:rFonts w:eastAsiaTheme="minorEastAsia"/>
                <w:sz w:val="16"/>
                <w:szCs w:val="16"/>
              </w:rPr>
              <w:t>Convulsions</w:t>
            </w:r>
          </w:p>
        </w:tc>
        <w:tc>
          <w:tcPr>
            <w:tcW w:w="1856" w:type="dxa"/>
          </w:tcPr>
          <w:p w:rsidR="00F01610" w:rsidRPr="00DC1F78" w:rsidRDefault="00F01610" w:rsidP="00005D8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 w:rsidRPr="00DC1F78">
              <w:rPr>
                <w:rFonts w:eastAsiaTheme="minorEastAsia"/>
                <w:sz w:val="16"/>
                <w:szCs w:val="16"/>
              </w:rPr>
              <w:t>2 (17%)</w:t>
            </w:r>
          </w:p>
        </w:tc>
      </w:tr>
      <w:tr w:rsidR="00F01610" w:rsidRPr="00DC1F78" w:rsidTr="00F01610">
        <w:trPr>
          <w:jc w:val="center"/>
        </w:trPr>
        <w:tc>
          <w:tcPr>
            <w:tcW w:w="2518" w:type="dxa"/>
          </w:tcPr>
          <w:p w:rsidR="00F01610" w:rsidRPr="00DC1F78" w:rsidRDefault="00F01610" w:rsidP="00005D82">
            <w:pPr>
              <w:bidi w:val="0"/>
              <w:rPr>
                <w:rFonts w:eastAsiaTheme="minorEastAsia"/>
                <w:sz w:val="16"/>
                <w:szCs w:val="16"/>
              </w:rPr>
            </w:pPr>
            <w:r w:rsidRPr="00DC1F78">
              <w:rPr>
                <w:rFonts w:eastAsiaTheme="minorEastAsia"/>
                <w:sz w:val="16"/>
                <w:szCs w:val="16"/>
              </w:rPr>
              <w:t>Dysphasia</w:t>
            </w:r>
          </w:p>
        </w:tc>
        <w:tc>
          <w:tcPr>
            <w:tcW w:w="1856" w:type="dxa"/>
          </w:tcPr>
          <w:p w:rsidR="00F01610" w:rsidRPr="00DC1F78" w:rsidRDefault="00F01610" w:rsidP="00005D8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 w:rsidRPr="00DC1F78">
              <w:rPr>
                <w:rFonts w:eastAsiaTheme="minorEastAsia"/>
                <w:sz w:val="16"/>
                <w:szCs w:val="16"/>
              </w:rPr>
              <w:t>1</w:t>
            </w:r>
            <w:r w:rsidR="009520A4">
              <w:rPr>
                <w:rFonts w:eastAsiaTheme="minorEastAsia"/>
                <w:sz w:val="16"/>
                <w:szCs w:val="16"/>
              </w:rPr>
              <w:t xml:space="preserve"> </w:t>
            </w:r>
            <w:r w:rsidRPr="00DC1F78">
              <w:rPr>
                <w:rFonts w:eastAsiaTheme="minorEastAsia"/>
                <w:sz w:val="16"/>
                <w:szCs w:val="16"/>
              </w:rPr>
              <w:t>(8%)</w:t>
            </w:r>
          </w:p>
        </w:tc>
      </w:tr>
      <w:tr w:rsidR="00F01610" w:rsidRPr="00DC1F78" w:rsidTr="00F01610">
        <w:trPr>
          <w:trHeight w:val="70"/>
          <w:jc w:val="center"/>
        </w:trPr>
        <w:tc>
          <w:tcPr>
            <w:tcW w:w="2518" w:type="dxa"/>
          </w:tcPr>
          <w:p w:rsidR="00F01610" w:rsidRPr="00DC1F78" w:rsidRDefault="00F01610" w:rsidP="00005D82">
            <w:pPr>
              <w:bidi w:val="0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DC1F78">
              <w:rPr>
                <w:rFonts w:eastAsiaTheme="minorEastAsia"/>
                <w:b/>
                <w:bCs/>
                <w:sz w:val="16"/>
                <w:szCs w:val="16"/>
              </w:rPr>
              <w:t>Duration of symptoms</w:t>
            </w:r>
          </w:p>
        </w:tc>
        <w:tc>
          <w:tcPr>
            <w:tcW w:w="1856" w:type="dxa"/>
          </w:tcPr>
          <w:p w:rsidR="00F01610" w:rsidRPr="00DC1F78" w:rsidRDefault="00F01610" w:rsidP="00005D82">
            <w:pPr>
              <w:bidi w:val="0"/>
              <w:jc w:val="center"/>
              <w:rPr>
                <w:rFonts w:eastAsiaTheme="minorEastAsia"/>
                <w:sz w:val="16"/>
                <w:szCs w:val="16"/>
              </w:rPr>
            </w:pPr>
            <w:r w:rsidRPr="00DC1F78">
              <w:rPr>
                <w:rFonts w:eastAsiaTheme="minorEastAsia"/>
                <w:sz w:val="16"/>
                <w:szCs w:val="16"/>
              </w:rPr>
              <w:t>1m – 5 yrs</w:t>
            </w:r>
          </w:p>
        </w:tc>
      </w:tr>
    </w:tbl>
    <w:p w:rsidR="00F01610" w:rsidRDefault="00F01610" w:rsidP="00F01610">
      <w:pPr>
        <w:bidi w:val="0"/>
        <w:rPr>
          <w:b/>
          <w:bCs/>
          <w:sz w:val="20"/>
          <w:szCs w:val="20"/>
          <w:lang w:eastAsia="zh-CN"/>
        </w:rPr>
      </w:pPr>
    </w:p>
    <w:p w:rsidR="00F01610" w:rsidRDefault="00F01610" w:rsidP="00F01610">
      <w:pPr>
        <w:bidi w:val="0"/>
        <w:rPr>
          <w:b/>
          <w:bCs/>
          <w:sz w:val="20"/>
          <w:szCs w:val="20"/>
          <w:lang w:eastAsia="zh-CN"/>
        </w:rPr>
        <w:sectPr w:rsidR="00F01610" w:rsidSect="00892A2F">
          <w:type w:val="continuous"/>
          <w:pgSz w:w="12242" w:h="15842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F01610" w:rsidRDefault="00F01610" w:rsidP="00F01610">
      <w:pPr>
        <w:bidi w:val="0"/>
        <w:jc w:val="both"/>
        <w:rPr>
          <w:b/>
          <w:bCs/>
          <w:sz w:val="20"/>
          <w:szCs w:val="20"/>
          <w:lang w:eastAsia="zh-CN"/>
        </w:rPr>
      </w:pPr>
    </w:p>
    <w:p w:rsidR="00CD23C6" w:rsidRPr="00CB0E2A" w:rsidRDefault="00953A01" w:rsidP="00153291">
      <w:pPr>
        <w:bidi w:val="0"/>
        <w:jc w:val="center"/>
        <w:rPr>
          <w:b/>
          <w:bCs/>
          <w:sz w:val="20"/>
          <w:szCs w:val="20"/>
        </w:rPr>
      </w:pPr>
      <w:r w:rsidRPr="00CB0E2A">
        <w:rPr>
          <w:b/>
          <w:bCs/>
          <w:sz w:val="20"/>
          <w:szCs w:val="20"/>
        </w:rPr>
        <w:t xml:space="preserve">Table 2: Comparison of clinical data for six recent series of olfactory groove </w:t>
      </w:r>
      <w:proofErr w:type="spellStart"/>
      <w:r w:rsidRPr="00CB0E2A">
        <w:rPr>
          <w:b/>
          <w:bCs/>
          <w:sz w:val="20"/>
          <w:szCs w:val="20"/>
        </w:rPr>
        <w:t>meningioma</w:t>
      </w:r>
      <w:proofErr w:type="spellEnd"/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980"/>
        <w:gridCol w:w="1146"/>
        <w:gridCol w:w="851"/>
        <w:gridCol w:w="992"/>
        <w:gridCol w:w="850"/>
        <w:gridCol w:w="708"/>
        <w:gridCol w:w="866"/>
      </w:tblGrid>
      <w:tr w:rsidR="00DC1F78" w:rsidRPr="00DC1F78" w:rsidTr="00DC1F78">
        <w:trPr>
          <w:trHeight w:val="446"/>
          <w:jc w:val="center"/>
        </w:trPr>
        <w:tc>
          <w:tcPr>
            <w:tcW w:w="3227" w:type="dxa"/>
            <w:tcBorders>
              <w:bottom w:val="single" w:sz="4" w:space="0" w:color="auto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Authors &amp;Year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No. of Cases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Age range in Years(mean)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Female/ Male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Headache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Mental</w:t>
            </w:r>
          </w:p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Changes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Visual</w:t>
            </w:r>
          </w:p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Loss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proofErr w:type="spellStart"/>
            <w:r w:rsidRPr="00DC1F78">
              <w:rPr>
                <w:rFonts w:eastAsiaTheme="minorEastAsia"/>
                <w:sz w:val="18"/>
                <w:szCs w:val="18"/>
              </w:rPr>
              <w:t>Anosmia</w:t>
            </w:r>
            <w:proofErr w:type="spellEnd"/>
          </w:p>
        </w:tc>
      </w:tr>
      <w:tr w:rsidR="00DC1F78" w:rsidRPr="00DC1F78" w:rsidTr="00DC1F78">
        <w:trPr>
          <w:trHeight w:val="217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5C0D" w:rsidRPr="00DC1F78" w:rsidRDefault="00FF5C0D" w:rsidP="009520A4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proofErr w:type="spellStart"/>
            <w:r w:rsidRPr="00DC1F78">
              <w:rPr>
                <w:rFonts w:eastAsiaTheme="minorEastAsia"/>
                <w:sz w:val="18"/>
                <w:szCs w:val="18"/>
              </w:rPr>
              <w:t>Mayfrank&amp;Gilsbach</w:t>
            </w:r>
            <w:proofErr w:type="spellEnd"/>
            <w:r w:rsidRPr="00DC1F78">
              <w:rPr>
                <w:rFonts w:eastAsiaTheme="minorEastAsia"/>
                <w:sz w:val="18"/>
                <w:szCs w:val="18"/>
              </w:rPr>
              <w:t>,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  <w:r w:rsidRPr="00DC1F78">
              <w:rPr>
                <w:rFonts w:eastAsiaTheme="minorEastAsia"/>
                <w:sz w:val="18"/>
                <w:szCs w:val="18"/>
              </w:rPr>
              <w:t>2007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18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45-75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13:5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NA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1 0(56)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4(22)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11(61)</w:t>
            </w:r>
          </w:p>
        </w:tc>
      </w:tr>
      <w:tr w:rsidR="00DC1F78" w:rsidRPr="00DC1F78" w:rsidTr="00DC1F78">
        <w:trPr>
          <w:trHeight w:val="217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 xml:space="preserve">Paternity </w:t>
            </w:r>
            <w:r w:rsidRPr="00DC1F78">
              <w:rPr>
                <w:rFonts w:eastAsiaTheme="minorEastAsia"/>
                <w:i/>
                <w:iCs/>
                <w:sz w:val="18"/>
                <w:szCs w:val="18"/>
              </w:rPr>
              <w:t>et al</w:t>
            </w:r>
            <w:r w:rsidR="00A351E4" w:rsidRPr="00DC1F78">
              <w:rPr>
                <w:rFonts w:eastAsiaTheme="minorEastAsia"/>
                <w:i/>
                <w:iCs/>
                <w:sz w:val="18"/>
                <w:szCs w:val="18"/>
              </w:rPr>
              <w:t>.</w:t>
            </w:r>
            <w:r w:rsidRPr="00DC1F78">
              <w:rPr>
                <w:rFonts w:eastAsiaTheme="minorEastAsia"/>
                <w:i/>
                <w:iCs/>
                <w:sz w:val="18"/>
                <w:szCs w:val="18"/>
              </w:rPr>
              <w:t>,</w:t>
            </w:r>
            <w:r w:rsidRPr="00DC1F78">
              <w:rPr>
                <w:rFonts w:eastAsiaTheme="minorEastAsia"/>
                <w:sz w:val="18"/>
                <w:szCs w:val="18"/>
              </w:rPr>
              <w:t>1999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20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14-73(49)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15:5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C0D" w:rsidRPr="00DC1F78" w:rsidRDefault="00FF5C0D" w:rsidP="00F01610">
            <w:pPr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C0D" w:rsidRPr="00DC1F78" w:rsidRDefault="00FF5C0D" w:rsidP="00F01610">
            <w:pPr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C0D" w:rsidRPr="00DC1F78" w:rsidRDefault="00FF5C0D" w:rsidP="00F01610">
            <w:pPr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NA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C0D" w:rsidRPr="00DC1F78" w:rsidRDefault="00FF5C0D" w:rsidP="00F01610">
            <w:pPr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NA</w:t>
            </w:r>
          </w:p>
        </w:tc>
      </w:tr>
      <w:tr w:rsidR="00DC1F78" w:rsidRPr="00DC1F78" w:rsidTr="00DC1F78">
        <w:trPr>
          <w:trHeight w:val="217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proofErr w:type="spellStart"/>
            <w:r w:rsidRPr="00DC1F78">
              <w:rPr>
                <w:rFonts w:eastAsiaTheme="minorEastAsia"/>
                <w:sz w:val="18"/>
                <w:szCs w:val="18"/>
              </w:rPr>
              <w:t>Tsikoudas</w:t>
            </w:r>
            <w:proofErr w:type="spellEnd"/>
            <w:r w:rsidRPr="00DC1F78">
              <w:rPr>
                <w:rFonts w:eastAsiaTheme="minorEastAsia"/>
                <w:sz w:val="18"/>
                <w:szCs w:val="18"/>
              </w:rPr>
              <w:t xml:space="preserve"> &amp;Martine,1999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13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34-74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10:3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8(62)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8(62)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4(31)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7(54)</w:t>
            </w:r>
          </w:p>
        </w:tc>
      </w:tr>
      <w:tr w:rsidR="00DC1F78" w:rsidRPr="00DC1F78" w:rsidTr="00DC1F78">
        <w:trPr>
          <w:trHeight w:val="217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proofErr w:type="spellStart"/>
            <w:r w:rsidRPr="00DC1F78">
              <w:rPr>
                <w:rFonts w:eastAsiaTheme="minorEastAsia"/>
                <w:sz w:val="18"/>
                <w:szCs w:val="18"/>
              </w:rPr>
              <w:t>Turazzi</w:t>
            </w:r>
            <w:proofErr w:type="spellEnd"/>
            <w:r w:rsidRPr="00DC1F78">
              <w:rPr>
                <w:rFonts w:eastAsiaTheme="minorEastAsia"/>
                <w:sz w:val="18"/>
                <w:szCs w:val="18"/>
              </w:rPr>
              <w:t xml:space="preserve">. </w:t>
            </w:r>
            <w:r w:rsidR="00A351E4" w:rsidRPr="00DC1F78">
              <w:rPr>
                <w:rFonts w:eastAsiaTheme="minorEastAsia"/>
                <w:i/>
                <w:iCs/>
                <w:sz w:val="18"/>
                <w:szCs w:val="18"/>
              </w:rPr>
              <w:t>et al.,</w:t>
            </w:r>
            <w:r w:rsidRPr="00DC1F78">
              <w:rPr>
                <w:rFonts w:eastAsiaTheme="minorEastAsia"/>
                <w:sz w:val="18"/>
                <w:szCs w:val="18"/>
              </w:rPr>
              <w:t>1999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37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32-64(57)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22:15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NA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27(73)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16(43)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27(73</w:t>
            </w:r>
            <w:r w:rsidRPr="00DC1F78">
              <w:rPr>
                <w:rFonts w:eastAsiaTheme="minorEastAsia"/>
                <w:b/>
                <w:bCs/>
                <w:sz w:val="18"/>
                <w:szCs w:val="18"/>
              </w:rPr>
              <w:t>)</w:t>
            </w:r>
          </w:p>
        </w:tc>
      </w:tr>
      <w:tr w:rsidR="00DC1F78" w:rsidRPr="00DC1F78" w:rsidTr="00DC1F78">
        <w:trPr>
          <w:trHeight w:val="217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proofErr w:type="spellStart"/>
            <w:r w:rsidRPr="00DC1F78">
              <w:rPr>
                <w:rFonts w:eastAsiaTheme="minorEastAsia"/>
                <w:sz w:val="18"/>
                <w:szCs w:val="18"/>
              </w:rPr>
              <w:t>Zevgardis</w:t>
            </w:r>
            <w:proofErr w:type="spellEnd"/>
            <w:r w:rsidRPr="00DC1F78">
              <w:rPr>
                <w:rFonts w:eastAsiaTheme="minorEastAsia"/>
                <w:sz w:val="18"/>
                <w:szCs w:val="18"/>
              </w:rPr>
              <w:t xml:space="preserve">. </w:t>
            </w:r>
            <w:r w:rsidR="00A351E4" w:rsidRPr="00DC1F78">
              <w:rPr>
                <w:rFonts w:eastAsiaTheme="minorEastAsia"/>
                <w:i/>
                <w:iCs/>
                <w:sz w:val="18"/>
                <w:szCs w:val="18"/>
              </w:rPr>
              <w:t>et al.,</w:t>
            </w:r>
            <w:r w:rsidRPr="00DC1F78">
              <w:rPr>
                <w:rFonts w:eastAsiaTheme="minorEastAsia"/>
                <w:sz w:val="18"/>
                <w:szCs w:val="18"/>
              </w:rPr>
              <w:t>2001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5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55-67(63)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2:3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NA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NA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5(100)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NA</w:t>
            </w:r>
          </w:p>
        </w:tc>
      </w:tr>
      <w:tr w:rsidR="00DC1F78" w:rsidRPr="00DC1F78" w:rsidTr="00DC1F78">
        <w:trPr>
          <w:trHeight w:val="229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Anderson,</w:t>
            </w:r>
            <w:r w:rsidR="00A351E4" w:rsidRPr="00DC1F78">
              <w:rPr>
                <w:rFonts w:eastAsiaTheme="minorEastAsia"/>
                <w:i/>
                <w:iCs/>
                <w:sz w:val="18"/>
                <w:szCs w:val="18"/>
              </w:rPr>
              <w:t xml:space="preserve"> et al.,</w:t>
            </w:r>
            <w:r w:rsidRPr="00DC1F78">
              <w:rPr>
                <w:rFonts w:eastAsiaTheme="minorEastAsia"/>
                <w:sz w:val="18"/>
                <w:szCs w:val="18"/>
              </w:rPr>
              <w:t>2003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13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40-72(56)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12:1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5(38)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9(69)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6(46)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5(62)</w:t>
            </w:r>
          </w:p>
        </w:tc>
      </w:tr>
      <w:tr w:rsidR="00DC1F78" w:rsidRPr="00DC1F78" w:rsidTr="00DC1F78">
        <w:trPr>
          <w:trHeight w:val="229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5C0D" w:rsidRPr="00DC1F78" w:rsidRDefault="00FF5C0D" w:rsidP="00DC1F78">
            <w:pPr>
              <w:bidi w:val="0"/>
              <w:jc w:val="both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Total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C0D" w:rsidRPr="00DC1F78" w:rsidRDefault="00FF5C0D" w:rsidP="00DC1F78">
            <w:pPr>
              <w:bidi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106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C0D" w:rsidRPr="00DC1F78" w:rsidRDefault="00FF5C0D" w:rsidP="00DC1F78">
            <w:pPr>
              <w:bidi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4-75(55)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C0D" w:rsidRPr="00DC1F78" w:rsidRDefault="00FF5C0D" w:rsidP="00DC1F78">
            <w:pPr>
              <w:bidi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74:32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C0D" w:rsidRPr="00DC1F78" w:rsidRDefault="00FF5C0D" w:rsidP="00DC1F78">
            <w:pPr>
              <w:bidi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13(50)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C0D" w:rsidRPr="00DC1F78" w:rsidRDefault="00FF5C0D" w:rsidP="00DC1F78">
            <w:pPr>
              <w:bidi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55(68)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C0D" w:rsidRPr="00DC1F78" w:rsidRDefault="00FF5C0D" w:rsidP="00DC1F78">
            <w:pPr>
              <w:bidi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35(41)</w:t>
            </w:r>
            <w:r w:rsidR="009520A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C0D" w:rsidRPr="00DC1F78" w:rsidRDefault="00FF5C0D" w:rsidP="00DC1F78">
            <w:pPr>
              <w:bidi w:val="0"/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53(65)</w:t>
            </w:r>
          </w:p>
        </w:tc>
      </w:tr>
    </w:tbl>
    <w:p w:rsidR="00F01610" w:rsidRDefault="00F01610" w:rsidP="00F01610">
      <w:pPr>
        <w:bidi w:val="0"/>
        <w:rPr>
          <w:b/>
          <w:bCs/>
          <w:sz w:val="20"/>
          <w:szCs w:val="20"/>
          <w:lang w:eastAsia="zh-CN"/>
        </w:rPr>
      </w:pPr>
    </w:p>
    <w:p w:rsidR="00153291" w:rsidRDefault="00153291" w:rsidP="00153291">
      <w:pPr>
        <w:bidi w:val="0"/>
        <w:rPr>
          <w:b/>
          <w:bCs/>
          <w:sz w:val="20"/>
          <w:szCs w:val="20"/>
          <w:lang w:eastAsia="zh-CN"/>
        </w:rPr>
      </w:pPr>
    </w:p>
    <w:p w:rsidR="00153291" w:rsidRDefault="00153291" w:rsidP="00153291">
      <w:pPr>
        <w:bidi w:val="0"/>
        <w:rPr>
          <w:b/>
          <w:bCs/>
          <w:sz w:val="20"/>
          <w:szCs w:val="20"/>
          <w:lang w:eastAsia="zh-CN"/>
        </w:rPr>
      </w:pPr>
    </w:p>
    <w:p w:rsidR="00953A01" w:rsidRPr="00E3128F" w:rsidRDefault="00953A01" w:rsidP="00153291">
      <w:pPr>
        <w:bidi w:val="0"/>
        <w:jc w:val="center"/>
        <w:rPr>
          <w:b/>
          <w:bCs/>
          <w:sz w:val="20"/>
          <w:szCs w:val="20"/>
        </w:rPr>
      </w:pPr>
      <w:proofErr w:type="gramStart"/>
      <w:r w:rsidRPr="00E3128F">
        <w:rPr>
          <w:b/>
          <w:bCs/>
          <w:sz w:val="20"/>
          <w:szCs w:val="20"/>
        </w:rPr>
        <w:lastRenderedPageBreak/>
        <w:t>Table 3</w:t>
      </w:r>
      <w:r w:rsidR="009520A4">
        <w:rPr>
          <w:b/>
          <w:bCs/>
          <w:sz w:val="20"/>
          <w:szCs w:val="20"/>
        </w:rPr>
        <w:t>.</w:t>
      </w:r>
      <w:proofErr w:type="gramEnd"/>
      <w:r w:rsidR="009520A4">
        <w:rPr>
          <w:b/>
          <w:bCs/>
          <w:sz w:val="20"/>
          <w:szCs w:val="20"/>
        </w:rPr>
        <w:t xml:space="preserve"> C</w:t>
      </w:r>
      <w:r w:rsidRPr="00E3128F">
        <w:rPr>
          <w:b/>
          <w:bCs/>
          <w:sz w:val="20"/>
          <w:szCs w:val="20"/>
        </w:rPr>
        <w:t>omplications of surgery for OGMs</w:t>
      </w:r>
    </w:p>
    <w:p w:rsidR="00953A01" w:rsidRPr="00E3128F" w:rsidRDefault="00953A01" w:rsidP="00153291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 w:val="0"/>
        <w:rPr>
          <w:sz w:val="18"/>
          <w:szCs w:val="18"/>
        </w:rPr>
      </w:pPr>
      <w:proofErr w:type="spellStart"/>
      <w:r w:rsidRPr="00E3128F">
        <w:rPr>
          <w:sz w:val="18"/>
          <w:szCs w:val="18"/>
        </w:rPr>
        <w:t>Authors&amp;Year</w:t>
      </w:r>
      <w:proofErr w:type="spellEnd"/>
      <w:r w:rsidR="009520A4">
        <w:rPr>
          <w:sz w:val="18"/>
          <w:szCs w:val="18"/>
        </w:rPr>
        <w:t xml:space="preserve"> </w:t>
      </w:r>
      <w:r w:rsidRPr="00E3128F">
        <w:rPr>
          <w:sz w:val="18"/>
          <w:szCs w:val="18"/>
        </w:rPr>
        <w:t xml:space="preserve">         </w:t>
      </w:r>
      <w:r w:rsidR="009E4DD0" w:rsidRPr="00E3128F">
        <w:rPr>
          <w:sz w:val="18"/>
          <w:szCs w:val="18"/>
        </w:rPr>
        <w:t xml:space="preserve">          </w:t>
      </w:r>
      <w:r w:rsidRPr="00E3128F">
        <w:rPr>
          <w:sz w:val="18"/>
          <w:szCs w:val="18"/>
        </w:rPr>
        <w:t xml:space="preserve"> </w:t>
      </w:r>
      <w:proofErr w:type="spellStart"/>
      <w:r w:rsidRPr="00E3128F">
        <w:rPr>
          <w:sz w:val="18"/>
          <w:szCs w:val="18"/>
        </w:rPr>
        <w:t>No</w:t>
      </w:r>
      <w:r w:rsidR="009E4DD0" w:rsidRPr="00E3128F">
        <w:rPr>
          <w:sz w:val="18"/>
          <w:szCs w:val="18"/>
        </w:rPr>
        <w:t>.of</w:t>
      </w:r>
      <w:proofErr w:type="spellEnd"/>
      <w:r w:rsidR="009E4DD0" w:rsidRPr="00E3128F">
        <w:rPr>
          <w:sz w:val="18"/>
          <w:szCs w:val="18"/>
        </w:rPr>
        <w:t xml:space="preserve"> Cases         Visual loss          </w:t>
      </w:r>
      <w:r w:rsidRPr="00E3128F">
        <w:rPr>
          <w:sz w:val="18"/>
          <w:szCs w:val="18"/>
        </w:rPr>
        <w:t>CSF Leak            Infection          Seizure         Infarct</w:t>
      </w:r>
    </w:p>
    <w:p w:rsidR="00953A01" w:rsidRPr="00E3128F" w:rsidRDefault="00953A01" w:rsidP="00F01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sz w:val="18"/>
          <w:szCs w:val="18"/>
        </w:rPr>
      </w:pPr>
      <w:r w:rsidRPr="00E3128F">
        <w:rPr>
          <w:sz w:val="18"/>
          <w:szCs w:val="18"/>
        </w:rPr>
        <w:t>Mayfrank&amp;Gilsbach</w:t>
      </w:r>
      <w:proofErr w:type="gramStart"/>
      <w:r w:rsidRPr="00E3128F">
        <w:rPr>
          <w:sz w:val="18"/>
          <w:szCs w:val="18"/>
        </w:rPr>
        <w:t>,1996</w:t>
      </w:r>
      <w:proofErr w:type="gramEnd"/>
      <w:r w:rsidRPr="00E3128F">
        <w:rPr>
          <w:sz w:val="18"/>
          <w:szCs w:val="18"/>
        </w:rPr>
        <w:t xml:space="preserve">      18                        0                           </w:t>
      </w:r>
      <w:proofErr w:type="spellStart"/>
      <w:r w:rsidRPr="00E3128F">
        <w:rPr>
          <w:sz w:val="18"/>
          <w:szCs w:val="18"/>
        </w:rPr>
        <w:t>0</w:t>
      </w:r>
      <w:proofErr w:type="spellEnd"/>
      <w:r w:rsidRPr="00E3128F">
        <w:rPr>
          <w:sz w:val="18"/>
          <w:szCs w:val="18"/>
        </w:rPr>
        <w:t xml:space="preserve">                       </w:t>
      </w:r>
      <w:r w:rsidR="00EE14A8" w:rsidRPr="00E3128F">
        <w:rPr>
          <w:sz w:val="18"/>
          <w:szCs w:val="18"/>
        </w:rPr>
        <w:t xml:space="preserve"> </w:t>
      </w:r>
      <w:r w:rsidRPr="00E3128F">
        <w:rPr>
          <w:sz w:val="18"/>
          <w:szCs w:val="18"/>
        </w:rPr>
        <w:t xml:space="preserve">    1                  0                      1</w:t>
      </w:r>
    </w:p>
    <w:p w:rsidR="00953A01" w:rsidRPr="00E3128F" w:rsidRDefault="00953A01" w:rsidP="00F01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sz w:val="18"/>
          <w:szCs w:val="18"/>
        </w:rPr>
      </w:pPr>
      <w:r w:rsidRPr="00E3128F">
        <w:rPr>
          <w:sz w:val="18"/>
          <w:szCs w:val="18"/>
        </w:rPr>
        <w:t>Paternity et al</w:t>
      </w:r>
      <w:proofErr w:type="gramStart"/>
      <w:r w:rsidRPr="00E3128F">
        <w:rPr>
          <w:sz w:val="18"/>
          <w:szCs w:val="18"/>
        </w:rPr>
        <w:t>,1999</w:t>
      </w:r>
      <w:proofErr w:type="gramEnd"/>
      <w:r w:rsidRPr="00E3128F">
        <w:rPr>
          <w:sz w:val="18"/>
          <w:szCs w:val="18"/>
        </w:rPr>
        <w:t xml:space="preserve">                 20                        0                           </w:t>
      </w:r>
      <w:proofErr w:type="spellStart"/>
      <w:r w:rsidRPr="00E3128F">
        <w:rPr>
          <w:sz w:val="18"/>
          <w:szCs w:val="18"/>
        </w:rPr>
        <w:t>0</w:t>
      </w:r>
      <w:proofErr w:type="spellEnd"/>
      <w:r w:rsidRPr="00E3128F">
        <w:rPr>
          <w:sz w:val="18"/>
          <w:szCs w:val="18"/>
        </w:rPr>
        <w:t xml:space="preserve">                            </w:t>
      </w:r>
      <w:proofErr w:type="spellStart"/>
      <w:r w:rsidRPr="00E3128F">
        <w:rPr>
          <w:sz w:val="18"/>
          <w:szCs w:val="18"/>
        </w:rPr>
        <w:t>0</w:t>
      </w:r>
      <w:proofErr w:type="spellEnd"/>
      <w:r w:rsidRPr="00E3128F">
        <w:rPr>
          <w:sz w:val="18"/>
          <w:szCs w:val="18"/>
        </w:rPr>
        <w:t xml:space="preserve">                  </w:t>
      </w:r>
      <w:proofErr w:type="spellStart"/>
      <w:r w:rsidRPr="00E3128F">
        <w:rPr>
          <w:sz w:val="18"/>
          <w:szCs w:val="18"/>
        </w:rPr>
        <w:t>0</w:t>
      </w:r>
      <w:proofErr w:type="spellEnd"/>
      <w:r w:rsidRPr="00E3128F">
        <w:rPr>
          <w:sz w:val="18"/>
          <w:szCs w:val="18"/>
        </w:rPr>
        <w:t xml:space="preserve">                      </w:t>
      </w:r>
      <w:proofErr w:type="spellStart"/>
      <w:r w:rsidRPr="00E3128F">
        <w:rPr>
          <w:sz w:val="18"/>
          <w:szCs w:val="18"/>
        </w:rPr>
        <w:t>0</w:t>
      </w:r>
      <w:proofErr w:type="spellEnd"/>
      <w:r w:rsidRPr="00E3128F">
        <w:rPr>
          <w:sz w:val="18"/>
          <w:szCs w:val="18"/>
        </w:rPr>
        <w:t xml:space="preserve">  </w:t>
      </w:r>
    </w:p>
    <w:p w:rsidR="00953A01" w:rsidRPr="00E3128F" w:rsidRDefault="00953A01" w:rsidP="00F01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sz w:val="18"/>
          <w:szCs w:val="18"/>
        </w:rPr>
      </w:pPr>
      <w:proofErr w:type="spellStart"/>
      <w:r w:rsidRPr="00E3128F">
        <w:rPr>
          <w:sz w:val="18"/>
          <w:szCs w:val="18"/>
        </w:rPr>
        <w:t>Tsikoudas</w:t>
      </w:r>
      <w:proofErr w:type="spellEnd"/>
      <w:r w:rsidRPr="00E3128F">
        <w:rPr>
          <w:sz w:val="18"/>
          <w:szCs w:val="18"/>
        </w:rPr>
        <w:t xml:space="preserve"> &amp;Martine</w:t>
      </w:r>
      <w:proofErr w:type="gramStart"/>
      <w:r w:rsidRPr="00E3128F">
        <w:rPr>
          <w:sz w:val="18"/>
          <w:szCs w:val="18"/>
        </w:rPr>
        <w:t>,1999</w:t>
      </w:r>
      <w:proofErr w:type="gramEnd"/>
      <w:r w:rsidRPr="00E3128F">
        <w:rPr>
          <w:sz w:val="18"/>
          <w:szCs w:val="18"/>
        </w:rPr>
        <w:t xml:space="preserve">      13                        1                           3                            1                  </w:t>
      </w:r>
      <w:proofErr w:type="spellStart"/>
      <w:r w:rsidRPr="00E3128F">
        <w:rPr>
          <w:sz w:val="18"/>
          <w:szCs w:val="18"/>
        </w:rPr>
        <w:t>1</w:t>
      </w:r>
      <w:proofErr w:type="spellEnd"/>
      <w:r w:rsidRPr="00E3128F">
        <w:rPr>
          <w:sz w:val="18"/>
          <w:szCs w:val="18"/>
        </w:rPr>
        <w:t xml:space="preserve">                      0 </w:t>
      </w:r>
    </w:p>
    <w:p w:rsidR="00953A01" w:rsidRPr="00E3128F" w:rsidRDefault="00953A01" w:rsidP="00F01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sz w:val="18"/>
          <w:szCs w:val="18"/>
        </w:rPr>
      </w:pPr>
      <w:proofErr w:type="spellStart"/>
      <w:proofErr w:type="gramStart"/>
      <w:r w:rsidRPr="00E3128F">
        <w:rPr>
          <w:sz w:val="18"/>
          <w:szCs w:val="18"/>
        </w:rPr>
        <w:t>Turazzi</w:t>
      </w:r>
      <w:proofErr w:type="spellEnd"/>
      <w:r w:rsidRPr="00E3128F">
        <w:rPr>
          <w:sz w:val="18"/>
          <w:szCs w:val="18"/>
        </w:rPr>
        <w:t>.</w:t>
      </w:r>
      <w:proofErr w:type="gramEnd"/>
      <w:r w:rsidRPr="00E3128F">
        <w:rPr>
          <w:sz w:val="18"/>
          <w:szCs w:val="18"/>
        </w:rPr>
        <w:t xml:space="preserve"> </w:t>
      </w:r>
      <w:proofErr w:type="gramStart"/>
      <w:r w:rsidRPr="00E3128F">
        <w:rPr>
          <w:sz w:val="18"/>
          <w:szCs w:val="18"/>
        </w:rPr>
        <w:t>et</w:t>
      </w:r>
      <w:proofErr w:type="gramEnd"/>
      <w:r w:rsidRPr="00E3128F">
        <w:rPr>
          <w:sz w:val="18"/>
          <w:szCs w:val="18"/>
        </w:rPr>
        <w:t xml:space="preserve"> al,1999</w:t>
      </w:r>
      <w:r w:rsidR="00614446" w:rsidRPr="00E3128F">
        <w:rPr>
          <w:sz w:val="18"/>
          <w:szCs w:val="18"/>
          <w:vertAlign w:val="superscript"/>
        </w:rPr>
        <w:t>(13)</w:t>
      </w:r>
      <w:r w:rsidRPr="00E3128F">
        <w:rPr>
          <w:sz w:val="18"/>
          <w:szCs w:val="18"/>
        </w:rPr>
        <w:t xml:space="preserve">              37                        0                           </w:t>
      </w:r>
      <w:proofErr w:type="spellStart"/>
      <w:r w:rsidRPr="00E3128F">
        <w:rPr>
          <w:sz w:val="18"/>
          <w:szCs w:val="18"/>
        </w:rPr>
        <w:t>0</w:t>
      </w:r>
      <w:proofErr w:type="spellEnd"/>
      <w:r w:rsidRPr="00E3128F">
        <w:rPr>
          <w:sz w:val="18"/>
          <w:szCs w:val="18"/>
        </w:rPr>
        <w:t xml:space="preserve">                   </w:t>
      </w:r>
      <w:r w:rsidR="00EE14A8" w:rsidRPr="00E3128F">
        <w:rPr>
          <w:sz w:val="18"/>
          <w:szCs w:val="18"/>
        </w:rPr>
        <w:t xml:space="preserve"> </w:t>
      </w:r>
      <w:r w:rsidRPr="00E3128F">
        <w:rPr>
          <w:sz w:val="18"/>
          <w:szCs w:val="18"/>
        </w:rPr>
        <w:t xml:space="preserve">        </w:t>
      </w:r>
      <w:proofErr w:type="spellStart"/>
      <w:r w:rsidRPr="00E3128F">
        <w:rPr>
          <w:sz w:val="18"/>
          <w:szCs w:val="18"/>
        </w:rPr>
        <w:t>0</w:t>
      </w:r>
      <w:proofErr w:type="spellEnd"/>
      <w:r w:rsidRPr="00E3128F">
        <w:rPr>
          <w:sz w:val="18"/>
          <w:szCs w:val="18"/>
        </w:rPr>
        <w:t xml:space="preserve">                  </w:t>
      </w:r>
      <w:proofErr w:type="spellStart"/>
      <w:r w:rsidRPr="00E3128F">
        <w:rPr>
          <w:sz w:val="18"/>
          <w:szCs w:val="18"/>
        </w:rPr>
        <w:t>0</w:t>
      </w:r>
      <w:proofErr w:type="spellEnd"/>
      <w:r w:rsidRPr="00E3128F">
        <w:rPr>
          <w:sz w:val="18"/>
          <w:szCs w:val="18"/>
        </w:rPr>
        <w:t xml:space="preserve"> </w:t>
      </w:r>
      <w:r w:rsidR="009520A4">
        <w:rPr>
          <w:sz w:val="18"/>
          <w:szCs w:val="18"/>
        </w:rPr>
        <w:t xml:space="preserve">                     </w:t>
      </w:r>
      <w:proofErr w:type="spellStart"/>
      <w:r w:rsidR="009520A4">
        <w:rPr>
          <w:sz w:val="18"/>
          <w:szCs w:val="18"/>
        </w:rPr>
        <w:t>0</w:t>
      </w:r>
      <w:proofErr w:type="spellEnd"/>
      <w:r w:rsidR="009520A4">
        <w:rPr>
          <w:sz w:val="18"/>
          <w:szCs w:val="18"/>
        </w:rPr>
        <w:t xml:space="preserve">  </w:t>
      </w:r>
    </w:p>
    <w:p w:rsidR="00953A01" w:rsidRPr="00E3128F" w:rsidRDefault="00953A01" w:rsidP="00F01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sz w:val="18"/>
          <w:szCs w:val="18"/>
        </w:rPr>
      </w:pPr>
      <w:proofErr w:type="spellStart"/>
      <w:proofErr w:type="gramStart"/>
      <w:r w:rsidRPr="00E3128F">
        <w:rPr>
          <w:sz w:val="18"/>
          <w:szCs w:val="18"/>
        </w:rPr>
        <w:t>Zevgardis</w:t>
      </w:r>
      <w:proofErr w:type="spellEnd"/>
      <w:r w:rsidRPr="00E3128F">
        <w:rPr>
          <w:sz w:val="18"/>
          <w:szCs w:val="18"/>
        </w:rPr>
        <w:t>.</w:t>
      </w:r>
      <w:proofErr w:type="gramEnd"/>
      <w:r w:rsidRPr="00E3128F">
        <w:rPr>
          <w:sz w:val="18"/>
          <w:szCs w:val="18"/>
        </w:rPr>
        <w:t xml:space="preserve"> </w:t>
      </w:r>
      <w:proofErr w:type="gramStart"/>
      <w:r w:rsidRPr="00E3128F">
        <w:rPr>
          <w:sz w:val="18"/>
          <w:szCs w:val="18"/>
        </w:rPr>
        <w:t>et</w:t>
      </w:r>
      <w:proofErr w:type="gramEnd"/>
      <w:r w:rsidRPr="00E3128F">
        <w:rPr>
          <w:sz w:val="18"/>
          <w:szCs w:val="18"/>
        </w:rPr>
        <w:t xml:space="preserve"> al,2001              5                      </w:t>
      </w:r>
      <w:r w:rsidR="009E4DD0" w:rsidRPr="00E3128F">
        <w:rPr>
          <w:sz w:val="18"/>
          <w:szCs w:val="18"/>
        </w:rPr>
        <w:t xml:space="preserve">    NA                        </w:t>
      </w:r>
      <w:proofErr w:type="spellStart"/>
      <w:r w:rsidR="009E4DD0" w:rsidRPr="00E3128F">
        <w:rPr>
          <w:sz w:val="18"/>
          <w:szCs w:val="18"/>
        </w:rPr>
        <w:t>NA</w:t>
      </w:r>
      <w:proofErr w:type="spellEnd"/>
      <w:r w:rsidR="009E4DD0" w:rsidRPr="00E3128F">
        <w:rPr>
          <w:sz w:val="18"/>
          <w:szCs w:val="18"/>
        </w:rPr>
        <w:t xml:space="preserve">                     </w:t>
      </w:r>
      <w:r w:rsidRPr="00E3128F">
        <w:rPr>
          <w:sz w:val="18"/>
          <w:szCs w:val="18"/>
        </w:rPr>
        <w:t xml:space="preserve"> </w:t>
      </w:r>
      <w:proofErr w:type="spellStart"/>
      <w:r w:rsidRPr="00E3128F">
        <w:rPr>
          <w:sz w:val="18"/>
          <w:szCs w:val="18"/>
        </w:rPr>
        <w:t>NA</w:t>
      </w:r>
      <w:proofErr w:type="spellEnd"/>
      <w:r w:rsidRPr="00E3128F">
        <w:rPr>
          <w:sz w:val="18"/>
          <w:szCs w:val="18"/>
        </w:rPr>
        <w:t xml:space="preserve">              </w:t>
      </w:r>
      <w:proofErr w:type="spellStart"/>
      <w:r w:rsidRPr="00E3128F">
        <w:rPr>
          <w:sz w:val="18"/>
          <w:szCs w:val="18"/>
        </w:rPr>
        <w:t>NA</w:t>
      </w:r>
      <w:proofErr w:type="spellEnd"/>
      <w:r w:rsidRPr="00E3128F">
        <w:rPr>
          <w:sz w:val="18"/>
          <w:szCs w:val="18"/>
        </w:rPr>
        <w:t xml:space="preserve">                  </w:t>
      </w:r>
      <w:proofErr w:type="spellStart"/>
      <w:r w:rsidRPr="00E3128F">
        <w:rPr>
          <w:sz w:val="18"/>
          <w:szCs w:val="18"/>
        </w:rPr>
        <w:t>NA</w:t>
      </w:r>
      <w:proofErr w:type="spellEnd"/>
      <w:r w:rsidRPr="00E3128F">
        <w:rPr>
          <w:sz w:val="18"/>
          <w:szCs w:val="18"/>
        </w:rPr>
        <w:t xml:space="preserve">  </w:t>
      </w:r>
    </w:p>
    <w:p w:rsidR="00953A01" w:rsidRPr="00E3128F" w:rsidRDefault="00953A01" w:rsidP="00F01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sz w:val="18"/>
          <w:szCs w:val="18"/>
        </w:rPr>
      </w:pPr>
      <w:proofErr w:type="spellStart"/>
      <w:r w:rsidRPr="00E3128F">
        <w:rPr>
          <w:sz w:val="18"/>
          <w:szCs w:val="18"/>
        </w:rPr>
        <w:t>Anderson</w:t>
      </w:r>
      <w:proofErr w:type="gramStart"/>
      <w:r w:rsidRPr="00E3128F">
        <w:rPr>
          <w:sz w:val="18"/>
          <w:szCs w:val="18"/>
        </w:rPr>
        <w:t>,et</w:t>
      </w:r>
      <w:proofErr w:type="spellEnd"/>
      <w:proofErr w:type="gramEnd"/>
      <w:r w:rsidRPr="00E3128F">
        <w:rPr>
          <w:sz w:val="18"/>
          <w:szCs w:val="18"/>
        </w:rPr>
        <w:t xml:space="preserve"> al,2003               13                         0                            </w:t>
      </w:r>
      <w:proofErr w:type="spellStart"/>
      <w:r w:rsidRPr="00E3128F">
        <w:rPr>
          <w:sz w:val="18"/>
          <w:szCs w:val="18"/>
        </w:rPr>
        <w:t>0</w:t>
      </w:r>
      <w:proofErr w:type="spellEnd"/>
      <w:r w:rsidRPr="00E3128F">
        <w:rPr>
          <w:sz w:val="18"/>
          <w:szCs w:val="18"/>
        </w:rPr>
        <w:t xml:space="preserve">                           </w:t>
      </w:r>
      <w:proofErr w:type="spellStart"/>
      <w:r w:rsidRPr="00E3128F">
        <w:rPr>
          <w:sz w:val="18"/>
          <w:szCs w:val="18"/>
        </w:rPr>
        <w:t>0</w:t>
      </w:r>
      <w:proofErr w:type="spellEnd"/>
      <w:r w:rsidRPr="00E3128F">
        <w:rPr>
          <w:sz w:val="18"/>
          <w:szCs w:val="18"/>
        </w:rPr>
        <w:t xml:space="preserve">                  </w:t>
      </w:r>
      <w:proofErr w:type="spellStart"/>
      <w:r w:rsidRPr="00E3128F">
        <w:rPr>
          <w:sz w:val="18"/>
          <w:szCs w:val="18"/>
        </w:rPr>
        <w:t>0</w:t>
      </w:r>
      <w:proofErr w:type="spellEnd"/>
      <w:r w:rsidRPr="00E3128F">
        <w:rPr>
          <w:sz w:val="18"/>
          <w:szCs w:val="18"/>
        </w:rPr>
        <w:t xml:space="preserve">                     </w:t>
      </w:r>
      <w:proofErr w:type="spellStart"/>
      <w:r w:rsidRPr="00E3128F">
        <w:rPr>
          <w:sz w:val="18"/>
          <w:szCs w:val="18"/>
        </w:rPr>
        <w:t>0</w:t>
      </w:r>
      <w:proofErr w:type="spellEnd"/>
      <w:r w:rsidRPr="00E3128F">
        <w:rPr>
          <w:sz w:val="18"/>
          <w:szCs w:val="18"/>
        </w:rPr>
        <w:t xml:space="preserve"> </w:t>
      </w:r>
    </w:p>
    <w:p w:rsidR="00953A01" w:rsidRPr="00E3128F" w:rsidRDefault="00953A01" w:rsidP="00F01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sz w:val="18"/>
          <w:szCs w:val="18"/>
        </w:rPr>
      </w:pPr>
      <w:r w:rsidRPr="00E3128F">
        <w:rPr>
          <w:sz w:val="18"/>
          <w:szCs w:val="18"/>
        </w:rPr>
        <w:t xml:space="preserve">Total                                     106                         1                            3                            2                 1                     </w:t>
      </w:r>
      <w:proofErr w:type="spellStart"/>
      <w:r w:rsidRPr="00E3128F">
        <w:rPr>
          <w:sz w:val="18"/>
          <w:szCs w:val="18"/>
        </w:rPr>
        <w:t>1</w:t>
      </w:r>
      <w:proofErr w:type="spellEnd"/>
    </w:p>
    <w:p w:rsidR="00806ACA" w:rsidRPr="00CB0E2A" w:rsidRDefault="00806ACA" w:rsidP="00153291">
      <w:pPr>
        <w:bidi w:val="0"/>
        <w:jc w:val="center"/>
        <w:rPr>
          <w:b/>
          <w:bCs/>
          <w:sz w:val="20"/>
          <w:szCs w:val="20"/>
        </w:rPr>
      </w:pPr>
      <w:r w:rsidRPr="00CB0E2A">
        <w:rPr>
          <w:b/>
          <w:bCs/>
          <w:sz w:val="20"/>
          <w:szCs w:val="20"/>
        </w:rPr>
        <w:t>Table 4: Clinical outcomes: 12 patients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7"/>
        <w:gridCol w:w="3141"/>
      </w:tblGrid>
      <w:tr w:rsidR="00806ACA" w:rsidRPr="00DC1F78" w:rsidTr="009E4DD0">
        <w:trPr>
          <w:trHeight w:val="465"/>
        </w:trPr>
        <w:tc>
          <w:tcPr>
            <w:tcW w:w="6067" w:type="dxa"/>
          </w:tcPr>
          <w:p w:rsidR="00806ACA" w:rsidRPr="00DC1F78" w:rsidRDefault="00806ACA" w:rsidP="00B6591E">
            <w:pPr>
              <w:bidi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b/>
                <w:bCs/>
                <w:sz w:val="18"/>
                <w:szCs w:val="18"/>
              </w:rPr>
              <w:t xml:space="preserve">Tumor Size </w:t>
            </w:r>
          </w:p>
          <w:p w:rsidR="00806ACA" w:rsidRPr="00DC1F78" w:rsidRDefault="00806ACA" w:rsidP="00B6591E">
            <w:pPr>
              <w:bidi w:val="0"/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 xml:space="preserve">Large &gt; 3cm </w:t>
            </w:r>
          </w:p>
          <w:p w:rsidR="00806ACA" w:rsidRPr="00DC1F78" w:rsidRDefault="00806ACA" w:rsidP="00B6591E">
            <w:pPr>
              <w:bidi w:val="0"/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 xml:space="preserve">Small &lt; 3cm </w:t>
            </w:r>
          </w:p>
        </w:tc>
        <w:tc>
          <w:tcPr>
            <w:tcW w:w="3141" w:type="dxa"/>
          </w:tcPr>
          <w:p w:rsidR="00806ACA" w:rsidRPr="00DC1F78" w:rsidRDefault="00806ACA" w:rsidP="00B6591E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806ACA" w:rsidRPr="00DC1F78" w:rsidRDefault="00806ACA" w:rsidP="00B6591E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6</w:t>
            </w:r>
          </w:p>
          <w:p w:rsidR="00806ACA" w:rsidRPr="00DC1F78" w:rsidRDefault="00806ACA" w:rsidP="00B6591E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6</w:t>
            </w:r>
          </w:p>
        </w:tc>
      </w:tr>
      <w:tr w:rsidR="00806ACA" w:rsidRPr="00DC1F78" w:rsidTr="009E4DD0">
        <w:trPr>
          <w:trHeight w:val="465"/>
        </w:trPr>
        <w:tc>
          <w:tcPr>
            <w:tcW w:w="6067" w:type="dxa"/>
          </w:tcPr>
          <w:p w:rsidR="00806ACA" w:rsidRPr="00DC1F78" w:rsidRDefault="00806ACA" w:rsidP="00B6591E">
            <w:pPr>
              <w:bidi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b/>
                <w:bCs/>
                <w:sz w:val="18"/>
                <w:szCs w:val="18"/>
              </w:rPr>
              <w:t>Tumor Extension</w:t>
            </w:r>
          </w:p>
          <w:p w:rsidR="00806ACA" w:rsidRPr="00DC1F78" w:rsidRDefault="00806ACA" w:rsidP="00B6591E">
            <w:pPr>
              <w:bidi w:val="0"/>
              <w:rPr>
                <w:rFonts w:eastAsiaTheme="minorEastAsia"/>
                <w:sz w:val="18"/>
                <w:szCs w:val="18"/>
              </w:rPr>
            </w:pPr>
            <w:proofErr w:type="spellStart"/>
            <w:r w:rsidRPr="00DC1F78">
              <w:rPr>
                <w:rFonts w:eastAsiaTheme="minorEastAsia"/>
                <w:sz w:val="18"/>
                <w:szCs w:val="18"/>
              </w:rPr>
              <w:t>Ethmoid</w:t>
            </w:r>
            <w:proofErr w:type="spellEnd"/>
            <w:r w:rsidRPr="00DC1F78">
              <w:rPr>
                <w:rFonts w:eastAsiaTheme="minorEastAsia"/>
                <w:sz w:val="18"/>
                <w:szCs w:val="18"/>
              </w:rPr>
              <w:t xml:space="preserve"> sinus</w:t>
            </w:r>
          </w:p>
          <w:p w:rsidR="00806ACA" w:rsidRPr="00DC1F78" w:rsidRDefault="00806ACA" w:rsidP="00B6591E">
            <w:pPr>
              <w:bidi w:val="0"/>
              <w:rPr>
                <w:rFonts w:eastAsiaTheme="minorEastAsia"/>
                <w:sz w:val="18"/>
                <w:szCs w:val="18"/>
              </w:rPr>
            </w:pPr>
            <w:proofErr w:type="spellStart"/>
            <w:r w:rsidRPr="00DC1F78">
              <w:rPr>
                <w:rFonts w:eastAsiaTheme="minorEastAsia"/>
                <w:sz w:val="18"/>
                <w:szCs w:val="18"/>
              </w:rPr>
              <w:t>Planum</w:t>
            </w:r>
            <w:proofErr w:type="spellEnd"/>
            <w:r w:rsidRPr="00DC1F78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DC1F78">
              <w:rPr>
                <w:rFonts w:eastAsiaTheme="minorEastAsia"/>
                <w:sz w:val="18"/>
                <w:szCs w:val="18"/>
              </w:rPr>
              <w:t>sphenoidale</w:t>
            </w:r>
            <w:proofErr w:type="spellEnd"/>
          </w:p>
        </w:tc>
        <w:tc>
          <w:tcPr>
            <w:tcW w:w="3141" w:type="dxa"/>
          </w:tcPr>
          <w:p w:rsidR="00806ACA" w:rsidRPr="00DC1F78" w:rsidRDefault="00806ACA" w:rsidP="00B6591E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806ACA" w:rsidRPr="00DC1F78" w:rsidRDefault="00806ACA" w:rsidP="00B6591E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2</w:t>
            </w:r>
          </w:p>
          <w:p w:rsidR="00806ACA" w:rsidRPr="00DC1F78" w:rsidRDefault="00806ACA" w:rsidP="00B6591E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 w:rsidR="00806ACA" w:rsidRPr="00DC1F78" w:rsidTr="009E4DD0">
        <w:trPr>
          <w:trHeight w:val="777"/>
        </w:trPr>
        <w:tc>
          <w:tcPr>
            <w:tcW w:w="6067" w:type="dxa"/>
          </w:tcPr>
          <w:p w:rsidR="00806ACA" w:rsidRPr="00DC1F78" w:rsidRDefault="00806ACA" w:rsidP="00B6591E">
            <w:pPr>
              <w:bidi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b/>
                <w:bCs/>
                <w:sz w:val="18"/>
                <w:szCs w:val="18"/>
              </w:rPr>
              <w:t>Grade resection</w:t>
            </w:r>
          </w:p>
          <w:p w:rsidR="00806ACA" w:rsidRPr="00DC1F78" w:rsidRDefault="00806ACA" w:rsidP="00B6591E">
            <w:pPr>
              <w:bidi w:val="0"/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 xml:space="preserve">Simpson 1 </w:t>
            </w:r>
          </w:p>
          <w:p w:rsidR="00806ACA" w:rsidRPr="00DC1F78" w:rsidRDefault="00806ACA" w:rsidP="00B6591E">
            <w:pPr>
              <w:bidi w:val="0"/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Simpson 2</w:t>
            </w:r>
          </w:p>
          <w:p w:rsidR="00806ACA" w:rsidRPr="00DC1F78" w:rsidRDefault="00806ACA" w:rsidP="00B6591E">
            <w:pPr>
              <w:bidi w:val="0"/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Simpson 3</w:t>
            </w:r>
          </w:p>
          <w:p w:rsidR="00806ACA" w:rsidRPr="00DC1F78" w:rsidRDefault="00806ACA" w:rsidP="00B6591E">
            <w:pPr>
              <w:bidi w:val="0"/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Simpson 4</w:t>
            </w:r>
          </w:p>
        </w:tc>
        <w:tc>
          <w:tcPr>
            <w:tcW w:w="3141" w:type="dxa"/>
          </w:tcPr>
          <w:p w:rsidR="00806ACA" w:rsidRPr="00DC1F78" w:rsidRDefault="00806ACA" w:rsidP="00B6591E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806ACA" w:rsidRPr="00DC1F78" w:rsidRDefault="00806ACA" w:rsidP="00B6591E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4 (33%)</w:t>
            </w:r>
          </w:p>
          <w:p w:rsidR="00806ACA" w:rsidRPr="00DC1F78" w:rsidRDefault="00806ACA" w:rsidP="00B6591E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5 (42%)</w:t>
            </w:r>
          </w:p>
          <w:p w:rsidR="00806ACA" w:rsidRPr="00DC1F78" w:rsidRDefault="00806ACA" w:rsidP="00B6591E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2 (17%)</w:t>
            </w:r>
          </w:p>
          <w:p w:rsidR="00806ACA" w:rsidRPr="00DC1F78" w:rsidRDefault="00806ACA" w:rsidP="00B6591E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1 (8%)</w:t>
            </w:r>
          </w:p>
        </w:tc>
      </w:tr>
      <w:tr w:rsidR="00806ACA" w:rsidRPr="00DC1F78" w:rsidTr="009E4DD0">
        <w:trPr>
          <w:trHeight w:val="616"/>
        </w:trPr>
        <w:tc>
          <w:tcPr>
            <w:tcW w:w="6067" w:type="dxa"/>
          </w:tcPr>
          <w:p w:rsidR="00806ACA" w:rsidRPr="00DC1F78" w:rsidRDefault="00806ACA" w:rsidP="00B6591E">
            <w:pPr>
              <w:bidi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b/>
                <w:bCs/>
                <w:sz w:val="18"/>
                <w:szCs w:val="18"/>
              </w:rPr>
              <w:t>Visual outcomes</w:t>
            </w:r>
          </w:p>
          <w:p w:rsidR="00806ACA" w:rsidRPr="00DC1F78" w:rsidRDefault="00806ACA" w:rsidP="00B6591E">
            <w:pPr>
              <w:bidi w:val="0"/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Visual stationary</w:t>
            </w:r>
          </w:p>
          <w:p w:rsidR="00806ACA" w:rsidRPr="00DC1F78" w:rsidRDefault="00806ACA" w:rsidP="00B6591E">
            <w:pPr>
              <w:bidi w:val="0"/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Visual deterioration</w:t>
            </w:r>
          </w:p>
          <w:p w:rsidR="00806ACA" w:rsidRPr="00DC1F78" w:rsidRDefault="00806ACA" w:rsidP="00B6591E">
            <w:pPr>
              <w:bidi w:val="0"/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Visual improvement</w:t>
            </w:r>
          </w:p>
        </w:tc>
        <w:tc>
          <w:tcPr>
            <w:tcW w:w="3141" w:type="dxa"/>
          </w:tcPr>
          <w:p w:rsidR="00806ACA" w:rsidRPr="00DC1F78" w:rsidRDefault="00806ACA" w:rsidP="00B6591E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806ACA" w:rsidRPr="00DC1F78" w:rsidRDefault="00806ACA" w:rsidP="00B6591E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8</w:t>
            </w:r>
          </w:p>
          <w:p w:rsidR="00806ACA" w:rsidRPr="00DC1F78" w:rsidRDefault="00806ACA" w:rsidP="00B6591E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2</w:t>
            </w:r>
          </w:p>
          <w:p w:rsidR="00806ACA" w:rsidRPr="00DC1F78" w:rsidRDefault="00806ACA" w:rsidP="00B6591E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 w:rsidR="00806ACA" w:rsidRPr="00DC1F78" w:rsidTr="009E4DD0">
        <w:trPr>
          <w:trHeight w:val="47"/>
        </w:trPr>
        <w:tc>
          <w:tcPr>
            <w:tcW w:w="6067" w:type="dxa"/>
          </w:tcPr>
          <w:p w:rsidR="00806ACA" w:rsidRPr="00DC1F78" w:rsidRDefault="00806ACA" w:rsidP="00B6591E">
            <w:pPr>
              <w:bidi w:val="0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C1F78">
              <w:rPr>
                <w:rFonts w:eastAsiaTheme="minorEastAsia"/>
                <w:b/>
                <w:bCs/>
                <w:sz w:val="18"/>
                <w:szCs w:val="18"/>
              </w:rPr>
              <w:t>Post operative complications</w:t>
            </w:r>
          </w:p>
          <w:p w:rsidR="00806ACA" w:rsidRPr="00DC1F78" w:rsidRDefault="00806ACA" w:rsidP="00B6591E">
            <w:pPr>
              <w:bidi w:val="0"/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Visual deterioration</w:t>
            </w:r>
          </w:p>
          <w:p w:rsidR="00806ACA" w:rsidRPr="00DC1F78" w:rsidRDefault="00806ACA" w:rsidP="00B6591E">
            <w:pPr>
              <w:bidi w:val="0"/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Post – operative hematoma</w:t>
            </w:r>
          </w:p>
          <w:p w:rsidR="00806ACA" w:rsidRPr="00DC1F78" w:rsidRDefault="00806ACA" w:rsidP="00B6591E">
            <w:pPr>
              <w:bidi w:val="0"/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Brain edema</w:t>
            </w:r>
          </w:p>
        </w:tc>
        <w:tc>
          <w:tcPr>
            <w:tcW w:w="3141" w:type="dxa"/>
          </w:tcPr>
          <w:p w:rsidR="00806ACA" w:rsidRPr="00DC1F78" w:rsidRDefault="00806ACA" w:rsidP="00B6591E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806ACA" w:rsidRPr="00DC1F78" w:rsidRDefault="00806ACA" w:rsidP="00B6591E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2</w:t>
            </w:r>
          </w:p>
          <w:p w:rsidR="00806ACA" w:rsidRPr="00DC1F78" w:rsidRDefault="00806ACA" w:rsidP="00B6591E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1</w:t>
            </w:r>
          </w:p>
          <w:p w:rsidR="00806ACA" w:rsidRPr="00DC1F78" w:rsidRDefault="00806ACA" w:rsidP="00B6591E">
            <w:pPr>
              <w:bidi w:val="0"/>
              <w:jc w:val="center"/>
              <w:rPr>
                <w:rFonts w:eastAsiaTheme="minorEastAsia"/>
                <w:sz w:val="18"/>
                <w:szCs w:val="18"/>
              </w:rPr>
            </w:pPr>
            <w:r w:rsidRPr="00DC1F78">
              <w:rPr>
                <w:rFonts w:eastAsiaTheme="minorEastAsia"/>
                <w:sz w:val="18"/>
                <w:szCs w:val="18"/>
              </w:rPr>
              <w:t>4</w:t>
            </w:r>
          </w:p>
        </w:tc>
      </w:tr>
    </w:tbl>
    <w:p w:rsidR="00763527" w:rsidRPr="00CB0E2A" w:rsidRDefault="00763527" w:rsidP="00153291">
      <w:pPr>
        <w:autoSpaceDE w:val="0"/>
        <w:autoSpaceDN w:val="0"/>
        <w:bidi w:val="0"/>
        <w:adjustRightInd w:val="0"/>
        <w:jc w:val="center"/>
        <w:rPr>
          <w:b/>
          <w:bCs/>
          <w:sz w:val="18"/>
          <w:szCs w:val="18"/>
        </w:rPr>
      </w:pPr>
      <w:r w:rsidRPr="00CB0E2A">
        <w:rPr>
          <w:b/>
          <w:bCs/>
          <w:sz w:val="18"/>
          <w:szCs w:val="18"/>
        </w:rPr>
        <w:t>Table5. Preoperative, postoperative, and follow-up functional status</w:t>
      </w:r>
    </w:p>
    <w:p w:rsidR="00763527" w:rsidRPr="00CB0E2A" w:rsidRDefault="00763527" w:rsidP="00153291">
      <w:pPr>
        <w:pBdr>
          <w:top w:val="single" w:sz="4" w:space="1" w:color="auto"/>
          <w:bottom w:val="single" w:sz="4" w:space="1" w:color="auto"/>
        </w:pBdr>
        <w:bidi w:val="0"/>
        <w:rPr>
          <w:b/>
          <w:sz w:val="18"/>
          <w:szCs w:val="18"/>
        </w:rPr>
      </w:pPr>
      <w:proofErr w:type="gramStart"/>
      <w:r w:rsidRPr="00CB0E2A">
        <w:rPr>
          <w:b/>
          <w:sz w:val="18"/>
          <w:szCs w:val="18"/>
        </w:rPr>
        <w:t>functional</w:t>
      </w:r>
      <w:proofErr w:type="gramEnd"/>
      <w:r w:rsidRPr="00CB0E2A">
        <w:rPr>
          <w:b/>
          <w:sz w:val="18"/>
          <w:szCs w:val="18"/>
        </w:rPr>
        <w:t xml:space="preserve"> status                                         KPS          preoperative      immediate postoperative    follow up</w:t>
      </w:r>
    </w:p>
    <w:p w:rsidR="00763527" w:rsidRPr="00CB0E2A" w:rsidRDefault="00763527" w:rsidP="00B6591E">
      <w:pPr>
        <w:bidi w:val="0"/>
        <w:rPr>
          <w:bCs/>
          <w:sz w:val="18"/>
          <w:szCs w:val="18"/>
        </w:rPr>
      </w:pPr>
      <w:r w:rsidRPr="00CB0E2A">
        <w:rPr>
          <w:bCs/>
          <w:sz w:val="18"/>
          <w:szCs w:val="18"/>
        </w:rPr>
        <w:t xml:space="preserve">Nº of patients                                                                      12                </w:t>
      </w:r>
      <w:r w:rsidR="00EE14A8">
        <w:rPr>
          <w:bCs/>
          <w:sz w:val="18"/>
          <w:szCs w:val="18"/>
        </w:rPr>
        <w:t xml:space="preserve"> </w:t>
      </w:r>
      <w:r w:rsidRPr="00CB0E2A">
        <w:rPr>
          <w:bCs/>
          <w:sz w:val="18"/>
          <w:szCs w:val="18"/>
        </w:rPr>
        <w:t xml:space="preserve">    </w:t>
      </w:r>
      <w:proofErr w:type="spellStart"/>
      <w:r w:rsidRPr="00CB0E2A">
        <w:rPr>
          <w:bCs/>
          <w:sz w:val="18"/>
          <w:szCs w:val="18"/>
        </w:rPr>
        <w:t>12</w:t>
      </w:r>
      <w:proofErr w:type="spellEnd"/>
      <w:r w:rsidRPr="00CB0E2A">
        <w:rPr>
          <w:bCs/>
          <w:sz w:val="18"/>
          <w:szCs w:val="18"/>
        </w:rPr>
        <w:t xml:space="preserve">                           </w:t>
      </w:r>
      <w:proofErr w:type="spellStart"/>
      <w:r w:rsidRPr="00CB0E2A">
        <w:rPr>
          <w:bCs/>
          <w:sz w:val="18"/>
          <w:szCs w:val="18"/>
        </w:rPr>
        <w:t>12</w:t>
      </w:r>
      <w:proofErr w:type="spellEnd"/>
    </w:p>
    <w:p w:rsidR="00763527" w:rsidRPr="00CB0E2A" w:rsidRDefault="00763527" w:rsidP="00EE14A8">
      <w:pPr>
        <w:bidi w:val="0"/>
        <w:rPr>
          <w:bCs/>
          <w:sz w:val="18"/>
          <w:szCs w:val="18"/>
        </w:rPr>
      </w:pPr>
      <w:r w:rsidRPr="00CB0E2A">
        <w:rPr>
          <w:bCs/>
          <w:sz w:val="18"/>
          <w:szCs w:val="18"/>
        </w:rPr>
        <w:t>Normal or minimal symptoms</w:t>
      </w:r>
      <w:r w:rsidR="00614446">
        <w:rPr>
          <w:bCs/>
          <w:sz w:val="18"/>
          <w:szCs w:val="18"/>
        </w:rPr>
        <w:t xml:space="preserve"> </w:t>
      </w:r>
      <w:r w:rsidRPr="00CB0E2A">
        <w:rPr>
          <w:bCs/>
          <w:sz w:val="18"/>
          <w:szCs w:val="18"/>
        </w:rPr>
        <w:t xml:space="preserve">&amp;working       80-100        8 (66.7%)    </w:t>
      </w:r>
      <w:r w:rsidR="00EE14A8">
        <w:rPr>
          <w:bCs/>
          <w:sz w:val="18"/>
          <w:szCs w:val="18"/>
        </w:rPr>
        <w:t xml:space="preserve"> </w:t>
      </w:r>
      <w:r w:rsidRPr="00CB0E2A">
        <w:rPr>
          <w:bCs/>
          <w:sz w:val="18"/>
          <w:szCs w:val="18"/>
        </w:rPr>
        <w:t xml:space="preserve">    7 (58.3%)              7(58.3%) </w:t>
      </w:r>
    </w:p>
    <w:p w:rsidR="00763527" w:rsidRPr="00CB0E2A" w:rsidRDefault="00763527" w:rsidP="00B6591E">
      <w:pPr>
        <w:bidi w:val="0"/>
        <w:rPr>
          <w:bCs/>
          <w:sz w:val="18"/>
          <w:szCs w:val="18"/>
        </w:rPr>
      </w:pPr>
      <w:proofErr w:type="spellStart"/>
      <w:r w:rsidRPr="00CB0E2A">
        <w:rPr>
          <w:bCs/>
          <w:sz w:val="18"/>
          <w:szCs w:val="18"/>
        </w:rPr>
        <w:t>Independent</w:t>
      </w:r>
      <w:proofErr w:type="gramStart"/>
      <w:r w:rsidRPr="00CB0E2A">
        <w:rPr>
          <w:bCs/>
          <w:sz w:val="18"/>
          <w:szCs w:val="18"/>
        </w:rPr>
        <w:t>,not</w:t>
      </w:r>
      <w:proofErr w:type="spellEnd"/>
      <w:proofErr w:type="gramEnd"/>
      <w:r w:rsidRPr="00CB0E2A">
        <w:rPr>
          <w:bCs/>
          <w:sz w:val="18"/>
          <w:szCs w:val="18"/>
        </w:rPr>
        <w:t xml:space="preserve"> working                                  70             3 (25%)        </w:t>
      </w:r>
      <w:r w:rsidR="00EE14A8">
        <w:rPr>
          <w:bCs/>
          <w:sz w:val="18"/>
          <w:szCs w:val="18"/>
        </w:rPr>
        <w:t xml:space="preserve"> </w:t>
      </w:r>
      <w:r w:rsidRPr="00CB0E2A">
        <w:rPr>
          <w:bCs/>
          <w:sz w:val="18"/>
          <w:szCs w:val="18"/>
        </w:rPr>
        <w:t xml:space="preserve">    4 (33.3%)               4 (33.3%) </w:t>
      </w:r>
    </w:p>
    <w:p w:rsidR="00763527" w:rsidRPr="00CB0E2A" w:rsidRDefault="00763527" w:rsidP="00153291">
      <w:pPr>
        <w:pBdr>
          <w:bottom w:val="single" w:sz="4" w:space="1" w:color="auto"/>
        </w:pBdr>
        <w:bidi w:val="0"/>
        <w:rPr>
          <w:bCs/>
          <w:sz w:val="18"/>
          <w:szCs w:val="18"/>
        </w:rPr>
      </w:pPr>
      <w:r w:rsidRPr="00CB0E2A">
        <w:rPr>
          <w:bCs/>
          <w:sz w:val="18"/>
          <w:szCs w:val="18"/>
        </w:rPr>
        <w:t xml:space="preserve">Moderate or severe disability                            50         </w:t>
      </w:r>
      <w:r w:rsidR="00EE14A8">
        <w:rPr>
          <w:bCs/>
          <w:sz w:val="18"/>
          <w:szCs w:val="18"/>
        </w:rPr>
        <w:t xml:space="preserve"> </w:t>
      </w:r>
      <w:r w:rsidRPr="00CB0E2A">
        <w:rPr>
          <w:bCs/>
          <w:sz w:val="18"/>
          <w:szCs w:val="18"/>
        </w:rPr>
        <w:t xml:space="preserve">   1 (8.3%)         </w:t>
      </w:r>
      <w:r w:rsidR="00EE14A8">
        <w:rPr>
          <w:bCs/>
          <w:sz w:val="18"/>
          <w:szCs w:val="18"/>
        </w:rPr>
        <w:t xml:space="preserve"> </w:t>
      </w:r>
      <w:r w:rsidRPr="00CB0E2A">
        <w:rPr>
          <w:bCs/>
          <w:sz w:val="18"/>
          <w:szCs w:val="18"/>
        </w:rPr>
        <w:t xml:space="preserve">  1 (8.4%)                 1(8.3%)</w:t>
      </w:r>
    </w:p>
    <w:p w:rsidR="00763527" w:rsidRPr="00CB0E2A" w:rsidRDefault="00763527" w:rsidP="00B6591E">
      <w:pPr>
        <w:pStyle w:val="Pa6"/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r w:rsidRPr="00CB0E2A">
        <w:rPr>
          <w:rFonts w:ascii="Times New Roman" w:hAnsi="Times New Roman"/>
          <w:color w:val="000000"/>
          <w:sz w:val="20"/>
          <w:szCs w:val="20"/>
        </w:rPr>
        <w:t xml:space="preserve">* There was no significant difference for patients that returned to work (KPS 80-100) for all evaluations (Chi-Square test, </w:t>
      </w:r>
      <w:proofErr w:type="spellStart"/>
      <w:proofErr w:type="gramStart"/>
      <w:r w:rsidRPr="00CB0E2A">
        <w:rPr>
          <w:rFonts w:ascii="Times New Roman" w:hAnsi="Times New Roman"/>
          <w:color w:val="000000"/>
          <w:sz w:val="20"/>
          <w:szCs w:val="20"/>
        </w:rPr>
        <w:t>df</w:t>
      </w:r>
      <w:proofErr w:type="spellEnd"/>
      <w:r w:rsidRPr="00CB0E2A">
        <w:rPr>
          <w:rFonts w:ascii="Times New Roman" w:hAnsi="Times New Roman"/>
          <w:color w:val="000000"/>
          <w:sz w:val="20"/>
          <w:szCs w:val="20"/>
        </w:rPr>
        <w:t>=</w:t>
      </w:r>
      <w:proofErr w:type="gramEnd"/>
      <w:r w:rsidRPr="00CB0E2A">
        <w:rPr>
          <w:rFonts w:ascii="Times New Roman" w:hAnsi="Times New Roman"/>
          <w:color w:val="000000"/>
          <w:sz w:val="20"/>
          <w:szCs w:val="20"/>
        </w:rPr>
        <w:t>2; p=0.2733).</w:t>
      </w:r>
    </w:p>
    <w:tbl>
      <w:tblPr>
        <w:tblW w:w="0" w:type="auto"/>
        <w:jc w:val="center"/>
        <w:tblLook w:val="04A0"/>
      </w:tblPr>
      <w:tblGrid>
        <w:gridCol w:w="9242"/>
      </w:tblGrid>
      <w:tr w:rsidR="005B0AF7" w:rsidRPr="00DC1F78" w:rsidTr="005A20B4">
        <w:trPr>
          <w:trHeight w:val="4186"/>
          <w:jc w:val="center"/>
        </w:trPr>
        <w:tc>
          <w:tcPr>
            <w:tcW w:w="9242" w:type="dxa"/>
          </w:tcPr>
          <w:p w:rsidR="005B0AF7" w:rsidRPr="00DC1F78" w:rsidRDefault="00E36AFB" w:rsidP="005A20B4">
            <w:pPr>
              <w:autoSpaceDE w:val="0"/>
              <w:autoSpaceDN w:val="0"/>
              <w:bidi w:val="0"/>
              <w:adjustRightInd w:val="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noProof/>
                <w:sz w:val="20"/>
                <w:szCs w:val="20"/>
              </w:rPr>
              <w:pict>
                <v:group id="_x0000_s1059" style="position:absolute;left:0;text-align:left;margin-left:24.55pt;margin-top:2.25pt;width:392.45pt;height:207.4pt;z-index:-251658240" coordorigin="2263,1286" coordsize="7849,501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0" type="#_x0000_t75" style="position:absolute;left:2263;top:1286;width:4051;height:4986">
                    <v:imagedata r:id="rId12" o:title=""/>
                  </v:shape>
                  <v:shape id="_x0000_s1061" type="#_x0000_t75" style="position:absolute;left:6061;top:1440;width:4051;height:4857">
                    <v:imagedata r:id="rId13" o:title=""/>
                  </v:shape>
                  <w10:wrap anchorx="page"/>
                </v:group>
              </w:pict>
            </w:r>
          </w:p>
        </w:tc>
      </w:tr>
    </w:tbl>
    <w:p w:rsidR="00806ACA" w:rsidRDefault="00806ACA" w:rsidP="00995545">
      <w:pPr>
        <w:autoSpaceDE w:val="0"/>
        <w:autoSpaceDN w:val="0"/>
        <w:bidi w:val="0"/>
        <w:adjustRightInd w:val="0"/>
        <w:jc w:val="both"/>
        <w:rPr>
          <w:b/>
          <w:bCs/>
          <w:sz w:val="18"/>
          <w:szCs w:val="18"/>
          <w:lang w:eastAsia="zh-CN"/>
        </w:rPr>
      </w:pPr>
      <w:r w:rsidRPr="00995545">
        <w:rPr>
          <w:b/>
          <w:bCs/>
          <w:sz w:val="18"/>
          <w:szCs w:val="18"/>
        </w:rPr>
        <w:t>Figure 1 a) Preoperative axial CT scan with contrast enhancement showing a large olfactory groove</w:t>
      </w:r>
      <w:r w:rsidR="00995545" w:rsidRPr="00995545">
        <w:rPr>
          <w:b/>
          <w:bCs/>
          <w:sz w:val="18"/>
          <w:szCs w:val="18"/>
        </w:rPr>
        <w:t xml:space="preserve"> </w:t>
      </w:r>
      <w:proofErr w:type="spellStart"/>
      <w:r w:rsidRPr="00995545">
        <w:rPr>
          <w:b/>
          <w:bCs/>
          <w:sz w:val="18"/>
          <w:szCs w:val="18"/>
        </w:rPr>
        <w:t>meningioma</w:t>
      </w:r>
      <w:proofErr w:type="spellEnd"/>
      <w:r w:rsidRPr="00995545">
        <w:rPr>
          <w:b/>
          <w:bCs/>
          <w:sz w:val="18"/>
          <w:szCs w:val="18"/>
        </w:rPr>
        <w:t xml:space="preserve"> in a 53 years old female, with mental and visual disturbances b) Postoperative contrast axial CT scan after tumor removal through the </w:t>
      </w:r>
      <w:proofErr w:type="spellStart"/>
      <w:r w:rsidRPr="00995545">
        <w:rPr>
          <w:b/>
          <w:bCs/>
          <w:sz w:val="18"/>
          <w:szCs w:val="18"/>
        </w:rPr>
        <w:t>bifrontal</w:t>
      </w:r>
      <w:proofErr w:type="spellEnd"/>
      <w:r w:rsidRPr="00995545">
        <w:rPr>
          <w:b/>
          <w:bCs/>
          <w:sz w:val="18"/>
          <w:szCs w:val="18"/>
        </w:rPr>
        <w:t xml:space="preserve"> approach.</w:t>
      </w:r>
    </w:p>
    <w:p w:rsidR="00153291" w:rsidRPr="00995545" w:rsidRDefault="00153291" w:rsidP="00153291">
      <w:pPr>
        <w:autoSpaceDE w:val="0"/>
        <w:autoSpaceDN w:val="0"/>
        <w:bidi w:val="0"/>
        <w:adjustRightInd w:val="0"/>
        <w:jc w:val="both"/>
        <w:rPr>
          <w:b/>
          <w:bCs/>
          <w:sz w:val="18"/>
          <w:szCs w:val="18"/>
          <w:lang w:eastAsia="zh-CN"/>
        </w:rPr>
      </w:pPr>
    </w:p>
    <w:tbl>
      <w:tblPr>
        <w:tblW w:w="0" w:type="auto"/>
        <w:jc w:val="center"/>
        <w:tblLook w:val="04A0"/>
      </w:tblPr>
      <w:tblGrid>
        <w:gridCol w:w="9242"/>
      </w:tblGrid>
      <w:tr w:rsidR="005B0AF7" w:rsidRPr="00DC1F78" w:rsidTr="005A20B4">
        <w:trPr>
          <w:trHeight w:val="3760"/>
          <w:jc w:val="center"/>
        </w:trPr>
        <w:tc>
          <w:tcPr>
            <w:tcW w:w="9242" w:type="dxa"/>
          </w:tcPr>
          <w:p w:rsidR="005B0AF7" w:rsidRPr="00DC1F78" w:rsidRDefault="00E36AFB" w:rsidP="005A20B4">
            <w:pPr>
              <w:bidi w:val="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noProof/>
                <w:sz w:val="20"/>
                <w:szCs w:val="20"/>
              </w:rPr>
              <w:pict>
                <v:group id="_x0000_s1056" style="position:absolute;margin-left:27.75pt;margin-top:2.9pt;width:397.5pt;height:183pt;z-index:-251659264" coordorigin="1860,11956" coordsize="2760,1305">
                  <v:shape id="_x0000_s1057" type="#_x0000_t75" style="position:absolute;left:1860;top:11956;width:1440;height:1305">
                    <v:imagedata r:id="rId14" o:title="9"/>
                  </v:shape>
                  <v:shape id="_x0000_s1058" type="#_x0000_t75" style="position:absolute;left:3300;top:11956;width:1320;height:1305">
                    <v:imagedata r:id="rId15" o:title="10"/>
                  </v:shape>
                  <w10:wrap anchorx="page"/>
                </v:group>
              </w:pict>
            </w:r>
          </w:p>
        </w:tc>
      </w:tr>
    </w:tbl>
    <w:p w:rsidR="000D5102" w:rsidRDefault="002B1D40" w:rsidP="005B0AF7">
      <w:pPr>
        <w:bidi w:val="0"/>
        <w:jc w:val="center"/>
        <w:rPr>
          <w:bCs/>
          <w:sz w:val="20"/>
          <w:szCs w:val="20"/>
        </w:rPr>
      </w:pPr>
      <w:proofErr w:type="gramStart"/>
      <w:r w:rsidRPr="00CB0E2A">
        <w:rPr>
          <w:b/>
          <w:bCs/>
          <w:sz w:val="20"/>
          <w:szCs w:val="20"/>
        </w:rPr>
        <w:t xml:space="preserve">Figure </w:t>
      </w:r>
      <w:r w:rsidRPr="00CB0E2A">
        <w:rPr>
          <w:b/>
          <w:sz w:val="20"/>
          <w:szCs w:val="20"/>
        </w:rPr>
        <w:t>2</w:t>
      </w:r>
      <w:r w:rsidR="009520A4">
        <w:rPr>
          <w:b/>
          <w:sz w:val="20"/>
          <w:szCs w:val="20"/>
        </w:rPr>
        <w:t>.</w:t>
      </w:r>
      <w:proofErr w:type="gramEnd"/>
      <w:r w:rsidRPr="00CB0E2A">
        <w:rPr>
          <w:bCs/>
          <w:sz w:val="20"/>
          <w:szCs w:val="20"/>
        </w:rPr>
        <w:t xml:space="preserve"> P</w:t>
      </w:r>
      <w:r w:rsidR="000D5102" w:rsidRPr="00CB0E2A">
        <w:rPr>
          <w:bCs/>
          <w:sz w:val="20"/>
          <w:szCs w:val="20"/>
        </w:rPr>
        <w:t>re</w:t>
      </w:r>
      <w:r w:rsidRPr="00CB0E2A">
        <w:rPr>
          <w:bCs/>
          <w:sz w:val="20"/>
          <w:szCs w:val="20"/>
        </w:rPr>
        <w:t xml:space="preserve"> and postoperative MRI </w:t>
      </w:r>
      <w:proofErr w:type="spellStart"/>
      <w:r w:rsidRPr="00CB0E2A">
        <w:rPr>
          <w:bCs/>
          <w:sz w:val="20"/>
          <w:szCs w:val="20"/>
        </w:rPr>
        <w:t>sagital</w:t>
      </w:r>
      <w:proofErr w:type="spellEnd"/>
      <w:r w:rsidRPr="00CB0E2A">
        <w:rPr>
          <w:bCs/>
          <w:sz w:val="20"/>
          <w:szCs w:val="20"/>
        </w:rPr>
        <w:t xml:space="preserve"> cuts</w:t>
      </w:r>
    </w:p>
    <w:p w:rsidR="009E4DD0" w:rsidRDefault="009E4DD0" w:rsidP="009E4DD0">
      <w:pPr>
        <w:shd w:val="clear" w:color="auto" w:fill="F5F5F5"/>
        <w:bidi w:val="0"/>
        <w:jc w:val="lowKashida"/>
        <w:textAlignment w:val="top"/>
        <w:rPr>
          <w:sz w:val="20"/>
          <w:szCs w:val="20"/>
          <w:lang w:eastAsia="zh-CN"/>
        </w:rPr>
      </w:pPr>
    </w:p>
    <w:p w:rsidR="00153291" w:rsidRDefault="00153291" w:rsidP="00153291">
      <w:pPr>
        <w:bidi w:val="0"/>
        <w:jc w:val="both"/>
        <w:rPr>
          <w:b/>
          <w:bCs/>
          <w:sz w:val="20"/>
          <w:szCs w:val="20"/>
        </w:rPr>
        <w:sectPr w:rsidR="00153291" w:rsidSect="003C456B">
          <w:type w:val="continuous"/>
          <w:pgSz w:w="12242" w:h="15842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153291" w:rsidRPr="00E3128F" w:rsidRDefault="00153291" w:rsidP="00153291">
      <w:pPr>
        <w:bidi w:val="0"/>
        <w:jc w:val="both"/>
        <w:rPr>
          <w:b/>
          <w:bCs/>
          <w:sz w:val="20"/>
          <w:szCs w:val="20"/>
        </w:rPr>
      </w:pPr>
      <w:r w:rsidRPr="00E3128F">
        <w:rPr>
          <w:b/>
          <w:bCs/>
          <w:sz w:val="20"/>
          <w:szCs w:val="20"/>
        </w:rPr>
        <w:lastRenderedPageBreak/>
        <w:t>Morbidity:</w:t>
      </w:r>
    </w:p>
    <w:p w:rsidR="00153291" w:rsidRPr="00E3128F" w:rsidRDefault="00153291" w:rsidP="00153291">
      <w:pPr>
        <w:bidi w:val="0"/>
        <w:ind w:firstLine="426"/>
        <w:jc w:val="both"/>
        <w:rPr>
          <w:sz w:val="20"/>
          <w:szCs w:val="20"/>
        </w:rPr>
      </w:pPr>
      <w:r w:rsidRPr="00E3128F">
        <w:rPr>
          <w:sz w:val="20"/>
          <w:szCs w:val="20"/>
        </w:rPr>
        <w:t xml:space="preserve">One patient had a postoperative </w:t>
      </w:r>
      <w:proofErr w:type="spellStart"/>
      <w:r w:rsidRPr="00E3128F">
        <w:rPr>
          <w:sz w:val="20"/>
          <w:szCs w:val="20"/>
        </w:rPr>
        <w:t>intracerebral</w:t>
      </w:r>
      <w:proofErr w:type="spellEnd"/>
      <w:r w:rsidRPr="00E3128F">
        <w:rPr>
          <w:sz w:val="20"/>
          <w:szCs w:val="20"/>
        </w:rPr>
        <w:t xml:space="preserve"> hemorrhage after surgery and has a permanent dysphasia and hemi paresis. Visual deterioration occurred in 2 patients. </w:t>
      </w:r>
    </w:p>
    <w:p w:rsidR="00153291" w:rsidRPr="00E3128F" w:rsidRDefault="00153291" w:rsidP="00153291">
      <w:pPr>
        <w:bidi w:val="0"/>
        <w:rPr>
          <w:b/>
          <w:bCs/>
          <w:sz w:val="20"/>
          <w:szCs w:val="20"/>
        </w:rPr>
      </w:pPr>
      <w:r w:rsidRPr="00E3128F">
        <w:rPr>
          <w:b/>
          <w:bCs/>
          <w:sz w:val="20"/>
          <w:szCs w:val="20"/>
        </w:rPr>
        <w:t>Postoperative functional outcome:</w:t>
      </w:r>
    </w:p>
    <w:p w:rsidR="00153291" w:rsidRDefault="00153291" w:rsidP="00153291">
      <w:pPr>
        <w:tabs>
          <w:tab w:val="right" w:pos="284"/>
        </w:tabs>
        <w:bidi w:val="0"/>
        <w:ind w:firstLine="426"/>
        <w:jc w:val="both"/>
        <w:rPr>
          <w:sz w:val="20"/>
          <w:szCs w:val="20"/>
          <w:lang w:eastAsia="zh-CN"/>
        </w:rPr>
      </w:pPr>
      <w:r w:rsidRPr="00E3128F">
        <w:rPr>
          <w:i/>
          <w:iCs/>
          <w:sz w:val="20"/>
          <w:szCs w:val="20"/>
        </w:rPr>
        <w:t xml:space="preserve"> </w:t>
      </w:r>
      <w:r w:rsidRPr="00E3128F">
        <w:rPr>
          <w:sz w:val="20"/>
          <w:szCs w:val="20"/>
        </w:rPr>
        <w:t>Preoperative, immediate postoperative and follow-up func</w:t>
      </w:r>
      <w:r w:rsidRPr="00E3128F">
        <w:rPr>
          <w:sz w:val="20"/>
          <w:szCs w:val="20"/>
        </w:rPr>
        <w:softHyphen/>
        <w:t>tional disabilities assessed by KPS are presented in (Table5)</w:t>
      </w:r>
      <w:r w:rsidRPr="00E3128F">
        <w:rPr>
          <w:b/>
          <w:sz w:val="20"/>
          <w:szCs w:val="20"/>
        </w:rPr>
        <w:t>,</w:t>
      </w:r>
      <w:r w:rsidRPr="00E3128F">
        <w:rPr>
          <w:sz w:val="20"/>
          <w:szCs w:val="20"/>
        </w:rPr>
        <w:t xml:space="preserve"> </w:t>
      </w:r>
      <w:proofErr w:type="gramStart"/>
      <w:r w:rsidRPr="00E3128F">
        <w:rPr>
          <w:sz w:val="20"/>
          <w:szCs w:val="20"/>
        </w:rPr>
        <w:t>The</w:t>
      </w:r>
      <w:proofErr w:type="gramEnd"/>
      <w:r w:rsidRPr="00E3128F">
        <w:rPr>
          <w:sz w:val="20"/>
          <w:szCs w:val="20"/>
        </w:rPr>
        <w:t xml:space="preserve"> scores were similar (Chi-Square test, </w:t>
      </w:r>
      <w:proofErr w:type="spellStart"/>
      <w:r w:rsidRPr="00E3128F">
        <w:rPr>
          <w:sz w:val="20"/>
          <w:szCs w:val="20"/>
        </w:rPr>
        <w:t>df</w:t>
      </w:r>
      <w:proofErr w:type="spellEnd"/>
      <w:r w:rsidRPr="00E3128F">
        <w:rPr>
          <w:sz w:val="20"/>
          <w:szCs w:val="20"/>
        </w:rPr>
        <w:t xml:space="preserve">=2, </w:t>
      </w:r>
      <w:r w:rsidRPr="00E3128F">
        <w:rPr>
          <w:i/>
          <w:iCs/>
          <w:sz w:val="20"/>
          <w:szCs w:val="20"/>
        </w:rPr>
        <w:t>p</w:t>
      </w:r>
      <w:r w:rsidRPr="00E3128F">
        <w:rPr>
          <w:sz w:val="20"/>
          <w:szCs w:val="20"/>
        </w:rPr>
        <w:t>=0.2733), for patients that returned to work (KPS 80-100)</w:t>
      </w:r>
    </w:p>
    <w:p w:rsidR="00153291" w:rsidRDefault="00153291" w:rsidP="00995545">
      <w:pPr>
        <w:bidi w:val="0"/>
        <w:rPr>
          <w:b/>
          <w:sz w:val="20"/>
          <w:szCs w:val="20"/>
          <w:lang w:eastAsia="zh-CN"/>
        </w:rPr>
      </w:pPr>
    </w:p>
    <w:p w:rsidR="00995545" w:rsidRPr="00E3128F" w:rsidRDefault="00995545" w:rsidP="00153291">
      <w:pPr>
        <w:bidi w:val="0"/>
        <w:rPr>
          <w:b/>
          <w:sz w:val="20"/>
          <w:szCs w:val="20"/>
        </w:rPr>
      </w:pPr>
      <w:r w:rsidRPr="00E3128F">
        <w:rPr>
          <w:b/>
          <w:sz w:val="20"/>
          <w:szCs w:val="20"/>
        </w:rPr>
        <w:t>4. Discussion</w:t>
      </w:r>
    </w:p>
    <w:p w:rsidR="00995545" w:rsidRPr="00E3128F" w:rsidRDefault="00995545" w:rsidP="00995545">
      <w:pPr>
        <w:shd w:val="clear" w:color="auto" w:fill="F5F5F5"/>
        <w:bidi w:val="0"/>
        <w:ind w:firstLine="426"/>
        <w:jc w:val="lowKashida"/>
        <w:textAlignment w:val="top"/>
        <w:rPr>
          <w:sz w:val="20"/>
          <w:szCs w:val="20"/>
        </w:rPr>
      </w:pPr>
      <w:r w:rsidRPr="00E3128F">
        <w:rPr>
          <w:sz w:val="20"/>
          <w:szCs w:val="20"/>
        </w:rPr>
        <w:t xml:space="preserve">The first complete resection of an olfactory groove </w:t>
      </w:r>
      <w:proofErr w:type="spellStart"/>
      <w:proofErr w:type="gramStart"/>
      <w:r w:rsidRPr="00E3128F">
        <w:rPr>
          <w:sz w:val="20"/>
          <w:szCs w:val="20"/>
        </w:rPr>
        <w:t>meningioma</w:t>
      </w:r>
      <w:proofErr w:type="spellEnd"/>
      <w:r w:rsidRPr="00E3128F">
        <w:rPr>
          <w:sz w:val="20"/>
          <w:szCs w:val="20"/>
        </w:rPr>
        <w:t>,</w:t>
      </w:r>
      <w:proofErr w:type="gramEnd"/>
      <w:r w:rsidRPr="00E3128F">
        <w:rPr>
          <w:sz w:val="20"/>
          <w:szCs w:val="20"/>
        </w:rPr>
        <w:t xml:space="preserve"> was done by </w:t>
      </w:r>
      <w:r w:rsidRPr="00E3128F">
        <w:rPr>
          <w:b/>
          <w:bCs/>
          <w:sz w:val="20"/>
          <w:szCs w:val="20"/>
        </w:rPr>
        <w:t>Francis</w:t>
      </w:r>
      <w:r w:rsidRPr="00E3128F">
        <w:rPr>
          <w:sz w:val="20"/>
          <w:szCs w:val="20"/>
        </w:rPr>
        <w:t xml:space="preserve"> in 1895 (4). Cushing published later resection of these lesions in 28 patients in classic work on </w:t>
      </w:r>
      <w:proofErr w:type="spellStart"/>
      <w:r w:rsidRPr="00E3128F">
        <w:rPr>
          <w:sz w:val="20"/>
          <w:szCs w:val="20"/>
        </w:rPr>
        <w:t>meningiomas</w:t>
      </w:r>
      <w:proofErr w:type="spellEnd"/>
      <w:r w:rsidRPr="00E3128F">
        <w:rPr>
          <w:sz w:val="20"/>
          <w:szCs w:val="20"/>
        </w:rPr>
        <w:t xml:space="preserve"> with </w:t>
      </w:r>
      <w:r w:rsidRPr="00E3128F">
        <w:rPr>
          <w:b/>
          <w:bCs/>
          <w:sz w:val="20"/>
          <w:szCs w:val="20"/>
        </w:rPr>
        <w:t xml:space="preserve">Louise </w:t>
      </w:r>
      <w:proofErr w:type="spellStart"/>
      <w:r w:rsidRPr="00E3128F">
        <w:rPr>
          <w:b/>
          <w:bCs/>
          <w:sz w:val="20"/>
          <w:szCs w:val="20"/>
        </w:rPr>
        <w:t>Eisenhardt</w:t>
      </w:r>
      <w:proofErr w:type="spellEnd"/>
      <w:r w:rsidRPr="00E3128F">
        <w:rPr>
          <w:sz w:val="20"/>
          <w:szCs w:val="20"/>
        </w:rPr>
        <w:t xml:space="preserve"> collaboration (4). In 1938 </w:t>
      </w:r>
      <w:proofErr w:type="spellStart"/>
      <w:r w:rsidRPr="00E3128F">
        <w:rPr>
          <w:b/>
          <w:bCs/>
          <w:sz w:val="20"/>
          <w:szCs w:val="20"/>
        </w:rPr>
        <w:t>Tonnis</w:t>
      </w:r>
      <w:proofErr w:type="spellEnd"/>
      <w:r w:rsidRPr="00E3128F">
        <w:rPr>
          <w:sz w:val="20"/>
          <w:szCs w:val="20"/>
        </w:rPr>
        <w:t xml:space="preserve"> line described an approach </w:t>
      </w:r>
      <w:proofErr w:type="spellStart"/>
      <w:r w:rsidRPr="00E3128F">
        <w:rPr>
          <w:sz w:val="20"/>
          <w:szCs w:val="20"/>
        </w:rPr>
        <w:t>fronto</w:t>
      </w:r>
      <w:proofErr w:type="spellEnd"/>
      <w:r w:rsidRPr="00E3128F">
        <w:rPr>
          <w:sz w:val="20"/>
          <w:szCs w:val="20"/>
        </w:rPr>
        <w:t>-orbital half-section of the breast longitudinal top and front of the sickle for exposure of tumors in this region. After these initial experiences several authors as</w:t>
      </w:r>
      <w:r w:rsidRPr="00E3128F">
        <w:rPr>
          <w:b/>
          <w:bCs/>
          <w:sz w:val="20"/>
          <w:szCs w:val="20"/>
        </w:rPr>
        <w:t xml:space="preserve"> </w:t>
      </w:r>
      <w:proofErr w:type="spellStart"/>
      <w:r w:rsidRPr="00E3128F">
        <w:rPr>
          <w:b/>
          <w:bCs/>
          <w:sz w:val="20"/>
          <w:szCs w:val="20"/>
        </w:rPr>
        <w:t>Derome</w:t>
      </w:r>
      <w:proofErr w:type="spellEnd"/>
      <w:r w:rsidRPr="00E3128F">
        <w:rPr>
          <w:sz w:val="20"/>
          <w:szCs w:val="20"/>
        </w:rPr>
        <w:t xml:space="preserve"> (5), </w:t>
      </w:r>
      <w:proofErr w:type="spellStart"/>
      <w:r w:rsidRPr="00E3128F">
        <w:rPr>
          <w:b/>
          <w:bCs/>
          <w:sz w:val="20"/>
          <w:szCs w:val="20"/>
        </w:rPr>
        <w:t>Symon</w:t>
      </w:r>
      <w:proofErr w:type="spellEnd"/>
      <w:r w:rsidRPr="00E3128F">
        <w:rPr>
          <w:sz w:val="20"/>
          <w:szCs w:val="20"/>
        </w:rPr>
        <w:t xml:space="preserve"> (6), </w:t>
      </w:r>
      <w:proofErr w:type="spellStart"/>
      <w:r w:rsidRPr="00E3128F">
        <w:rPr>
          <w:b/>
          <w:bCs/>
          <w:sz w:val="20"/>
          <w:szCs w:val="20"/>
        </w:rPr>
        <w:t>Ojemann</w:t>
      </w:r>
      <w:proofErr w:type="spellEnd"/>
      <w:r w:rsidRPr="00E3128F">
        <w:rPr>
          <w:sz w:val="20"/>
          <w:szCs w:val="20"/>
        </w:rPr>
        <w:t xml:space="preserve"> (7) or </w:t>
      </w:r>
      <w:proofErr w:type="spellStart"/>
      <w:r w:rsidRPr="00E3128F">
        <w:rPr>
          <w:b/>
          <w:bCs/>
          <w:sz w:val="20"/>
          <w:szCs w:val="20"/>
        </w:rPr>
        <w:t>Solero</w:t>
      </w:r>
      <w:proofErr w:type="spellEnd"/>
      <w:r w:rsidRPr="00E3128F">
        <w:rPr>
          <w:sz w:val="20"/>
          <w:szCs w:val="20"/>
        </w:rPr>
        <w:t xml:space="preserve"> (8), have published their results.</w:t>
      </w:r>
    </w:p>
    <w:p w:rsidR="00356F21" w:rsidRPr="00E3128F" w:rsidRDefault="00414A71" w:rsidP="00995545">
      <w:pPr>
        <w:shd w:val="clear" w:color="auto" w:fill="F5F5F5"/>
        <w:bidi w:val="0"/>
        <w:ind w:firstLine="426"/>
        <w:jc w:val="lowKashida"/>
        <w:textAlignment w:val="top"/>
        <w:rPr>
          <w:sz w:val="20"/>
          <w:szCs w:val="20"/>
        </w:rPr>
      </w:pPr>
      <w:r w:rsidRPr="00E3128F">
        <w:rPr>
          <w:sz w:val="20"/>
          <w:szCs w:val="20"/>
        </w:rPr>
        <w:t xml:space="preserve">The olfactory groove </w:t>
      </w:r>
      <w:proofErr w:type="spellStart"/>
      <w:r w:rsidR="00CC7EDD" w:rsidRPr="00E3128F">
        <w:rPr>
          <w:sz w:val="20"/>
          <w:szCs w:val="20"/>
        </w:rPr>
        <w:t>meningioma</w:t>
      </w:r>
      <w:proofErr w:type="spellEnd"/>
      <w:r w:rsidR="00CC7EDD" w:rsidRPr="00E3128F">
        <w:rPr>
          <w:sz w:val="20"/>
          <w:szCs w:val="20"/>
        </w:rPr>
        <w:t xml:space="preserve"> arises</w:t>
      </w:r>
      <w:r w:rsidRPr="00E3128F">
        <w:rPr>
          <w:sz w:val="20"/>
          <w:szCs w:val="20"/>
        </w:rPr>
        <w:t xml:space="preserve"> in the midline of the anterior skull </w:t>
      </w:r>
      <w:proofErr w:type="spellStart"/>
      <w:r w:rsidRPr="00E3128F">
        <w:rPr>
          <w:sz w:val="20"/>
          <w:szCs w:val="20"/>
        </w:rPr>
        <w:t>fossa</w:t>
      </w:r>
      <w:proofErr w:type="spellEnd"/>
      <w:r w:rsidRPr="00E3128F">
        <w:rPr>
          <w:sz w:val="20"/>
          <w:szCs w:val="20"/>
        </w:rPr>
        <w:t xml:space="preserve"> on the </w:t>
      </w:r>
      <w:proofErr w:type="spellStart"/>
      <w:r w:rsidRPr="00E3128F">
        <w:rPr>
          <w:sz w:val="20"/>
          <w:szCs w:val="20"/>
        </w:rPr>
        <w:t>cribriform</w:t>
      </w:r>
      <w:proofErr w:type="spellEnd"/>
      <w:r w:rsidRPr="00E3128F">
        <w:rPr>
          <w:sz w:val="20"/>
          <w:szCs w:val="20"/>
        </w:rPr>
        <w:t xml:space="preserve"> plate of the </w:t>
      </w:r>
      <w:proofErr w:type="spellStart"/>
      <w:r w:rsidRPr="00E3128F">
        <w:rPr>
          <w:sz w:val="20"/>
          <w:szCs w:val="20"/>
        </w:rPr>
        <w:t>ethmoid</w:t>
      </w:r>
      <w:proofErr w:type="spellEnd"/>
      <w:r w:rsidRPr="00E3128F">
        <w:rPr>
          <w:sz w:val="20"/>
          <w:szCs w:val="20"/>
        </w:rPr>
        <w:t xml:space="preserve"> near the </w:t>
      </w:r>
      <w:proofErr w:type="spellStart"/>
      <w:r w:rsidRPr="00E3128F">
        <w:rPr>
          <w:sz w:val="20"/>
          <w:szCs w:val="20"/>
        </w:rPr>
        <w:t>fronto</w:t>
      </w:r>
      <w:proofErr w:type="spellEnd"/>
      <w:r w:rsidRPr="00E3128F">
        <w:rPr>
          <w:sz w:val="20"/>
          <w:szCs w:val="20"/>
        </w:rPr>
        <w:t xml:space="preserve">-sphenoid suture. It may arise in this region at any area from the </w:t>
      </w:r>
      <w:proofErr w:type="spellStart"/>
      <w:r w:rsidRPr="00E3128F">
        <w:rPr>
          <w:sz w:val="20"/>
          <w:szCs w:val="20"/>
        </w:rPr>
        <w:t>crista</w:t>
      </w:r>
      <w:proofErr w:type="spellEnd"/>
      <w:r w:rsidRPr="00E3128F">
        <w:rPr>
          <w:sz w:val="20"/>
          <w:szCs w:val="20"/>
        </w:rPr>
        <w:t xml:space="preserve"> </w:t>
      </w:r>
      <w:proofErr w:type="spellStart"/>
      <w:r w:rsidR="00CC7EDD" w:rsidRPr="00E3128F">
        <w:rPr>
          <w:sz w:val="20"/>
          <w:szCs w:val="20"/>
        </w:rPr>
        <w:t>gali</w:t>
      </w:r>
      <w:proofErr w:type="spellEnd"/>
      <w:r w:rsidRPr="00E3128F">
        <w:rPr>
          <w:sz w:val="20"/>
          <w:szCs w:val="20"/>
        </w:rPr>
        <w:t xml:space="preserve"> to the </w:t>
      </w:r>
      <w:proofErr w:type="spellStart"/>
      <w:r w:rsidRPr="00E3128F">
        <w:rPr>
          <w:sz w:val="20"/>
          <w:szCs w:val="20"/>
        </w:rPr>
        <w:t>planum</w:t>
      </w:r>
      <w:proofErr w:type="spellEnd"/>
      <w:r w:rsidRPr="00E3128F">
        <w:rPr>
          <w:sz w:val="20"/>
          <w:szCs w:val="20"/>
        </w:rPr>
        <w:t xml:space="preserve"> </w:t>
      </w:r>
      <w:proofErr w:type="spellStart"/>
      <w:r w:rsidR="00F90457" w:rsidRPr="00E3128F">
        <w:rPr>
          <w:sz w:val="20"/>
          <w:szCs w:val="20"/>
        </w:rPr>
        <w:t>sphenoidal</w:t>
      </w:r>
      <w:proofErr w:type="spellEnd"/>
      <w:r w:rsidR="00F90457" w:rsidRPr="00E3128F">
        <w:rPr>
          <w:sz w:val="20"/>
          <w:szCs w:val="20"/>
        </w:rPr>
        <w:t xml:space="preserve"> (9</w:t>
      </w:r>
      <w:r w:rsidRPr="00E3128F">
        <w:rPr>
          <w:sz w:val="20"/>
          <w:szCs w:val="20"/>
        </w:rPr>
        <w:t xml:space="preserve">). Often they cause tumor hyperostosis in the bone where it arises, and in up to 15% of cases may grow through </w:t>
      </w:r>
      <w:r w:rsidR="00F90457" w:rsidRPr="00E3128F">
        <w:rPr>
          <w:sz w:val="20"/>
          <w:szCs w:val="20"/>
        </w:rPr>
        <w:t xml:space="preserve">bone in the </w:t>
      </w:r>
      <w:proofErr w:type="spellStart"/>
      <w:r w:rsidR="00F90457" w:rsidRPr="00E3128F">
        <w:rPr>
          <w:sz w:val="20"/>
          <w:szCs w:val="20"/>
        </w:rPr>
        <w:t>ethmoid</w:t>
      </w:r>
      <w:proofErr w:type="spellEnd"/>
      <w:r w:rsidR="00F90457" w:rsidRPr="00E3128F">
        <w:rPr>
          <w:sz w:val="20"/>
          <w:szCs w:val="20"/>
        </w:rPr>
        <w:t xml:space="preserve"> sinus (10</w:t>
      </w:r>
      <w:r w:rsidRPr="00E3128F">
        <w:rPr>
          <w:sz w:val="20"/>
          <w:szCs w:val="20"/>
        </w:rPr>
        <w:t xml:space="preserve">). The blood supply comes from these lesions of the anterior </w:t>
      </w:r>
      <w:proofErr w:type="spellStart"/>
      <w:r w:rsidRPr="00E3128F">
        <w:rPr>
          <w:sz w:val="20"/>
          <w:szCs w:val="20"/>
        </w:rPr>
        <w:t>ethmoid</w:t>
      </w:r>
      <w:proofErr w:type="spellEnd"/>
      <w:r w:rsidRPr="00E3128F">
        <w:rPr>
          <w:sz w:val="20"/>
          <w:szCs w:val="20"/>
        </w:rPr>
        <w:t xml:space="preserve"> artery and subsequent branches of the artery above middle </w:t>
      </w:r>
      <w:proofErr w:type="spellStart"/>
      <w:r w:rsidRPr="00E3128F">
        <w:rPr>
          <w:sz w:val="20"/>
          <w:szCs w:val="20"/>
        </w:rPr>
        <w:t>meningeal</w:t>
      </w:r>
      <w:proofErr w:type="spellEnd"/>
      <w:r w:rsidRPr="00E3128F">
        <w:rPr>
          <w:sz w:val="20"/>
          <w:szCs w:val="20"/>
        </w:rPr>
        <w:t xml:space="preserve"> and </w:t>
      </w:r>
      <w:proofErr w:type="spellStart"/>
      <w:r w:rsidRPr="00E3128F">
        <w:rPr>
          <w:sz w:val="20"/>
          <w:szCs w:val="20"/>
        </w:rPr>
        <w:t>meningeal</w:t>
      </w:r>
      <w:proofErr w:type="spellEnd"/>
      <w:r w:rsidRPr="00E3128F">
        <w:rPr>
          <w:sz w:val="20"/>
          <w:szCs w:val="20"/>
        </w:rPr>
        <w:t xml:space="preserve"> branches of the ophthalmic artery. According to the tumor will</w:t>
      </w:r>
      <w:r w:rsidR="00614446" w:rsidRPr="00E3128F">
        <w:rPr>
          <w:sz w:val="20"/>
          <w:szCs w:val="20"/>
        </w:rPr>
        <w:t xml:space="preserve"> </w:t>
      </w:r>
      <w:r w:rsidRPr="00E3128F">
        <w:rPr>
          <w:sz w:val="20"/>
          <w:szCs w:val="20"/>
        </w:rPr>
        <w:t xml:space="preserve">increasing in size, can also </w:t>
      </w:r>
      <w:proofErr w:type="spellStart"/>
      <w:r w:rsidRPr="00E3128F">
        <w:rPr>
          <w:sz w:val="20"/>
          <w:szCs w:val="20"/>
        </w:rPr>
        <w:t>vascularization</w:t>
      </w:r>
      <w:proofErr w:type="spellEnd"/>
      <w:r w:rsidRPr="00E3128F">
        <w:rPr>
          <w:sz w:val="20"/>
          <w:szCs w:val="20"/>
        </w:rPr>
        <w:t xml:space="preserve"> </w:t>
      </w:r>
      <w:r w:rsidRPr="00E3128F">
        <w:rPr>
          <w:sz w:val="20"/>
          <w:szCs w:val="20"/>
        </w:rPr>
        <w:lastRenderedPageBreak/>
        <w:t>receive small branches of</w:t>
      </w:r>
      <w:r w:rsidR="00614446" w:rsidRPr="00E3128F">
        <w:rPr>
          <w:sz w:val="20"/>
          <w:szCs w:val="20"/>
        </w:rPr>
        <w:t xml:space="preserve"> </w:t>
      </w:r>
      <w:r w:rsidRPr="00E3128F">
        <w:rPr>
          <w:sz w:val="20"/>
          <w:szCs w:val="20"/>
        </w:rPr>
        <w:t xml:space="preserve">anterior cerebral artery and the anterior communicating artery </w:t>
      </w:r>
      <w:r w:rsidR="00F90457" w:rsidRPr="00E3128F">
        <w:rPr>
          <w:sz w:val="20"/>
          <w:szCs w:val="20"/>
        </w:rPr>
        <w:t>(11</w:t>
      </w:r>
      <w:r w:rsidRPr="00E3128F">
        <w:rPr>
          <w:sz w:val="20"/>
          <w:szCs w:val="20"/>
        </w:rPr>
        <w:t>)</w:t>
      </w:r>
      <w:proofErr w:type="gramStart"/>
      <w:r w:rsidR="00356F21" w:rsidRPr="00E3128F">
        <w:rPr>
          <w:sz w:val="20"/>
          <w:szCs w:val="20"/>
        </w:rPr>
        <w:t>.</w:t>
      </w:r>
      <w:proofErr w:type="gramEnd"/>
    </w:p>
    <w:p w:rsidR="00356F21" w:rsidRPr="00E3128F" w:rsidRDefault="00414A71" w:rsidP="009E4DD0">
      <w:pPr>
        <w:shd w:val="clear" w:color="auto" w:fill="F5F5F5"/>
        <w:bidi w:val="0"/>
        <w:ind w:firstLine="426"/>
        <w:jc w:val="lowKashida"/>
        <w:textAlignment w:val="top"/>
        <w:rPr>
          <w:sz w:val="20"/>
          <w:szCs w:val="20"/>
        </w:rPr>
      </w:pPr>
      <w:r w:rsidRPr="00E3128F">
        <w:rPr>
          <w:sz w:val="20"/>
          <w:szCs w:val="20"/>
        </w:rPr>
        <w:t xml:space="preserve">There are similarities between the </w:t>
      </w:r>
      <w:proofErr w:type="gramStart"/>
      <w:r w:rsidRPr="00E3128F">
        <w:rPr>
          <w:sz w:val="20"/>
          <w:szCs w:val="20"/>
        </w:rPr>
        <w:t>Olfactory</w:t>
      </w:r>
      <w:proofErr w:type="gramEnd"/>
      <w:r w:rsidRPr="00E3128F">
        <w:rPr>
          <w:sz w:val="20"/>
          <w:szCs w:val="20"/>
        </w:rPr>
        <w:t xml:space="preserve"> groove </w:t>
      </w:r>
      <w:proofErr w:type="spellStart"/>
      <w:r w:rsidRPr="00E3128F">
        <w:rPr>
          <w:sz w:val="20"/>
          <w:szCs w:val="20"/>
        </w:rPr>
        <w:t>meningiomas</w:t>
      </w:r>
      <w:proofErr w:type="spellEnd"/>
      <w:r w:rsidRPr="00E3128F">
        <w:rPr>
          <w:sz w:val="20"/>
          <w:szCs w:val="20"/>
        </w:rPr>
        <w:t xml:space="preserve"> with rear extension and </w:t>
      </w:r>
      <w:proofErr w:type="spellStart"/>
      <w:r w:rsidRPr="00E3128F">
        <w:rPr>
          <w:sz w:val="20"/>
          <w:szCs w:val="20"/>
        </w:rPr>
        <w:t>tuberculum</w:t>
      </w:r>
      <w:proofErr w:type="spellEnd"/>
      <w:r w:rsidRPr="00E3128F">
        <w:rPr>
          <w:sz w:val="20"/>
          <w:szCs w:val="20"/>
        </w:rPr>
        <w:t xml:space="preserve"> </w:t>
      </w:r>
      <w:proofErr w:type="spellStart"/>
      <w:r w:rsidRPr="00E3128F">
        <w:rPr>
          <w:sz w:val="20"/>
          <w:szCs w:val="20"/>
        </w:rPr>
        <w:t>selle</w:t>
      </w:r>
      <w:proofErr w:type="spellEnd"/>
      <w:r w:rsidRPr="00E3128F">
        <w:rPr>
          <w:sz w:val="20"/>
          <w:szCs w:val="20"/>
        </w:rPr>
        <w:t xml:space="preserve"> </w:t>
      </w:r>
      <w:proofErr w:type="spellStart"/>
      <w:r w:rsidRPr="00E3128F">
        <w:rPr>
          <w:sz w:val="20"/>
          <w:szCs w:val="20"/>
        </w:rPr>
        <w:t>meningiomas</w:t>
      </w:r>
      <w:proofErr w:type="spellEnd"/>
      <w:r w:rsidRPr="00E3128F">
        <w:rPr>
          <w:sz w:val="20"/>
          <w:szCs w:val="20"/>
        </w:rPr>
        <w:t>, however</w:t>
      </w:r>
      <w:r w:rsidR="00F90457" w:rsidRPr="00E3128F">
        <w:rPr>
          <w:sz w:val="20"/>
          <w:szCs w:val="20"/>
        </w:rPr>
        <w:t xml:space="preserve"> there noticeable differences (12</w:t>
      </w:r>
      <w:r w:rsidRPr="00E3128F">
        <w:rPr>
          <w:sz w:val="20"/>
          <w:szCs w:val="20"/>
        </w:rPr>
        <w:t xml:space="preserve">). With regard to location, as we have Olfactory groove </w:t>
      </w:r>
      <w:proofErr w:type="spellStart"/>
      <w:r w:rsidRPr="00E3128F">
        <w:rPr>
          <w:sz w:val="20"/>
          <w:szCs w:val="20"/>
        </w:rPr>
        <w:t>meningiomas</w:t>
      </w:r>
      <w:proofErr w:type="spellEnd"/>
      <w:r w:rsidRPr="00E3128F">
        <w:rPr>
          <w:sz w:val="20"/>
          <w:szCs w:val="20"/>
        </w:rPr>
        <w:t xml:space="preserve"> that arise from the </w:t>
      </w:r>
      <w:proofErr w:type="spellStart"/>
      <w:r w:rsidRPr="00E3128F">
        <w:rPr>
          <w:sz w:val="20"/>
          <w:szCs w:val="20"/>
        </w:rPr>
        <w:t>cribriform</w:t>
      </w:r>
      <w:proofErr w:type="spellEnd"/>
      <w:r w:rsidRPr="00E3128F">
        <w:rPr>
          <w:sz w:val="20"/>
          <w:szCs w:val="20"/>
        </w:rPr>
        <w:t xml:space="preserve"> plate and </w:t>
      </w:r>
      <w:proofErr w:type="spellStart"/>
      <w:r w:rsidRPr="00E3128F">
        <w:rPr>
          <w:sz w:val="20"/>
          <w:szCs w:val="20"/>
        </w:rPr>
        <w:t>frontoesphenoidal</w:t>
      </w:r>
      <w:proofErr w:type="spellEnd"/>
      <w:r w:rsidRPr="00E3128F">
        <w:rPr>
          <w:sz w:val="20"/>
          <w:szCs w:val="20"/>
        </w:rPr>
        <w:t xml:space="preserve"> suture, but the </w:t>
      </w:r>
      <w:proofErr w:type="spellStart"/>
      <w:r w:rsidRPr="00E3128F">
        <w:rPr>
          <w:sz w:val="20"/>
          <w:szCs w:val="20"/>
        </w:rPr>
        <w:t>tuberculum</w:t>
      </w:r>
      <w:proofErr w:type="spellEnd"/>
      <w:r w:rsidRPr="00E3128F">
        <w:rPr>
          <w:sz w:val="20"/>
          <w:szCs w:val="20"/>
        </w:rPr>
        <w:t xml:space="preserve"> </w:t>
      </w:r>
      <w:proofErr w:type="spellStart"/>
      <w:r w:rsidRPr="00E3128F">
        <w:rPr>
          <w:sz w:val="20"/>
          <w:szCs w:val="20"/>
        </w:rPr>
        <w:t>selle</w:t>
      </w:r>
      <w:proofErr w:type="spellEnd"/>
      <w:r w:rsidRPr="00E3128F">
        <w:rPr>
          <w:sz w:val="20"/>
          <w:szCs w:val="20"/>
        </w:rPr>
        <w:t xml:space="preserve"> </w:t>
      </w:r>
      <w:proofErr w:type="spellStart"/>
      <w:r w:rsidRPr="00E3128F">
        <w:rPr>
          <w:sz w:val="20"/>
          <w:szCs w:val="20"/>
        </w:rPr>
        <w:t>meningiomas</w:t>
      </w:r>
      <w:proofErr w:type="spellEnd"/>
      <w:r w:rsidRPr="00E3128F">
        <w:rPr>
          <w:sz w:val="20"/>
          <w:szCs w:val="20"/>
        </w:rPr>
        <w:t xml:space="preserve"> will grow initially from the </w:t>
      </w:r>
      <w:proofErr w:type="spellStart"/>
      <w:r w:rsidRPr="00E3128F">
        <w:rPr>
          <w:sz w:val="20"/>
          <w:szCs w:val="20"/>
        </w:rPr>
        <w:t>planum</w:t>
      </w:r>
      <w:proofErr w:type="spellEnd"/>
      <w:r w:rsidRPr="00E3128F">
        <w:rPr>
          <w:sz w:val="20"/>
          <w:szCs w:val="20"/>
        </w:rPr>
        <w:t xml:space="preserve"> </w:t>
      </w:r>
      <w:proofErr w:type="spellStart"/>
      <w:r w:rsidRPr="00E3128F">
        <w:rPr>
          <w:sz w:val="20"/>
          <w:szCs w:val="20"/>
        </w:rPr>
        <w:t>sphenoidale</w:t>
      </w:r>
      <w:proofErr w:type="spellEnd"/>
      <w:r w:rsidRPr="00E3128F">
        <w:rPr>
          <w:sz w:val="20"/>
          <w:szCs w:val="20"/>
        </w:rPr>
        <w:t xml:space="preserve"> and </w:t>
      </w:r>
      <w:proofErr w:type="spellStart"/>
      <w:r w:rsidRPr="00E3128F">
        <w:rPr>
          <w:sz w:val="20"/>
          <w:szCs w:val="20"/>
        </w:rPr>
        <w:t>sellar</w:t>
      </w:r>
      <w:proofErr w:type="spellEnd"/>
      <w:r w:rsidRPr="00E3128F">
        <w:rPr>
          <w:sz w:val="20"/>
          <w:szCs w:val="20"/>
        </w:rPr>
        <w:t xml:space="preserve"> tubercle. As to the vasculature, the </w:t>
      </w:r>
      <w:proofErr w:type="spellStart"/>
      <w:r w:rsidRPr="00E3128F">
        <w:rPr>
          <w:sz w:val="20"/>
          <w:szCs w:val="20"/>
        </w:rPr>
        <w:t>tuberculum</w:t>
      </w:r>
      <w:proofErr w:type="spellEnd"/>
      <w:r w:rsidRPr="00E3128F">
        <w:rPr>
          <w:sz w:val="20"/>
          <w:szCs w:val="20"/>
        </w:rPr>
        <w:t xml:space="preserve"> </w:t>
      </w:r>
      <w:proofErr w:type="spellStart"/>
      <w:r w:rsidRPr="00E3128F">
        <w:rPr>
          <w:sz w:val="20"/>
          <w:szCs w:val="20"/>
        </w:rPr>
        <w:t>selle</w:t>
      </w:r>
      <w:proofErr w:type="spellEnd"/>
      <w:r w:rsidRPr="00E3128F">
        <w:rPr>
          <w:sz w:val="20"/>
          <w:szCs w:val="20"/>
        </w:rPr>
        <w:t xml:space="preserve"> </w:t>
      </w:r>
      <w:proofErr w:type="spellStart"/>
      <w:r w:rsidRPr="00E3128F">
        <w:rPr>
          <w:sz w:val="20"/>
          <w:szCs w:val="20"/>
        </w:rPr>
        <w:t>meningiomas</w:t>
      </w:r>
      <w:proofErr w:type="spellEnd"/>
      <w:r w:rsidRPr="00E3128F">
        <w:rPr>
          <w:sz w:val="20"/>
          <w:szCs w:val="20"/>
        </w:rPr>
        <w:t xml:space="preserve"> receive input from predominantly posterior </w:t>
      </w:r>
      <w:proofErr w:type="spellStart"/>
      <w:r w:rsidRPr="00E3128F">
        <w:rPr>
          <w:sz w:val="20"/>
          <w:szCs w:val="20"/>
        </w:rPr>
        <w:t>ethmoid</w:t>
      </w:r>
      <w:proofErr w:type="spellEnd"/>
      <w:r w:rsidRPr="00E3128F">
        <w:rPr>
          <w:sz w:val="20"/>
          <w:szCs w:val="20"/>
        </w:rPr>
        <w:t xml:space="preserve"> arteries, </w:t>
      </w:r>
      <w:r w:rsidR="00CC7EDD" w:rsidRPr="00E3128F">
        <w:rPr>
          <w:sz w:val="20"/>
          <w:szCs w:val="20"/>
        </w:rPr>
        <w:t>unlike Olfactory</w:t>
      </w:r>
      <w:r w:rsidRPr="00E3128F">
        <w:rPr>
          <w:sz w:val="20"/>
          <w:szCs w:val="20"/>
        </w:rPr>
        <w:t xml:space="preserve"> groove </w:t>
      </w:r>
      <w:proofErr w:type="spellStart"/>
      <w:r w:rsidRPr="00E3128F">
        <w:rPr>
          <w:sz w:val="20"/>
          <w:szCs w:val="20"/>
        </w:rPr>
        <w:t>meningiomas</w:t>
      </w:r>
      <w:proofErr w:type="spellEnd"/>
      <w:r w:rsidRPr="00E3128F">
        <w:rPr>
          <w:sz w:val="20"/>
          <w:szCs w:val="20"/>
        </w:rPr>
        <w:t xml:space="preserve"> of the receiving also the anterior </w:t>
      </w:r>
      <w:proofErr w:type="spellStart"/>
      <w:r w:rsidRPr="00E3128F">
        <w:rPr>
          <w:sz w:val="20"/>
          <w:szCs w:val="20"/>
        </w:rPr>
        <w:t>ethmoid</w:t>
      </w:r>
      <w:proofErr w:type="spellEnd"/>
      <w:r w:rsidRPr="00E3128F">
        <w:rPr>
          <w:sz w:val="20"/>
          <w:szCs w:val="20"/>
        </w:rPr>
        <w:t xml:space="preserve">, middle </w:t>
      </w:r>
      <w:proofErr w:type="spellStart"/>
      <w:r w:rsidRPr="00E3128F">
        <w:rPr>
          <w:sz w:val="20"/>
          <w:szCs w:val="20"/>
        </w:rPr>
        <w:t>meningeal</w:t>
      </w:r>
      <w:proofErr w:type="spellEnd"/>
      <w:r w:rsidRPr="00E3128F">
        <w:rPr>
          <w:sz w:val="20"/>
          <w:szCs w:val="20"/>
        </w:rPr>
        <w:t xml:space="preserve"> and </w:t>
      </w:r>
      <w:proofErr w:type="spellStart"/>
      <w:r w:rsidRPr="00E3128F">
        <w:rPr>
          <w:sz w:val="20"/>
          <w:szCs w:val="20"/>
        </w:rPr>
        <w:t>meningeal</w:t>
      </w:r>
      <w:proofErr w:type="spellEnd"/>
      <w:r w:rsidRPr="00E3128F">
        <w:rPr>
          <w:sz w:val="20"/>
          <w:szCs w:val="20"/>
        </w:rPr>
        <w:t xml:space="preserve"> branches of the ophthalmic. The olfactory nerves are going to be displaced upwards and outwards in the case of Olfactory groove </w:t>
      </w:r>
      <w:proofErr w:type="spellStart"/>
      <w:r w:rsidRPr="00E3128F">
        <w:rPr>
          <w:sz w:val="20"/>
          <w:szCs w:val="20"/>
        </w:rPr>
        <w:t>meningiomas</w:t>
      </w:r>
      <w:proofErr w:type="spellEnd"/>
      <w:r w:rsidRPr="00E3128F">
        <w:rPr>
          <w:sz w:val="20"/>
          <w:szCs w:val="20"/>
        </w:rPr>
        <w:t>, and instead inferiorly</w:t>
      </w:r>
      <w:r w:rsidR="00806ACA" w:rsidRPr="00E3128F">
        <w:rPr>
          <w:sz w:val="20"/>
          <w:szCs w:val="20"/>
        </w:rPr>
        <w:t xml:space="preserve"> </w:t>
      </w:r>
      <w:r w:rsidRPr="00E3128F">
        <w:rPr>
          <w:sz w:val="20"/>
          <w:szCs w:val="20"/>
        </w:rPr>
        <w:t xml:space="preserve">by </w:t>
      </w:r>
      <w:proofErr w:type="spellStart"/>
      <w:r w:rsidRPr="00E3128F">
        <w:rPr>
          <w:sz w:val="20"/>
          <w:szCs w:val="20"/>
        </w:rPr>
        <w:t>tuberculum</w:t>
      </w:r>
      <w:proofErr w:type="spellEnd"/>
      <w:r w:rsidRPr="00E3128F">
        <w:rPr>
          <w:sz w:val="20"/>
          <w:szCs w:val="20"/>
        </w:rPr>
        <w:t xml:space="preserve"> </w:t>
      </w:r>
      <w:proofErr w:type="spellStart"/>
      <w:r w:rsidRPr="00E3128F">
        <w:rPr>
          <w:sz w:val="20"/>
          <w:szCs w:val="20"/>
        </w:rPr>
        <w:t>selle</w:t>
      </w:r>
      <w:proofErr w:type="spellEnd"/>
      <w:r w:rsidRPr="00E3128F">
        <w:rPr>
          <w:sz w:val="20"/>
          <w:szCs w:val="20"/>
        </w:rPr>
        <w:t xml:space="preserve"> </w:t>
      </w:r>
      <w:proofErr w:type="spellStart"/>
      <w:r w:rsidRPr="00E3128F">
        <w:rPr>
          <w:sz w:val="20"/>
          <w:szCs w:val="20"/>
        </w:rPr>
        <w:t>meningiomas</w:t>
      </w:r>
      <w:proofErr w:type="spellEnd"/>
      <w:r w:rsidRPr="00E3128F">
        <w:rPr>
          <w:sz w:val="20"/>
          <w:szCs w:val="20"/>
        </w:rPr>
        <w:t xml:space="preserve">. Finally the optic nerves and chiasm are displaced downward by the </w:t>
      </w:r>
      <w:r w:rsidR="00CC7EDD" w:rsidRPr="00E3128F">
        <w:rPr>
          <w:sz w:val="20"/>
          <w:szCs w:val="20"/>
        </w:rPr>
        <w:t>olfactory</w:t>
      </w:r>
      <w:r w:rsidRPr="00E3128F">
        <w:rPr>
          <w:sz w:val="20"/>
          <w:szCs w:val="20"/>
        </w:rPr>
        <w:t xml:space="preserve"> groove </w:t>
      </w:r>
      <w:proofErr w:type="spellStart"/>
      <w:r w:rsidRPr="00E3128F">
        <w:rPr>
          <w:sz w:val="20"/>
          <w:szCs w:val="20"/>
        </w:rPr>
        <w:t>meningiomas</w:t>
      </w:r>
      <w:proofErr w:type="spellEnd"/>
      <w:r w:rsidRPr="00E3128F">
        <w:rPr>
          <w:sz w:val="20"/>
          <w:szCs w:val="20"/>
        </w:rPr>
        <w:t xml:space="preserve"> and the otherwise the </w:t>
      </w:r>
      <w:proofErr w:type="spellStart"/>
      <w:r w:rsidRPr="00E3128F">
        <w:rPr>
          <w:sz w:val="20"/>
          <w:szCs w:val="20"/>
        </w:rPr>
        <w:t>tuberculum</w:t>
      </w:r>
      <w:proofErr w:type="spellEnd"/>
      <w:r w:rsidRPr="00E3128F">
        <w:rPr>
          <w:sz w:val="20"/>
          <w:szCs w:val="20"/>
        </w:rPr>
        <w:t xml:space="preserve"> </w:t>
      </w:r>
      <w:proofErr w:type="spellStart"/>
      <w:r w:rsidRPr="00E3128F">
        <w:rPr>
          <w:sz w:val="20"/>
          <w:szCs w:val="20"/>
        </w:rPr>
        <w:t>selle</w:t>
      </w:r>
      <w:proofErr w:type="spellEnd"/>
      <w:r w:rsidRPr="00E3128F">
        <w:rPr>
          <w:sz w:val="20"/>
          <w:szCs w:val="20"/>
        </w:rPr>
        <w:t xml:space="preserve"> </w:t>
      </w:r>
      <w:proofErr w:type="spellStart"/>
      <w:r w:rsidRPr="00E3128F">
        <w:rPr>
          <w:sz w:val="20"/>
          <w:szCs w:val="20"/>
        </w:rPr>
        <w:t>meningiomas</w:t>
      </w:r>
      <w:proofErr w:type="spellEnd"/>
      <w:r w:rsidRPr="00E3128F">
        <w:rPr>
          <w:sz w:val="20"/>
          <w:szCs w:val="20"/>
        </w:rPr>
        <w:t xml:space="preserve"> compress and displace upwards to such structures.</w:t>
      </w:r>
    </w:p>
    <w:p w:rsidR="00356F21" w:rsidRPr="00E3128F" w:rsidRDefault="00414A71" w:rsidP="00614446">
      <w:pPr>
        <w:shd w:val="clear" w:color="auto" w:fill="F5F5F5"/>
        <w:bidi w:val="0"/>
        <w:ind w:firstLine="426"/>
        <w:jc w:val="lowKashida"/>
        <w:textAlignment w:val="top"/>
        <w:rPr>
          <w:sz w:val="20"/>
          <w:szCs w:val="20"/>
        </w:rPr>
      </w:pPr>
      <w:r w:rsidRPr="00E3128F">
        <w:rPr>
          <w:sz w:val="20"/>
          <w:szCs w:val="20"/>
        </w:rPr>
        <w:t xml:space="preserve">Given the location of these </w:t>
      </w:r>
      <w:proofErr w:type="spellStart"/>
      <w:r w:rsidRPr="00E3128F">
        <w:rPr>
          <w:sz w:val="20"/>
          <w:szCs w:val="20"/>
        </w:rPr>
        <w:t>subfrontal</w:t>
      </w:r>
      <w:proofErr w:type="spellEnd"/>
      <w:r w:rsidRPr="00E3128F">
        <w:rPr>
          <w:sz w:val="20"/>
          <w:szCs w:val="20"/>
        </w:rPr>
        <w:t xml:space="preserve"> injuries, the </w:t>
      </w:r>
      <w:r w:rsidR="00CC7EDD" w:rsidRPr="00E3128F">
        <w:rPr>
          <w:sz w:val="20"/>
          <w:szCs w:val="20"/>
        </w:rPr>
        <w:t>olfactory</w:t>
      </w:r>
      <w:r w:rsidRPr="00E3128F">
        <w:rPr>
          <w:sz w:val="20"/>
          <w:szCs w:val="20"/>
        </w:rPr>
        <w:t xml:space="preserve"> groove </w:t>
      </w:r>
      <w:proofErr w:type="spellStart"/>
      <w:r w:rsidRPr="00E3128F">
        <w:rPr>
          <w:sz w:val="20"/>
          <w:szCs w:val="20"/>
        </w:rPr>
        <w:t>meningiomas</w:t>
      </w:r>
      <w:proofErr w:type="spellEnd"/>
      <w:r w:rsidRPr="00E3128F">
        <w:rPr>
          <w:sz w:val="20"/>
          <w:szCs w:val="20"/>
        </w:rPr>
        <w:t xml:space="preserve"> can reach a large si</w:t>
      </w:r>
      <w:r w:rsidR="00F90457" w:rsidRPr="00E3128F">
        <w:rPr>
          <w:sz w:val="20"/>
          <w:szCs w:val="20"/>
        </w:rPr>
        <w:t>ze before producing symptoms (13</w:t>
      </w:r>
      <w:r w:rsidRPr="00E3128F">
        <w:rPr>
          <w:sz w:val="20"/>
          <w:szCs w:val="20"/>
        </w:rPr>
        <w:t xml:space="preserve">). The </w:t>
      </w:r>
      <w:r w:rsidR="00E23B15" w:rsidRPr="00E3128F">
        <w:rPr>
          <w:sz w:val="20"/>
          <w:szCs w:val="20"/>
        </w:rPr>
        <w:t xml:space="preserve">presentation is often </w:t>
      </w:r>
      <w:proofErr w:type="gramStart"/>
      <w:r w:rsidR="00E23B15" w:rsidRPr="00E3128F">
        <w:rPr>
          <w:sz w:val="20"/>
          <w:szCs w:val="20"/>
        </w:rPr>
        <w:t xml:space="preserve">insidious </w:t>
      </w:r>
      <w:r w:rsidRPr="00E3128F">
        <w:rPr>
          <w:sz w:val="20"/>
          <w:szCs w:val="20"/>
        </w:rPr>
        <w:t xml:space="preserve"> in</w:t>
      </w:r>
      <w:proofErr w:type="gramEnd"/>
      <w:r w:rsidRPr="00E3128F">
        <w:rPr>
          <w:sz w:val="20"/>
          <w:szCs w:val="20"/>
        </w:rPr>
        <w:t xml:space="preserve"> the m</w:t>
      </w:r>
      <w:r w:rsidR="00F90457" w:rsidRPr="00E3128F">
        <w:rPr>
          <w:sz w:val="20"/>
          <w:szCs w:val="20"/>
        </w:rPr>
        <w:t>ost series (4, 5, 8, 9</w:t>
      </w:r>
      <w:r w:rsidRPr="00E3128F">
        <w:rPr>
          <w:sz w:val="20"/>
          <w:szCs w:val="20"/>
        </w:rPr>
        <w:t>)</w:t>
      </w:r>
      <w:r w:rsidR="00806ACA" w:rsidRPr="00E3128F">
        <w:rPr>
          <w:sz w:val="20"/>
          <w:szCs w:val="20"/>
        </w:rPr>
        <w:t xml:space="preserve"> </w:t>
      </w:r>
      <w:r w:rsidR="00D6470C" w:rsidRPr="00E3128F">
        <w:rPr>
          <w:b/>
          <w:bCs/>
          <w:sz w:val="20"/>
          <w:szCs w:val="20"/>
        </w:rPr>
        <w:t>(</w:t>
      </w:r>
      <w:r w:rsidR="00614446" w:rsidRPr="00E3128F">
        <w:rPr>
          <w:b/>
          <w:bCs/>
          <w:sz w:val="20"/>
          <w:szCs w:val="20"/>
        </w:rPr>
        <w:t>T</w:t>
      </w:r>
      <w:r w:rsidR="00D6470C" w:rsidRPr="00E3128F">
        <w:rPr>
          <w:b/>
          <w:bCs/>
          <w:sz w:val="20"/>
          <w:szCs w:val="20"/>
        </w:rPr>
        <w:t>able 2)</w:t>
      </w:r>
      <w:r w:rsidRPr="00E3128F">
        <w:rPr>
          <w:b/>
          <w:bCs/>
          <w:sz w:val="20"/>
          <w:szCs w:val="20"/>
        </w:rPr>
        <w:t>.</w:t>
      </w:r>
      <w:r w:rsidRPr="00E3128F">
        <w:rPr>
          <w:sz w:val="20"/>
          <w:szCs w:val="20"/>
        </w:rPr>
        <w:t xml:space="preserve"> The clinic picture is personality</w:t>
      </w:r>
      <w:r w:rsidR="00D6470C" w:rsidRPr="00E3128F">
        <w:rPr>
          <w:sz w:val="20"/>
          <w:szCs w:val="20"/>
        </w:rPr>
        <w:t xml:space="preserve"> and mental</w:t>
      </w:r>
      <w:r w:rsidRPr="00E3128F">
        <w:rPr>
          <w:sz w:val="20"/>
          <w:szCs w:val="20"/>
        </w:rPr>
        <w:t xml:space="preserve"> changes, loss visual acuity, headache and seizures. The </w:t>
      </w:r>
      <w:proofErr w:type="spellStart"/>
      <w:r w:rsidRPr="00E3128F">
        <w:rPr>
          <w:sz w:val="20"/>
          <w:szCs w:val="20"/>
        </w:rPr>
        <w:t>anosmia</w:t>
      </w:r>
      <w:proofErr w:type="spellEnd"/>
      <w:r w:rsidRPr="00E3128F">
        <w:rPr>
          <w:sz w:val="20"/>
          <w:szCs w:val="20"/>
        </w:rPr>
        <w:t xml:space="preserve"> is rarely a symptom important presentation, since it usually </w:t>
      </w:r>
      <w:r w:rsidR="00CC7EDD" w:rsidRPr="00E3128F">
        <w:rPr>
          <w:sz w:val="20"/>
          <w:szCs w:val="20"/>
        </w:rPr>
        <w:t>goes</w:t>
      </w:r>
      <w:r w:rsidRPr="00E3128F">
        <w:rPr>
          <w:sz w:val="20"/>
          <w:szCs w:val="20"/>
        </w:rPr>
        <w:t xml:space="preserve"> unnoticed by patients. The rearmost location of the </w:t>
      </w:r>
      <w:proofErr w:type="spellStart"/>
      <w:r w:rsidRPr="00E3128F">
        <w:rPr>
          <w:sz w:val="20"/>
          <w:szCs w:val="20"/>
        </w:rPr>
        <w:t>tuberculum</w:t>
      </w:r>
      <w:proofErr w:type="spellEnd"/>
      <w:r w:rsidRPr="00E3128F">
        <w:rPr>
          <w:sz w:val="20"/>
          <w:szCs w:val="20"/>
        </w:rPr>
        <w:t xml:space="preserve"> </w:t>
      </w:r>
      <w:proofErr w:type="spellStart"/>
      <w:r w:rsidRPr="00E3128F">
        <w:rPr>
          <w:sz w:val="20"/>
          <w:szCs w:val="20"/>
        </w:rPr>
        <w:t>selle</w:t>
      </w:r>
      <w:proofErr w:type="spellEnd"/>
      <w:r w:rsidRPr="00E3128F">
        <w:rPr>
          <w:sz w:val="20"/>
          <w:szCs w:val="20"/>
        </w:rPr>
        <w:t xml:space="preserve"> </w:t>
      </w:r>
      <w:proofErr w:type="spellStart"/>
      <w:r w:rsidRPr="00E3128F">
        <w:rPr>
          <w:sz w:val="20"/>
          <w:szCs w:val="20"/>
        </w:rPr>
        <w:t>meningiomas</w:t>
      </w:r>
      <w:proofErr w:type="spellEnd"/>
      <w:r w:rsidRPr="00E3128F">
        <w:rPr>
          <w:sz w:val="20"/>
          <w:szCs w:val="20"/>
        </w:rPr>
        <w:t xml:space="preserve">, causes visual symptoms are more precocious than that in the Olfactory groove </w:t>
      </w:r>
      <w:proofErr w:type="spellStart"/>
      <w:r w:rsidRPr="00E3128F">
        <w:rPr>
          <w:sz w:val="20"/>
          <w:szCs w:val="20"/>
        </w:rPr>
        <w:t>meningiomas</w:t>
      </w:r>
      <w:proofErr w:type="spellEnd"/>
      <w:r w:rsidRPr="00E3128F">
        <w:rPr>
          <w:sz w:val="20"/>
          <w:szCs w:val="20"/>
        </w:rPr>
        <w:t>.</w:t>
      </w:r>
    </w:p>
    <w:p w:rsidR="00356F21" w:rsidRPr="00E3128F" w:rsidRDefault="00414A71" w:rsidP="009E4DD0">
      <w:pPr>
        <w:shd w:val="clear" w:color="auto" w:fill="F5F5F5"/>
        <w:bidi w:val="0"/>
        <w:ind w:firstLine="426"/>
        <w:jc w:val="lowKashida"/>
        <w:textAlignment w:val="top"/>
        <w:rPr>
          <w:sz w:val="20"/>
          <w:szCs w:val="20"/>
        </w:rPr>
      </w:pPr>
      <w:r w:rsidRPr="00E3128F">
        <w:rPr>
          <w:sz w:val="20"/>
          <w:szCs w:val="20"/>
        </w:rPr>
        <w:t xml:space="preserve">For this reason the </w:t>
      </w:r>
      <w:r w:rsidR="00CC7EDD" w:rsidRPr="00E3128F">
        <w:rPr>
          <w:sz w:val="20"/>
          <w:szCs w:val="20"/>
        </w:rPr>
        <w:t>olfactory</w:t>
      </w:r>
      <w:r w:rsidRPr="00E3128F">
        <w:rPr>
          <w:sz w:val="20"/>
          <w:szCs w:val="20"/>
        </w:rPr>
        <w:t xml:space="preserve"> groove </w:t>
      </w:r>
      <w:proofErr w:type="spellStart"/>
      <w:r w:rsidRPr="00E3128F">
        <w:rPr>
          <w:sz w:val="20"/>
          <w:szCs w:val="20"/>
        </w:rPr>
        <w:t>meningiomas</w:t>
      </w:r>
      <w:proofErr w:type="spellEnd"/>
      <w:r w:rsidRPr="00E3128F">
        <w:rPr>
          <w:sz w:val="20"/>
          <w:szCs w:val="20"/>
        </w:rPr>
        <w:t xml:space="preserve"> typically reach a size greater than the </w:t>
      </w:r>
      <w:proofErr w:type="spellStart"/>
      <w:r w:rsidRPr="00E3128F">
        <w:rPr>
          <w:sz w:val="20"/>
          <w:szCs w:val="20"/>
        </w:rPr>
        <w:t>tuberculum</w:t>
      </w:r>
      <w:proofErr w:type="spellEnd"/>
      <w:r w:rsidRPr="00E3128F">
        <w:rPr>
          <w:sz w:val="20"/>
          <w:szCs w:val="20"/>
        </w:rPr>
        <w:t xml:space="preserve"> </w:t>
      </w:r>
      <w:proofErr w:type="spellStart"/>
      <w:r w:rsidRPr="00E3128F">
        <w:rPr>
          <w:sz w:val="20"/>
          <w:szCs w:val="20"/>
        </w:rPr>
        <w:t>selle</w:t>
      </w:r>
      <w:proofErr w:type="spellEnd"/>
      <w:r w:rsidRPr="00E3128F">
        <w:rPr>
          <w:sz w:val="20"/>
          <w:szCs w:val="20"/>
        </w:rPr>
        <w:t xml:space="preserve"> </w:t>
      </w:r>
      <w:proofErr w:type="spellStart"/>
      <w:r w:rsidRPr="00E3128F">
        <w:rPr>
          <w:sz w:val="20"/>
          <w:szCs w:val="20"/>
        </w:rPr>
        <w:t>meningiomas</w:t>
      </w:r>
      <w:proofErr w:type="spellEnd"/>
      <w:r w:rsidRPr="00E3128F">
        <w:rPr>
          <w:sz w:val="20"/>
          <w:szCs w:val="20"/>
        </w:rPr>
        <w:t>.</w:t>
      </w:r>
    </w:p>
    <w:p w:rsidR="00356F21" w:rsidRPr="00E3128F" w:rsidRDefault="00414A71" w:rsidP="009E4DD0">
      <w:pPr>
        <w:shd w:val="clear" w:color="auto" w:fill="F5F5F5"/>
        <w:bidi w:val="0"/>
        <w:ind w:firstLine="426"/>
        <w:jc w:val="lowKashida"/>
        <w:textAlignment w:val="top"/>
        <w:rPr>
          <w:sz w:val="20"/>
          <w:szCs w:val="20"/>
        </w:rPr>
      </w:pPr>
      <w:r w:rsidRPr="00E3128F">
        <w:rPr>
          <w:sz w:val="20"/>
          <w:szCs w:val="20"/>
        </w:rPr>
        <w:lastRenderedPageBreak/>
        <w:t xml:space="preserve">As in any </w:t>
      </w:r>
      <w:proofErr w:type="spellStart"/>
      <w:r w:rsidRPr="00E3128F">
        <w:rPr>
          <w:sz w:val="20"/>
          <w:szCs w:val="20"/>
        </w:rPr>
        <w:t>meningioma</w:t>
      </w:r>
      <w:proofErr w:type="spellEnd"/>
      <w:r w:rsidRPr="00E3128F">
        <w:rPr>
          <w:sz w:val="20"/>
          <w:szCs w:val="20"/>
        </w:rPr>
        <w:t xml:space="preserve">, testing basic picture is the </w:t>
      </w:r>
      <w:r w:rsidR="00806ACA" w:rsidRPr="00E3128F">
        <w:rPr>
          <w:sz w:val="20"/>
          <w:szCs w:val="20"/>
        </w:rPr>
        <w:t xml:space="preserve">Computerized </w:t>
      </w:r>
      <w:r w:rsidRPr="00E3128F">
        <w:rPr>
          <w:sz w:val="20"/>
          <w:szCs w:val="20"/>
        </w:rPr>
        <w:t>T</w:t>
      </w:r>
      <w:r w:rsidR="00806ACA" w:rsidRPr="00E3128F">
        <w:rPr>
          <w:sz w:val="20"/>
          <w:szCs w:val="20"/>
        </w:rPr>
        <w:t>omography</w:t>
      </w:r>
      <w:r w:rsidRPr="00E3128F">
        <w:rPr>
          <w:sz w:val="20"/>
          <w:szCs w:val="20"/>
        </w:rPr>
        <w:t xml:space="preserve"> (CT) and magnetic resonance imaging (MRI). CT is particularly useful to define the bony anatomy, including areas of hyperostosis or erosion, which may </w:t>
      </w:r>
      <w:r w:rsidR="00F90457" w:rsidRPr="00E3128F">
        <w:rPr>
          <w:sz w:val="20"/>
          <w:szCs w:val="20"/>
        </w:rPr>
        <w:t>change the surgical approach (12</w:t>
      </w:r>
      <w:r w:rsidRPr="00E3128F">
        <w:rPr>
          <w:sz w:val="20"/>
          <w:szCs w:val="20"/>
        </w:rPr>
        <w:t xml:space="preserve">). </w:t>
      </w:r>
      <w:proofErr w:type="gramStart"/>
      <w:r w:rsidRPr="00E3128F">
        <w:rPr>
          <w:sz w:val="20"/>
          <w:szCs w:val="20"/>
        </w:rPr>
        <w:t>The extension to the sinuses through the floor of the groove shown adequately by coronal CT.</w:t>
      </w:r>
      <w:proofErr w:type="gramEnd"/>
    </w:p>
    <w:p w:rsidR="00356F21" w:rsidRPr="00E3128F" w:rsidRDefault="00414A71" w:rsidP="009E4DD0">
      <w:pPr>
        <w:shd w:val="clear" w:color="auto" w:fill="F5F5F5"/>
        <w:bidi w:val="0"/>
        <w:ind w:firstLine="426"/>
        <w:jc w:val="lowKashida"/>
        <w:textAlignment w:val="top"/>
        <w:rPr>
          <w:sz w:val="20"/>
          <w:szCs w:val="20"/>
        </w:rPr>
      </w:pPr>
      <w:r w:rsidRPr="00E3128F">
        <w:rPr>
          <w:sz w:val="20"/>
          <w:szCs w:val="20"/>
        </w:rPr>
        <w:t xml:space="preserve">By MRI and magnetic resonance angiography we </w:t>
      </w:r>
      <w:r w:rsidR="00CC7EDD" w:rsidRPr="00E3128F">
        <w:rPr>
          <w:sz w:val="20"/>
          <w:szCs w:val="20"/>
        </w:rPr>
        <w:t>define</w:t>
      </w:r>
      <w:r w:rsidRPr="00E3128F">
        <w:rPr>
          <w:sz w:val="20"/>
          <w:szCs w:val="20"/>
        </w:rPr>
        <w:t xml:space="preserve"> the relationship of the tumor with optic chiasm and the cerebral arteries. The role of angiography is controversial. </w:t>
      </w:r>
      <w:proofErr w:type="gramStart"/>
      <w:r w:rsidRPr="00E3128F">
        <w:rPr>
          <w:sz w:val="20"/>
          <w:szCs w:val="20"/>
        </w:rPr>
        <w:t>the</w:t>
      </w:r>
      <w:proofErr w:type="gramEnd"/>
      <w:r w:rsidRPr="00E3128F">
        <w:rPr>
          <w:sz w:val="20"/>
          <w:szCs w:val="20"/>
        </w:rPr>
        <w:t xml:space="preserve"> Preoperative </w:t>
      </w:r>
      <w:proofErr w:type="spellStart"/>
      <w:r w:rsidRPr="00E3128F">
        <w:rPr>
          <w:sz w:val="20"/>
          <w:szCs w:val="20"/>
        </w:rPr>
        <w:t>embolization</w:t>
      </w:r>
      <w:proofErr w:type="spellEnd"/>
      <w:r w:rsidRPr="00E3128F">
        <w:rPr>
          <w:sz w:val="20"/>
          <w:szCs w:val="20"/>
        </w:rPr>
        <w:t xml:space="preserve"> is not necessary because one of the initial objectives surgical intervention is the interruption of blood supply by </w:t>
      </w:r>
      <w:r w:rsidR="00F90457" w:rsidRPr="00E3128F">
        <w:rPr>
          <w:sz w:val="20"/>
          <w:szCs w:val="20"/>
        </w:rPr>
        <w:t xml:space="preserve">of the </w:t>
      </w:r>
      <w:proofErr w:type="spellStart"/>
      <w:r w:rsidR="00F90457" w:rsidRPr="00E3128F">
        <w:rPr>
          <w:sz w:val="20"/>
          <w:szCs w:val="20"/>
        </w:rPr>
        <w:t>ethmoidal</w:t>
      </w:r>
      <w:proofErr w:type="spellEnd"/>
      <w:r w:rsidR="00F90457" w:rsidRPr="00E3128F">
        <w:rPr>
          <w:sz w:val="20"/>
          <w:szCs w:val="20"/>
        </w:rPr>
        <w:t xml:space="preserve"> arteries (14,15</w:t>
      </w:r>
      <w:r w:rsidRPr="00E3128F">
        <w:rPr>
          <w:sz w:val="20"/>
          <w:szCs w:val="20"/>
        </w:rPr>
        <w:t>).</w:t>
      </w:r>
    </w:p>
    <w:p w:rsidR="00414A71" w:rsidRPr="00E3128F" w:rsidRDefault="003F70F1" w:rsidP="00614446">
      <w:pPr>
        <w:shd w:val="clear" w:color="auto" w:fill="F5F5F5"/>
        <w:bidi w:val="0"/>
        <w:ind w:firstLine="426"/>
        <w:jc w:val="lowKashida"/>
        <w:textAlignment w:val="top"/>
        <w:rPr>
          <w:sz w:val="20"/>
          <w:szCs w:val="20"/>
        </w:rPr>
      </w:pPr>
      <w:r w:rsidRPr="00E3128F">
        <w:rPr>
          <w:sz w:val="20"/>
          <w:szCs w:val="20"/>
        </w:rPr>
        <w:t xml:space="preserve">The treatment of olfactory groove </w:t>
      </w:r>
      <w:proofErr w:type="spellStart"/>
      <w:r w:rsidRPr="00E3128F">
        <w:rPr>
          <w:sz w:val="20"/>
          <w:szCs w:val="20"/>
        </w:rPr>
        <w:t>meningiomas</w:t>
      </w:r>
      <w:proofErr w:type="spellEnd"/>
      <w:r w:rsidRPr="00E3128F">
        <w:rPr>
          <w:sz w:val="20"/>
          <w:szCs w:val="20"/>
        </w:rPr>
        <w:t xml:space="preserve"> aims the complete surgical excision of the tumor and involved </w:t>
      </w:r>
      <w:proofErr w:type="spellStart"/>
      <w:r w:rsidRPr="00E3128F">
        <w:rPr>
          <w:sz w:val="20"/>
          <w:szCs w:val="20"/>
        </w:rPr>
        <w:t>meninges</w:t>
      </w:r>
      <w:proofErr w:type="spellEnd"/>
      <w:r w:rsidRPr="00E3128F">
        <w:rPr>
          <w:sz w:val="20"/>
          <w:szCs w:val="20"/>
        </w:rPr>
        <w:t>, though the resection difficulty exists in certain cases. The most important complications reported in the reviewed literature</w:t>
      </w:r>
      <w:r w:rsidR="00806ACA" w:rsidRPr="00E3128F">
        <w:rPr>
          <w:sz w:val="20"/>
          <w:szCs w:val="20"/>
        </w:rPr>
        <w:t xml:space="preserve">, </w:t>
      </w:r>
      <w:r w:rsidR="00806ACA" w:rsidRPr="00E3128F">
        <w:rPr>
          <w:b/>
          <w:bCs/>
          <w:sz w:val="20"/>
          <w:szCs w:val="20"/>
        </w:rPr>
        <w:t>(</w:t>
      </w:r>
      <w:r w:rsidR="00614446" w:rsidRPr="00E3128F">
        <w:rPr>
          <w:b/>
          <w:bCs/>
          <w:sz w:val="20"/>
          <w:szCs w:val="20"/>
        </w:rPr>
        <w:t>T</w:t>
      </w:r>
      <w:r w:rsidR="00E23B15" w:rsidRPr="00E3128F">
        <w:rPr>
          <w:b/>
          <w:bCs/>
          <w:sz w:val="20"/>
          <w:szCs w:val="20"/>
        </w:rPr>
        <w:t>able 3)</w:t>
      </w:r>
      <w:r w:rsidRPr="00E3128F">
        <w:rPr>
          <w:sz w:val="20"/>
          <w:szCs w:val="20"/>
        </w:rPr>
        <w:t xml:space="preserve"> and based on our experience are: loss of sense of smell, seizure, CSF </w:t>
      </w:r>
      <w:proofErr w:type="spellStart"/>
      <w:r w:rsidRPr="00E3128F">
        <w:rPr>
          <w:sz w:val="20"/>
          <w:szCs w:val="20"/>
        </w:rPr>
        <w:t>rhinorrhoea</w:t>
      </w:r>
      <w:proofErr w:type="spellEnd"/>
      <w:r w:rsidRPr="00E3128F">
        <w:rPr>
          <w:sz w:val="20"/>
          <w:szCs w:val="20"/>
        </w:rPr>
        <w:t>, infection and medical complications. Occasionally,</w:t>
      </w:r>
      <w:r w:rsidR="00E23B15" w:rsidRPr="00E3128F">
        <w:rPr>
          <w:sz w:val="20"/>
          <w:szCs w:val="20"/>
        </w:rPr>
        <w:t xml:space="preserve"> </w:t>
      </w:r>
      <w:r w:rsidRPr="00E3128F">
        <w:rPr>
          <w:sz w:val="20"/>
          <w:szCs w:val="20"/>
        </w:rPr>
        <w:t xml:space="preserve">visual loss might be observed in large </w:t>
      </w:r>
      <w:r w:rsidR="00CC7EDD" w:rsidRPr="00E3128F">
        <w:rPr>
          <w:sz w:val="20"/>
          <w:szCs w:val="20"/>
        </w:rPr>
        <w:t>tumors</w:t>
      </w:r>
      <w:r w:rsidRPr="00E3128F">
        <w:rPr>
          <w:sz w:val="20"/>
          <w:szCs w:val="20"/>
        </w:rPr>
        <w:t xml:space="preserve"> due to excessive traction, surgical bed </w:t>
      </w:r>
      <w:r w:rsidR="00CC7EDD" w:rsidRPr="00E3128F">
        <w:rPr>
          <w:sz w:val="20"/>
          <w:szCs w:val="20"/>
        </w:rPr>
        <w:t>hematoma</w:t>
      </w:r>
      <w:r w:rsidRPr="00E3128F">
        <w:rPr>
          <w:sz w:val="20"/>
          <w:szCs w:val="20"/>
        </w:rPr>
        <w:t xml:space="preserve"> and </w:t>
      </w:r>
      <w:r w:rsidR="00F90457" w:rsidRPr="00E3128F">
        <w:rPr>
          <w:sz w:val="20"/>
          <w:szCs w:val="20"/>
        </w:rPr>
        <w:t>hydrocephalus (1)</w:t>
      </w:r>
      <w:r w:rsidRPr="00E3128F">
        <w:rPr>
          <w:sz w:val="20"/>
          <w:szCs w:val="20"/>
        </w:rPr>
        <w:t xml:space="preserve">. In patients with large </w:t>
      </w:r>
      <w:r w:rsidR="00CC7EDD" w:rsidRPr="00E3128F">
        <w:rPr>
          <w:sz w:val="20"/>
          <w:szCs w:val="20"/>
        </w:rPr>
        <w:t>tumors</w:t>
      </w:r>
      <w:r w:rsidRPr="00E3128F">
        <w:rPr>
          <w:sz w:val="20"/>
          <w:szCs w:val="20"/>
        </w:rPr>
        <w:t xml:space="preserve">, a frontal lobe syndrome may develop as a result of </w:t>
      </w:r>
      <w:r w:rsidR="00CC7EDD" w:rsidRPr="00E3128F">
        <w:rPr>
          <w:sz w:val="20"/>
          <w:szCs w:val="20"/>
        </w:rPr>
        <w:t>edema</w:t>
      </w:r>
      <w:r w:rsidRPr="00E3128F">
        <w:rPr>
          <w:sz w:val="20"/>
          <w:szCs w:val="20"/>
        </w:rPr>
        <w:t xml:space="preserve"> or cerebral </w:t>
      </w:r>
      <w:r w:rsidR="00CC7EDD" w:rsidRPr="00E3128F">
        <w:rPr>
          <w:sz w:val="20"/>
          <w:szCs w:val="20"/>
        </w:rPr>
        <w:t>ischemia</w:t>
      </w:r>
      <w:r w:rsidRPr="00E3128F">
        <w:rPr>
          <w:sz w:val="20"/>
          <w:szCs w:val="20"/>
        </w:rPr>
        <w:t xml:space="preserve">. If the patient does not recover promptly from </w:t>
      </w:r>
      <w:r w:rsidR="00CC7EDD" w:rsidRPr="00E3128F">
        <w:rPr>
          <w:sz w:val="20"/>
          <w:szCs w:val="20"/>
        </w:rPr>
        <w:t>anesthesia</w:t>
      </w:r>
      <w:r w:rsidRPr="00E3128F">
        <w:rPr>
          <w:sz w:val="20"/>
          <w:szCs w:val="20"/>
        </w:rPr>
        <w:t xml:space="preserve">, an immediate computed tomography scan should be done to ascertain the possibility of </w:t>
      </w:r>
      <w:r w:rsidR="00CC7EDD" w:rsidRPr="00E3128F">
        <w:rPr>
          <w:sz w:val="20"/>
          <w:szCs w:val="20"/>
        </w:rPr>
        <w:t>hematoma</w:t>
      </w:r>
      <w:r w:rsidRPr="00E3128F">
        <w:rPr>
          <w:sz w:val="20"/>
          <w:szCs w:val="20"/>
        </w:rPr>
        <w:t xml:space="preserve">, </w:t>
      </w:r>
      <w:r w:rsidR="00CC7EDD" w:rsidRPr="00E3128F">
        <w:rPr>
          <w:sz w:val="20"/>
          <w:szCs w:val="20"/>
        </w:rPr>
        <w:t>edema</w:t>
      </w:r>
      <w:r w:rsidRPr="00E3128F">
        <w:rPr>
          <w:sz w:val="20"/>
          <w:szCs w:val="20"/>
        </w:rPr>
        <w:t>, hydrocephalus, anterior cerebral artery infar</w:t>
      </w:r>
      <w:r w:rsidR="00F90457" w:rsidRPr="00E3128F">
        <w:rPr>
          <w:sz w:val="20"/>
          <w:szCs w:val="20"/>
        </w:rPr>
        <w:t xml:space="preserve">ction and </w:t>
      </w:r>
      <w:proofErr w:type="spellStart"/>
      <w:r w:rsidR="00F90457" w:rsidRPr="00E3128F">
        <w:rPr>
          <w:sz w:val="20"/>
          <w:szCs w:val="20"/>
        </w:rPr>
        <w:t>pneumocephalus</w:t>
      </w:r>
      <w:proofErr w:type="spellEnd"/>
      <w:r w:rsidRPr="00E3128F">
        <w:rPr>
          <w:sz w:val="20"/>
          <w:szCs w:val="20"/>
        </w:rPr>
        <w:t xml:space="preserve">. Post-operative seizure is unusual, but could occur. </w:t>
      </w:r>
      <w:r w:rsidR="00CC7EDD" w:rsidRPr="00E3128F">
        <w:rPr>
          <w:sz w:val="20"/>
          <w:szCs w:val="20"/>
        </w:rPr>
        <w:t xml:space="preserve">Post-operative steroids may be needed for at least 2 weeks after the surgery. </w:t>
      </w:r>
      <w:r w:rsidRPr="00E3128F">
        <w:rPr>
          <w:sz w:val="20"/>
          <w:szCs w:val="20"/>
        </w:rPr>
        <w:t xml:space="preserve">In large </w:t>
      </w:r>
      <w:r w:rsidR="00CC7EDD" w:rsidRPr="00E3128F">
        <w:rPr>
          <w:sz w:val="20"/>
          <w:szCs w:val="20"/>
        </w:rPr>
        <w:t>tumors</w:t>
      </w:r>
      <w:r w:rsidRPr="00E3128F">
        <w:rPr>
          <w:sz w:val="20"/>
          <w:szCs w:val="20"/>
        </w:rPr>
        <w:t xml:space="preserve">, </w:t>
      </w:r>
      <w:proofErr w:type="spellStart"/>
      <w:r w:rsidRPr="00E3128F">
        <w:rPr>
          <w:sz w:val="20"/>
          <w:szCs w:val="20"/>
        </w:rPr>
        <w:t>hypopituitarism</w:t>
      </w:r>
      <w:proofErr w:type="spellEnd"/>
      <w:r w:rsidRPr="00E3128F">
        <w:rPr>
          <w:sz w:val="20"/>
          <w:szCs w:val="20"/>
        </w:rPr>
        <w:t xml:space="preserve"> and diabetes </w:t>
      </w:r>
      <w:proofErr w:type="spellStart"/>
      <w:r w:rsidRPr="00E3128F">
        <w:rPr>
          <w:sz w:val="20"/>
          <w:szCs w:val="20"/>
        </w:rPr>
        <w:t>insipidus</w:t>
      </w:r>
      <w:proofErr w:type="spellEnd"/>
      <w:r w:rsidRPr="00E3128F">
        <w:rPr>
          <w:sz w:val="20"/>
          <w:szCs w:val="20"/>
        </w:rPr>
        <w:t xml:space="preserve"> can occasionally be observed. If there is an opening into the </w:t>
      </w:r>
      <w:proofErr w:type="spellStart"/>
      <w:r w:rsidRPr="00E3128F">
        <w:rPr>
          <w:sz w:val="20"/>
          <w:szCs w:val="20"/>
        </w:rPr>
        <w:t>ethmoid</w:t>
      </w:r>
      <w:proofErr w:type="spellEnd"/>
      <w:r w:rsidRPr="00E3128F">
        <w:rPr>
          <w:sz w:val="20"/>
          <w:szCs w:val="20"/>
        </w:rPr>
        <w:t xml:space="preserve"> and sphenoid sinus, both should be repaired, and a lumbar drain is inserted and left for almost 5 days. If the leak remains, an endoscopic </w:t>
      </w:r>
      <w:proofErr w:type="spellStart"/>
      <w:r w:rsidRPr="00E3128F">
        <w:rPr>
          <w:sz w:val="20"/>
          <w:szCs w:val="20"/>
        </w:rPr>
        <w:t>transnasal</w:t>
      </w:r>
      <w:proofErr w:type="spellEnd"/>
      <w:r w:rsidRPr="00E3128F">
        <w:rPr>
          <w:sz w:val="20"/>
          <w:szCs w:val="20"/>
        </w:rPr>
        <w:t xml:space="preserve"> approach is performed. If the leak persists, a closure is best accomplished using a </w:t>
      </w:r>
      <w:proofErr w:type="spellStart"/>
      <w:r w:rsidRPr="00E3128F">
        <w:rPr>
          <w:sz w:val="20"/>
          <w:szCs w:val="20"/>
        </w:rPr>
        <w:t>transsphenoidal</w:t>
      </w:r>
      <w:proofErr w:type="spellEnd"/>
      <w:r w:rsidRPr="00E3128F">
        <w:rPr>
          <w:sz w:val="20"/>
          <w:szCs w:val="20"/>
        </w:rPr>
        <w:t xml:space="preserve"> approach. The main post-operative infections include meningitis, cellulites and bone flap </w:t>
      </w:r>
      <w:proofErr w:type="spellStart"/>
      <w:r w:rsidRPr="00E3128F">
        <w:rPr>
          <w:sz w:val="20"/>
          <w:szCs w:val="20"/>
        </w:rPr>
        <w:t>osteomyelitis</w:t>
      </w:r>
      <w:proofErr w:type="spellEnd"/>
      <w:r w:rsidRPr="00E3128F">
        <w:rPr>
          <w:sz w:val="20"/>
          <w:szCs w:val="20"/>
        </w:rPr>
        <w:t xml:space="preserve">. Rarely is it necessary to remove the bone flap. Hydrocephalus may be observed due to venous thrombosis, infection after brain ischemia, </w:t>
      </w:r>
      <w:r w:rsidR="00CC7EDD" w:rsidRPr="00E3128F">
        <w:rPr>
          <w:sz w:val="20"/>
          <w:szCs w:val="20"/>
        </w:rPr>
        <w:t>hematoma</w:t>
      </w:r>
      <w:r w:rsidRPr="00E3128F">
        <w:rPr>
          <w:sz w:val="20"/>
          <w:szCs w:val="20"/>
        </w:rPr>
        <w:t xml:space="preserve"> or normal-pressure hydrocephalus in the elderly in the post-operative period. A shunt might be necessary useful in these cases.</w:t>
      </w:r>
      <w:r w:rsidR="00F90457" w:rsidRPr="00E3128F">
        <w:rPr>
          <w:sz w:val="20"/>
          <w:szCs w:val="20"/>
        </w:rPr>
        <w:t xml:space="preserve"> (1, 2)</w:t>
      </w:r>
    </w:p>
    <w:p w:rsidR="009E4DD0" w:rsidRPr="00E3128F" w:rsidRDefault="008311F4" w:rsidP="009E4DD0">
      <w:pPr>
        <w:autoSpaceDE w:val="0"/>
        <w:autoSpaceDN w:val="0"/>
        <w:bidi w:val="0"/>
        <w:adjustRightInd w:val="0"/>
        <w:jc w:val="lowKashida"/>
        <w:rPr>
          <w:i/>
          <w:iCs/>
          <w:sz w:val="20"/>
          <w:szCs w:val="20"/>
          <w:rtl/>
        </w:rPr>
      </w:pPr>
      <w:r w:rsidRPr="00E3128F">
        <w:rPr>
          <w:b/>
          <w:bCs/>
          <w:sz w:val="20"/>
          <w:szCs w:val="20"/>
        </w:rPr>
        <w:t>Postoperative functional outcome</w:t>
      </w:r>
      <w:r w:rsidRPr="00E3128F">
        <w:rPr>
          <w:i/>
          <w:iCs/>
          <w:sz w:val="20"/>
          <w:szCs w:val="20"/>
        </w:rPr>
        <w:t xml:space="preserve"> </w:t>
      </w:r>
    </w:p>
    <w:p w:rsidR="008311F4" w:rsidRPr="00E3128F" w:rsidRDefault="008311F4" w:rsidP="009E4DD0">
      <w:pPr>
        <w:autoSpaceDE w:val="0"/>
        <w:autoSpaceDN w:val="0"/>
        <w:bidi w:val="0"/>
        <w:adjustRightInd w:val="0"/>
        <w:ind w:firstLine="284"/>
        <w:jc w:val="lowKashida"/>
        <w:rPr>
          <w:sz w:val="20"/>
          <w:szCs w:val="20"/>
        </w:rPr>
      </w:pPr>
      <w:r w:rsidRPr="00E3128F">
        <w:rPr>
          <w:i/>
          <w:iCs/>
          <w:sz w:val="20"/>
          <w:szCs w:val="20"/>
        </w:rPr>
        <w:t xml:space="preserve"> </w:t>
      </w:r>
      <w:r w:rsidRPr="00E3128F">
        <w:rPr>
          <w:sz w:val="20"/>
          <w:szCs w:val="20"/>
        </w:rPr>
        <w:t xml:space="preserve">Functional neurological outcome for patients with olfactory </w:t>
      </w:r>
      <w:proofErr w:type="spellStart"/>
      <w:r w:rsidRPr="00E3128F">
        <w:rPr>
          <w:sz w:val="20"/>
          <w:szCs w:val="20"/>
        </w:rPr>
        <w:t>meningiomas</w:t>
      </w:r>
      <w:proofErr w:type="spellEnd"/>
      <w:r w:rsidRPr="00E3128F">
        <w:rPr>
          <w:sz w:val="20"/>
          <w:szCs w:val="20"/>
        </w:rPr>
        <w:t xml:space="preserve"> generally is good. There was no </w:t>
      </w:r>
      <w:r w:rsidRPr="00E3128F">
        <w:rPr>
          <w:sz w:val="20"/>
          <w:szCs w:val="20"/>
        </w:rPr>
        <w:lastRenderedPageBreak/>
        <w:t>sig</w:t>
      </w:r>
      <w:r w:rsidRPr="00E3128F">
        <w:rPr>
          <w:sz w:val="20"/>
          <w:szCs w:val="20"/>
        </w:rPr>
        <w:softHyphen/>
        <w:t>nificant difference between the number of patients able to work (KPS 80-100) preoperatively and at 6 months postoperative.</w:t>
      </w:r>
    </w:p>
    <w:p w:rsidR="00153291" w:rsidRPr="00153291" w:rsidRDefault="00153291" w:rsidP="00B6591E">
      <w:pPr>
        <w:bidi w:val="0"/>
        <w:jc w:val="both"/>
        <w:rPr>
          <w:b/>
          <w:sz w:val="18"/>
          <w:szCs w:val="18"/>
          <w:lang w:eastAsia="zh-CN"/>
        </w:rPr>
      </w:pPr>
    </w:p>
    <w:p w:rsidR="00B248D3" w:rsidRPr="00E3128F" w:rsidRDefault="00B248D3" w:rsidP="00153291">
      <w:pPr>
        <w:bidi w:val="0"/>
        <w:jc w:val="both"/>
        <w:rPr>
          <w:b/>
          <w:sz w:val="20"/>
          <w:szCs w:val="20"/>
        </w:rPr>
      </w:pPr>
      <w:r w:rsidRPr="00E3128F">
        <w:rPr>
          <w:b/>
          <w:sz w:val="20"/>
          <w:szCs w:val="20"/>
        </w:rPr>
        <w:t>Conclusion</w:t>
      </w:r>
    </w:p>
    <w:p w:rsidR="00B248D3" w:rsidRPr="00E3128F" w:rsidRDefault="00B248D3" w:rsidP="009E4DD0">
      <w:pPr>
        <w:autoSpaceDE w:val="0"/>
        <w:autoSpaceDN w:val="0"/>
        <w:bidi w:val="0"/>
        <w:adjustRightInd w:val="0"/>
        <w:ind w:firstLine="426"/>
        <w:jc w:val="both"/>
        <w:rPr>
          <w:sz w:val="20"/>
          <w:szCs w:val="20"/>
        </w:rPr>
      </w:pPr>
      <w:r w:rsidRPr="00E3128F">
        <w:rPr>
          <w:sz w:val="20"/>
          <w:szCs w:val="20"/>
        </w:rPr>
        <w:t xml:space="preserve">The </w:t>
      </w:r>
      <w:proofErr w:type="spellStart"/>
      <w:r w:rsidR="003F70F1" w:rsidRPr="00E3128F">
        <w:rPr>
          <w:sz w:val="20"/>
          <w:szCs w:val="20"/>
        </w:rPr>
        <w:t>meningiomas</w:t>
      </w:r>
      <w:proofErr w:type="spellEnd"/>
      <w:r w:rsidR="003F70F1" w:rsidRPr="00E3128F">
        <w:rPr>
          <w:sz w:val="20"/>
          <w:szCs w:val="20"/>
        </w:rPr>
        <w:t xml:space="preserve"> of the olfactory groove</w:t>
      </w:r>
      <w:r w:rsidRPr="00E3128F">
        <w:rPr>
          <w:sz w:val="20"/>
          <w:szCs w:val="20"/>
        </w:rPr>
        <w:t xml:space="preserve"> are a</w:t>
      </w:r>
      <w:r w:rsidR="00641C20" w:rsidRPr="00E3128F">
        <w:rPr>
          <w:sz w:val="20"/>
          <w:szCs w:val="20"/>
        </w:rPr>
        <w:t xml:space="preserve"> </w:t>
      </w:r>
      <w:r w:rsidRPr="00E3128F">
        <w:rPr>
          <w:sz w:val="20"/>
          <w:szCs w:val="20"/>
        </w:rPr>
        <w:t>frequent tumor encountered in the central nervous</w:t>
      </w:r>
      <w:r w:rsidR="00641C20" w:rsidRPr="00E3128F">
        <w:rPr>
          <w:sz w:val="20"/>
          <w:szCs w:val="20"/>
        </w:rPr>
        <w:t xml:space="preserve"> </w:t>
      </w:r>
      <w:r w:rsidRPr="00E3128F">
        <w:rPr>
          <w:sz w:val="20"/>
          <w:szCs w:val="20"/>
        </w:rPr>
        <w:t>system. Its main treatment is surgical resection with</w:t>
      </w:r>
      <w:r w:rsidR="00641C20" w:rsidRPr="00E3128F">
        <w:rPr>
          <w:sz w:val="20"/>
          <w:szCs w:val="20"/>
        </w:rPr>
        <w:t xml:space="preserve"> good results and liability </w:t>
      </w:r>
      <w:r w:rsidR="00155AB3" w:rsidRPr="00E3128F">
        <w:rPr>
          <w:sz w:val="20"/>
          <w:szCs w:val="20"/>
        </w:rPr>
        <w:t>to complications</w:t>
      </w:r>
      <w:r w:rsidRPr="00E3128F">
        <w:rPr>
          <w:sz w:val="20"/>
          <w:szCs w:val="20"/>
        </w:rPr>
        <w:t>. The knowledge</w:t>
      </w:r>
      <w:r w:rsidR="00641C20" w:rsidRPr="00E3128F">
        <w:rPr>
          <w:sz w:val="20"/>
          <w:szCs w:val="20"/>
        </w:rPr>
        <w:t xml:space="preserve"> </w:t>
      </w:r>
      <w:r w:rsidRPr="00E3128F">
        <w:rPr>
          <w:sz w:val="20"/>
          <w:szCs w:val="20"/>
        </w:rPr>
        <w:t>of the microsurgical anatomy of the region is essential</w:t>
      </w:r>
      <w:r w:rsidR="00641C20" w:rsidRPr="00E3128F">
        <w:rPr>
          <w:sz w:val="20"/>
          <w:szCs w:val="20"/>
        </w:rPr>
        <w:t xml:space="preserve"> </w:t>
      </w:r>
      <w:r w:rsidRPr="00E3128F">
        <w:rPr>
          <w:sz w:val="20"/>
          <w:szCs w:val="20"/>
        </w:rPr>
        <w:t>for the good outcome.</w:t>
      </w:r>
    </w:p>
    <w:p w:rsidR="00CC7EDD" w:rsidRPr="00153291" w:rsidRDefault="00CC7EDD" w:rsidP="00B6591E">
      <w:pPr>
        <w:bidi w:val="0"/>
        <w:jc w:val="both"/>
        <w:rPr>
          <w:b/>
          <w:sz w:val="18"/>
          <w:szCs w:val="18"/>
        </w:rPr>
      </w:pPr>
    </w:p>
    <w:p w:rsidR="00400FFF" w:rsidRPr="00153291" w:rsidRDefault="00400FFF" w:rsidP="00B6591E">
      <w:pPr>
        <w:bidi w:val="0"/>
        <w:jc w:val="both"/>
        <w:rPr>
          <w:sz w:val="16"/>
          <w:szCs w:val="16"/>
        </w:rPr>
      </w:pPr>
      <w:r w:rsidRPr="00E3128F">
        <w:rPr>
          <w:b/>
          <w:sz w:val="20"/>
          <w:szCs w:val="20"/>
        </w:rPr>
        <w:t>References</w:t>
      </w:r>
    </w:p>
    <w:p w:rsidR="00006A39" w:rsidRPr="00153291" w:rsidRDefault="00006A39" w:rsidP="00153291">
      <w:pPr>
        <w:numPr>
          <w:ilvl w:val="0"/>
          <w:numId w:val="4"/>
        </w:numPr>
        <w:autoSpaceDE w:val="0"/>
        <w:autoSpaceDN w:val="0"/>
        <w:bidi w:val="0"/>
        <w:adjustRightInd w:val="0"/>
        <w:ind w:left="425" w:hanging="425"/>
        <w:jc w:val="both"/>
        <w:rPr>
          <w:sz w:val="16"/>
          <w:szCs w:val="16"/>
        </w:rPr>
      </w:pPr>
      <w:proofErr w:type="spellStart"/>
      <w:r w:rsidRPr="00153291">
        <w:rPr>
          <w:bCs/>
          <w:sz w:val="16"/>
          <w:szCs w:val="16"/>
        </w:rPr>
        <w:t>Aguiar</w:t>
      </w:r>
      <w:proofErr w:type="spellEnd"/>
      <w:r w:rsidRPr="00153291">
        <w:rPr>
          <w:bCs/>
          <w:sz w:val="16"/>
          <w:szCs w:val="16"/>
        </w:rPr>
        <w:t xml:space="preserve"> P.H., Almeida N</w:t>
      </w:r>
      <w:r w:rsidRPr="00153291">
        <w:rPr>
          <w:sz w:val="16"/>
          <w:szCs w:val="16"/>
        </w:rPr>
        <w:t xml:space="preserve">. Surgery of olfactory groove </w:t>
      </w:r>
      <w:proofErr w:type="spellStart"/>
      <w:r w:rsidRPr="00153291">
        <w:rPr>
          <w:sz w:val="16"/>
          <w:szCs w:val="16"/>
        </w:rPr>
        <w:t>meningiomas</w:t>
      </w:r>
      <w:proofErr w:type="spellEnd"/>
      <w:r w:rsidRPr="00153291">
        <w:rPr>
          <w:sz w:val="16"/>
          <w:szCs w:val="16"/>
        </w:rPr>
        <w:t xml:space="preserve">. </w:t>
      </w:r>
      <w:proofErr w:type="gramStart"/>
      <w:r w:rsidRPr="00153291">
        <w:rPr>
          <w:sz w:val="16"/>
          <w:szCs w:val="16"/>
        </w:rPr>
        <w:t>in</w:t>
      </w:r>
      <w:proofErr w:type="gramEnd"/>
      <w:r w:rsidRPr="00153291">
        <w:rPr>
          <w:sz w:val="16"/>
          <w:szCs w:val="16"/>
        </w:rPr>
        <w:t xml:space="preserve"> Ricardo </w:t>
      </w:r>
      <w:proofErr w:type="spellStart"/>
      <w:r w:rsidRPr="00153291">
        <w:rPr>
          <w:sz w:val="16"/>
          <w:szCs w:val="16"/>
        </w:rPr>
        <w:t>Ramina</w:t>
      </w:r>
      <w:proofErr w:type="spellEnd"/>
      <w:r w:rsidRPr="00153291">
        <w:rPr>
          <w:sz w:val="16"/>
          <w:szCs w:val="16"/>
        </w:rPr>
        <w:t xml:space="preserve">, Paulo Henrique, Pines </w:t>
      </w:r>
      <w:proofErr w:type="spellStart"/>
      <w:r w:rsidRPr="00153291">
        <w:rPr>
          <w:sz w:val="16"/>
          <w:szCs w:val="16"/>
        </w:rPr>
        <w:t>Aguiar</w:t>
      </w:r>
      <w:proofErr w:type="spellEnd"/>
      <w:r w:rsidRPr="00153291">
        <w:rPr>
          <w:sz w:val="16"/>
          <w:szCs w:val="16"/>
        </w:rPr>
        <w:t xml:space="preserve">, Marcos </w:t>
      </w:r>
      <w:proofErr w:type="spellStart"/>
      <w:r w:rsidRPr="00153291">
        <w:rPr>
          <w:sz w:val="16"/>
          <w:szCs w:val="16"/>
        </w:rPr>
        <w:t>Tatagiba</w:t>
      </w:r>
      <w:proofErr w:type="spellEnd"/>
      <w:r w:rsidRPr="00153291">
        <w:rPr>
          <w:sz w:val="16"/>
          <w:szCs w:val="16"/>
        </w:rPr>
        <w:t xml:space="preserve"> (</w:t>
      </w:r>
      <w:proofErr w:type="spellStart"/>
      <w:r w:rsidRPr="00153291">
        <w:rPr>
          <w:sz w:val="16"/>
          <w:szCs w:val="16"/>
        </w:rPr>
        <w:t>eds</w:t>
      </w:r>
      <w:proofErr w:type="spellEnd"/>
      <w:r w:rsidRPr="00153291">
        <w:rPr>
          <w:sz w:val="16"/>
          <w:szCs w:val="16"/>
        </w:rPr>
        <w:t xml:space="preserve">) : </w:t>
      </w:r>
      <w:proofErr w:type="spellStart"/>
      <w:r w:rsidRPr="00153291">
        <w:rPr>
          <w:sz w:val="16"/>
          <w:szCs w:val="16"/>
        </w:rPr>
        <w:t>Samii’s</w:t>
      </w:r>
      <w:proofErr w:type="spellEnd"/>
      <w:r w:rsidRPr="00153291">
        <w:rPr>
          <w:sz w:val="16"/>
          <w:szCs w:val="16"/>
        </w:rPr>
        <w:t xml:space="preserve"> essentials in neurosurgery. Springer, pp. 69 – 77, </w:t>
      </w:r>
      <w:r w:rsidR="008311F4" w:rsidRPr="00153291">
        <w:rPr>
          <w:sz w:val="16"/>
          <w:szCs w:val="16"/>
        </w:rPr>
        <w:t>2010</w:t>
      </w:r>
      <w:r w:rsidRPr="00153291">
        <w:rPr>
          <w:sz w:val="16"/>
          <w:szCs w:val="16"/>
        </w:rPr>
        <w:t>.</w:t>
      </w:r>
    </w:p>
    <w:p w:rsidR="00006A39" w:rsidRPr="00153291" w:rsidRDefault="00006A39" w:rsidP="00153291">
      <w:pPr>
        <w:numPr>
          <w:ilvl w:val="0"/>
          <w:numId w:val="4"/>
        </w:numPr>
        <w:autoSpaceDE w:val="0"/>
        <w:autoSpaceDN w:val="0"/>
        <w:bidi w:val="0"/>
        <w:adjustRightInd w:val="0"/>
        <w:ind w:left="425" w:hanging="425"/>
        <w:jc w:val="both"/>
        <w:rPr>
          <w:sz w:val="16"/>
          <w:szCs w:val="16"/>
        </w:rPr>
      </w:pPr>
      <w:r w:rsidRPr="00153291">
        <w:rPr>
          <w:bCs/>
          <w:sz w:val="16"/>
          <w:szCs w:val="16"/>
        </w:rPr>
        <w:t>Al-</w:t>
      </w:r>
      <w:proofErr w:type="spellStart"/>
      <w:r w:rsidRPr="00153291">
        <w:rPr>
          <w:bCs/>
          <w:sz w:val="16"/>
          <w:szCs w:val="16"/>
        </w:rPr>
        <w:t>Mefty</w:t>
      </w:r>
      <w:proofErr w:type="spellEnd"/>
      <w:r w:rsidRPr="00153291">
        <w:rPr>
          <w:bCs/>
          <w:sz w:val="16"/>
          <w:szCs w:val="16"/>
        </w:rPr>
        <w:t xml:space="preserve"> O</w:t>
      </w:r>
      <w:r w:rsidRPr="00153291">
        <w:rPr>
          <w:sz w:val="16"/>
          <w:szCs w:val="16"/>
        </w:rPr>
        <w:t xml:space="preserve">. </w:t>
      </w:r>
      <w:proofErr w:type="spellStart"/>
      <w:r w:rsidRPr="00153291">
        <w:rPr>
          <w:sz w:val="16"/>
          <w:szCs w:val="16"/>
        </w:rPr>
        <w:t>Tuberculum</w:t>
      </w:r>
      <w:proofErr w:type="spellEnd"/>
      <w:r w:rsidRPr="00153291">
        <w:rPr>
          <w:sz w:val="16"/>
          <w:szCs w:val="16"/>
        </w:rPr>
        <w:t xml:space="preserve"> </w:t>
      </w:r>
      <w:proofErr w:type="spellStart"/>
      <w:r w:rsidRPr="00153291">
        <w:rPr>
          <w:sz w:val="16"/>
          <w:szCs w:val="16"/>
        </w:rPr>
        <w:t>sella</w:t>
      </w:r>
      <w:proofErr w:type="spellEnd"/>
      <w:r w:rsidRPr="00153291">
        <w:rPr>
          <w:sz w:val="16"/>
          <w:szCs w:val="16"/>
        </w:rPr>
        <w:t xml:space="preserve"> and olfactory groove </w:t>
      </w:r>
      <w:proofErr w:type="spellStart"/>
      <w:r w:rsidRPr="00153291">
        <w:rPr>
          <w:sz w:val="16"/>
          <w:szCs w:val="16"/>
        </w:rPr>
        <w:t>meningiomas</w:t>
      </w:r>
      <w:proofErr w:type="spellEnd"/>
      <w:r w:rsidRPr="00153291">
        <w:rPr>
          <w:sz w:val="16"/>
          <w:szCs w:val="16"/>
        </w:rPr>
        <w:t xml:space="preserve">, in </w:t>
      </w:r>
      <w:proofErr w:type="spellStart"/>
      <w:r w:rsidRPr="00153291">
        <w:rPr>
          <w:sz w:val="16"/>
          <w:szCs w:val="16"/>
        </w:rPr>
        <w:t>Sekhar</w:t>
      </w:r>
      <w:proofErr w:type="spellEnd"/>
      <w:r w:rsidRPr="00153291">
        <w:rPr>
          <w:sz w:val="16"/>
          <w:szCs w:val="16"/>
        </w:rPr>
        <w:t xml:space="preserve"> LN, </w:t>
      </w:r>
      <w:proofErr w:type="spellStart"/>
      <w:r w:rsidRPr="00153291">
        <w:rPr>
          <w:sz w:val="16"/>
          <w:szCs w:val="16"/>
        </w:rPr>
        <w:t>Janecka</w:t>
      </w:r>
      <w:proofErr w:type="spellEnd"/>
      <w:r w:rsidRPr="00153291">
        <w:rPr>
          <w:sz w:val="16"/>
          <w:szCs w:val="16"/>
        </w:rPr>
        <w:t xml:space="preserve"> IP (</w:t>
      </w:r>
      <w:proofErr w:type="spellStart"/>
      <w:proofErr w:type="gramStart"/>
      <w:r w:rsidRPr="00153291">
        <w:rPr>
          <w:sz w:val="16"/>
          <w:szCs w:val="16"/>
        </w:rPr>
        <w:t>eds</w:t>
      </w:r>
      <w:proofErr w:type="spellEnd"/>
      <w:proofErr w:type="gramEnd"/>
      <w:r w:rsidRPr="00153291">
        <w:rPr>
          <w:sz w:val="16"/>
          <w:szCs w:val="16"/>
        </w:rPr>
        <w:t xml:space="preserve">): </w:t>
      </w:r>
      <w:r w:rsidR="00CC7EDD" w:rsidRPr="00153291">
        <w:rPr>
          <w:sz w:val="16"/>
          <w:szCs w:val="16"/>
        </w:rPr>
        <w:t>Surgery</w:t>
      </w:r>
      <w:r w:rsidRPr="00153291">
        <w:rPr>
          <w:sz w:val="16"/>
          <w:szCs w:val="16"/>
        </w:rPr>
        <w:t xml:space="preserve"> of Cranial Base Tumors. New York: Raven Press, pp. 507-519</w:t>
      </w:r>
      <w:r w:rsidR="00CC7EDD" w:rsidRPr="00153291">
        <w:rPr>
          <w:sz w:val="16"/>
          <w:szCs w:val="16"/>
        </w:rPr>
        <w:t>, 1993</w:t>
      </w:r>
      <w:r w:rsidRPr="00153291">
        <w:rPr>
          <w:sz w:val="16"/>
          <w:szCs w:val="16"/>
        </w:rPr>
        <w:t>.</w:t>
      </w:r>
    </w:p>
    <w:p w:rsidR="00F11139" w:rsidRPr="00153291" w:rsidRDefault="00F11139" w:rsidP="00153291">
      <w:pPr>
        <w:numPr>
          <w:ilvl w:val="0"/>
          <w:numId w:val="4"/>
        </w:numPr>
        <w:bidi w:val="0"/>
        <w:ind w:left="425" w:hanging="425"/>
        <w:jc w:val="both"/>
        <w:rPr>
          <w:sz w:val="16"/>
          <w:szCs w:val="16"/>
        </w:rPr>
      </w:pPr>
      <w:r w:rsidRPr="00153291">
        <w:rPr>
          <w:bCs/>
          <w:sz w:val="16"/>
          <w:szCs w:val="16"/>
        </w:rPr>
        <w:t>Simpson D</w:t>
      </w:r>
      <w:r w:rsidRPr="00153291">
        <w:rPr>
          <w:sz w:val="16"/>
          <w:szCs w:val="16"/>
        </w:rPr>
        <w:t xml:space="preserve">. The recurrence of intracranial </w:t>
      </w:r>
      <w:proofErr w:type="spellStart"/>
      <w:r w:rsidRPr="00153291">
        <w:rPr>
          <w:sz w:val="16"/>
          <w:szCs w:val="16"/>
        </w:rPr>
        <w:t>meningiomas</w:t>
      </w:r>
      <w:proofErr w:type="spellEnd"/>
      <w:r w:rsidRPr="00153291">
        <w:rPr>
          <w:sz w:val="16"/>
          <w:szCs w:val="16"/>
        </w:rPr>
        <w:t xml:space="preserve"> after surgical treat</w:t>
      </w:r>
      <w:r w:rsidRPr="00153291">
        <w:rPr>
          <w:sz w:val="16"/>
          <w:szCs w:val="16"/>
        </w:rPr>
        <w:softHyphen/>
        <w:t xml:space="preserve">ment. J </w:t>
      </w:r>
      <w:proofErr w:type="spellStart"/>
      <w:r w:rsidRPr="00153291">
        <w:rPr>
          <w:sz w:val="16"/>
          <w:szCs w:val="16"/>
        </w:rPr>
        <w:t>Neurol</w:t>
      </w:r>
      <w:proofErr w:type="spellEnd"/>
      <w:r w:rsidRPr="00153291">
        <w:rPr>
          <w:sz w:val="16"/>
          <w:szCs w:val="16"/>
        </w:rPr>
        <w:t xml:space="preserve"> </w:t>
      </w:r>
      <w:proofErr w:type="spellStart"/>
      <w:r w:rsidRPr="00153291">
        <w:rPr>
          <w:sz w:val="16"/>
          <w:szCs w:val="16"/>
        </w:rPr>
        <w:t>Neurosurg</w:t>
      </w:r>
      <w:proofErr w:type="spellEnd"/>
      <w:r w:rsidRPr="00153291">
        <w:rPr>
          <w:sz w:val="16"/>
          <w:szCs w:val="16"/>
        </w:rPr>
        <w:t xml:space="preserve"> Psychiatry 20:22-39, </w:t>
      </w:r>
      <w:r w:rsidR="00806ACA" w:rsidRPr="00153291">
        <w:rPr>
          <w:sz w:val="16"/>
          <w:szCs w:val="16"/>
        </w:rPr>
        <w:t>2010</w:t>
      </w:r>
      <w:r w:rsidRPr="00153291">
        <w:rPr>
          <w:sz w:val="16"/>
          <w:szCs w:val="16"/>
        </w:rPr>
        <w:t>.</w:t>
      </w:r>
    </w:p>
    <w:p w:rsidR="00444ED5" w:rsidRPr="00153291" w:rsidRDefault="00444ED5" w:rsidP="00153291">
      <w:pPr>
        <w:numPr>
          <w:ilvl w:val="0"/>
          <w:numId w:val="4"/>
        </w:numPr>
        <w:bidi w:val="0"/>
        <w:ind w:left="425" w:hanging="425"/>
        <w:jc w:val="both"/>
        <w:rPr>
          <w:sz w:val="16"/>
          <w:szCs w:val="16"/>
        </w:rPr>
      </w:pPr>
      <w:r w:rsidRPr="00153291">
        <w:rPr>
          <w:bCs/>
          <w:sz w:val="16"/>
          <w:szCs w:val="16"/>
        </w:rPr>
        <w:t xml:space="preserve">Cushing H, </w:t>
      </w:r>
      <w:proofErr w:type="spellStart"/>
      <w:r w:rsidRPr="00153291">
        <w:rPr>
          <w:bCs/>
          <w:sz w:val="16"/>
          <w:szCs w:val="16"/>
        </w:rPr>
        <w:t>Eisenhardt</w:t>
      </w:r>
      <w:proofErr w:type="spellEnd"/>
      <w:r w:rsidRPr="00153291">
        <w:rPr>
          <w:bCs/>
          <w:sz w:val="16"/>
          <w:szCs w:val="16"/>
        </w:rPr>
        <w:t xml:space="preserve"> L</w:t>
      </w:r>
      <w:r w:rsidRPr="00153291">
        <w:rPr>
          <w:sz w:val="16"/>
          <w:szCs w:val="16"/>
        </w:rPr>
        <w:t xml:space="preserve">. </w:t>
      </w:r>
      <w:proofErr w:type="spellStart"/>
      <w:r w:rsidRPr="00153291">
        <w:rPr>
          <w:sz w:val="16"/>
          <w:szCs w:val="16"/>
        </w:rPr>
        <w:t>Meningiomas</w:t>
      </w:r>
      <w:proofErr w:type="spellEnd"/>
      <w:r w:rsidRPr="00153291">
        <w:rPr>
          <w:sz w:val="16"/>
          <w:szCs w:val="16"/>
        </w:rPr>
        <w:t xml:space="preserve">: their classification, regional </w:t>
      </w:r>
      <w:proofErr w:type="spellStart"/>
      <w:r w:rsidRPr="00153291">
        <w:rPr>
          <w:sz w:val="16"/>
          <w:szCs w:val="16"/>
        </w:rPr>
        <w:t>behaviour</w:t>
      </w:r>
      <w:proofErr w:type="spellEnd"/>
      <w:r w:rsidRPr="00153291">
        <w:rPr>
          <w:sz w:val="16"/>
          <w:szCs w:val="16"/>
        </w:rPr>
        <w:t xml:space="preserve">, life history and surgical end results. </w:t>
      </w:r>
      <w:proofErr w:type="spellStart"/>
      <w:r w:rsidRPr="00153291">
        <w:rPr>
          <w:sz w:val="16"/>
          <w:szCs w:val="16"/>
        </w:rPr>
        <w:t>Spingfield</w:t>
      </w:r>
      <w:proofErr w:type="spellEnd"/>
      <w:r w:rsidRPr="00153291">
        <w:rPr>
          <w:sz w:val="16"/>
          <w:szCs w:val="16"/>
        </w:rPr>
        <w:t xml:space="preserve">, IL; Charles C. Thomas, </w:t>
      </w:r>
      <w:r w:rsidR="008311F4" w:rsidRPr="00153291">
        <w:rPr>
          <w:sz w:val="16"/>
          <w:szCs w:val="16"/>
        </w:rPr>
        <w:t>2000</w:t>
      </w:r>
      <w:r w:rsidRPr="00153291">
        <w:rPr>
          <w:sz w:val="16"/>
          <w:szCs w:val="16"/>
        </w:rPr>
        <w:t>.</w:t>
      </w:r>
    </w:p>
    <w:p w:rsidR="00444ED5" w:rsidRPr="00153291" w:rsidRDefault="00444ED5" w:rsidP="00153291">
      <w:pPr>
        <w:numPr>
          <w:ilvl w:val="0"/>
          <w:numId w:val="4"/>
        </w:numPr>
        <w:shd w:val="clear" w:color="auto" w:fill="F5F5F5"/>
        <w:bidi w:val="0"/>
        <w:ind w:left="425" w:hanging="425"/>
        <w:jc w:val="both"/>
        <w:textAlignment w:val="top"/>
        <w:rPr>
          <w:sz w:val="16"/>
          <w:szCs w:val="16"/>
        </w:rPr>
      </w:pPr>
      <w:proofErr w:type="spellStart"/>
      <w:r w:rsidRPr="00153291">
        <w:rPr>
          <w:bCs/>
          <w:sz w:val="16"/>
          <w:szCs w:val="16"/>
        </w:rPr>
        <w:t>Derome</w:t>
      </w:r>
      <w:proofErr w:type="spellEnd"/>
      <w:r w:rsidRPr="00153291">
        <w:rPr>
          <w:bCs/>
          <w:sz w:val="16"/>
          <w:szCs w:val="16"/>
        </w:rPr>
        <w:t xml:space="preserve"> PJ, </w:t>
      </w:r>
      <w:proofErr w:type="spellStart"/>
      <w:r w:rsidRPr="00153291">
        <w:rPr>
          <w:bCs/>
          <w:sz w:val="16"/>
          <w:szCs w:val="16"/>
        </w:rPr>
        <w:t>Akerman</w:t>
      </w:r>
      <w:proofErr w:type="spellEnd"/>
      <w:r w:rsidRPr="00153291">
        <w:rPr>
          <w:bCs/>
          <w:sz w:val="16"/>
          <w:szCs w:val="16"/>
        </w:rPr>
        <w:t xml:space="preserve"> M, </w:t>
      </w:r>
      <w:proofErr w:type="spellStart"/>
      <w:r w:rsidRPr="00153291">
        <w:rPr>
          <w:bCs/>
          <w:sz w:val="16"/>
          <w:szCs w:val="16"/>
        </w:rPr>
        <w:t>Anquez</w:t>
      </w:r>
      <w:proofErr w:type="spellEnd"/>
      <w:r w:rsidRPr="00153291">
        <w:rPr>
          <w:bCs/>
          <w:sz w:val="16"/>
          <w:szCs w:val="16"/>
        </w:rPr>
        <w:t xml:space="preserve"> C</w:t>
      </w:r>
      <w:r w:rsidR="00E72A3D" w:rsidRPr="00153291">
        <w:rPr>
          <w:bCs/>
          <w:sz w:val="16"/>
          <w:szCs w:val="16"/>
        </w:rPr>
        <w:t xml:space="preserve"> </w:t>
      </w:r>
      <w:r w:rsidRPr="00153291">
        <w:rPr>
          <w:bCs/>
          <w:i/>
          <w:iCs/>
          <w:sz w:val="16"/>
          <w:szCs w:val="16"/>
        </w:rPr>
        <w:t>et al</w:t>
      </w:r>
      <w:r w:rsidRPr="00153291">
        <w:rPr>
          <w:i/>
          <w:iCs/>
          <w:sz w:val="16"/>
          <w:szCs w:val="16"/>
        </w:rPr>
        <w:t>.</w:t>
      </w:r>
      <w:r w:rsidR="00B430C6" w:rsidRPr="00153291">
        <w:rPr>
          <w:sz w:val="16"/>
          <w:szCs w:val="16"/>
        </w:rPr>
        <w:t xml:space="preserve"> </w:t>
      </w:r>
      <w:proofErr w:type="spellStart"/>
      <w:r w:rsidR="00B430C6" w:rsidRPr="00153291">
        <w:rPr>
          <w:sz w:val="16"/>
          <w:szCs w:val="16"/>
        </w:rPr>
        <w:t>Sphenoethmoidales</w:t>
      </w:r>
      <w:proofErr w:type="spellEnd"/>
      <w:r w:rsidR="00B430C6" w:rsidRPr="00153291">
        <w:rPr>
          <w:sz w:val="16"/>
          <w:szCs w:val="16"/>
        </w:rPr>
        <w:t xml:space="preserve"> tumors: possibilities of resection surgery and repair work</w:t>
      </w:r>
      <w:r w:rsidRPr="00153291">
        <w:rPr>
          <w:sz w:val="16"/>
          <w:szCs w:val="16"/>
        </w:rPr>
        <w:t>.</w:t>
      </w:r>
      <w:r w:rsidR="00E72A3D" w:rsidRPr="00153291">
        <w:rPr>
          <w:sz w:val="16"/>
          <w:szCs w:val="16"/>
        </w:rPr>
        <w:t xml:space="preserve"> </w:t>
      </w:r>
      <w:proofErr w:type="spellStart"/>
      <w:r w:rsidRPr="00153291">
        <w:rPr>
          <w:sz w:val="16"/>
          <w:szCs w:val="16"/>
        </w:rPr>
        <w:t>Neurochirurgie</w:t>
      </w:r>
      <w:proofErr w:type="spellEnd"/>
      <w:r w:rsidRPr="00153291">
        <w:rPr>
          <w:sz w:val="16"/>
          <w:szCs w:val="16"/>
        </w:rPr>
        <w:t xml:space="preserve"> </w:t>
      </w:r>
      <w:r w:rsidR="00B947B6" w:rsidRPr="00153291">
        <w:rPr>
          <w:sz w:val="16"/>
          <w:szCs w:val="16"/>
        </w:rPr>
        <w:t>2009</w:t>
      </w:r>
      <w:r w:rsidRPr="00153291">
        <w:rPr>
          <w:sz w:val="16"/>
          <w:szCs w:val="16"/>
        </w:rPr>
        <w:t>; 18: 1-164.</w:t>
      </w:r>
    </w:p>
    <w:p w:rsidR="00444ED5" w:rsidRPr="00153291" w:rsidRDefault="00444ED5" w:rsidP="00153291">
      <w:pPr>
        <w:numPr>
          <w:ilvl w:val="0"/>
          <w:numId w:val="4"/>
        </w:numPr>
        <w:bidi w:val="0"/>
        <w:ind w:left="425" w:hanging="425"/>
        <w:jc w:val="both"/>
        <w:rPr>
          <w:sz w:val="16"/>
          <w:szCs w:val="16"/>
        </w:rPr>
      </w:pPr>
      <w:proofErr w:type="spellStart"/>
      <w:r w:rsidRPr="00153291">
        <w:rPr>
          <w:bCs/>
          <w:sz w:val="16"/>
          <w:szCs w:val="16"/>
        </w:rPr>
        <w:t>Symon</w:t>
      </w:r>
      <w:proofErr w:type="spellEnd"/>
      <w:r w:rsidRPr="00153291">
        <w:rPr>
          <w:bCs/>
          <w:sz w:val="16"/>
          <w:szCs w:val="16"/>
        </w:rPr>
        <w:t xml:space="preserve"> L.</w:t>
      </w:r>
      <w:r w:rsidRPr="00153291">
        <w:rPr>
          <w:sz w:val="16"/>
          <w:szCs w:val="16"/>
        </w:rPr>
        <w:t xml:space="preserve"> Olfactory groove and </w:t>
      </w:r>
      <w:proofErr w:type="spellStart"/>
      <w:r w:rsidRPr="00153291">
        <w:rPr>
          <w:sz w:val="16"/>
          <w:szCs w:val="16"/>
        </w:rPr>
        <w:t>suprasellar</w:t>
      </w:r>
      <w:proofErr w:type="spellEnd"/>
      <w:r w:rsidRPr="00153291">
        <w:rPr>
          <w:sz w:val="16"/>
          <w:szCs w:val="16"/>
        </w:rPr>
        <w:t xml:space="preserve"> </w:t>
      </w:r>
      <w:proofErr w:type="spellStart"/>
      <w:r w:rsidRPr="00153291">
        <w:rPr>
          <w:sz w:val="16"/>
          <w:szCs w:val="16"/>
        </w:rPr>
        <w:t>meningiomas</w:t>
      </w:r>
      <w:proofErr w:type="spellEnd"/>
      <w:r w:rsidRPr="00153291">
        <w:rPr>
          <w:sz w:val="16"/>
          <w:szCs w:val="16"/>
        </w:rPr>
        <w:t xml:space="preserve">. In: </w:t>
      </w:r>
      <w:proofErr w:type="spellStart"/>
      <w:r w:rsidRPr="00153291">
        <w:rPr>
          <w:sz w:val="16"/>
          <w:szCs w:val="16"/>
        </w:rPr>
        <w:t>Krayenbuhl</w:t>
      </w:r>
      <w:proofErr w:type="spellEnd"/>
      <w:r w:rsidRPr="00153291">
        <w:rPr>
          <w:sz w:val="16"/>
          <w:szCs w:val="16"/>
        </w:rPr>
        <w:t xml:space="preserve"> H (</w:t>
      </w:r>
      <w:proofErr w:type="spellStart"/>
      <w:proofErr w:type="gramStart"/>
      <w:r w:rsidRPr="00153291">
        <w:rPr>
          <w:sz w:val="16"/>
          <w:szCs w:val="16"/>
        </w:rPr>
        <w:t>ed</w:t>
      </w:r>
      <w:proofErr w:type="spellEnd"/>
      <w:proofErr w:type="gramEnd"/>
      <w:r w:rsidRPr="00153291">
        <w:rPr>
          <w:sz w:val="16"/>
          <w:szCs w:val="16"/>
        </w:rPr>
        <w:t xml:space="preserve">). Advances and technical standards in neurosurgery, </w:t>
      </w:r>
      <w:proofErr w:type="spellStart"/>
      <w:r w:rsidRPr="00153291">
        <w:rPr>
          <w:sz w:val="16"/>
          <w:szCs w:val="16"/>
        </w:rPr>
        <w:t>vol</w:t>
      </w:r>
      <w:proofErr w:type="spellEnd"/>
      <w:r w:rsidRPr="00153291">
        <w:rPr>
          <w:sz w:val="16"/>
          <w:szCs w:val="16"/>
        </w:rPr>
        <w:t xml:space="preserve"> 4. Vienna</w:t>
      </w:r>
      <w:r w:rsidR="00F90457" w:rsidRPr="00153291">
        <w:rPr>
          <w:sz w:val="16"/>
          <w:szCs w:val="16"/>
        </w:rPr>
        <w:t>: Springer-</w:t>
      </w:r>
      <w:proofErr w:type="spellStart"/>
      <w:r w:rsidR="00F90457" w:rsidRPr="00153291">
        <w:rPr>
          <w:sz w:val="16"/>
          <w:szCs w:val="16"/>
        </w:rPr>
        <w:t>Verlag</w:t>
      </w:r>
      <w:proofErr w:type="spellEnd"/>
      <w:r w:rsidR="00F90457" w:rsidRPr="00153291">
        <w:rPr>
          <w:sz w:val="16"/>
          <w:szCs w:val="16"/>
        </w:rPr>
        <w:t xml:space="preserve">, </w:t>
      </w:r>
      <w:r w:rsidR="008311F4" w:rsidRPr="00153291">
        <w:rPr>
          <w:sz w:val="16"/>
          <w:szCs w:val="16"/>
        </w:rPr>
        <w:t>2007</w:t>
      </w:r>
      <w:r w:rsidRPr="00153291">
        <w:rPr>
          <w:sz w:val="16"/>
          <w:szCs w:val="16"/>
        </w:rPr>
        <w:t>: 67- 91.</w:t>
      </w:r>
    </w:p>
    <w:p w:rsidR="00444ED5" w:rsidRPr="00153291" w:rsidRDefault="00444ED5" w:rsidP="00153291">
      <w:pPr>
        <w:numPr>
          <w:ilvl w:val="0"/>
          <w:numId w:val="4"/>
        </w:numPr>
        <w:bidi w:val="0"/>
        <w:ind w:left="425" w:hanging="425"/>
        <w:jc w:val="both"/>
        <w:rPr>
          <w:sz w:val="16"/>
          <w:szCs w:val="16"/>
        </w:rPr>
      </w:pPr>
      <w:proofErr w:type="spellStart"/>
      <w:r w:rsidRPr="00153291">
        <w:rPr>
          <w:bCs/>
          <w:sz w:val="16"/>
          <w:szCs w:val="16"/>
        </w:rPr>
        <w:t>Ojemann</w:t>
      </w:r>
      <w:proofErr w:type="spellEnd"/>
      <w:r w:rsidRPr="00153291">
        <w:rPr>
          <w:sz w:val="16"/>
          <w:szCs w:val="16"/>
        </w:rPr>
        <w:t xml:space="preserve"> RG. </w:t>
      </w:r>
      <w:proofErr w:type="spellStart"/>
      <w:r w:rsidRPr="00153291">
        <w:rPr>
          <w:sz w:val="16"/>
          <w:szCs w:val="16"/>
        </w:rPr>
        <w:t>Meningiomas</w:t>
      </w:r>
      <w:proofErr w:type="spellEnd"/>
      <w:r w:rsidRPr="00153291">
        <w:rPr>
          <w:sz w:val="16"/>
          <w:szCs w:val="16"/>
        </w:rPr>
        <w:t xml:space="preserve"> of the basal </w:t>
      </w:r>
      <w:proofErr w:type="spellStart"/>
      <w:r w:rsidRPr="00153291">
        <w:rPr>
          <w:sz w:val="16"/>
          <w:szCs w:val="16"/>
        </w:rPr>
        <w:t>parapituitary</w:t>
      </w:r>
      <w:proofErr w:type="spellEnd"/>
      <w:r w:rsidRPr="00153291">
        <w:rPr>
          <w:sz w:val="16"/>
          <w:szCs w:val="16"/>
        </w:rPr>
        <w:t xml:space="preserve"> region: technical</w:t>
      </w:r>
      <w:r w:rsidR="00995545" w:rsidRPr="00153291">
        <w:rPr>
          <w:sz w:val="16"/>
          <w:szCs w:val="16"/>
        </w:rPr>
        <w:t xml:space="preserve"> </w:t>
      </w:r>
      <w:r w:rsidRPr="00153291">
        <w:rPr>
          <w:sz w:val="16"/>
          <w:szCs w:val="16"/>
        </w:rPr>
        <w:t xml:space="preserve">considerations. </w:t>
      </w:r>
      <w:proofErr w:type="spellStart"/>
      <w:r w:rsidRPr="00153291">
        <w:rPr>
          <w:sz w:val="16"/>
          <w:szCs w:val="16"/>
        </w:rPr>
        <w:t>Clin</w:t>
      </w:r>
      <w:proofErr w:type="spellEnd"/>
      <w:r w:rsidRPr="00153291">
        <w:rPr>
          <w:sz w:val="16"/>
          <w:szCs w:val="16"/>
        </w:rPr>
        <w:t xml:space="preserve"> </w:t>
      </w:r>
      <w:proofErr w:type="spellStart"/>
      <w:r w:rsidRPr="00153291">
        <w:rPr>
          <w:sz w:val="16"/>
          <w:szCs w:val="16"/>
        </w:rPr>
        <w:t>Neurosurg</w:t>
      </w:r>
      <w:proofErr w:type="spellEnd"/>
      <w:r w:rsidRPr="00153291">
        <w:rPr>
          <w:sz w:val="16"/>
          <w:szCs w:val="16"/>
        </w:rPr>
        <w:t xml:space="preserve"> </w:t>
      </w:r>
      <w:r w:rsidR="008311F4" w:rsidRPr="00153291">
        <w:rPr>
          <w:sz w:val="16"/>
          <w:szCs w:val="16"/>
        </w:rPr>
        <w:t>2005</w:t>
      </w:r>
      <w:r w:rsidRPr="00153291">
        <w:rPr>
          <w:sz w:val="16"/>
          <w:szCs w:val="16"/>
        </w:rPr>
        <w:t>; 27: 233-262.</w:t>
      </w:r>
    </w:p>
    <w:p w:rsidR="00444ED5" w:rsidRPr="00153291" w:rsidRDefault="00444ED5" w:rsidP="00153291">
      <w:pPr>
        <w:numPr>
          <w:ilvl w:val="0"/>
          <w:numId w:val="4"/>
        </w:numPr>
        <w:bidi w:val="0"/>
        <w:ind w:left="425" w:hanging="425"/>
        <w:jc w:val="both"/>
        <w:rPr>
          <w:sz w:val="16"/>
          <w:szCs w:val="16"/>
        </w:rPr>
      </w:pPr>
      <w:proofErr w:type="spellStart"/>
      <w:r w:rsidRPr="00153291">
        <w:rPr>
          <w:bCs/>
          <w:sz w:val="16"/>
          <w:szCs w:val="16"/>
        </w:rPr>
        <w:t>Solero</w:t>
      </w:r>
      <w:proofErr w:type="spellEnd"/>
      <w:r w:rsidRPr="00153291">
        <w:rPr>
          <w:bCs/>
          <w:sz w:val="16"/>
          <w:szCs w:val="16"/>
        </w:rPr>
        <w:t xml:space="preserve"> CL, </w:t>
      </w:r>
      <w:proofErr w:type="spellStart"/>
      <w:r w:rsidRPr="00153291">
        <w:rPr>
          <w:bCs/>
          <w:sz w:val="16"/>
          <w:szCs w:val="16"/>
        </w:rPr>
        <w:t>Giomini</w:t>
      </w:r>
      <w:proofErr w:type="spellEnd"/>
      <w:r w:rsidRPr="00153291">
        <w:rPr>
          <w:bCs/>
          <w:sz w:val="16"/>
          <w:szCs w:val="16"/>
        </w:rPr>
        <w:t xml:space="preserve"> S, </w:t>
      </w:r>
      <w:proofErr w:type="spellStart"/>
      <w:r w:rsidRPr="00153291">
        <w:rPr>
          <w:bCs/>
          <w:sz w:val="16"/>
          <w:szCs w:val="16"/>
        </w:rPr>
        <w:t>Morello</w:t>
      </w:r>
      <w:proofErr w:type="spellEnd"/>
      <w:r w:rsidRPr="00153291">
        <w:rPr>
          <w:bCs/>
          <w:sz w:val="16"/>
          <w:szCs w:val="16"/>
        </w:rPr>
        <w:t xml:space="preserve"> G.</w:t>
      </w:r>
      <w:r w:rsidRPr="00153291">
        <w:rPr>
          <w:sz w:val="16"/>
          <w:szCs w:val="16"/>
        </w:rPr>
        <w:t xml:space="preserve"> </w:t>
      </w:r>
      <w:proofErr w:type="spellStart"/>
      <w:r w:rsidRPr="00153291">
        <w:rPr>
          <w:sz w:val="16"/>
          <w:szCs w:val="16"/>
        </w:rPr>
        <w:t>Suprasellar</w:t>
      </w:r>
      <w:proofErr w:type="spellEnd"/>
      <w:r w:rsidRPr="00153291">
        <w:rPr>
          <w:sz w:val="16"/>
          <w:szCs w:val="16"/>
        </w:rPr>
        <w:t xml:space="preserve"> and olfactory </w:t>
      </w:r>
      <w:proofErr w:type="spellStart"/>
      <w:r w:rsidRPr="00153291">
        <w:rPr>
          <w:sz w:val="16"/>
          <w:szCs w:val="16"/>
        </w:rPr>
        <w:t>meningioma</w:t>
      </w:r>
      <w:proofErr w:type="spellEnd"/>
      <w:r w:rsidRPr="00153291">
        <w:rPr>
          <w:sz w:val="16"/>
          <w:szCs w:val="16"/>
        </w:rPr>
        <w:t xml:space="preserve">: report on a series of 153 personal cases. </w:t>
      </w:r>
      <w:proofErr w:type="spellStart"/>
      <w:r w:rsidRPr="00153291">
        <w:rPr>
          <w:sz w:val="16"/>
          <w:szCs w:val="16"/>
        </w:rPr>
        <w:t>Acta</w:t>
      </w:r>
      <w:proofErr w:type="spellEnd"/>
      <w:r w:rsidRPr="00153291">
        <w:rPr>
          <w:sz w:val="16"/>
          <w:szCs w:val="16"/>
        </w:rPr>
        <w:t xml:space="preserve"> </w:t>
      </w:r>
      <w:proofErr w:type="spellStart"/>
      <w:r w:rsidRPr="00153291">
        <w:rPr>
          <w:sz w:val="16"/>
          <w:szCs w:val="16"/>
        </w:rPr>
        <w:t>Neurochir</w:t>
      </w:r>
      <w:proofErr w:type="spellEnd"/>
      <w:r w:rsidRPr="00153291">
        <w:rPr>
          <w:sz w:val="16"/>
          <w:szCs w:val="16"/>
        </w:rPr>
        <w:t xml:space="preserve"> (Wien) 1983; 67: 181-194.</w:t>
      </w:r>
    </w:p>
    <w:p w:rsidR="00444ED5" w:rsidRPr="00153291" w:rsidRDefault="00444ED5" w:rsidP="00153291">
      <w:pPr>
        <w:numPr>
          <w:ilvl w:val="0"/>
          <w:numId w:val="4"/>
        </w:numPr>
        <w:bidi w:val="0"/>
        <w:ind w:left="425" w:hanging="425"/>
        <w:jc w:val="both"/>
        <w:rPr>
          <w:sz w:val="16"/>
          <w:szCs w:val="16"/>
        </w:rPr>
      </w:pPr>
      <w:proofErr w:type="spellStart"/>
      <w:r w:rsidRPr="00153291">
        <w:rPr>
          <w:bCs/>
          <w:sz w:val="16"/>
          <w:szCs w:val="16"/>
        </w:rPr>
        <w:t>Ojemann</w:t>
      </w:r>
      <w:proofErr w:type="spellEnd"/>
      <w:r w:rsidRPr="00153291">
        <w:rPr>
          <w:bCs/>
          <w:sz w:val="16"/>
          <w:szCs w:val="16"/>
        </w:rPr>
        <w:t xml:space="preserve"> RG.</w:t>
      </w:r>
      <w:r w:rsidRPr="00153291">
        <w:rPr>
          <w:sz w:val="16"/>
          <w:szCs w:val="16"/>
        </w:rPr>
        <w:t xml:space="preserve"> Surgical Management of olfactory groove and medial</w:t>
      </w:r>
      <w:r w:rsidR="00E72A3D" w:rsidRPr="00153291">
        <w:rPr>
          <w:sz w:val="16"/>
          <w:szCs w:val="16"/>
        </w:rPr>
        <w:t xml:space="preserve"> </w:t>
      </w:r>
      <w:r w:rsidRPr="00153291">
        <w:rPr>
          <w:sz w:val="16"/>
          <w:szCs w:val="16"/>
        </w:rPr>
        <w:t xml:space="preserve">sphenoid wing </w:t>
      </w:r>
      <w:proofErr w:type="spellStart"/>
      <w:r w:rsidRPr="00153291">
        <w:rPr>
          <w:sz w:val="16"/>
          <w:szCs w:val="16"/>
        </w:rPr>
        <w:t>meningiomas</w:t>
      </w:r>
      <w:proofErr w:type="spellEnd"/>
      <w:r w:rsidRPr="00153291">
        <w:rPr>
          <w:sz w:val="16"/>
          <w:szCs w:val="16"/>
        </w:rPr>
        <w:t xml:space="preserve">. En </w:t>
      </w:r>
      <w:proofErr w:type="spellStart"/>
      <w:r w:rsidRPr="00153291">
        <w:rPr>
          <w:sz w:val="16"/>
          <w:szCs w:val="16"/>
        </w:rPr>
        <w:t>schmidek</w:t>
      </w:r>
      <w:proofErr w:type="spellEnd"/>
      <w:r w:rsidRPr="00153291">
        <w:rPr>
          <w:sz w:val="16"/>
          <w:szCs w:val="16"/>
        </w:rPr>
        <w:t xml:space="preserve"> HH (</w:t>
      </w:r>
      <w:proofErr w:type="spellStart"/>
      <w:proofErr w:type="gramStart"/>
      <w:r w:rsidRPr="00153291">
        <w:rPr>
          <w:sz w:val="16"/>
          <w:szCs w:val="16"/>
        </w:rPr>
        <w:t>ed</w:t>
      </w:r>
      <w:proofErr w:type="spellEnd"/>
      <w:proofErr w:type="gramEnd"/>
      <w:r w:rsidRPr="00153291">
        <w:rPr>
          <w:sz w:val="16"/>
          <w:szCs w:val="16"/>
        </w:rPr>
        <w:t xml:space="preserve">): </w:t>
      </w:r>
      <w:proofErr w:type="spellStart"/>
      <w:r w:rsidRPr="00153291">
        <w:rPr>
          <w:sz w:val="16"/>
          <w:szCs w:val="16"/>
        </w:rPr>
        <w:t>Meningiomas</w:t>
      </w:r>
      <w:proofErr w:type="spellEnd"/>
      <w:r w:rsidR="00E72A3D" w:rsidRPr="00153291">
        <w:rPr>
          <w:sz w:val="16"/>
          <w:szCs w:val="16"/>
        </w:rPr>
        <w:t xml:space="preserve"> </w:t>
      </w:r>
      <w:r w:rsidRPr="00153291">
        <w:rPr>
          <w:sz w:val="16"/>
          <w:szCs w:val="16"/>
        </w:rPr>
        <w:t>and their surgical management. Philadelphia; WB Saunders 1991, p.</w:t>
      </w:r>
      <w:r w:rsidR="00E72A3D" w:rsidRPr="00153291">
        <w:rPr>
          <w:sz w:val="16"/>
          <w:szCs w:val="16"/>
        </w:rPr>
        <w:t xml:space="preserve"> </w:t>
      </w:r>
      <w:r w:rsidRPr="00153291">
        <w:rPr>
          <w:sz w:val="16"/>
          <w:szCs w:val="16"/>
        </w:rPr>
        <w:t>242-259.</w:t>
      </w:r>
    </w:p>
    <w:p w:rsidR="00444ED5" w:rsidRPr="00153291" w:rsidRDefault="00444ED5" w:rsidP="00153291">
      <w:pPr>
        <w:numPr>
          <w:ilvl w:val="0"/>
          <w:numId w:val="4"/>
        </w:numPr>
        <w:bidi w:val="0"/>
        <w:ind w:left="425" w:hanging="425"/>
        <w:jc w:val="both"/>
        <w:rPr>
          <w:sz w:val="16"/>
          <w:szCs w:val="16"/>
        </w:rPr>
      </w:pPr>
      <w:proofErr w:type="spellStart"/>
      <w:r w:rsidRPr="00153291">
        <w:rPr>
          <w:bCs/>
          <w:sz w:val="16"/>
          <w:szCs w:val="16"/>
        </w:rPr>
        <w:t>Derome</w:t>
      </w:r>
      <w:proofErr w:type="spellEnd"/>
      <w:r w:rsidRPr="00153291">
        <w:rPr>
          <w:bCs/>
          <w:sz w:val="16"/>
          <w:szCs w:val="16"/>
        </w:rPr>
        <w:t xml:space="preserve"> PJ, </w:t>
      </w:r>
      <w:proofErr w:type="spellStart"/>
      <w:r w:rsidRPr="00153291">
        <w:rPr>
          <w:bCs/>
          <w:sz w:val="16"/>
          <w:szCs w:val="16"/>
        </w:rPr>
        <w:t>Guiot</w:t>
      </w:r>
      <w:proofErr w:type="spellEnd"/>
      <w:r w:rsidRPr="00153291">
        <w:rPr>
          <w:bCs/>
          <w:sz w:val="16"/>
          <w:szCs w:val="16"/>
        </w:rPr>
        <w:t xml:space="preserve"> G</w:t>
      </w:r>
      <w:r w:rsidRPr="00153291">
        <w:rPr>
          <w:sz w:val="16"/>
          <w:szCs w:val="16"/>
        </w:rPr>
        <w:t xml:space="preserve">. Bone problems in </w:t>
      </w:r>
      <w:proofErr w:type="spellStart"/>
      <w:r w:rsidRPr="00153291">
        <w:rPr>
          <w:sz w:val="16"/>
          <w:szCs w:val="16"/>
        </w:rPr>
        <w:t>meningiomas</w:t>
      </w:r>
      <w:proofErr w:type="spellEnd"/>
      <w:r w:rsidRPr="00153291">
        <w:rPr>
          <w:sz w:val="16"/>
          <w:szCs w:val="16"/>
        </w:rPr>
        <w:t xml:space="preserve"> invading the base of</w:t>
      </w:r>
      <w:r w:rsidR="00B947B6" w:rsidRPr="00153291">
        <w:rPr>
          <w:sz w:val="16"/>
          <w:szCs w:val="16"/>
        </w:rPr>
        <w:t xml:space="preserve"> </w:t>
      </w:r>
      <w:r w:rsidRPr="00153291">
        <w:rPr>
          <w:sz w:val="16"/>
          <w:szCs w:val="16"/>
        </w:rPr>
        <w:t xml:space="preserve">the Skull. </w:t>
      </w:r>
      <w:proofErr w:type="spellStart"/>
      <w:r w:rsidRPr="00153291">
        <w:rPr>
          <w:sz w:val="16"/>
          <w:szCs w:val="16"/>
        </w:rPr>
        <w:t>Clin</w:t>
      </w:r>
      <w:proofErr w:type="spellEnd"/>
      <w:r w:rsidRPr="00153291">
        <w:rPr>
          <w:sz w:val="16"/>
          <w:szCs w:val="16"/>
        </w:rPr>
        <w:t xml:space="preserve"> </w:t>
      </w:r>
      <w:proofErr w:type="spellStart"/>
      <w:r w:rsidRPr="00153291">
        <w:rPr>
          <w:sz w:val="16"/>
          <w:szCs w:val="16"/>
        </w:rPr>
        <w:t>Neurosurg</w:t>
      </w:r>
      <w:proofErr w:type="spellEnd"/>
      <w:r w:rsidRPr="00153291">
        <w:rPr>
          <w:sz w:val="16"/>
          <w:szCs w:val="16"/>
        </w:rPr>
        <w:t xml:space="preserve"> </w:t>
      </w:r>
      <w:r w:rsidR="008311F4" w:rsidRPr="00153291">
        <w:rPr>
          <w:sz w:val="16"/>
          <w:szCs w:val="16"/>
        </w:rPr>
        <w:t>2006</w:t>
      </w:r>
      <w:r w:rsidRPr="00153291">
        <w:rPr>
          <w:sz w:val="16"/>
          <w:szCs w:val="16"/>
        </w:rPr>
        <w:t>; 25: 435-451.</w:t>
      </w:r>
    </w:p>
    <w:p w:rsidR="00444ED5" w:rsidRPr="00153291" w:rsidRDefault="00444ED5" w:rsidP="00153291">
      <w:pPr>
        <w:numPr>
          <w:ilvl w:val="0"/>
          <w:numId w:val="4"/>
        </w:numPr>
        <w:bidi w:val="0"/>
        <w:ind w:left="425" w:hanging="425"/>
        <w:jc w:val="both"/>
        <w:rPr>
          <w:sz w:val="16"/>
          <w:szCs w:val="16"/>
        </w:rPr>
      </w:pPr>
      <w:r w:rsidRPr="00153291">
        <w:rPr>
          <w:bCs/>
          <w:sz w:val="16"/>
          <w:szCs w:val="16"/>
        </w:rPr>
        <w:t xml:space="preserve">McDermott MW, </w:t>
      </w:r>
      <w:proofErr w:type="spellStart"/>
      <w:r w:rsidRPr="00153291">
        <w:rPr>
          <w:bCs/>
          <w:sz w:val="16"/>
          <w:szCs w:val="16"/>
        </w:rPr>
        <w:t>Rootman</w:t>
      </w:r>
      <w:proofErr w:type="spellEnd"/>
      <w:r w:rsidRPr="00153291">
        <w:rPr>
          <w:bCs/>
          <w:sz w:val="16"/>
          <w:szCs w:val="16"/>
        </w:rPr>
        <w:t xml:space="preserve"> J, </w:t>
      </w:r>
      <w:proofErr w:type="spellStart"/>
      <w:r w:rsidRPr="00153291">
        <w:rPr>
          <w:bCs/>
          <w:sz w:val="16"/>
          <w:szCs w:val="16"/>
        </w:rPr>
        <w:t>Durity</w:t>
      </w:r>
      <w:proofErr w:type="spellEnd"/>
      <w:r w:rsidRPr="00153291">
        <w:rPr>
          <w:bCs/>
          <w:sz w:val="16"/>
          <w:szCs w:val="16"/>
        </w:rPr>
        <w:t xml:space="preserve"> FA</w:t>
      </w:r>
      <w:r w:rsidRPr="00153291">
        <w:rPr>
          <w:sz w:val="16"/>
          <w:szCs w:val="16"/>
        </w:rPr>
        <w:t xml:space="preserve">. </w:t>
      </w:r>
      <w:proofErr w:type="spellStart"/>
      <w:r w:rsidRPr="00153291">
        <w:rPr>
          <w:sz w:val="16"/>
          <w:szCs w:val="16"/>
        </w:rPr>
        <w:t>Subperiosteal</w:t>
      </w:r>
      <w:proofErr w:type="spellEnd"/>
      <w:r w:rsidRPr="00153291">
        <w:rPr>
          <w:sz w:val="16"/>
          <w:szCs w:val="16"/>
        </w:rPr>
        <w:t xml:space="preserve">, </w:t>
      </w:r>
      <w:proofErr w:type="spellStart"/>
      <w:r w:rsidRPr="00153291">
        <w:rPr>
          <w:sz w:val="16"/>
          <w:szCs w:val="16"/>
        </w:rPr>
        <w:t>subperiorbital</w:t>
      </w:r>
      <w:proofErr w:type="spellEnd"/>
      <w:r w:rsidRPr="00153291">
        <w:rPr>
          <w:sz w:val="16"/>
          <w:szCs w:val="16"/>
        </w:rPr>
        <w:t xml:space="preserve"> dissection and division of the anterior and posterior </w:t>
      </w:r>
      <w:proofErr w:type="spellStart"/>
      <w:r w:rsidRPr="00153291">
        <w:rPr>
          <w:sz w:val="16"/>
          <w:szCs w:val="16"/>
        </w:rPr>
        <w:t>ethmoid</w:t>
      </w:r>
      <w:proofErr w:type="spellEnd"/>
      <w:r w:rsidR="00E72A3D" w:rsidRPr="00153291">
        <w:rPr>
          <w:sz w:val="16"/>
          <w:szCs w:val="16"/>
        </w:rPr>
        <w:t xml:space="preserve"> </w:t>
      </w:r>
      <w:r w:rsidRPr="00153291">
        <w:rPr>
          <w:sz w:val="16"/>
          <w:szCs w:val="16"/>
        </w:rPr>
        <w:t xml:space="preserve">arteries for </w:t>
      </w:r>
      <w:proofErr w:type="spellStart"/>
      <w:r w:rsidRPr="00153291">
        <w:rPr>
          <w:sz w:val="16"/>
          <w:szCs w:val="16"/>
        </w:rPr>
        <w:t>meningiomas</w:t>
      </w:r>
      <w:proofErr w:type="spellEnd"/>
      <w:r w:rsidRPr="00153291">
        <w:rPr>
          <w:sz w:val="16"/>
          <w:szCs w:val="16"/>
        </w:rPr>
        <w:t xml:space="preserve"> of the </w:t>
      </w:r>
      <w:proofErr w:type="spellStart"/>
      <w:r w:rsidR="00CC7EDD" w:rsidRPr="00153291">
        <w:rPr>
          <w:sz w:val="16"/>
          <w:szCs w:val="16"/>
        </w:rPr>
        <w:t>cribriform</w:t>
      </w:r>
      <w:proofErr w:type="spellEnd"/>
      <w:r w:rsidRPr="00153291">
        <w:rPr>
          <w:sz w:val="16"/>
          <w:szCs w:val="16"/>
        </w:rPr>
        <w:t xml:space="preserve"> plate and </w:t>
      </w:r>
      <w:proofErr w:type="spellStart"/>
      <w:r w:rsidRPr="00153291">
        <w:rPr>
          <w:sz w:val="16"/>
          <w:szCs w:val="16"/>
        </w:rPr>
        <w:t>planum</w:t>
      </w:r>
      <w:proofErr w:type="spellEnd"/>
      <w:r w:rsidRPr="00153291">
        <w:rPr>
          <w:sz w:val="16"/>
          <w:szCs w:val="16"/>
        </w:rPr>
        <w:t xml:space="preserve"> </w:t>
      </w:r>
      <w:proofErr w:type="spellStart"/>
      <w:r w:rsidRPr="00153291">
        <w:rPr>
          <w:sz w:val="16"/>
          <w:szCs w:val="16"/>
        </w:rPr>
        <w:t>sphenoidale</w:t>
      </w:r>
      <w:proofErr w:type="spellEnd"/>
      <w:r w:rsidRPr="00153291">
        <w:rPr>
          <w:sz w:val="16"/>
          <w:szCs w:val="16"/>
        </w:rPr>
        <w:t>: technical note. Neurosurgery 1995; 36: 1215-1219.</w:t>
      </w:r>
    </w:p>
    <w:p w:rsidR="00444ED5" w:rsidRPr="00153291" w:rsidRDefault="00444ED5" w:rsidP="00153291">
      <w:pPr>
        <w:numPr>
          <w:ilvl w:val="0"/>
          <w:numId w:val="4"/>
        </w:numPr>
        <w:bidi w:val="0"/>
        <w:ind w:left="425" w:hanging="425"/>
        <w:jc w:val="both"/>
        <w:rPr>
          <w:sz w:val="16"/>
          <w:szCs w:val="16"/>
        </w:rPr>
      </w:pPr>
      <w:proofErr w:type="spellStart"/>
      <w:r w:rsidRPr="00153291">
        <w:rPr>
          <w:bCs/>
          <w:sz w:val="16"/>
          <w:szCs w:val="16"/>
        </w:rPr>
        <w:t>Hentschel</w:t>
      </w:r>
      <w:proofErr w:type="spellEnd"/>
      <w:r w:rsidRPr="00153291">
        <w:rPr>
          <w:bCs/>
          <w:sz w:val="16"/>
          <w:szCs w:val="16"/>
        </w:rPr>
        <w:t xml:space="preserve"> SJ, </w:t>
      </w:r>
      <w:proofErr w:type="spellStart"/>
      <w:r w:rsidRPr="00153291">
        <w:rPr>
          <w:bCs/>
          <w:sz w:val="16"/>
          <w:szCs w:val="16"/>
        </w:rPr>
        <w:t>DeMonte</w:t>
      </w:r>
      <w:proofErr w:type="spellEnd"/>
      <w:r w:rsidRPr="00153291">
        <w:rPr>
          <w:bCs/>
          <w:sz w:val="16"/>
          <w:szCs w:val="16"/>
        </w:rPr>
        <w:t xml:space="preserve"> F</w:t>
      </w:r>
      <w:r w:rsidRPr="00153291">
        <w:rPr>
          <w:sz w:val="16"/>
          <w:szCs w:val="16"/>
        </w:rPr>
        <w:t xml:space="preserve">. Olfactory groove </w:t>
      </w:r>
      <w:proofErr w:type="spellStart"/>
      <w:r w:rsidRPr="00153291">
        <w:rPr>
          <w:sz w:val="16"/>
          <w:szCs w:val="16"/>
        </w:rPr>
        <w:t>meningiomas</w:t>
      </w:r>
      <w:proofErr w:type="spellEnd"/>
      <w:r w:rsidRPr="00153291">
        <w:rPr>
          <w:sz w:val="16"/>
          <w:szCs w:val="16"/>
        </w:rPr>
        <w:t xml:space="preserve">. </w:t>
      </w:r>
      <w:proofErr w:type="spellStart"/>
      <w:r w:rsidRPr="00153291">
        <w:rPr>
          <w:sz w:val="16"/>
          <w:szCs w:val="16"/>
        </w:rPr>
        <w:t>Neurosurg</w:t>
      </w:r>
      <w:proofErr w:type="spellEnd"/>
      <w:r w:rsidR="00E72A3D" w:rsidRPr="00153291">
        <w:rPr>
          <w:sz w:val="16"/>
          <w:szCs w:val="16"/>
        </w:rPr>
        <w:t xml:space="preserve"> </w:t>
      </w:r>
      <w:r w:rsidRPr="00153291">
        <w:rPr>
          <w:sz w:val="16"/>
          <w:szCs w:val="16"/>
        </w:rPr>
        <w:t>Focus 2003; 14: 1-5.</w:t>
      </w:r>
    </w:p>
    <w:p w:rsidR="00444ED5" w:rsidRPr="00153291" w:rsidRDefault="00444ED5" w:rsidP="00153291">
      <w:pPr>
        <w:numPr>
          <w:ilvl w:val="0"/>
          <w:numId w:val="4"/>
        </w:numPr>
        <w:bidi w:val="0"/>
        <w:ind w:left="425" w:hanging="425"/>
        <w:jc w:val="both"/>
        <w:rPr>
          <w:sz w:val="16"/>
          <w:szCs w:val="16"/>
        </w:rPr>
      </w:pPr>
      <w:proofErr w:type="spellStart"/>
      <w:r w:rsidRPr="00153291">
        <w:rPr>
          <w:bCs/>
          <w:sz w:val="16"/>
          <w:szCs w:val="16"/>
        </w:rPr>
        <w:t>Turazzi</w:t>
      </w:r>
      <w:proofErr w:type="spellEnd"/>
      <w:r w:rsidRPr="00153291">
        <w:rPr>
          <w:bCs/>
          <w:sz w:val="16"/>
          <w:szCs w:val="16"/>
        </w:rPr>
        <w:t xml:space="preserve"> S, </w:t>
      </w:r>
      <w:proofErr w:type="spellStart"/>
      <w:r w:rsidRPr="00153291">
        <w:rPr>
          <w:bCs/>
          <w:sz w:val="16"/>
          <w:szCs w:val="16"/>
        </w:rPr>
        <w:t>Cristofori</w:t>
      </w:r>
      <w:proofErr w:type="spellEnd"/>
      <w:r w:rsidRPr="00153291">
        <w:rPr>
          <w:bCs/>
          <w:sz w:val="16"/>
          <w:szCs w:val="16"/>
        </w:rPr>
        <w:t xml:space="preserve"> L, </w:t>
      </w:r>
      <w:proofErr w:type="spellStart"/>
      <w:r w:rsidRPr="00153291">
        <w:rPr>
          <w:bCs/>
          <w:sz w:val="16"/>
          <w:szCs w:val="16"/>
        </w:rPr>
        <w:t>Gambin</w:t>
      </w:r>
      <w:proofErr w:type="spellEnd"/>
      <w:r w:rsidRPr="00153291">
        <w:rPr>
          <w:bCs/>
          <w:sz w:val="16"/>
          <w:szCs w:val="16"/>
        </w:rPr>
        <w:t xml:space="preserve"> R, </w:t>
      </w:r>
      <w:r w:rsidRPr="00153291">
        <w:rPr>
          <w:bCs/>
          <w:i/>
          <w:iCs/>
          <w:sz w:val="16"/>
          <w:szCs w:val="16"/>
        </w:rPr>
        <w:t>et al</w:t>
      </w:r>
      <w:r w:rsidRPr="00153291">
        <w:rPr>
          <w:i/>
          <w:iCs/>
          <w:sz w:val="16"/>
          <w:szCs w:val="16"/>
        </w:rPr>
        <w:t>.</w:t>
      </w:r>
      <w:r w:rsidRPr="00153291">
        <w:rPr>
          <w:sz w:val="16"/>
          <w:szCs w:val="16"/>
        </w:rPr>
        <w:t xml:space="preserve"> The </w:t>
      </w:r>
      <w:proofErr w:type="spellStart"/>
      <w:r w:rsidRPr="00153291">
        <w:rPr>
          <w:sz w:val="16"/>
          <w:szCs w:val="16"/>
        </w:rPr>
        <w:t>pterional</w:t>
      </w:r>
      <w:proofErr w:type="spellEnd"/>
      <w:r w:rsidRPr="00153291">
        <w:rPr>
          <w:sz w:val="16"/>
          <w:szCs w:val="16"/>
        </w:rPr>
        <w:t xml:space="preserve"> approach for the</w:t>
      </w:r>
      <w:r w:rsidR="00F90457" w:rsidRPr="00153291">
        <w:rPr>
          <w:sz w:val="16"/>
          <w:szCs w:val="16"/>
        </w:rPr>
        <w:t xml:space="preserve"> </w:t>
      </w:r>
      <w:r w:rsidRPr="00153291">
        <w:rPr>
          <w:sz w:val="16"/>
          <w:szCs w:val="16"/>
        </w:rPr>
        <w:t xml:space="preserve">microsurgical </w:t>
      </w:r>
      <w:r w:rsidR="00CC7EDD" w:rsidRPr="00153291">
        <w:rPr>
          <w:sz w:val="16"/>
          <w:szCs w:val="16"/>
        </w:rPr>
        <w:t>removal</w:t>
      </w:r>
      <w:r w:rsidRPr="00153291">
        <w:rPr>
          <w:sz w:val="16"/>
          <w:szCs w:val="16"/>
        </w:rPr>
        <w:t xml:space="preserve"> of olfactory groove </w:t>
      </w:r>
      <w:proofErr w:type="spellStart"/>
      <w:r w:rsidRPr="00153291">
        <w:rPr>
          <w:sz w:val="16"/>
          <w:szCs w:val="16"/>
        </w:rPr>
        <w:t>meningiomas</w:t>
      </w:r>
      <w:proofErr w:type="spellEnd"/>
      <w:r w:rsidRPr="00153291">
        <w:rPr>
          <w:sz w:val="16"/>
          <w:szCs w:val="16"/>
        </w:rPr>
        <w:t>. Neurosurgery</w:t>
      </w:r>
      <w:r w:rsidR="00F90457" w:rsidRPr="00153291">
        <w:rPr>
          <w:sz w:val="16"/>
          <w:szCs w:val="16"/>
        </w:rPr>
        <w:t xml:space="preserve"> </w:t>
      </w:r>
      <w:r w:rsidRPr="00153291">
        <w:rPr>
          <w:sz w:val="16"/>
          <w:szCs w:val="16"/>
        </w:rPr>
        <w:t>1999; 45: 821-826.</w:t>
      </w:r>
    </w:p>
    <w:p w:rsidR="00444ED5" w:rsidRPr="00153291" w:rsidRDefault="00444ED5" w:rsidP="00153291">
      <w:pPr>
        <w:numPr>
          <w:ilvl w:val="0"/>
          <w:numId w:val="4"/>
        </w:numPr>
        <w:bidi w:val="0"/>
        <w:ind w:left="425" w:hanging="425"/>
        <w:jc w:val="both"/>
        <w:rPr>
          <w:sz w:val="16"/>
          <w:szCs w:val="16"/>
        </w:rPr>
      </w:pPr>
      <w:proofErr w:type="spellStart"/>
      <w:r w:rsidRPr="00153291">
        <w:rPr>
          <w:bCs/>
          <w:sz w:val="16"/>
          <w:szCs w:val="16"/>
        </w:rPr>
        <w:t>Hullay</w:t>
      </w:r>
      <w:proofErr w:type="spellEnd"/>
      <w:r w:rsidRPr="00153291">
        <w:rPr>
          <w:bCs/>
          <w:sz w:val="16"/>
          <w:szCs w:val="16"/>
        </w:rPr>
        <w:t xml:space="preserve"> J, </w:t>
      </w:r>
      <w:proofErr w:type="spellStart"/>
      <w:r w:rsidRPr="00153291">
        <w:rPr>
          <w:bCs/>
          <w:sz w:val="16"/>
          <w:szCs w:val="16"/>
        </w:rPr>
        <w:t>Gombi</w:t>
      </w:r>
      <w:proofErr w:type="spellEnd"/>
      <w:r w:rsidRPr="00153291">
        <w:rPr>
          <w:bCs/>
          <w:sz w:val="16"/>
          <w:szCs w:val="16"/>
        </w:rPr>
        <w:t xml:space="preserve"> R, </w:t>
      </w:r>
      <w:proofErr w:type="spellStart"/>
      <w:r w:rsidRPr="00153291">
        <w:rPr>
          <w:bCs/>
          <w:sz w:val="16"/>
          <w:szCs w:val="16"/>
        </w:rPr>
        <w:t>Velok</w:t>
      </w:r>
      <w:proofErr w:type="spellEnd"/>
      <w:r w:rsidRPr="00153291">
        <w:rPr>
          <w:bCs/>
          <w:sz w:val="16"/>
          <w:szCs w:val="16"/>
        </w:rPr>
        <w:t xml:space="preserve"> G, </w:t>
      </w:r>
      <w:proofErr w:type="spellStart"/>
      <w:r w:rsidRPr="00153291">
        <w:rPr>
          <w:bCs/>
          <w:sz w:val="16"/>
          <w:szCs w:val="16"/>
        </w:rPr>
        <w:t>R´ozsa</w:t>
      </w:r>
      <w:proofErr w:type="spellEnd"/>
      <w:r w:rsidRPr="00153291">
        <w:rPr>
          <w:bCs/>
          <w:sz w:val="16"/>
          <w:szCs w:val="16"/>
        </w:rPr>
        <w:t xml:space="preserve"> L, </w:t>
      </w:r>
      <w:proofErr w:type="spellStart"/>
      <w:r w:rsidRPr="00153291">
        <w:rPr>
          <w:bCs/>
          <w:sz w:val="16"/>
          <w:szCs w:val="16"/>
        </w:rPr>
        <w:t>Borus</w:t>
      </w:r>
      <w:proofErr w:type="spellEnd"/>
      <w:r w:rsidRPr="00153291">
        <w:rPr>
          <w:bCs/>
          <w:sz w:val="16"/>
          <w:szCs w:val="16"/>
        </w:rPr>
        <w:t xml:space="preserve"> F</w:t>
      </w:r>
      <w:r w:rsidRPr="00153291">
        <w:rPr>
          <w:sz w:val="16"/>
          <w:szCs w:val="16"/>
        </w:rPr>
        <w:t xml:space="preserve">. </w:t>
      </w:r>
      <w:proofErr w:type="spellStart"/>
      <w:r w:rsidRPr="00153291">
        <w:rPr>
          <w:sz w:val="16"/>
          <w:szCs w:val="16"/>
        </w:rPr>
        <w:t>Planum</w:t>
      </w:r>
      <w:proofErr w:type="spellEnd"/>
      <w:r w:rsidRPr="00153291">
        <w:rPr>
          <w:sz w:val="16"/>
          <w:szCs w:val="16"/>
        </w:rPr>
        <w:t xml:space="preserve"> </w:t>
      </w:r>
      <w:proofErr w:type="spellStart"/>
      <w:r w:rsidRPr="00153291">
        <w:rPr>
          <w:sz w:val="16"/>
          <w:szCs w:val="16"/>
        </w:rPr>
        <w:t>sphenoidale</w:t>
      </w:r>
      <w:proofErr w:type="spellEnd"/>
      <w:r w:rsidR="00F90457" w:rsidRPr="00153291">
        <w:rPr>
          <w:sz w:val="16"/>
          <w:szCs w:val="16"/>
        </w:rPr>
        <w:t xml:space="preserve"> </w:t>
      </w:r>
      <w:proofErr w:type="spellStart"/>
      <w:r w:rsidRPr="00153291">
        <w:rPr>
          <w:sz w:val="16"/>
          <w:szCs w:val="16"/>
        </w:rPr>
        <w:t>meningioma</w:t>
      </w:r>
      <w:proofErr w:type="spellEnd"/>
      <w:r w:rsidRPr="00153291">
        <w:rPr>
          <w:sz w:val="16"/>
          <w:szCs w:val="16"/>
        </w:rPr>
        <w:t>. Attachment and blood</w:t>
      </w:r>
      <w:r w:rsidR="00E72A3D" w:rsidRPr="00153291">
        <w:rPr>
          <w:sz w:val="16"/>
          <w:szCs w:val="16"/>
        </w:rPr>
        <w:t xml:space="preserve"> </w:t>
      </w:r>
      <w:r w:rsidRPr="00153291">
        <w:rPr>
          <w:sz w:val="16"/>
          <w:szCs w:val="16"/>
        </w:rPr>
        <w:t>su</w:t>
      </w:r>
      <w:r w:rsidR="00B947B6" w:rsidRPr="00153291">
        <w:rPr>
          <w:sz w:val="16"/>
          <w:szCs w:val="16"/>
        </w:rPr>
        <w:t xml:space="preserve">pply. </w:t>
      </w:r>
      <w:proofErr w:type="spellStart"/>
      <w:r w:rsidR="00B947B6" w:rsidRPr="00153291">
        <w:rPr>
          <w:sz w:val="16"/>
          <w:szCs w:val="16"/>
        </w:rPr>
        <w:t>Acta</w:t>
      </w:r>
      <w:proofErr w:type="spellEnd"/>
      <w:r w:rsidR="00B947B6" w:rsidRPr="00153291">
        <w:rPr>
          <w:sz w:val="16"/>
          <w:szCs w:val="16"/>
        </w:rPr>
        <w:t xml:space="preserve"> </w:t>
      </w:r>
      <w:proofErr w:type="spellStart"/>
      <w:r w:rsidR="00B947B6" w:rsidRPr="00153291">
        <w:rPr>
          <w:sz w:val="16"/>
          <w:szCs w:val="16"/>
        </w:rPr>
        <w:t>Neurochir</w:t>
      </w:r>
      <w:proofErr w:type="spellEnd"/>
      <w:r w:rsidR="00B947B6" w:rsidRPr="00153291">
        <w:rPr>
          <w:sz w:val="16"/>
          <w:szCs w:val="16"/>
        </w:rPr>
        <w:t xml:space="preserve"> (Wien) 2010</w:t>
      </w:r>
      <w:r w:rsidRPr="00153291">
        <w:rPr>
          <w:sz w:val="16"/>
          <w:szCs w:val="16"/>
        </w:rPr>
        <w:t>;</w:t>
      </w:r>
      <w:r w:rsidR="00F90457" w:rsidRPr="00153291">
        <w:rPr>
          <w:sz w:val="16"/>
          <w:szCs w:val="16"/>
        </w:rPr>
        <w:t xml:space="preserve"> </w:t>
      </w:r>
      <w:r w:rsidRPr="00153291">
        <w:rPr>
          <w:sz w:val="16"/>
          <w:szCs w:val="16"/>
        </w:rPr>
        <w:t>52: 9-12.</w:t>
      </w:r>
    </w:p>
    <w:p w:rsidR="005D58DC" w:rsidRPr="00153291" w:rsidRDefault="00444ED5" w:rsidP="00153291">
      <w:pPr>
        <w:numPr>
          <w:ilvl w:val="0"/>
          <w:numId w:val="4"/>
        </w:numPr>
        <w:bidi w:val="0"/>
        <w:ind w:left="425" w:hanging="425"/>
        <w:jc w:val="both"/>
        <w:rPr>
          <w:sz w:val="20"/>
          <w:szCs w:val="20"/>
          <w:rtl/>
          <w:lang w:bidi="ar-EG"/>
        </w:rPr>
      </w:pPr>
      <w:r w:rsidRPr="00153291">
        <w:rPr>
          <w:bCs/>
          <w:sz w:val="16"/>
          <w:szCs w:val="16"/>
        </w:rPr>
        <w:t xml:space="preserve">Nelson PK, </w:t>
      </w:r>
      <w:proofErr w:type="spellStart"/>
      <w:r w:rsidRPr="00153291">
        <w:rPr>
          <w:bCs/>
          <w:sz w:val="16"/>
          <w:szCs w:val="16"/>
        </w:rPr>
        <w:t>Seltow</w:t>
      </w:r>
      <w:proofErr w:type="spellEnd"/>
      <w:r w:rsidRPr="00153291">
        <w:rPr>
          <w:bCs/>
          <w:sz w:val="16"/>
          <w:szCs w:val="16"/>
        </w:rPr>
        <w:t xml:space="preserve"> A, </w:t>
      </w:r>
      <w:proofErr w:type="spellStart"/>
      <w:r w:rsidRPr="00153291">
        <w:rPr>
          <w:bCs/>
          <w:sz w:val="16"/>
          <w:szCs w:val="16"/>
        </w:rPr>
        <w:t>Choi</w:t>
      </w:r>
      <w:proofErr w:type="spellEnd"/>
      <w:r w:rsidRPr="00153291">
        <w:rPr>
          <w:bCs/>
          <w:sz w:val="16"/>
          <w:szCs w:val="16"/>
        </w:rPr>
        <w:t xml:space="preserve"> IS</w:t>
      </w:r>
      <w:r w:rsidRPr="00153291">
        <w:rPr>
          <w:sz w:val="16"/>
          <w:szCs w:val="16"/>
        </w:rPr>
        <w:t>. Current status of interventional</w:t>
      </w:r>
      <w:r w:rsidR="00E72A3D" w:rsidRPr="00153291">
        <w:rPr>
          <w:sz w:val="16"/>
          <w:szCs w:val="16"/>
        </w:rPr>
        <w:t xml:space="preserve"> </w:t>
      </w:r>
      <w:proofErr w:type="spellStart"/>
      <w:r w:rsidR="00CC7EDD" w:rsidRPr="00153291">
        <w:rPr>
          <w:sz w:val="16"/>
          <w:szCs w:val="16"/>
        </w:rPr>
        <w:t>Neuroradiology</w:t>
      </w:r>
      <w:proofErr w:type="spellEnd"/>
      <w:r w:rsidRPr="00153291">
        <w:rPr>
          <w:sz w:val="16"/>
          <w:szCs w:val="16"/>
        </w:rPr>
        <w:t xml:space="preserve"> in the Management of </w:t>
      </w:r>
      <w:proofErr w:type="spellStart"/>
      <w:r w:rsidRPr="00153291">
        <w:rPr>
          <w:sz w:val="16"/>
          <w:szCs w:val="16"/>
        </w:rPr>
        <w:t>meningiomas</w:t>
      </w:r>
      <w:proofErr w:type="spellEnd"/>
      <w:r w:rsidRPr="00153291">
        <w:rPr>
          <w:sz w:val="16"/>
          <w:szCs w:val="16"/>
        </w:rPr>
        <w:t xml:space="preserve">. </w:t>
      </w:r>
      <w:proofErr w:type="spellStart"/>
      <w:r w:rsidRPr="00153291">
        <w:rPr>
          <w:sz w:val="16"/>
          <w:szCs w:val="16"/>
        </w:rPr>
        <w:t>Neurosurg</w:t>
      </w:r>
      <w:proofErr w:type="spellEnd"/>
      <w:r w:rsidRPr="00153291">
        <w:rPr>
          <w:sz w:val="16"/>
          <w:szCs w:val="16"/>
        </w:rPr>
        <w:t xml:space="preserve"> </w:t>
      </w:r>
      <w:proofErr w:type="spellStart"/>
      <w:r w:rsidRPr="00153291">
        <w:rPr>
          <w:sz w:val="16"/>
          <w:szCs w:val="16"/>
        </w:rPr>
        <w:t>Clin</w:t>
      </w:r>
      <w:proofErr w:type="spellEnd"/>
      <w:r w:rsidRPr="00153291">
        <w:rPr>
          <w:sz w:val="16"/>
          <w:szCs w:val="16"/>
        </w:rPr>
        <w:t xml:space="preserve"> N</w:t>
      </w:r>
      <w:r w:rsidR="00F90457" w:rsidRPr="00153291">
        <w:rPr>
          <w:sz w:val="16"/>
          <w:szCs w:val="16"/>
        </w:rPr>
        <w:t xml:space="preserve"> </w:t>
      </w:r>
      <w:r w:rsidRPr="00153291">
        <w:rPr>
          <w:sz w:val="16"/>
          <w:szCs w:val="16"/>
        </w:rPr>
        <w:t xml:space="preserve">Am </w:t>
      </w:r>
      <w:r w:rsidR="008311F4" w:rsidRPr="00153291">
        <w:rPr>
          <w:sz w:val="16"/>
          <w:szCs w:val="16"/>
        </w:rPr>
        <w:t>2003</w:t>
      </w:r>
      <w:r w:rsidRPr="00153291">
        <w:rPr>
          <w:sz w:val="16"/>
          <w:szCs w:val="16"/>
        </w:rPr>
        <w:t>; 5: 235-259.</w:t>
      </w:r>
    </w:p>
    <w:p w:rsidR="00153291" w:rsidRPr="00153291" w:rsidRDefault="00153291" w:rsidP="00153291">
      <w:pPr>
        <w:bidi w:val="0"/>
        <w:ind w:left="425" w:hanging="425"/>
        <w:jc w:val="both"/>
        <w:rPr>
          <w:sz w:val="20"/>
          <w:szCs w:val="20"/>
          <w:lang w:bidi="ar-EG"/>
        </w:rPr>
        <w:sectPr w:rsidR="00153291" w:rsidRPr="00153291" w:rsidSect="00153291">
          <w:type w:val="continuous"/>
          <w:pgSz w:w="12242" w:h="15842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5D58DC" w:rsidRDefault="005D58DC" w:rsidP="00153291">
      <w:pPr>
        <w:bidi w:val="0"/>
        <w:ind w:left="425" w:hanging="425"/>
        <w:jc w:val="both"/>
        <w:rPr>
          <w:sz w:val="20"/>
          <w:szCs w:val="20"/>
          <w:lang w:eastAsia="zh-CN" w:bidi="ar-EG"/>
        </w:rPr>
      </w:pPr>
    </w:p>
    <w:p w:rsidR="005D58DC" w:rsidRPr="00892A2F" w:rsidRDefault="002A07CD" w:rsidP="00153291">
      <w:pPr>
        <w:bidi w:val="0"/>
        <w:ind w:left="425" w:hanging="425"/>
        <w:jc w:val="both"/>
        <w:rPr>
          <w:sz w:val="20"/>
          <w:szCs w:val="20"/>
          <w:rtl/>
          <w:lang w:bidi="ar-EG"/>
        </w:rPr>
      </w:pPr>
      <w:r w:rsidRPr="00892A2F">
        <w:rPr>
          <w:sz w:val="20"/>
          <w:szCs w:val="20"/>
          <w:lang w:bidi="ar-EG"/>
        </w:rPr>
        <w:t>2/19/2014</w:t>
      </w:r>
    </w:p>
    <w:sectPr w:rsidR="005D58DC" w:rsidRPr="00892A2F" w:rsidSect="003C456B">
      <w:type w:val="continuous"/>
      <w:pgSz w:w="12242" w:h="15842" w:code="1"/>
      <w:pgMar w:top="1440" w:right="1440" w:bottom="1440" w:left="1440" w:header="720" w:footer="720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E78" w:rsidRDefault="00936E78">
      <w:r>
        <w:separator/>
      </w:r>
    </w:p>
  </w:endnote>
  <w:endnote w:type="continuationSeparator" w:id="0">
    <w:p w:rsidR="00936E78" w:rsidRDefault="00936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arnock Pro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EDD" w:rsidRDefault="00E36AFB" w:rsidP="002A031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CC7ED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C7EDD" w:rsidRDefault="00CC7E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EDD" w:rsidRPr="002A07CD" w:rsidRDefault="00E36AFB" w:rsidP="002A07CD">
    <w:pPr>
      <w:bidi w:val="0"/>
      <w:jc w:val="center"/>
      <w:rPr>
        <w:sz w:val="20"/>
      </w:rPr>
    </w:pPr>
    <w:r w:rsidRPr="002A07CD">
      <w:rPr>
        <w:sz w:val="20"/>
      </w:rPr>
      <w:fldChar w:fldCharType="begin"/>
    </w:r>
    <w:r w:rsidR="002A07CD" w:rsidRPr="002A07CD">
      <w:rPr>
        <w:sz w:val="20"/>
      </w:rPr>
      <w:instrText xml:space="preserve"> page </w:instrText>
    </w:r>
    <w:r w:rsidRPr="002A07CD">
      <w:rPr>
        <w:sz w:val="20"/>
      </w:rPr>
      <w:fldChar w:fldCharType="separate"/>
    </w:r>
    <w:r w:rsidR="00681FB8">
      <w:rPr>
        <w:noProof/>
        <w:sz w:val="20"/>
      </w:rPr>
      <w:t>98</w:t>
    </w:r>
    <w:r w:rsidRPr="002A07CD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E78" w:rsidRDefault="00936E78">
      <w:r>
        <w:separator/>
      </w:r>
    </w:p>
  </w:footnote>
  <w:footnote w:type="continuationSeparator" w:id="0">
    <w:p w:rsidR="00936E78" w:rsidRDefault="00936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CD" w:rsidRPr="002A07CD" w:rsidRDefault="002A07CD" w:rsidP="002A07CD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sz w:val="20"/>
        <w:szCs w:val="20"/>
      </w:rPr>
    </w:pPr>
    <w:r w:rsidRPr="002A07CD">
      <w:rPr>
        <w:rFonts w:hint="eastAsia"/>
        <w:iCs/>
        <w:color w:val="000000"/>
        <w:sz w:val="20"/>
        <w:szCs w:val="20"/>
      </w:rPr>
      <w:tab/>
    </w:r>
    <w:r w:rsidRPr="002A07CD">
      <w:rPr>
        <w:sz w:val="20"/>
        <w:szCs w:val="20"/>
      </w:rPr>
      <w:t>Nature and Science 201</w:t>
    </w:r>
    <w:r w:rsidRPr="002A07CD">
      <w:rPr>
        <w:rFonts w:hint="eastAsia"/>
        <w:sz w:val="20"/>
        <w:szCs w:val="20"/>
      </w:rPr>
      <w:t>4</w:t>
    </w:r>
    <w:proofErr w:type="gramStart"/>
    <w:r w:rsidRPr="002A07CD">
      <w:rPr>
        <w:sz w:val="20"/>
        <w:szCs w:val="20"/>
      </w:rPr>
      <w:t>;1</w:t>
    </w:r>
    <w:r w:rsidRPr="002A07CD">
      <w:rPr>
        <w:rFonts w:hint="eastAsia"/>
        <w:sz w:val="20"/>
        <w:szCs w:val="20"/>
      </w:rPr>
      <w:t>2</w:t>
    </w:r>
    <w:proofErr w:type="gramEnd"/>
    <w:r w:rsidRPr="002A07CD">
      <w:rPr>
        <w:sz w:val="20"/>
        <w:szCs w:val="20"/>
      </w:rPr>
      <w:t>(</w:t>
    </w:r>
    <w:r w:rsidRPr="002A07CD">
      <w:rPr>
        <w:rFonts w:hint="eastAsia"/>
        <w:sz w:val="20"/>
        <w:szCs w:val="20"/>
      </w:rPr>
      <w:t>3</w:t>
    </w:r>
    <w:r w:rsidRPr="002A07CD">
      <w:rPr>
        <w:sz w:val="20"/>
        <w:szCs w:val="20"/>
      </w:rPr>
      <w:t xml:space="preserve">) </w:t>
    </w:r>
    <w:r w:rsidRPr="002A07CD">
      <w:rPr>
        <w:color w:val="000000"/>
        <w:sz w:val="20"/>
        <w:szCs w:val="20"/>
      </w:rPr>
      <w:t xml:space="preserve"> </w:t>
    </w:r>
    <w:r w:rsidRPr="002A07CD">
      <w:rPr>
        <w:rFonts w:hint="eastAsia"/>
        <w:color w:val="000000"/>
        <w:sz w:val="20"/>
        <w:szCs w:val="20"/>
      </w:rPr>
      <w:tab/>
    </w:r>
    <w:r w:rsidRPr="002A07CD">
      <w:rPr>
        <w:color w:val="000000"/>
        <w:sz w:val="20"/>
        <w:szCs w:val="20"/>
      </w:rPr>
      <w:t xml:space="preserve"> </w:t>
    </w:r>
    <w:hyperlink r:id="rId1" w:history="1">
      <w:r w:rsidRPr="002A07CD">
        <w:rPr>
          <w:rStyle w:val="Hyperlink"/>
          <w:sz w:val="20"/>
          <w:szCs w:val="20"/>
        </w:rPr>
        <w:t>http://www.sciencepub.net/nature</w:t>
      </w:r>
    </w:hyperlink>
  </w:p>
  <w:p w:rsidR="002A07CD" w:rsidRPr="002A07CD" w:rsidRDefault="002A07CD" w:rsidP="002A07CD">
    <w:pPr>
      <w:tabs>
        <w:tab w:val="left" w:pos="851"/>
        <w:tab w:val="right" w:pos="8364"/>
      </w:tabs>
      <w:bidi w:val="0"/>
      <w:adjustRightInd w:val="0"/>
      <w:snapToGrid w:val="0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5477"/>
    <w:multiLevelType w:val="hybridMultilevel"/>
    <w:tmpl w:val="C5201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D4A44"/>
    <w:multiLevelType w:val="hybridMultilevel"/>
    <w:tmpl w:val="A6C69290"/>
    <w:lvl w:ilvl="0" w:tplc="5FA8263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C62527"/>
    <w:multiLevelType w:val="hybridMultilevel"/>
    <w:tmpl w:val="F738A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43583"/>
    <w:multiLevelType w:val="hybridMultilevel"/>
    <w:tmpl w:val="BB845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F1C66"/>
    <w:multiLevelType w:val="hybridMultilevel"/>
    <w:tmpl w:val="1C74D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1740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5BF"/>
    <w:rsid w:val="000053FC"/>
    <w:rsid w:val="00006A39"/>
    <w:rsid w:val="00012767"/>
    <w:rsid w:val="0002270A"/>
    <w:rsid w:val="00036B2B"/>
    <w:rsid w:val="0003726B"/>
    <w:rsid w:val="00063B30"/>
    <w:rsid w:val="00073877"/>
    <w:rsid w:val="00080C28"/>
    <w:rsid w:val="00082567"/>
    <w:rsid w:val="00093289"/>
    <w:rsid w:val="000944E0"/>
    <w:rsid w:val="00094697"/>
    <w:rsid w:val="000A3BF5"/>
    <w:rsid w:val="000A5ED7"/>
    <w:rsid w:val="000B2324"/>
    <w:rsid w:val="000B577D"/>
    <w:rsid w:val="000D1DAC"/>
    <w:rsid w:val="000D3EB4"/>
    <w:rsid w:val="000D5102"/>
    <w:rsid w:val="000F1312"/>
    <w:rsid w:val="00101CCE"/>
    <w:rsid w:val="001023E9"/>
    <w:rsid w:val="00102C43"/>
    <w:rsid w:val="00107771"/>
    <w:rsid w:val="001170B8"/>
    <w:rsid w:val="0012323B"/>
    <w:rsid w:val="001256AB"/>
    <w:rsid w:val="001302FA"/>
    <w:rsid w:val="0013379F"/>
    <w:rsid w:val="00135792"/>
    <w:rsid w:val="001371E3"/>
    <w:rsid w:val="00150CC0"/>
    <w:rsid w:val="00151367"/>
    <w:rsid w:val="00153291"/>
    <w:rsid w:val="00155AB3"/>
    <w:rsid w:val="001747E4"/>
    <w:rsid w:val="00180B00"/>
    <w:rsid w:val="00195778"/>
    <w:rsid w:val="001A2D99"/>
    <w:rsid w:val="001A34C2"/>
    <w:rsid w:val="001A6FDD"/>
    <w:rsid w:val="001B25D4"/>
    <w:rsid w:val="001B2E6F"/>
    <w:rsid w:val="001B5E53"/>
    <w:rsid w:val="001C1059"/>
    <w:rsid w:val="001C19A6"/>
    <w:rsid w:val="001C5187"/>
    <w:rsid w:val="001D6FCE"/>
    <w:rsid w:val="001E1212"/>
    <w:rsid w:val="001E2BE8"/>
    <w:rsid w:val="001E6541"/>
    <w:rsid w:val="001F6791"/>
    <w:rsid w:val="00201FAF"/>
    <w:rsid w:val="002045DB"/>
    <w:rsid w:val="0021514E"/>
    <w:rsid w:val="00253820"/>
    <w:rsid w:val="00257FD1"/>
    <w:rsid w:val="00266AB6"/>
    <w:rsid w:val="00267066"/>
    <w:rsid w:val="0027596F"/>
    <w:rsid w:val="002776A4"/>
    <w:rsid w:val="00290065"/>
    <w:rsid w:val="002936DD"/>
    <w:rsid w:val="002A031E"/>
    <w:rsid w:val="002A07CD"/>
    <w:rsid w:val="002A6ECB"/>
    <w:rsid w:val="002B1D40"/>
    <w:rsid w:val="002B1ECE"/>
    <w:rsid w:val="002B342C"/>
    <w:rsid w:val="002B3524"/>
    <w:rsid w:val="002C6F68"/>
    <w:rsid w:val="002C7232"/>
    <w:rsid w:val="002D17F7"/>
    <w:rsid w:val="002E16F0"/>
    <w:rsid w:val="00306D33"/>
    <w:rsid w:val="00310235"/>
    <w:rsid w:val="00313D4F"/>
    <w:rsid w:val="00316FB2"/>
    <w:rsid w:val="00317E7F"/>
    <w:rsid w:val="00320EC4"/>
    <w:rsid w:val="003321C3"/>
    <w:rsid w:val="00336D48"/>
    <w:rsid w:val="003466EA"/>
    <w:rsid w:val="00354FB6"/>
    <w:rsid w:val="00356995"/>
    <w:rsid w:val="00356F21"/>
    <w:rsid w:val="00361B59"/>
    <w:rsid w:val="00373D7C"/>
    <w:rsid w:val="00376E92"/>
    <w:rsid w:val="00386DD4"/>
    <w:rsid w:val="00391010"/>
    <w:rsid w:val="00392F96"/>
    <w:rsid w:val="003A043B"/>
    <w:rsid w:val="003A37D2"/>
    <w:rsid w:val="003B32B1"/>
    <w:rsid w:val="003C1F61"/>
    <w:rsid w:val="003C456B"/>
    <w:rsid w:val="003D3DC3"/>
    <w:rsid w:val="003E3156"/>
    <w:rsid w:val="003F4E1A"/>
    <w:rsid w:val="003F677C"/>
    <w:rsid w:val="003F70F1"/>
    <w:rsid w:val="003F7872"/>
    <w:rsid w:val="00400FFF"/>
    <w:rsid w:val="00401D6A"/>
    <w:rsid w:val="00406BA5"/>
    <w:rsid w:val="00414A71"/>
    <w:rsid w:val="0041563E"/>
    <w:rsid w:val="00437605"/>
    <w:rsid w:val="00444ED5"/>
    <w:rsid w:val="0045535F"/>
    <w:rsid w:val="0045558A"/>
    <w:rsid w:val="0045791A"/>
    <w:rsid w:val="00460DA2"/>
    <w:rsid w:val="004A1A9E"/>
    <w:rsid w:val="004B1EB6"/>
    <w:rsid w:val="004C703A"/>
    <w:rsid w:val="004D52FC"/>
    <w:rsid w:val="004E3D1D"/>
    <w:rsid w:val="004F2E0D"/>
    <w:rsid w:val="004F43C2"/>
    <w:rsid w:val="005025A6"/>
    <w:rsid w:val="00510D97"/>
    <w:rsid w:val="00515FCD"/>
    <w:rsid w:val="005220A5"/>
    <w:rsid w:val="005370CF"/>
    <w:rsid w:val="00540C01"/>
    <w:rsid w:val="00564051"/>
    <w:rsid w:val="005655C0"/>
    <w:rsid w:val="00577588"/>
    <w:rsid w:val="005A1867"/>
    <w:rsid w:val="005A20B4"/>
    <w:rsid w:val="005A76B0"/>
    <w:rsid w:val="005B0AF7"/>
    <w:rsid w:val="005C5407"/>
    <w:rsid w:val="005D13C6"/>
    <w:rsid w:val="005D32FF"/>
    <w:rsid w:val="005D58DC"/>
    <w:rsid w:val="005E0B81"/>
    <w:rsid w:val="005E13A7"/>
    <w:rsid w:val="00603F0F"/>
    <w:rsid w:val="00604313"/>
    <w:rsid w:val="0060778E"/>
    <w:rsid w:val="00614446"/>
    <w:rsid w:val="006164FA"/>
    <w:rsid w:val="00621C20"/>
    <w:rsid w:val="006234F0"/>
    <w:rsid w:val="006266D1"/>
    <w:rsid w:val="006347B8"/>
    <w:rsid w:val="00635C2F"/>
    <w:rsid w:val="00640E2C"/>
    <w:rsid w:val="006418C9"/>
    <w:rsid w:val="00641C20"/>
    <w:rsid w:val="00652F89"/>
    <w:rsid w:val="00666EB4"/>
    <w:rsid w:val="00676DB5"/>
    <w:rsid w:val="00681FB8"/>
    <w:rsid w:val="0068335A"/>
    <w:rsid w:val="00686A68"/>
    <w:rsid w:val="00690336"/>
    <w:rsid w:val="00694BEE"/>
    <w:rsid w:val="006A0B06"/>
    <w:rsid w:val="006A2182"/>
    <w:rsid w:val="006A54FE"/>
    <w:rsid w:val="006B5DF3"/>
    <w:rsid w:val="006C243E"/>
    <w:rsid w:val="006C6A5B"/>
    <w:rsid w:val="006D2D4E"/>
    <w:rsid w:val="006D3F31"/>
    <w:rsid w:val="006D77F4"/>
    <w:rsid w:val="006E5225"/>
    <w:rsid w:val="006E58F9"/>
    <w:rsid w:val="006F6824"/>
    <w:rsid w:val="0070436A"/>
    <w:rsid w:val="007103AE"/>
    <w:rsid w:val="007126DE"/>
    <w:rsid w:val="00726D5B"/>
    <w:rsid w:val="00736F81"/>
    <w:rsid w:val="00737447"/>
    <w:rsid w:val="0074424F"/>
    <w:rsid w:val="00744716"/>
    <w:rsid w:val="0074698E"/>
    <w:rsid w:val="00763527"/>
    <w:rsid w:val="00771588"/>
    <w:rsid w:val="00781449"/>
    <w:rsid w:val="00781F4C"/>
    <w:rsid w:val="00784F76"/>
    <w:rsid w:val="00791B51"/>
    <w:rsid w:val="00792596"/>
    <w:rsid w:val="007959C1"/>
    <w:rsid w:val="007A1A26"/>
    <w:rsid w:val="007A721C"/>
    <w:rsid w:val="007B11BA"/>
    <w:rsid w:val="007B74AA"/>
    <w:rsid w:val="007C45BF"/>
    <w:rsid w:val="007C709C"/>
    <w:rsid w:val="007D3FE3"/>
    <w:rsid w:val="007D7E2E"/>
    <w:rsid w:val="007E1FCC"/>
    <w:rsid w:val="007E4F7C"/>
    <w:rsid w:val="007F4301"/>
    <w:rsid w:val="007F5634"/>
    <w:rsid w:val="0080567C"/>
    <w:rsid w:val="00805873"/>
    <w:rsid w:val="008059D8"/>
    <w:rsid w:val="0080686C"/>
    <w:rsid w:val="00806ACA"/>
    <w:rsid w:val="00811E0D"/>
    <w:rsid w:val="00821B32"/>
    <w:rsid w:val="0082484D"/>
    <w:rsid w:val="008311F4"/>
    <w:rsid w:val="00842291"/>
    <w:rsid w:val="00846867"/>
    <w:rsid w:val="00851A8C"/>
    <w:rsid w:val="00877073"/>
    <w:rsid w:val="00886F35"/>
    <w:rsid w:val="00887227"/>
    <w:rsid w:val="00892A2F"/>
    <w:rsid w:val="008A1F0A"/>
    <w:rsid w:val="008B0731"/>
    <w:rsid w:val="008C0FF1"/>
    <w:rsid w:val="008D01AA"/>
    <w:rsid w:val="008E3F0C"/>
    <w:rsid w:val="008F1A59"/>
    <w:rsid w:val="008F78FD"/>
    <w:rsid w:val="00902477"/>
    <w:rsid w:val="0090329C"/>
    <w:rsid w:val="0091062B"/>
    <w:rsid w:val="00914880"/>
    <w:rsid w:val="00923A47"/>
    <w:rsid w:val="00931328"/>
    <w:rsid w:val="009366D7"/>
    <w:rsid w:val="00936E78"/>
    <w:rsid w:val="00942FDB"/>
    <w:rsid w:val="009505B5"/>
    <w:rsid w:val="009520A4"/>
    <w:rsid w:val="00953A01"/>
    <w:rsid w:val="00957703"/>
    <w:rsid w:val="00961596"/>
    <w:rsid w:val="00985012"/>
    <w:rsid w:val="00986D10"/>
    <w:rsid w:val="00995545"/>
    <w:rsid w:val="009A410B"/>
    <w:rsid w:val="009A56F6"/>
    <w:rsid w:val="009B5330"/>
    <w:rsid w:val="009C03DE"/>
    <w:rsid w:val="009C271A"/>
    <w:rsid w:val="009C68B0"/>
    <w:rsid w:val="009D7E7B"/>
    <w:rsid w:val="009E4DD0"/>
    <w:rsid w:val="009E5D8C"/>
    <w:rsid w:val="00A0070E"/>
    <w:rsid w:val="00A118DE"/>
    <w:rsid w:val="00A2070F"/>
    <w:rsid w:val="00A276C4"/>
    <w:rsid w:val="00A351E4"/>
    <w:rsid w:val="00A35888"/>
    <w:rsid w:val="00A4035D"/>
    <w:rsid w:val="00A40A74"/>
    <w:rsid w:val="00A43468"/>
    <w:rsid w:val="00A53A05"/>
    <w:rsid w:val="00A66FA1"/>
    <w:rsid w:val="00A73B5F"/>
    <w:rsid w:val="00A81B65"/>
    <w:rsid w:val="00A81B77"/>
    <w:rsid w:val="00A82465"/>
    <w:rsid w:val="00A83C20"/>
    <w:rsid w:val="00A85BB9"/>
    <w:rsid w:val="00A975D1"/>
    <w:rsid w:val="00AA669D"/>
    <w:rsid w:val="00AB09A2"/>
    <w:rsid w:val="00AB3464"/>
    <w:rsid w:val="00AB69EC"/>
    <w:rsid w:val="00AC2066"/>
    <w:rsid w:val="00AD0C21"/>
    <w:rsid w:val="00AE0EE4"/>
    <w:rsid w:val="00AE5054"/>
    <w:rsid w:val="00AF14C4"/>
    <w:rsid w:val="00AF6FD8"/>
    <w:rsid w:val="00B1196A"/>
    <w:rsid w:val="00B11E4C"/>
    <w:rsid w:val="00B209D5"/>
    <w:rsid w:val="00B20FC3"/>
    <w:rsid w:val="00B245D9"/>
    <w:rsid w:val="00B248D3"/>
    <w:rsid w:val="00B30695"/>
    <w:rsid w:val="00B30723"/>
    <w:rsid w:val="00B30EC1"/>
    <w:rsid w:val="00B31C9A"/>
    <w:rsid w:val="00B342A6"/>
    <w:rsid w:val="00B36053"/>
    <w:rsid w:val="00B430C6"/>
    <w:rsid w:val="00B51A4E"/>
    <w:rsid w:val="00B60C2E"/>
    <w:rsid w:val="00B617EB"/>
    <w:rsid w:val="00B6591E"/>
    <w:rsid w:val="00B77494"/>
    <w:rsid w:val="00B87516"/>
    <w:rsid w:val="00B947B6"/>
    <w:rsid w:val="00BC5A59"/>
    <w:rsid w:val="00BC618F"/>
    <w:rsid w:val="00BC69F5"/>
    <w:rsid w:val="00BC71FD"/>
    <w:rsid w:val="00BC7541"/>
    <w:rsid w:val="00BD3DC1"/>
    <w:rsid w:val="00BD4471"/>
    <w:rsid w:val="00C12DDE"/>
    <w:rsid w:val="00C20DAF"/>
    <w:rsid w:val="00C31DEC"/>
    <w:rsid w:val="00C35B9F"/>
    <w:rsid w:val="00C40F92"/>
    <w:rsid w:val="00C47978"/>
    <w:rsid w:val="00C651CC"/>
    <w:rsid w:val="00C75CAE"/>
    <w:rsid w:val="00C92AE6"/>
    <w:rsid w:val="00C93427"/>
    <w:rsid w:val="00CA3676"/>
    <w:rsid w:val="00CB0E2A"/>
    <w:rsid w:val="00CB684D"/>
    <w:rsid w:val="00CC4A19"/>
    <w:rsid w:val="00CC5594"/>
    <w:rsid w:val="00CC7EDD"/>
    <w:rsid w:val="00CD0231"/>
    <w:rsid w:val="00CD23C6"/>
    <w:rsid w:val="00CD6FB4"/>
    <w:rsid w:val="00CF0F3B"/>
    <w:rsid w:val="00CF16D2"/>
    <w:rsid w:val="00CF1A1A"/>
    <w:rsid w:val="00CF7E2D"/>
    <w:rsid w:val="00D00585"/>
    <w:rsid w:val="00D03E4E"/>
    <w:rsid w:val="00D12881"/>
    <w:rsid w:val="00D27D8F"/>
    <w:rsid w:val="00D30B5C"/>
    <w:rsid w:val="00D33B93"/>
    <w:rsid w:val="00D46721"/>
    <w:rsid w:val="00D6002A"/>
    <w:rsid w:val="00D62A35"/>
    <w:rsid w:val="00D6470C"/>
    <w:rsid w:val="00D647C9"/>
    <w:rsid w:val="00D74170"/>
    <w:rsid w:val="00D76783"/>
    <w:rsid w:val="00D96344"/>
    <w:rsid w:val="00DA07D0"/>
    <w:rsid w:val="00DA2F2E"/>
    <w:rsid w:val="00DA6BC7"/>
    <w:rsid w:val="00DA7EEA"/>
    <w:rsid w:val="00DB39F9"/>
    <w:rsid w:val="00DB4A0A"/>
    <w:rsid w:val="00DC079F"/>
    <w:rsid w:val="00DC1F78"/>
    <w:rsid w:val="00DC5484"/>
    <w:rsid w:val="00DD2389"/>
    <w:rsid w:val="00DD3089"/>
    <w:rsid w:val="00DD753A"/>
    <w:rsid w:val="00DF4968"/>
    <w:rsid w:val="00DF5345"/>
    <w:rsid w:val="00E048A1"/>
    <w:rsid w:val="00E04A3D"/>
    <w:rsid w:val="00E05E0C"/>
    <w:rsid w:val="00E12EBC"/>
    <w:rsid w:val="00E23202"/>
    <w:rsid w:val="00E23B15"/>
    <w:rsid w:val="00E2753A"/>
    <w:rsid w:val="00E3128F"/>
    <w:rsid w:val="00E321D8"/>
    <w:rsid w:val="00E3412F"/>
    <w:rsid w:val="00E36AFB"/>
    <w:rsid w:val="00E40B5E"/>
    <w:rsid w:val="00E40D00"/>
    <w:rsid w:val="00E45016"/>
    <w:rsid w:val="00E479D9"/>
    <w:rsid w:val="00E50B96"/>
    <w:rsid w:val="00E6778E"/>
    <w:rsid w:val="00E72A3D"/>
    <w:rsid w:val="00E74AD1"/>
    <w:rsid w:val="00E856C0"/>
    <w:rsid w:val="00E8670C"/>
    <w:rsid w:val="00E92251"/>
    <w:rsid w:val="00EA27E5"/>
    <w:rsid w:val="00EA7AAE"/>
    <w:rsid w:val="00EC43BF"/>
    <w:rsid w:val="00EE14A8"/>
    <w:rsid w:val="00EF2B40"/>
    <w:rsid w:val="00EF7E07"/>
    <w:rsid w:val="00F00C7E"/>
    <w:rsid w:val="00F01610"/>
    <w:rsid w:val="00F02842"/>
    <w:rsid w:val="00F0619C"/>
    <w:rsid w:val="00F077AD"/>
    <w:rsid w:val="00F10744"/>
    <w:rsid w:val="00F11139"/>
    <w:rsid w:val="00F160F5"/>
    <w:rsid w:val="00F354ED"/>
    <w:rsid w:val="00F35AC6"/>
    <w:rsid w:val="00F52FBA"/>
    <w:rsid w:val="00F56ACE"/>
    <w:rsid w:val="00F61A3A"/>
    <w:rsid w:val="00F66BD1"/>
    <w:rsid w:val="00F74B4F"/>
    <w:rsid w:val="00F807FC"/>
    <w:rsid w:val="00F90457"/>
    <w:rsid w:val="00F97A6F"/>
    <w:rsid w:val="00FB2910"/>
    <w:rsid w:val="00FB3C38"/>
    <w:rsid w:val="00FB7724"/>
    <w:rsid w:val="00FE1580"/>
    <w:rsid w:val="00FE4245"/>
    <w:rsid w:val="00FE782A"/>
    <w:rsid w:val="00FF2E79"/>
    <w:rsid w:val="00FF3145"/>
    <w:rsid w:val="00FF5244"/>
    <w:rsid w:val="00FF5C0D"/>
    <w:rsid w:val="00FF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5BF"/>
    <w:pPr>
      <w:bidi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3B3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617EB"/>
    <w:rPr>
      <w:color w:val="0000FF"/>
      <w:u w:val="single"/>
    </w:rPr>
  </w:style>
  <w:style w:type="paragraph" w:styleId="Footer">
    <w:name w:val="footer"/>
    <w:basedOn w:val="Normal"/>
    <w:rsid w:val="008D01A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01AA"/>
  </w:style>
  <w:style w:type="paragraph" w:customStyle="1" w:styleId="fulltext-textfulltext-indent">
    <w:name w:val="fulltext-text fulltext-indent"/>
    <w:basedOn w:val="Normal"/>
    <w:rsid w:val="00986D10"/>
    <w:pPr>
      <w:bidi w:val="0"/>
      <w:spacing w:before="100" w:beforeAutospacing="1" w:after="360"/>
    </w:pPr>
  </w:style>
  <w:style w:type="paragraph" w:styleId="NormalWeb">
    <w:name w:val="Normal (Web)"/>
    <w:basedOn w:val="Normal"/>
    <w:rsid w:val="00406BA5"/>
    <w:pPr>
      <w:bidi w:val="0"/>
      <w:spacing w:before="100" w:beforeAutospacing="1" w:after="100" w:afterAutospacing="1"/>
    </w:pPr>
  </w:style>
  <w:style w:type="paragraph" w:customStyle="1" w:styleId="Default">
    <w:name w:val="Default"/>
    <w:rsid w:val="00DC079F"/>
    <w:pPr>
      <w:autoSpaceDE w:val="0"/>
      <w:autoSpaceDN w:val="0"/>
      <w:adjustRightInd w:val="0"/>
    </w:pPr>
    <w:rPr>
      <w:rFonts w:ascii="Warnock Pro Light" w:hAnsi="Warnock Pro Light" w:cs="Warnock Pro Light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rsid w:val="00DC079F"/>
    <w:pPr>
      <w:spacing w:line="201" w:lineRule="atLeast"/>
    </w:pPr>
    <w:rPr>
      <w:rFonts w:cs="Times New Roman"/>
      <w:color w:val="auto"/>
    </w:rPr>
  </w:style>
  <w:style w:type="character" w:customStyle="1" w:styleId="A8">
    <w:name w:val="A8"/>
    <w:rsid w:val="00DC079F"/>
    <w:rPr>
      <w:rFonts w:cs="Warnock Pro Light"/>
      <w:color w:val="000000"/>
      <w:sz w:val="12"/>
      <w:szCs w:val="12"/>
    </w:rPr>
  </w:style>
  <w:style w:type="paragraph" w:customStyle="1" w:styleId="Pa13">
    <w:name w:val="Pa13"/>
    <w:basedOn w:val="Default"/>
    <w:next w:val="Default"/>
    <w:rsid w:val="00DC079F"/>
    <w:pPr>
      <w:spacing w:line="201" w:lineRule="atLeast"/>
    </w:pPr>
    <w:rPr>
      <w:rFonts w:cs="Times New Roman"/>
      <w:color w:val="auto"/>
    </w:rPr>
  </w:style>
  <w:style w:type="character" w:customStyle="1" w:styleId="shorttext">
    <w:name w:val="short_text"/>
    <w:basedOn w:val="DefaultParagraphFont"/>
    <w:rsid w:val="00376E92"/>
  </w:style>
  <w:style w:type="character" w:customStyle="1" w:styleId="hps">
    <w:name w:val="hps"/>
    <w:basedOn w:val="DefaultParagraphFont"/>
    <w:rsid w:val="00376E92"/>
  </w:style>
  <w:style w:type="character" w:customStyle="1" w:styleId="longtext">
    <w:name w:val="long_text"/>
    <w:basedOn w:val="DefaultParagraphFont"/>
    <w:rsid w:val="006E5225"/>
  </w:style>
  <w:style w:type="character" w:customStyle="1" w:styleId="hpsatn">
    <w:name w:val="hps atn"/>
    <w:basedOn w:val="DefaultParagraphFont"/>
    <w:rsid w:val="006E5225"/>
  </w:style>
  <w:style w:type="paragraph" w:customStyle="1" w:styleId="Pa6">
    <w:name w:val="Pa6"/>
    <w:basedOn w:val="Default"/>
    <w:next w:val="Default"/>
    <w:uiPriority w:val="99"/>
    <w:rsid w:val="00763527"/>
    <w:pPr>
      <w:spacing w:line="161" w:lineRule="atLeast"/>
    </w:pPr>
    <w:rPr>
      <w:rFonts w:ascii="Frutiger 55 Roman" w:hAnsi="Frutiger 55 Roman" w:cs="Times New Roman"/>
      <w:color w:val="auto"/>
    </w:rPr>
  </w:style>
  <w:style w:type="paragraph" w:styleId="Header">
    <w:name w:val="header"/>
    <w:basedOn w:val="Normal"/>
    <w:link w:val="HeaderChar"/>
    <w:rsid w:val="005B0AF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B0AF7"/>
    <w:rPr>
      <w:sz w:val="24"/>
      <w:szCs w:val="24"/>
    </w:rPr>
  </w:style>
  <w:style w:type="character" w:styleId="CommentReference">
    <w:name w:val="annotation reference"/>
    <w:rsid w:val="00CF0F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F3B"/>
    <w:rPr>
      <w:sz w:val="20"/>
      <w:szCs w:val="20"/>
    </w:rPr>
  </w:style>
  <w:style w:type="character" w:customStyle="1" w:styleId="CommentTextChar">
    <w:name w:val="Comment Text Char"/>
    <w:link w:val="CommentText"/>
    <w:rsid w:val="00CF0F3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F0F3B"/>
    <w:rPr>
      <w:b/>
      <w:bCs/>
    </w:rPr>
  </w:style>
  <w:style w:type="character" w:customStyle="1" w:styleId="CommentSubjectChar">
    <w:name w:val="Comment Subject Char"/>
    <w:link w:val="CommentSubject"/>
    <w:rsid w:val="00CF0F3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F0F3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F0F3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5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75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2406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5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1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8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4193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84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8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8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7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7663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97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3214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4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7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3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2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0986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5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0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9907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73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1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03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6200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7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3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9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1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8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9203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19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0305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0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ature" TargetMode="Externa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60F80-14AE-41D0-836C-6A248F90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3045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of Lumbar Inter-spinous Spacer (CoﬂexTM) in Treatment of Degenerative Lumbar Spinal Stenosis</vt:lpstr>
    </vt:vector>
  </TitlesOfParts>
  <Company>微软中国</Company>
  <LinksUpToDate>false</LinksUpToDate>
  <CharactersWithSpaces>20367</CharactersWithSpaces>
  <SharedDoc>false</SharedDoc>
  <HLinks>
    <vt:vector size="12" baseType="variant"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http://www.sciencepub.net/nature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http://www.sciencepub.net/nature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Lumbar Inter-spinous Spacer (CoﬂexTM) in Treatment of Degenerative Lumbar Spinal Stenosis</dc:title>
  <dc:creator>Winner</dc:creator>
  <cp:lastModifiedBy>Administrator</cp:lastModifiedBy>
  <cp:revision>4</cp:revision>
  <cp:lastPrinted>2014-02-26T03:30:00Z</cp:lastPrinted>
  <dcterms:created xsi:type="dcterms:W3CDTF">2014-02-25T14:56:00Z</dcterms:created>
  <dcterms:modified xsi:type="dcterms:W3CDTF">2014-02-26T03:31:00Z</dcterms:modified>
</cp:coreProperties>
</file>