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EB1" w:rsidRPr="006D15A8" w:rsidRDefault="00EC4E8A" w:rsidP="006D15A8">
      <w:pPr>
        <w:pStyle w:val="BodyText"/>
        <w:rPr>
          <w:sz w:val="20"/>
        </w:rPr>
      </w:pPr>
      <w:r w:rsidRPr="006D15A8">
        <w:rPr>
          <w:sz w:val="20"/>
        </w:rPr>
        <w:t>A preliminary study on d</w:t>
      </w:r>
      <w:r w:rsidR="00185FE7" w:rsidRPr="006D15A8">
        <w:rPr>
          <w:sz w:val="20"/>
        </w:rPr>
        <w:t xml:space="preserve">ual role of </w:t>
      </w:r>
      <w:proofErr w:type="spellStart"/>
      <w:r w:rsidR="00185FE7" w:rsidRPr="006D15A8">
        <w:rPr>
          <w:sz w:val="20"/>
        </w:rPr>
        <w:t>humic</w:t>
      </w:r>
      <w:proofErr w:type="spellEnd"/>
      <w:r w:rsidR="00185FE7" w:rsidRPr="006D15A8">
        <w:rPr>
          <w:sz w:val="20"/>
        </w:rPr>
        <w:t xml:space="preserve"> acid in mulberry (</w:t>
      </w:r>
      <w:proofErr w:type="spellStart"/>
      <w:r w:rsidR="00322EB1" w:rsidRPr="006D15A8">
        <w:rPr>
          <w:i/>
          <w:iCs/>
          <w:sz w:val="20"/>
        </w:rPr>
        <w:t>Morus</w:t>
      </w:r>
      <w:proofErr w:type="spellEnd"/>
      <w:r w:rsidR="00322EB1" w:rsidRPr="006D15A8">
        <w:rPr>
          <w:i/>
          <w:iCs/>
          <w:sz w:val="20"/>
        </w:rPr>
        <w:t xml:space="preserve"> </w:t>
      </w:r>
      <w:r w:rsidR="004E13FF" w:rsidRPr="006D15A8">
        <w:rPr>
          <w:i/>
          <w:iCs/>
          <w:sz w:val="20"/>
        </w:rPr>
        <w:t>a</w:t>
      </w:r>
      <w:r w:rsidR="00185FE7" w:rsidRPr="006D15A8">
        <w:rPr>
          <w:i/>
          <w:iCs/>
          <w:sz w:val="20"/>
        </w:rPr>
        <w:t>lba</w:t>
      </w:r>
      <w:r w:rsidR="00185FE7" w:rsidRPr="006D15A8">
        <w:rPr>
          <w:sz w:val="20"/>
        </w:rPr>
        <w:t xml:space="preserve"> </w:t>
      </w:r>
      <w:r w:rsidR="00322EB1" w:rsidRPr="006D15A8">
        <w:rPr>
          <w:sz w:val="20"/>
        </w:rPr>
        <w:t>L</w:t>
      </w:r>
      <w:r w:rsidR="00185FE7" w:rsidRPr="006D15A8">
        <w:rPr>
          <w:sz w:val="20"/>
        </w:rPr>
        <w:t>.) cultivation</w:t>
      </w:r>
    </w:p>
    <w:p w:rsidR="0090600C" w:rsidRPr="006D15A8" w:rsidRDefault="0090600C" w:rsidP="006D15A8">
      <w:pPr>
        <w:jc w:val="center"/>
        <w:rPr>
          <w:b/>
          <w:bCs/>
          <w:sz w:val="20"/>
        </w:rPr>
      </w:pPr>
    </w:p>
    <w:p w:rsidR="00322EB1" w:rsidRPr="006D15A8" w:rsidRDefault="00322EB1" w:rsidP="006D15A8">
      <w:pPr>
        <w:jc w:val="center"/>
        <w:rPr>
          <w:sz w:val="20"/>
        </w:rPr>
      </w:pPr>
      <w:r w:rsidRPr="006D15A8">
        <w:rPr>
          <w:sz w:val="20"/>
        </w:rPr>
        <w:t>R. Kar</w:t>
      </w:r>
      <w:r w:rsidR="00B06D6C" w:rsidRPr="006D15A8">
        <w:rPr>
          <w:sz w:val="20"/>
          <w:vertAlign w:val="superscript"/>
        </w:rPr>
        <w:t>1</w:t>
      </w:r>
      <w:r w:rsidRPr="006D15A8">
        <w:rPr>
          <w:sz w:val="20"/>
        </w:rPr>
        <w:t xml:space="preserve">, </w:t>
      </w:r>
      <w:r w:rsidR="00B254D1" w:rsidRPr="006D15A8">
        <w:rPr>
          <w:sz w:val="20"/>
        </w:rPr>
        <w:t>M. K. Ghosh</w:t>
      </w:r>
      <w:r w:rsidR="00B06D6C" w:rsidRPr="006D15A8">
        <w:rPr>
          <w:sz w:val="20"/>
          <w:vertAlign w:val="superscript"/>
        </w:rPr>
        <w:t>1</w:t>
      </w:r>
      <w:r w:rsidR="00282BB9" w:rsidRPr="006D15A8">
        <w:rPr>
          <w:sz w:val="20"/>
        </w:rPr>
        <w:t>, S. K. Majumder</w:t>
      </w:r>
      <w:r w:rsidR="00282BB9" w:rsidRPr="006D15A8">
        <w:rPr>
          <w:sz w:val="20"/>
          <w:vertAlign w:val="superscript"/>
        </w:rPr>
        <w:t>2</w:t>
      </w:r>
      <w:r w:rsidR="00282BB9" w:rsidRPr="006D15A8">
        <w:rPr>
          <w:sz w:val="20"/>
        </w:rPr>
        <w:t xml:space="preserve"> </w:t>
      </w:r>
      <w:r w:rsidRPr="006D15A8">
        <w:rPr>
          <w:sz w:val="20"/>
        </w:rPr>
        <w:t xml:space="preserve">and </w:t>
      </w:r>
      <w:r w:rsidR="00B254D1" w:rsidRPr="006D15A8">
        <w:rPr>
          <w:sz w:val="20"/>
        </w:rPr>
        <w:t>S</w:t>
      </w:r>
      <w:r w:rsidRPr="006D15A8">
        <w:rPr>
          <w:sz w:val="20"/>
        </w:rPr>
        <w:t xml:space="preserve">. </w:t>
      </w:r>
      <w:proofErr w:type="spellStart"/>
      <w:r w:rsidR="00B254D1" w:rsidRPr="006D15A8">
        <w:rPr>
          <w:sz w:val="20"/>
        </w:rPr>
        <w:t>Nirmal</w:t>
      </w:r>
      <w:proofErr w:type="spellEnd"/>
      <w:r w:rsidR="00B254D1" w:rsidRPr="006D15A8">
        <w:rPr>
          <w:sz w:val="20"/>
        </w:rPr>
        <w:t xml:space="preserve"> Kumar</w:t>
      </w:r>
      <w:r w:rsidR="00B06D6C" w:rsidRPr="006D15A8">
        <w:rPr>
          <w:sz w:val="20"/>
          <w:vertAlign w:val="superscript"/>
        </w:rPr>
        <w:t>1</w:t>
      </w:r>
    </w:p>
    <w:p w:rsidR="00322EB1" w:rsidRPr="006D15A8" w:rsidRDefault="00322EB1" w:rsidP="006D15A8">
      <w:pPr>
        <w:jc w:val="center"/>
        <w:rPr>
          <w:sz w:val="20"/>
        </w:rPr>
      </w:pPr>
    </w:p>
    <w:p w:rsidR="00322EB1" w:rsidRPr="006D15A8" w:rsidRDefault="00185FE7" w:rsidP="006D15A8">
      <w:pPr>
        <w:pStyle w:val="BodyText3"/>
        <w:ind w:left="360"/>
        <w:jc w:val="center"/>
        <w:rPr>
          <w:sz w:val="20"/>
        </w:rPr>
      </w:pPr>
      <w:r w:rsidRPr="006D15A8">
        <w:rPr>
          <w:sz w:val="20"/>
          <w:vertAlign w:val="superscript"/>
        </w:rPr>
        <w:t>1</w:t>
      </w:r>
      <w:r w:rsidR="000A137F" w:rsidRPr="006D15A8">
        <w:rPr>
          <w:sz w:val="20"/>
        </w:rPr>
        <w:t xml:space="preserve">Soil Science and Chemistry Section, </w:t>
      </w:r>
      <w:r w:rsidR="00322EB1" w:rsidRPr="006D15A8">
        <w:rPr>
          <w:sz w:val="20"/>
        </w:rPr>
        <w:t xml:space="preserve">Central </w:t>
      </w:r>
      <w:proofErr w:type="spellStart"/>
      <w:r w:rsidR="00322EB1" w:rsidRPr="006D15A8">
        <w:rPr>
          <w:sz w:val="20"/>
        </w:rPr>
        <w:t>Sericultural</w:t>
      </w:r>
      <w:proofErr w:type="spellEnd"/>
      <w:r w:rsidR="00322EB1" w:rsidRPr="006D15A8">
        <w:rPr>
          <w:sz w:val="20"/>
        </w:rPr>
        <w:t xml:space="preserve"> Research and Training Institute,</w:t>
      </w:r>
      <w:r w:rsidR="0090600C" w:rsidRPr="006D15A8">
        <w:rPr>
          <w:sz w:val="20"/>
        </w:rPr>
        <w:t xml:space="preserve"> </w:t>
      </w:r>
      <w:r w:rsidR="00FA72CF" w:rsidRPr="006D15A8">
        <w:rPr>
          <w:sz w:val="20"/>
        </w:rPr>
        <w:t xml:space="preserve">Central Silk Board, </w:t>
      </w:r>
      <w:r w:rsidR="0090600C" w:rsidRPr="006D15A8">
        <w:rPr>
          <w:sz w:val="20"/>
        </w:rPr>
        <w:t xml:space="preserve">Berhampore-742101, West </w:t>
      </w:r>
      <w:smartTag w:uri="urn:schemas-microsoft-com:office:smarttags" w:element="place">
        <w:smartTag w:uri="urn:schemas-microsoft-com:office:smarttags" w:element="City">
          <w:r w:rsidR="0090600C" w:rsidRPr="006D15A8">
            <w:rPr>
              <w:sz w:val="20"/>
            </w:rPr>
            <w:t>Bengal</w:t>
          </w:r>
        </w:smartTag>
        <w:r w:rsidR="000A137F" w:rsidRPr="006D15A8">
          <w:rPr>
            <w:sz w:val="20"/>
          </w:rPr>
          <w:t xml:space="preserve">, </w:t>
        </w:r>
        <w:smartTag w:uri="urn:schemas-microsoft-com:office:smarttags" w:element="country-region">
          <w:r w:rsidR="000A137F" w:rsidRPr="006D15A8">
            <w:rPr>
              <w:sz w:val="20"/>
            </w:rPr>
            <w:t>India</w:t>
          </w:r>
        </w:smartTag>
      </w:smartTag>
    </w:p>
    <w:p w:rsidR="00185FE7" w:rsidRPr="006D15A8" w:rsidRDefault="00E97761" w:rsidP="006D15A8">
      <w:pPr>
        <w:pStyle w:val="BodyText3"/>
        <w:ind w:left="360"/>
        <w:jc w:val="center"/>
        <w:rPr>
          <w:sz w:val="20"/>
        </w:rPr>
      </w:pPr>
      <w:hyperlink r:id="rId7" w:history="1">
        <w:r w:rsidR="00B24C23" w:rsidRPr="006D15A8">
          <w:rPr>
            <w:rStyle w:val="Hyperlink"/>
            <w:color w:val="auto"/>
            <w:sz w:val="20"/>
          </w:rPr>
          <w:t>ranjitkr4@gmail.com</w:t>
        </w:r>
      </w:hyperlink>
    </w:p>
    <w:p w:rsidR="00B24C23" w:rsidRPr="006D15A8" w:rsidRDefault="00B24C23" w:rsidP="00163527">
      <w:pPr>
        <w:jc w:val="center"/>
        <w:rPr>
          <w:sz w:val="20"/>
        </w:rPr>
      </w:pPr>
      <w:r w:rsidRPr="006D15A8">
        <w:rPr>
          <w:sz w:val="20"/>
          <w:vertAlign w:val="superscript"/>
        </w:rPr>
        <w:t>2</w:t>
      </w:r>
      <w:r w:rsidRPr="006D15A8">
        <w:rPr>
          <w:sz w:val="20"/>
        </w:rPr>
        <w:t xml:space="preserve">Basic Seed Farm, National Silkworm Seed Organization, Central Silk Board, </w:t>
      </w:r>
      <w:proofErr w:type="spellStart"/>
      <w:r w:rsidRPr="006D15A8">
        <w:rPr>
          <w:sz w:val="20"/>
        </w:rPr>
        <w:t>Dhubulia</w:t>
      </w:r>
      <w:proofErr w:type="spellEnd"/>
      <w:r w:rsidRPr="006D15A8">
        <w:rPr>
          <w:sz w:val="20"/>
        </w:rPr>
        <w:t xml:space="preserve">, West </w:t>
      </w:r>
      <w:smartTag w:uri="urn:schemas-microsoft-com:office:smarttags" w:element="place">
        <w:smartTag w:uri="urn:schemas-microsoft-com:office:smarttags" w:element="City">
          <w:r w:rsidRPr="006D15A8">
            <w:rPr>
              <w:sz w:val="20"/>
            </w:rPr>
            <w:t>Bengal</w:t>
          </w:r>
        </w:smartTag>
        <w:r w:rsidRPr="006D15A8">
          <w:rPr>
            <w:sz w:val="20"/>
          </w:rPr>
          <w:t xml:space="preserve">, </w:t>
        </w:r>
        <w:smartTag w:uri="urn:schemas-microsoft-com:office:smarttags" w:element="country-region">
          <w:r w:rsidRPr="006D15A8">
            <w:rPr>
              <w:sz w:val="20"/>
            </w:rPr>
            <w:t>India</w:t>
          </w:r>
        </w:smartTag>
      </w:smartTag>
    </w:p>
    <w:p w:rsidR="00322EB1" w:rsidRPr="006D15A8" w:rsidRDefault="00322EB1" w:rsidP="006D15A8">
      <w:pPr>
        <w:jc w:val="center"/>
        <w:rPr>
          <w:sz w:val="20"/>
        </w:rPr>
      </w:pPr>
    </w:p>
    <w:p w:rsidR="00550055" w:rsidRPr="006D15A8" w:rsidRDefault="00185FE7" w:rsidP="006D15A8">
      <w:pPr>
        <w:jc w:val="both"/>
        <w:rPr>
          <w:sz w:val="20"/>
          <w:lang w:eastAsia="zh-CN"/>
        </w:rPr>
      </w:pPr>
      <w:r w:rsidRPr="006D15A8">
        <w:rPr>
          <w:b/>
          <w:bCs/>
          <w:sz w:val="20"/>
        </w:rPr>
        <w:t xml:space="preserve">Abstract: </w:t>
      </w:r>
      <w:proofErr w:type="spellStart"/>
      <w:r w:rsidR="00550055" w:rsidRPr="006D15A8">
        <w:rPr>
          <w:sz w:val="20"/>
        </w:rPr>
        <w:t>Humic</w:t>
      </w:r>
      <w:proofErr w:type="spellEnd"/>
      <w:r w:rsidR="00550055" w:rsidRPr="006D15A8">
        <w:rPr>
          <w:sz w:val="20"/>
        </w:rPr>
        <w:t xml:space="preserve"> acid (HA), the naturally occurring polymeric molecule establishes its importance for conditioning soil properties and influencing plant physiological activities. In the present communication, role of HA in reducing the fixation of phosphorus (P) and potassium (K) by soil clay has been investigated in terms of differential fixation of both the elements by clay and clay-</w:t>
      </w:r>
      <w:proofErr w:type="spellStart"/>
      <w:r w:rsidR="00550055" w:rsidRPr="006D15A8">
        <w:rPr>
          <w:sz w:val="20"/>
        </w:rPr>
        <w:t>humate</w:t>
      </w:r>
      <w:proofErr w:type="spellEnd"/>
      <w:r w:rsidR="00550055" w:rsidRPr="006D15A8">
        <w:rPr>
          <w:sz w:val="20"/>
        </w:rPr>
        <w:t xml:space="preserve"> complex</w:t>
      </w:r>
      <w:r w:rsidR="00D8013B" w:rsidRPr="006D15A8">
        <w:rPr>
          <w:sz w:val="20"/>
        </w:rPr>
        <w:t xml:space="preserve"> (CHC)</w:t>
      </w:r>
      <w:r w:rsidR="00550055" w:rsidRPr="006D15A8">
        <w:rPr>
          <w:sz w:val="20"/>
        </w:rPr>
        <w:t>. Besides, favorable influence of HA administration on the root growth of mulberry</w:t>
      </w:r>
      <w:r w:rsidR="0097430D" w:rsidRPr="006D15A8">
        <w:rPr>
          <w:sz w:val="20"/>
        </w:rPr>
        <w:t xml:space="preserve"> (</w:t>
      </w:r>
      <w:proofErr w:type="spellStart"/>
      <w:r w:rsidR="0097430D" w:rsidRPr="006D15A8">
        <w:rPr>
          <w:i/>
          <w:iCs/>
          <w:sz w:val="20"/>
        </w:rPr>
        <w:t>Morus</w:t>
      </w:r>
      <w:proofErr w:type="spellEnd"/>
      <w:r w:rsidR="0097430D" w:rsidRPr="006D15A8">
        <w:rPr>
          <w:i/>
          <w:iCs/>
          <w:sz w:val="20"/>
        </w:rPr>
        <w:t xml:space="preserve"> alba</w:t>
      </w:r>
      <w:r w:rsidR="0097430D" w:rsidRPr="006D15A8">
        <w:rPr>
          <w:sz w:val="20"/>
        </w:rPr>
        <w:t xml:space="preserve"> L.) variety, S-1635,</w:t>
      </w:r>
      <w:r w:rsidR="00550055" w:rsidRPr="006D15A8">
        <w:rPr>
          <w:sz w:val="20"/>
        </w:rPr>
        <w:t xml:space="preserve"> has also been ascertained.</w:t>
      </w:r>
    </w:p>
    <w:p w:rsidR="00BD5A9C" w:rsidRDefault="00BD5A9C" w:rsidP="006D15A8">
      <w:pPr>
        <w:jc w:val="both"/>
        <w:rPr>
          <w:sz w:val="20"/>
          <w:szCs w:val="20"/>
          <w:lang w:eastAsia="zh-CN"/>
        </w:rPr>
      </w:pPr>
      <w:r w:rsidRPr="006D15A8">
        <w:rPr>
          <w:rFonts w:hint="eastAsia"/>
          <w:b/>
          <w:bCs/>
          <w:sz w:val="20"/>
          <w:szCs w:val="20"/>
        </w:rPr>
        <w:t>[</w:t>
      </w:r>
      <w:r w:rsidR="006D15A8" w:rsidRPr="006D15A8">
        <w:rPr>
          <w:sz w:val="20"/>
        </w:rPr>
        <w:t xml:space="preserve">R. </w:t>
      </w:r>
      <w:proofErr w:type="spellStart"/>
      <w:r w:rsidR="006D15A8" w:rsidRPr="006D15A8">
        <w:rPr>
          <w:sz w:val="20"/>
        </w:rPr>
        <w:t>Kar</w:t>
      </w:r>
      <w:proofErr w:type="spellEnd"/>
      <w:r w:rsidR="006D15A8" w:rsidRPr="006D15A8">
        <w:rPr>
          <w:sz w:val="20"/>
        </w:rPr>
        <w:t xml:space="preserve">, M. K. </w:t>
      </w:r>
      <w:proofErr w:type="spellStart"/>
      <w:r w:rsidR="006D15A8" w:rsidRPr="006D15A8">
        <w:rPr>
          <w:sz w:val="20"/>
        </w:rPr>
        <w:t>Ghosh</w:t>
      </w:r>
      <w:proofErr w:type="spellEnd"/>
      <w:r w:rsidR="006D15A8" w:rsidRPr="006D15A8">
        <w:rPr>
          <w:sz w:val="20"/>
        </w:rPr>
        <w:t xml:space="preserve">, S. K. </w:t>
      </w:r>
      <w:proofErr w:type="spellStart"/>
      <w:r w:rsidR="006D15A8" w:rsidRPr="006D15A8">
        <w:rPr>
          <w:sz w:val="20"/>
        </w:rPr>
        <w:t>Majumder</w:t>
      </w:r>
      <w:proofErr w:type="spellEnd"/>
      <w:r w:rsidR="006D15A8" w:rsidRPr="006D15A8">
        <w:rPr>
          <w:sz w:val="20"/>
        </w:rPr>
        <w:t xml:space="preserve"> and S. </w:t>
      </w:r>
      <w:proofErr w:type="spellStart"/>
      <w:r w:rsidR="006D15A8" w:rsidRPr="006D15A8">
        <w:rPr>
          <w:sz w:val="20"/>
        </w:rPr>
        <w:t>Nirmal</w:t>
      </w:r>
      <w:proofErr w:type="spellEnd"/>
      <w:r w:rsidR="006D15A8" w:rsidRPr="006D15A8">
        <w:rPr>
          <w:sz w:val="20"/>
        </w:rPr>
        <w:t xml:space="preserve"> Kumar</w:t>
      </w:r>
      <w:r w:rsidRPr="006D15A8">
        <w:rPr>
          <w:sz w:val="20"/>
          <w:szCs w:val="20"/>
        </w:rPr>
        <w:t xml:space="preserve">. </w:t>
      </w:r>
      <w:r w:rsidR="006D15A8" w:rsidRPr="006D15A8">
        <w:rPr>
          <w:b/>
          <w:sz w:val="20"/>
        </w:rPr>
        <w:t xml:space="preserve">A preliminary study on dual role of </w:t>
      </w:r>
      <w:proofErr w:type="spellStart"/>
      <w:r w:rsidR="006D15A8" w:rsidRPr="006D15A8">
        <w:rPr>
          <w:b/>
          <w:sz w:val="20"/>
        </w:rPr>
        <w:t>humic</w:t>
      </w:r>
      <w:proofErr w:type="spellEnd"/>
      <w:r w:rsidR="006D15A8" w:rsidRPr="006D15A8">
        <w:rPr>
          <w:b/>
          <w:sz w:val="20"/>
        </w:rPr>
        <w:t xml:space="preserve"> acid in mulberry (</w:t>
      </w:r>
      <w:proofErr w:type="spellStart"/>
      <w:r w:rsidR="006D15A8" w:rsidRPr="006D15A8">
        <w:rPr>
          <w:b/>
          <w:i/>
          <w:iCs/>
          <w:sz w:val="20"/>
        </w:rPr>
        <w:t>Morus</w:t>
      </w:r>
      <w:proofErr w:type="spellEnd"/>
      <w:r w:rsidR="006D15A8" w:rsidRPr="006D15A8">
        <w:rPr>
          <w:b/>
          <w:i/>
          <w:iCs/>
          <w:sz w:val="20"/>
        </w:rPr>
        <w:t xml:space="preserve"> alba</w:t>
      </w:r>
      <w:r w:rsidR="006D15A8" w:rsidRPr="006D15A8">
        <w:rPr>
          <w:b/>
          <w:sz w:val="20"/>
        </w:rPr>
        <w:t xml:space="preserve"> L.) cultivation</w:t>
      </w:r>
      <w:r w:rsidRPr="006D15A8">
        <w:rPr>
          <w:rFonts w:eastAsia="Times New Roman"/>
          <w:b/>
          <w:bCs/>
          <w:sz w:val="20"/>
          <w:szCs w:val="20"/>
          <w:lang w:bidi="fa-IR"/>
        </w:rPr>
        <w:t>.</w:t>
      </w:r>
      <w:r w:rsidRPr="006D15A8">
        <w:rPr>
          <w:rFonts w:hint="eastAsia"/>
          <w:b/>
          <w:bCs/>
          <w:sz w:val="20"/>
          <w:szCs w:val="20"/>
        </w:rPr>
        <w:t xml:space="preserve"> </w:t>
      </w:r>
      <w:r w:rsidRPr="006D15A8">
        <w:rPr>
          <w:rFonts w:eastAsia="Times New Roman"/>
          <w:bCs/>
          <w:i/>
          <w:sz w:val="20"/>
          <w:szCs w:val="20"/>
        </w:rPr>
        <w:t xml:space="preserve">Nat </w:t>
      </w:r>
      <w:proofErr w:type="spellStart"/>
      <w:r w:rsidRPr="006D15A8">
        <w:rPr>
          <w:rFonts w:eastAsia="Times New Roman"/>
          <w:bCs/>
          <w:i/>
          <w:sz w:val="20"/>
          <w:szCs w:val="20"/>
        </w:rPr>
        <w:t>Sci</w:t>
      </w:r>
      <w:proofErr w:type="spellEnd"/>
      <w:r w:rsidRPr="006D15A8">
        <w:rPr>
          <w:rFonts w:eastAsiaTheme="minorEastAsia" w:hint="eastAsia"/>
          <w:bCs/>
          <w:i/>
          <w:sz w:val="20"/>
          <w:szCs w:val="20"/>
        </w:rPr>
        <w:t xml:space="preserve"> </w:t>
      </w:r>
      <w:r w:rsidRPr="006D15A8">
        <w:rPr>
          <w:sz w:val="20"/>
          <w:szCs w:val="20"/>
        </w:rPr>
        <w:t>201</w:t>
      </w:r>
      <w:r w:rsidRPr="006D15A8">
        <w:rPr>
          <w:rFonts w:hint="eastAsia"/>
          <w:sz w:val="20"/>
          <w:szCs w:val="20"/>
        </w:rPr>
        <w:t>4</w:t>
      </w:r>
      <w:r w:rsidRPr="006D15A8">
        <w:rPr>
          <w:sz w:val="20"/>
          <w:szCs w:val="20"/>
        </w:rPr>
        <w:t>;1</w:t>
      </w:r>
      <w:r w:rsidRPr="006D15A8">
        <w:rPr>
          <w:rFonts w:hint="eastAsia"/>
          <w:sz w:val="20"/>
          <w:szCs w:val="20"/>
        </w:rPr>
        <w:t>2</w:t>
      </w:r>
      <w:r w:rsidRPr="006D15A8">
        <w:rPr>
          <w:sz w:val="20"/>
          <w:szCs w:val="20"/>
        </w:rPr>
        <w:t>(</w:t>
      </w:r>
      <w:r w:rsidRPr="006D15A8">
        <w:rPr>
          <w:rFonts w:hint="eastAsia"/>
          <w:sz w:val="20"/>
          <w:szCs w:val="20"/>
        </w:rPr>
        <w:t>1</w:t>
      </w:r>
      <w:r w:rsidRPr="006D15A8">
        <w:rPr>
          <w:sz w:val="20"/>
          <w:szCs w:val="20"/>
        </w:rPr>
        <w:t>):</w:t>
      </w:r>
      <w:r w:rsidR="00FD6CC6">
        <w:rPr>
          <w:noProof/>
          <w:sz w:val="20"/>
          <w:szCs w:val="20"/>
        </w:rPr>
        <w:t>9</w:t>
      </w:r>
      <w:r w:rsidRPr="006D15A8">
        <w:rPr>
          <w:sz w:val="20"/>
          <w:szCs w:val="20"/>
        </w:rPr>
        <w:t>-</w:t>
      </w:r>
      <w:r w:rsidR="00FD6CC6">
        <w:rPr>
          <w:noProof/>
          <w:sz w:val="20"/>
          <w:szCs w:val="20"/>
        </w:rPr>
        <w:t>11</w:t>
      </w:r>
      <w:r w:rsidRPr="006D15A8">
        <w:rPr>
          <w:sz w:val="20"/>
          <w:szCs w:val="20"/>
        </w:rPr>
        <w:t>]</w:t>
      </w:r>
      <w:r w:rsidRPr="006D15A8">
        <w:rPr>
          <w:rFonts w:hint="eastAsia"/>
          <w:sz w:val="20"/>
          <w:szCs w:val="20"/>
        </w:rPr>
        <w:t>.</w:t>
      </w:r>
      <w:r w:rsidRPr="006D15A8">
        <w:rPr>
          <w:sz w:val="20"/>
          <w:szCs w:val="20"/>
        </w:rPr>
        <w:t xml:space="preserve"> (ISSN: 1545-0740). </w:t>
      </w:r>
      <w:hyperlink r:id="rId8" w:history="1">
        <w:r w:rsidR="006D15A8" w:rsidRPr="006D15A8">
          <w:rPr>
            <w:rStyle w:val="Hyperlink"/>
            <w:sz w:val="20"/>
            <w:szCs w:val="20"/>
            <w:u w:val="none"/>
          </w:rPr>
          <w:t>http://www.sciencepub.net/nature.</w:t>
        </w:r>
        <w:r w:rsidR="006D15A8" w:rsidRPr="006D15A8">
          <w:rPr>
            <w:rStyle w:val="Hyperlink"/>
            <w:rFonts w:hint="eastAsia"/>
            <w:color w:val="auto"/>
            <w:sz w:val="20"/>
            <w:szCs w:val="20"/>
            <w:u w:val="none"/>
          </w:rPr>
          <w:t xml:space="preserve"> </w:t>
        </w:r>
        <w:r w:rsidR="006D15A8" w:rsidRPr="006D15A8">
          <w:rPr>
            <w:rStyle w:val="Hyperlink"/>
            <w:rFonts w:hint="eastAsia"/>
            <w:color w:val="auto"/>
            <w:sz w:val="20"/>
            <w:szCs w:val="20"/>
            <w:u w:val="none"/>
            <w:lang w:eastAsia="zh-CN"/>
          </w:rPr>
          <w:t>2</w:t>
        </w:r>
      </w:hyperlink>
    </w:p>
    <w:p w:rsidR="006D15A8" w:rsidRPr="006D15A8" w:rsidRDefault="006D15A8" w:rsidP="006D15A8">
      <w:pPr>
        <w:jc w:val="both"/>
        <w:rPr>
          <w:sz w:val="20"/>
          <w:lang w:eastAsia="zh-CN"/>
        </w:rPr>
      </w:pPr>
    </w:p>
    <w:p w:rsidR="00322EB1" w:rsidRPr="006D15A8" w:rsidRDefault="008E0C9E" w:rsidP="006D15A8">
      <w:pPr>
        <w:pStyle w:val="BodyText3"/>
        <w:ind w:left="1440" w:hanging="1440"/>
        <w:rPr>
          <w:b/>
          <w:bCs/>
          <w:sz w:val="20"/>
        </w:rPr>
      </w:pPr>
      <w:r w:rsidRPr="006D15A8">
        <w:rPr>
          <w:b/>
          <w:bCs/>
          <w:iCs/>
          <w:sz w:val="20"/>
        </w:rPr>
        <w:t>Key words</w:t>
      </w:r>
      <w:r w:rsidRPr="006D15A8">
        <w:rPr>
          <w:b/>
          <w:bCs/>
          <w:sz w:val="20"/>
        </w:rPr>
        <w:t xml:space="preserve">: </w:t>
      </w:r>
      <w:r w:rsidRPr="006D15A8">
        <w:rPr>
          <w:sz w:val="20"/>
        </w:rPr>
        <w:t xml:space="preserve">Clay, </w:t>
      </w:r>
      <w:proofErr w:type="spellStart"/>
      <w:r w:rsidRPr="006D15A8">
        <w:rPr>
          <w:sz w:val="20"/>
        </w:rPr>
        <w:t>humic</w:t>
      </w:r>
      <w:proofErr w:type="spellEnd"/>
      <w:r w:rsidRPr="006D15A8">
        <w:rPr>
          <w:sz w:val="20"/>
        </w:rPr>
        <w:t xml:space="preserve"> acid, mulberry, P/K fixation, root growth.</w:t>
      </w:r>
    </w:p>
    <w:p w:rsidR="00ED0F09" w:rsidRDefault="00ED0F09" w:rsidP="006D15A8">
      <w:pPr>
        <w:pStyle w:val="BodyText3"/>
        <w:ind w:left="1440" w:hanging="1440"/>
        <w:rPr>
          <w:b/>
          <w:bCs/>
          <w:sz w:val="20"/>
        </w:rPr>
      </w:pPr>
    </w:p>
    <w:p w:rsidR="00163527" w:rsidRPr="006D15A8" w:rsidRDefault="00163527" w:rsidP="006D15A8">
      <w:pPr>
        <w:pStyle w:val="BodyText3"/>
        <w:ind w:left="1440" w:hanging="1440"/>
        <w:rPr>
          <w:b/>
          <w:bCs/>
          <w:sz w:val="20"/>
        </w:rPr>
      </w:pPr>
    </w:p>
    <w:p w:rsidR="006D15A8" w:rsidRDefault="006D15A8" w:rsidP="006D15A8">
      <w:pPr>
        <w:pStyle w:val="BodyText3"/>
        <w:rPr>
          <w:b/>
          <w:bCs/>
          <w:sz w:val="20"/>
        </w:rPr>
        <w:sectPr w:rsidR="006D15A8" w:rsidSect="00F46254">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9"/>
          <w:cols w:space="720"/>
          <w:docGrid w:linePitch="360"/>
        </w:sectPr>
      </w:pPr>
    </w:p>
    <w:p w:rsidR="00B06D6C" w:rsidRPr="006D15A8" w:rsidRDefault="00185FE7" w:rsidP="006D15A8">
      <w:pPr>
        <w:pStyle w:val="BodyText3"/>
        <w:rPr>
          <w:sz w:val="20"/>
        </w:rPr>
      </w:pPr>
      <w:r w:rsidRPr="006D15A8">
        <w:rPr>
          <w:b/>
          <w:bCs/>
          <w:sz w:val="20"/>
        </w:rPr>
        <w:lastRenderedPageBreak/>
        <w:t>1. Introduction:</w:t>
      </w:r>
      <w:r w:rsidRPr="006D15A8">
        <w:rPr>
          <w:sz w:val="20"/>
        </w:rPr>
        <w:t xml:space="preserve"> </w:t>
      </w:r>
    </w:p>
    <w:p w:rsidR="00322EB1" w:rsidRPr="006D15A8" w:rsidRDefault="00322EB1" w:rsidP="006D15A8">
      <w:pPr>
        <w:pStyle w:val="BodyText3"/>
        <w:ind w:firstLine="720"/>
        <w:rPr>
          <w:sz w:val="20"/>
        </w:rPr>
      </w:pPr>
      <w:r w:rsidRPr="006D15A8">
        <w:rPr>
          <w:sz w:val="20"/>
        </w:rPr>
        <w:t xml:space="preserve">Humus is the ultimate product of organic matter decomposition and is widely distributed on the earth’s surface, occurring in soils, lakes, and rivers and even in the sea. HA being the principal component of humus deserves attention partly due to its wide-ranging importance in soil forming processes as well as soil fertility (Piccolo </w:t>
      </w:r>
      <w:r w:rsidRPr="006D15A8">
        <w:rPr>
          <w:i/>
          <w:iCs/>
          <w:sz w:val="20"/>
        </w:rPr>
        <w:t>et al</w:t>
      </w:r>
      <w:r w:rsidRPr="006D15A8">
        <w:rPr>
          <w:sz w:val="20"/>
        </w:rPr>
        <w:t xml:space="preserve">., 1997), and partly due to its capability of exerting </w:t>
      </w:r>
      <w:proofErr w:type="spellStart"/>
      <w:r w:rsidRPr="006D15A8">
        <w:rPr>
          <w:sz w:val="20"/>
        </w:rPr>
        <w:t>favourable</w:t>
      </w:r>
      <w:proofErr w:type="spellEnd"/>
      <w:r w:rsidRPr="006D15A8">
        <w:rPr>
          <w:sz w:val="20"/>
        </w:rPr>
        <w:t xml:space="preserve"> influence on plant physiological activities.</w:t>
      </w:r>
    </w:p>
    <w:p w:rsidR="00322EB1" w:rsidRPr="006D15A8" w:rsidRDefault="00322EB1" w:rsidP="006D15A8">
      <w:pPr>
        <w:pStyle w:val="BodyText3"/>
        <w:rPr>
          <w:sz w:val="20"/>
        </w:rPr>
      </w:pPr>
      <w:r w:rsidRPr="006D15A8">
        <w:rPr>
          <w:sz w:val="20"/>
        </w:rPr>
        <w:tab/>
        <w:t xml:space="preserve">HAs are nothing but polymers having molecular weights ranging from several hundreds to tens of thousands, amorphous, dark brown to black in </w:t>
      </w:r>
      <w:proofErr w:type="spellStart"/>
      <w:r w:rsidRPr="006D15A8">
        <w:rPr>
          <w:sz w:val="20"/>
        </w:rPr>
        <w:t>colour</w:t>
      </w:r>
      <w:proofErr w:type="spellEnd"/>
      <w:r w:rsidRPr="006D15A8">
        <w:rPr>
          <w:sz w:val="20"/>
        </w:rPr>
        <w:t>, sparingly soluble in water, but disperses to form suspensions and exhibit characteristic features like poly</w:t>
      </w:r>
      <w:r w:rsidR="00505B40" w:rsidRPr="006D15A8">
        <w:rPr>
          <w:sz w:val="20"/>
        </w:rPr>
        <w:t>-</w:t>
      </w:r>
      <w:r w:rsidRPr="006D15A8">
        <w:rPr>
          <w:sz w:val="20"/>
        </w:rPr>
        <w:t>functional ion-adsorbing sites and coiled structure due to three dimensional configuration (</w:t>
      </w:r>
      <w:proofErr w:type="spellStart"/>
      <w:r w:rsidRPr="006D15A8">
        <w:rPr>
          <w:sz w:val="20"/>
        </w:rPr>
        <w:t>Kar</w:t>
      </w:r>
      <w:proofErr w:type="spellEnd"/>
      <w:r w:rsidRPr="006D15A8">
        <w:rPr>
          <w:sz w:val="20"/>
        </w:rPr>
        <w:t xml:space="preserve"> </w:t>
      </w:r>
      <w:r w:rsidRPr="006D15A8">
        <w:rPr>
          <w:i/>
          <w:iCs/>
          <w:sz w:val="20"/>
        </w:rPr>
        <w:t>et al</w:t>
      </w:r>
      <w:r w:rsidRPr="006D15A8">
        <w:rPr>
          <w:sz w:val="20"/>
        </w:rPr>
        <w:t>., 1995). It is worthwhile to mention that the presence of charge sites in HA molecule enables it to combine with clays, fertilizers, and different organic compounds (</w:t>
      </w:r>
      <w:proofErr w:type="spellStart"/>
      <w:r w:rsidRPr="006D15A8">
        <w:rPr>
          <w:sz w:val="20"/>
        </w:rPr>
        <w:t>Stevension</w:t>
      </w:r>
      <w:proofErr w:type="spellEnd"/>
      <w:r w:rsidRPr="006D15A8">
        <w:rPr>
          <w:sz w:val="20"/>
        </w:rPr>
        <w:t xml:space="preserve">, 1982). On the other hand, clay, owing to its own charge sites, can form </w:t>
      </w:r>
      <w:r w:rsidR="0068202C" w:rsidRPr="006D15A8">
        <w:rPr>
          <w:sz w:val="20"/>
        </w:rPr>
        <w:t>CHC</w:t>
      </w:r>
      <w:r w:rsidRPr="006D15A8">
        <w:rPr>
          <w:sz w:val="20"/>
        </w:rPr>
        <w:t xml:space="preserve"> through </w:t>
      </w:r>
      <w:r w:rsidR="00B06D6C" w:rsidRPr="006D15A8">
        <w:rPr>
          <w:sz w:val="20"/>
        </w:rPr>
        <w:t xml:space="preserve">ionic interaction </w:t>
      </w:r>
      <w:r w:rsidRPr="006D15A8">
        <w:rPr>
          <w:sz w:val="20"/>
        </w:rPr>
        <w:t>(</w:t>
      </w:r>
      <w:proofErr w:type="spellStart"/>
      <w:r w:rsidR="00B06D6C" w:rsidRPr="006D15A8">
        <w:rPr>
          <w:sz w:val="20"/>
        </w:rPr>
        <w:t>Sanyal</w:t>
      </w:r>
      <w:proofErr w:type="spellEnd"/>
      <w:r w:rsidR="00B06D6C" w:rsidRPr="006D15A8">
        <w:rPr>
          <w:sz w:val="20"/>
        </w:rPr>
        <w:t xml:space="preserve"> and </w:t>
      </w:r>
      <w:proofErr w:type="spellStart"/>
      <w:r w:rsidR="00B06D6C" w:rsidRPr="006D15A8">
        <w:rPr>
          <w:sz w:val="20"/>
        </w:rPr>
        <w:t>Majumder</w:t>
      </w:r>
      <w:proofErr w:type="spellEnd"/>
      <w:r w:rsidR="00B06D6C" w:rsidRPr="006D15A8">
        <w:rPr>
          <w:sz w:val="20"/>
        </w:rPr>
        <w:t>,</w:t>
      </w:r>
      <w:r w:rsidRPr="006D15A8">
        <w:rPr>
          <w:sz w:val="20"/>
        </w:rPr>
        <w:t xml:space="preserve"> </w:t>
      </w:r>
      <w:r w:rsidR="00B06D6C" w:rsidRPr="006D15A8">
        <w:rPr>
          <w:sz w:val="20"/>
        </w:rPr>
        <w:t>2009</w:t>
      </w:r>
      <w:r w:rsidRPr="006D15A8">
        <w:rPr>
          <w:sz w:val="20"/>
        </w:rPr>
        <w:t xml:space="preserve">), which, in turn, can influence the ionic ambience within the soil system and thus justifies initiating the </w:t>
      </w:r>
      <w:r w:rsidR="004E5A32" w:rsidRPr="006D15A8">
        <w:rPr>
          <w:sz w:val="20"/>
        </w:rPr>
        <w:t xml:space="preserve">present </w:t>
      </w:r>
      <w:r w:rsidRPr="006D15A8">
        <w:rPr>
          <w:sz w:val="20"/>
        </w:rPr>
        <w:t>study on compari</w:t>
      </w:r>
      <w:r w:rsidR="001069D7" w:rsidRPr="006D15A8">
        <w:rPr>
          <w:sz w:val="20"/>
        </w:rPr>
        <w:t>son</w:t>
      </w:r>
      <w:r w:rsidRPr="006D15A8">
        <w:rPr>
          <w:sz w:val="20"/>
        </w:rPr>
        <w:t xml:space="preserve"> </w:t>
      </w:r>
      <w:r w:rsidR="001069D7" w:rsidRPr="006D15A8">
        <w:rPr>
          <w:sz w:val="20"/>
        </w:rPr>
        <w:t xml:space="preserve">between </w:t>
      </w:r>
      <w:r w:rsidRPr="006D15A8">
        <w:rPr>
          <w:sz w:val="20"/>
        </w:rPr>
        <w:t xml:space="preserve">clay and </w:t>
      </w:r>
      <w:r w:rsidR="0068202C" w:rsidRPr="006D15A8">
        <w:rPr>
          <w:sz w:val="20"/>
        </w:rPr>
        <w:t xml:space="preserve">CHC </w:t>
      </w:r>
      <w:r w:rsidR="001069D7" w:rsidRPr="006D15A8">
        <w:rPr>
          <w:sz w:val="20"/>
        </w:rPr>
        <w:t>towards fixation of elements by the both</w:t>
      </w:r>
      <w:r w:rsidRPr="006D15A8">
        <w:rPr>
          <w:sz w:val="20"/>
        </w:rPr>
        <w:t xml:space="preserve">. </w:t>
      </w:r>
    </w:p>
    <w:p w:rsidR="00322EB1" w:rsidRPr="006D15A8" w:rsidRDefault="00322EB1" w:rsidP="006D15A8">
      <w:pPr>
        <w:pStyle w:val="BodyText3"/>
        <w:ind w:firstLine="720"/>
        <w:rPr>
          <w:b/>
          <w:bCs/>
          <w:sz w:val="20"/>
        </w:rPr>
      </w:pPr>
      <w:r w:rsidRPr="006D15A8">
        <w:rPr>
          <w:sz w:val="20"/>
        </w:rPr>
        <w:t xml:space="preserve">Besides soil conditioning, HA molecule is </w:t>
      </w:r>
      <w:r w:rsidR="004E5A32" w:rsidRPr="006D15A8">
        <w:rPr>
          <w:sz w:val="20"/>
        </w:rPr>
        <w:t xml:space="preserve">also </w:t>
      </w:r>
      <w:r w:rsidRPr="006D15A8">
        <w:rPr>
          <w:sz w:val="20"/>
        </w:rPr>
        <w:t xml:space="preserve">capable of influencing physiological activity of the plants directly or indirectly. These substances at dilute concentration exert </w:t>
      </w:r>
      <w:proofErr w:type="spellStart"/>
      <w:r w:rsidRPr="006D15A8">
        <w:rPr>
          <w:sz w:val="20"/>
        </w:rPr>
        <w:t>favourable</w:t>
      </w:r>
      <w:proofErr w:type="spellEnd"/>
      <w:r w:rsidRPr="006D15A8">
        <w:rPr>
          <w:sz w:val="20"/>
        </w:rPr>
        <w:t xml:space="preserve"> physiological influences in the areas of cell division and cell elongation by improving hormonal effect (</w:t>
      </w:r>
      <w:proofErr w:type="spellStart"/>
      <w:r w:rsidRPr="006D15A8">
        <w:rPr>
          <w:sz w:val="20"/>
        </w:rPr>
        <w:t>Nikbakht</w:t>
      </w:r>
      <w:proofErr w:type="spellEnd"/>
      <w:r w:rsidRPr="006D15A8">
        <w:rPr>
          <w:sz w:val="20"/>
        </w:rPr>
        <w:t xml:space="preserve"> </w:t>
      </w:r>
      <w:r w:rsidRPr="006D15A8">
        <w:rPr>
          <w:i/>
          <w:iCs/>
          <w:sz w:val="20"/>
        </w:rPr>
        <w:t>et al</w:t>
      </w:r>
      <w:r w:rsidRPr="006D15A8">
        <w:rPr>
          <w:sz w:val="20"/>
        </w:rPr>
        <w:t xml:space="preserve">., 2008). Such studies pertaining to mulberry is not at all available and thus the present experimentation has been </w:t>
      </w:r>
      <w:r w:rsidRPr="006D15A8">
        <w:rPr>
          <w:sz w:val="20"/>
        </w:rPr>
        <w:lastRenderedPageBreak/>
        <w:t xml:space="preserve">initiated to explore the effect of metallic </w:t>
      </w:r>
      <w:proofErr w:type="spellStart"/>
      <w:r w:rsidRPr="006D15A8">
        <w:rPr>
          <w:sz w:val="20"/>
        </w:rPr>
        <w:t>humate</w:t>
      </w:r>
      <w:proofErr w:type="spellEnd"/>
      <w:r w:rsidRPr="006D15A8">
        <w:rPr>
          <w:sz w:val="20"/>
        </w:rPr>
        <w:t xml:space="preserve"> administration on the root growth and sapling height of the potted mulberry (var. S</w:t>
      </w:r>
      <w:r w:rsidR="0097430D" w:rsidRPr="006D15A8">
        <w:rPr>
          <w:sz w:val="20"/>
        </w:rPr>
        <w:t>-</w:t>
      </w:r>
      <w:r w:rsidRPr="006D15A8">
        <w:rPr>
          <w:sz w:val="20"/>
        </w:rPr>
        <w:t>1635) cuttings.</w:t>
      </w:r>
    </w:p>
    <w:p w:rsidR="006D15A8" w:rsidRDefault="006D15A8" w:rsidP="006D15A8">
      <w:pPr>
        <w:pStyle w:val="BodyText3"/>
        <w:rPr>
          <w:b/>
          <w:bCs/>
          <w:sz w:val="20"/>
          <w:lang w:eastAsia="zh-CN"/>
        </w:rPr>
      </w:pPr>
    </w:p>
    <w:p w:rsidR="00B06D6C" w:rsidRPr="006D15A8" w:rsidRDefault="00185FE7" w:rsidP="006D15A8">
      <w:pPr>
        <w:pStyle w:val="BodyText3"/>
        <w:rPr>
          <w:sz w:val="20"/>
        </w:rPr>
      </w:pPr>
      <w:r w:rsidRPr="006D15A8">
        <w:rPr>
          <w:b/>
          <w:bCs/>
          <w:sz w:val="20"/>
        </w:rPr>
        <w:t>2. Materials and methods:</w:t>
      </w:r>
      <w:r w:rsidRPr="006D15A8">
        <w:rPr>
          <w:sz w:val="20"/>
        </w:rPr>
        <w:t xml:space="preserve"> </w:t>
      </w:r>
    </w:p>
    <w:p w:rsidR="00322EB1" w:rsidRPr="006D15A8" w:rsidRDefault="00322EB1" w:rsidP="006D15A8">
      <w:pPr>
        <w:pStyle w:val="BodyText3"/>
        <w:ind w:firstLine="720"/>
        <w:rPr>
          <w:sz w:val="20"/>
        </w:rPr>
      </w:pPr>
      <w:r w:rsidRPr="006D15A8">
        <w:rPr>
          <w:sz w:val="20"/>
        </w:rPr>
        <w:t xml:space="preserve">For extraction of </w:t>
      </w:r>
      <w:proofErr w:type="spellStart"/>
      <w:r w:rsidRPr="006D15A8">
        <w:rPr>
          <w:sz w:val="20"/>
        </w:rPr>
        <w:t>humic</w:t>
      </w:r>
      <w:proofErr w:type="spellEnd"/>
      <w:r w:rsidRPr="006D15A8">
        <w:rPr>
          <w:sz w:val="20"/>
        </w:rPr>
        <w:t xml:space="preserve"> materials from soil, the latter was treated with standard sodium carbonate and kept overnight (</w:t>
      </w:r>
      <w:proofErr w:type="spellStart"/>
      <w:r w:rsidRPr="006D15A8">
        <w:rPr>
          <w:sz w:val="20"/>
        </w:rPr>
        <w:t>Banik</w:t>
      </w:r>
      <w:proofErr w:type="spellEnd"/>
      <w:r w:rsidRPr="006D15A8">
        <w:rPr>
          <w:sz w:val="20"/>
        </w:rPr>
        <w:t xml:space="preserve"> and </w:t>
      </w:r>
      <w:proofErr w:type="spellStart"/>
      <w:r w:rsidRPr="006D15A8">
        <w:rPr>
          <w:sz w:val="20"/>
        </w:rPr>
        <w:t>Sanyal</w:t>
      </w:r>
      <w:proofErr w:type="spellEnd"/>
      <w:r w:rsidRPr="006D15A8">
        <w:rPr>
          <w:sz w:val="20"/>
        </w:rPr>
        <w:t xml:space="preserve">, 2006). The extracted materials were centrifuged followed by acidification of the </w:t>
      </w:r>
      <w:proofErr w:type="spellStart"/>
      <w:r w:rsidRPr="006D15A8">
        <w:rPr>
          <w:sz w:val="20"/>
        </w:rPr>
        <w:t>centrifugate</w:t>
      </w:r>
      <w:proofErr w:type="spellEnd"/>
      <w:r w:rsidRPr="006D15A8">
        <w:rPr>
          <w:sz w:val="20"/>
        </w:rPr>
        <w:t xml:space="preserve"> with dilute hydrochloric acid to a pH 2.0. Acidification leads to precipitation of HA and the precipitated materials were dialyzed finally in distilled water. On the other hand for isolation of clay from soil, the latter was treated with 6% H</w:t>
      </w:r>
      <w:r w:rsidRPr="006D15A8">
        <w:rPr>
          <w:sz w:val="20"/>
          <w:vertAlign w:val="subscript"/>
        </w:rPr>
        <w:t>2</w:t>
      </w:r>
      <w:r w:rsidRPr="006D15A8">
        <w:rPr>
          <w:sz w:val="20"/>
        </w:rPr>
        <w:t>O</w:t>
      </w:r>
      <w:r w:rsidRPr="006D15A8">
        <w:rPr>
          <w:sz w:val="20"/>
          <w:vertAlign w:val="subscript"/>
        </w:rPr>
        <w:t>2</w:t>
      </w:r>
      <w:r w:rsidRPr="006D15A8">
        <w:rPr>
          <w:sz w:val="20"/>
        </w:rPr>
        <w:t xml:space="preserve">. The clay-sized particles were then separated by following the principle of settling velocities of the different sized particles in a liquid (water) medium (Chopra and </w:t>
      </w:r>
      <w:proofErr w:type="spellStart"/>
      <w:r w:rsidRPr="006D15A8">
        <w:rPr>
          <w:sz w:val="20"/>
        </w:rPr>
        <w:t>Kanwar</w:t>
      </w:r>
      <w:proofErr w:type="spellEnd"/>
      <w:r w:rsidRPr="006D15A8">
        <w:rPr>
          <w:sz w:val="20"/>
        </w:rPr>
        <w:t xml:space="preserve">, 1982). </w:t>
      </w:r>
    </w:p>
    <w:p w:rsidR="00322EB1" w:rsidRPr="006D15A8" w:rsidRDefault="00322EB1" w:rsidP="006D15A8">
      <w:pPr>
        <w:pStyle w:val="BodyText3"/>
        <w:ind w:firstLine="720"/>
        <w:rPr>
          <w:sz w:val="20"/>
        </w:rPr>
      </w:pPr>
      <w:r w:rsidRPr="006D15A8">
        <w:rPr>
          <w:sz w:val="20"/>
        </w:rPr>
        <w:t xml:space="preserve">For experimentation on fixation of P and K, homo-ionic suspensions of clay and </w:t>
      </w:r>
      <w:r w:rsidR="0068202C" w:rsidRPr="006D15A8">
        <w:rPr>
          <w:sz w:val="20"/>
        </w:rPr>
        <w:t>CHC</w:t>
      </w:r>
      <w:r w:rsidRPr="006D15A8">
        <w:rPr>
          <w:sz w:val="20"/>
        </w:rPr>
        <w:t xml:space="preserve"> were developed from the soil under mulberry vegetation following the standard analytical protocol (</w:t>
      </w:r>
      <w:proofErr w:type="spellStart"/>
      <w:r w:rsidRPr="006D15A8">
        <w:rPr>
          <w:sz w:val="20"/>
        </w:rPr>
        <w:t>Sanyal</w:t>
      </w:r>
      <w:proofErr w:type="spellEnd"/>
      <w:r w:rsidRPr="006D15A8">
        <w:rPr>
          <w:sz w:val="20"/>
        </w:rPr>
        <w:t xml:space="preserve"> and </w:t>
      </w:r>
      <w:proofErr w:type="spellStart"/>
      <w:r w:rsidRPr="006D15A8">
        <w:rPr>
          <w:sz w:val="20"/>
        </w:rPr>
        <w:t>Kar</w:t>
      </w:r>
      <w:proofErr w:type="spellEnd"/>
      <w:r w:rsidRPr="006D15A8">
        <w:rPr>
          <w:sz w:val="20"/>
        </w:rPr>
        <w:t xml:space="preserve">, 1990). Then the homo-ionic suspensions of clay and </w:t>
      </w:r>
      <w:r w:rsidR="0068202C" w:rsidRPr="006D15A8">
        <w:rPr>
          <w:sz w:val="20"/>
        </w:rPr>
        <w:t>CHC</w:t>
      </w:r>
      <w:r w:rsidRPr="006D15A8">
        <w:rPr>
          <w:sz w:val="20"/>
        </w:rPr>
        <w:t xml:space="preserve"> were equilibrated with graded concentrations of P/ </w:t>
      </w:r>
      <w:r w:rsidR="00742A44" w:rsidRPr="006D15A8">
        <w:rPr>
          <w:sz w:val="20"/>
        </w:rPr>
        <w:t>K (</w:t>
      </w:r>
      <w:r w:rsidRPr="006D15A8">
        <w:rPr>
          <w:sz w:val="20"/>
        </w:rPr>
        <w:t>in triplicate) separately for definite period of time at 300 ± 1</w:t>
      </w:r>
      <w:r w:rsidRPr="006D15A8">
        <w:rPr>
          <w:sz w:val="20"/>
          <w:vertAlign w:val="superscript"/>
        </w:rPr>
        <w:t>O</w:t>
      </w:r>
      <w:r w:rsidRPr="006D15A8">
        <w:rPr>
          <w:sz w:val="20"/>
        </w:rPr>
        <w:t xml:space="preserve"> K (Singh and </w:t>
      </w:r>
      <w:proofErr w:type="spellStart"/>
      <w:r w:rsidRPr="006D15A8">
        <w:rPr>
          <w:sz w:val="20"/>
        </w:rPr>
        <w:t>Tomar</w:t>
      </w:r>
      <w:proofErr w:type="spellEnd"/>
      <w:r w:rsidRPr="006D15A8">
        <w:rPr>
          <w:sz w:val="20"/>
        </w:rPr>
        <w:t xml:space="preserve">, 1996). Amount of P/ K in the respective equilibrium solutions was estimated by standard analytical procedure. From the difference in amount of P/ K between added and equilibrium solution, amount of fixation of the same was computed and plotted against that of amount added. </w:t>
      </w:r>
    </w:p>
    <w:p w:rsidR="00322EB1" w:rsidRPr="006D15A8" w:rsidRDefault="00322EB1" w:rsidP="006D15A8">
      <w:pPr>
        <w:pStyle w:val="BodyText3"/>
        <w:ind w:firstLine="720"/>
        <w:rPr>
          <w:sz w:val="20"/>
        </w:rPr>
      </w:pPr>
      <w:r w:rsidRPr="006D15A8">
        <w:rPr>
          <w:sz w:val="20"/>
        </w:rPr>
        <w:t xml:space="preserve">To explore the effect of HA administration on mulberry growth, suitable formulation of metallic </w:t>
      </w:r>
      <w:proofErr w:type="spellStart"/>
      <w:r w:rsidRPr="006D15A8">
        <w:rPr>
          <w:sz w:val="20"/>
        </w:rPr>
        <w:t>humate</w:t>
      </w:r>
      <w:proofErr w:type="spellEnd"/>
      <w:r w:rsidRPr="006D15A8">
        <w:rPr>
          <w:sz w:val="20"/>
        </w:rPr>
        <w:t xml:space="preserve"> (0.01%) was prepared from the dialyzed HA </w:t>
      </w:r>
      <w:r w:rsidRPr="006D15A8">
        <w:rPr>
          <w:sz w:val="20"/>
        </w:rPr>
        <w:lastRenderedPageBreak/>
        <w:t xml:space="preserve">material as mentioned earlier based on the </w:t>
      </w:r>
      <w:proofErr w:type="spellStart"/>
      <w:r w:rsidRPr="006D15A8">
        <w:rPr>
          <w:sz w:val="20"/>
        </w:rPr>
        <w:t>potentiometric</w:t>
      </w:r>
      <w:proofErr w:type="spellEnd"/>
      <w:r w:rsidRPr="006D15A8">
        <w:rPr>
          <w:sz w:val="20"/>
        </w:rPr>
        <w:t xml:space="preserve"> result (</w:t>
      </w:r>
      <w:proofErr w:type="spellStart"/>
      <w:r w:rsidRPr="006D15A8">
        <w:rPr>
          <w:sz w:val="20"/>
        </w:rPr>
        <w:t>Kar</w:t>
      </w:r>
      <w:proofErr w:type="spellEnd"/>
      <w:r w:rsidRPr="006D15A8">
        <w:rPr>
          <w:sz w:val="20"/>
        </w:rPr>
        <w:t xml:space="preserve"> </w:t>
      </w:r>
      <w:r w:rsidRPr="006D15A8">
        <w:rPr>
          <w:i/>
          <w:iCs/>
          <w:sz w:val="20"/>
        </w:rPr>
        <w:t>et al</w:t>
      </w:r>
      <w:r w:rsidRPr="006D15A8">
        <w:rPr>
          <w:sz w:val="20"/>
        </w:rPr>
        <w:t xml:space="preserve">., 1995). </w:t>
      </w:r>
      <w:r w:rsidR="008B1043" w:rsidRPr="006D15A8">
        <w:rPr>
          <w:sz w:val="20"/>
        </w:rPr>
        <w:t>Viable</w:t>
      </w:r>
      <w:r w:rsidRPr="006D15A8">
        <w:rPr>
          <w:sz w:val="20"/>
        </w:rPr>
        <w:t xml:space="preserve"> </w:t>
      </w:r>
      <w:r w:rsidR="00E422F3" w:rsidRPr="006D15A8">
        <w:rPr>
          <w:sz w:val="20"/>
        </w:rPr>
        <w:t>c</w:t>
      </w:r>
      <w:r w:rsidRPr="006D15A8">
        <w:rPr>
          <w:sz w:val="20"/>
        </w:rPr>
        <w:t>uttings of S</w:t>
      </w:r>
      <w:r w:rsidR="0097430D" w:rsidRPr="006D15A8">
        <w:rPr>
          <w:sz w:val="20"/>
        </w:rPr>
        <w:t>-</w:t>
      </w:r>
      <w:r w:rsidRPr="006D15A8">
        <w:rPr>
          <w:sz w:val="20"/>
        </w:rPr>
        <w:t>1635 mulberry (</w:t>
      </w:r>
      <w:proofErr w:type="spellStart"/>
      <w:r w:rsidRPr="006D15A8">
        <w:rPr>
          <w:i/>
          <w:iCs/>
          <w:sz w:val="20"/>
        </w:rPr>
        <w:t>Morus</w:t>
      </w:r>
      <w:proofErr w:type="spellEnd"/>
      <w:r w:rsidRPr="006D15A8">
        <w:rPr>
          <w:i/>
          <w:iCs/>
          <w:sz w:val="20"/>
        </w:rPr>
        <w:t xml:space="preserve"> alba</w:t>
      </w:r>
      <w:r w:rsidRPr="006D15A8">
        <w:rPr>
          <w:sz w:val="20"/>
        </w:rPr>
        <w:t xml:space="preserve"> L.) </w:t>
      </w:r>
      <w:r w:rsidR="00E422F3" w:rsidRPr="006D15A8">
        <w:rPr>
          <w:sz w:val="20"/>
        </w:rPr>
        <w:t xml:space="preserve">variety </w:t>
      </w:r>
      <w:r w:rsidRPr="006D15A8">
        <w:rPr>
          <w:sz w:val="20"/>
        </w:rPr>
        <w:t xml:space="preserve">were soaked into 0.01% metallic </w:t>
      </w:r>
      <w:proofErr w:type="spellStart"/>
      <w:r w:rsidRPr="006D15A8">
        <w:rPr>
          <w:sz w:val="20"/>
        </w:rPr>
        <w:t>humate</w:t>
      </w:r>
      <w:proofErr w:type="spellEnd"/>
      <w:r w:rsidRPr="006D15A8">
        <w:rPr>
          <w:sz w:val="20"/>
        </w:rPr>
        <w:t xml:space="preserve"> </w:t>
      </w:r>
      <w:r w:rsidR="00873DE5" w:rsidRPr="006D15A8">
        <w:rPr>
          <w:sz w:val="20"/>
        </w:rPr>
        <w:t xml:space="preserve">while identical cuttings under control were soaked into water </w:t>
      </w:r>
      <w:r w:rsidRPr="006D15A8">
        <w:rPr>
          <w:sz w:val="20"/>
        </w:rPr>
        <w:t xml:space="preserve">overnight and </w:t>
      </w:r>
      <w:r w:rsidR="00E422F3" w:rsidRPr="006D15A8">
        <w:rPr>
          <w:sz w:val="20"/>
        </w:rPr>
        <w:t xml:space="preserve">both were </w:t>
      </w:r>
      <w:r w:rsidRPr="006D15A8">
        <w:rPr>
          <w:sz w:val="20"/>
        </w:rPr>
        <w:t>planted subsequently in the pots filled with the</w:t>
      </w:r>
      <w:r w:rsidR="008B1043" w:rsidRPr="006D15A8">
        <w:rPr>
          <w:sz w:val="20"/>
        </w:rPr>
        <w:t xml:space="preserve"> standard soil-manure mixture (</w:t>
      </w:r>
      <w:proofErr w:type="spellStart"/>
      <w:r w:rsidR="008B1043" w:rsidRPr="006D15A8">
        <w:rPr>
          <w:sz w:val="20"/>
        </w:rPr>
        <w:t>Mukherjee</w:t>
      </w:r>
      <w:proofErr w:type="spellEnd"/>
      <w:r w:rsidR="008B1043" w:rsidRPr="006D15A8">
        <w:rPr>
          <w:sz w:val="20"/>
        </w:rPr>
        <w:t xml:space="preserve"> and Sharma, 1971)</w:t>
      </w:r>
      <w:r w:rsidRPr="006D15A8">
        <w:rPr>
          <w:sz w:val="20"/>
        </w:rPr>
        <w:t xml:space="preserve">. </w:t>
      </w:r>
      <w:r w:rsidR="005163BB" w:rsidRPr="006D15A8">
        <w:rPr>
          <w:sz w:val="20"/>
        </w:rPr>
        <w:t xml:space="preserve">Thirty cuttings each for the treatment and </w:t>
      </w:r>
      <w:r w:rsidR="001E1CAA" w:rsidRPr="006D15A8">
        <w:rPr>
          <w:sz w:val="20"/>
        </w:rPr>
        <w:t xml:space="preserve">for </w:t>
      </w:r>
      <w:r w:rsidR="005163BB" w:rsidRPr="006D15A8">
        <w:rPr>
          <w:sz w:val="20"/>
        </w:rPr>
        <w:t xml:space="preserve">the control were </w:t>
      </w:r>
      <w:r w:rsidR="00E422F3" w:rsidRPr="006D15A8">
        <w:rPr>
          <w:sz w:val="20"/>
        </w:rPr>
        <w:t>maintained</w:t>
      </w:r>
      <w:r w:rsidR="005163BB" w:rsidRPr="006D15A8">
        <w:rPr>
          <w:sz w:val="20"/>
        </w:rPr>
        <w:t xml:space="preserve">. </w:t>
      </w:r>
      <w:r w:rsidRPr="006D15A8">
        <w:rPr>
          <w:sz w:val="20"/>
        </w:rPr>
        <w:lastRenderedPageBreak/>
        <w:t>Data pertaining to root growth and sapling-height were recorded after three months of planting of cuttings.</w:t>
      </w:r>
    </w:p>
    <w:p w:rsidR="006D15A8" w:rsidRDefault="006D15A8" w:rsidP="006D15A8">
      <w:pPr>
        <w:pStyle w:val="BodyText3"/>
        <w:jc w:val="left"/>
        <w:rPr>
          <w:b/>
          <w:bCs/>
          <w:sz w:val="20"/>
          <w:lang w:eastAsia="zh-CN"/>
        </w:rPr>
      </w:pPr>
    </w:p>
    <w:p w:rsidR="00322EB1" w:rsidRPr="006D15A8" w:rsidRDefault="00185FE7" w:rsidP="006D15A8">
      <w:pPr>
        <w:pStyle w:val="BodyText3"/>
        <w:jc w:val="left"/>
        <w:rPr>
          <w:b/>
          <w:bCs/>
          <w:sz w:val="20"/>
        </w:rPr>
      </w:pPr>
      <w:r w:rsidRPr="006D15A8">
        <w:rPr>
          <w:b/>
          <w:bCs/>
          <w:sz w:val="20"/>
        </w:rPr>
        <w:t>3. Results and Discussion:</w:t>
      </w:r>
    </w:p>
    <w:p w:rsidR="00322EB1" w:rsidRPr="006D15A8" w:rsidRDefault="00322EB1" w:rsidP="006D15A8">
      <w:pPr>
        <w:pStyle w:val="BodyText3"/>
        <w:rPr>
          <w:b/>
          <w:bCs/>
          <w:i/>
          <w:iCs/>
          <w:sz w:val="20"/>
        </w:rPr>
      </w:pPr>
      <w:r w:rsidRPr="006D15A8">
        <w:rPr>
          <w:b/>
          <w:bCs/>
          <w:i/>
          <w:iCs/>
          <w:sz w:val="20"/>
        </w:rPr>
        <w:t>Influence of HA on fixation of P and K</w:t>
      </w:r>
    </w:p>
    <w:p w:rsidR="00371B73" w:rsidRPr="006D15A8" w:rsidRDefault="00322EB1" w:rsidP="006D15A8">
      <w:pPr>
        <w:pStyle w:val="BodyText3"/>
        <w:ind w:firstLine="720"/>
        <w:rPr>
          <w:sz w:val="20"/>
        </w:rPr>
      </w:pPr>
      <w:r w:rsidRPr="006D15A8">
        <w:rPr>
          <w:sz w:val="20"/>
        </w:rPr>
        <w:t xml:space="preserve">Differential response of clay and </w:t>
      </w:r>
      <w:r w:rsidR="0068202C" w:rsidRPr="006D15A8">
        <w:rPr>
          <w:sz w:val="20"/>
        </w:rPr>
        <w:t xml:space="preserve">CHC </w:t>
      </w:r>
      <w:r w:rsidRPr="006D15A8">
        <w:rPr>
          <w:sz w:val="20"/>
        </w:rPr>
        <w:t>towards fixation of P/K exhibited quite interesting trend of findings (</w:t>
      </w:r>
      <w:r w:rsidR="00A85E57" w:rsidRPr="006D15A8">
        <w:rPr>
          <w:sz w:val="20"/>
        </w:rPr>
        <w:t>F</w:t>
      </w:r>
      <w:r w:rsidRPr="006D15A8">
        <w:rPr>
          <w:sz w:val="20"/>
        </w:rPr>
        <w:t>ig</w:t>
      </w:r>
      <w:r w:rsidR="00A85E57" w:rsidRPr="006D15A8">
        <w:rPr>
          <w:sz w:val="20"/>
        </w:rPr>
        <w:t>ures</w:t>
      </w:r>
      <w:r w:rsidRPr="006D15A8">
        <w:rPr>
          <w:sz w:val="20"/>
        </w:rPr>
        <w:t xml:space="preserve"> </w:t>
      </w:r>
      <w:r w:rsidR="00B06D6C" w:rsidRPr="006D15A8">
        <w:rPr>
          <w:sz w:val="20"/>
        </w:rPr>
        <w:t>I</w:t>
      </w:r>
      <w:r w:rsidRPr="006D15A8">
        <w:rPr>
          <w:sz w:val="20"/>
        </w:rPr>
        <w:t xml:space="preserve"> and </w:t>
      </w:r>
      <w:r w:rsidR="00B06D6C" w:rsidRPr="006D15A8">
        <w:rPr>
          <w:sz w:val="20"/>
        </w:rPr>
        <w:t>II</w:t>
      </w:r>
      <w:r w:rsidRPr="006D15A8">
        <w:rPr>
          <w:sz w:val="20"/>
        </w:rPr>
        <w:t xml:space="preserve">). </w:t>
      </w:r>
    </w:p>
    <w:p w:rsidR="006D15A8" w:rsidRDefault="006D15A8" w:rsidP="006D15A8">
      <w:pPr>
        <w:pStyle w:val="BodyText3"/>
        <w:rPr>
          <w:sz w:val="20"/>
        </w:rPr>
        <w:sectPr w:rsidR="006D15A8" w:rsidSect="00F46254">
          <w:type w:val="continuous"/>
          <w:pgSz w:w="12240" w:h="15840" w:code="1"/>
          <w:pgMar w:top="1440" w:right="1440" w:bottom="1440" w:left="1440" w:header="720" w:footer="720" w:gutter="0"/>
          <w:cols w:num="2" w:space="425"/>
          <w:docGrid w:linePitch="360"/>
        </w:sectPr>
      </w:pPr>
    </w:p>
    <w:p w:rsidR="00C9132E" w:rsidRDefault="00C9132E" w:rsidP="006D15A8">
      <w:pPr>
        <w:pStyle w:val="BodyText3"/>
        <w:rPr>
          <w:sz w:val="20"/>
          <w:lang w:eastAsia="zh-CN"/>
        </w:rPr>
      </w:pPr>
    </w:p>
    <w:p w:rsidR="00322EB1" w:rsidRPr="006D15A8" w:rsidRDefault="00E97761" w:rsidP="006D15A8">
      <w:pPr>
        <w:pStyle w:val="BodyText3"/>
        <w:rPr>
          <w:sz w:val="20"/>
        </w:rPr>
      </w:pPr>
      <w:r>
        <w:rPr>
          <w:noProof/>
          <w:sz w:val="20"/>
          <w:lang w:bidi="hi-IN"/>
        </w:rPr>
        <w:pict>
          <v:line id="_x0000_s1039" style="position:absolute;left:0;text-align:left;z-index:251660800" from="5in,116.4pt" to="378pt,116.4pt">
            <v:stroke endarrow="block"/>
          </v:line>
        </w:pict>
      </w:r>
      <w:r>
        <w:rPr>
          <w:noProof/>
          <w:sz w:val="20"/>
          <w:lang w:bidi="hi-IN"/>
        </w:rPr>
        <w:pict>
          <v:rect id="_x0000_s1040" style="position:absolute;left:0;text-align:left;margin-left:378pt;margin-top:107.4pt;width:54pt;height:45pt;z-index:251661824" stroked="f">
            <v:textbox style="mso-next-textbox:#_x0000_s1040">
              <w:txbxContent>
                <w:p w:rsidR="00D8013B" w:rsidRDefault="00D8013B" w:rsidP="00D8013B">
                  <w:pPr>
                    <w:pStyle w:val="Heading1"/>
                    <w:tabs>
                      <w:tab w:val="clear" w:pos="7920"/>
                    </w:tabs>
                  </w:pPr>
                  <w:r>
                    <w:t xml:space="preserve">CHC </w:t>
                  </w:r>
                </w:p>
              </w:txbxContent>
            </v:textbox>
          </v:rect>
        </w:pict>
      </w:r>
      <w:r>
        <w:rPr>
          <w:noProof/>
          <w:sz w:val="20"/>
          <w:lang w:bidi="hi-IN"/>
        </w:rPr>
        <w:pict>
          <v:shapetype id="_x0000_t202" coordsize="21600,21600" o:spt="202" path="m,l,21600r21600,l21600,xe">
            <v:stroke joinstyle="miter"/>
            <v:path gradientshapeok="t" o:connecttype="rect"/>
          </v:shapetype>
          <v:shape id="_x0000_s1036" type="#_x0000_t202" style="position:absolute;left:0;text-align:left;margin-left:90pt;margin-top:44.4pt;width:45pt;height:27pt;z-index:251657728" stroked="f">
            <v:textbox style="mso-next-textbox:#_x0000_s1036">
              <w:txbxContent>
                <w:p w:rsidR="00371B73" w:rsidRDefault="00F67630" w:rsidP="00371B73">
                  <w:pPr>
                    <w:pStyle w:val="Heading1"/>
                    <w:tabs>
                      <w:tab w:val="clear" w:pos="7920"/>
                    </w:tabs>
                  </w:pPr>
                  <w:r>
                    <w:t xml:space="preserve">  </w:t>
                  </w:r>
                  <w:r w:rsidR="00371B73">
                    <w:t>Clay</w:t>
                  </w:r>
                </w:p>
              </w:txbxContent>
            </v:textbox>
          </v:shape>
        </w:pict>
      </w:r>
      <w:r>
        <w:rPr>
          <w:noProof/>
          <w:sz w:val="20"/>
        </w:rPr>
        <w:pict>
          <v:line id="_x0000_s1032" style="position:absolute;left:0;text-align:left;flip:x;z-index:251655680" from="135pt,53.4pt" to="162pt,53.4pt">
            <v:stroke endarrow="block"/>
          </v:line>
        </w:pict>
      </w:r>
      <w:r>
        <w:rPr>
          <w:noProof/>
          <w:sz w:val="20"/>
        </w:rPr>
        <w:pict>
          <v:rect id="_x0000_s1029" style="position:absolute;left:0;text-align:left;margin-left:153pt;margin-top:107.4pt;width:45pt;height:45pt;z-index:251654656" stroked="f">
            <v:textbox style="mso-next-textbox:#_x0000_s1029">
              <w:txbxContent>
                <w:p w:rsidR="00371B73" w:rsidRDefault="00D8013B" w:rsidP="00322EB1">
                  <w:pPr>
                    <w:pStyle w:val="Heading1"/>
                    <w:tabs>
                      <w:tab w:val="clear" w:pos="7920"/>
                    </w:tabs>
                  </w:pPr>
                  <w:r>
                    <w:t xml:space="preserve"> </w:t>
                  </w:r>
                  <w:r w:rsidR="00322EB1">
                    <w:t>C</w:t>
                  </w:r>
                  <w:r>
                    <w:t>HC</w:t>
                  </w:r>
                  <w:r w:rsidR="00322EB1">
                    <w:t xml:space="preserve"> </w:t>
                  </w:r>
                </w:p>
              </w:txbxContent>
            </v:textbox>
          </v:rect>
        </w:pict>
      </w:r>
      <w:r>
        <w:rPr>
          <w:noProof/>
          <w:sz w:val="20"/>
        </w:rPr>
        <w:pict>
          <v:line id="_x0000_s1033" style="position:absolute;left:0;text-align:left;z-index:251656704" from="126pt,116.4pt" to="153pt,116.4pt">
            <v:stroke endarrow="block"/>
          </v:line>
        </w:pict>
      </w:r>
      <w:r>
        <w:rPr>
          <w:noProof/>
          <w:sz w:val="20"/>
          <w:lang w:bidi="hi-IN"/>
        </w:rPr>
        <w:pict>
          <v:shape id="_x0000_s1038" type="#_x0000_t202" style="position:absolute;left:0;text-align:left;margin-left:306pt;margin-top:63pt;width:45pt;height:21pt;z-index:251659776" stroked="f">
            <v:textbox style="mso-next-textbox:#_x0000_s1038">
              <w:txbxContent>
                <w:p w:rsidR="00D8013B" w:rsidRDefault="00D8013B" w:rsidP="00D8013B">
                  <w:pPr>
                    <w:pStyle w:val="Heading1"/>
                    <w:tabs>
                      <w:tab w:val="clear" w:pos="7920"/>
                    </w:tabs>
                  </w:pPr>
                  <w:r>
                    <w:t xml:space="preserve">  Clay</w:t>
                  </w:r>
                </w:p>
              </w:txbxContent>
            </v:textbox>
          </v:shape>
        </w:pict>
      </w:r>
      <w:r>
        <w:rPr>
          <w:noProof/>
          <w:sz w:val="20"/>
          <w:lang w:bidi="hi-IN"/>
        </w:rPr>
        <w:pict>
          <v:line id="_x0000_s1037" style="position:absolute;left:0;text-align:left;flip:x;z-index:251658752" from="351pt,1in" to="378pt,1in">
            <v:stroke endarrow="block"/>
          </v:line>
        </w:pict>
      </w:r>
      <w:r w:rsidR="00B209B5" w:rsidRPr="006D15A8">
        <w:rPr>
          <w:sz w:val="20"/>
        </w:rPr>
        <w:object w:dxaOrig="4500" w:dyaOrig="4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75pt;height:242.3pt" o:ole="">
            <v:imagedata r:id="rId14" o:title=""/>
          </v:shape>
          <o:OLEObject Type="Embed" ProgID="Excel.Sheet.8" ShapeID="_x0000_i1025" DrawAspect="Content" ObjectID="_1448747728" r:id="rId15">
            <o:FieldCodes>\s</o:FieldCodes>
          </o:OLEObject>
        </w:object>
      </w:r>
      <w:r w:rsidR="00F67630" w:rsidRPr="006D15A8">
        <w:rPr>
          <w:sz w:val="20"/>
        </w:rPr>
        <w:t xml:space="preserve"> </w:t>
      </w:r>
      <w:r w:rsidR="00B209B5" w:rsidRPr="006D15A8">
        <w:rPr>
          <w:sz w:val="20"/>
        </w:rPr>
        <w:t xml:space="preserve"> </w:t>
      </w:r>
      <w:r w:rsidR="00F67630" w:rsidRPr="006D15A8">
        <w:rPr>
          <w:sz w:val="20"/>
        </w:rPr>
        <w:t xml:space="preserve">  </w:t>
      </w:r>
      <w:r w:rsidR="00B209B5" w:rsidRPr="006D15A8">
        <w:rPr>
          <w:sz w:val="20"/>
        </w:rPr>
        <w:object w:dxaOrig="4320" w:dyaOrig="4860">
          <v:shape id="_x0000_i1026" type="#_x0000_t75" style="width:3in;height:242.9pt" o:ole="">
            <v:imagedata r:id="rId16" o:title=""/>
          </v:shape>
          <o:OLEObject Type="Embed" ProgID="Excel.Sheet.8" ShapeID="_x0000_i1026" DrawAspect="Content" ObjectID="_1448747729" r:id="rId17">
            <o:FieldCodes>\s</o:FieldCodes>
          </o:OLEObject>
        </w:object>
      </w:r>
    </w:p>
    <w:p w:rsidR="006D15A8" w:rsidRPr="006D15A8" w:rsidRDefault="006D15A8" w:rsidP="006D15A8">
      <w:pPr>
        <w:jc w:val="center"/>
        <w:rPr>
          <w:sz w:val="20"/>
        </w:rPr>
      </w:pPr>
      <w:r w:rsidRPr="006D15A8">
        <w:rPr>
          <w:b/>
          <w:bCs/>
          <w:sz w:val="20"/>
        </w:rPr>
        <w:t>Fig.-I</w:t>
      </w:r>
      <w:r w:rsidRPr="006D15A8">
        <w:rPr>
          <w:sz w:val="20"/>
        </w:rPr>
        <w:t xml:space="preserve">  </w:t>
      </w:r>
      <w:r w:rsidRPr="006D15A8">
        <w:rPr>
          <w:b/>
          <w:bCs/>
          <w:sz w:val="20"/>
        </w:rPr>
        <w:t>P-fixation by clay and CHC</w:t>
      </w:r>
      <w:r w:rsidRPr="006D15A8">
        <w:rPr>
          <w:rFonts w:hint="eastAsia"/>
          <w:b/>
          <w:bCs/>
          <w:sz w:val="20"/>
          <w:lang w:eastAsia="zh-CN"/>
        </w:rPr>
        <w:t xml:space="preserve">  </w:t>
      </w:r>
      <w:r w:rsidRPr="006D15A8">
        <w:rPr>
          <w:rFonts w:hint="eastAsia"/>
          <w:b/>
          <w:bCs/>
          <w:sz w:val="20"/>
          <w:lang w:eastAsia="zh-CN"/>
        </w:rPr>
        <w:tab/>
      </w:r>
      <w:r w:rsidRPr="006D15A8">
        <w:rPr>
          <w:b/>
          <w:bCs/>
          <w:sz w:val="20"/>
        </w:rPr>
        <w:t>Fig.-II</w:t>
      </w:r>
      <w:r w:rsidRPr="006D15A8">
        <w:rPr>
          <w:sz w:val="20"/>
        </w:rPr>
        <w:t xml:space="preserve">  </w:t>
      </w:r>
      <w:r w:rsidRPr="006D15A8">
        <w:rPr>
          <w:b/>
          <w:bCs/>
          <w:sz w:val="20"/>
        </w:rPr>
        <w:t>K-fixation by clay and CHC</w:t>
      </w:r>
    </w:p>
    <w:p w:rsidR="006D15A8" w:rsidRDefault="006D15A8" w:rsidP="00300A07">
      <w:pPr>
        <w:pStyle w:val="BodyText3"/>
        <w:rPr>
          <w:sz w:val="20"/>
          <w:lang w:eastAsia="zh-CN"/>
        </w:rPr>
      </w:pPr>
    </w:p>
    <w:p w:rsidR="00163527" w:rsidRDefault="00163527" w:rsidP="00300A07">
      <w:pPr>
        <w:pStyle w:val="BodyText3"/>
        <w:rPr>
          <w:sz w:val="20"/>
          <w:lang w:eastAsia="zh-CN"/>
        </w:rPr>
      </w:pPr>
    </w:p>
    <w:p w:rsidR="00C9132E" w:rsidRDefault="00C9132E" w:rsidP="006D15A8">
      <w:pPr>
        <w:pStyle w:val="BodyText3"/>
        <w:ind w:firstLine="720"/>
        <w:rPr>
          <w:sz w:val="20"/>
        </w:rPr>
        <w:sectPr w:rsidR="00C9132E" w:rsidSect="00F46254">
          <w:type w:val="continuous"/>
          <w:pgSz w:w="12240" w:h="15840" w:code="1"/>
          <w:pgMar w:top="1440" w:right="1440" w:bottom="1440" w:left="1440" w:header="720" w:footer="720" w:gutter="0"/>
          <w:cols w:space="720"/>
          <w:docGrid w:linePitch="360"/>
        </w:sectPr>
      </w:pPr>
    </w:p>
    <w:p w:rsidR="00FB2C79" w:rsidRPr="006D15A8" w:rsidRDefault="00FB2C79" w:rsidP="006D15A8">
      <w:pPr>
        <w:pStyle w:val="BodyText3"/>
        <w:ind w:firstLine="720"/>
        <w:rPr>
          <w:sz w:val="20"/>
        </w:rPr>
      </w:pPr>
      <w:r w:rsidRPr="006D15A8">
        <w:rPr>
          <w:sz w:val="20"/>
        </w:rPr>
        <w:lastRenderedPageBreak/>
        <w:t xml:space="preserve">The initial run of the curves exhibited a linear relationship between P/ K added and fixed while a buffering tendency was observed for the higher values of P/ K addition. The finding is quite likely and is due to the limited availability of active sites or surface after a certain amount of respective ion is fixed. It was also evident that increased amount of P/ K was fixed by the clay with the removal of HA molecule. The finding might be explained in terms of the availability of surface and active spots, which was initially occupied by the humic fraction in association with clay (Kar </w:t>
      </w:r>
      <w:r w:rsidRPr="006D15A8">
        <w:rPr>
          <w:i/>
          <w:iCs/>
          <w:sz w:val="20"/>
        </w:rPr>
        <w:t xml:space="preserve">et </w:t>
      </w:r>
      <w:r w:rsidRPr="006D15A8">
        <w:rPr>
          <w:i/>
          <w:iCs/>
          <w:sz w:val="20"/>
        </w:rPr>
        <w:lastRenderedPageBreak/>
        <w:t>al</w:t>
      </w:r>
      <w:r w:rsidRPr="006D15A8">
        <w:rPr>
          <w:sz w:val="20"/>
        </w:rPr>
        <w:t>., 2009). The regression analysis relating P/K-added (P</w:t>
      </w:r>
      <w:r w:rsidRPr="006D15A8">
        <w:rPr>
          <w:sz w:val="20"/>
          <w:vertAlign w:val="subscript"/>
        </w:rPr>
        <w:t>a</w:t>
      </w:r>
      <w:r w:rsidRPr="006D15A8">
        <w:rPr>
          <w:sz w:val="20"/>
        </w:rPr>
        <w:t>/K</w:t>
      </w:r>
      <w:r w:rsidRPr="006D15A8">
        <w:rPr>
          <w:sz w:val="20"/>
          <w:vertAlign w:val="subscript"/>
        </w:rPr>
        <w:t>a</w:t>
      </w:r>
      <w:r w:rsidRPr="006D15A8">
        <w:rPr>
          <w:sz w:val="20"/>
        </w:rPr>
        <w:t>) versus difference in fixation of P/K between clay and CHC (∆P</w:t>
      </w:r>
      <w:r w:rsidRPr="006D15A8">
        <w:rPr>
          <w:sz w:val="20"/>
          <w:vertAlign w:val="subscript"/>
        </w:rPr>
        <w:t>f</w:t>
      </w:r>
      <w:r w:rsidRPr="006D15A8">
        <w:rPr>
          <w:sz w:val="20"/>
        </w:rPr>
        <w:t>/∆K</w:t>
      </w:r>
      <w:r w:rsidRPr="006D15A8">
        <w:rPr>
          <w:sz w:val="20"/>
          <w:vertAlign w:val="subscript"/>
        </w:rPr>
        <w:t>f</w:t>
      </w:r>
      <w:r w:rsidRPr="006D15A8">
        <w:rPr>
          <w:sz w:val="20"/>
        </w:rPr>
        <w:t>) further substantiated the above postulation through the equations, ∆P</w:t>
      </w:r>
      <w:r w:rsidRPr="006D15A8">
        <w:rPr>
          <w:sz w:val="20"/>
          <w:vertAlign w:val="subscript"/>
        </w:rPr>
        <w:t>f</w:t>
      </w:r>
      <w:r w:rsidRPr="006D15A8">
        <w:rPr>
          <w:sz w:val="20"/>
        </w:rPr>
        <w:t xml:space="preserve"> = 4.856 + 0.064 P</w:t>
      </w:r>
      <w:r w:rsidRPr="006D15A8">
        <w:rPr>
          <w:sz w:val="20"/>
          <w:vertAlign w:val="subscript"/>
        </w:rPr>
        <w:t xml:space="preserve">a </w:t>
      </w:r>
      <w:r w:rsidRPr="006D15A8">
        <w:rPr>
          <w:sz w:val="20"/>
        </w:rPr>
        <w:t>(R</w:t>
      </w:r>
      <w:r w:rsidRPr="006D15A8">
        <w:rPr>
          <w:sz w:val="20"/>
          <w:vertAlign w:val="superscript"/>
        </w:rPr>
        <w:t>2</w:t>
      </w:r>
      <w:r w:rsidRPr="006D15A8">
        <w:rPr>
          <w:sz w:val="20"/>
        </w:rPr>
        <w:t xml:space="preserve"> = 0.952**) and ∆K</w:t>
      </w:r>
      <w:r w:rsidRPr="006D15A8">
        <w:rPr>
          <w:sz w:val="20"/>
          <w:vertAlign w:val="subscript"/>
        </w:rPr>
        <w:t xml:space="preserve">f </w:t>
      </w:r>
      <w:r w:rsidRPr="006D15A8">
        <w:rPr>
          <w:sz w:val="20"/>
        </w:rPr>
        <w:t>= -0.719 + 0.267 K</w:t>
      </w:r>
      <w:r w:rsidRPr="006D15A8">
        <w:rPr>
          <w:sz w:val="20"/>
          <w:vertAlign w:val="subscript"/>
        </w:rPr>
        <w:t>a</w:t>
      </w:r>
      <w:r w:rsidRPr="006D15A8">
        <w:rPr>
          <w:sz w:val="20"/>
        </w:rPr>
        <w:t xml:space="preserve">  (R</w:t>
      </w:r>
      <w:r w:rsidRPr="006D15A8">
        <w:rPr>
          <w:sz w:val="20"/>
          <w:vertAlign w:val="superscript"/>
        </w:rPr>
        <w:t xml:space="preserve">2 </w:t>
      </w:r>
      <w:r w:rsidRPr="006D15A8">
        <w:rPr>
          <w:sz w:val="20"/>
        </w:rPr>
        <w:t>= 0.862*).</w:t>
      </w:r>
    </w:p>
    <w:p w:rsidR="00371B73" w:rsidRPr="006D15A8" w:rsidRDefault="00E97761" w:rsidP="006D15A8">
      <w:pPr>
        <w:pStyle w:val="BodyText3"/>
        <w:ind w:left="360" w:hanging="360"/>
        <w:rPr>
          <w:b/>
          <w:bCs/>
          <w:i/>
          <w:iCs/>
          <w:sz w:val="20"/>
        </w:rPr>
      </w:pPr>
      <w:r w:rsidRPr="00E97761">
        <w:rPr>
          <w:noProof/>
          <w:sz w:val="20"/>
        </w:rPr>
        <w:pict>
          <v:rect id="_x0000_s1027" style="position:absolute;left:0;text-align:left;margin-left:108pt;margin-top:547.8pt;width:306pt;height:37.8pt;z-index:251653632" stroked="f">
            <v:textbox style="mso-next-textbox:#_x0000_s1027">
              <w:txbxContent>
                <w:p w:rsidR="00322EB1" w:rsidRDefault="00322EB1" w:rsidP="00322EB1">
                  <w:pPr>
                    <w:jc w:val="center"/>
                  </w:pPr>
                  <w:r>
                    <w:rPr>
                      <w:b/>
                      <w:bCs/>
                    </w:rPr>
                    <w:t>Fig</w:t>
                  </w:r>
                  <w:r w:rsidR="00BE22AD">
                    <w:rPr>
                      <w:b/>
                      <w:bCs/>
                    </w:rPr>
                    <w:t>.</w:t>
                  </w:r>
                  <w:r w:rsidR="00B06D6C">
                    <w:rPr>
                      <w:b/>
                      <w:bCs/>
                    </w:rPr>
                    <w:t>-II</w:t>
                  </w:r>
                  <w:r>
                    <w:t xml:space="preserve"> </w:t>
                  </w:r>
                  <w:r w:rsidR="00B06D6C">
                    <w:t xml:space="preserve"> </w:t>
                  </w:r>
                  <w:r>
                    <w:rPr>
                      <w:b/>
                      <w:bCs/>
                    </w:rPr>
                    <w:t>K-fixation by clay and clay-</w:t>
                  </w:r>
                  <w:proofErr w:type="spellStart"/>
                  <w:r>
                    <w:rPr>
                      <w:b/>
                      <w:bCs/>
                    </w:rPr>
                    <w:t>humate</w:t>
                  </w:r>
                  <w:proofErr w:type="spellEnd"/>
                  <w:r>
                    <w:rPr>
                      <w:b/>
                      <w:bCs/>
                    </w:rPr>
                    <w:t xml:space="preserve"> complex</w:t>
                  </w:r>
                </w:p>
              </w:txbxContent>
            </v:textbox>
          </v:rect>
        </w:pict>
      </w:r>
      <w:r w:rsidR="00371B73" w:rsidRPr="006D15A8">
        <w:rPr>
          <w:b/>
          <w:bCs/>
          <w:i/>
          <w:iCs/>
          <w:sz w:val="20"/>
        </w:rPr>
        <w:t>Influence of HA on mulberry growth</w:t>
      </w:r>
    </w:p>
    <w:p w:rsidR="00FB2C79" w:rsidRPr="006D15A8" w:rsidRDefault="00371B73" w:rsidP="006D15A8">
      <w:pPr>
        <w:pStyle w:val="BodyText3"/>
        <w:rPr>
          <w:sz w:val="20"/>
        </w:rPr>
      </w:pPr>
      <w:r w:rsidRPr="006D15A8">
        <w:rPr>
          <w:sz w:val="20"/>
        </w:rPr>
        <w:tab/>
        <w:t xml:space="preserve">Effect of HA administration on different parameters pertaining to the root growth of mulberry is conspicuous from the table 1. </w:t>
      </w:r>
    </w:p>
    <w:p w:rsidR="00C9132E" w:rsidRDefault="00C9132E" w:rsidP="00C9132E">
      <w:pPr>
        <w:pStyle w:val="BodyText3"/>
        <w:ind w:left="900" w:hanging="900"/>
        <w:jc w:val="center"/>
        <w:rPr>
          <w:b/>
          <w:bCs/>
          <w:sz w:val="20"/>
          <w:lang w:eastAsia="zh-CN"/>
        </w:rPr>
        <w:sectPr w:rsidR="00C9132E" w:rsidSect="00F46254">
          <w:type w:val="continuous"/>
          <w:pgSz w:w="12240" w:h="15840" w:code="1"/>
          <w:pgMar w:top="1440" w:right="1440" w:bottom="1440" w:left="1440" w:header="720" w:footer="720" w:gutter="0"/>
          <w:cols w:num="2" w:space="425"/>
          <w:docGrid w:linePitch="360"/>
        </w:sectPr>
      </w:pPr>
    </w:p>
    <w:p w:rsidR="00C9132E" w:rsidRDefault="00C9132E" w:rsidP="00C9132E">
      <w:pPr>
        <w:pStyle w:val="BodyText3"/>
        <w:ind w:left="900" w:hanging="900"/>
        <w:jc w:val="center"/>
        <w:rPr>
          <w:b/>
          <w:bCs/>
          <w:sz w:val="20"/>
          <w:lang w:eastAsia="zh-CN"/>
        </w:rPr>
      </w:pPr>
    </w:p>
    <w:p w:rsidR="00FB2C79" w:rsidRPr="006D15A8" w:rsidRDefault="00FB2C79" w:rsidP="00C9132E">
      <w:pPr>
        <w:pStyle w:val="BodyText3"/>
        <w:ind w:left="900" w:hanging="900"/>
        <w:jc w:val="center"/>
        <w:rPr>
          <w:sz w:val="20"/>
        </w:rPr>
      </w:pPr>
      <w:r w:rsidRPr="006D15A8">
        <w:rPr>
          <w:b/>
          <w:bCs/>
          <w:sz w:val="20"/>
        </w:rPr>
        <w:t>Table 1:</w:t>
      </w:r>
      <w:r w:rsidRPr="006D15A8">
        <w:rPr>
          <w:sz w:val="20"/>
        </w:rPr>
        <w:t xml:space="preserve"> </w:t>
      </w:r>
      <w:r w:rsidRPr="006D15A8">
        <w:rPr>
          <w:b/>
          <w:bCs/>
          <w:sz w:val="20"/>
        </w:rPr>
        <w:t>Effect of HA formulation on root growth and sapling-height of mulberry, var. S-1635.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9"/>
        <w:gridCol w:w="1722"/>
        <w:gridCol w:w="1540"/>
        <w:gridCol w:w="2202"/>
        <w:gridCol w:w="2013"/>
      </w:tblGrid>
      <w:tr w:rsidR="00FB2C79" w:rsidRPr="000770AB" w:rsidTr="00300A07">
        <w:trPr>
          <w:jc w:val="center"/>
        </w:trPr>
        <w:tc>
          <w:tcPr>
            <w:tcW w:w="1096" w:type="pct"/>
            <w:tcBorders>
              <w:bottom w:val="single" w:sz="4" w:space="0" w:color="auto"/>
            </w:tcBorders>
          </w:tcPr>
          <w:p w:rsidR="00FB2C79" w:rsidRPr="000770AB" w:rsidRDefault="00FB2C79" w:rsidP="006D15A8">
            <w:pPr>
              <w:pStyle w:val="BodyText3"/>
              <w:jc w:val="center"/>
              <w:rPr>
                <w:rFonts w:eastAsiaTheme="minorEastAsia"/>
                <w:sz w:val="20"/>
              </w:rPr>
            </w:pPr>
            <w:r w:rsidRPr="000770AB">
              <w:rPr>
                <w:rFonts w:eastAsiaTheme="minorEastAsia"/>
                <w:sz w:val="20"/>
              </w:rPr>
              <w:t>Cuttings soaked into</w:t>
            </w:r>
          </w:p>
        </w:tc>
        <w:tc>
          <w:tcPr>
            <w:tcW w:w="899" w:type="pct"/>
            <w:tcBorders>
              <w:bottom w:val="single" w:sz="4" w:space="0" w:color="auto"/>
            </w:tcBorders>
          </w:tcPr>
          <w:p w:rsidR="00FB2C79" w:rsidRPr="000770AB" w:rsidRDefault="00FB2C79" w:rsidP="00300A07">
            <w:pPr>
              <w:pStyle w:val="BodyText3"/>
              <w:jc w:val="center"/>
              <w:rPr>
                <w:rFonts w:eastAsiaTheme="minorEastAsia"/>
                <w:sz w:val="20"/>
              </w:rPr>
            </w:pPr>
            <w:r w:rsidRPr="000770AB">
              <w:rPr>
                <w:rFonts w:eastAsiaTheme="minorEastAsia"/>
                <w:sz w:val="20"/>
              </w:rPr>
              <w:t>Length of tap root (m x 10</w:t>
            </w:r>
            <w:r w:rsidRPr="000770AB">
              <w:rPr>
                <w:rFonts w:eastAsiaTheme="minorEastAsia"/>
                <w:sz w:val="20"/>
                <w:vertAlign w:val="superscript"/>
              </w:rPr>
              <w:t>2</w:t>
            </w:r>
            <w:r w:rsidRPr="000770AB">
              <w:rPr>
                <w:rFonts w:eastAsiaTheme="minorEastAsia"/>
                <w:sz w:val="20"/>
              </w:rPr>
              <w:t>)</w:t>
            </w:r>
          </w:p>
        </w:tc>
        <w:tc>
          <w:tcPr>
            <w:tcW w:w="804" w:type="pct"/>
            <w:tcBorders>
              <w:bottom w:val="single" w:sz="4" w:space="0" w:color="auto"/>
            </w:tcBorders>
          </w:tcPr>
          <w:p w:rsidR="00FB2C79" w:rsidRPr="000770AB" w:rsidRDefault="00FB2C79" w:rsidP="006D15A8">
            <w:pPr>
              <w:pStyle w:val="BodyText3"/>
              <w:jc w:val="center"/>
              <w:rPr>
                <w:rFonts w:eastAsiaTheme="minorEastAsia"/>
                <w:sz w:val="20"/>
              </w:rPr>
            </w:pPr>
            <w:r w:rsidRPr="000770AB">
              <w:rPr>
                <w:rFonts w:eastAsiaTheme="minorEastAsia"/>
                <w:sz w:val="20"/>
              </w:rPr>
              <w:t>Root volume (l x 10</w:t>
            </w:r>
            <w:r w:rsidRPr="000770AB">
              <w:rPr>
                <w:rFonts w:eastAsiaTheme="minorEastAsia"/>
                <w:sz w:val="20"/>
                <w:vertAlign w:val="superscript"/>
              </w:rPr>
              <w:t>3</w:t>
            </w:r>
            <w:r w:rsidRPr="000770AB">
              <w:rPr>
                <w:rFonts w:eastAsiaTheme="minorEastAsia"/>
                <w:sz w:val="20"/>
              </w:rPr>
              <w:t>)</w:t>
            </w:r>
          </w:p>
        </w:tc>
        <w:tc>
          <w:tcPr>
            <w:tcW w:w="1150" w:type="pct"/>
            <w:tcBorders>
              <w:bottom w:val="single" w:sz="4" w:space="0" w:color="auto"/>
            </w:tcBorders>
          </w:tcPr>
          <w:p w:rsidR="00FB2C79" w:rsidRPr="000770AB" w:rsidRDefault="00FB2C79" w:rsidP="00300A07">
            <w:pPr>
              <w:pStyle w:val="BodyText3"/>
              <w:jc w:val="center"/>
              <w:rPr>
                <w:rFonts w:eastAsiaTheme="minorEastAsia"/>
                <w:sz w:val="20"/>
              </w:rPr>
            </w:pPr>
            <w:r w:rsidRPr="000770AB">
              <w:rPr>
                <w:rFonts w:eastAsiaTheme="minorEastAsia"/>
                <w:sz w:val="20"/>
              </w:rPr>
              <w:t>Dry weight of root mass (kg x 10</w:t>
            </w:r>
            <w:r w:rsidRPr="000770AB">
              <w:rPr>
                <w:rFonts w:eastAsiaTheme="minorEastAsia"/>
                <w:sz w:val="20"/>
                <w:vertAlign w:val="superscript"/>
              </w:rPr>
              <w:t>3</w:t>
            </w:r>
            <w:r w:rsidRPr="000770AB">
              <w:rPr>
                <w:rFonts w:eastAsiaTheme="minorEastAsia"/>
                <w:sz w:val="20"/>
              </w:rPr>
              <w:t>)</w:t>
            </w:r>
          </w:p>
        </w:tc>
        <w:tc>
          <w:tcPr>
            <w:tcW w:w="1051" w:type="pct"/>
            <w:tcBorders>
              <w:bottom w:val="single" w:sz="4" w:space="0" w:color="auto"/>
            </w:tcBorders>
          </w:tcPr>
          <w:p w:rsidR="00FB2C79" w:rsidRPr="000770AB" w:rsidRDefault="00300A07" w:rsidP="00300A07">
            <w:pPr>
              <w:pStyle w:val="BodyText3"/>
              <w:jc w:val="center"/>
              <w:rPr>
                <w:rFonts w:eastAsiaTheme="minorEastAsia"/>
                <w:sz w:val="20"/>
              </w:rPr>
            </w:pPr>
            <w:r>
              <w:rPr>
                <w:rFonts w:eastAsiaTheme="minorEastAsia"/>
                <w:sz w:val="20"/>
              </w:rPr>
              <w:t xml:space="preserve">Height of the sapling </w:t>
            </w:r>
            <w:r w:rsidR="00FB2C79" w:rsidRPr="000770AB">
              <w:rPr>
                <w:rFonts w:eastAsiaTheme="minorEastAsia"/>
                <w:sz w:val="20"/>
              </w:rPr>
              <w:t>(m x 10</w:t>
            </w:r>
            <w:r w:rsidR="00FB2C79" w:rsidRPr="000770AB">
              <w:rPr>
                <w:rFonts w:eastAsiaTheme="minorEastAsia"/>
                <w:sz w:val="20"/>
                <w:vertAlign w:val="superscript"/>
              </w:rPr>
              <w:t>2</w:t>
            </w:r>
            <w:r w:rsidR="00FB2C79" w:rsidRPr="000770AB">
              <w:rPr>
                <w:rFonts w:eastAsiaTheme="minorEastAsia"/>
                <w:sz w:val="20"/>
              </w:rPr>
              <w:t>)</w:t>
            </w:r>
          </w:p>
        </w:tc>
      </w:tr>
      <w:tr w:rsidR="00FB2C79" w:rsidRPr="000770AB" w:rsidTr="00300A07">
        <w:trPr>
          <w:jc w:val="center"/>
        </w:trPr>
        <w:tc>
          <w:tcPr>
            <w:tcW w:w="1096" w:type="pct"/>
            <w:tcBorders>
              <w:left w:val="single" w:sz="4" w:space="0" w:color="auto"/>
              <w:bottom w:val="single" w:sz="4" w:space="0" w:color="auto"/>
              <w:right w:val="single" w:sz="4" w:space="0" w:color="auto"/>
            </w:tcBorders>
          </w:tcPr>
          <w:p w:rsidR="00FB2C79" w:rsidRPr="000770AB" w:rsidRDefault="00FB2C79" w:rsidP="006D15A8">
            <w:pPr>
              <w:pStyle w:val="BodyText3"/>
              <w:rPr>
                <w:rFonts w:eastAsiaTheme="minorEastAsia"/>
                <w:sz w:val="20"/>
              </w:rPr>
            </w:pPr>
            <w:r w:rsidRPr="000770AB">
              <w:rPr>
                <w:rFonts w:eastAsiaTheme="minorEastAsia"/>
                <w:sz w:val="20"/>
              </w:rPr>
              <w:t xml:space="preserve">Water </w:t>
            </w:r>
          </w:p>
        </w:tc>
        <w:tc>
          <w:tcPr>
            <w:tcW w:w="899" w:type="pct"/>
            <w:tcBorders>
              <w:left w:val="single" w:sz="4" w:space="0" w:color="auto"/>
              <w:bottom w:val="single" w:sz="4" w:space="0" w:color="auto"/>
              <w:right w:val="single" w:sz="4" w:space="0" w:color="auto"/>
            </w:tcBorders>
          </w:tcPr>
          <w:p w:rsidR="00FB2C79" w:rsidRPr="000770AB" w:rsidRDefault="00FB2C79" w:rsidP="006D15A8">
            <w:pPr>
              <w:pStyle w:val="BodyText3"/>
              <w:jc w:val="center"/>
              <w:rPr>
                <w:rFonts w:eastAsiaTheme="minorEastAsia"/>
                <w:sz w:val="20"/>
              </w:rPr>
            </w:pPr>
            <w:r w:rsidRPr="000770AB">
              <w:rPr>
                <w:rFonts w:eastAsiaTheme="minorEastAsia"/>
                <w:sz w:val="20"/>
              </w:rPr>
              <w:t>25.80</w:t>
            </w:r>
          </w:p>
        </w:tc>
        <w:tc>
          <w:tcPr>
            <w:tcW w:w="804" w:type="pct"/>
            <w:tcBorders>
              <w:left w:val="single" w:sz="4" w:space="0" w:color="auto"/>
              <w:bottom w:val="single" w:sz="4" w:space="0" w:color="auto"/>
              <w:right w:val="single" w:sz="4" w:space="0" w:color="auto"/>
            </w:tcBorders>
          </w:tcPr>
          <w:p w:rsidR="00FB2C79" w:rsidRPr="000770AB" w:rsidRDefault="00FB2C79" w:rsidP="006D15A8">
            <w:pPr>
              <w:pStyle w:val="BodyText3"/>
              <w:jc w:val="center"/>
              <w:rPr>
                <w:rFonts w:eastAsiaTheme="minorEastAsia"/>
                <w:sz w:val="20"/>
              </w:rPr>
            </w:pPr>
            <w:r w:rsidRPr="000770AB">
              <w:rPr>
                <w:rFonts w:eastAsiaTheme="minorEastAsia"/>
                <w:sz w:val="20"/>
              </w:rPr>
              <w:t>3.18</w:t>
            </w:r>
          </w:p>
        </w:tc>
        <w:tc>
          <w:tcPr>
            <w:tcW w:w="1150" w:type="pct"/>
            <w:tcBorders>
              <w:left w:val="single" w:sz="4" w:space="0" w:color="auto"/>
              <w:bottom w:val="single" w:sz="4" w:space="0" w:color="auto"/>
              <w:right w:val="single" w:sz="4" w:space="0" w:color="auto"/>
            </w:tcBorders>
          </w:tcPr>
          <w:p w:rsidR="00FB2C79" w:rsidRPr="000770AB" w:rsidRDefault="00FB2C79" w:rsidP="006D15A8">
            <w:pPr>
              <w:pStyle w:val="BodyText3"/>
              <w:jc w:val="center"/>
              <w:rPr>
                <w:rFonts w:eastAsiaTheme="minorEastAsia"/>
                <w:sz w:val="20"/>
              </w:rPr>
            </w:pPr>
            <w:r w:rsidRPr="000770AB">
              <w:rPr>
                <w:rFonts w:eastAsiaTheme="minorEastAsia"/>
                <w:sz w:val="20"/>
              </w:rPr>
              <w:t>1.09</w:t>
            </w:r>
          </w:p>
        </w:tc>
        <w:tc>
          <w:tcPr>
            <w:tcW w:w="1051" w:type="pct"/>
            <w:tcBorders>
              <w:left w:val="single" w:sz="4" w:space="0" w:color="auto"/>
              <w:bottom w:val="single" w:sz="4" w:space="0" w:color="auto"/>
              <w:right w:val="single" w:sz="4" w:space="0" w:color="auto"/>
            </w:tcBorders>
          </w:tcPr>
          <w:p w:rsidR="00FB2C79" w:rsidRPr="000770AB" w:rsidRDefault="00FB2C79" w:rsidP="006D15A8">
            <w:pPr>
              <w:pStyle w:val="BodyText3"/>
              <w:jc w:val="center"/>
              <w:rPr>
                <w:rFonts w:eastAsiaTheme="minorEastAsia"/>
                <w:sz w:val="20"/>
              </w:rPr>
            </w:pPr>
            <w:r w:rsidRPr="000770AB">
              <w:rPr>
                <w:rFonts w:eastAsiaTheme="minorEastAsia"/>
                <w:sz w:val="20"/>
              </w:rPr>
              <w:t>45.8</w:t>
            </w:r>
          </w:p>
        </w:tc>
      </w:tr>
      <w:tr w:rsidR="00FB2C79" w:rsidRPr="000770AB" w:rsidTr="00300A07">
        <w:trPr>
          <w:jc w:val="center"/>
        </w:trPr>
        <w:tc>
          <w:tcPr>
            <w:tcW w:w="1096" w:type="pct"/>
            <w:tcBorders>
              <w:top w:val="single" w:sz="4" w:space="0" w:color="auto"/>
              <w:left w:val="single" w:sz="4" w:space="0" w:color="auto"/>
              <w:bottom w:val="single" w:sz="4" w:space="0" w:color="auto"/>
              <w:right w:val="single" w:sz="4" w:space="0" w:color="auto"/>
            </w:tcBorders>
          </w:tcPr>
          <w:p w:rsidR="00FB2C79" w:rsidRPr="000770AB" w:rsidRDefault="00FB2C79" w:rsidP="006D15A8">
            <w:pPr>
              <w:pStyle w:val="BodyText3"/>
              <w:rPr>
                <w:rFonts w:eastAsiaTheme="minorEastAsia"/>
                <w:sz w:val="20"/>
              </w:rPr>
            </w:pPr>
            <w:r w:rsidRPr="000770AB">
              <w:rPr>
                <w:rFonts w:eastAsiaTheme="minorEastAsia"/>
                <w:sz w:val="20"/>
              </w:rPr>
              <w:t xml:space="preserve">0.01% metallic-humate </w:t>
            </w:r>
          </w:p>
        </w:tc>
        <w:tc>
          <w:tcPr>
            <w:tcW w:w="899" w:type="pct"/>
            <w:tcBorders>
              <w:top w:val="single" w:sz="4" w:space="0" w:color="auto"/>
              <w:left w:val="single" w:sz="4" w:space="0" w:color="auto"/>
              <w:bottom w:val="single" w:sz="4" w:space="0" w:color="auto"/>
              <w:right w:val="single" w:sz="4" w:space="0" w:color="auto"/>
            </w:tcBorders>
          </w:tcPr>
          <w:p w:rsidR="00FB2C79" w:rsidRPr="000770AB" w:rsidRDefault="00FB2C79" w:rsidP="006D15A8">
            <w:pPr>
              <w:pStyle w:val="BodyText3"/>
              <w:jc w:val="center"/>
              <w:rPr>
                <w:rFonts w:eastAsiaTheme="minorEastAsia"/>
                <w:sz w:val="20"/>
              </w:rPr>
            </w:pPr>
            <w:r w:rsidRPr="000770AB">
              <w:rPr>
                <w:rFonts w:eastAsiaTheme="minorEastAsia"/>
                <w:sz w:val="20"/>
              </w:rPr>
              <w:t>36.00**</w:t>
            </w:r>
          </w:p>
        </w:tc>
        <w:tc>
          <w:tcPr>
            <w:tcW w:w="804" w:type="pct"/>
            <w:tcBorders>
              <w:top w:val="single" w:sz="4" w:space="0" w:color="auto"/>
              <w:left w:val="single" w:sz="4" w:space="0" w:color="auto"/>
              <w:bottom w:val="single" w:sz="4" w:space="0" w:color="auto"/>
              <w:right w:val="single" w:sz="4" w:space="0" w:color="auto"/>
            </w:tcBorders>
          </w:tcPr>
          <w:p w:rsidR="00FB2C79" w:rsidRPr="000770AB" w:rsidRDefault="00FB2C79" w:rsidP="006D15A8">
            <w:pPr>
              <w:pStyle w:val="BodyText3"/>
              <w:jc w:val="center"/>
              <w:rPr>
                <w:rFonts w:eastAsiaTheme="minorEastAsia"/>
                <w:sz w:val="20"/>
              </w:rPr>
            </w:pPr>
            <w:r w:rsidRPr="000770AB">
              <w:rPr>
                <w:rFonts w:eastAsiaTheme="minorEastAsia"/>
                <w:sz w:val="20"/>
              </w:rPr>
              <w:t>6.04**</w:t>
            </w:r>
          </w:p>
        </w:tc>
        <w:tc>
          <w:tcPr>
            <w:tcW w:w="1150" w:type="pct"/>
            <w:tcBorders>
              <w:top w:val="single" w:sz="4" w:space="0" w:color="auto"/>
              <w:left w:val="single" w:sz="4" w:space="0" w:color="auto"/>
              <w:bottom w:val="single" w:sz="4" w:space="0" w:color="auto"/>
              <w:right w:val="single" w:sz="4" w:space="0" w:color="auto"/>
            </w:tcBorders>
          </w:tcPr>
          <w:p w:rsidR="00FB2C79" w:rsidRPr="000770AB" w:rsidRDefault="00FB2C79" w:rsidP="006D15A8">
            <w:pPr>
              <w:pStyle w:val="BodyText3"/>
              <w:jc w:val="center"/>
              <w:rPr>
                <w:rFonts w:eastAsiaTheme="minorEastAsia"/>
                <w:sz w:val="20"/>
              </w:rPr>
            </w:pPr>
            <w:r w:rsidRPr="000770AB">
              <w:rPr>
                <w:rFonts w:eastAsiaTheme="minorEastAsia"/>
                <w:sz w:val="20"/>
              </w:rPr>
              <w:t>2.17**</w:t>
            </w:r>
          </w:p>
        </w:tc>
        <w:tc>
          <w:tcPr>
            <w:tcW w:w="1051" w:type="pct"/>
            <w:tcBorders>
              <w:top w:val="single" w:sz="4" w:space="0" w:color="auto"/>
              <w:left w:val="single" w:sz="4" w:space="0" w:color="auto"/>
              <w:bottom w:val="single" w:sz="4" w:space="0" w:color="auto"/>
              <w:right w:val="single" w:sz="4" w:space="0" w:color="auto"/>
            </w:tcBorders>
          </w:tcPr>
          <w:p w:rsidR="00FB2C79" w:rsidRPr="000770AB" w:rsidRDefault="00FB2C79" w:rsidP="006D15A8">
            <w:pPr>
              <w:pStyle w:val="BodyText3"/>
              <w:jc w:val="center"/>
              <w:rPr>
                <w:rFonts w:eastAsiaTheme="minorEastAsia"/>
                <w:sz w:val="20"/>
              </w:rPr>
            </w:pPr>
            <w:r w:rsidRPr="000770AB">
              <w:rPr>
                <w:rFonts w:eastAsiaTheme="minorEastAsia"/>
                <w:sz w:val="20"/>
              </w:rPr>
              <w:t>61.8**</w:t>
            </w:r>
          </w:p>
        </w:tc>
      </w:tr>
    </w:tbl>
    <w:p w:rsidR="00FB2C79" w:rsidRPr="006D15A8" w:rsidRDefault="00FB2C79" w:rsidP="00C9132E">
      <w:pPr>
        <w:pStyle w:val="BodyText3"/>
        <w:rPr>
          <w:sz w:val="20"/>
        </w:rPr>
      </w:pPr>
      <w:r w:rsidRPr="006D15A8">
        <w:rPr>
          <w:sz w:val="20"/>
        </w:rPr>
        <w:t>** Values significantly different at P = 0.01 when independently compared with water soaked cuttings using one-way ANOVA.</w:t>
      </w:r>
    </w:p>
    <w:p w:rsidR="00FB2C79" w:rsidRDefault="00FB2C79" w:rsidP="006D15A8">
      <w:pPr>
        <w:pStyle w:val="BodyText3"/>
        <w:rPr>
          <w:sz w:val="20"/>
        </w:rPr>
      </w:pPr>
    </w:p>
    <w:p w:rsidR="00163527" w:rsidRPr="006D15A8" w:rsidRDefault="00163527" w:rsidP="006D15A8">
      <w:pPr>
        <w:pStyle w:val="BodyText3"/>
        <w:rPr>
          <w:sz w:val="20"/>
        </w:rPr>
      </w:pPr>
    </w:p>
    <w:p w:rsidR="00C9132E" w:rsidRDefault="00C9132E" w:rsidP="006D15A8">
      <w:pPr>
        <w:pStyle w:val="BodyText3"/>
        <w:ind w:firstLine="720"/>
        <w:rPr>
          <w:sz w:val="20"/>
        </w:rPr>
        <w:sectPr w:rsidR="00C9132E" w:rsidSect="00F46254">
          <w:type w:val="continuous"/>
          <w:pgSz w:w="12240" w:h="15840" w:code="1"/>
          <w:pgMar w:top="1440" w:right="1440" w:bottom="1440" w:left="1440" w:header="720" w:footer="720" w:gutter="0"/>
          <w:cols w:space="720"/>
          <w:docGrid w:linePitch="360"/>
        </w:sectPr>
      </w:pPr>
    </w:p>
    <w:p w:rsidR="00371B73" w:rsidRPr="006D15A8" w:rsidRDefault="00371B73" w:rsidP="006D15A8">
      <w:pPr>
        <w:pStyle w:val="BodyText3"/>
        <w:ind w:firstLine="720"/>
        <w:rPr>
          <w:sz w:val="20"/>
        </w:rPr>
      </w:pPr>
      <w:r w:rsidRPr="006D15A8">
        <w:rPr>
          <w:sz w:val="20"/>
        </w:rPr>
        <w:lastRenderedPageBreak/>
        <w:t xml:space="preserve">Soaking of mulberry (S-1635) cuttings in 0.01% metallic-humate improved length of the taproot by 39.53%, root volume by 89.94% and dry weight of root mass by 99.08% over control. Presence of polyamines in the HA formulation (Young and Chen, 1997) induced hormonal activity, which in turn, enhanced the root growth of mulberry cuttings. Elongation of root length ensures deeper excavation of soil profile, which not only renders better anchorage to mulberry but imports nutrient ions from sub horizons too. On the other hand, enhancement of root volume stands for wider distribution of rhizosphere in the soil system leading to improvement of its physical properties (Hillel, 1980) in addition to wider utilization of soil nutrients. Moreover, it is apparent that higher dry weight of root is an aid to biomass. Adani </w:t>
      </w:r>
      <w:r w:rsidRPr="006D15A8">
        <w:rPr>
          <w:i/>
          <w:iCs/>
          <w:sz w:val="20"/>
        </w:rPr>
        <w:t>et al</w:t>
      </w:r>
      <w:r w:rsidRPr="006D15A8">
        <w:rPr>
          <w:sz w:val="20"/>
        </w:rPr>
        <w:t>., (1998) reported such positive effect of HA formulation on the root as well as shoot growth of tomato plant in hydroponics culture. Enhancement in root growth ultimately exerted influence on the growth of mulberry above ground level registering 34.28% increase in height of the sapling over control.</w:t>
      </w:r>
    </w:p>
    <w:p w:rsidR="00371B73" w:rsidRPr="006D15A8" w:rsidRDefault="00371B73" w:rsidP="006D15A8">
      <w:pPr>
        <w:pStyle w:val="BodyText3"/>
        <w:rPr>
          <w:sz w:val="20"/>
        </w:rPr>
      </w:pPr>
      <w:r w:rsidRPr="006D15A8">
        <w:rPr>
          <w:sz w:val="20"/>
        </w:rPr>
        <w:tab/>
        <w:t xml:space="preserve">From the foregoing discussion, preliminary information on the role of HA in reducing the fixation of P and K by soil clay and also in enhancing root growth of mulberry, var. S-1635 has been generated. Further studies may be carried out to explore the possibility of isolation and formulation of HA from alternative sources. Systematic study with the suitable formulation of the same may prove to be an alternative for the application of organic manure in mulberry cultivation. Besides, inconvenience due to bulk application of manure may be averted through précised application of HA as a component of fertigation. Moreover, capability of HA in influencing physiological activities of plant may be exploited to formulate suitable natural growth promoter for established mulberry plantation. </w:t>
      </w:r>
    </w:p>
    <w:p w:rsidR="00371B73" w:rsidRPr="006D15A8" w:rsidRDefault="00371B73" w:rsidP="006D15A8">
      <w:pPr>
        <w:pStyle w:val="BodyText3"/>
        <w:rPr>
          <w:b/>
          <w:bCs/>
          <w:sz w:val="20"/>
        </w:rPr>
      </w:pPr>
    </w:p>
    <w:p w:rsidR="00371B73" w:rsidRPr="006D15A8" w:rsidRDefault="00371B73" w:rsidP="006D15A8">
      <w:pPr>
        <w:pStyle w:val="BodyText3"/>
        <w:jc w:val="left"/>
        <w:rPr>
          <w:b/>
          <w:bCs/>
          <w:sz w:val="20"/>
        </w:rPr>
      </w:pPr>
      <w:r w:rsidRPr="006D15A8">
        <w:rPr>
          <w:b/>
          <w:bCs/>
          <w:sz w:val="20"/>
        </w:rPr>
        <w:t>References</w:t>
      </w:r>
    </w:p>
    <w:p w:rsidR="00371B73" w:rsidRPr="006D15A8" w:rsidRDefault="00371B73" w:rsidP="00C9132E">
      <w:pPr>
        <w:pStyle w:val="BodyText3"/>
        <w:numPr>
          <w:ilvl w:val="0"/>
          <w:numId w:val="1"/>
        </w:numPr>
        <w:rPr>
          <w:sz w:val="20"/>
        </w:rPr>
      </w:pPr>
      <w:r w:rsidRPr="006D15A8">
        <w:rPr>
          <w:sz w:val="20"/>
        </w:rPr>
        <w:t xml:space="preserve">Adani, F., Genevini, P., Zaccheo, P. and Zocchi, G. (1998) The effect of commercial humic acid on tomato plant growth and mineral nutrition, </w:t>
      </w:r>
      <w:r w:rsidRPr="006D15A8">
        <w:rPr>
          <w:i/>
          <w:iCs/>
          <w:sz w:val="20"/>
        </w:rPr>
        <w:t>J. Plant Nutr</w:t>
      </w:r>
      <w:r w:rsidRPr="006D15A8">
        <w:rPr>
          <w:sz w:val="20"/>
        </w:rPr>
        <w:t xml:space="preserve">., </w:t>
      </w:r>
      <w:r w:rsidRPr="006D15A8">
        <w:rPr>
          <w:b/>
          <w:bCs/>
          <w:sz w:val="20"/>
        </w:rPr>
        <w:t>21:</w:t>
      </w:r>
      <w:r w:rsidRPr="006D15A8">
        <w:rPr>
          <w:sz w:val="20"/>
        </w:rPr>
        <w:t xml:space="preserve"> 561-575.</w:t>
      </w:r>
    </w:p>
    <w:p w:rsidR="00371B73" w:rsidRPr="006D15A8" w:rsidRDefault="00371B73" w:rsidP="00C9132E">
      <w:pPr>
        <w:pStyle w:val="BodyText3"/>
        <w:numPr>
          <w:ilvl w:val="0"/>
          <w:numId w:val="1"/>
        </w:numPr>
        <w:rPr>
          <w:sz w:val="20"/>
        </w:rPr>
      </w:pPr>
      <w:r w:rsidRPr="006D15A8">
        <w:rPr>
          <w:sz w:val="20"/>
        </w:rPr>
        <w:lastRenderedPageBreak/>
        <w:t xml:space="preserve">Banik, G. C. and Sanyal, S. K. (2006) A study on chromium-humic complexation: part 1. characterization of humic substances, </w:t>
      </w:r>
      <w:r w:rsidRPr="006D15A8">
        <w:rPr>
          <w:i/>
          <w:iCs/>
          <w:sz w:val="20"/>
        </w:rPr>
        <w:t>J. Indian Soc. Soil Sci</w:t>
      </w:r>
      <w:r w:rsidRPr="006D15A8">
        <w:rPr>
          <w:sz w:val="20"/>
        </w:rPr>
        <w:t xml:space="preserve">., </w:t>
      </w:r>
      <w:r w:rsidRPr="006D15A8">
        <w:rPr>
          <w:b/>
          <w:bCs/>
          <w:sz w:val="20"/>
        </w:rPr>
        <w:t>54:</w:t>
      </w:r>
      <w:r w:rsidRPr="006D15A8">
        <w:rPr>
          <w:sz w:val="20"/>
        </w:rPr>
        <w:t xml:space="preserve"> 163-169.</w:t>
      </w:r>
    </w:p>
    <w:p w:rsidR="00371B73" w:rsidRPr="006D15A8" w:rsidRDefault="00371B73" w:rsidP="00C9132E">
      <w:pPr>
        <w:pStyle w:val="BodyText3"/>
        <w:numPr>
          <w:ilvl w:val="0"/>
          <w:numId w:val="1"/>
        </w:numPr>
        <w:rPr>
          <w:sz w:val="20"/>
        </w:rPr>
      </w:pPr>
      <w:r w:rsidRPr="006D15A8">
        <w:rPr>
          <w:sz w:val="20"/>
        </w:rPr>
        <w:t xml:space="preserve">Chopra, S. L. and Kanwar, J. S. (1982) Soil Analysis, In: </w:t>
      </w:r>
      <w:r w:rsidRPr="006D15A8">
        <w:rPr>
          <w:i/>
          <w:iCs/>
          <w:sz w:val="20"/>
        </w:rPr>
        <w:t>Analytical Agricultural Chemistry.</w:t>
      </w:r>
      <w:r w:rsidRPr="006D15A8">
        <w:rPr>
          <w:sz w:val="20"/>
        </w:rPr>
        <w:t xml:space="preserve"> Kalyani Publishers, </w:t>
      </w:r>
      <w:smartTag w:uri="urn:schemas-microsoft-com:office:smarttags" w:element="place">
        <w:smartTag w:uri="urn:schemas-microsoft-com:office:smarttags" w:element="City">
          <w:r w:rsidRPr="006D15A8">
            <w:rPr>
              <w:sz w:val="20"/>
            </w:rPr>
            <w:t>New Delhi</w:t>
          </w:r>
        </w:smartTag>
      </w:smartTag>
      <w:r w:rsidRPr="006D15A8">
        <w:rPr>
          <w:sz w:val="20"/>
        </w:rPr>
        <w:t>, pp. 162-190.</w:t>
      </w:r>
    </w:p>
    <w:p w:rsidR="00371B73" w:rsidRPr="006D15A8" w:rsidRDefault="00371B73" w:rsidP="00C9132E">
      <w:pPr>
        <w:pStyle w:val="BodyText3"/>
        <w:numPr>
          <w:ilvl w:val="0"/>
          <w:numId w:val="1"/>
        </w:numPr>
        <w:rPr>
          <w:sz w:val="20"/>
        </w:rPr>
      </w:pPr>
      <w:r w:rsidRPr="006D15A8">
        <w:rPr>
          <w:sz w:val="20"/>
        </w:rPr>
        <w:t xml:space="preserve">Hillel, D. (1980) Soil Structure and Aggregation, In </w:t>
      </w:r>
      <w:r w:rsidRPr="006D15A8">
        <w:rPr>
          <w:i/>
          <w:iCs/>
          <w:sz w:val="20"/>
        </w:rPr>
        <w:t>Fundamentals of Soil Physics</w:t>
      </w:r>
      <w:r w:rsidRPr="006D15A8">
        <w:rPr>
          <w:sz w:val="20"/>
        </w:rPr>
        <w:t xml:space="preserve">. Academic Press, </w:t>
      </w:r>
      <w:smartTag w:uri="urn:schemas-microsoft-com:office:smarttags" w:element="place">
        <w:smartTag w:uri="urn:schemas-microsoft-com:office:smarttags" w:element="State">
          <w:r w:rsidRPr="006D15A8">
            <w:rPr>
              <w:sz w:val="20"/>
            </w:rPr>
            <w:t>New York</w:t>
          </w:r>
        </w:smartTag>
      </w:smartTag>
      <w:r w:rsidRPr="006D15A8">
        <w:rPr>
          <w:sz w:val="20"/>
        </w:rPr>
        <w:t>, pp. 93-119.</w:t>
      </w:r>
    </w:p>
    <w:p w:rsidR="00371B73" w:rsidRPr="006D15A8" w:rsidRDefault="00371B73" w:rsidP="00C9132E">
      <w:pPr>
        <w:pStyle w:val="BodyText3"/>
        <w:numPr>
          <w:ilvl w:val="0"/>
          <w:numId w:val="1"/>
        </w:numPr>
        <w:rPr>
          <w:sz w:val="20"/>
        </w:rPr>
      </w:pPr>
      <w:r w:rsidRPr="006D15A8">
        <w:rPr>
          <w:sz w:val="20"/>
        </w:rPr>
        <w:t xml:space="preserve">Kar, R., Dutta, R. N. and Majumder, S. K. (1995) Characterization of humic acids isolated from soils under mulberry vegetation, </w:t>
      </w:r>
      <w:r w:rsidRPr="006D15A8">
        <w:rPr>
          <w:i/>
          <w:iCs/>
          <w:sz w:val="20"/>
        </w:rPr>
        <w:t>Curr. Sci</w:t>
      </w:r>
      <w:r w:rsidRPr="006D15A8">
        <w:rPr>
          <w:sz w:val="20"/>
        </w:rPr>
        <w:t xml:space="preserve">., </w:t>
      </w:r>
      <w:r w:rsidRPr="006D15A8">
        <w:rPr>
          <w:b/>
          <w:bCs/>
          <w:sz w:val="20"/>
        </w:rPr>
        <w:t>69:</w:t>
      </w:r>
      <w:r w:rsidRPr="006D15A8">
        <w:rPr>
          <w:sz w:val="20"/>
        </w:rPr>
        <w:t xml:space="preserve"> 67-68.</w:t>
      </w:r>
    </w:p>
    <w:p w:rsidR="00371B73" w:rsidRPr="006D15A8" w:rsidRDefault="00371B73" w:rsidP="00C9132E">
      <w:pPr>
        <w:pStyle w:val="BodyText3"/>
        <w:numPr>
          <w:ilvl w:val="0"/>
          <w:numId w:val="1"/>
        </w:numPr>
        <w:rPr>
          <w:sz w:val="20"/>
        </w:rPr>
      </w:pPr>
      <w:r w:rsidRPr="006D15A8">
        <w:rPr>
          <w:sz w:val="20"/>
        </w:rPr>
        <w:t xml:space="preserve">Kar, R., Bose, P. C and Bajpai, A. K. (2009) Differential response of clay-organic complex and organic-free clay isolated from mulberry growing </w:t>
      </w:r>
      <w:r w:rsidRPr="006D15A8">
        <w:rPr>
          <w:i/>
          <w:iCs/>
          <w:sz w:val="20"/>
        </w:rPr>
        <w:t>brown forest soils</w:t>
      </w:r>
      <w:r w:rsidRPr="006D15A8">
        <w:rPr>
          <w:sz w:val="20"/>
        </w:rPr>
        <w:t xml:space="preserve"> towards phosphorus adsorption, </w:t>
      </w:r>
      <w:r w:rsidRPr="006D15A8">
        <w:rPr>
          <w:i/>
          <w:iCs/>
          <w:sz w:val="20"/>
        </w:rPr>
        <w:t>J. Crop and Weed</w:t>
      </w:r>
      <w:r w:rsidRPr="006D15A8">
        <w:rPr>
          <w:sz w:val="20"/>
        </w:rPr>
        <w:t xml:space="preserve">, </w:t>
      </w:r>
      <w:r w:rsidRPr="006D15A8">
        <w:rPr>
          <w:b/>
          <w:bCs/>
          <w:sz w:val="20"/>
        </w:rPr>
        <w:t>5:</w:t>
      </w:r>
      <w:r w:rsidRPr="006D15A8">
        <w:rPr>
          <w:sz w:val="20"/>
        </w:rPr>
        <w:t xml:space="preserve"> 71-76.</w:t>
      </w:r>
    </w:p>
    <w:p w:rsidR="00371B73" w:rsidRPr="006D15A8" w:rsidRDefault="00371B73" w:rsidP="00C9132E">
      <w:pPr>
        <w:pStyle w:val="BodyText3"/>
        <w:numPr>
          <w:ilvl w:val="0"/>
          <w:numId w:val="1"/>
        </w:numPr>
        <w:rPr>
          <w:sz w:val="20"/>
        </w:rPr>
      </w:pPr>
      <w:r w:rsidRPr="006D15A8">
        <w:rPr>
          <w:sz w:val="20"/>
        </w:rPr>
        <w:t xml:space="preserve">Mukherjee, S. K. and Sharma, D. N. (1971) Effect of some growth regulators on the rooting of mulberry cuttings, </w:t>
      </w:r>
      <w:r w:rsidRPr="006D15A8">
        <w:rPr>
          <w:i/>
          <w:iCs/>
          <w:sz w:val="20"/>
        </w:rPr>
        <w:t>Indian J. Seric</w:t>
      </w:r>
      <w:r w:rsidRPr="006D15A8">
        <w:rPr>
          <w:sz w:val="20"/>
        </w:rPr>
        <w:t xml:space="preserve">., </w:t>
      </w:r>
      <w:r w:rsidRPr="006D15A8">
        <w:rPr>
          <w:b/>
          <w:bCs/>
          <w:sz w:val="20"/>
        </w:rPr>
        <w:t>X(1)</w:t>
      </w:r>
      <w:r w:rsidRPr="006D15A8">
        <w:rPr>
          <w:sz w:val="20"/>
        </w:rPr>
        <w:t>: 23-27.</w:t>
      </w:r>
    </w:p>
    <w:p w:rsidR="00371B73" w:rsidRPr="006D15A8" w:rsidRDefault="00371B73" w:rsidP="00C9132E">
      <w:pPr>
        <w:pStyle w:val="BodyText3"/>
        <w:numPr>
          <w:ilvl w:val="0"/>
          <w:numId w:val="1"/>
        </w:numPr>
        <w:rPr>
          <w:sz w:val="20"/>
        </w:rPr>
      </w:pPr>
      <w:r w:rsidRPr="006D15A8">
        <w:rPr>
          <w:sz w:val="20"/>
        </w:rPr>
        <w:t xml:space="preserve">Nikbakht, A., Kafi, M., Babalar, M., Xia, Y. P., Luo, A. and Etemadi, N. </w:t>
      </w:r>
      <w:r w:rsidRPr="006D15A8">
        <w:rPr>
          <w:i/>
          <w:iCs/>
          <w:sz w:val="20"/>
        </w:rPr>
        <w:t xml:space="preserve">J. </w:t>
      </w:r>
      <w:r w:rsidRPr="006D15A8">
        <w:rPr>
          <w:sz w:val="20"/>
        </w:rPr>
        <w:t xml:space="preserve">(2008) Effect of humic acid on plant growth, nutrient uptake and post harvest life of Gerbera, </w:t>
      </w:r>
      <w:r w:rsidRPr="006D15A8">
        <w:rPr>
          <w:i/>
          <w:iCs/>
          <w:sz w:val="20"/>
        </w:rPr>
        <w:t>J.</w:t>
      </w:r>
      <w:r w:rsidRPr="006D15A8">
        <w:rPr>
          <w:sz w:val="20"/>
        </w:rPr>
        <w:t xml:space="preserve"> </w:t>
      </w:r>
      <w:r w:rsidRPr="006D15A8">
        <w:rPr>
          <w:i/>
          <w:iCs/>
          <w:sz w:val="20"/>
        </w:rPr>
        <w:t>Plant Nutr</w:t>
      </w:r>
      <w:r w:rsidRPr="006D15A8">
        <w:rPr>
          <w:sz w:val="20"/>
        </w:rPr>
        <w:t xml:space="preserve">., </w:t>
      </w:r>
      <w:r w:rsidRPr="006D15A8">
        <w:rPr>
          <w:b/>
          <w:bCs/>
          <w:sz w:val="20"/>
        </w:rPr>
        <w:t>31:</w:t>
      </w:r>
      <w:r w:rsidRPr="006D15A8">
        <w:rPr>
          <w:sz w:val="20"/>
        </w:rPr>
        <w:t xml:space="preserve"> 2155-2167.</w:t>
      </w:r>
    </w:p>
    <w:p w:rsidR="00371B73" w:rsidRPr="006D15A8" w:rsidRDefault="00371B73" w:rsidP="00C9132E">
      <w:pPr>
        <w:pStyle w:val="BodyText3"/>
        <w:numPr>
          <w:ilvl w:val="0"/>
          <w:numId w:val="1"/>
        </w:numPr>
        <w:rPr>
          <w:sz w:val="20"/>
        </w:rPr>
      </w:pPr>
      <w:r w:rsidRPr="006D15A8">
        <w:rPr>
          <w:sz w:val="20"/>
        </w:rPr>
        <w:t xml:space="preserve">Piccolo, A., Pietramellara, G. and Mbagwu, J. S. C. (1997) Use of humic substances as soil conditioner to increase aggregate stability, </w:t>
      </w:r>
      <w:r w:rsidRPr="006D15A8">
        <w:rPr>
          <w:i/>
          <w:iCs/>
          <w:sz w:val="20"/>
        </w:rPr>
        <w:t>Geoderma</w:t>
      </w:r>
      <w:r w:rsidRPr="006D15A8">
        <w:rPr>
          <w:sz w:val="20"/>
        </w:rPr>
        <w:t xml:space="preserve">, </w:t>
      </w:r>
      <w:r w:rsidRPr="006D15A8">
        <w:rPr>
          <w:b/>
          <w:bCs/>
          <w:sz w:val="20"/>
        </w:rPr>
        <w:t>75:</w:t>
      </w:r>
      <w:r w:rsidRPr="006D15A8">
        <w:rPr>
          <w:sz w:val="20"/>
        </w:rPr>
        <w:t xml:space="preserve"> 267-277.</w:t>
      </w:r>
    </w:p>
    <w:p w:rsidR="00371B73" w:rsidRPr="006D15A8" w:rsidRDefault="00371B73" w:rsidP="00C9132E">
      <w:pPr>
        <w:pStyle w:val="BodyText3"/>
        <w:numPr>
          <w:ilvl w:val="0"/>
          <w:numId w:val="1"/>
        </w:numPr>
        <w:rPr>
          <w:sz w:val="20"/>
        </w:rPr>
      </w:pPr>
      <w:r w:rsidRPr="006D15A8">
        <w:rPr>
          <w:sz w:val="20"/>
        </w:rPr>
        <w:t xml:space="preserve">Sanyal, S. K. and Kar, R. (1990) Coupled transport processes across clay membranes, </w:t>
      </w:r>
      <w:r w:rsidRPr="006D15A8">
        <w:rPr>
          <w:i/>
          <w:iCs/>
          <w:sz w:val="20"/>
        </w:rPr>
        <w:t>J. Surface Sci. and Technol</w:t>
      </w:r>
      <w:r w:rsidRPr="006D15A8">
        <w:rPr>
          <w:sz w:val="20"/>
        </w:rPr>
        <w:t xml:space="preserve">., </w:t>
      </w:r>
      <w:r w:rsidRPr="006D15A8">
        <w:rPr>
          <w:b/>
          <w:bCs/>
          <w:sz w:val="20"/>
        </w:rPr>
        <w:t>6:</w:t>
      </w:r>
      <w:r w:rsidRPr="006D15A8">
        <w:rPr>
          <w:sz w:val="20"/>
        </w:rPr>
        <w:t xml:space="preserve"> 78-90.</w:t>
      </w:r>
    </w:p>
    <w:p w:rsidR="00371B73" w:rsidRPr="006D15A8" w:rsidRDefault="00371B73" w:rsidP="00C9132E">
      <w:pPr>
        <w:pStyle w:val="BodyText3"/>
        <w:numPr>
          <w:ilvl w:val="0"/>
          <w:numId w:val="1"/>
        </w:numPr>
        <w:rPr>
          <w:sz w:val="20"/>
        </w:rPr>
      </w:pPr>
      <w:r w:rsidRPr="006D15A8">
        <w:rPr>
          <w:sz w:val="20"/>
        </w:rPr>
        <w:t xml:space="preserve">Sanyal, S. K. and Majumder, K. (2009) Nutrient dynamics in soil. </w:t>
      </w:r>
      <w:r w:rsidRPr="006D15A8">
        <w:rPr>
          <w:i/>
          <w:iCs/>
          <w:sz w:val="20"/>
        </w:rPr>
        <w:t>J. Indian Soc. Soil Sci.</w:t>
      </w:r>
      <w:r w:rsidRPr="006D15A8">
        <w:rPr>
          <w:sz w:val="20"/>
        </w:rPr>
        <w:t xml:space="preserve">, </w:t>
      </w:r>
      <w:r w:rsidRPr="006D15A8">
        <w:rPr>
          <w:b/>
          <w:bCs/>
          <w:sz w:val="20"/>
        </w:rPr>
        <w:t>57:</w:t>
      </w:r>
      <w:r w:rsidRPr="006D15A8">
        <w:rPr>
          <w:sz w:val="20"/>
        </w:rPr>
        <w:t xml:space="preserve"> 477-493.</w:t>
      </w:r>
    </w:p>
    <w:p w:rsidR="00371B73" w:rsidRPr="006D15A8" w:rsidRDefault="00371B73" w:rsidP="00C9132E">
      <w:pPr>
        <w:pStyle w:val="BodyText3"/>
        <w:numPr>
          <w:ilvl w:val="0"/>
          <w:numId w:val="1"/>
        </w:numPr>
        <w:rPr>
          <w:sz w:val="20"/>
        </w:rPr>
      </w:pPr>
      <w:r w:rsidRPr="006D15A8">
        <w:rPr>
          <w:sz w:val="20"/>
        </w:rPr>
        <w:t xml:space="preserve">Singh, S. and Tomar, N. K. (1996) Phosphate sorption of heavy metal polluted soils, </w:t>
      </w:r>
      <w:r w:rsidRPr="006D15A8">
        <w:rPr>
          <w:i/>
          <w:iCs/>
          <w:sz w:val="20"/>
        </w:rPr>
        <w:t>J. Indian Soc. Soil Sci.</w:t>
      </w:r>
      <w:r w:rsidRPr="006D15A8">
        <w:rPr>
          <w:sz w:val="20"/>
        </w:rPr>
        <w:t xml:space="preserve">, </w:t>
      </w:r>
      <w:r w:rsidRPr="006D15A8">
        <w:rPr>
          <w:b/>
          <w:bCs/>
          <w:sz w:val="20"/>
        </w:rPr>
        <w:t>44:</w:t>
      </w:r>
      <w:r w:rsidRPr="006D15A8">
        <w:rPr>
          <w:sz w:val="20"/>
        </w:rPr>
        <w:t xml:space="preserve"> 386-391.</w:t>
      </w:r>
    </w:p>
    <w:p w:rsidR="00371B73" w:rsidRPr="006D15A8" w:rsidRDefault="00371B73" w:rsidP="00C9132E">
      <w:pPr>
        <w:pStyle w:val="BodyText3"/>
        <w:numPr>
          <w:ilvl w:val="0"/>
          <w:numId w:val="1"/>
        </w:numPr>
        <w:rPr>
          <w:sz w:val="20"/>
        </w:rPr>
      </w:pPr>
      <w:r w:rsidRPr="006D15A8">
        <w:rPr>
          <w:sz w:val="20"/>
        </w:rPr>
        <w:t xml:space="preserve">Stevenson, F. J. (1982) </w:t>
      </w:r>
      <w:r w:rsidRPr="006D15A8">
        <w:rPr>
          <w:i/>
          <w:iCs/>
          <w:sz w:val="20"/>
        </w:rPr>
        <w:t>Humus Chemistry</w:t>
      </w:r>
      <w:r w:rsidRPr="006D15A8">
        <w:rPr>
          <w:sz w:val="20"/>
        </w:rPr>
        <w:t xml:space="preserve">, Wiley, </w:t>
      </w:r>
      <w:smartTag w:uri="urn:schemas-microsoft-com:office:smarttags" w:element="place">
        <w:smartTag w:uri="urn:schemas-microsoft-com:office:smarttags" w:element="State">
          <w:r w:rsidRPr="006D15A8">
            <w:rPr>
              <w:sz w:val="20"/>
            </w:rPr>
            <w:t>New York</w:t>
          </w:r>
        </w:smartTag>
      </w:smartTag>
      <w:r w:rsidRPr="006D15A8">
        <w:rPr>
          <w:sz w:val="20"/>
        </w:rPr>
        <w:t>, pp. 349.</w:t>
      </w:r>
    </w:p>
    <w:p w:rsidR="00371B73" w:rsidRDefault="00371B73" w:rsidP="00C9132E">
      <w:pPr>
        <w:pStyle w:val="BodyText3"/>
        <w:numPr>
          <w:ilvl w:val="0"/>
          <w:numId w:val="1"/>
        </w:numPr>
        <w:rPr>
          <w:sz w:val="20"/>
        </w:rPr>
      </w:pPr>
      <w:r w:rsidRPr="006D15A8">
        <w:rPr>
          <w:sz w:val="20"/>
        </w:rPr>
        <w:t xml:space="preserve">Young, C. C. and Chen, F. (1997) Polyamines in humic acid and their effect on radical growth of lettuce seedlings, </w:t>
      </w:r>
      <w:r w:rsidRPr="006D15A8">
        <w:rPr>
          <w:i/>
          <w:iCs/>
          <w:sz w:val="20"/>
        </w:rPr>
        <w:t>Plant Soil</w:t>
      </w:r>
      <w:r w:rsidRPr="006D15A8">
        <w:rPr>
          <w:sz w:val="20"/>
        </w:rPr>
        <w:t xml:space="preserve">., </w:t>
      </w:r>
      <w:r w:rsidRPr="006D15A8">
        <w:rPr>
          <w:b/>
          <w:bCs/>
          <w:sz w:val="20"/>
        </w:rPr>
        <w:t>195:</w:t>
      </w:r>
      <w:r w:rsidRPr="006D15A8">
        <w:rPr>
          <w:sz w:val="20"/>
        </w:rPr>
        <w:t xml:space="preserve"> 143-149.</w:t>
      </w:r>
    </w:p>
    <w:p w:rsidR="00300A07" w:rsidRDefault="00300A07" w:rsidP="00300A07">
      <w:pPr>
        <w:pStyle w:val="BodyText3"/>
        <w:rPr>
          <w:sz w:val="20"/>
          <w:lang w:eastAsia="zh-CN"/>
        </w:rPr>
        <w:sectPr w:rsidR="00300A07" w:rsidSect="00F46254">
          <w:type w:val="continuous"/>
          <w:pgSz w:w="12240" w:h="15840" w:code="1"/>
          <w:pgMar w:top="1440" w:right="1440" w:bottom="1440" w:left="1440" w:header="720" w:footer="720" w:gutter="0"/>
          <w:cols w:num="2" w:space="425"/>
          <w:docGrid w:linePitch="360"/>
        </w:sectPr>
      </w:pPr>
    </w:p>
    <w:p w:rsidR="00300A07" w:rsidRDefault="00300A07" w:rsidP="00300A07">
      <w:pPr>
        <w:pStyle w:val="BodyText3"/>
        <w:rPr>
          <w:sz w:val="20"/>
          <w:lang w:eastAsia="zh-CN"/>
        </w:rPr>
      </w:pPr>
    </w:p>
    <w:p w:rsidR="00300A07" w:rsidRDefault="00300A07" w:rsidP="00300A07">
      <w:pPr>
        <w:pStyle w:val="BodyText3"/>
        <w:rPr>
          <w:sz w:val="20"/>
          <w:lang w:eastAsia="zh-CN"/>
        </w:rPr>
      </w:pPr>
    </w:p>
    <w:p w:rsidR="00300A07" w:rsidRPr="006D15A8" w:rsidRDefault="00300A07" w:rsidP="00300A07">
      <w:pPr>
        <w:pStyle w:val="BodyText3"/>
        <w:rPr>
          <w:sz w:val="20"/>
        </w:rPr>
      </w:pPr>
      <w:r>
        <w:rPr>
          <w:rFonts w:hint="eastAsia"/>
          <w:sz w:val="20"/>
          <w:lang w:eastAsia="zh-CN"/>
        </w:rPr>
        <w:t>12/5/2013</w:t>
      </w:r>
    </w:p>
    <w:sectPr w:rsidR="00300A07" w:rsidRPr="006D15A8" w:rsidSect="00300A07">
      <w:type w:val="continuous"/>
      <w:pgSz w:w="12240" w:h="15840" w:code="1"/>
      <w:pgMar w:top="1440" w:right="1440" w:bottom="1440" w:left="1440"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73A" w:rsidRDefault="0022373A">
      <w:r>
        <w:separator/>
      </w:r>
    </w:p>
  </w:endnote>
  <w:endnote w:type="continuationSeparator" w:id="0">
    <w:p w:rsidR="0022373A" w:rsidRDefault="00223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2E" w:rsidRDefault="00E97761" w:rsidP="003D1D8E">
    <w:pPr>
      <w:pStyle w:val="Footer"/>
      <w:framePr w:wrap="around" w:vAnchor="text" w:hAnchor="margin" w:xAlign="right" w:y="1"/>
      <w:rPr>
        <w:rStyle w:val="PageNumber"/>
      </w:rPr>
    </w:pPr>
    <w:r>
      <w:rPr>
        <w:rStyle w:val="PageNumber"/>
      </w:rPr>
      <w:fldChar w:fldCharType="begin"/>
    </w:r>
    <w:r w:rsidR="00744F2E">
      <w:rPr>
        <w:rStyle w:val="PageNumber"/>
      </w:rPr>
      <w:instrText xml:space="preserve">PAGE  </w:instrText>
    </w:r>
    <w:r>
      <w:rPr>
        <w:rStyle w:val="PageNumber"/>
      </w:rPr>
      <w:fldChar w:fldCharType="end"/>
    </w:r>
  </w:p>
  <w:p w:rsidR="00744F2E" w:rsidRDefault="00744F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2E" w:rsidRPr="00BD5A9C" w:rsidRDefault="00E97761" w:rsidP="00BD5A9C">
    <w:pPr>
      <w:jc w:val="center"/>
      <w:rPr>
        <w:sz w:val="20"/>
      </w:rPr>
    </w:pPr>
    <w:r w:rsidRPr="00BD5A9C">
      <w:rPr>
        <w:sz w:val="20"/>
      </w:rPr>
      <w:fldChar w:fldCharType="begin"/>
    </w:r>
    <w:r w:rsidR="00BD5A9C" w:rsidRPr="00BD5A9C">
      <w:rPr>
        <w:sz w:val="20"/>
      </w:rPr>
      <w:instrText xml:space="preserve"> page </w:instrText>
    </w:r>
    <w:r w:rsidRPr="00BD5A9C">
      <w:rPr>
        <w:sz w:val="20"/>
      </w:rPr>
      <w:fldChar w:fldCharType="separate"/>
    </w:r>
    <w:r w:rsidR="00163527">
      <w:rPr>
        <w:noProof/>
        <w:sz w:val="20"/>
      </w:rPr>
      <w:t>11</w:t>
    </w:r>
    <w:r w:rsidRPr="00BD5A9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F0F" w:rsidRPr="00B25F0F" w:rsidRDefault="00E97761" w:rsidP="00B25F0F">
    <w:pPr>
      <w:jc w:val="center"/>
      <w:rPr>
        <w:sz w:val="20"/>
      </w:rPr>
    </w:pPr>
    <w:r w:rsidRPr="00B25F0F">
      <w:rPr>
        <w:sz w:val="20"/>
      </w:rPr>
      <w:fldChar w:fldCharType="begin"/>
    </w:r>
    <w:r w:rsidR="00B25F0F" w:rsidRPr="00B25F0F">
      <w:rPr>
        <w:sz w:val="20"/>
      </w:rPr>
      <w:instrText xml:space="preserve"> page </w:instrText>
    </w:r>
    <w:r w:rsidRPr="00B25F0F">
      <w:rPr>
        <w:sz w:val="20"/>
      </w:rPr>
      <w:fldChar w:fldCharType="separate"/>
    </w:r>
    <w:r w:rsidR="006D15A8">
      <w:rPr>
        <w:noProof/>
        <w:sz w:val="20"/>
      </w:rPr>
      <w:t>1</w:t>
    </w:r>
    <w:r w:rsidRPr="00B25F0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73A" w:rsidRDefault="0022373A">
      <w:r>
        <w:separator/>
      </w:r>
    </w:p>
  </w:footnote>
  <w:footnote w:type="continuationSeparator" w:id="0">
    <w:p w:rsidR="0022373A" w:rsidRDefault="00223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9C" w:rsidRPr="00BD5A9C" w:rsidRDefault="00BD5A9C" w:rsidP="00BD5A9C">
    <w:pPr>
      <w:pBdr>
        <w:bottom w:val="thinThickMediumGap" w:sz="12" w:space="1" w:color="auto"/>
      </w:pBdr>
      <w:tabs>
        <w:tab w:val="left" w:pos="851"/>
        <w:tab w:val="right" w:pos="8364"/>
      </w:tabs>
      <w:adjustRightInd w:val="0"/>
      <w:snapToGrid w:val="0"/>
      <w:jc w:val="both"/>
      <w:rPr>
        <w:sz w:val="20"/>
        <w:szCs w:val="20"/>
      </w:rPr>
    </w:pPr>
    <w:r w:rsidRPr="00BD5A9C">
      <w:rPr>
        <w:rFonts w:hint="eastAsia"/>
        <w:iCs/>
        <w:color w:val="000000"/>
        <w:sz w:val="20"/>
        <w:szCs w:val="20"/>
      </w:rPr>
      <w:tab/>
    </w:r>
    <w:r w:rsidRPr="00BD5A9C">
      <w:rPr>
        <w:sz w:val="20"/>
        <w:szCs w:val="20"/>
      </w:rPr>
      <w:t>Nature and Science 201</w:t>
    </w:r>
    <w:r w:rsidRPr="00BD5A9C">
      <w:rPr>
        <w:rFonts w:hint="eastAsia"/>
        <w:sz w:val="20"/>
        <w:szCs w:val="20"/>
      </w:rPr>
      <w:t>4</w:t>
    </w:r>
    <w:r w:rsidRPr="00BD5A9C">
      <w:rPr>
        <w:sz w:val="20"/>
        <w:szCs w:val="20"/>
      </w:rPr>
      <w:t>;</w:t>
    </w:r>
    <w:r w:rsidRPr="00BD5A9C">
      <w:rPr>
        <w:rFonts w:hint="eastAsia"/>
        <w:sz w:val="20"/>
        <w:szCs w:val="20"/>
      </w:rPr>
      <w:t>12</w:t>
    </w:r>
    <w:r w:rsidRPr="00BD5A9C">
      <w:rPr>
        <w:sz w:val="20"/>
        <w:szCs w:val="20"/>
      </w:rPr>
      <w:t>(</w:t>
    </w:r>
    <w:r w:rsidRPr="00BD5A9C">
      <w:rPr>
        <w:rFonts w:hint="eastAsia"/>
        <w:sz w:val="20"/>
        <w:szCs w:val="20"/>
      </w:rPr>
      <w:t>1</w:t>
    </w:r>
    <w:r w:rsidRPr="00BD5A9C">
      <w:rPr>
        <w:sz w:val="20"/>
        <w:szCs w:val="20"/>
      </w:rPr>
      <w:t xml:space="preserve">) </w:t>
    </w:r>
    <w:r w:rsidRPr="00BD5A9C">
      <w:rPr>
        <w:color w:val="000000"/>
        <w:sz w:val="20"/>
        <w:szCs w:val="20"/>
      </w:rPr>
      <w:t xml:space="preserve"> </w:t>
    </w:r>
    <w:r w:rsidRPr="00BD5A9C">
      <w:rPr>
        <w:rFonts w:hint="eastAsia"/>
        <w:color w:val="000000"/>
        <w:sz w:val="20"/>
        <w:szCs w:val="20"/>
      </w:rPr>
      <w:tab/>
    </w:r>
    <w:r w:rsidRPr="00BD5A9C">
      <w:rPr>
        <w:color w:val="000000"/>
        <w:sz w:val="20"/>
        <w:szCs w:val="20"/>
      </w:rPr>
      <w:t xml:space="preserve"> </w:t>
    </w:r>
    <w:hyperlink r:id="rId1" w:history="1">
      <w:r w:rsidRPr="00BD5A9C">
        <w:rPr>
          <w:rStyle w:val="Hyperlink"/>
          <w:sz w:val="20"/>
          <w:szCs w:val="20"/>
        </w:rPr>
        <w:t>http://www.sciencepub.net/nature</w:t>
      </w:r>
    </w:hyperlink>
  </w:p>
  <w:p w:rsidR="00BD5A9C" w:rsidRPr="00BD5A9C" w:rsidRDefault="00BD5A9C" w:rsidP="00BD5A9C">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F0F" w:rsidRPr="00B25F0F" w:rsidRDefault="00B25F0F" w:rsidP="00B25F0F">
    <w:pPr>
      <w:pBdr>
        <w:bottom w:val="thinThickMediumGap" w:sz="12" w:space="1" w:color="auto"/>
      </w:pBdr>
      <w:tabs>
        <w:tab w:val="left" w:pos="851"/>
        <w:tab w:val="right" w:pos="8364"/>
      </w:tabs>
      <w:adjustRightInd w:val="0"/>
      <w:snapToGrid w:val="0"/>
      <w:jc w:val="both"/>
      <w:rPr>
        <w:sz w:val="20"/>
        <w:szCs w:val="20"/>
      </w:rPr>
    </w:pPr>
    <w:r w:rsidRPr="00B25F0F">
      <w:rPr>
        <w:rFonts w:hint="eastAsia"/>
        <w:iCs/>
        <w:color w:val="000000"/>
        <w:sz w:val="20"/>
        <w:szCs w:val="20"/>
      </w:rPr>
      <w:tab/>
    </w:r>
    <w:r w:rsidRPr="00B25F0F">
      <w:rPr>
        <w:sz w:val="20"/>
        <w:szCs w:val="20"/>
      </w:rPr>
      <w:t>Nature and Science 201</w:t>
    </w:r>
    <w:r w:rsidRPr="00B25F0F">
      <w:rPr>
        <w:rFonts w:hint="eastAsia"/>
        <w:sz w:val="20"/>
        <w:szCs w:val="20"/>
      </w:rPr>
      <w:t>4</w:t>
    </w:r>
    <w:r w:rsidRPr="00B25F0F">
      <w:rPr>
        <w:sz w:val="20"/>
        <w:szCs w:val="20"/>
      </w:rPr>
      <w:t>;</w:t>
    </w:r>
    <w:r w:rsidRPr="00B25F0F">
      <w:rPr>
        <w:rFonts w:hint="eastAsia"/>
        <w:sz w:val="20"/>
        <w:szCs w:val="20"/>
      </w:rPr>
      <w:t>12</w:t>
    </w:r>
    <w:r w:rsidRPr="00B25F0F">
      <w:rPr>
        <w:sz w:val="20"/>
        <w:szCs w:val="20"/>
      </w:rPr>
      <w:t>(</w:t>
    </w:r>
    <w:r w:rsidRPr="00B25F0F">
      <w:rPr>
        <w:rFonts w:hint="eastAsia"/>
        <w:sz w:val="20"/>
        <w:szCs w:val="20"/>
      </w:rPr>
      <w:t>1</w:t>
    </w:r>
    <w:r w:rsidRPr="00B25F0F">
      <w:rPr>
        <w:sz w:val="20"/>
        <w:szCs w:val="20"/>
      </w:rPr>
      <w:t xml:space="preserve">) </w:t>
    </w:r>
    <w:r w:rsidRPr="00B25F0F">
      <w:rPr>
        <w:color w:val="000000"/>
        <w:sz w:val="20"/>
        <w:szCs w:val="20"/>
      </w:rPr>
      <w:t xml:space="preserve"> </w:t>
    </w:r>
    <w:r w:rsidRPr="00B25F0F">
      <w:rPr>
        <w:rFonts w:hint="eastAsia"/>
        <w:color w:val="000000"/>
        <w:sz w:val="20"/>
        <w:szCs w:val="20"/>
      </w:rPr>
      <w:tab/>
    </w:r>
    <w:r w:rsidRPr="00B25F0F">
      <w:rPr>
        <w:color w:val="000000"/>
        <w:sz w:val="20"/>
        <w:szCs w:val="20"/>
      </w:rPr>
      <w:t xml:space="preserve"> </w:t>
    </w:r>
    <w:hyperlink r:id="rId1" w:history="1">
      <w:r w:rsidRPr="00B25F0F">
        <w:rPr>
          <w:rStyle w:val="Hyperlink"/>
          <w:sz w:val="20"/>
          <w:szCs w:val="20"/>
        </w:rPr>
        <w:t>http://www.sciencepub.net/nature</w:t>
      </w:r>
    </w:hyperlink>
  </w:p>
  <w:p w:rsidR="00B25F0F" w:rsidRPr="00B25F0F" w:rsidRDefault="00B25F0F" w:rsidP="00B25F0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7EE6"/>
    <w:multiLevelType w:val="hybridMultilevel"/>
    <w:tmpl w:val="2CF4F0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2EB1"/>
    <w:rsid w:val="000615C3"/>
    <w:rsid w:val="00061FB3"/>
    <w:rsid w:val="00073D44"/>
    <w:rsid w:val="00076F1E"/>
    <w:rsid w:val="000770AB"/>
    <w:rsid w:val="000A137F"/>
    <w:rsid w:val="000B0937"/>
    <w:rsid w:val="000B6889"/>
    <w:rsid w:val="000B7910"/>
    <w:rsid w:val="001069D7"/>
    <w:rsid w:val="00124D47"/>
    <w:rsid w:val="0014612F"/>
    <w:rsid w:val="00150F38"/>
    <w:rsid w:val="00151FE2"/>
    <w:rsid w:val="00163527"/>
    <w:rsid w:val="00185FE7"/>
    <w:rsid w:val="0019471E"/>
    <w:rsid w:val="001B0808"/>
    <w:rsid w:val="001D368E"/>
    <w:rsid w:val="001E1CAA"/>
    <w:rsid w:val="0022373A"/>
    <w:rsid w:val="00245034"/>
    <w:rsid w:val="002649F8"/>
    <w:rsid w:val="00282BB9"/>
    <w:rsid w:val="002F6540"/>
    <w:rsid w:val="00300A07"/>
    <w:rsid w:val="00322EB1"/>
    <w:rsid w:val="00371B73"/>
    <w:rsid w:val="003A7753"/>
    <w:rsid w:val="003D1D8E"/>
    <w:rsid w:val="003E7088"/>
    <w:rsid w:val="004C61DD"/>
    <w:rsid w:val="004D0AA4"/>
    <w:rsid w:val="004E13FF"/>
    <w:rsid w:val="004E5A32"/>
    <w:rsid w:val="004F7B7F"/>
    <w:rsid w:val="00505B40"/>
    <w:rsid w:val="005163BB"/>
    <w:rsid w:val="00524B02"/>
    <w:rsid w:val="00550055"/>
    <w:rsid w:val="00561FEE"/>
    <w:rsid w:val="0059420A"/>
    <w:rsid w:val="00605B1C"/>
    <w:rsid w:val="00625C21"/>
    <w:rsid w:val="0068202C"/>
    <w:rsid w:val="006B334B"/>
    <w:rsid w:val="006B4E4E"/>
    <w:rsid w:val="006C488B"/>
    <w:rsid w:val="006D15A8"/>
    <w:rsid w:val="006E5349"/>
    <w:rsid w:val="007327DD"/>
    <w:rsid w:val="00742A44"/>
    <w:rsid w:val="00744F2E"/>
    <w:rsid w:val="007506E5"/>
    <w:rsid w:val="0075140A"/>
    <w:rsid w:val="007638DF"/>
    <w:rsid w:val="00767CEB"/>
    <w:rsid w:val="007C60FE"/>
    <w:rsid w:val="007F7086"/>
    <w:rsid w:val="00815E5C"/>
    <w:rsid w:val="00817FB6"/>
    <w:rsid w:val="00873DE5"/>
    <w:rsid w:val="008B1043"/>
    <w:rsid w:val="008D4827"/>
    <w:rsid w:val="008E0C9E"/>
    <w:rsid w:val="0090600C"/>
    <w:rsid w:val="009165C5"/>
    <w:rsid w:val="00950B86"/>
    <w:rsid w:val="0097430D"/>
    <w:rsid w:val="00A41903"/>
    <w:rsid w:val="00A426C4"/>
    <w:rsid w:val="00A56F30"/>
    <w:rsid w:val="00A85E57"/>
    <w:rsid w:val="00A92C0B"/>
    <w:rsid w:val="00B06D6C"/>
    <w:rsid w:val="00B209B5"/>
    <w:rsid w:val="00B24C23"/>
    <w:rsid w:val="00B254D1"/>
    <w:rsid w:val="00B25F0F"/>
    <w:rsid w:val="00B374E7"/>
    <w:rsid w:val="00B4584C"/>
    <w:rsid w:val="00B7755A"/>
    <w:rsid w:val="00B93CD1"/>
    <w:rsid w:val="00BD5A9C"/>
    <w:rsid w:val="00BE22AD"/>
    <w:rsid w:val="00C30ED9"/>
    <w:rsid w:val="00C73803"/>
    <w:rsid w:val="00C8151B"/>
    <w:rsid w:val="00C9132E"/>
    <w:rsid w:val="00D050A2"/>
    <w:rsid w:val="00D56432"/>
    <w:rsid w:val="00D8013B"/>
    <w:rsid w:val="00D9177B"/>
    <w:rsid w:val="00DE79E4"/>
    <w:rsid w:val="00DF1366"/>
    <w:rsid w:val="00DF650D"/>
    <w:rsid w:val="00E1563A"/>
    <w:rsid w:val="00E422F3"/>
    <w:rsid w:val="00E97761"/>
    <w:rsid w:val="00EA2908"/>
    <w:rsid w:val="00EC4E8A"/>
    <w:rsid w:val="00ED0F09"/>
    <w:rsid w:val="00F42CE9"/>
    <w:rsid w:val="00F46254"/>
    <w:rsid w:val="00F67630"/>
    <w:rsid w:val="00F90F51"/>
    <w:rsid w:val="00FA72CF"/>
    <w:rsid w:val="00FB2C79"/>
    <w:rsid w:val="00FD6CC6"/>
    <w:rsid w:val="00FF16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EB1"/>
    <w:rPr>
      <w:sz w:val="24"/>
      <w:szCs w:val="24"/>
      <w:lang w:eastAsia="en-US"/>
    </w:rPr>
  </w:style>
  <w:style w:type="paragraph" w:styleId="Heading1">
    <w:name w:val="heading 1"/>
    <w:basedOn w:val="Normal"/>
    <w:next w:val="Normal"/>
    <w:qFormat/>
    <w:rsid w:val="00322EB1"/>
    <w:pPr>
      <w:keepNext/>
      <w:tabs>
        <w:tab w:val="left" w:pos="7920"/>
      </w:tabs>
      <w:outlineLvl w:val="0"/>
    </w:pPr>
    <w:rPr>
      <w:b/>
      <w:bCs/>
    </w:rPr>
  </w:style>
  <w:style w:type="paragraph" w:styleId="Heading3">
    <w:name w:val="heading 3"/>
    <w:basedOn w:val="Normal"/>
    <w:next w:val="Normal"/>
    <w:qFormat/>
    <w:rsid w:val="00A56F30"/>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22EB1"/>
    <w:pPr>
      <w:jc w:val="center"/>
    </w:pPr>
    <w:rPr>
      <w:b/>
      <w:bCs/>
    </w:rPr>
  </w:style>
  <w:style w:type="paragraph" w:styleId="BodyText3">
    <w:name w:val="Body Text 3"/>
    <w:basedOn w:val="Normal"/>
    <w:rsid w:val="00322EB1"/>
    <w:pPr>
      <w:jc w:val="both"/>
    </w:pPr>
  </w:style>
  <w:style w:type="paragraph" w:styleId="Footer">
    <w:name w:val="footer"/>
    <w:basedOn w:val="Normal"/>
    <w:rsid w:val="00322EB1"/>
    <w:pPr>
      <w:tabs>
        <w:tab w:val="center" w:pos="4320"/>
        <w:tab w:val="right" w:pos="8640"/>
      </w:tabs>
    </w:pPr>
  </w:style>
  <w:style w:type="character" w:styleId="PageNumber">
    <w:name w:val="page number"/>
    <w:basedOn w:val="DefaultParagraphFont"/>
    <w:rsid w:val="00322EB1"/>
  </w:style>
  <w:style w:type="paragraph" w:styleId="Header">
    <w:name w:val="header"/>
    <w:basedOn w:val="Normal"/>
    <w:rsid w:val="003D1D8E"/>
    <w:pPr>
      <w:tabs>
        <w:tab w:val="center" w:pos="4320"/>
        <w:tab w:val="right" w:pos="8640"/>
      </w:tabs>
    </w:pPr>
  </w:style>
  <w:style w:type="character" w:styleId="Hyperlink">
    <w:name w:val="Hyperlink"/>
    <w:basedOn w:val="DefaultParagraphFont"/>
    <w:rsid w:val="00B24C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202"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njitkr4@gmail.com" TargetMode="External"/><Relationship Id="rId12" Type="http://schemas.openxmlformats.org/officeDocument/2006/relationships/header" Target="header2.xml"/><Relationship Id="rId17" Type="http://schemas.openxmlformats.org/officeDocument/2006/relationships/oleObject" Target="embeddings/Microsoft_Office_Excel_97-2003_Worksheet22.xls"/><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Microsoft_Office_Excel_97-2003_Worksheet11.xls"/><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1732</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HUMIC ACID – A SOIL CONDITIONER AS WELL AS A MULBERRY             (Morus alba L</vt:lpstr>
    </vt:vector>
  </TitlesOfParts>
  <Company>Hewlett-Packard Company</Company>
  <LinksUpToDate>false</LinksUpToDate>
  <CharactersWithSpaces>11109</CharactersWithSpaces>
  <SharedDoc>false</SharedDoc>
  <HLinks>
    <vt:vector size="6" baseType="variant">
      <vt:variant>
        <vt:i4>2883650</vt:i4>
      </vt:variant>
      <vt:variant>
        <vt:i4>0</vt:i4>
      </vt:variant>
      <vt:variant>
        <vt:i4>0</vt:i4>
      </vt:variant>
      <vt:variant>
        <vt:i4>5</vt:i4>
      </vt:variant>
      <vt:variant>
        <vt:lpwstr>mailto:ranjitkr4@gmail.com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HUMIC ACID – A SOIL CONDITIONER AS WELL AS A MULBERRY             (Morus alba L</dc:title>
  <dc:creator>CSRTI</dc:creator>
  <cp:lastModifiedBy>Administrator</cp:lastModifiedBy>
  <cp:revision>5</cp:revision>
  <dcterms:created xsi:type="dcterms:W3CDTF">2013-12-15T07:21:00Z</dcterms:created>
  <dcterms:modified xsi:type="dcterms:W3CDTF">2013-12-17T06:09:00Z</dcterms:modified>
</cp:coreProperties>
</file>