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1E" w:rsidRPr="006038FB" w:rsidRDefault="00CF151E" w:rsidP="009E3379">
      <w:pPr>
        <w:pStyle w:val="NoSpacing"/>
        <w:jc w:val="center"/>
        <w:rPr>
          <w:b/>
          <w:bCs/>
          <w:sz w:val="20"/>
          <w:szCs w:val="20"/>
          <w:rtl/>
          <w:lang w:bidi="ar-EG"/>
        </w:rPr>
      </w:pPr>
      <w:proofErr w:type="spellStart"/>
      <w:r w:rsidRPr="006038FB">
        <w:rPr>
          <w:b/>
          <w:bCs/>
          <w:sz w:val="20"/>
          <w:szCs w:val="20"/>
        </w:rPr>
        <w:t>Ultrasonographic</w:t>
      </w:r>
      <w:proofErr w:type="spellEnd"/>
      <w:r w:rsidRPr="006038FB">
        <w:rPr>
          <w:b/>
          <w:bCs/>
          <w:sz w:val="20"/>
          <w:szCs w:val="20"/>
        </w:rPr>
        <w:t xml:space="preserve"> assessment of Body Fat Distribution in Obese Children</w:t>
      </w:r>
    </w:p>
    <w:p w:rsidR="00CF151E" w:rsidRPr="006038FB" w:rsidRDefault="00CF151E" w:rsidP="009E3379">
      <w:pPr>
        <w:pStyle w:val="NoSpacing"/>
        <w:jc w:val="center"/>
        <w:rPr>
          <w:sz w:val="20"/>
          <w:szCs w:val="20"/>
          <w:rtl/>
          <w:lang w:bidi="ar-EG"/>
        </w:rPr>
      </w:pPr>
    </w:p>
    <w:p w:rsidR="00CF151E" w:rsidRPr="006038FB" w:rsidRDefault="00CF151E" w:rsidP="009E3379">
      <w:pPr>
        <w:pStyle w:val="NoSpacing"/>
        <w:jc w:val="center"/>
        <w:rPr>
          <w:sz w:val="20"/>
          <w:szCs w:val="20"/>
          <w:lang w:bidi="ar-EG"/>
        </w:rPr>
      </w:pPr>
      <w:proofErr w:type="spellStart"/>
      <w:r w:rsidRPr="006038FB">
        <w:rPr>
          <w:sz w:val="20"/>
          <w:szCs w:val="20"/>
          <w:lang w:bidi="ar-EG"/>
        </w:rPr>
        <w:t>Soheir</w:t>
      </w:r>
      <w:proofErr w:type="spellEnd"/>
      <w:r w:rsidRPr="006038FB">
        <w:rPr>
          <w:sz w:val="20"/>
          <w:szCs w:val="20"/>
          <w:lang w:bidi="ar-EG"/>
        </w:rPr>
        <w:t xml:space="preserve"> B Fayed</w:t>
      </w:r>
      <w:r w:rsidRPr="006038FB">
        <w:rPr>
          <w:sz w:val="20"/>
          <w:szCs w:val="20"/>
          <w:vertAlign w:val="superscript"/>
          <w:lang w:bidi="ar-EG"/>
        </w:rPr>
        <w:t>1</w:t>
      </w:r>
      <w:r w:rsidRPr="006038FB">
        <w:rPr>
          <w:sz w:val="20"/>
          <w:szCs w:val="20"/>
          <w:lang w:bidi="ar-EG"/>
        </w:rPr>
        <w:t xml:space="preserve">, </w:t>
      </w:r>
      <w:proofErr w:type="spellStart"/>
      <w:r w:rsidRPr="006038FB">
        <w:rPr>
          <w:sz w:val="20"/>
          <w:szCs w:val="20"/>
          <w:lang w:bidi="ar-EG"/>
        </w:rPr>
        <w:t>Ateyat</w:t>
      </w:r>
      <w:proofErr w:type="spellEnd"/>
      <w:r w:rsidRPr="006038FB">
        <w:rPr>
          <w:sz w:val="20"/>
          <w:szCs w:val="20"/>
          <w:lang w:bidi="ar-EG"/>
        </w:rPr>
        <w:t xml:space="preserve"> A Ateya</w:t>
      </w:r>
      <w:r w:rsidRPr="006038FB">
        <w:rPr>
          <w:sz w:val="20"/>
          <w:szCs w:val="20"/>
          <w:vertAlign w:val="superscript"/>
          <w:lang w:bidi="ar-EG"/>
        </w:rPr>
        <w:t>1</w:t>
      </w:r>
      <w:r w:rsidRPr="006038FB">
        <w:rPr>
          <w:sz w:val="20"/>
          <w:szCs w:val="20"/>
          <w:lang w:bidi="ar-EG"/>
        </w:rPr>
        <w:t xml:space="preserve">, </w:t>
      </w:r>
      <w:proofErr w:type="spellStart"/>
      <w:r w:rsidRPr="006038FB">
        <w:rPr>
          <w:sz w:val="20"/>
          <w:szCs w:val="20"/>
          <w:lang w:bidi="ar-EG"/>
        </w:rPr>
        <w:t>Hala</w:t>
      </w:r>
      <w:proofErr w:type="spellEnd"/>
      <w:r w:rsidRPr="006038FB">
        <w:rPr>
          <w:sz w:val="20"/>
          <w:szCs w:val="20"/>
          <w:lang w:bidi="ar-EG"/>
        </w:rPr>
        <w:t xml:space="preserve"> M Thorya</w:t>
      </w:r>
      <w:r w:rsidRPr="006038FB">
        <w:rPr>
          <w:sz w:val="20"/>
          <w:szCs w:val="20"/>
          <w:vertAlign w:val="superscript"/>
          <w:lang w:bidi="ar-EG"/>
        </w:rPr>
        <w:t>1</w:t>
      </w:r>
      <w:r w:rsidRPr="006038FB">
        <w:rPr>
          <w:sz w:val="20"/>
          <w:szCs w:val="20"/>
          <w:lang w:bidi="ar-EG"/>
        </w:rPr>
        <w:t xml:space="preserve"> and Mohamed A El Shazly</w:t>
      </w:r>
      <w:r w:rsidRPr="006038FB">
        <w:rPr>
          <w:sz w:val="20"/>
          <w:szCs w:val="20"/>
          <w:vertAlign w:val="superscript"/>
          <w:lang w:bidi="ar-EG"/>
        </w:rPr>
        <w:t>2</w:t>
      </w:r>
    </w:p>
    <w:p w:rsidR="00CF151E" w:rsidRPr="006038FB" w:rsidRDefault="00CF151E" w:rsidP="009E3379">
      <w:pPr>
        <w:pStyle w:val="NoSpacing"/>
        <w:jc w:val="center"/>
        <w:rPr>
          <w:sz w:val="20"/>
          <w:szCs w:val="20"/>
          <w:lang w:bidi="ar-EG"/>
        </w:rPr>
      </w:pPr>
    </w:p>
    <w:p w:rsidR="00CF151E" w:rsidRPr="006038FB" w:rsidRDefault="00CF151E" w:rsidP="009E3379">
      <w:pPr>
        <w:pStyle w:val="NoSpacing"/>
        <w:jc w:val="center"/>
        <w:rPr>
          <w:sz w:val="20"/>
          <w:szCs w:val="20"/>
          <w:lang w:bidi="ar-EG"/>
        </w:rPr>
      </w:pPr>
      <w:r w:rsidRPr="006038FB">
        <w:rPr>
          <w:sz w:val="20"/>
          <w:szCs w:val="20"/>
          <w:lang w:bidi="ar-EG"/>
        </w:rPr>
        <w:t xml:space="preserve">Department of </w:t>
      </w:r>
      <w:r w:rsidRPr="006038FB">
        <w:rPr>
          <w:sz w:val="20"/>
          <w:szCs w:val="20"/>
          <w:vertAlign w:val="superscript"/>
          <w:lang w:bidi="ar-EG"/>
        </w:rPr>
        <w:t>1</w:t>
      </w:r>
      <w:r w:rsidRPr="006038FB">
        <w:rPr>
          <w:sz w:val="20"/>
          <w:szCs w:val="20"/>
          <w:lang w:bidi="ar-EG"/>
        </w:rPr>
        <w:t xml:space="preserve">Pediatrics and </w:t>
      </w:r>
      <w:r w:rsidRPr="006038FB">
        <w:rPr>
          <w:sz w:val="20"/>
          <w:szCs w:val="20"/>
          <w:vertAlign w:val="superscript"/>
          <w:lang w:bidi="ar-EG"/>
        </w:rPr>
        <w:t>2</w:t>
      </w:r>
      <w:r w:rsidRPr="006038FB">
        <w:rPr>
          <w:sz w:val="20"/>
          <w:szCs w:val="20"/>
          <w:lang w:bidi="ar-EG"/>
        </w:rPr>
        <w:t>Radiology, Faculty of Medicine for girls, Faculty of Medicine for Boys, Al-</w:t>
      </w:r>
      <w:proofErr w:type="spellStart"/>
      <w:r w:rsidRPr="006038FB">
        <w:rPr>
          <w:sz w:val="20"/>
          <w:szCs w:val="20"/>
          <w:lang w:bidi="ar-EG"/>
        </w:rPr>
        <w:t>Azhar</w:t>
      </w:r>
      <w:proofErr w:type="spellEnd"/>
      <w:r w:rsidRPr="006038FB">
        <w:rPr>
          <w:sz w:val="20"/>
          <w:szCs w:val="20"/>
          <w:lang w:bidi="ar-EG"/>
        </w:rPr>
        <w:t xml:space="preserve"> University</w:t>
      </w:r>
    </w:p>
    <w:p w:rsidR="00CF151E" w:rsidRPr="006038FB" w:rsidRDefault="007A7BA2" w:rsidP="009E3379">
      <w:pPr>
        <w:pStyle w:val="NoSpacing"/>
        <w:jc w:val="center"/>
        <w:rPr>
          <w:sz w:val="20"/>
          <w:szCs w:val="20"/>
          <w:lang w:bidi="ar-EG"/>
        </w:rPr>
      </w:pPr>
      <w:hyperlink r:id="rId8" w:history="1">
        <w:r w:rsidR="00CF151E" w:rsidRPr="006038FB">
          <w:rPr>
            <w:rStyle w:val="Hyperlink"/>
            <w:sz w:val="20"/>
            <w:szCs w:val="20"/>
            <w:lang w:bidi="ar-EG"/>
          </w:rPr>
          <w:t>ateyatabolfotoh@yahoo.com</w:t>
        </w:r>
      </w:hyperlink>
    </w:p>
    <w:p w:rsidR="00FD19A0" w:rsidRPr="006038FB" w:rsidRDefault="00FD19A0" w:rsidP="009E3379">
      <w:pPr>
        <w:pStyle w:val="NoSpacing"/>
        <w:jc w:val="center"/>
        <w:rPr>
          <w:sz w:val="20"/>
          <w:szCs w:val="20"/>
        </w:rPr>
      </w:pPr>
    </w:p>
    <w:p w:rsidR="00CF151E" w:rsidRPr="006038FB" w:rsidRDefault="00D50783" w:rsidP="009E3379">
      <w:pPr>
        <w:pStyle w:val="NoSpacing1"/>
        <w:bidi w:val="0"/>
        <w:jc w:val="both"/>
        <w:rPr>
          <w:sz w:val="20"/>
          <w:szCs w:val="20"/>
          <w:lang w:bidi="ar-EG"/>
        </w:rPr>
      </w:pPr>
      <w:r w:rsidRPr="006038FB">
        <w:rPr>
          <w:rFonts w:asciiTheme="majorBidi" w:hAnsiTheme="majorBidi" w:cstheme="majorBidi"/>
          <w:b/>
          <w:bCs/>
          <w:sz w:val="20"/>
          <w:szCs w:val="20"/>
        </w:rPr>
        <w:t>Abstract:</w:t>
      </w:r>
      <w:r w:rsidR="00347FD4" w:rsidRPr="006038FB">
        <w:rPr>
          <w:b/>
          <w:bCs/>
          <w:sz w:val="20"/>
          <w:szCs w:val="20"/>
        </w:rPr>
        <w:t xml:space="preserve"> </w:t>
      </w:r>
      <w:r w:rsidR="00CF151E" w:rsidRPr="006038FB">
        <w:rPr>
          <w:b/>
          <w:bCs/>
          <w:sz w:val="20"/>
          <w:szCs w:val="20"/>
          <w:lang w:bidi="ar-EG"/>
        </w:rPr>
        <w:t>Objective:</w:t>
      </w:r>
      <w:r w:rsidR="00CF151E" w:rsidRPr="006038FB">
        <w:rPr>
          <w:sz w:val="20"/>
          <w:szCs w:val="20"/>
          <w:lang w:bidi="ar-EG"/>
        </w:rPr>
        <w:t xml:space="preserve"> Pattern of fat distribution rather than obesity is of importance for metabolic disorders and for cardio- vascular morbidity and mortality. The purpose of this study was to assess body fat distribution by ultrasound (US) and to compare between </w:t>
      </w:r>
      <w:proofErr w:type="spellStart"/>
      <w:r w:rsidR="00CF151E" w:rsidRPr="006038FB">
        <w:rPr>
          <w:sz w:val="20"/>
          <w:szCs w:val="20"/>
          <w:lang w:bidi="ar-EG"/>
        </w:rPr>
        <w:t>ultrasonographic</w:t>
      </w:r>
      <w:proofErr w:type="spellEnd"/>
      <w:r w:rsidR="00CF151E" w:rsidRPr="006038FB">
        <w:rPr>
          <w:sz w:val="20"/>
          <w:szCs w:val="20"/>
          <w:lang w:bidi="ar-EG"/>
        </w:rPr>
        <w:t xml:space="preserve"> finding and the</w:t>
      </w:r>
      <w:r w:rsidR="004B147B">
        <w:rPr>
          <w:sz w:val="20"/>
          <w:szCs w:val="20"/>
          <w:lang w:bidi="ar-EG"/>
        </w:rPr>
        <w:t xml:space="preserve"> </w:t>
      </w:r>
      <w:r w:rsidR="00CF151E" w:rsidRPr="006038FB">
        <w:rPr>
          <w:sz w:val="20"/>
          <w:szCs w:val="20"/>
          <w:lang w:bidi="ar-EG"/>
        </w:rPr>
        <w:t>anthropometric findings .</w:t>
      </w:r>
      <w:r w:rsidR="00CF151E" w:rsidRPr="006038FB">
        <w:rPr>
          <w:b/>
          <w:bCs/>
          <w:sz w:val="20"/>
          <w:szCs w:val="20"/>
          <w:lang w:bidi="ar-EG"/>
        </w:rPr>
        <w:t>Patients and Methods :</w:t>
      </w:r>
      <w:r w:rsidR="00CF151E" w:rsidRPr="006038FB">
        <w:rPr>
          <w:sz w:val="20"/>
          <w:szCs w:val="20"/>
          <w:lang w:bidi="ar-EG"/>
        </w:rPr>
        <w:t xml:space="preserve"> This study is a</w:t>
      </w:r>
      <w:r w:rsidR="004B147B">
        <w:rPr>
          <w:sz w:val="20"/>
          <w:szCs w:val="20"/>
          <w:lang w:bidi="ar-EG"/>
        </w:rPr>
        <w:t xml:space="preserve"> </w:t>
      </w:r>
      <w:r w:rsidR="00CF151E" w:rsidRPr="006038FB">
        <w:rPr>
          <w:sz w:val="20"/>
          <w:szCs w:val="20"/>
          <w:lang w:bidi="ar-EG"/>
        </w:rPr>
        <w:t>cross-sectional comparative study. The study included 40 obese children (21 males and 19 females), with</w:t>
      </w:r>
      <w:r w:rsidR="004B147B">
        <w:rPr>
          <w:sz w:val="20"/>
          <w:szCs w:val="20"/>
          <w:lang w:bidi="ar-EG"/>
        </w:rPr>
        <w:t xml:space="preserve"> </w:t>
      </w:r>
      <w:r w:rsidR="00CF151E" w:rsidRPr="006038FB">
        <w:rPr>
          <w:sz w:val="20"/>
          <w:szCs w:val="20"/>
          <w:lang w:bidi="ar-EG"/>
        </w:rPr>
        <w:t>ages</w:t>
      </w:r>
      <w:r w:rsidR="004B147B">
        <w:rPr>
          <w:sz w:val="20"/>
          <w:szCs w:val="20"/>
          <w:lang w:bidi="ar-EG"/>
        </w:rPr>
        <w:t xml:space="preserve"> </w:t>
      </w:r>
      <w:r w:rsidR="00CF151E" w:rsidRPr="006038FB">
        <w:rPr>
          <w:sz w:val="20"/>
          <w:szCs w:val="20"/>
          <w:lang w:bidi="ar-EG"/>
        </w:rPr>
        <w:t>ranged</w:t>
      </w:r>
      <w:r w:rsidR="004B147B">
        <w:rPr>
          <w:sz w:val="20"/>
          <w:szCs w:val="20"/>
          <w:lang w:bidi="ar-EG"/>
        </w:rPr>
        <w:t xml:space="preserve"> </w:t>
      </w:r>
      <w:r w:rsidR="00CF151E" w:rsidRPr="006038FB">
        <w:rPr>
          <w:sz w:val="20"/>
          <w:szCs w:val="20"/>
          <w:lang w:bidi="ar-EG"/>
        </w:rPr>
        <w:t>from 4 to 16 years ,</w:t>
      </w:r>
      <w:r w:rsidR="004B147B">
        <w:rPr>
          <w:sz w:val="20"/>
          <w:szCs w:val="20"/>
          <w:lang w:bidi="ar-EG"/>
        </w:rPr>
        <w:t xml:space="preserve"> </w:t>
      </w:r>
      <w:r w:rsidR="00CF151E" w:rsidRPr="006038FB">
        <w:rPr>
          <w:sz w:val="20"/>
          <w:szCs w:val="20"/>
          <w:lang w:bidi="ar-EG"/>
        </w:rPr>
        <w:t>and</w:t>
      </w:r>
      <w:r w:rsidR="004B147B">
        <w:rPr>
          <w:sz w:val="20"/>
          <w:szCs w:val="20"/>
          <w:lang w:bidi="ar-EG"/>
        </w:rPr>
        <w:t xml:space="preserve"> </w:t>
      </w:r>
      <w:r w:rsidR="00CF151E" w:rsidRPr="006038FB">
        <w:rPr>
          <w:sz w:val="20"/>
          <w:szCs w:val="20"/>
          <w:lang w:bidi="ar-EG"/>
        </w:rPr>
        <w:t>40 non-obese children</w:t>
      </w:r>
      <w:r w:rsidR="004B147B">
        <w:rPr>
          <w:sz w:val="20"/>
          <w:szCs w:val="20"/>
          <w:lang w:bidi="ar-EG"/>
        </w:rPr>
        <w:t xml:space="preserve"> </w:t>
      </w:r>
      <w:r w:rsidR="00CF151E" w:rsidRPr="006038FB">
        <w:rPr>
          <w:sz w:val="20"/>
          <w:szCs w:val="20"/>
          <w:lang w:bidi="ar-EG"/>
        </w:rPr>
        <w:t>(20 males and 20 females), with ages ranged from 3 to 16 years.</w:t>
      </w:r>
      <w:r w:rsidR="004B147B">
        <w:rPr>
          <w:sz w:val="20"/>
          <w:szCs w:val="20"/>
          <w:lang w:bidi="ar-EG"/>
        </w:rPr>
        <w:t xml:space="preserve"> </w:t>
      </w:r>
      <w:proofErr w:type="spellStart"/>
      <w:r w:rsidR="00CF151E" w:rsidRPr="006038FB">
        <w:rPr>
          <w:sz w:val="20"/>
          <w:szCs w:val="20"/>
          <w:lang w:bidi="ar-EG"/>
        </w:rPr>
        <w:t>Ultrasonographic</w:t>
      </w:r>
      <w:proofErr w:type="spellEnd"/>
      <w:r w:rsidR="00CF151E" w:rsidRPr="006038FB">
        <w:rPr>
          <w:sz w:val="20"/>
          <w:szCs w:val="20"/>
          <w:lang w:bidi="ar-EG"/>
        </w:rPr>
        <w:t xml:space="preserve"> assessment of body fat were performed for all participants, including ; abdominal </w:t>
      </w:r>
      <w:proofErr w:type="spellStart"/>
      <w:r w:rsidR="00CF151E" w:rsidRPr="006038FB">
        <w:rPr>
          <w:sz w:val="20"/>
          <w:szCs w:val="20"/>
          <w:lang w:bidi="ar-EG"/>
        </w:rPr>
        <w:t>preperitoneal</w:t>
      </w:r>
      <w:proofErr w:type="spellEnd"/>
      <w:r w:rsidR="00CF151E" w:rsidRPr="006038FB">
        <w:rPr>
          <w:sz w:val="20"/>
          <w:szCs w:val="20"/>
          <w:lang w:bidi="ar-EG"/>
        </w:rPr>
        <w:t xml:space="preserve"> (P), subcutaneous (S) fat at their maximum (max) and minimum (min) thickness sites, visceral (V), triceps (</w:t>
      </w:r>
      <w:proofErr w:type="spellStart"/>
      <w:r w:rsidR="00CF151E" w:rsidRPr="006038FB">
        <w:rPr>
          <w:sz w:val="20"/>
          <w:szCs w:val="20"/>
          <w:lang w:bidi="ar-EG"/>
        </w:rPr>
        <w:t>TrUS</w:t>
      </w:r>
      <w:proofErr w:type="spellEnd"/>
      <w:r w:rsidR="00CF151E" w:rsidRPr="006038FB">
        <w:rPr>
          <w:sz w:val="20"/>
          <w:szCs w:val="20"/>
          <w:lang w:bidi="ar-EG"/>
        </w:rPr>
        <w:t xml:space="preserve">) and </w:t>
      </w:r>
      <w:proofErr w:type="spellStart"/>
      <w:r w:rsidR="00CF151E" w:rsidRPr="006038FB">
        <w:rPr>
          <w:sz w:val="20"/>
          <w:szCs w:val="20"/>
          <w:lang w:bidi="ar-EG"/>
        </w:rPr>
        <w:t>subscapular</w:t>
      </w:r>
      <w:proofErr w:type="spellEnd"/>
      <w:r w:rsidR="00CF151E" w:rsidRPr="006038FB">
        <w:rPr>
          <w:sz w:val="20"/>
          <w:szCs w:val="20"/>
          <w:lang w:bidi="ar-EG"/>
        </w:rPr>
        <w:t xml:space="preserve"> (</w:t>
      </w:r>
      <w:proofErr w:type="spellStart"/>
      <w:r w:rsidR="00CF151E" w:rsidRPr="006038FB">
        <w:rPr>
          <w:sz w:val="20"/>
          <w:szCs w:val="20"/>
          <w:lang w:bidi="ar-EG"/>
        </w:rPr>
        <w:t>SsUS</w:t>
      </w:r>
      <w:proofErr w:type="spellEnd"/>
      <w:r w:rsidR="00CF151E" w:rsidRPr="006038FB">
        <w:rPr>
          <w:sz w:val="20"/>
          <w:szCs w:val="20"/>
          <w:lang w:bidi="ar-EG"/>
        </w:rPr>
        <w:t>) fat thicknesses .Also anthropometric measurements were taken for all children, including body mass index (BMI), waist circumference (WC), waist to hip ratio (WHR), waist to height ratio (</w:t>
      </w:r>
      <w:proofErr w:type="spellStart"/>
      <w:r w:rsidR="00CF151E" w:rsidRPr="006038FB">
        <w:rPr>
          <w:sz w:val="20"/>
          <w:szCs w:val="20"/>
          <w:lang w:bidi="ar-EG"/>
        </w:rPr>
        <w:t>WHtR</w:t>
      </w:r>
      <w:proofErr w:type="spellEnd"/>
      <w:r w:rsidR="00CF151E" w:rsidRPr="006038FB">
        <w:rPr>
          <w:sz w:val="20"/>
          <w:szCs w:val="20"/>
          <w:lang w:bidi="ar-EG"/>
        </w:rPr>
        <w:t>), triceps (</w:t>
      </w:r>
      <w:proofErr w:type="spellStart"/>
      <w:r w:rsidR="00CF151E" w:rsidRPr="006038FB">
        <w:rPr>
          <w:sz w:val="20"/>
          <w:szCs w:val="20"/>
          <w:lang w:bidi="ar-EG"/>
        </w:rPr>
        <w:t>Tr</w:t>
      </w:r>
      <w:proofErr w:type="spellEnd"/>
      <w:r w:rsidR="00CF151E" w:rsidRPr="006038FB">
        <w:rPr>
          <w:sz w:val="20"/>
          <w:szCs w:val="20"/>
          <w:lang w:bidi="ar-EG"/>
        </w:rPr>
        <w:t xml:space="preserve">) and </w:t>
      </w:r>
      <w:proofErr w:type="spellStart"/>
      <w:r w:rsidR="00CF151E" w:rsidRPr="006038FB">
        <w:rPr>
          <w:sz w:val="20"/>
          <w:szCs w:val="20"/>
          <w:lang w:bidi="ar-EG"/>
        </w:rPr>
        <w:t>subscapul</w:t>
      </w:r>
      <w:r w:rsidR="00CF151E" w:rsidRPr="00B40DAA">
        <w:rPr>
          <w:sz w:val="18"/>
          <w:szCs w:val="20"/>
          <w:lang w:bidi="ar-EG"/>
        </w:rPr>
        <w:t>a</w:t>
      </w:r>
      <w:r w:rsidR="00CF151E" w:rsidRPr="006038FB">
        <w:rPr>
          <w:sz w:val="20"/>
          <w:szCs w:val="20"/>
          <w:lang w:bidi="ar-EG"/>
        </w:rPr>
        <w:t>r</w:t>
      </w:r>
      <w:proofErr w:type="spellEnd"/>
      <w:r w:rsidR="00CF151E" w:rsidRPr="006038FB">
        <w:rPr>
          <w:sz w:val="20"/>
          <w:szCs w:val="20"/>
          <w:lang w:bidi="ar-EG"/>
        </w:rPr>
        <w:t xml:space="preserve"> (Ss) skin fold thickness. </w:t>
      </w:r>
      <w:r w:rsidR="00CF151E" w:rsidRPr="006038FB">
        <w:rPr>
          <w:b/>
          <w:bCs/>
          <w:sz w:val="20"/>
          <w:szCs w:val="20"/>
          <w:lang w:bidi="ar-EG"/>
        </w:rPr>
        <w:t xml:space="preserve">Results: </w:t>
      </w:r>
      <w:r w:rsidR="00CF151E" w:rsidRPr="006038FB">
        <w:rPr>
          <w:sz w:val="20"/>
          <w:szCs w:val="20"/>
          <w:lang w:bidi="ar-EG"/>
        </w:rPr>
        <w:t>There was a highly significant difference between obese and</w:t>
      </w:r>
      <w:r w:rsidR="004B147B">
        <w:rPr>
          <w:sz w:val="20"/>
          <w:szCs w:val="20"/>
          <w:lang w:bidi="ar-EG"/>
        </w:rPr>
        <w:t xml:space="preserve"> </w:t>
      </w:r>
      <w:r w:rsidR="00CF151E" w:rsidRPr="006038FB">
        <w:rPr>
          <w:sz w:val="20"/>
          <w:szCs w:val="20"/>
          <w:lang w:bidi="ar-EG"/>
        </w:rPr>
        <w:t xml:space="preserve">control group in both US measurements and </w:t>
      </w:r>
      <w:proofErr w:type="spellStart"/>
      <w:r w:rsidR="00CF151E" w:rsidRPr="006038FB">
        <w:rPr>
          <w:sz w:val="20"/>
          <w:szCs w:val="20"/>
          <w:lang w:bidi="ar-EG"/>
        </w:rPr>
        <w:t>anthropamtric</w:t>
      </w:r>
      <w:proofErr w:type="spellEnd"/>
      <w:r w:rsidR="00CF151E" w:rsidRPr="006038FB">
        <w:rPr>
          <w:sz w:val="20"/>
          <w:szCs w:val="20"/>
          <w:lang w:bidi="ar-EG"/>
        </w:rPr>
        <w:t xml:space="preserve"> measurements except waist to hip ratio (WHR). BMI and WC were significantly correlated to all US measurements. No relation was found between WHR and US measurements. Multiple regression analysis using (V) as the dependent variable and anthropometric parameters and gender as the independent variables, reveled that BMI was the best single predictor of visceral fat thickness (V). In the obese children, 92.5% were found to have central obesity. </w:t>
      </w:r>
      <w:r w:rsidR="00CF151E" w:rsidRPr="006038FB">
        <w:rPr>
          <w:b/>
          <w:bCs/>
          <w:sz w:val="20"/>
          <w:szCs w:val="20"/>
          <w:lang w:bidi="ar-EG"/>
        </w:rPr>
        <w:t xml:space="preserve">Conclusion: </w:t>
      </w:r>
      <w:r w:rsidR="00CF151E" w:rsidRPr="006038FB">
        <w:rPr>
          <w:sz w:val="20"/>
          <w:szCs w:val="20"/>
          <w:lang w:bidi="ar-EG"/>
        </w:rPr>
        <w:t xml:space="preserve">From this study, Ultrasound has been proposed as an alternative non-invasive technique to measure subcutaneous and visceral fat thickness. In this study, </w:t>
      </w:r>
      <w:smartTag w:uri="urn:schemas-microsoft-com:office:smarttags" w:element="stockticker">
        <w:r w:rsidR="00CF151E" w:rsidRPr="006038FB">
          <w:rPr>
            <w:sz w:val="20"/>
            <w:szCs w:val="20"/>
            <w:lang w:bidi="ar-EG"/>
          </w:rPr>
          <w:t>BMI</w:t>
        </w:r>
      </w:smartTag>
      <w:r w:rsidR="00CF151E" w:rsidRPr="006038FB">
        <w:rPr>
          <w:sz w:val="20"/>
          <w:szCs w:val="20"/>
          <w:lang w:bidi="ar-EG"/>
        </w:rPr>
        <w:t xml:space="preserve"> provided the best estimate of body fat. On the contrary to that in adults, WHR was not a good index to show intra-abdominal adiposity in children and adolescents. WC and </w:t>
      </w:r>
      <w:proofErr w:type="spellStart"/>
      <w:r w:rsidR="00CF151E" w:rsidRPr="006038FB">
        <w:rPr>
          <w:sz w:val="20"/>
          <w:szCs w:val="20"/>
          <w:lang w:bidi="ar-EG"/>
        </w:rPr>
        <w:t>WHtR</w:t>
      </w:r>
      <w:proofErr w:type="spellEnd"/>
      <w:r w:rsidR="00CF151E" w:rsidRPr="006038FB">
        <w:rPr>
          <w:sz w:val="20"/>
          <w:szCs w:val="20"/>
          <w:lang w:bidi="ar-EG"/>
        </w:rPr>
        <w:t xml:space="preserve"> were more reliable in this</w:t>
      </w:r>
      <w:r w:rsidR="004B147B">
        <w:rPr>
          <w:sz w:val="20"/>
          <w:szCs w:val="20"/>
          <w:lang w:bidi="ar-EG"/>
        </w:rPr>
        <w:t xml:space="preserve"> </w:t>
      </w:r>
      <w:r w:rsidR="00CF151E" w:rsidRPr="006038FB">
        <w:rPr>
          <w:sz w:val="20"/>
          <w:szCs w:val="20"/>
          <w:lang w:bidi="ar-EG"/>
        </w:rPr>
        <w:t>clinical study.</w:t>
      </w:r>
      <w:r w:rsidR="004B147B">
        <w:rPr>
          <w:sz w:val="20"/>
          <w:szCs w:val="20"/>
          <w:lang w:bidi="ar-EG"/>
        </w:rPr>
        <w:t xml:space="preserve"> </w:t>
      </w:r>
    </w:p>
    <w:p w:rsidR="002A7D30" w:rsidRDefault="00D50783" w:rsidP="009E3379">
      <w:pPr>
        <w:jc w:val="both"/>
        <w:rPr>
          <w:bCs/>
          <w:color w:val="0000FF"/>
          <w:sz w:val="20"/>
          <w:szCs w:val="20"/>
          <w:lang w:eastAsia="zh-CN"/>
        </w:rPr>
      </w:pPr>
      <w:r w:rsidRPr="006038FB">
        <w:rPr>
          <w:rFonts w:asciiTheme="majorBidi" w:hAnsiTheme="majorBidi" w:cstheme="majorBidi"/>
          <w:sz w:val="20"/>
          <w:szCs w:val="20"/>
        </w:rPr>
        <w:t>[</w:t>
      </w:r>
      <w:proofErr w:type="spellStart"/>
      <w:r w:rsidR="00CF151E" w:rsidRPr="006038FB">
        <w:rPr>
          <w:sz w:val="20"/>
          <w:szCs w:val="20"/>
          <w:lang w:bidi="ar-EG"/>
        </w:rPr>
        <w:t>Soheir</w:t>
      </w:r>
      <w:proofErr w:type="spellEnd"/>
      <w:r w:rsidR="00CF151E" w:rsidRPr="006038FB">
        <w:rPr>
          <w:sz w:val="20"/>
          <w:szCs w:val="20"/>
          <w:lang w:bidi="ar-EG"/>
        </w:rPr>
        <w:t xml:space="preserve"> B Fayed1, </w:t>
      </w:r>
      <w:proofErr w:type="spellStart"/>
      <w:r w:rsidR="00CF151E" w:rsidRPr="006038FB">
        <w:rPr>
          <w:sz w:val="20"/>
          <w:szCs w:val="20"/>
          <w:lang w:bidi="ar-EG"/>
        </w:rPr>
        <w:t>Ateyat</w:t>
      </w:r>
      <w:proofErr w:type="spellEnd"/>
      <w:r w:rsidR="00CF151E" w:rsidRPr="006038FB">
        <w:rPr>
          <w:sz w:val="20"/>
          <w:szCs w:val="20"/>
          <w:lang w:bidi="ar-EG"/>
        </w:rPr>
        <w:t xml:space="preserve"> A </w:t>
      </w:r>
      <w:proofErr w:type="spellStart"/>
      <w:r w:rsidR="00CF151E" w:rsidRPr="006038FB">
        <w:rPr>
          <w:sz w:val="20"/>
          <w:szCs w:val="20"/>
          <w:lang w:bidi="ar-EG"/>
        </w:rPr>
        <w:t>Ateya</w:t>
      </w:r>
      <w:proofErr w:type="spellEnd"/>
      <w:r w:rsidR="00CF151E" w:rsidRPr="006038FB">
        <w:rPr>
          <w:sz w:val="20"/>
          <w:szCs w:val="20"/>
          <w:lang w:bidi="ar-EG"/>
        </w:rPr>
        <w:t xml:space="preserve">, </w:t>
      </w:r>
      <w:proofErr w:type="spellStart"/>
      <w:r w:rsidR="00CF151E" w:rsidRPr="006038FB">
        <w:rPr>
          <w:sz w:val="20"/>
          <w:szCs w:val="20"/>
          <w:lang w:bidi="ar-EG"/>
        </w:rPr>
        <w:t>Hala</w:t>
      </w:r>
      <w:proofErr w:type="spellEnd"/>
      <w:r w:rsidR="00CF151E" w:rsidRPr="006038FB">
        <w:rPr>
          <w:sz w:val="20"/>
          <w:szCs w:val="20"/>
          <w:lang w:bidi="ar-EG"/>
        </w:rPr>
        <w:t xml:space="preserve"> M </w:t>
      </w:r>
      <w:proofErr w:type="spellStart"/>
      <w:r w:rsidR="00CF151E" w:rsidRPr="006038FB">
        <w:rPr>
          <w:sz w:val="20"/>
          <w:szCs w:val="20"/>
          <w:lang w:bidi="ar-EG"/>
        </w:rPr>
        <w:t>Thorya</w:t>
      </w:r>
      <w:proofErr w:type="spellEnd"/>
      <w:r w:rsidR="00CF151E" w:rsidRPr="006038FB">
        <w:rPr>
          <w:sz w:val="20"/>
          <w:szCs w:val="20"/>
          <w:lang w:bidi="ar-EG"/>
        </w:rPr>
        <w:t xml:space="preserve"> and Mohamed A El </w:t>
      </w:r>
      <w:proofErr w:type="spellStart"/>
      <w:r w:rsidR="00CF151E" w:rsidRPr="006038FB">
        <w:rPr>
          <w:sz w:val="20"/>
          <w:szCs w:val="20"/>
          <w:lang w:bidi="ar-EG"/>
        </w:rPr>
        <w:t>Shazly</w:t>
      </w:r>
      <w:proofErr w:type="spellEnd"/>
      <w:r w:rsidR="006038FB" w:rsidRPr="006038FB">
        <w:rPr>
          <w:rFonts w:eastAsiaTheme="minorEastAsia" w:hint="eastAsia"/>
          <w:sz w:val="20"/>
          <w:szCs w:val="20"/>
          <w:lang w:eastAsia="zh-CN" w:bidi="ar-EG"/>
        </w:rPr>
        <w:t>.</w:t>
      </w:r>
      <w:r w:rsidR="00CF151E" w:rsidRPr="006038FB">
        <w:rPr>
          <w:color w:val="FF0000"/>
          <w:sz w:val="20"/>
          <w:szCs w:val="20"/>
          <w:vertAlign w:val="superscript"/>
          <w:lang w:bidi="ar-EG"/>
        </w:rPr>
        <w:t xml:space="preserve"> </w:t>
      </w:r>
      <w:proofErr w:type="spellStart"/>
      <w:r w:rsidR="00CF151E" w:rsidRPr="006038FB">
        <w:rPr>
          <w:b/>
          <w:bCs/>
          <w:sz w:val="20"/>
          <w:szCs w:val="20"/>
        </w:rPr>
        <w:t>Ultrasonographic</w:t>
      </w:r>
      <w:proofErr w:type="spellEnd"/>
      <w:r w:rsidR="00CF151E" w:rsidRPr="006038FB">
        <w:rPr>
          <w:b/>
          <w:bCs/>
          <w:sz w:val="20"/>
          <w:szCs w:val="20"/>
        </w:rPr>
        <w:t xml:space="preserve"> assessment of Body Fat Distribution in Obese Children</w:t>
      </w:r>
      <w:r w:rsidR="006038FB" w:rsidRPr="006038FB">
        <w:rPr>
          <w:rFonts w:asciiTheme="majorBidi" w:eastAsiaTheme="minorEastAsia" w:hAnsiTheme="majorBidi" w:cstheme="majorBidi" w:hint="eastAsia"/>
          <w:b/>
          <w:bCs/>
          <w:color w:val="000000"/>
          <w:sz w:val="20"/>
          <w:szCs w:val="20"/>
          <w:lang w:eastAsia="zh-CN"/>
        </w:rPr>
        <w:t>.</w:t>
      </w:r>
      <w:r w:rsidRPr="006038FB">
        <w:rPr>
          <w:rFonts w:asciiTheme="majorBidi" w:hAnsiTheme="majorBidi" w:cstheme="majorBidi"/>
          <w:sz w:val="20"/>
          <w:szCs w:val="20"/>
          <w:lang w:bidi="ar-EG"/>
        </w:rPr>
        <w:t xml:space="preserve"> </w:t>
      </w:r>
      <w:r w:rsidR="002A7D30" w:rsidRPr="00661A0E">
        <w:rPr>
          <w:bCs/>
          <w:i/>
          <w:sz w:val="20"/>
          <w:szCs w:val="20"/>
        </w:rPr>
        <w:t>Nat</w:t>
      </w:r>
      <w:r w:rsidR="006038FB" w:rsidRPr="00661A0E">
        <w:rPr>
          <w:rFonts w:eastAsiaTheme="minorEastAsia" w:hint="eastAsia"/>
          <w:bCs/>
          <w:i/>
          <w:sz w:val="20"/>
          <w:szCs w:val="20"/>
          <w:lang w:eastAsia="zh-CN"/>
        </w:rPr>
        <w:t xml:space="preserve"> </w:t>
      </w:r>
      <w:proofErr w:type="spellStart"/>
      <w:r w:rsidR="002A7D30" w:rsidRPr="00661A0E">
        <w:rPr>
          <w:bCs/>
          <w:i/>
          <w:sz w:val="20"/>
          <w:szCs w:val="20"/>
        </w:rPr>
        <w:t>Sci</w:t>
      </w:r>
      <w:proofErr w:type="spellEnd"/>
      <w:r w:rsidR="002A7D30" w:rsidRPr="006038FB">
        <w:rPr>
          <w:bCs/>
          <w:sz w:val="20"/>
          <w:szCs w:val="20"/>
        </w:rPr>
        <w:t xml:space="preserve"> 201</w:t>
      </w:r>
      <w:r w:rsidR="002A7D30" w:rsidRPr="006038FB">
        <w:rPr>
          <w:rFonts w:hint="eastAsia"/>
          <w:bCs/>
          <w:sz w:val="20"/>
          <w:szCs w:val="20"/>
          <w:lang w:eastAsia="zh-CN"/>
        </w:rPr>
        <w:t>2</w:t>
      </w:r>
      <w:r w:rsidR="002A7D30" w:rsidRPr="006038FB">
        <w:rPr>
          <w:bCs/>
          <w:sz w:val="20"/>
          <w:szCs w:val="20"/>
        </w:rPr>
        <w:t>;</w:t>
      </w:r>
      <w:r w:rsidR="002A7D30" w:rsidRPr="006038FB">
        <w:rPr>
          <w:bCs/>
          <w:sz w:val="20"/>
          <w:szCs w:val="20"/>
          <w:lang w:eastAsia="zh-CN"/>
        </w:rPr>
        <w:t>10</w:t>
      </w:r>
      <w:r w:rsidR="002A7D30" w:rsidRPr="006038FB">
        <w:rPr>
          <w:bCs/>
          <w:sz w:val="20"/>
          <w:szCs w:val="20"/>
        </w:rPr>
        <w:t>(</w:t>
      </w:r>
      <w:r w:rsidR="006038FB" w:rsidRPr="006038FB">
        <w:rPr>
          <w:rFonts w:eastAsiaTheme="minorEastAsia" w:hint="eastAsia"/>
          <w:bCs/>
          <w:sz w:val="20"/>
          <w:szCs w:val="20"/>
          <w:lang w:eastAsia="zh-CN"/>
        </w:rPr>
        <w:t>1</w:t>
      </w:r>
      <w:r w:rsidR="00B40DAA">
        <w:rPr>
          <w:rFonts w:eastAsiaTheme="minorEastAsia"/>
          <w:bCs/>
          <w:sz w:val="20"/>
          <w:szCs w:val="20"/>
          <w:lang w:eastAsia="zh-CN"/>
        </w:rPr>
        <w:t>1</w:t>
      </w:r>
      <w:r w:rsidR="002A7D30" w:rsidRPr="006038FB">
        <w:rPr>
          <w:bCs/>
          <w:sz w:val="20"/>
          <w:szCs w:val="20"/>
        </w:rPr>
        <w:t>):</w:t>
      </w:r>
      <w:r w:rsidR="004B147B">
        <w:rPr>
          <w:bCs/>
          <w:sz w:val="20"/>
          <w:szCs w:val="20"/>
        </w:rPr>
        <w:t>182</w:t>
      </w:r>
      <w:r w:rsidR="006038FB" w:rsidRPr="006038FB">
        <w:rPr>
          <w:rFonts w:eastAsiaTheme="minorEastAsia" w:hint="eastAsia"/>
          <w:bCs/>
          <w:sz w:val="20"/>
          <w:szCs w:val="20"/>
          <w:lang w:eastAsia="zh-CN"/>
        </w:rPr>
        <w:t>-</w:t>
      </w:r>
      <w:r w:rsidR="009E3379">
        <w:rPr>
          <w:rFonts w:eastAsiaTheme="minorEastAsia"/>
          <w:bCs/>
          <w:sz w:val="20"/>
          <w:szCs w:val="20"/>
          <w:lang w:eastAsia="zh-CN"/>
        </w:rPr>
        <w:t>187</w:t>
      </w:r>
      <w:r w:rsidR="002A7D30" w:rsidRPr="006038FB">
        <w:rPr>
          <w:bCs/>
          <w:sz w:val="20"/>
          <w:szCs w:val="20"/>
        </w:rPr>
        <w:t xml:space="preserve">]. (ISSN: 1545-0740). </w:t>
      </w:r>
      <w:hyperlink r:id="rId9" w:history="1">
        <w:r w:rsidR="006038FB" w:rsidRPr="006038FB">
          <w:rPr>
            <w:rStyle w:val="Hyperlink"/>
            <w:bCs/>
            <w:sz w:val="20"/>
            <w:szCs w:val="20"/>
          </w:rPr>
          <w:t>http://www.sciencepub.net</w:t>
        </w:r>
        <w:r w:rsidR="006038FB" w:rsidRPr="006038FB">
          <w:rPr>
            <w:rStyle w:val="Hyperlink"/>
            <w:rFonts w:eastAsiaTheme="minorEastAsia" w:hint="eastAsia"/>
            <w:sz w:val="20"/>
            <w:szCs w:val="20"/>
            <w:lang w:eastAsia="zh-CN"/>
          </w:rPr>
          <w:t>/nature</w:t>
        </w:r>
      </w:hyperlink>
      <w:r w:rsidR="002A7D30" w:rsidRPr="006038FB">
        <w:rPr>
          <w:rFonts w:hint="eastAsia"/>
          <w:bCs/>
          <w:color w:val="0000FF"/>
          <w:sz w:val="20"/>
          <w:szCs w:val="20"/>
          <w:lang w:eastAsia="zh-CN"/>
        </w:rPr>
        <w:t xml:space="preserve">. </w:t>
      </w:r>
      <w:r w:rsidR="004B147B">
        <w:rPr>
          <w:bCs/>
          <w:color w:val="0000FF"/>
          <w:sz w:val="20"/>
          <w:szCs w:val="20"/>
          <w:lang w:eastAsia="zh-CN"/>
        </w:rPr>
        <w:t>27</w:t>
      </w:r>
    </w:p>
    <w:p w:rsidR="004B147B" w:rsidRDefault="004B147B" w:rsidP="009E3379">
      <w:pPr>
        <w:jc w:val="both"/>
        <w:rPr>
          <w:bCs/>
          <w:color w:val="0000FF"/>
          <w:sz w:val="20"/>
          <w:szCs w:val="20"/>
          <w:lang w:eastAsia="zh-CN"/>
        </w:rPr>
      </w:pPr>
    </w:p>
    <w:p w:rsidR="004B147B" w:rsidRPr="004B147B" w:rsidRDefault="004B147B" w:rsidP="009E3379">
      <w:pPr>
        <w:jc w:val="both"/>
        <w:rPr>
          <w:b/>
          <w:bCs/>
          <w:color w:val="000000" w:themeColor="text1"/>
          <w:sz w:val="20"/>
          <w:szCs w:val="20"/>
          <w:vertAlign w:val="superscript"/>
          <w:lang w:val="en-GB"/>
        </w:rPr>
      </w:pPr>
      <w:r w:rsidRPr="004B147B">
        <w:rPr>
          <w:b/>
          <w:bCs/>
          <w:color w:val="000000" w:themeColor="text1"/>
          <w:sz w:val="20"/>
          <w:szCs w:val="20"/>
          <w:lang w:eastAsia="zh-CN"/>
        </w:rPr>
        <w:t xml:space="preserve">Keywords: </w:t>
      </w:r>
      <w:proofErr w:type="spellStart"/>
      <w:r w:rsidRPr="004B147B">
        <w:rPr>
          <w:bCs/>
          <w:sz w:val="20"/>
          <w:szCs w:val="20"/>
        </w:rPr>
        <w:t>Ultrasonographic</w:t>
      </w:r>
      <w:proofErr w:type="spellEnd"/>
      <w:r>
        <w:rPr>
          <w:bCs/>
          <w:sz w:val="20"/>
          <w:szCs w:val="20"/>
        </w:rPr>
        <w:t xml:space="preserve">; </w:t>
      </w:r>
      <w:r w:rsidRPr="004B147B">
        <w:rPr>
          <w:bCs/>
          <w:sz w:val="20"/>
          <w:szCs w:val="20"/>
        </w:rPr>
        <w:t>Body</w:t>
      </w:r>
      <w:r>
        <w:rPr>
          <w:bCs/>
          <w:sz w:val="20"/>
          <w:szCs w:val="20"/>
        </w:rPr>
        <w:t>;</w:t>
      </w:r>
      <w:r w:rsidRPr="004B147B">
        <w:rPr>
          <w:bCs/>
          <w:sz w:val="20"/>
          <w:szCs w:val="20"/>
        </w:rPr>
        <w:t xml:space="preserve"> Fat</w:t>
      </w:r>
      <w:r>
        <w:rPr>
          <w:bCs/>
          <w:sz w:val="20"/>
          <w:szCs w:val="20"/>
        </w:rPr>
        <w:t>;</w:t>
      </w:r>
      <w:r w:rsidRPr="004B147B">
        <w:rPr>
          <w:bCs/>
          <w:sz w:val="20"/>
          <w:szCs w:val="20"/>
        </w:rPr>
        <w:t xml:space="preserve"> Distribution</w:t>
      </w:r>
      <w:r>
        <w:rPr>
          <w:bCs/>
          <w:sz w:val="20"/>
          <w:szCs w:val="20"/>
        </w:rPr>
        <w:t>;</w:t>
      </w:r>
      <w:r w:rsidRPr="004B147B">
        <w:rPr>
          <w:bCs/>
          <w:sz w:val="20"/>
          <w:szCs w:val="20"/>
        </w:rPr>
        <w:t xml:space="preserve"> Obese</w:t>
      </w:r>
      <w:r>
        <w:rPr>
          <w:bCs/>
          <w:sz w:val="20"/>
          <w:szCs w:val="20"/>
        </w:rPr>
        <w:t>;</w:t>
      </w:r>
      <w:r w:rsidRPr="004B147B">
        <w:rPr>
          <w:bCs/>
          <w:sz w:val="20"/>
          <w:szCs w:val="20"/>
        </w:rPr>
        <w:t xml:space="preserve"> Children</w:t>
      </w:r>
    </w:p>
    <w:p w:rsidR="003A29EE" w:rsidRPr="006038FB" w:rsidRDefault="003A29EE" w:rsidP="009E3379">
      <w:pPr>
        <w:ind w:right="-7"/>
        <w:jc w:val="both"/>
        <w:rPr>
          <w:b/>
          <w:i/>
          <w:iCs/>
          <w:sz w:val="20"/>
          <w:szCs w:val="20"/>
        </w:rPr>
      </w:pPr>
    </w:p>
    <w:p w:rsidR="00362AE7" w:rsidRPr="006038FB" w:rsidRDefault="00362AE7" w:rsidP="009E3379">
      <w:pPr>
        <w:ind w:right="-7"/>
        <w:jc w:val="both"/>
        <w:rPr>
          <w:b/>
          <w:i/>
          <w:iCs/>
          <w:sz w:val="20"/>
          <w:szCs w:val="20"/>
        </w:rPr>
        <w:sectPr w:rsidR="00362AE7" w:rsidRPr="006038FB" w:rsidSect="004B147B">
          <w:headerReference w:type="default" r:id="rId10"/>
          <w:footerReference w:type="default" r:id="rId11"/>
          <w:footnotePr>
            <w:pos w:val="beneathText"/>
          </w:footnotePr>
          <w:pgSz w:w="12240" w:h="15840" w:code="1"/>
          <w:pgMar w:top="1418" w:right="1418" w:bottom="1418" w:left="1418" w:header="720" w:footer="720" w:gutter="0"/>
          <w:pgNumType w:start="182"/>
          <w:cols w:space="720"/>
          <w:docGrid w:linePitch="360"/>
        </w:sectPr>
      </w:pPr>
    </w:p>
    <w:p w:rsidR="00D50783" w:rsidRPr="006038FB" w:rsidRDefault="00D50783" w:rsidP="009E3379">
      <w:pPr>
        <w:jc w:val="both"/>
        <w:rPr>
          <w:b/>
          <w:sz w:val="20"/>
          <w:szCs w:val="20"/>
        </w:rPr>
      </w:pPr>
      <w:r w:rsidRPr="006038FB">
        <w:rPr>
          <w:b/>
          <w:sz w:val="20"/>
          <w:szCs w:val="20"/>
        </w:rPr>
        <w:lastRenderedPageBreak/>
        <w:t>1. Introduction</w:t>
      </w:r>
    </w:p>
    <w:p w:rsidR="00CF151E" w:rsidRPr="006038FB" w:rsidRDefault="00CF151E" w:rsidP="009E3379">
      <w:pPr>
        <w:ind w:firstLine="426"/>
        <w:jc w:val="both"/>
        <w:rPr>
          <w:b/>
          <w:bCs/>
          <w:i/>
          <w:iCs/>
          <w:sz w:val="20"/>
          <w:szCs w:val="20"/>
          <w:lang w:bidi="ar-EG"/>
        </w:rPr>
      </w:pPr>
      <w:r w:rsidRPr="006038FB">
        <w:rPr>
          <w:sz w:val="20"/>
          <w:szCs w:val="20"/>
          <w:lang w:bidi="ar-EG"/>
        </w:rPr>
        <w:t xml:space="preserve">The prevalence of obesity has increased dramatically in the last few decades through the world and is associated with a range of medical and psychological complications. It is now recognized that obesity is one of the most important public health problems of our time </w:t>
      </w:r>
      <w:r w:rsidRPr="006038FB">
        <w:rPr>
          <w:b/>
          <w:bCs/>
          <w:i/>
          <w:iCs/>
          <w:sz w:val="20"/>
          <w:szCs w:val="20"/>
          <w:lang w:bidi="ar-EG"/>
        </w:rPr>
        <w:t>(Richard and Neil, 2007).</w:t>
      </w:r>
    </w:p>
    <w:p w:rsidR="00CF151E" w:rsidRPr="006038FB" w:rsidRDefault="00CF151E" w:rsidP="009E3379">
      <w:pPr>
        <w:ind w:firstLine="426"/>
        <w:jc w:val="both"/>
        <w:rPr>
          <w:b/>
          <w:bCs/>
          <w:sz w:val="20"/>
          <w:szCs w:val="20"/>
          <w:lang w:bidi="ar-EG"/>
        </w:rPr>
      </w:pPr>
      <w:r w:rsidRPr="006038FB">
        <w:rPr>
          <w:sz w:val="20"/>
          <w:szCs w:val="20"/>
          <w:lang w:bidi="ar-EG"/>
        </w:rPr>
        <w:t xml:space="preserve">Obesity is a </w:t>
      </w:r>
      <w:proofErr w:type="spellStart"/>
      <w:r w:rsidRPr="006038FB">
        <w:rPr>
          <w:sz w:val="20"/>
          <w:szCs w:val="20"/>
          <w:lang w:bidi="ar-EG"/>
        </w:rPr>
        <w:t>multifactorial</w:t>
      </w:r>
      <w:proofErr w:type="spellEnd"/>
      <w:r w:rsidRPr="006038FB">
        <w:rPr>
          <w:sz w:val="20"/>
          <w:szCs w:val="20"/>
          <w:lang w:bidi="ar-EG"/>
        </w:rPr>
        <w:t xml:space="preserve"> disease. Contributing factors include a modern environment of plentiful calories and low physical activity combined with inherited risk genes </w:t>
      </w:r>
      <w:r w:rsidRPr="006038FB">
        <w:rPr>
          <w:b/>
          <w:bCs/>
          <w:i/>
          <w:iCs/>
          <w:sz w:val="20"/>
          <w:szCs w:val="20"/>
          <w:lang w:bidi="ar-EG"/>
        </w:rPr>
        <w:t xml:space="preserve">(Lyon and </w:t>
      </w:r>
      <w:proofErr w:type="spellStart"/>
      <w:r w:rsidRPr="006038FB">
        <w:rPr>
          <w:b/>
          <w:bCs/>
          <w:i/>
          <w:iCs/>
          <w:sz w:val="20"/>
          <w:szCs w:val="20"/>
          <w:lang w:bidi="ar-EG"/>
        </w:rPr>
        <w:t>Hirschhorn</w:t>
      </w:r>
      <w:proofErr w:type="spellEnd"/>
      <w:r w:rsidRPr="006038FB">
        <w:rPr>
          <w:b/>
          <w:bCs/>
          <w:i/>
          <w:iCs/>
          <w:sz w:val="20"/>
          <w:szCs w:val="20"/>
          <w:lang w:bidi="ar-EG"/>
        </w:rPr>
        <w:t>, 2005).</w:t>
      </w:r>
    </w:p>
    <w:p w:rsidR="00CF151E" w:rsidRPr="006038FB" w:rsidRDefault="00CF151E" w:rsidP="009E3379">
      <w:pPr>
        <w:ind w:firstLine="426"/>
        <w:jc w:val="both"/>
        <w:rPr>
          <w:b/>
          <w:bCs/>
          <w:i/>
          <w:iCs/>
          <w:sz w:val="20"/>
          <w:szCs w:val="20"/>
          <w:lang w:bidi="ar-EG"/>
        </w:rPr>
      </w:pPr>
      <w:r w:rsidRPr="006038FB">
        <w:rPr>
          <w:sz w:val="20"/>
          <w:szCs w:val="20"/>
          <w:lang w:bidi="ar-EG"/>
        </w:rPr>
        <w:t xml:space="preserve">Pattern of fat distribution rather than obesity is of importance for cardiovascular morbidity and mortality. The accurate measurement of total and regional fat mass requires sophisticated and often expensive methods that have limited applicability in the clinical setting </w:t>
      </w:r>
      <w:r w:rsidRPr="006038FB">
        <w:rPr>
          <w:b/>
          <w:bCs/>
          <w:i/>
          <w:iCs/>
          <w:sz w:val="20"/>
          <w:szCs w:val="20"/>
          <w:lang w:bidi="ar-EG"/>
        </w:rPr>
        <w:t>(</w:t>
      </w:r>
      <w:proofErr w:type="spellStart"/>
      <w:r w:rsidRPr="006038FB">
        <w:rPr>
          <w:b/>
          <w:bCs/>
          <w:i/>
          <w:iCs/>
          <w:sz w:val="20"/>
          <w:szCs w:val="20"/>
          <w:lang w:bidi="ar-EG"/>
        </w:rPr>
        <w:t>Semiz</w:t>
      </w:r>
      <w:proofErr w:type="spellEnd"/>
      <w:r w:rsidRPr="006038FB">
        <w:rPr>
          <w:b/>
          <w:bCs/>
          <w:i/>
          <w:iCs/>
          <w:sz w:val="20"/>
          <w:szCs w:val="20"/>
          <w:lang w:bidi="ar-EG"/>
        </w:rPr>
        <w:t xml:space="preserve"> et al., 2007). </w:t>
      </w:r>
    </w:p>
    <w:p w:rsidR="00CF151E" w:rsidRPr="006038FB" w:rsidRDefault="00CF151E" w:rsidP="009E3379">
      <w:pPr>
        <w:ind w:firstLine="426"/>
        <w:jc w:val="both"/>
        <w:rPr>
          <w:b/>
          <w:bCs/>
          <w:i/>
          <w:iCs/>
          <w:sz w:val="20"/>
          <w:szCs w:val="20"/>
          <w:lang w:bidi="ar-EG"/>
        </w:rPr>
      </w:pPr>
      <w:r w:rsidRPr="006038FB">
        <w:rPr>
          <w:sz w:val="20"/>
          <w:szCs w:val="20"/>
          <w:lang w:bidi="ar-EG"/>
        </w:rPr>
        <w:t xml:space="preserve">Anthropometry is the single most portable, universally applicable, inexpensive and non invasive method available to assess the proportions, size and composition of the human body </w:t>
      </w:r>
      <w:r w:rsidRPr="006038FB">
        <w:rPr>
          <w:b/>
          <w:bCs/>
          <w:i/>
          <w:iCs/>
          <w:sz w:val="20"/>
          <w:szCs w:val="20"/>
          <w:lang w:bidi="ar-EG"/>
        </w:rPr>
        <w:t>(Duren et al., 2008).</w:t>
      </w:r>
      <w:r w:rsidRPr="006038FB">
        <w:rPr>
          <w:i/>
          <w:iCs/>
          <w:sz w:val="20"/>
          <w:szCs w:val="20"/>
          <w:lang w:bidi="ar-EG"/>
        </w:rPr>
        <w:t xml:space="preserve"> </w:t>
      </w:r>
      <w:r w:rsidRPr="006038FB">
        <w:rPr>
          <w:sz w:val="20"/>
          <w:szCs w:val="20"/>
          <w:lang w:bidi="ar-EG"/>
        </w:rPr>
        <w:t>However it con</w:t>
      </w:r>
      <w:r w:rsidR="00724CA2" w:rsidRPr="006038FB">
        <w:rPr>
          <w:sz w:val="20"/>
          <w:szCs w:val="20"/>
          <w:lang w:bidi="ar-EG"/>
        </w:rPr>
        <w:t xml:space="preserve"> </w:t>
      </w:r>
      <w:r w:rsidRPr="006038FB">
        <w:rPr>
          <w:sz w:val="20"/>
          <w:szCs w:val="20"/>
          <w:lang w:bidi="ar-EG"/>
        </w:rPr>
        <w:t xml:space="preserve">not differentiate between the intra </w:t>
      </w:r>
      <w:r w:rsidRPr="006038FB">
        <w:rPr>
          <w:sz w:val="20"/>
          <w:szCs w:val="20"/>
          <w:lang w:bidi="ar-EG"/>
        </w:rPr>
        <w:lastRenderedPageBreak/>
        <w:t xml:space="preserve">abdominal and </w:t>
      </w:r>
      <w:r w:rsidR="00724CA2" w:rsidRPr="006038FB">
        <w:rPr>
          <w:sz w:val="20"/>
          <w:szCs w:val="20"/>
          <w:lang w:bidi="ar-EG"/>
        </w:rPr>
        <w:t>subcutaneous</w:t>
      </w:r>
      <w:r w:rsidRPr="006038FB">
        <w:rPr>
          <w:sz w:val="20"/>
          <w:szCs w:val="20"/>
          <w:lang w:bidi="ar-EG"/>
        </w:rPr>
        <w:t xml:space="preserve"> fat deposits</w:t>
      </w:r>
      <w:r w:rsidRPr="006038FB">
        <w:rPr>
          <w:i/>
          <w:iCs/>
          <w:sz w:val="20"/>
          <w:szCs w:val="20"/>
          <w:lang w:bidi="ar-EG"/>
        </w:rPr>
        <w:t xml:space="preserve"> </w:t>
      </w:r>
      <w:r w:rsidRPr="006038FB">
        <w:rPr>
          <w:b/>
          <w:bCs/>
          <w:i/>
          <w:iCs/>
          <w:sz w:val="20"/>
          <w:szCs w:val="20"/>
          <w:lang w:bidi="ar-EG"/>
        </w:rPr>
        <w:t>(Maynard et al., 2001)</w:t>
      </w:r>
      <w:r w:rsidR="0082654B">
        <w:rPr>
          <w:b/>
          <w:bCs/>
          <w:i/>
          <w:iCs/>
          <w:sz w:val="20"/>
          <w:szCs w:val="20"/>
          <w:lang w:bidi="ar-EG"/>
        </w:rPr>
        <w:t>.</w:t>
      </w:r>
    </w:p>
    <w:p w:rsidR="00CF151E" w:rsidRPr="006038FB" w:rsidRDefault="00CF151E" w:rsidP="009E3379">
      <w:pPr>
        <w:ind w:firstLine="426"/>
        <w:jc w:val="both"/>
        <w:rPr>
          <w:b/>
          <w:bCs/>
          <w:i/>
          <w:iCs/>
          <w:sz w:val="20"/>
          <w:szCs w:val="20"/>
          <w:lang w:bidi="ar-EG"/>
        </w:rPr>
      </w:pPr>
      <w:r w:rsidRPr="006038FB">
        <w:rPr>
          <w:sz w:val="20"/>
          <w:szCs w:val="20"/>
          <w:lang w:bidi="ar-EG"/>
        </w:rPr>
        <w:t xml:space="preserve">In contrast to anthropometry, the most prominent virtue of imaging technique is to distinguish subcutaneous from visceral fat. Although CT and MRI have been established as gold standard, radiation exposure, the cost, special equipment and field requirements make them less feasible </w:t>
      </w:r>
      <w:r w:rsidRPr="006038FB">
        <w:rPr>
          <w:b/>
          <w:bCs/>
          <w:i/>
          <w:iCs/>
          <w:sz w:val="20"/>
          <w:szCs w:val="20"/>
          <w:lang w:bidi="ar-EG"/>
        </w:rPr>
        <w:t>(Siegel et al., 2007).</w:t>
      </w:r>
    </w:p>
    <w:p w:rsidR="00CF151E" w:rsidRPr="006038FB" w:rsidRDefault="00CF151E" w:rsidP="009E3379">
      <w:pPr>
        <w:ind w:firstLine="426"/>
        <w:jc w:val="both"/>
        <w:rPr>
          <w:b/>
          <w:bCs/>
          <w:i/>
          <w:iCs/>
          <w:sz w:val="20"/>
          <w:szCs w:val="20"/>
          <w:lang w:bidi="ar-EG"/>
        </w:rPr>
      </w:pPr>
      <w:r w:rsidRPr="006038FB">
        <w:rPr>
          <w:sz w:val="20"/>
          <w:szCs w:val="20"/>
          <w:lang w:bidi="ar-EG"/>
        </w:rPr>
        <w:t xml:space="preserve">As one of the non invasive techniques, US has been received increasingly with a wide publicity because of its cost effectiveness and convenience </w:t>
      </w:r>
      <w:r w:rsidRPr="006038FB">
        <w:rPr>
          <w:b/>
          <w:bCs/>
          <w:i/>
          <w:iCs/>
          <w:sz w:val="20"/>
          <w:szCs w:val="20"/>
          <w:lang w:bidi="ar-EG"/>
        </w:rPr>
        <w:t>(Zhang et al., 2009).</w:t>
      </w:r>
    </w:p>
    <w:p w:rsidR="00CF151E" w:rsidRPr="006038FB" w:rsidRDefault="00CF151E" w:rsidP="009E3379">
      <w:pPr>
        <w:ind w:firstLine="426"/>
        <w:jc w:val="both"/>
        <w:rPr>
          <w:b/>
          <w:bCs/>
          <w:sz w:val="20"/>
          <w:szCs w:val="20"/>
          <w:lang w:bidi="ar-EG"/>
        </w:rPr>
      </w:pPr>
    </w:p>
    <w:p w:rsidR="00CF151E" w:rsidRPr="006038FB" w:rsidRDefault="00CF151E" w:rsidP="009E3379">
      <w:pPr>
        <w:jc w:val="both"/>
        <w:rPr>
          <w:b/>
          <w:bCs/>
          <w:sz w:val="20"/>
          <w:szCs w:val="20"/>
          <w:lang w:bidi="ar-EG"/>
        </w:rPr>
      </w:pPr>
      <w:r w:rsidRPr="006038FB">
        <w:rPr>
          <w:b/>
          <w:bCs/>
          <w:sz w:val="20"/>
          <w:szCs w:val="20"/>
          <w:lang w:bidi="ar-EG"/>
        </w:rPr>
        <w:t>Aim of the Work</w:t>
      </w:r>
    </w:p>
    <w:p w:rsidR="00CF151E" w:rsidRPr="006038FB" w:rsidRDefault="00CF151E" w:rsidP="009E3379">
      <w:pPr>
        <w:ind w:left="284" w:hanging="284"/>
        <w:rPr>
          <w:sz w:val="20"/>
          <w:szCs w:val="20"/>
          <w:lang w:bidi="ar-EG"/>
        </w:rPr>
      </w:pPr>
      <w:r w:rsidRPr="006038FB">
        <w:rPr>
          <w:sz w:val="20"/>
          <w:szCs w:val="20"/>
          <w:lang w:bidi="ar-EG"/>
        </w:rPr>
        <w:t xml:space="preserve">To evaluate body fat distribution using ultrasound (US); by measuring visceral, </w:t>
      </w:r>
      <w:proofErr w:type="spellStart"/>
      <w:r w:rsidRPr="006038FB">
        <w:rPr>
          <w:sz w:val="20"/>
          <w:szCs w:val="20"/>
          <w:lang w:bidi="ar-EG"/>
        </w:rPr>
        <w:t>preperitoneal</w:t>
      </w:r>
      <w:proofErr w:type="spellEnd"/>
      <w:r w:rsidRPr="006038FB">
        <w:rPr>
          <w:sz w:val="20"/>
          <w:szCs w:val="20"/>
          <w:lang w:bidi="ar-EG"/>
        </w:rPr>
        <w:t xml:space="preserve"> and subcutaneous fat layers , triceps and </w:t>
      </w:r>
      <w:proofErr w:type="spellStart"/>
      <w:r w:rsidRPr="006038FB">
        <w:rPr>
          <w:sz w:val="20"/>
          <w:szCs w:val="20"/>
          <w:lang w:bidi="ar-EG"/>
        </w:rPr>
        <w:t>subscapular</w:t>
      </w:r>
      <w:proofErr w:type="spellEnd"/>
      <w:r w:rsidR="004B147B">
        <w:rPr>
          <w:sz w:val="20"/>
          <w:szCs w:val="20"/>
          <w:lang w:bidi="ar-EG"/>
        </w:rPr>
        <w:t xml:space="preserve"> </w:t>
      </w:r>
      <w:r w:rsidRPr="006038FB">
        <w:rPr>
          <w:sz w:val="20"/>
          <w:szCs w:val="20"/>
          <w:lang w:bidi="ar-EG"/>
        </w:rPr>
        <w:t>fat</w:t>
      </w:r>
      <w:r w:rsidR="004B147B">
        <w:rPr>
          <w:sz w:val="20"/>
          <w:szCs w:val="20"/>
          <w:lang w:bidi="ar-EG"/>
        </w:rPr>
        <w:t xml:space="preserve"> </w:t>
      </w:r>
      <w:r w:rsidRPr="006038FB">
        <w:rPr>
          <w:sz w:val="20"/>
          <w:szCs w:val="20"/>
          <w:lang w:bidi="ar-EG"/>
        </w:rPr>
        <w:t xml:space="preserve">thickness. </w:t>
      </w:r>
    </w:p>
    <w:p w:rsidR="00CF151E" w:rsidRPr="006038FB" w:rsidRDefault="00CF151E" w:rsidP="009E3379">
      <w:pPr>
        <w:ind w:left="284" w:hanging="284"/>
        <w:rPr>
          <w:sz w:val="20"/>
          <w:szCs w:val="20"/>
          <w:lang w:bidi="ar-EG"/>
        </w:rPr>
      </w:pPr>
      <w:r w:rsidRPr="006038FB">
        <w:rPr>
          <w:sz w:val="20"/>
          <w:szCs w:val="20"/>
          <w:lang w:bidi="ar-EG"/>
        </w:rPr>
        <w:t xml:space="preserve">To compare between </w:t>
      </w:r>
      <w:proofErr w:type="spellStart"/>
      <w:r w:rsidRPr="006038FB">
        <w:rPr>
          <w:sz w:val="20"/>
          <w:szCs w:val="20"/>
          <w:lang w:bidi="ar-EG"/>
        </w:rPr>
        <w:t>ultrasonographic</w:t>
      </w:r>
      <w:proofErr w:type="spellEnd"/>
      <w:r w:rsidRPr="006038FB">
        <w:rPr>
          <w:sz w:val="20"/>
          <w:szCs w:val="20"/>
          <w:lang w:bidi="ar-EG"/>
        </w:rPr>
        <w:t xml:space="preserve"> and anthropometric findings.</w:t>
      </w:r>
    </w:p>
    <w:p w:rsidR="00CF151E" w:rsidRDefault="00CF151E" w:rsidP="009E3379">
      <w:pPr>
        <w:ind w:firstLine="426"/>
        <w:jc w:val="both"/>
        <w:rPr>
          <w:b/>
          <w:bCs/>
          <w:sz w:val="20"/>
          <w:szCs w:val="20"/>
          <w:lang w:bidi="ar-EG"/>
        </w:rPr>
      </w:pPr>
    </w:p>
    <w:p w:rsidR="00D1717B" w:rsidRPr="006038FB" w:rsidRDefault="00D1717B" w:rsidP="009E3379">
      <w:pPr>
        <w:ind w:firstLine="426"/>
        <w:jc w:val="both"/>
        <w:rPr>
          <w:b/>
          <w:bCs/>
          <w:sz w:val="20"/>
          <w:szCs w:val="20"/>
          <w:lang w:bidi="ar-EG"/>
        </w:rPr>
      </w:pPr>
    </w:p>
    <w:p w:rsidR="00CF151E" w:rsidRPr="006038FB" w:rsidRDefault="00CF151E" w:rsidP="009E3379">
      <w:pPr>
        <w:pStyle w:val="NoSpacing"/>
        <w:jc w:val="both"/>
        <w:rPr>
          <w:b/>
          <w:bCs/>
          <w:sz w:val="20"/>
          <w:szCs w:val="20"/>
          <w:lang w:bidi="ar-EG"/>
        </w:rPr>
      </w:pPr>
      <w:r w:rsidRPr="006038FB">
        <w:rPr>
          <w:b/>
          <w:bCs/>
          <w:sz w:val="20"/>
          <w:szCs w:val="20"/>
          <w:lang w:bidi="ar-EG"/>
        </w:rPr>
        <w:lastRenderedPageBreak/>
        <w:t>2. Patients and Methods</w:t>
      </w:r>
    </w:p>
    <w:p w:rsidR="00CF151E" w:rsidRDefault="00CF151E" w:rsidP="009E3379">
      <w:pPr>
        <w:pStyle w:val="NoSpacing"/>
        <w:ind w:firstLine="426"/>
        <w:jc w:val="both"/>
        <w:rPr>
          <w:sz w:val="20"/>
          <w:szCs w:val="20"/>
          <w:lang w:bidi="ar-EG"/>
        </w:rPr>
      </w:pPr>
      <w:r w:rsidRPr="006038FB">
        <w:rPr>
          <w:sz w:val="20"/>
          <w:szCs w:val="20"/>
          <w:lang w:bidi="ar-EG"/>
        </w:rPr>
        <w:t xml:space="preserve">This study is a cross-sectional comparative study. The study group comprised forty obese children (diagnosed as obese according to the </w:t>
      </w:r>
      <w:smartTag w:uri="urn:schemas-microsoft-com:office:smarttags" w:element="stockticker">
        <w:r w:rsidRPr="006038FB">
          <w:rPr>
            <w:sz w:val="20"/>
            <w:szCs w:val="20"/>
            <w:lang w:bidi="ar-EG"/>
          </w:rPr>
          <w:t>BMI</w:t>
        </w:r>
      </w:smartTag>
      <w:r w:rsidRPr="006038FB">
        <w:rPr>
          <w:sz w:val="20"/>
          <w:szCs w:val="20"/>
          <w:lang w:bidi="ar-EG"/>
        </w:rPr>
        <w:t xml:space="preserve"> classification of children and adolescents, </w:t>
      </w:r>
      <w:smartTag w:uri="urn:schemas-microsoft-com:office:smarttags" w:element="stockticker">
        <w:r w:rsidRPr="006038FB">
          <w:rPr>
            <w:sz w:val="20"/>
            <w:szCs w:val="20"/>
            <w:lang w:bidi="ar-EG"/>
          </w:rPr>
          <w:t>BMI</w:t>
        </w:r>
      </w:smartTag>
      <w:r w:rsidRPr="006038FB">
        <w:rPr>
          <w:sz w:val="20"/>
          <w:szCs w:val="20"/>
          <w:lang w:bidi="ar-EG"/>
        </w:rPr>
        <w:t xml:space="preserve"> </w:t>
      </w:r>
      <w:r w:rsidRPr="006038FB">
        <w:rPr>
          <w:sz w:val="20"/>
          <w:szCs w:val="20"/>
          <w:u w:val="single"/>
          <w:lang w:bidi="ar-EG"/>
        </w:rPr>
        <w:t>&gt;</w:t>
      </w:r>
      <w:r w:rsidRPr="006038FB">
        <w:rPr>
          <w:sz w:val="20"/>
          <w:szCs w:val="20"/>
          <w:lang w:bidi="ar-EG"/>
        </w:rPr>
        <w:t xml:space="preserve">95th percentile diagnose obesity </w:t>
      </w:r>
      <w:r w:rsidRPr="006038FB">
        <w:rPr>
          <w:i/>
          <w:iCs/>
          <w:sz w:val="20"/>
          <w:szCs w:val="20"/>
          <w:lang w:bidi="ar-EG"/>
        </w:rPr>
        <w:t>(</w:t>
      </w:r>
      <w:proofErr w:type="spellStart"/>
      <w:r w:rsidRPr="006038FB">
        <w:rPr>
          <w:i/>
          <w:iCs/>
          <w:sz w:val="20"/>
          <w:szCs w:val="20"/>
          <w:lang w:bidi="ar-EG"/>
        </w:rPr>
        <w:t>Vogels</w:t>
      </w:r>
      <w:proofErr w:type="spellEnd"/>
      <w:r w:rsidRPr="006038FB">
        <w:rPr>
          <w:i/>
          <w:iCs/>
          <w:sz w:val="20"/>
          <w:szCs w:val="20"/>
          <w:lang w:bidi="ar-EG"/>
        </w:rPr>
        <w:t xml:space="preserve"> et al., 2006). </w:t>
      </w:r>
      <w:r w:rsidRPr="006038FB">
        <w:rPr>
          <w:sz w:val="20"/>
          <w:szCs w:val="20"/>
          <w:lang w:bidi="ar-EG"/>
        </w:rPr>
        <w:t>They were 19 females, 21 males with age group 4 to 16 years. Forty non-obese children, with normal growth and development and without any health problems were recruited as a control group , They were 20 females, 20 males, their ages ranged from 3 to 16 years.</w:t>
      </w:r>
    </w:p>
    <w:p w:rsidR="004B147B" w:rsidRPr="006038FB" w:rsidRDefault="004B147B" w:rsidP="009E3379">
      <w:pPr>
        <w:pStyle w:val="NoSpacing"/>
        <w:ind w:firstLine="426"/>
        <w:jc w:val="both"/>
        <w:rPr>
          <w:sz w:val="20"/>
          <w:szCs w:val="20"/>
          <w:lang w:bidi="ar-EG"/>
        </w:rPr>
      </w:pPr>
    </w:p>
    <w:p w:rsidR="00CF151E" w:rsidRPr="006038FB" w:rsidRDefault="00CF151E" w:rsidP="009E3379">
      <w:pPr>
        <w:pStyle w:val="NoSpacing"/>
        <w:jc w:val="both"/>
        <w:rPr>
          <w:b/>
          <w:bCs/>
          <w:sz w:val="20"/>
          <w:szCs w:val="20"/>
          <w:lang w:bidi="ar-EG"/>
        </w:rPr>
      </w:pPr>
      <w:r w:rsidRPr="006038FB">
        <w:rPr>
          <w:b/>
          <w:bCs/>
          <w:sz w:val="20"/>
          <w:szCs w:val="20"/>
          <w:lang w:bidi="ar-EG"/>
        </w:rPr>
        <w:t>Exclusion criteria;</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Obese children with any other illnesses, </w:t>
      </w:r>
      <w:proofErr w:type="spellStart"/>
      <w:r w:rsidRPr="006038FB">
        <w:rPr>
          <w:sz w:val="20"/>
          <w:szCs w:val="20"/>
          <w:lang w:bidi="ar-EG"/>
        </w:rPr>
        <w:t>endocrinological</w:t>
      </w:r>
      <w:proofErr w:type="spellEnd"/>
      <w:r w:rsidRPr="006038FB">
        <w:rPr>
          <w:sz w:val="20"/>
          <w:szCs w:val="20"/>
          <w:lang w:bidi="ar-EG"/>
        </w:rPr>
        <w:t xml:space="preserve"> problems, or on medications that may cause weight gain or changes in body composition as steroids, some antidepressants, atypical anti-psychotics and certain anticonvulsants (</w:t>
      </w:r>
      <w:proofErr w:type="spellStart"/>
      <w:r w:rsidRPr="006038FB">
        <w:rPr>
          <w:sz w:val="20"/>
          <w:szCs w:val="20"/>
          <w:lang w:bidi="ar-EG"/>
        </w:rPr>
        <w:t>phenytoin</w:t>
      </w:r>
      <w:proofErr w:type="spellEnd"/>
      <w:r w:rsidRPr="006038FB">
        <w:rPr>
          <w:sz w:val="20"/>
          <w:szCs w:val="20"/>
          <w:lang w:bidi="ar-EG"/>
        </w:rPr>
        <w:t xml:space="preserve"> and </w:t>
      </w:r>
      <w:proofErr w:type="spellStart"/>
      <w:r w:rsidRPr="006038FB">
        <w:rPr>
          <w:sz w:val="20"/>
          <w:szCs w:val="20"/>
          <w:lang w:bidi="ar-EG"/>
        </w:rPr>
        <w:t>valproate</w:t>
      </w:r>
      <w:proofErr w:type="spellEnd"/>
      <w:r w:rsidRPr="006038FB">
        <w:rPr>
          <w:sz w:val="20"/>
          <w:szCs w:val="20"/>
          <w:lang w:bidi="ar-EG"/>
        </w:rPr>
        <w:t>).</w:t>
      </w:r>
    </w:p>
    <w:p w:rsidR="00CF151E" w:rsidRPr="006038FB" w:rsidRDefault="00CF151E" w:rsidP="009E3379">
      <w:pPr>
        <w:pStyle w:val="NoSpacing"/>
        <w:ind w:firstLine="426"/>
        <w:jc w:val="both"/>
        <w:rPr>
          <w:sz w:val="20"/>
          <w:szCs w:val="20"/>
          <w:lang w:bidi="ar-EG"/>
        </w:rPr>
      </w:pPr>
      <w:r w:rsidRPr="006038FB">
        <w:rPr>
          <w:sz w:val="20"/>
          <w:szCs w:val="20"/>
          <w:lang w:bidi="ar-EG"/>
        </w:rPr>
        <w:t>The participants were recruited from the pediatric outpatients clinic, Al-</w:t>
      </w:r>
      <w:proofErr w:type="spellStart"/>
      <w:r w:rsidRPr="006038FB">
        <w:rPr>
          <w:sz w:val="20"/>
          <w:szCs w:val="20"/>
          <w:lang w:bidi="ar-EG"/>
        </w:rPr>
        <w:t>Zahraa</w:t>
      </w:r>
      <w:proofErr w:type="spellEnd"/>
      <w:r w:rsidRPr="006038FB">
        <w:rPr>
          <w:sz w:val="20"/>
          <w:szCs w:val="20"/>
          <w:lang w:bidi="ar-EG"/>
        </w:rPr>
        <w:t xml:space="preserve"> University Hospital from April 2011 to November 2011. An informed consent was obtained from parents of all children.</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All children included in the study were subjected to detailed medical history taking , physical examination, anthropometric measurements and </w:t>
      </w:r>
      <w:proofErr w:type="spellStart"/>
      <w:r w:rsidRPr="006038FB">
        <w:rPr>
          <w:sz w:val="20"/>
          <w:szCs w:val="20"/>
          <w:lang w:bidi="ar-EG"/>
        </w:rPr>
        <w:t>ultrasonographic</w:t>
      </w:r>
      <w:proofErr w:type="spellEnd"/>
      <w:r w:rsidRPr="006038FB">
        <w:rPr>
          <w:sz w:val="20"/>
          <w:szCs w:val="20"/>
          <w:lang w:bidi="ar-EG"/>
        </w:rPr>
        <w:t xml:space="preserve"> assessment.</w:t>
      </w:r>
    </w:p>
    <w:p w:rsidR="00CF151E" w:rsidRPr="006038FB" w:rsidRDefault="00CF151E" w:rsidP="009E3379">
      <w:pPr>
        <w:pStyle w:val="NoSpacing"/>
        <w:ind w:firstLine="426"/>
        <w:jc w:val="both"/>
        <w:rPr>
          <w:i/>
          <w:iCs/>
          <w:sz w:val="20"/>
          <w:szCs w:val="20"/>
          <w:lang w:bidi="ar-EG"/>
        </w:rPr>
      </w:pPr>
      <w:r w:rsidRPr="006038FB">
        <w:rPr>
          <w:sz w:val="20"/>
          <w:szCs w:val="20"/>
          <w:lang w:bidi="ar-EG"/>
        </w:rPr>
        <w:t xml:space="preserve">Anthropometric measurements; Body weight was measured to the nearest 0.1kg with the RGZ-120 health scale, and height was measured to the nearest 0.1cm on a </w:t>
      </w:r>
      <w:proofErr w:type="spellStart"/>
      <w:r w:rsidRPr="006038FB">
        <w:rPr>
          <w:sz w:val="20"/>
          <w:szCs w:val="20"/>
          <w:lang w:bidi="ar-EG"/>
        </w:rPr>
        <w:t>stadiometer</w:t>
      </w:r>
      <w:proofErr w:type="spellEnd"/>
      <w:r w:rsidRPr="006038FB">
        <w:rPr>
          <w:sz w:val="20"/>
          <w:szCs w:val="20"/>
          <w:lang w:bidi="ar-EG"/>
        </w:rPr>
        <w:t>, with subjects lightly dressed and without shoes (</w:t>
      </w:r>
      <w:r w:rsidRPr="006038FB">
        <w:rPr>
          <w:i/>
          <w:iCs/>
          <w:sz w:val="20"/>
          <w:szCs w:val="20"/>
          <w:lang w:bidi="ar-EG"/>
        </w:rPr>
        <w:t>Justus, 2004).</w:t>
      </w:r>
    </w:p>
    <w:p w:rsidR="00CF151E" w:rsidRPr="006038FB" w:rsidRDefault="00CF151E" w:rsidP="009E3379">
      <w:pPr>
        <w:pStyle w:val="NoSpacing"/>
        <w:ind w:firstLine="426"/>
        <w:jc w:val="both"/>
        <w:rPr>
          <w:i/>
          <w:iCs/>
          <w:sz w:val="20"/>
          <w:szCs w:val="20"/>
          <w:lang w:bidi="ar-EG"/>
        </w:rPr>
      </w:pPr>
      <w:r w:rsidRPr="006038FB">
        <w:rPr>
          <w:sz w:val="20"/>
          <w:szCs w:val="20"/>
          <w:lang w:bidi="ar-EG"/>
        </w:rPr>
        <w:t>The body mass index (</w:t>
      </w:r>
      <w:smartTag w:uri="urn:schemas-microsoft-com:office:smarttags" w:element="stockticker">
        <w:r w:rsidRPr="006038FB">
          <w:rPr>
            <w:sz w:val="20"/>
            <w:szCs w:val="20"/>
            <w:lang w:bidi="ar-EG"/>
          </w:rPr>
          <w:t>BMI</w:t>
        </w:r>
      </w:smartTag>
      <w:r w:rsidRPr="006038FB">
        <w:rPr>
          <w:sz w:val="20"/>
          <w:szCs w:val="20"/>
          <w:lang w:bidi="ar-EG"/>
        </w:rPr>
        <w:t>) was calculated as weight (kg) divided by height square (m2)</w:t>
      </w:r>
      <w:r w:rsidRPr="006038FB">
        <w:rPr>
          <w:i/>
          <w:iCs/>
          <w:sz w:val="20"/>
          <w:szCs w:val="20"/>
          <w:lang w:bidi="ar-EG"/>
        </w:rPr>
        <w:t xml:space="preserve"> (Mei et al., 2002).</w:t>
      </w:r>
    </w:p>
    <w:p w:rsidR="00CF151E" w:rsidRPr="006038FB" w:rsidRDefault="00CF151E" w:rsidP="009E3379">
      <w:pPr>
        <w:pStyle w:val="NoSpacing"/>
        <w:ind w:firstLine="426"/>
        <w:jc w:val="both"/>
        <w:rPr>
          <w:i/>
          <w:iCs/>
          <w:sz w:val="20"/>
          <w:szCs w:val="20"/>
          <w:lang w:bidi="ar-EG"/>
        </w:rPr>
      </w:pPr>
      <w:r w:rsidRPr="006038FB">
        <w:rPr>
          <w:sz w:val="20"/>
          <w:szCs w:val="20"/>
          <w:lang w:bidi="ar-EG"/>
        </w:rPr>
        <w:t xml:space="preserve">Using a plastic measuring tape, waist circumference (WC) was measured between the lower rib margin and the iliac crest, hip circumference (HC) was measured at the widest point over the great </w:t>
      </w:r>
      <w:proofErr w:type="spellStart"/>
      <w:r w:rsidRPr="006038FB">
        <w:rPr>
          <w:sz w:val="20"/>
          <w:szCs w:val="20"/>
          <w:lang w:bidi="ar-EG"/>
        </w:rPr>
        <w:t>trochanters</w:t>
      </w:r>
      <w:proofErr w:type="spellEnd"/>
      <w:r w:rsidRPr="006038FB">
        <w:rPr>
          <w:sz w:val="20"/>
          <w:szCs w:val="20"/>
          <w:lang w:bidi="ar-EG"/>
        </w:rPr>
        <w:t>. Both circumferences were measured in the standing position and at the end of gentle expiration</w:t>
      </w:r>
      <w:r w:rsidRPr="006038FB">
        <w:rPr>
          <w:i/>
          <w:iCs/>
          <w:sz w:val="20"/>
          <w:szCs w:val="20"/>
          <w:lang w:bidi="ar-EG"/>
        </w:rPr>
        <w:t xml:space="preserve"> (Ng and Lai, 2004).</w:t>
      </w:r>
    </w:p>
    <w:p w:rsidR="00CF151E" w:rsidRPr="006038FB" w:rsidRDefault="00CF151E" w:rsidP="009E3379">
      <w:pPr>
        <w:pStyle w:val="NoSpacing"/>
        <w:ind w:firstLine="426"/>
        <w:jc w:val="both"/>
        <w:rPr>
          <w:sz w:val="20"/>
          <w:szCs w:val="20"/>
          <w:lang w:bidi="ar-EG"/>
        </w:rPr>
      </w:pPr>
      <w:r w:rsidRPr="006038FB">
        <w:rPr>
          <w:sz w:val="20"/>
          <w:szCs w:val="20"/>
          <w:lang w:bidi="ar-EG"/>
        </w:rPr>
        <w:t>Waist to hip (WHR) and waist to height (</w:t>
      </w:r>
      <w:proofErr w:type="spellStart"/>
      <w:r w:rsidRPr="006038FB">
        <w:rPr>
          <w:sz w:val="20"/>
          <w:szCs w:val="20"/>
          <w:lang w:bidi="ar-EG"/>
        </w:rPr>
        <w:t>WHtR</w:t>
      </w:r>
      <w:proofErr w:type="spellEnd"/>
      <w:r w:rsidRPr="006038FB">
        <w:rPr>
          <w:sz w:val="20"/>
          <w:szCs w:val="20"/>
          <w:lang w:bidi="ar-EG"/>
        </w:rPr>
        <w:t>) ratios were calculated.</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Skin fold thickness (triceps, </w:t>
      </w:r>
      <w:proofErr w:type="spellStart"/>
      <w:r w:rsidRPr="006038FB">
        <w:rPr>
          <w:sz w:val="20"/>
          <w:szCs w:val="20"/>
          <w:lang w:bidi="ar-EG"/>
        </w:rPr>
        <w:t>subscapular</w:t>
      </w:r>
      <w:proofErr w:type="spellEnd"/>
      <w:r w:rsidRPr="006038FB">
        <w:rPr>
          <w:sz w:val="20"/>
          <w:szCs w:val="20"/>
          <w:lang w:bidi="ar-EG"/>
        </w:rPr>
        <w:t>) was measured using skin fold meter at the following sites;</w:t>
      </w:r>
    </w:p>
    <w:p w:rsidR="00CF151E" w:rsidRPr="006038FB" w:rsidRDefault="00CF151E" w:rsidP="009E3379">
      <w:pPr>
        <w:pStyle w:val="NoSpacing"/>
        <w:ind w:firstLine="426"/>
        <w:jc w:val="both"/>
        <w:rPr>
          <w:i/>
          <w:iCs/>
          <w:sz w:val="20"/>
          <w:szCs w:val="20"/>
          <w:lang w:bidi="ar-EG"/>
        </w:rPr>
      </w:pPr>
      <w:r w:rsidRPr="006038FB">
        <w:rPr>
          <w:sz w:val="20"/>
          <w:szCs w:val="20"/>
          <w:lang w:bidi="ar-EG"/>
        </w:rPr>
        <w:t>Triceps (</w:t>
      </w:r>
      <w:proofErr w:type="spellStart"/>
      <w:r w:rsidRPr="006038FB">
        <w:rPr>
          <w:sz w:val="20"/>
          <w:szCs w:val="20"/>
          <w:lang w:bidi="ar-EG"/>
        </w:rPr>
        <w:t>Tr</w:t>
      </w:r>
      <w:proofErr w:type="spellEnd"/>
      <w:r w:rsidRPr="006038FB">
        <w:rPr>
          <w:sz w:val="20"/>
          <w:szCs w:val="20"/>
          <w:lang w:bidi="ar-EG"/>
        </w:rPr>
        <w:t xml:space="preserve">): Half-way between the </w:t>
      </w:r>
      <w:proofErr w:type="spellStart"/>
      <w:r w:rsidRPr="006038FB">
        <w:rPr>
          <w:sz w:val="20"/>
          <w:szCs w:val="20"/>
          <w:lang w:bidi="ar-EG"/>
        </w:rPr>
        <w:t>acromion</w:t>
      </w:r>
      <w:proofErr w:type="spellEnd"/>
      <w:r w:rsidRPr="006038FB">
        <w:rPr>
          <w:sz w:val="20"/>
          <w:szCs w:val="20"/>
          <w:lang w:bidi="ar-EG"/>
        </w:rPr>
        <w:t xml:space="preserve"> and the </w:t>
      </w:r>
      <w:proofErr w:type="spellStart"/>
      <w:r w:rsidRPr="006038FB">
        <w:rPr>
          <w:sz w:val="20"/>
          <w:szCs w:val="20"/>
          <w:lang w:bidi="ar-EG"/>
        </w:rPr>
        <w:t>olecranon</w:t>
      </w:r>
      <w:proofErr w:type="spellEnd"/>
      <w:r w:rsidRPr="006038FB">
        <w:rPr>
          <w:sz w:val="20"/>
          <w:szCs w:val="20"/>
          <w:lang w:bidi="ar-EG"/>
        </w:rPr>
        <w:t xml:space="preserve"> </w:t>
      </w:r>
      <w:r w:rsidRPr="006038FB">
        <w:rPr>
          <w:i/>
          <w:iCs/>
          <w:sz w:val="20"/>
          <w:szCs w:val="20"/>
          <w:lang w:bidi="ar-EG"/>
        </w:rPr>
        <w:t>(Ng and Lai, 2004).</w:t>
      </w:r>
    </w:p>
    <w:p w:rsidR="00CF151E" w:rsidRPr="006038FB" w:rsidRDefault="00CF151E" w:rsidP="009E3379">
      <w:pPr>
        <w:pStyle w:val="NoSpacing"/>
        <w:ind w:firstLine="426"/>
        <w:jc w:val="both"/>
        <w:rPr>
          <w:i/>
          <w:iCs/>
          <w:sz w:val="20"/>
          <w:szCs w:val="20"/>
          <w:lang w:bidi="ar-EG"/>
        </w:rPr>
      </w:pPr>
      <w:proofErr w:type="spellStart"/>
      <w:r w:rsidRPr="006038FB">
        <w:rPr>
          <w:sz w:val="20"/>
          <w:szCs w:val="20"/>
          <w:lang w:bidi="ar-EG"/>
        </w:rPr>
        <w:t>Subscapular</w:t>
      </w:r>
      <w:proofErr w:type="spellEnd"/>
      <w:r w:rsidRPr="006038FB">
        <w:rPr>
          <w:sz w:val="20"/>
          <w:szCs w:val="20"/>
          <w:lang w:bidi="ar-EG"/>
        </w:rPr>
        <w:t xml:space="preserve"> (Ss): 1cm below the inferior angle of the scapula </w:t>
      </w:r>
      <w:r w:rsidRPr="006038FB">
        <w:rPr>
          <w:i/>
          <w:iCs/>
          <w:sz w:val="20"/>
          <w:szCs w:val="20"/>
          <w:lang w:bidi="ar-EG"/>
        </w:rPr>
        <w:t>(Rodriguez et al., 2004).</w:t>
      </w:r>
    </w:p>
    <w:p w:rsidR="004B147B" w:rsidRDefault="004B147B" w:rsidP="009E3379">
      <w:pPr>
        <w:pStyle w:val="NoSpacing"/>
        <w:jc w:val="both"/>
        <w:rPr>
          <w:b/>
          <w:bCs/>
          <w:sz w:val="20"/>
          <w:szCs w:val="20"/>
          <w:lang w:bidi="ar-EG"/>
        </w:rPr>
      </w:pPr>
    </w:p>
    <w:p w:rsidR="00CF151E" w:rsidRPr="006038FB" w:rsidRDefault="00CF151E" w:rsidP="009E3379">
      <w:pPr>
        <w:pStyle w:val="NoSpacing"/>
        <w:jc w:val="both"/>
        <w:rPr>
          <w:b/>
          <w:bCs/>
          <w:sz w:val="20"/>
          <w:szCs w:val="20"/>
          <w:lang w:bidi="ar-EG"/>
        </w:rPr>
      </w:pPr>
      <w:proofErr w:type="spellStart"/>
      <w:r w:rsidRPr="006038FB">
        <w:rPr>
          <w:b/>
          <w:bCs/>
          <w:sz w:val="20"/>
          <w:szCs w:val="20"/>
          <w:lang w:bidi="ar-EG"/>
        </w:rPr>
        <w:t>Ultrasonography</w:t>
      </w:r>
      <w:proofErr w:type="spellEnd"/>
      <w:r w:rsidRPr="006038FB">
        <w:rPr>
          <w:b/>
          <w:bCs/>
          <w:sz w:val="20"/>
          <w:szCs w:val="20"/>
          <w:lang w:bidi="ar-EG"/>
        </w:rPr>
        <w:t>:</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Abdominal </w:t>
      </w:r>
      <w:proofErr w:type="spellStart"/>
      <w:r w:rsidRPr="006038FB">
        <w:rPr>
          <w:sz w:val="20"/>
          <w:szCs w:val="20"/>
          <w:lang w:bidi="ar-EG"/>
        </w:rPr>
        <w:t>preperitoneal</w:t>
      </w:r>
      <w:proofErr w:type="spellEnd"/>
      <w:r w:rsidRPr="006038FB">
        <w:rPr>
          <w:sz w:val="20"/>
          <w:szCs w:val="20"/>
          <w:lang w:bidi="ar-EG"/>
        </w:rPr>
        <w:t xml:space="preserve"> (P), subcutaneous (S) fat at their maximum (max) and minimum (min) </w:t>
      </w:r>
      <w:r w:rsidRPr="006038FB">
        <w:rPr>
          <w:sz w:val="20"/>
          <w:szCs w:val="20"/>
          <w:lang w:bidi="ar-EG"/>
        </w:rPr>
        <w:lastRenderedPageBreak/>
        <w:t>thickness sites, visceral (V), triceps (</w:t>
      </w:r>
      <w:proofErr w:type="spellStart"/>
      <w:r w:rsidRPr="006038FB">
        <w:rPr>
          <w:sz w:val="20"/>
          <w:szCs w:val="20"/>
          <w:lang w:bidi="ar-EG"/>
        </w:rPr>
        <w:t>TrUS</w:t>
      </w:r>
      <w:proofErr w:type="spellEnd"/>
      <w:r w:rsidRPr="006038FB">
        <w:rPr>
          <w:sz w:val="20"/>
          <w:szCs w:val="20"/>
          <w:lang w:bidi="ar-EG"/>
        </w:rPr>
        <w:t xml:space="preserve">) and </w:t>
      </w:r>
      <w:proofErr w:type="spellStart"/>
      <w:r w:rsidRPr="006038FB">
        <w:rPr>
          <w:sz w:val="20"/>
          <w:szCs w:val="20"/>
          <w:lang w:bidi="ar-EG"/>
        </w:rPr>
        <w:t>subscapular</w:t>
      </w:r>
      <w:proofErr w:type="spellEnd"/>
      <w:r w:rsidRPr="006038FB">
        <w:rPr>
          <w:sz w:val="20"/>
          <w:szCs w:val="20"/>
          <w:lang w:bidi="ar-EG"/>
        </w:rPr>
        <w:t xml:space="preserve"> (</w:t>
      </w:r>
      <w:proofErr w:type="spellStart"/>
      <w:r w:rsidRPr="006038FB">
        <w:rPr>
          <w:sz w:val="20"/>
          <w:szCs w:val="20"/>
          <w:lang w:bidi="ar-EG"/>
        </w:rPr>
        <w:t>SsUS</w:t>
      </w:r>
      <w:proofErr w:type="spellEnd"/>
      <w:r w:rsidRPr="006038FB">
        <w:rPr>
          <w:sz w:val="20"/>
          <w:szCs w:val="20"/>
          <w:lang w:bidi="ar-EG"/>
        </w:rPr>
        <w:t xml:space="preserve">) fat thicknesses were measured </w:t>
      </w:r>
      <w:proofErr w:type="spellStart"/>
      <w:r w:rsidRPr="006038FB">
        <w:rPr>
          <w:sz w:val="20"/>
          <w:szCs w:val="20"/>
          <w:lang w:bidi="ar-EG"/>
        </w:rPr>
        <w:t>ultrasonographically</w:t>
      </w:r>
      <w:proofErr w:type="spellEnd"/>
      <w:r w:rsidRPr="006038FB">
        <w:rPr>
          <w:sz w:val="20"/>
          <w:szCs w:val="20"/>
          <w:lang w:bidi="ar-EG"/>
        </w:rPr>
        <w:t xml:space="preserve"> to all participants. </w:t>
      </w:r>
      <w:proofErr w:type="spellStart"/>
      <w:r w:rsidRPr="006038FB">
        <w:rPr>
          <w:sz w:val="20"/>
          <w:szCs w:val="20"/>
          <w:lang w:bidi="ar-EG"/>
        </w:rPr>
        <w:t>Sonoscape</w:t>
      </w:r>
      <w:proofErr w:type="spellEnd"/>
      <w:r w:rsidRPr="006038FB">
        <w:rPr>
          <w:sz w:val="20"/>
          <w:szCs w:val="20"/>
          <w:lang w:bidi="ar-EG"/>
        </w:rPr>
        <w:t xml:space="preserve"> US machine was used for the US measurements. A 7.5MHz linear-array probe was used to measure the subcutaneous and </w:t>
      </w:r>
      <w:proofErr w:type="spellStart"/>
      <w:r w:rsidRPr="006038FB">
        <w:rPr>
          <w:sz w:val="20"/>
          <w:szCs w:val="20"/>
          <w:lang w:bidi="ar-EG"/>
        </w:rPr>
        <w:t>preperitoneal</w:t>
      </w:r>
      <w:proofErr w:type="spellEnd"/>
      <w:r w:rsidRPr="006038FB">
        <w:rPr>
          <w:sz w:val="20"/>
          <w:szCs w:val="20"/>
          <w:lang w:bidi="ar-EG"/>
        </w:rPr>
        <w:t xml:space="preserve"> fat layers and 3.5MHz convex-array probe was used to evaluate visceral fat thickness. </w:t>
      </w:r>
    </w:p>
    <w:p w:rsidR="00CF151E" w:rsidRPr="006038FB" w:rsidRDefault="00CF151E" w:rsidP="009E3379">
      <w:pPr>
        <w:pStyle w:val="NoSpacing"/>
        <w:ind w:firstLine="426"/>
        <w:jc w:val="both"/>
        <w:rPr>
          <w:sz w:val="20"/>
          <w:szCs w:val="20"/>
          <w:lang w:bidi="ar-EG"/>
        </w:rPr>
      </w:pPr>
      <w:proofErr w:type="spellStart"/>
      <w:r w:rsidRPr="006038FB">
        <w:rPr>
          <w:sz w:val="20"/>
          <w:szCs w:val="20"/>
          <w:lang w:bidi="ar-EG"/>
        </w:rPr>
        <w:t>Trus</w:t>
      </w:r>
      <w:proofErr w:type="spellEnd"/>
      <w:r w:rsidRPr="006038FB">
        <w:rPr>
          <w:sz w:val="20"/>
          <w:szCs w:val="20"/>
          <w:lang w:bidi="ar-EG"/>
        </w:rPr>
        <w:t xml:space="preserve"> and </w:t>
      </w:r>
      <w:proofErr w:type="spellStart"/>
      <w:r w:rsidRPr="006038FB">
        <w:rPr>
          <w:sz w:val="20"/>
          <w:szCs w:val="20"/>
          <w:lang w:bidi="ar-EG"/>
        </w:rPr>
        <w:t>Ssus</w:t>
      </w:r>
      <w:proofErr w:type="spellEnd"/>
      <w:r w:rsidRPr="006038FB">
        <w:rPr>
          <w:sz w:val="20"/>
          <w:szCs w:val="20"/>
          <w:lang w:bidi="ar-EG"/>
        </w:rPr>
        <w:t xml:space="preserve"> measurements were performed at the same marked sites where the anthropometric measurements were carried out </w:t>
      </w:r>
      <w:r w:rsidRPr="006038FB">
        <w:rPr>
          <w:i/>
          <w:iCs/>
          <w:sz w:val="20"/>
          <w:szCs w:val="20"/>
          <w:lang w:bidi="ar-EG"/>
        </w:rPr>
        <w:t>(</w:t>
      </w:r>
      <w:proofErr w:type="spellStart"/>
      <w:r w:rsidRPr="006038FB">
        <w:rPr>
          <w:i/>
          <w:iCs/>
          <w:sz w:val="20"/>
          <w:szCs w:val="20"/>
          <w:lang w:bidi="ar-EG"/>
        </w:rPr>
        <w:t>Armellini</w:t>
      </w:r>
      <w:proofErr w:type="spellEnd"/>
      <w:r w:rsidRPr="006038FB">
        <w:rPr>
          <w:i/>
          <w:iCs/>
          <w:sz w:val="20"/>
          <w:szCs w:val="20"/>
          <w:lang w:bidi="ar-EG"/>
        </w:rPr>
        <w:t xml:space="preserve"> et al., 1991). </w:t>
      </w:r>
      <w:r w:rsidRPr="006038FB">
        <w:rPr>
          <w:sz w:val="20"/>
          <w:szCs w:val="20"/>
          <w:lang w:bidi="ar-EG"/>
        </w:rPr>
        <w:t xml:space="preserve">Fatty liver, as one of the complications of obesity, was also investigated </w:t>
      </w:r>
      <w:proofErr w:type="spellStart"/>
      <w:r w:rsidRPr="006038FB">
        <w:rPr>
          <w:sz w:val="20"/>
          <w:szCs w:val="20"/>
          <w:lang w:bidi="ar-EG"/>
        </w:rPr>
        <w:t>ultrasonographically</w:t>
      </w:r>
      <w:proofErr w:type="spellEnd"/>
      <w:r w:rsidRPr="006038FB">
        <w:rPr>
          <w:sz w:val="20"/>
          <w:szCs w:val="20"/>
          <w:lang w:bidi="ar-EG"/>
        </w:rPr>
        <w:t>.</w:t>
      </w:r>
    </w:p>
    <w:p w:rsidR="00CF151E" w:rsidRPr="006038FB" w:rsidRDefault="00CF151E" w:rsidP="009E3379">
      <w:pPr>
        <w:ind w:firstLine="426"/>
        <w:jc w:val="lowKashida"/>
        <w:rPr>
          <w:b/>
          <w:bCs/>
          <w:i/>
          <w:iCs/>
          <w:sz w:val="20"/>
          <w:szCs w:val="20"/>
          <w:lang w:bidi="ar-EG"/>
        </w:rPr>
      </w:pPr>
    </w:p>
    <w:p w:rsidR="00CF151E" w:rsidRPr="006038FB" w:rsidRDefault="00CF151E" w:rsidP="009E3379">
      <w:pPr>
        <w:jc w:val="lowKashida"/>
        <w:rPr>
          <w:b/>
          <w:bCs/>
          <w:sz w:val="20"/>
          <w:szCs w:val="20"/>
          <w:lang w:bidi="ar-EG"/>
        </w:rPr>
      </w:pPr>
      <w:r w:rsidRPr="006038FB">
        <w:rPr>
          <w:b/>
          <w:bCs/>
          <w:sz w:val="20"/>
          <w:szCs w:val="20"/>
          <w:lang w:bidi="ar-EG"/>
        </w:rPr>
        <w:t>3. Results</w:t>
      </w:r>
    </w:p>
    <w:p w:rsidR="00CF151E" w:rsidRDefault="00CF151E" w:rsidP="009E3379">
      <w:pPr>
        <w:ind w:firstLine="720"/>
        <w:jc w:val="lowKashida"/>
        <w:rPr>
          <w:sz w:val="20"/>
          <w:szCs w:val="20"/>
          <w:lang w:bidi="ar-EG"/>
        </w:rPr>
      </w:pPr>
      <w:r w:rsidRPr="006038FB">
        <w:rPr>
          <w:sz w:val="20"/>
          <w:szCs w:val="20"/>
          <w:lang w:bidi="ar-EG"/>
        </w:rPr>
        <w:t>The family history of obesity was significantly higher in obese group compared to control group (figure,1).</w:t>
      </w:r>
    </w:p>
    <w:p w:rsidR="004B147B" w:rsidRPr="006038FB" w:rsidRDefault="004B147B" w:rsidP="009E3379">
      <w:pPr>
        <w:jc w:val="lowKashida"/>
        <w:rPr>
          <w:sz w:val="20"/>
          <w:szCs w:val="20"/>
          <w:lang w:bidi="ar-EG"/>
        </w:rPr>
      </w:pPr>
    </w:p>
    <w:tbl>
      <w:tblPr>
        <w:tblStyle w:val="TableGrid"/>
        <w:tblW w:w="4597" w:type="dxa"/>
        <w:tblLook w:val="04A0"/>
      </w:tblPr>
      <w:tblGrid>
        <w:gridCol w:w="4597"/>
      </w:tblGrid>
      <w:tr w:rsidR="00CF151E" w:rsidRPr="006038FB" w:rsidTr="00CF151E">
        <w:trPr>
          <w:trHeight w:val="2565"/>
        </w:trPr>
        <w:tc>
          <w:tcPr>
            <w:tcW w:w="4597" w:type="dxa"/>
          </w:tcPr>
          <w:p w:rsidR="00CF151E" w:rsidRPr="006038FB" w:rsidRDefault="00CF151E" w:rsidP="009E3379">
            <w:pPr>
              <w:jc w:val="lowKashida"/>
              <w:rPr>
                <w:sz w:val="20"/>
                <w:szCs w:val="20"/>
                <w:lang w:bidi="ar-EG"/>
              </w:rPr>
            </w:pPr>
            <w:r w:rsidRPr="006038FB">
              <w:rPr>
                <w:noProof/>
                <w:sz w:val="20"/>
                <w:szCs w:val="20"/>
                <w:lang w:eastAsia="zh-CN"/>
              </w:rPr>
              <w:drawing>
                <wp:anchor distT="0" distB="0" distL="114300" distR="114300" simplePos="0" relativeHeight="251659264" behindDoc="0" locked="0" layoutInCell="1" allowOverlap="1">
                  <wp:simplePos x="0" y="0"/>
                  <wp:positionH relativeFrom="column">
                    <wp:posOffset>-35479</wp:posOffset>
                  </wp:positionH>
                  <wp:positionV relativeFrom="paragraph">
                    <wp:posOffset>24549</wp:posOffset>
                  </wp:positionV>
                  <wp:extent cx="2860349" cy="1591637"/>
                  <wp:effectExtent l="19050" t="19050" r="16201" b="27613"/>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l="3468" t="5820" r="2872" b="6886"/>
                          <a:stretch>
                            <a:fillRect/>
                          </a:stretch>
                        </pic:blipFill>
                        <pic:spPr bwMode="auto">
                          <a:xfrm>
                            <a:off x="0" y="0"/>
                            <a:ext cx="2862301" cy="1592723"/>
                          </a:xfrm>
                          <a:prstGeom prst="rect">
                            <a:avLst/>
                          </a:prstGeom>
                          <a:noFill/>
                          <a:ln w="19050">
                            <a:solidFill>
                              <a:srgbClr val="000000"/>
                            </a:solidFill>
                            <a:miter lim="800000"/>
                            <a:headEnd/>
                            <a:tailEnd/>
                          </a:ln>
                        </pic:spPr>
                      </pic:pic>
                    </a:graphicData>
                  </a:graphic>
                </wp:anchor>
              </w:drawing>
            </w: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p w:rsidR="00CF151E" w:rsidRPr="006038FB" w:rsidRDefault="00CF151E" w:rsidP="009E3379">
            <w:pPr>
              <w:jc w:val="lowKashida"/>
              <w:rPr>
                <w:sz w:val="20"/>
                <w:szCs w:val="20"/>
                <w:lang w:bidi="ar-EG"/>
              </w:rPr>
            </w:pPr>
          </w:p>
        </w:tc>
      </w:tr>
    </w:tbl>
    <w:p w:rsidR="00CF151E" w:rsidRPr="006038FB" w:rsidRDefault="0006274D" w:rsidP="009E3379">
      <w:pPr>
        <w:jc w:val="both"/>
        <w:rPr>
          <w:b/>
          <w:bCs/>
          <w:sz w:val="20"/>
          <w:szCs w:val="20"/>
          <w:lang w:bidi="ar-EG"/>
        </w:rPr>
      </w:pPr>
      <w:r w:rsidRPr="006038FB">
        <w:rPr>
          <w:b/>
          <w:bCs/>
          <w:sz w:val="20"/>
          <w:szCs w:val="20"/>
          <w:lang w:bidi="ar-EG"/>
        </w:rPr>
        <w:t>Figure (</w:t>
      </w:r>
      <w:r w:rsidR="00CF151E" w:rsidRPr="006038FB">
        <w:rPr>
          <w:b/>
          <w:bCs/>
          <w:sz w:val="20"/>
          <w:szCs w:val="20"/>
          <w:lang w:bidi="ar-EG"/>
        </w:rPr>
        <w:t>1): Comparison between the obese and control groups as regard family history of obesity.</w:t>
      </w:r>
    </w:p>
    <w:p w:rsidR="0006274D" w:rsidRPr="006038FB" w:rsidRDefault="0006274D" w:rsidP="009E3379">
      <w:pPr>
        <w:ind w:firstLine="720"/>
        <w:rPr>
          <w:sz w:val="20"/>
          <w:szCs w:val="20"/>
          <w:lang w:bidi="ar-EG"/>
        </w:rPr>
      </w:pPr>
    </w:p>
    <w:p w:rsidR="00CF151E" w:rsidRPr="006038FB" w:rsidRDefault="00CF151E" w:rsidP="009E3379">
      <w:pPr>
        <w:ind w:firstLine="426"/>
        <w:rPr>
          <w:sz w:val="20"/>
          <w:szCs w:val="20"/>
          <w:lang w:bidi="ar-EG"/>
        </w:rPr>
      </w:pPr>
      <w:r w:rsidRPr="006038FB">
        <w:rPr>
          <w:sz w:val="20"/>
          <w:szCs w:val="20"/>
          <w:lang w:bidi="ar-EG"/>
        </w:rPr>
        <w:t>The most frequent complaints in the obese group were easy fatigability,</w:t>
      </w:r>
      <w:r w:rsidR="00D1717B">
        <w:rPr>
          <w:sz w:val="20"/>
          <w:szCs w:val="20"/>
          <w:lang w:bidi="ar-EG"/>
        </w:rPr>
        <w:t xml:space="preserve"> abdominal pain and knee pain (</w:t>
      </w:r>
      <w:r w:rsidRPr="006038FB">
        <w:rPr>
          <w:sz w:val="20"/>
          <w:szCs w:val="20"/>
          <w:lang w:bidi="ar-EG"/>
        </w:rPr>
        <w:t>Table 1).</w:t>
      </w:r>
    </w:p>
    <w:p w:rsidR="00CF151E" w:rsidRPr="006038FB" w:rsidRDefault="00CF151E" w:rsidP="009E3379">
      <w:pPr>
        <w:rPr>
          <w:sz w:val="20"/>
          <w:szCs w:val="20"/>
          <w:lang w:bidi="ar-EG"/>
        </w:rPr>
      </w:pPr>
    </w:p>
    <w:p w:rsidR="00CF151E" w:rsidRPr="006038FB" w:rsidRDefault="00CF151E" w:rsidP="009E3379">
      <w:pPr>
        <w:rPr>
          <w:b/>
          <w:bCs/>
          <w:sz w:val="20"/>
          <w:szCs w:val="20"/>
          <w:lang w:bidi="ar-EG"/>
        </w:rPr>
      </w:pPr>
      <w:r w:rsidRPr="006038FB">
        <w:rPr>
          <w:b/>
          <w:bCs/>
          <w:sz w:val="20"/>
          <w:szCs w:val="20"/>
          <w:lang w:bidi="ar-EG"/>
        </w:rPr>
        <w:t xml:space="preserve">Table(1) :Complaint in obese group </w:t>
      </w:r>
    </w:p>
    <w:tbl>
      <w:tblPr>
        <w:bidiVisual/>
        <w:tblW w:w="4338" w:type="dxa"/>
        <w:jc w:val="center"/>
        <w:tblInd w:w="2913" w:type="dxa"/>
        <w:tblBorders>
          <w:top w:val="thinThickSmallGap" w:sz="24" w:space="0" w:color="auto"/>
          <w:left w:val="thinThickSmallGap" w:sz="24" w:space="0" w:color="auto"/>
          <w:bottom w:val="thinThickSmallGap" w:sz="24" w:space="0" w:color="auto"/>
          <w:right w:val="thinThickSmallGap" w:sz="24" w:space="0" w:color="auto"/>
          <w:insideH w:val="single" w:sz="6" w:space="0" w:color="000000"/>
          <w:insideV w:val="single" w:sz="6" w:space="0" w:color="000000"/>
        </w:tblBorders>
        <w:tblLook w:val="0000"/>
      </w:tblPr>
      <w:tblGrid>
        <w:gridCol w:w="1336"/>
        <w:gridCol w:w="936"/>
        <w:gridCol w:w="2066"/>
      </w:tblGrid>
      <w:tr w:rsidR="00CF151E" w:rsidRPr="006038FB" w:rsidTr="0006274D">
        <w:trPr>
          <w:trHeight w:val="259"/>
          <w:jc w:val="center"/>
        </w:trPr>
        <w:tc>
          <w:tcPr>
            <w:tcW w:w="1336" w:type="dxa"/>
            <w:tcBorders>
              <w:top w:val="thinThickSmallGap" w:sz="24" w:space="0" w:color="auto"/>
              <w:bottom w:val="thinThickSmallGap" w:sz="24" w:space="0" w:color="auto"/>
            </w:tcBorders>
            <w:shd w:val="clear" w:color="auto" w:fill="auto"/>
          </w:tcPr>
          <w:p w:rsidR="00CF151E" w:rsidRPr="006038FB" w:rsidRDefault="00CF151E" w:rsidP="009E3379">
            <w:pPr>
              <w:ind w:firstLine="33"/>
              <w:rPr>
                <w:sz w:val="20"/>
                <w:szCs w:val="20"/>
                <w:lang w:bidi="ar-EG"/>
              </w:rPr>
            </w:pPr>
            <w:r w:rsidRPr="006038FB">
              <w:rPr>
                <w:b/>
                <w:bCs/>
                <w:sz w:val="20"/>
                <w:szCs w:val="20"/>
                <w:lang w:bidi="ar-EG"/>
              </w:rPr>
              <w:t>%</w:t>
            </w:r>
          </w:p>
        </w:tc>
        <w:tc>
          <w:tcPr>
            <w:tcW w:w="936" w:type="dxa"/>
            <w:tcBorders>
              <w:top w:val="thinThickSmallGap" w:sz="24" w:space="0" w:color="auto"/>
              <w:bottom w:val="thinThickSmallGap" w:sz="24" w:space="0" w:color="auto"/>
            </w:tcBorders>
            <w:shd w:val="clear" w:color="auto" w:fill="auto"/>
          </w:tcPr>
          <w:p w:rsidR="00CF151E" w:rsidRPr="006038FB" w:rsidRDefault="00CF151E" w:rsidP="009E3379">
            <w:pPr>
              <w:ind w:firstLine="33"/>
              <w:rPr>
                <w:sz w:val="20"/>
                <w:szCs w:val="20"/>
                <w:lang w:bidi="ar-EG"/>
              </w:rPr>
            </w:pPr>
            <w:r w:rsidRPr="006038FB">
              <w:rPr>
                <w:b/>
                <w:bCs/>
                <w:sz w:val="20"/>
                <w:szCs w:val="20"/>
                <w:lang w:bidi="ar-EG"/>
              </w:rPr>
              <w:t>No.</w:t>
            </w:r>
          </w:p>
        </w:tc>
        <w:tc>
          <w:tcPr>
            <w:tcW w:w="2066" w:type="dxa"/>
            <w:tcBorders>
              <w:top w:val="thinThickSmallGap" w:sz="24" w:space="0" w:color="auto"/>
              <w:bottom w:val="thinThickSmallGap" w:sz="24" w:space="0" w:color="auto"/>
            </w:tcBorders>
            <w:shd w:val="clear" w:color="auto" w:fill="auto"/>
          </w:tcPr>
          <w:p w:rsidR="00CF151E" w:rsidRPr="006038FB" w:rsidRDefault="00CF151E" w:rsidP="009E3379">
            <w:pPr>
              <w:ind w:hanging="44"/>
              <w:rPr>
                <w:sz w:val="20"/>
                <w:szCs w:val="20"/>
                <w:lang w:bidi="ar-EG"/>
              </w:rPr>
            </w:pPr>
            <w:r w:rsidRPr="006038FB">
              <w:rPr>
                <w:b/>
                <w:bCs/>
                <w:sz w:val="20"/>
                <w:szCs w:val="20"/>
                <w:lang w:bidi="ar-EG"/>
              </w:rPr>
              <w:t>Complaint</w:t>
            </w:r>
          </w:p>
        </w:tc>
      </w:tr>
      <w:tr w:rsidR="00CF151E" w:rsidRPr="006038FB" w:rsidTr="0006274D">
        <w:trPr>
          <w:trHeight w:val="259"/>
          <w:jc w:val="center"/>
        </w:trPr>
        <w:tc>
          <w:tcPr>
            <w:tcW w:w="1336" w:type="dxa"/>
            <w:tcBorders>
              <w:top w:val="thinThickSmallGap" w:sz="24" w:space="0" w:color="auto"/>
            </w:tcBorders>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85</w:t>
            </w:r>
          </w:p>
        </w:tc>
        <w:tc>
          <w:tcPr>
            <w:tcW w:w="936" w:type="dxa"/>
            <w:tcBorders>
              <w:top w:val="thinThickSmallGap" w:sz="24" w:space="0" w:color="auto"/>
            </w:tcBorders>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34</w:t>
            </w:r>
          </w:p>
        </w:tc>
        <w:tc>
          <w:tcPr>
            <w:tcW w:w="2066" w:type="dxa"/>
            <w:tcBorders>
              <w:top w:val="thinThickSmallGap" w:sz="24" w:space="0" w:color="auto"/>
            </w:tcBorders>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Easy fatigability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45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18</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Abdominal pain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40</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16</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Knee pain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27.5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11</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Shortness of breath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22.5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9</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Distension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17.5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7</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Snoring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6</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Headache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6</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Leg pain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10</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4</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Heart burn </w:t>
            </w:r>
          </w:p>
        </w:tc>
      </w:tr>
      <w:tr w:rsidR="00CF151E" w:rsidRPr="006038FB" w:rsidTr="0006274D">
        <w:trPr>
          <w:trHeight w:val="259"/>
          <w:jc w:val="center"/>
        </w:trPr>
        <w:tc>
          <w:tcPr>
            <w:tcW w:w="13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7.5</w:t>
            </w:r>
          </w:p>
        </w:tc>
        <w:tc>
          <w:tcPr>
            <w:tcW w:w="936" w:type="dxa"/>
            <w:shd w:val="clear" w:color="auto" w:fill="auto"/>
          </w:tcPr>
          <w:p w:rsidR="00CF151E" w:rsidRPr="006038FB" w:rsidRDefault="00CF151E" w:rsidP="009E3379">
            <w:pPr>
              <w:ind w:firstLine="33"/>
              <w:jc w:val="center"/>
              <w:rPr>
                <w:sz w:val="20"/>
                <w:szCs w:val="20"/>
                <w:lang w:bidi="ar-EG"/>
              </w:rPr>
            </w:pPr>
            <w:r w:rsidRPr="006038FB">
              <w:rPr>
                <w:sz w:val="20"/>
                <w:szCs w:val="20"/>
                <w:lang w:bidi="ar-EG"/>
              </w:rPr>
              <w:t>3</w:t>
            </w:r>
          </w:p>
        </w:tc>
        <w:tc>
          <w:tcPr>
            <w:tcW w:w="2066" w:type="dxa"/>
            <w:shd w:val="clear" w:color="auto" w:fill="auto"/>
          </w:tcPr>
          <w:p w:rsidR="00CF151E" w:rsidRPr="006038FB" w:rsidRDefault="00CF151E" w:rsidP="009E3379">
            <w:pPr>
              <w:ind w:hanging="44"/>
              <w:rPr>
                <w:sz w:val="20"/>
                <w:szCs w:val="20"/>
                <w:lang w:bidi="ar-EG"/>
              </w:rPr>
            </w:pPr>
            <w:r w:rsidRPr="006038FB">
              <w:rPr>
                <w:sz w:val="20"/>
                <w:szCs w:val="20"/>
                <w:lang w:bidi="ar-EG"/>
              </w:rPr>
              <w:t xml:space="preserve">Chest pain </w:t>
            </w:r>
          </w:p>
        </w:tc>
      </w:tr>
      <w:tr w:rsidR="00CF151E" w:rsidRPr="006038FB" w:rsidTr="0006274D">
        <w:trPr>
          <w:trHeight w:val="259"/>
          <w:jc w:val="center"/>
        </w:trPr>
        <w:tc>
          <w:tcPr>
            <w:tcW w:w="1336" w:type="dxa"/>
            <w:shd w:val="clear" w:color="auto" w:fill="auto"/>
          </w:tcPr>
          <w:p w:rsidR="00CF151E" w:rsidRPr="006038FB" w:rsidRDefault="00CF151E" w:rsidP="009E3379">
            <w:pPr>
              <w:jc w:val="center"/>
              <w:rPr>
                <w:sz w:val="20"/>
                <w:szCs w:val="20"/>
                <w:lang w:bidi="ar-EG"/>
              </w:rPr>
            </w:pPr>
            <w:r w:rsidRPr="006038FB">
              <w:rPr>
                <w:sz w:val="20"/>
                <w:szCs w:val="20"/>
                <w:lang w:bidi="ar-EG"/>
              </w:rPr>
              <w:t>7.5</w:t>
            </w:r>
          </w:p>
        </w:tc>
        <w:tc>
          <w:tcPr>
            <w:tcW w:w="936" w:type="dxa"/>
            <w:shd w:val="clear" w:color="auto" w:fill="auto"/>
          </w:tcPr>
          <w:p w:rsidR="00CF151E" w:rsidRPr="006038FB" w:rsidRDefault="00CF151E" w:rsidP="009E3379">
            <w:pPr>
              <w:jc w:val="center"/>
              <w:rPr>
                <w:sz w:val="20"/>
                <w:szCs w:val="20"/>
                <w:lang w:bidi="ar-EG"/>
              </w:rPr>
            </w:pPr>
            <w:r w:rsidRPr="006038FB">
              <w:rPr>
                <w:sz w:val="20"/>
                <w:szCs w:val="20"/>
                <w:lang w:bidi="ar-EG"/>
              </w:rPr>
              <w:t>3</w:t>
            </w:r>
          </w:p>
        </w:tc>
        <w:tc>
          <w:tcPr>
            <w:tcW w:w="2066" w:type="dxa"/>
            <w:shd w:val="clear" w:color="auto" w:fill="auto"/>
          </w:tcPr>
          <w:p w:rsidR="00CF151E" w:rsidRPr="006038FB" w:rsidRDefault="00CF151E" w:rsidP="009E3379">
            <w:pPr>
              <w:rPr>
                <w:sz w:val="20"/>
                <w:szCs w:val="20"/>
                <w:lang w:bidi="ar-EG"/>
              </w:rPr>
            </w:pPr>
            <w:r w:rsidRPr="006038FB">
              <w:rPr>
                <w:sz w:val="20"/>
                <w:szCs w:val="20"/>
                <w:lang w:bidi="ar-EG"/>
              </w:rPr>
              <w:t xml:space="preserve">Low back ache </w:t>
            </w:r>
          </w:p>
        </w:tc>
      </w:tr>
      <w:tr w:rsidR="00CF151E" w:rsidRPr="006038FB" w:rsidTr="0006274D">
        <w:trPr>
          <w:trHeight w:val="259"/>
          <w:jc w:val="center"/>
        </w:trPr>
        <w:tc>
          <w:tcPr>
            <w:tcW w:w="1336" w:type="dxa"/>
            <w:shd w:val="clear" w:color="auto" w:fill="auto"/>
          </w:tcPr>
          <w:p w:rsidR="00CF151E" w:rsidRPr="006038FB" w:rsidRDefault="00CF151E" w:rsidP="009E3379">
            <w:pPr>
              <w:jc w:val="center"/>
              <w:rPr>
                <w:sz w:val="20"/>
                <w:szCs w:val="20"/>
                <w:lang w:bidi="ar-EG"/>
              </w:rPr>
            </w:pPr>
            <w:r w:rsidRPr="006038FB">
              <w:rPr>
                <w:sz w:val="20"/>
                <w:szCs w:val="20"/>
                <w:lang w:bidi="ar-EG"/>
              </w:rPr>
              <w:t>5</w:t>
            </w:r>
          </w:p>
        </w:tc>
        <w:tc>
          <w:tcPr>
            <w:tcW w:w="936" w:type="dxa"/>
            <w:shd w:val="clear" w:color="auto" w:fill="auto"/>
          </w:tcPr>
          <w:p w:rsidR="00CF151E" w:rsidRPr="006038FB" w:rsidRDefault="00CF151E" w:rsidP="009E3379">
            <w:pPr>
              <w:jc w:val="center"/>
              <w:rPr>
                <w:sz w:val="20"/>
                <w:szCs w:val="20"/>
                <w:lang w:bidi="ar-EG"/>
              </w:rPr>
            </w:pPr>
            <w:r w:rsidRPr="006038FB">
              <w:rPr>
                <w:sz w:val="20"/>
                <w:szCs w:val="20"/>
                <w:lang w:bidi="ar-EG"/>
              </w:rPr>
              <w:t>2</w:t>
            </w:r>
          </w:p>
        </w:tc>
        <w:tc>
          <w:tcPr>
            <w:tcW w:w="2066" w:type="dxa"/>
            <w:shd w:val="clear" w:color="auto" w:fill="auto"/>
          </w:tcPr>
          <w:p w:rsidR="00CF151E" w:rsidRPr="006038FB" w:rsidRDefault="00CF151E" w:rsidP="009E3379">
            <w:pPr>
              <w:rPr>
                <w:sz w:val="20"/>
                <w:szCs w:val="20"/>
                <w:lang w:bidi="ar-EG"/>
              </w:rPr>
            </w:pPr>
            <w:r w:rsidRPr="006038FB">
              <w:rPr>
                <w:sz w:val="20"/>
                <w:szCs w:val="20"/>
                <w:lang w:bidi="ar-EG"/>
              </w:rPr>
              <w:t xml:space="preserve">Motion abnormality </w:t>
            </w:r>
          </w:p>
        </w:tc>
      </w:tr>
    </w:tbl>
    <w:p w:rsidR="004B147B" w:rsidRDefault="004B147B" w:rsidP="009E3379">
      <w:pPr>
        <w:pStyle w:val="NoSpacing1"/>
        <w:bidi w:val="0"/>
        <w:ind w:firstLine="426"/>
        <w:jc w:val="both"/>
        <w:rPr>
          <w:sz w:val="20"/>
          <w:szCs w:val="20"/>
          <w:lang w:bidi="ar-EG"/>
        </w:rPr>
      </w:pPr>
    </w:p>
    <w:p w:rsidR="00CF151E" w:rsidRPr="006038FB" w:rsidRDefault="00CF151E" w:rsidP="009E3379">
      <w:pPr>
        <w:pStyle w:val="NoSpacing1"/>
        <w:bidi w:val="0"/>
        <w:ind w:firstLine="426"/>
        <w:jc w:val="both"/>
        <w:rPr>
          <w:sz w:val="20"/>
          <w:szCs w:val="20"/>
          <w:lang w:bidi="ar-EG"/>
        </w:rPr>
      </w:pPr>
      <w:r w:rsidRPr="006038FB">
        <w:rPr>
          <w:sz w:val="20"/>
          <w:szCs w:val="20"/>
          <w:lang w:bidi="ar-EG"/>
        </w:rPr>
        <w:lastRenderedPageBreak/>
        <w:t>Anthropometric measurements showed significant difference between obese group and control group except for WHR (Table 2).</w:t>
      </w:r>
    </w:p>
    <w:p w:rsidR="0006274D" w:rsidRPr="006038FB" w:rsidRDefault="0006274D" w:rsidP="009E3379">
      <w:pPr>
        <w:pStyle w:val="NoSpacing1"/>
        <w:bidi w:val="0"/>
        <w:ind w:firstLine="426"/>
        <w:jc w:val="both"/>
        <w:rPr>
          <w:sz w:val="20"/>
          <w:szCs w:val="20"/>
          <w:lang w:bidi="ar-EG"/>
        </w:rPr>
      </w:pPr>
      <w:proofErr w:type="spellStart"/>
      <w:r w:rsidRPr="006038FB">
        <w:rPr>
          <w:sz w:val="20"/>
          <w:szCs w:val="20"/>
          <w:lang w:bidi="ar-EG"/>
        </w:rPr>
        <w:t>Ultrasonographic</w:t>
      </w:r>
      <w:proofErr w:type="spellEnd"/>
      <w:r w:rsidRPr="006038FB">
        <w:rPr>
          <w:sz w:val="20"/>
          <w:szCs w:val="20"/>
          <w:lang w:bidi="ar-EG"/>
        </w:rPr>
        <w:t xml:space="preserve"> measurements and blood pressure values showed significant difference in obese group compared to control group (Table 3).</w:t>
      </w:r>
    </w:p>
    <w:p w:rsidR="0006274D" w:rsidRPr="006038FB" w:rsidRDefault="0006274D" w:rsidP="009E3379">
      <w:pPr>
        <w:pStyle w:val="NoSpacing1"/>
        <w:bidi w:val="0"/>
        <w:ind w:firstLine="426"/>
        <w:jc w:val="both"/>
        <w:rPr>
          <w:sz w:val="20"/>
          <w:szCs w:val="20"/>
          <w:lang w:bidi="ar-EG"/>
        </w:rPr>
      </w:pPr>
      <w:r w:rsidRPr="006038FB">
        <w:rPr>
          <w:sz w:val="20"/>
          <w:szCs w:val="20"/>
          <w:lang w:bidi="ar-EG"/>
        </w:rPr>
        <w:t>There was a highly positive correlation between WC and BMI</w:t>
      </w:r>
      <w:r w:rsidR="004B147B">
        <w:rPr>
          <w:sz w:val="20"/>
          <w:szCs w:val="20"/>
          <w:lang w:bidi="ar-EG"/>
        </w:rPr>
        <w:t xml:space="preserve"> </w:t>
      </w:r>
      <w:r w:rsidRPr="006038FB">
        <w:rPr>
          <w:sz w:val="20"/>
          <w:szCs w:val="20"/>
          <w:lang w:bidi="ar-EG"/>
        </w:rPr>
        <w:t>in the obese group (Figure,2).</w:t>
      </w:r>
    </w:p>
    <w:p w:rsidR="0006274D" w:rsidRDefault="0006274D" w:rsidP="009E3379">
      <w:pPr>
        <w:pStyle w:val="NoSpacing1"/>
        <w:bidi w:val="0"/>
        <w:ind w:firstLine="426"/>
        <w:jc w:val="both"/>
        <w:rPr>
          <w:sz w:val="20"/>
          <w:szCs w:val="20"/>
          <w:lang w:bidi="ar-EG"/>
        </w:rPr>
      </w:pPr>
      <w:r w:rsidRPr="006038FB">
        <w:rPr>
          <w:sz w:val="20"/>
          <w:szCs w:val="20"/>
          <w:lang w:bidi="ar-EG"/>
        </w:rPr>
        <w:t xml:space="preserve">There was a highly positive correlation between </w:t>
      </w:r>
      <w:proofErr w:type="spellStart"/>
      <w:r w:rsidRPr="006038FB">
        <w:rPr>
          <w:sz w:val="20"/>
          <w:szCs w:val="20"/>
          <w:lang w:bidi="ar-EG"/>
        </w:rPr>
        <w:t>WHtR</w:t>
      </w:r>
      <w:proofErr w:type="spellEnd"/>
      <w:r w:rsidRPr="006038FB">
        <w:rPr>
          <w:sz w:val="20"/>
          <w:szCs w:val="20"/>
          <w:lang w:bidi="ar-EG"/>
        </w:rPr>
        <w:t xml:space="preserve"> and </w:t>
      </w:r>
      <w:smartTag w:uri="urn:schemas-microsoft-com:office:smarttags" w:element="stockticker">
        <w:r w:rsidRPr="006038FB">
          <w:rPr>
            <w:sz w:val="20"/>
            <w:szCs w:val="20"/>
            <w:lang w:bidi="ar-EG"/>
          </w:rPr>
          <w:t>BMI</w:t>
        </w:r>
      </w:smartTag>
      <w:r w:rsidRPr="006038FB">
        <w:rPr>
          <w:sz w:val="20"/>
          <w:szCs w:val="20"/>
          <w:lang w:bidi="ar-EG"/>
        </w:rPr>
        <w:t xml:space="preserve"> in the obese group (Figure,3).</w:t>
      </w:r>
    </w:p>
    <w:p w:rsidR="004B147B" w:rsidRPr="006038FB" w:rsidRDefault="004B147B" w:rsidP="009E3379">
      <w:pPr>
        <w:pStyle w:val="NoSpacing"/>
        <w:ind w:firstLine="426"/>
        <w:jc w:val="both"/>
        <w:rPr>
          <w:sz w:val="20"/>
          <w:szCs w:val="20"/>
          <w:lang w:bidi="ar-EG"/>
        </w:rPr>
      </w:pPr>
      <w:r w:rsidRPr="006038FB">
        <w:rPr>
          <w:sz w:val="20"/>
          <w:szCs w:val="20"/>
          <w:lang w:bidi="ar-EG"/>
        </w:rPr>
        <w:t xml:space="preserve">Among anthropometric measurements, only </w:t>
      </w:r>
      <w:smartTag w:uri="urn:schemas-microsoft-com:office:smarttags" w:element="stockticker">
        <w:r w:rsidRPr="006038FB">
          <w:rPr>
            <w:sz w:val="20"/>
            <w:szCs w:val="20"/>
            <w:lang w:bidi="ar-EG"/>
          </w:rPr>
          <w:t>BMI</w:t>
        </w:r>
      </w:smartTag>
      <w:r w:rsidRPr="006038FB">
        <w:rPr>
          <w:sz w:val="20"/>
          <w:szCs w:val="20"/>
          <w:lang w:bidi="ar-EG"/>
        </w:rPr>
        <w:t xml:space="preserve"> and WC showed positive correlation with all US measurements, while there was no relation between WHR and US measurements (Table 4).</w:t>
      </w:r>
    </w:p>
    <w:p w:rsidR="004B147B" w:rsidRPr="006038FB" w:rsidRDefault="004B147B" w:rsidP="009E3379">
      <w:pPr>
        <w:pStyle w:val="NoSpacing"/>
        <w:ind w:firstLine="426"/>
        <w:jc w:val="both"/>
        <w:rPr>
          <w:sz w:val="20"/>
          <w:szCs w:val="20"/>
          <w:lang w:bidi="ar-EG"/>
        </w:rPr>
      </w:pPr>
      <w:r w:rsidRPr="006038FB">
        <w:rPr>
          <w:sz w:val="20"/>
          <w:szCs w:val="20"/>
          <w:lang w:bidi="ar-EG"/>
        </w:rPr>
        <w:lastRenderedPageBreak/>
        <w:t xml:space="preserve">Multiple regression analysis, using V as the dependent variable and anthropometric parameters and gender as the independent variables, revealed that BMI was the best single predictor of V (Table,5) </w:t>
      </w:r>
    </w:p>
    <w:p w:rsidR="004B147B" w:rsidRPr="006038FB" w:rsidRDefault="004B147B" w:rsidP="009E3379">
      <w:pPr>
        <w:pStyle w:val="NoSpacing"/>
        <w:ind w:firstLine="426"/>
        <w:jc w:val="both"/>
        <w:rPr>
          <w:sz w:val="20"/>
          <w:szCs w:val="20"/>
          <w:lang w:bidi="ar-EG"/>
        </w:rPr>
      </w:pPr>
      <w:r w:rsidRPr="006038FB">
        <w:rPr>
          <w:sz w:val="20"/>
          <w:szCs w:val="20"/>
          <w:lang w:bidi="ar-EG"/>
        </w:rPr>
        <w:t>Among the obese children, 92.5% had central obesity (</w:t>
      </w:r>
      <w:proofErr w:type="spellStart"/>
      <w:r w:rsidRPr="006038FB">
        <w:rPr>
          <w:sz w:val="20"/>
          <w:szCs w:val="20"/>
          <w:lang w:bidi="ar-EG"/>
        </w:rPr>
        <w:t>WHtR</w:t>
      </w:r>
      <w:proofErr w:type="spellEnd"/>
      <w:r w:rsidRPr="006038FB">
        <w:rPr>
          <w:sz w:val="20"/>
          <w:szCs w:val="20"/>
          <w:lang w:bidi="ar-EG"/>
        </w:rPr>
        <w:t xml:space="preserve"> &gt; 0.5), (Table 6).</w:t>
      </w:r>
    </w:p>
    <w:p w:rsidR="004B147B" w:rsidRPr="006038FB" w:rsidRDefault="004B147B" w:rsidP="009E3379">
      <w:pPr>
        <w:pStyle w:val="NoSpacing"/>
        <w:ind w:firstLine="426"/>
        <w:jc w:val="both"/>
        <w:rPr>
          <w:sz w:val="20"/>
          <w:szCs w:val="20"/>
          <w:lang w:bidi="ar-EG"/>
        </w:rPr>
      </w:pPr>
      <w:r w:rsidRPr="006038FB">
        <w:rPr>
          <w:sz w:val="20"/>
          <w:szCs w:val="20"/>
          <w:lang w:bidi="ar-EG"/>
        </w:rPr>
        <w:t xml:space="preserve">There was positive correlation between </w:t>
      </w:r>
      <w:smartTag w:uri="urn:schemas-microsoft-com:office:smarttags" w:element="stockticker">
        <w:r w:rsidRPr="006038FB">
          <w:rPr>
            <w:sz w:val="20"/>
            <w:szCs w:val="20"/>
            <w:lang w:bidi="ar-EG"/>
          </w:rPr>
          <w:t>BMI</w:t>
        </w:r>
      </w:smartTag>
      <w:r w:rsidRPr="006038FB">
        <w:rPr>
          <w:sz w:val="20"/>
          <w:szCs w:val="20"/>
          <w:lang w:bidi="ar-EG"/>
        </w:rPr>
        <w:t xml:space="preserve"> percentiles and blood pressure percentiles, 17.5% of obese children developed hypertension and 5% were </w:t>
      </w:r>
      <w:proofErr w:type="spellStart"/>
      <w:r w:rsidRPr="006038FB">
        <w:rPr>
          <w:sz w:val="20"/>
          <w:szCs w:val="20"/>
          <w:lang w:bidi="ar-EG"/>
        </w:rPr>
        <w:t>prehypertensive</w:t>
      </w:r>
      <w:proofErr w:type="spellEnd"/>
      <w:r w:rsidRPr="006038FB">
        <w:rPr>
          <w:sz w:val="20"/>
          <w:szCs w:val="20"/>
          <w:lang w:bidi="ar-EG"/>
        </w:rPr>
        <w:t xml:space="preserve"> (Table, 7).</w:t>
      </w:r>
    </w:p>
    <w:p w:rsidR="004B147B" w:rsidRPr="006038FB" w:rsidRDefault="004B147B" w:rsidP="009E3379">
      <w:pPr>
        <w:pStyle w:val="NoSpacing1"/>
        <w:bidi w:val="0"/>
        <w:ind w:firstLine="426"/>
        <w:jc w:val="both"/>
        <w:rPr>
          <w:sz w:val="20"/>
          <w:szCs w:val="20"/>
          <w:lang w:bidi="ar-EG"/>
        </w:rPr>
      </w:pPr>
      <w:r w:rsidRPr="006038FB">
        <w:rPr>
          <w:sz w:val="20"/>
          <w:szCs w:val="20"/>
          <w:lang w:bidi="ar-EG"/>
        </w:rPr>
        <w:t>Complications in the obese group included; fatty liver (30%), hypertension (17.5%), and diabetes mellitus (5%), while psychological problems were observed in 36.6 % (Table,</w:t>
      </w:r>
      <w:r w:rsidR="009E3379">
        <w:rPr>
          <w:sz w:val="20"/>
          <w:szCs w:val="20"/>
          <w:lang w:bidi="ar-EG"/>
        </w:rPr>
        <w:t xml:space="preserve"> </w:t>
      </w:r>
      <w:r w:rsidRPr="006038FB">
        <w:rPr>
          <w:sz w:val="20"/>
          <w:szCs w:val="20"/>
          <w:lang w:bidi="ar-EG"/>
        </w:rPr>
        <w:t>8).</w:t>
      </w:r>
      <w:r w:rsidR="009E3379">
        <w:rPr>
          <w:sz w:val="20"/>
          <w:szCs w:val="20"/>
          <w:lang w:bidi="ar-EG"/>
        </w:rPr>
        <w:t xml:space="preserve"> </w:t>
      </w:r>
    </w:p>
    <w:p w:rsidR="0006274D" w:rsidRPr="006038FB" w:rsidRDefault="0006274D" w:rsidP="009E3379">
      <w:pPr>
        <w:rPr>
          <w:b/>
          <w:bCs/>
          <w:sz w:val="20"/>
          <w:szCs w:val="20"/>
          <w:lang w:bidi="ar-EG"/>
        </w:rPr>
        <w:sectPr w:rsidR="0006274D" w:rsidRPr="006038FB" w:rsidSect="00BF41E7">
          <w:footnotePr>
            <w:pos w:val="beneathText"/>
          </w:footnotePr>
          <w:type w:val="continuous"/>
          <w:pgSz w:w="12240" w:h="15840" w:code="1"/>
          <w:pgMar w:top="1418" w:right="1418" w:bottom="1418" w:left="1418" w:header="720" w:footer="720" w:gutter="0"/>
          <w:cols w:num="2" w:space="720"/>
          <w:docGrid w:linePitch="360"/>
        </w:sectPr>
      </w:pPr>
    </w:p>
    <w:p w:rsidR="0006274D" w:rsidRPr="006038FB" w:rsidRDefault="0006274D" w:rsidP="009E3379">
      <w:pPr>
        <w:ind w:left="810" w:hanging="810"/>
        <w:rPr>
          <w:b/>
          <w:bCs/>
          <w:sz w:val="20"/>
          <w:szCs w:val="20"/>
          <w:lang w:bidi="ar-EG"/>
        </w:rPr>
      </w:pPr>
    </w:p>
    <w:p w:rsidR="00CF151E" w:rsidRPr="006038FB" w:rsidRDefault="00CF151E" w:rsidP="009E3379">
      <w:pPr>
        <w:ind w:left="810" w:hanging="810"/>
        <w:rPr>
          <w:b/>
          <w:bCs/>
          <w:sz w:val="20"/>
          <w:szCs w:val="20"/>
          <w:lang w:bidi="ar-EG"/>
        </w:rPr>
      </w:pPr>
      <w:r w:rsidRPr="006038FB">
        <w:rPr>
          <w:b/>
          <w:bCs/>
          <w:sz w:val="20"/>
          <w:szCs w:val="20"/>
          <w:lang w:bidi="ar-EG"/>
        </w:rPr>
        <w:t>Table (2) :Comparison of anthropometry between obese and control</w:t>
      </w:r>
      <w:r w:rsidR="004B147B">
        <w:rPr>
          <w:b/>
          <w:bCs/>
          <w:sz w:val="20"/>
          <w:szCs w:val="20"/>
          <w:lang w:bidi="ar-EG"/>
        </w:rPr>
        <w:t xml:space="preserve"> </w:t>
      </w:r>
      <w:r w:rsidRPr="006038FB">
        <w:rPr>
          <w:b/>
          <w:bCs/>
          <w:sz w:val="20"/>
          <w:szCs w:val="20"/>
          <w:lang w:bidi="ar-EG"/>
        </w:rPr>
        <w:t>group</w:t>
      </w:r>
    </w:p>
    <w:tbl>
      <w:tblPr>
        <w:bidiVisual/>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1518"/>
        <w:gridCol w:w="1535"/>
        <w:gridCol w:w="1406"/>
        <w:gridCol w:w="1203"/>
        <w:gridCol w:w="822"/>
        <w:gridCol w:w="1133"/>
        <w:gridCol w:w="2003"/>
      </w:tblGrid>
      <w:tr w:rsidR="00CF151E" w:rsidRPr="006038FB" w:rsidTr="009E3379">
        <w:trPr>
          <w:trHeight w:val="20"/>
          <w:jc w:val="center"/>
        </w:trPr>
        <w:tc>
          <w:tcPr>
            <w:tcW w:w="789" w:type="pct"/>
            <w:vMerge w:val="restart"/>
          </w:tcPr>
          <w:p w:rsidR="00CF151E" w:rsidRPr="006038FB" w:rsidRDefault="00CF151E" w:rsidP="009E3379">
            <w:pPr>
              <w:pStyle w:val="NoSpacing"/>
              <w:jc w:val="center"/>
              <w:rPr>
                <w:sz w:val="20"/>
                <w:szCs w:val="20"/>
                <w:lang w:bidi="ar-EG"/>
              </w:rPr>
            </w:pPr>
            <w:r w:rsidRPr="006038FB">
              <w:rPr>
                <w:i/>
                <w:iCs/>
                <w:sz w:val="20"/>
                <w:szCs w:val="20"/>
                <w:lang w:bidi="ar-EG"/>
              </w:rPr>
              <w:t>p</w:t>
            </w:r>
            <w:r w:rsidRPr="006038FB">
              <w:rPr>
                <w:sz w:val="20"/>
                <w:szCs w:val="20"/>
                <w:lang w:bidi="ar-EG"/>
              </w:rPr>
              <w:t>-value</w:t>
            </w:r>
          </w:p>
        </w:tc>
        <w:tc>
          <w:tcPr>
            <w:tcW w:w="798" w:type="pct"/>
            <w:vMerge w:val="restart"/>
          </w:tcPr>
          <w:p w:rsidR="00CF151E" w:rsidRPr="006038FB" w:rsidRDefault="00CF151E" w:rsidP="009E3379">
            <w:pPr>
              <w:pStyle w:val="NoSpacing"/>
              <w:jc w:val="center"/>
              <w:rPr>
                <w:sz w:val="20"/>
                <w:szCs w:val="20"/>
                <w:lang w:bidi="ar-EG"/>
              </w:rPr>
            </w:pPr>
            <w:r w:rsidRPr="006038FB">
              <w:rPr>
                <w:sz w:val="20"/>
                <w:szCs w:val="20"/>
                <w:lang w:bidi="ar-EG"/>
              </w:rPr>
              <w:t>t/z^</w:t>
            </w:r>
          </w:p>
        </w:tc>
        <w:tc>
          <w:tcPr>
            <w:tcW w:w="1355" w:type="pct"/>
            <w:gridSpan w:val="2"/>
          </w:tcPr>
          <w:p w:rsidR="00CF151E" w:rsidRPr="006038FB" w:rsidRDefault="00CF151E" w:rsidP="009E3379">
            <w:pPr>
              <w:pStyle w:val="NoSpacing"/>
              <w:jc w:val="center"/>
              <w:rPr>
                <w:sz w:val="20"/>
                <w:szCs w:val="20"/>
                <w:lang w:bidi="ar-EG"/>
              </w:rPr>
            </w:pPr>
            <w:r w:rsidRPr="006038FB">
              <w:rPr>
                <w:sz w:val="20"/>
                <w:szCs w:val="20"/>
                <w:lang w:bidi="ar-EG"/>
              </w:rPr>
              <w:t>Control</w:t>
            </w:r>
          </w:p>
        </w:tc>
        <w:tc>
          <w:tcPr>
            <w:tcW w:w="1016" w:type="pct"/>
            <w:gridSpan w:val="2"/>
          </w:tcPr>
          <w:p w:rsidR="00CF151E" w:rsidRPr="006038FB" w:rsidRDefault="00CF151E" w:rsidP="009E3379">
            <w:pPr>
              <w:pStyle w:val="NoSpacing"/>
              <w:jc w:val="center"/>
              <w:rPr>
                <w:sz w:val="20"/>
                <w:szCs w:val="20"/>
                <w:lang w:bidi="ar-EG"/>
              </w:rPr>
            </w:pPr>
            <w:r w:rsidRPr="006038FB">
              <w:rPr>
                <w:sz w:val="20"/>
                <w:szCs w:val="20"/>
                <w:lang w:bidi="ar-EG"/>
              </w:rPr>
              <w:t>Obese</w:t>
            </w:r>
          </w:p>
        </w:tc>
        <w:tc>
          <w:tcPr>
            <w:tcW w:w="1042" w:type="pct"/>
            <w:vMerge w:val="restart"/>
          </w:tcPr>
          <w:p w:rsidR="00CF151E" w:rsidRPr="006038FB" w:rsidRDefault="00CF151E" w:rsidP="009E3379">
            <w:pPr>
              <w:pStyle w:val="NoSpacing"/>
              <w:rPr>
                <w:sz w:val="20"/>
                <w:szCs w:val="20"/>
                <w:lang w:bidi="ar-EG"/>
              </w:rPr>
            </w:pPr>
            <w:r w:rsidRPr="006038FB">
              <w:rPr>
                <w:sz w:val="20"/>
                <w:szCs w:val="20"/>
                <w:lang w:bidi="ar-EG"/>
              </w:rPr>
              <w:t>Parameters</w:t>
            </w:r>
          </w:p>
        </w:tc>
      </w:tr>
      <w:tr w:rsidR="00CF151E" w:rsidRPr="006038FB" w:rsidTr="009E3379">
        <w:trPr>
          <w:trHeight w:val="63"/>
          <w:jc w:val="center"/>
        </w:trPr>
        <w:tc>
          <w:tcPr>
            <w:tcW w:w="789" w:type="pct"/>
            <w:vMerge/>
          </w:tcPr>
          <w:p w:rsidR="00CF151E" w:rsidRPr="006038FB" w:rsidRDefault="00CF151E" w:rsidP="009E3379">
            <w:pPr>
              <w:pStyle w:val="NoSpacing"/>
              <w:jc w:val="center"/>
              <w:rPr>
                <w:sz w:val="20"/>
                <w:szCs w:val="20"/>
                <w:lang w:bidi="ar-EG"/>
              </w:rPr>
            </w:pPr>
          </w:p>
        </w:tc>
        <w:tc>
          <w:tcPr>
            <w:tcW w:w="798" w:type="pct"/>
            <w:vMerge/>
          </w:tcPr>
          <w:p w:rsidR="00CF151E" w:rsidRPr="006038FB" w:rsidRDefault="00CF151E" w:rsidP="009E3379">
            <w:pPr>
              <w:pStyle w:val="NoSpacing"/>
              <w:jc w:val="center"/>
              <w:rPr>
                <w:sz w:val="20"/>
                <w:szCs w:val="20"/>
                <w:lang w:bidi="ar-EG"/>
              </w:rPr>
            </w:pPr>
          </w:p>
        </w:tc>
        <w:tc>
          <w:tcPr>
            <w:tcW w:w="731" w:type="pct"/>
            <w:vMerge w:val="restart"/>
          </w:tcPr>
          <w:p w:rsidR="00CF151E" w:rsidRPr="006038FB" w:rsidRDefault="00CF151E" w:rsidP="009E3379">
            <w:pPr>
              <w:pStyle w:val="NoSpacing"/>
              <w:jc w:val="center"/>
              <w:rPr>
                <w:sz w:val="20"/>
                <w:szCs w:val="20"/>
                <w:lang w:bidi="ar-EG"/>
              </w:rPr>
            </w:pPr>
            <w:r w:rsidRPr="006038FB">
              <w:rPr>
                <w:sz w:val="20"/>
                <w:szCs w:val="20"/>
                <w:lang w:bidi="ar-EG"/>
              </w:rPr>
              <w:t>t/z^</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SD</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Mean</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SD</w:t>
            </w:r>
          </w:p>
        </w:tc>
        <w:tc>
          <w:tcPr>
            <w:tcW w:w="1042" w:type="pct"/>
            <w:vMerge/>
          </w:tcPr>
          <w:p w:rsidR="00CF151E" w:rsidRPr="006038FB" w:rsidRDefault="00CF151E" w:rsidP="009E3379">
            <w:pPr>
              <w:pStyle w:val="NoSpacing"/>
              <w:rPr>
                <w:sz w:val="20"/>
                <w:szCs w:val="20"/>
                <w:lang w:bidi="ar-EG"/>
              </w:rPr>
            </w:pP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6.199^</w:t>
            </w:r>
          </w:p>
        </w:tc>
        <w:tc>
          <w:tcPr>
            <w:tcW w:w="731" w:type="pct"/>
            <w:vMerge/>
          </w:tcPr>
          <w:p w:rsidR="00CF151E" w:rsidRPr="006038FB" w:rsidRDefault="00CF151E" w:rsidP="009E3379">
            <w:pPr>
              <w:pStyle w:val="NoSpacing"/>
              <w:jc w:val="center"/>
              <w:rPr>
                <w:sz w:val="20"/>
                <w:szCs w:val="20"/>
                <w:lang w:bidi="ar-EG"/>
              </w:rPr>
            </w:pP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13.96</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28.85</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24.24</w:t>
            </w:r>
          </w:p>
        </w:tc>
        <w:tc>
          <w:tcPr>
            <w:tcW w:w="1042" w:type="pct"/>
          </w:tcPr>
          <w:p w:rsidR="00CF151E" w:rsidRPr="006038FB" w:rsidRDefault="00CF151E" w:rsidP="009E3379">
            <w:pPr>
              <w:pStyle w:val="NoSpacing"/>
              <w:rPr>
                <w:sz w:val="20"/>
                <w:szCs w:val="20"/>
                <w:lang w:bidi="ar-EG"/>
              </w:rPr>
            </w:pPr>
            <w:r w:rsidRPr="006038FB">
              <w:rPr>
                <w:sz w:val="20"/>
                <w:szCs w:val="20"/>
                <w:lang w:bidi="ar-EG"/>
              </w:rPr>
              <w:t>Weight (kg)</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4.095</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21.12</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124.42</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18.19</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142.48</w:t>
            </w:r>
          </w:p>
        </w:tc>
        <w:tc>
          <w:tcPr>
            <w:tcW w:w="1042" w:type="pct"/>
          </w:tcPr>
          <w:p w:rsidR="00CF151E" w:rsidRPr="006038FB" w:rsidRDefault="00CF151E" w:rsidP="009E3379">
            <w:pPr>
              <w:pStyle w:val="NoSpacing"/>
              <w:rPr>
                <w:sz w:val="20"/>
                <w:szCs w:val="20"/>
                <w:lang w:bidi="ar-EG"/>
              </w:rPr>
            </w:pPr>
            <w:r w:rsidRPr="006038FB">
              <w:rPr>
                <w:sz w:val="20"/>
                <w:szCs w:val="20"/>
                <w:lang w:bidi="ar-EG"/>
              </w:rPr>
              <w:t>Height (cm)</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12.099</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2.68</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17.70</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5.87</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30.04</w:t>
            </w:r>
          </w:p>
        </w:tc>
        <w:tc>
          <w:tcPr>
            <w:tcW w:w="1042" w:type="pct"/>
          </w:tcPr>
          <w:p w:rsidR="00CF151E" w:rsidRPr="006038FB" w:rsidRDefault="00CF151E" w:rsidP="009E3379">
            <w:pPr>
              <w:pStyle w:val="NoSpacing"/>
              <w:rPr>
                <w:sz w:val="20"/>
                <w:szCs w:val="20"/>
                <w:lang w:bidi="ar-EG"/>
              </w:rPr>
            </w:pPr>
            <w:smartTag w:uri="urn:schemas-microsoft-com:office:smarttags" w:element="stockticker">
              <w:r w:rsidRPr="006038FB">
                <w:rPr>
                  <w:sz w:val="20"/>
                  <w:szCs w:val="20"/>
                  <w:lang w:bidi="ar-EG"/>
                </w:rPr>
                <w:t>BMI</w:t>
              </w:r>
            </w:smartTag>
            <w:r w:rsidRPr="006038FB">
              <w:rPr>
                <w:sz w:val="20"/>
                <w:szCs w:val="20"/>
                <w:lang w:bidi="ar-EG"/>
              </w:rPr>
              <w:t>(Kg/m2)</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9.286</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9.69</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59.60</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15.39</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86.30</w:t>
            </w:r>
          </w:p>
        </w:tc>
        <w:tc>
          <w:tcPr>
            <w:tcW w:w="1042" w:type="pct"/>
          </w:tcPr>
          <w:p w:rsidR="00CF151E" w:rsidRPr="006038FB" w:rsidRDefault="00CF151E" w:rsidP="009E3379">
            <w:pPr>
              <w:pStyle w:val="NoSpacing"/>
              <w:rPr>
                <w:sz w:val="20"/>
                <w:szCs w:val="20"/>
                <w:lang w:bidi="ar-EG"/>
              </w:rPr>
            </w:pPr>
            <w:r w:rsidRPr="006038FB">
              <w:rPr>
                <w:sz w:val="20"/>
                <w:szCs w:val="20"/>
                <w:lang w:bidi="ar-EG"/>
              </w:rPr>
              <w:t>WC (cm)</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8.544</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11.78</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68.15</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17.19</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96.30</w:t>
            </w:r>
          </w:p>
        </w:tc>
        <w:tc>
          <w:tcPr>
            <w:tcW w:w="1042" w:type="pct"/>
          </w:tcPr>
          <w:p w:rsidR="00CF151E" w:rsidRPr="006038FB" w:rsidRDefault="00CF151E" w:rsidP="009E3379">
            <w:pPr>
              <w:pStyle w:val="NoSpacing"/>
              <w:rPr>
                <w:sz w:val="20"/>
                <w:szCs w:val="20"/>
                <w:lang w:bidi="ar-EG"/>
              </w:rPr>
            </w:pPr>
            <w:r w:rsidRPr="006038FB">
              <w:rPr>
                <w:sz w:val="20"/>
                <w:szCs w:val="20"/>
                <w:lang w:bidi="ar-EG"/>
              </w:rPr>
              <w:t>HC (cm)</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0.226</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1.221</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0.06</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0.87</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0.13</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0.90</w:t>
            </w:r>
          </w:p>
        </w:tc>
        <w:tc>
          <w:tcPr>
            <w:tcW w:w="1042" w:type="pct"/>
          </w:tcPr>
          <w:p w:rsidR="00CF151E" w:rsidRPr="006038FB" w:rsidRDefault="00CF151E" w:rsidP="009E3379">
            <w:pPr>
              <w:pStyle w:val="NoSpacing"/>
              <w:rPr>
                <w:sz w:val="20"/>
                <w:szCs w:val="20"/>
                <w:lang w:bidi="ar-EG"/>
              </w:rPr>
            </w:pPr>
            <w:r w:rsidRPr="006038FB">
              <w:rPr>
                <w:sz w:val="20"/>
                <w:szCs w:val="20"/>
                <w:lang w:bidi="ar-EG"/>
              </w:rPr>
              <w:t>WHR</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7.964</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0.05</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0.48</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0.09</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0.61</w:t>
            </w:r>
          </w:p>
        </w:tc>
        <w:tc>
          <w:tcPr>
            <w:tcW w:w="1042" w:type="pct"/>
          </w:tcPr>
          <w:p w:rsidR="00CF151E" w:rsidRPr="006038FB" w:rsidRDefault="00CF151E" w:rsidP="009E3379">
            <w:pPr>
              <w:pStyle w:val="NoSpacing"/>
              <w:rPr>
                <w:sz w:val="20"/>
                <w:szCs w:val="20"/>
                <w:lang w:bidi="ar-EG"/>
              </w:rPr>
            </w:pPr>
            <w:proofErr w:type="spellStart"/>
            <w:r w:rsidRPr="006038FB">
              <w:rPr>
                <w:sz w:val="20"/>
                <w:szCs w:val="20"/>
                <w:lang w:bidi="ar-EG"/>
              </w:rPr>
              <w:t>WHtR</w:t>
            </w:r>
            <w:proofErr w:type="spellEnd"/>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9.562</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4.77</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11.80</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6.22</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26.88</w:t>
            </w:r>
          </w:p>
        </w:tc>
        <w:tc>
          <w:tcPr>
            <w:tcW w:w="1042" w:type="pct"/>
          </w:tcPr>
          <w:p w:rsidR="00CF151E" w:rsidRPr="006038FB" w:rsidRDefault="00CF151E" w:rsidP="009E3379">
            <w:pPr>
              <w:pStyle w:val="NoSpacing"/>
              <w:rPr>
                <w:sz w:val="20"/>
                <w:szCs w:val="20"/>
                <w:lang w:bidi="ar-EG"/>
              </w:rPr>
            </w:pPr>
            <w:proofErr w:type="spellStart"/>
            <w:r w:rsidRPr="006038FB">
              <w:rPr>
                <w:sz w:val="20"/>
                <w:szCs w:val="20"/>
                <w:lang w:bidi="ar-EG"/>
              </w:rPr>
              <w:t>Tr</w:t>
            </w:r>
            <w:proofErr w:type="spellEnd"/>
            <w:r w:rsidRPr="006038FB">
              <w:rPr>
                <w:sz w:val="20"/>
                <w:szCs w:val="20"/>
                <w:lang w:bidi="ar-EG"/>
              </w:rPr>
              <w:t xml:space="preserve"> (mm)</w:t>
            </w:r>
          </w:p>
        </w:tc>
      </w:tr>
      <w:tr w:rsidR="00CF151E" w:rsidRPr="006038FB" w:rsidTr="009E3379">
        <w:trPr>
          <w:trHeight w:val="63"/>
          <w:jc w:val="center"/>
        </w:trPr>
        <w:tc>
          <w:tcPr>
            <w:tcW w:w="789" w:type="pct"/>
          </w:tcPr>
          <w:p w:rsidR="00CF151E" w:rsidRPr="006038FB" w:rsidRDefault="00CF151E" w:rsidP="009E3379">
            <w:pPr>
              <w:pStyle w:val="NoSpacing"/>
              <w:jc w:val="center"/>
              <w:rPr>
                <w:sz w:val="20"/>
                <w:szCs w:val="20"/>
                <w:lang w:bidi="ar-EG"/>
              </w:rPr>
            </w:pPr>
            <w:r w:rsidRPr="006038FB">
              <w:rPr>
                <w:sz w:val="20"/>
                <w:szCs w:val="20"/>
                <w:lang w:bidi="ar-EG"/>
              </w:rPr>
              <w:t>0.000*</w:t>
            </w:r>
          </w:p>
        </w:tc>
        <w:tc>
          <w:tcPr>
            <w:tcW w:w="798" w:type="pct"/>
          </w:tcPr>
          <w:p w:rsidR="00CF151E" w:rsidRPr="006038FB" w:rsidRDefault="00CF151E" w:rsidP="009E3379">
            <w:pPr>
              <w:pStyle w:val="NoSpacing"/>
              <w:jc w:val="center"/>
              <w:rPr>
                <w:sz w:val="20"/>
                <w:szCs w:val="20"/>
                <w:lang w:bidi="ar-EG"/>
              </w:rPr>
            </w:pPr>
            <w:r w:rsidRPr="006038FB">
              <w:rPr>
                <w:sz w:val="20"/>
                <w:szCs w:val="20"/>
                <w:lang w:bidi="ar-EG"/>
              </w:rPr>
              <w:t>7.700^</w:t>
            </w:r>
          </w:p>
        </w:tc>
        <w:tc>
          <w:tcPr>
            <w:tcW w:w="731" w:type="pct"/>
          </w:tcPr>
          <w:p w:rsidR="00CF151E" w:rsidRPr="006038FB" w:rsidRDefault="00CF151E" w:rsidP="009E3379">
            <w:pPr>
              <w:pStyle w:val="NoSpacing"/>
              <w:jc w:val="center"/>
              <w:rPr>
                <w:sz w:val="20"/>
                <w:szCs w:val="20"/>
                <w:lang w:bidi="ar-EG"/>
              </w:rPr>
            </w:pPr>
            <w:r w:rsidRPr="006038FB">
              <w:rPr>
                <w:sz w:val="20"/>
                <w:szCs w:val="20"/>
                <w:lang w:bidi="ar-EG"/>
              </w:rPr>
              <w:t>4.20</w:t>
            </w:r>
          </w:p>
        </w:tc>
        <w:tc>
          <w:tcPr>
            <w:tcW w:w="625" w:type="pct"/>
          </w:tcPr>
          <w:p w:rsidR="00CF151E" w:rsidRPr="006038FB" w:rsidRDefault="00CF151E" w:rsidP="009E3379">
            <w:pPr>
              <w:pStyle w:val="NoSpacing"/>
              <w:jc w:val="center"/>
              <w:rPr>
                <w:sz w:val="20"/>
                <w:szCs w:val="20"/>
                <w:lang w:bidi="ar-EG"/>
              </w:rPr>
            </w:pPr>
            <w:r w:rsidRPr="006038FB">
              <w:rPr>
                <w:sz w:val="20"/>
                <w:szCs w:val="20"/>
                <w:lang w:bidi="ar-EG"/>
              </w:rPr>
              <w:t>8.65</w:t>
            </w:r>
          </w:p>
        </w:tc>
        <w:tc>
          <w:tcPr>
            <w:tcW w:w="427" w:type="pct"/>
          </w:tcPr>
          <w:p w:rsidR="00CF151E" w:rsidRPr="006038FB" w:rsidRDefault="00CF151E" w:rsidP="009E3379">
            <w:pPr>
              <w:pStyle w:val="NoSpacing"/>
              <w:jc w:val="center"/>
              <w:rPr>
                <w:sz w:val="20"/>
                <w:szCs w:val="20"/>
                <w:lang w:bidi="ar-EG"/>
              </w:rPr>
            </w:pPr>
            <w:r w:rsidRPr="006038FB">
              <w:rPr>
                <w:sz w:val="20"/>
                <w:szCs w:val="20"/>
                <w:lang w:bidi="ar-EG"/>
              </w:rPr>
              <w:t>5.10</w:t>
            </w:r>
          </w:p>
        </w:tc>
        <w:tc>
          <w:tcPr>
            <w:tcW w:w="588" w:type="pct"/>
          </w:tcPr>
          <w:p w:rsidR="00CF151E" w:rsidRPr="006038FB" w:rsidRDefault="00CF151E" w:rsidP="009E3379">
            <w:pPr>
              <w:pStyle w:val="NoSpacing"/>
              <w:jc w:val="center"/>
              <w:rPr>
                <w:sz w:val="20"/>
                <w:szCs w:val="20"/>
                <w:lang w:bidi="ar-EG"/>
              </w:rPr>
            </w:pPr>
            <w:r w:rsidRPr="006038FB">
              <w:rPr>
                <w:sz w:val="20"/>
                <w:szCs w:val="20"/>
                <w:lang w:bidi="ar-EG"/>
              </w:rPr>
              <w:t>25.30</w:t>
            </w:r>
          </w:p>
        </w:tc>
        <w:tc>
          <w:tcPr>
            <w:tcW w:w="1042" w:type="pct"/>
          </w:tcPr>
          <w:p w:rsidR="00CF151E" w:rsidRPr="006038FB" w:rsidRDefault="00CF151E" w:rsidP="009E3379">
            <w:pPr>
              <w:pStyle w:val="NoSpacing"/>
              <w:rPr>
                <w:sz w:val="20"/>
                <w:szCs w:val="20"/>
                <w:lang w:bidi="ar-EG"/>
              </w:rPr>
            </w:pPr>
            <w:r w:rsidRPr="006038FB">
              <w:rPr>
                <w:sz w:val="20"/>
                <w:szCs w:val="20"/>
                <w:lang w:bidi="ar-EG"/>
              </w:rPr>
              <w:t>Ss (mm)</w:t>
            </w:r>
          </w:p>
        </w:tc>
      </w:tr>
    </w:tbl>
    <w:p w:rsidR="0006274D" w:rsidRPr="006038FB" w:rsidRDefault="0006274D" w:rsidP="009E3379">
      <w:pPr>
        <w:ind w:firstLine="720"/>
        <w:rPr>
          <w:sz w:val="20"/>
          <w:szCs w:val="20"/>
          <w:lang w:bidi="ar-EG"/>
        </w:rPr>
        <w:sectPr w:rsidR="0006274D" w:rsidRPr="006038FB" w:rsidSect="0006274D">
          <w:footnotePr>
            <w:pos w:val="beneathText"/>
          </w:footnotePr>
          <w:type w:val="continuous"/>
          <w:pgSz w:w="12240" w:h="15840" w:code="1"/>
          <w:pgMar w:top="1418" w:right="1418" w:bottom="1418" w:left="1418" w:header="720" w:footer="720" w:gutter="0"/>
          <w:cols w:space="720"/>
          <w:docGrid w:linePitch="360"/>
        </w:sectPr>
      </w:pPr>
    </w:p>
    <w:p w:rsidR="00CF151E" w:rsidRPr="006038FB" w:rsidRDefault="00CF151E" w:rsidP="009E3379">
      <w:pPr>
        <w:rPr>
          <w:b/>
          <w:bCs/>
          <w:sz w:val="20"/>
          <w:szCs w:val="20"/>
          <w:lang w:bidi="ar-EG"/>
        </w:rPr>
      </w:pPr>
    </w:p>
    <w:p w:rsidR="00CF151E" w:rsidRPr="006038FB" w:rsidRDefault="00CF151E" w:rsidP="009E3379">
      <w:pPr>
        <w:rPr>
          <w:b/>
          <w:bCs/>
          <w:sz w:val="20"/>
          <w:szCs w:val="20"/>
          <w:lang w:bidi="ar-EG"/>
        </w:rPr>
      </w:pPr>
      <w:r w:rsidRPr="006038FB">
        <w:rPr>
          <w:b/>
          <w:bCs/>
          <w:sz w:val="20"/>
          <w:szCs w:val="20"/>
          <w:lang w:bidi="ar-EG"/>
        </w:rPr>
        <w:t>Table (3) :Comparison of blood pressure and ultrasound measurements between obese and control groups</w:t>
      </w: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1575"/>
        <w:gridCol w:w="1284"/>
        <w:gridCol w:w="1263"/>
        <w:gridCol w:w="1262"/>
        <w:gridCol w:w="1206"/>
        <w:gridCol w:w="1060"/>
        <w:gridCol w:w="1970"/>
      </w:tblGrid>
      <w:tr w:rsidR="00CF151E" w:rsidRPr="006038FB" w:rsidTr="009E3379">
        <w:trPr>
          <w:trHeight w:val="214"/>
        </w:trPr>
        <w:tc>
          <w:tcPr>
            <w:tcW w:w="818" w:type="pct"/>
            <w:vMerge w:val="restart"/>
            <w:shd w:val="clear" w:color="auto" w:fill="auto"/>
          </w:tcPr>
          <w:p w:rsidR="00CF151E" w:rsidRPr="006038FB" w:rsidRDefault="00CF151E" w:rsidP="009E3379">
            <w:pPr>
              <w:pStyle w:val="NoSpacing1"/>
              <w:bidi w:val="0"/>
              <w:rPr>
                <w:sz w:val="20"/>
                <w:szCs w:val="20"/>
                <w:lang w:bidi="ar-EG"/>
              </w:rPr>
            </w:pPr>
            <w:r w:rsidRPr="006038FB">
              <w:rPr>
                <w:i/>
                <w:iCs/>
                <w:sz w:val="20"/>
                <w:szCs w:val="20"/>
                <w:lang w:bidi="ar-EG"/>
              </w:rPr>
              <w:t>p</w:t>
            </w:r>
            <w:r w:rsidRPr="006038FB">
              <w:rPr>
                <w:sz w:val="20"/>
                <w:szCs w:val="20"/>
                <w:lang w:bidi="ar-EG"/>
              </w:rPr>
              <w:t>-value</w:t>
            </w:r>
          </w:p>
        </w:tc>
        <w:tc>
          <w:tcPr>
            <w:tcW w:w="667" w:type="pct"/>
            <w:vMerge w:val="restar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t/z^</w:t>
            </w:r>
          </w:p>
        </w:tc>
        <w:tc>
          <w:tcPr>
            <w:tcW w:w="1312" w:type="pct"/>
            <w:gridSpan w:val="2"/>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Control</w:t>
            </w:r>
          </w:p>
        </w:tc>
        <w:tc>
          <w:tcPr>
            <w:tcW w:w="1178" w:type="pct"/>
            <w:gridSpan w:val="2"/>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Obese</w:t>
            </w:r>
          </w:p>
        </w:tc>
        <w:tc>
          <w:tcPr>
            <w:tcW w:w="1024" w:type="pct"/>
            <w:vMerge w:val="restar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Parameters</w:t>
            </w:r>
          </w:p>
        </w:tc>
      </w:tr>
      <w:tr w:rsidR="00CF151E" w:rsidRPr="006038FB" w:rsidTr="009E3379">
        <w:trPr>
          <w:trHeight w:val="214"/>
        </w:trPr>
        <w:tc>
          <w:tcPr>
            <w:tcW w:w="818" w:type="pct"/>
            <w:vMerge/>
            <w:shd w:val="clear" w:color="auto" w:fill="auto"/>
          </w:tcPr>
          <w:p w:rsidR="00CF151E" w:rsidRPr="006038FB" w:rsidRDefault="00CF151E" w:rsidP="009E3379">
            <w:pPr>
              <w:pStyle w:val="NoSpacing1"/>
              <w:bidi w:val="0"/>
              <w:rPr>
                <w:sz w:val="20"/>
                <w:szCs w:val="20"/>
                <w:lang w:bidi="ar-EG"/>
              </w:rPr>
            </w:pPr>
          </w:p>
        </w:tc>
        <w:tc>
          <w:tcPr>
            <w:tcW w:w="667" w:type="pct"/>
            <w:vMerge/>
            <w:shd w:val="clear" w:color="auto" w:fill="auto"/>
          </w:tcPr>
          <w:p w:rsidR="00CF151E" w:rsidRPr="006038FB" w:rsidRDefault="00CF151E" w:rsidP="009E3379">
            <w:pPr>
              <w:pStyle w:val="NoSpacing1"/>
              <w:bidi w:val="0"/>
              <w:rPr>
                <w:sz w:val="20"/>
                <w:szCs w:val="20"/>
                <w:lang w:bidi="ar-EG"/>
              </w:rPr>
            </w:pPr>
          </w:p>
        </w:tc>
        <w:tc>
          <w:tcPr>
            <w:tcW w:w="656" w:type="pct"/>
            <w:vMerge w:val="restar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t/z^</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SD</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Mean</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SD</w:t>
            </w:r>
          </w:p>
        </w:tc>
        <w:tc>
          <w:tcPr>
            <w:tcW w:w="1024" w:type="pct"/>
            <w:vMerge/>
            <w:shd w:val="clear" w:color="auto" w:fill="auto"/>
          </w:tcPr>
          <w:p w:rsidR="00CF151E" w:rsidRPr="006038FB" w:rsidRDefault="00CF151E" w:rsidP="009E3379">
            <w:pPr>
              <w:pStyle w:val="NoSpacing1"/>
              <w:bidi w:val="0"/>
              <w:rPr>
                <w:sz w:val="20"/>
                <w:szCs w:val="20"/>
                <w:lang w:bidi="ar-EG"/>
              </w:rPr>
            </w:pP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 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7.917</w:t>
            </w:r>
          </w:p>
        </w:tc>
        <w:tc>
          <w:tcPr>
            <w:tcW w:w="656" w:type="pct"/>
            <w:vMerge/>
            <w:shd w:val="clear" w:color="auto" w:fill="auto"/>
          </w:tcPr>
          <w:p w:rsidR="00CF151E" w:rsidRPr="006038FB" w:rsidRDefault="00CF151E" w:rsidP="009E3379">
            <w:pPr>
              <w:pStyle w:val="NoSpacing1"/>
              <w:bidi w:val="0"/>
              <w:rPr>
                <w:sz w:val="20"/>
                <w:szCs w:val="20"/>
                <w:lang w:bidi="ar-EG"/>
              </w:rPr>
            </w:pP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13.95</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81.88</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21.07</w:t>
            </w:r>
          </w:p>
        </w:tc>
        <w:tc>
          <w:tcPr>
            <w:tcW w:w="1024"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 xml:space="preserve">Systolic </w:t>
            </w:r>
            <w:proofErr w:type="spellStart"/>
            <w:r w:rsidRPr="006038FB">
              <w:rPr>
                <w:sz w:val="20"/>
                <w:szCs w:val="20"/>
                <w:lang w:bidi="ar-EG"/>
              </w:rPr>
              <w:t>bl.Pr</w:t>
            </w:r>
            <w:proofErr w:type="spellEnd"/>
            <w:r w:rsidRPr="006038FB">
              <w:rPr>
                <w:sz w:val="20"/>
                <w:szCs w:val="20"/>
                <w:lang w:bidi="ar-EG"/>
              </w:rPr>
              <w:t xml:space="preserve">. </w:t>
            </w: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6.931</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10.14</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54.38</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11.59</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71.25</w:t>
            </w:r>
          </w:p>
        </w:tc>
        <w:tc>
          <w:tcPr>
            <w:tcW w:w="1024"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 xml:space="preserve">Diastolic bl. Pr. </w:t>
            </w:r>
          </w:p>
        </w:tc>
      </w:tr>
      <w:tr w:rsidR="00CF151E" w:rsidRPr="006038FB" w:rsidTr="009E3379">
        <w:trPr>
          <w:trHeight w:val="58"/>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9.991</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2.39</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5.37</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3.52</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12.10</w:t>
            </w:r>
          </w:p>
        </w:tc>
        <w:tc>
          <w:tcPr>
            <w:tcW w:w="1024" w:type="pct"/>
            <w:shd w:val="clear" w:color="auto" w:fill="auto"/>
          </w:tcPr>
          <w:p w:rsidR="00CF151E" w:rsidRPr="006038FB" w:rsidRDefault="00CF151E" w:rsidP="009E3379">
            <w:pPr>
              <w:pStyle w:val="NoSpacing1"/>
              <w:bidi w:val="0"/>
              <w:rPr>
                <w:sz w:val="20"/>
                <w:szCs w:val="20"/>
                <w:lang w:bidi="ar-EG"/>
              </w:rPr>
            </w:pPr>
            <w:proofErr w:type="spellStart"/>
            <w:r w:rsidRPr="006038FB">
              <w:rPr>
                <w:sz w:val="20"/>
                <w:szCs w:val="20"/>
                <w:lang w:bidi="ar-EG"/>
              </w:rPr>
              <w:t>Pmax</w:t>
            </w:r>
            <w:proofErr w:type="spellEnd"/>
            <w:r w:rsidRPr="006038FB">
              <w:rPr>
                <w:sz w:val="20"/>
                <w:szCs w:val="20"/>
                <w:lang w:bidi="ar-EG"/>
              </w:rPr>
              <w:t xml:space="preserve"> (mm)</w:t>
            </w: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7.092^</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1.44</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2.69</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2.71</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7.65</w:t>
            </w:r>
          </w:p>
        </w:tc>
        <w:tc>
          <w:tcPr>
            <w:tcW w:w="1024" w:type="pct"/>
            <w:shd w:val="clear" w:color="auto" w:fill="auto"/>
          </w:tcPr>
          <w:p w:rsidR="00CF151E" w:rsidRPr="006038FB" w:rsidRDefault="00CF151E" w:rsidP="009E3379">
            <w:pPr>
              <w:pStyle w:val="NoSpacing1"/>
              <w:bidi w:val="0"/>
              <w:rPr>
                <w:sz w:val="20"/>
                <w:szCs w:val="20"/>
                <w:lang w:bidi="ar-EG"/>
              </w:rPr>
            </w:pPr>
            <w:proofErr w:type="spellStart"/>
            <w:r w:rsidRPr="006038FB">
              <w:rPr>
                <w:sz w:val="20"/>
                <w:szCs w:val="20"/>
                <w:lang w:bidi="ar-EG"/>
              </w:rPr>
              <w:t>Pmin</w:t>
            </w:r>
            <w:proofErr w:type="spellEnd"/>
            <w:r w:rsidRPr="006038FB">
              <w:rPr>
                <w:sz w:val="20"/>
                <w:szCs w:val="20"/>
                <w:lang w:bidi="ar-EG"/>
              </w:rPr>
              <w:t xml:space="preserve"> (mm)</w:t>
            </w: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7.217^</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3.69</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5.67</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6.00</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19.24</w:t>
            </w:r>
          </w:p>
        </w:tc>
        <w:tc>
          <w:tcPr>
            <w:tcW w:w="1024" w:type="pct"/>
            <w:shd w:val="clear" w:color="auto" w:fill="auto"/>
          </w:tcPr>
          <w:p w:rsidR="00CF151E" w:rsidRPr="006038FB" w:rsidRDefault="00CF151E" w:rsidP="009E3379">
            <w:pPr>
              <w:pStyle w:val="NoSpacing1"/>
              <w:bidi w:val="0"/>
              <w:rPr>
                <w:sz w:val="20"/>
                <w:szCs w:val="20"/>
                <w:lang w:bidi="ar-EG"/>
              </w:rPr>
            </w:pPr>
            <w:proofErr w:type="spellStart"/>
            <w:r w:rsidRPr="006038FB">
              <w:rPr>
                <w:sz w:val="20"/>
                <w:szCs w:val="20"/>
                <w:lang w:bidi="ar-EG"/>
              </w:rPr>
              <w:t>Smax</w:t>
            </w:r>
            <w:proofErr w:type="spellEnd"/>
            <w:r w:rsidRPr="006038FB">
              <w:rPr>
                <w:sz w:val="20"/>
                <w:szCs w:val="20"/>
                <w:lang w:bidi="ar-EG"/>
              </w:rPr>
              <w:t>(mm)</w:t>
            </w: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7.116^</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2.55</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3.75</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5.50</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14.09</w:t>
            </w:r>
          </w:p>
        </w:tc>
        <w:tc>
          <w:tcPr>
            <w:tcW w:w="1024" w:type="pct"/>
            <w:shd w:val="clear" w:color="auto" w:fill="auto"/>
          </w:tcPr>
          <w:p w:rsidR="00CF151E" w:rsidRPr="006038FB" w:rsidRDefault="00CF151E" w:rsidP="009E3379">
            <w:pPr>
              <w:pStyle w:val="NoSpacing1"/>
              <w:bidi w:val="0"/>
              <w:rPr>
                <w:sz w:val="20"/>
                <w:szCs w:val="20"/>
                <w:lang w:bidi="ar-EG"/>
              </w:rPr>
            </w:pPr>
            <w:proofErr w:type="spellStart"/>
            <w:r w:rsidRPr="006038FB">
              <w:rPr>
                <w:sz w:val="20"/>
                <w:szCs w:val="20"/>
                <w:lang w:bidi="ar-EG"/>
              </w:rPr>
              <w:t>Smin</w:t>
            </w:r>
            <w:proofErr w:type="spellEnd"/>
            <w:r w:rsidRPr="006038FB">
              <w:rPr>
                <w:sz w:val="20"/>
                <w:szCs w:val="20"/>
                <w:lang w:bidi="ar-EG"/>
              </w:rPr>
              <w:t xml:space="preserve"> (mm)</w:t>
            </w:r>
          </w:p>
        </w:tc>
      </w:tr>
      <w:tr w:rsidR="00CF151E" w:rsidRPr="006038FB" w:rsidTr="009E3379">
        <w:trPr>
          <w:trHeight w:val="58"/>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6.149^</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12.14</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19.73</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19.16</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45.93</w:t>
            </w:r>
          </w:p>
        </w:tc>
        <w:tc>
          <w:tcPr>
            <w:tcW w:w="1024"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V (mm)</w:t>
            </w:r>
          </w:p>
        </w:tc>
      </w:tr>
      <w:tr w:rsidR="00CF151E" w:rsidRPr="006038FB" w:rsidTr="009E3379">
        <w:trPr>
          <w:trHeight w:val="214"/>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7.092^</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1.60</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2.93</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4.44</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10.07</w:t>
            </w:r>
          </w:p>
        </w:tc>
        <w:tc>
          <w:tcPr>
            <w:tcW w:w="1024" w:type="pct"/>
            <w:shd w:val="clear" w:color="auto" w:fill="auto"/>
          </w:tcPr>
          <w:p w:rsidR="00CF151E" w:rsidRPr="006038FB" w:rsidRDefault="00CF151E" w:rsidP="009E3379">
            <w:pPr>
              <w:pStyle w:val="NoSpacing1"/>
              <w:bidi w:val="0"/>
              <w:rPr>
                <w:sz w:val="20"/>
                <w:szCs w:val="20"/>
                <w:lang w:bidi="ar-EG"/>
              </w:rPr>
            </w:pPr>
            <w:proofErr w:type="spellStart"/>
            <w:r w:rsidRPr="006038FB">
              <w:rPr>
                <w:sz w:val="20"/>
                <w:szCs w:val="20"/>
                <w:lang w:bidi="ar-EG"/>
              </w:rPr>
              <w:t>Tr</w:t>
            </w:r>
            <w:proofErr w:type="spellEnd"/>
            <w:r w:rsidRPr="006038FB">
              <w:rPr>
                <w:sz w:val="20"/>
                <w:szCs w:val="20"/>
                <w:lang w:bidi="ar-EG"/>
              </w:rPr>
              <w:t xml:space="preserve"> US (mm)</w:t>
            </w:r>
          </w:p>
        </w:tc>
      </w:tr>
      <w:tr w:rsidR="00CF151E" w:rsidRPr="006038FB" w:rsidTr="009E3379">
        <w:trPr>
          <w:trHeight w:val="58"/>
        </w:trPr>
        <w:tc>
          <w:tcPr>
            <w:tcW w:w="818"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0.000*</w:t>
            </w:r>
          </w:p>
        </w:tc>
        <w:tc>
          <w:tcPr>
            <w:tcW w:w="66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6.924^</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1.87</w:t>
            </w:r>
          </w:p>
        </w:tc>
        <w:tc>
          <w:tcPr>
            <w:tcW w:w="656"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2.36</w:t>
            </w:r>
          </w:p>
        </w:tc>
        <w:tc>
          <w:tcPr>
            <w:tcW w:w="627"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5.21</w:t>
            </w:r>
          </w:p>
        </w:tc>
        <w:tc>
          <w:tcPr>
            <w:tcW w:w="551"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9.10</w:t>
            </w:r>
          </w:p>
        </w:tc>
        <w:tc>
          <w:tcPr>
            <w:tcW w:w="1024" w:type="pct"/>
            <w:shd w:val="clear" w:color="auto" w:fill="auto"/>
          </w:tcPr>
          <w:p w:rsidR="00CF151E" w:rsidRPr="006038FB" w:rsidRDefault="00CF151E" w:rsidP="009E3379">
            <w:pPr>
              <w:pStyle w:val="NoSpacing1"/>
              <w:bidi w:val="0"/>
              <w:rPr>
                <w:sz w:val="20"/>
                <w:szCs w:val="20"/>
                <w:lang w:bidi="ar-EG"/>
              </w:rPr>
            </w:pPr>
            <w:r w:rsidRPr="006038FB">
              <w:rPr>
                <w:sz w:val="20"/>
                <w:szCs w:val="20"/>
                <w:lang w:bidi="ar-EG"/>
              </w:rPr>
              <w:t>SS US (mm)</w:t>
            </w:r>
          </w:p>
        </w:tc>
      </w:tr>
    </w:tbl>
    <w:p w:rsidR="00CF151E" w:rsidRPr="006038FB" w:rsidRDefault="00CF151E" w:rsidP="009E3379">
      <w:pPr>
        <w:rPr>
          <w:sz w:val="20"/>
          <w:szCs w:val="20"/>
          <w:lang w:bidi="ar-EG"/>
        </w:rPr>
      </w:pPr>
    </w:p>
    <w:p w:rsidR="00CF151E" w:rsidRPr="004B147B" w:rsidRDefault="00CF151E" w:rsidP="009E3379">
      <w:pPr>
        <w:pStyle w:val="NoSpacing"/>
        <w:rPr>
          <w:bCs/>
          <w:sz w:val="20"/>
          <w:szCs w:val="20"/>
          <w:lang w:bidi="ar-EG"/>
        </w:rPr>
      </w:pPr>
      <w:r w:rsidRPr="004B147B">
        <w:rPr>
          <w:bCs/>
          <w:sz w:val="20"/>
          <w:szCs w:val="20"/>
          <w:lang w:bidi="ar-EG"/>
        </w:rPr>
        <w:t>Table (4):</w:t>
      </w:r>
      <w:r w:rsidR="004B147B" w:rsidRPr="004B147B">
        <w:rPr>
          <w:bCs/>
          <w:sz w:val="20"/>
          <w:szCs w:val="20"/>
          <w:lang w:bidi="ar-EG"/>
        </w:rPr>
        <w:t xml:space="preserve"> </w:t>
      </w:r>
      <w:r w:rsidRPr="004B147B">
        <w:rPr>
          <w:bCs/>
          <w:sz w:val="20"/>
          <w:szCs w:val="20"/>
          <w:lang w:bidi="ar-EG"/>
        </w:rPr>
        <w:t>Correlation between anthropometry and US measurements in the obese group</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807"/>
        <w:gridCol w:w="633"/>
        <w:gridCol w:w="806"/>
        <w:gridCol w:w="633"/>
        <w:gridCol w:w="631"/>
        <w:gridCol w:w="691"/>
        <w:gridCol w:w="806"/>
        <w:gridCol w:w="633"/>
        <w:gridCol w:w="806"/>
        <w:gridCol w:w="633"/>
        <w:gridCol w:w="806"/>
        <w:gridCol w:w="633"/>
        <w:gridCol w:w="1102"/>
      </w:tblGrid>
      <w:tr w:rsidR="00CF151E" w:rsidRPr="004B147B" w:rsidTr="004B147B">
        <w:trPr>
          <w:trHeight w:val="171"/>
          <w:jc w:val="center"/>
        </w:trPr>
        <w:tc>
          <w:tcPr>
            <w:tcW w:w="748" w:type="pct"/>
            <w:gridSpan w:val="2"/>
            <w:shd w:val="clear" w:color="auto" w:fill="auto"/>
          </w:tcPr>
          <w:p w:rsidR="00CF151E" w:rsidRPr="004B147B" w:rsidRDefault="00CF151E" w:rsidP="009E3379">
            <w:pPr>
              <w:pStyle w:val="NoSpacing"/>
              <w:rPr>
                <w:sz w:val="18"/>
                <w:szCs w:val="18"/>
                <w:lang w:bidi="ar-EG"/>
              </w:rPr>
            </w:pPr>
            <w:r w:rsidRPr="004B147B">
              <w:rPr>
                <w:sz w:val="18"/>
                <w:szCs w:val="18"/>
                <w:lang w:bidi="ar-EG"/>
              </w:rPr>
              <w:t>WC (cm)</w:t>
            </w:r>
          </w:p>
        </w:tc>
        <w:tc>
          <w:tcPr>
            <w:tcW w:w="748" w:type="pct"/>
            <w:gridSpan w:val="2"/>
            <w:shd w:val="clear" w:color="auto" w:fill="auto"/>
          </w:tcPr>
          <w:p w:rsidR="00CF151E" w:rsidRPr="004B147B" w:rsidRDefault="00CF151E" w:rsidP="009E3379">
            <w:pPr>
              <w:pStyle w:val="NoSpacing"/>
              <w:rPr>
                <w:sz w:val="18"/>
                <w:szCs w:val="18"/>
                <w:lang w:bidi="ar-EG"/>
              </w:rPr>
            </w:pPr>
            <w:proofErr w:type="spellStart"/>
            <w:r w:rsidRPr="004B147B">
              <w:rPr>
                <w:sz w:val="18"/>
                <w:szCs w:val="18"/>
                <w:lang w:bidi="ar-EG"/>
              </w:rPr>
              <w:t>WHt</w:t>
            </w:r>
            <w:proofErr w:type="spellEnd"/>
            <w:r w:rsidRPr="004B147B">
              <w:rPr>
                <w:sz w:val="18"/>
                <w:szCs w:val="18"/>
                <w:lang w:bidi="ar-EG"/>
              </w:rPr>
              <w:t xml:space="preserve"> R</w:t>
            </w:r>
          </w:p>
        </w:tc>
        <w:tc>
          <w:tcPr>
            <w:tcW w:w="687" w:type="pct"/>
            <w:gridSpan w:val="2"/>
            <w:shd w:val="clear" w:color="auto" w:fill="auto"/>
          </w:tcPr>
          <w:p w:rsidR="00CF151E" w:rsidRPr="004B147B" w:rsidRDefault="00CF151E" w:rsidP="009E3379">
            <w:pPr>
              <w:pStyle w:val="NoSpacing"/>
              <w:rPr>
                <w:sz w:val="18"/>
                <w:szCs w:val="18"/>
                <w:lang w:bidi="ar-EG"/>
              </w:rPr>
            </w:pPr>
            <w:r w:rsidRPr="004B147B">
              <w:rPr>
                <w:sz w:val="18"/>
                <w:szCs w:val="18"/>
                <w:lang w:bidi="ar-EG"/>
              </w:rPr>
              <w:t>WHR</w:t>
            </w:r>
          </w:p>
        </w:tc>
        <w:tc>
          <w:tcPr>
            <w:tcW w:w="748" w:type="pct"/>
            <w:gridSpan w:val="2"/>
            <w:shd w:val="clear" w:color="auto" w:fill="auto"/>
          </w:tcPr>
          <w:p w:rsidR="00CF151E" w:rsidRPr="004B147B" w:rsidRDefault="00CF151E" w:rsidP="009E3379">
            <w:pPr>
              <w:pStyle w:val="NoSpacing"/>
              <w:rPr>
                <w:sz w:val="18"/>
                <w:szCs w:val="18"/>
                <w:lang w:bidi="ar-EG"/>
              </w:rPr>
            </w:pPr>
            <w:r w:rsidRPr="004B147B">
              <w:rPr>
                <w:sz w:val="18"/>
                <w:szCs w:val="18"/>
                <w:lang w:bidi="ar-EG"/>
              </w:rPr>
              <w:t>SS (mm)</w:t>
            </w:r>
          </w:p>
        </w:tc>
        <w:tc>
          <w:tcPr>
            <w:tcW w:w="748" w:type="pct"/>
            <w:gridSpan w:val="2"/>
            <w:shd w:val="clear" w:color="auto" w:fill="auto"/>
          </w:tcPr>
          <w:p w:rsidR="00CF151E" w:rsidRPr="004B147B" w:rsidRDefault="00CF151E" w:rsidP="009E3379">
            <w:pPr>
              <w:pStyle w:val="NoSpacing"/>
              <w:rPr>
                <w:sz w:val="18"/>
                <w:szCs w:val="18"/>
                <w:lang w:bidi="ar-EG"/>
              </w:rPr>
            </w:pPr>
            <w:proofErr w:type="spellStart"/>
            <w:r w:rsidRPr="004B147B">
              <w:rPr>
                <w:sz w:val="18"/>
                <w:szCs w:val="18"/>
                <w:lang w:bidi="ar-EG"/>
              </w:rPr>
              <w:t>Tr</w:t>
            </w:r>
            <w:proofErr w:type="spellEnd"/>
            <w:r w:rsidRPr="004B147B">
              <w:rPr>
                <w:sz w:val="18"/>
                <w:szCs w:val="18"/>
                <w:lang w:bidi="ar-EG"/>
              </w:rPr>
              <w:t xml:space="preserve"> (mm)</w:t>
            </w:r>
          </w:p>
        </w:tc>
        <w:tc>
          <w:tcPr>
            <w:tcW w:w="748" w:type="pct"/>
            <w:gridSpan w:val="2"/>
            <w:shd w:val="clear" w:color="auto" w:fill="auto"/>
          </w:tcPr>
          <w:p w:rsidR="00CF151E" w:rsidRPr="004B147B" w:rsidRDefault="00CF151E" w:rsidP="009E3379">
            <w:pPr>
              <w:pStyle w:val="NoSpacing"/>
              <w:rPr>
                <w:sz w:val="18"/>
                <w:szCs w:val="18"/>
                <w:lang w:bidi="ar-EG"/>
              </w:rPr>
            </w:pPr>
            <w:smartTag w:uri="urn:schemas-microsoft-com:office:smarttags" w:element="stockticker">
              <w:r w:rsidRPr="004B147B">
                <w:rPr>
                  <w:sz w:val="18"/>
                  <w:szCs w:val="18"/>
                  <w:lang w:bidi="ar-EG"/>
                </w:rPr>
                <w:t>BMI</w:t>
              </w:r>
            </w:smartTag>
            <w:r w:rsidRPr="004B147B">
              <w:rPr>
                <w:sz w:val="18"/>
                <w:szCs w:val="18"/>
                <w:lang w:bidi="ar-EG"/>
              </w:rPr>
              <w:t xml:space="preserve"> (kg/m2)</w:t>
            </w:r>
          </w:p>
        </w:tc>
        <w:tc>
          <w:tcPr>
            <w:tcW w:w="574" w:type="pct"/>
            <w:vMerge w:val="restart"/>
            <w:shd w:val="clear" w:color="auto" w:fill="auto"/>
          </w:tcPr>
          <w:p w:rsidR="00CF151E" w:rsidRPr="004B147B" w:rsidRDefault="00CF151E" w:rsidP="009E3379">
            <w:pPr>
              <w:pStyle w:val="NoSpacing"/>
              <w:rPr>
                <w:sz w:val="18"/>
                <w:szCs w:val="18"/>
                <w:lang w:bidi="ar-EG"/>
              </w:rPr>
            </w:pPr>
          </w:p>
        </w:tc>
      </w:tr>
      <w:tr w:rsidR="0006274D" w:rsidRPr="004B147B" w:rsidTr="004B147B">
        <w:trPr>
          <w:trHeight w:val="171"/>
          <w:jc w:val="center"/>
        </w:trPr>
        <w:tc>
          <w:tcPr>
            <w:tcW w:w="419" w:type="pct"/>
            <w:shd w:val="clear" w:color="auto" w:fill="auto"/>
          </w:tcPr>
          <w:p w:rsidR="00CF151E" w:rsidRPr="004B147B" w:rsidRDefault="00CF151E" w:rsidP="009E3379">
            <w:pPr>
              <w:pStyle w:val="NoSpacing"/>
              <w:rPr>
                <w:sz w:val="18"/>
                <w:szCs w:val="18"/>
                <w:lang w:bidi="ar-EG"/>
              </w:rPr>
            </w:pPr>
            <w:r w:rsidRPr="004B147B">
              <w:rPr>
                <w:i/>
                <w:iCs/>
                <w:sz w:val="18"/>
                <w:szCs w:val="18"/>
                <w:lang w:bidi="ar-EG"/>
              </w:rPr>
              <w:t>p</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419" w:type="pct"/>
            <w:shd w:val="clear" w:color="auto" w:fill="auto"/>
          </w:tcPr>
          <w:p w:rsidR="00CF151E" w:rsidRPr="004B147B" w:rsidRDefault="00CF151E" w:rsidP="009E3379">
            <w:pPr>
              <w:pStyle w:val="NoSpacing"/>
              <w:rPr>
                <w:sz w:val="18"/>
                <w:szCs w:val="18"/>
                <w:lang w:bidi="ar-EG"/>
              </w:rPr>
            </w:pPr>
            <w:r w:rsidRPr="004B147B">
              <w:rPr>
                <w:i/>
                <w:iCs/>
                <w:sz w:val="18"/>
                <w:szCs w:val="18"/>
                <w:lang w:bidi="ar-EG"/>
              </w:rPr>
              <w:t>p</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328" w:type="pct"/>
            <w:shd w:val="clear" w:color="auto" w:fill="auto"/>
          </w:tcPr>
          <w:p w:rsidR="00CF151E" w:rsidRPr="004B147B" w:rsidRDefault="00CF151E" w:rsidP="009E3379">
            <w:pPr>
              <w:pStyle w:val="NoSpacing"/>
              <w:rPr>
                <w:sz w:val="18"/>
                <w:szCs w:val="18"/>
                <w:lang w:bidi="ar-EG"/>
              </w:rPr>
            </w:pPr>
            <w:r w:rsidRPr="004B147B">
              <w:rPr>
                <w:i/>
                <w:iCs/>
                <w:sz w:val="18"/>
                <w:szCs w:val="18"/>
                <w:lang w:bidi="ar-EG"/>
              </w:rPr>
              <w:t>p</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419" w:type="pct"/>
            <w:shd w:val="clear" w:color="auto" w:fill="auto"/>
          </w:tcPr>
          <w:p w:rsidR="00CF151E" w:rsidRPr="004B147B" w:rsidRDefault="00CF151E" w:rsidP="009E3379">
            <w:pPr>
              <w:pStyle w:val="NoSpacing"/>
              <w:rPr>
                <w:sz w:val="18"/>
                <w:szCs w:val="18"/>
                <w:lang w:bidi="ar-EG"/>
              </w:rPr>
            </w:pPr>
            <w:r w:rsidRPr="004B147B">
              <w:rPr>
                <w:i/>
                <w:iCs/>
                <w:sz w:val="18"/>
                <w:szCs w:val="18"/>
                <w:lang w:bidi="ar-EG"/>
              </w:rPr>
              <w:t>p</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419" w:type="pct"/>
            <w:shd w:val="clear" w:color="auto" w:fill="auto"/>
          </w:tcPr>
          <w:p w:rsidR="00CF151E" w:rsidRPr="004B147B" w:rsidRDefault="00CF151E" w:rsidP="009E3379">
            <w:pPr>
              <w:pStyle w:val="NoSpacing"/>
              <w:rPr>
                <w:sz w:val="18"/>
                <w:szCs w:val="18"/>
                <w:lang w:bidi="ar-EG"/>
              </w:rPr>
            </w:pPr>
            <w:r w:rsidRPr="004B147B">
              <w:rPr>
                <w:i/>
                <w:iCs/>
                <w:sz w:val="18"/>
                <w:szCs w:val="18"/>
                <w:lang w:bidi="ar-EG"/>
              </w:rPr>
              <w:t>p</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419" w:type="pct"/>
            <w:shd w:val="clear" w:color="auto" w:fill="auto"/>
          </w:tcPr>
          <w:p w:rsidR="00CF151E" w:rsidRPr="004B147B" w:rsidRDefault="00CF151E" w:rsidP="009E3379">
            <w:pPr>
              <w:pStyle w:val="NoSpacing"/>
              <w:rPr>
                <w:i/>
                <w:iCs/>
                <w:sz w:val="18"/>
                <w:szCs w:val="18"/>
                <w:lang w:bidi="ar-EG"/>
              </w:rPr>
            </w:pPr>
            <w:r w:rsidRPr="004B147B">
              <w:rPr>
                <w:i/>
                <w:iCs/>
                <w:sz w:val="18"/>
                <w:szCs w:val="18"/>
                <w:lang w:bidi="ar-EG"/>
              </w:rPr>
              <w:t>p</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R</w:t>
            </w:r>
          </w:p>
        </w:tc>
        <w:tc>
          <w:tcPr>
            <w:tcW w:w="574" w:type="pct"/>
            <w:vMerge/>
            <w:shd w:val="clear" w:color="auto" w:fill="auto"/>
          </w:tcPr>
          <w:p w:rsidR="00CF151E" w:rsidRPr="004B147B" w:rsidRDefault="00CF151E" w:rsidP="009E3379">
            <w:pPr>
              <w:pStyle w:val="NoSpacing"/>
              <w:rPr>
                <w:sz w:val="18"/>
                <w:szCs w:val="18"/>
                <w:lang w:bidi="ar-EG"/>
              </w:rPr>
            </w:pP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0.625</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0.173</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0.220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0.78</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-0.046</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0.043*</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0.322</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0.005**</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0.434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0.002**</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rPr>
              <w:t>0.483</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Pmax</w:t>
            </w:r>
            <w:proofErr w:type="spellEnd"/>
            <w:r w:rsidRPr="004B147B">
              <w:rPr>
                <w:sz w:val="18"/>
                <w:szCs w:val="18"/>
                <w:lang w:bidi="ar-EG"/>
              </w:rPr>
              <w:t xml:space="preserve"> </w:t>
            </w:r>
            <w:r w:rsidR="00CF151E" w:rsidRPr="004B147B">
              <w:rPr>
                <w:sz w:val="18"/>
                <w:szCs w:val="18"/>
                <w:lang w:bidi="ar-EG"/>
              </w:rPr>
              <w:t>(mm)</w:t>
            </w: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0.001**</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0.495</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0.193</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0.210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0.934</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-0.014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0.083</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0.277</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0.075</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0.285</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0.561</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Pmin</w:t>
            </w:r>
            <w:proofErr w:type="spellEnd"/>
            <w:r w:rsidR="004B147B" w:rsidRPr="004B147B">
              <w:rPr>
                <w:sz w:val="18"/>
                <w:szCs w:val="18"/>
                <w:lang w:bidi="ar-EG"/>
              </w:rPr>
              <w:t xml:space="preserve"> </w:t>
            </w:r>
            <w:r w:rsidR="00CF151E" w:rsidRPr="004B147B">
              <w:rPr>
                <w:sz w:val="18"/>
                <w:szCs w:val="18"/>
                <w:lang w:bidi="ar-EG"/>
              </w:rPr>
              <w:t>(mm)</w:t>
            </w: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0.654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0.140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0.237</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0.311</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-0.164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0.002**</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0.481</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0.001**</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0.509</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0.778</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Smax</w:t>
            </w:r>
            <w:proofErr w:type="spellEnd"/>
            <w:r w:rsidR="004B147B" w:rsidRPr="004B147B">
              <w:rPr>
                <w:sz w:val="18"/>
                <w:szCs w:val="18"/>
                <w:lang w:bidi="ar-EG"/>
              </w:rPr>
              <w:t xml:space="preserve"> </w:t>
            </w:r>
            <w:r w:rsidR="00CF151E" w:rsidRPr="004B147B">
              <w:rPr>
                <w:sz w:val="18"/>
                <w:szCs w:val="18"/>
                <w:lang w:bidi="ar-EG"/>
              </w:rPr>
              <w:t>(mm)</w:t>
            </w: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0.033*</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0.338</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0.860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0.029</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0.058</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-0.303</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0.045*</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0.319</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0.021*</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0.364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0.57</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Smin</w:t>
            </w:r>
            <w:proofErr w:type="spellEnd"/>
            <w:r w:rsidR="004B147B" w:rsidRPr="004B147B">
              <w:rPr>
                <w:sz w:val="18"/>
                <w:szCs w:val="18"/>
                <w:lang w:bidi="ar-EG"/>
              </w:rPr>
              <w:t xml:space="preserve"> </w:t>
            </w:r>
            <w:r w:rsidR="00CF151E" w:rsidRPr="004B147B">
              <w:rPr>
                <w:sz w:val="18"/>
                <w:szCs w:val="18"/>
                <w:lang w:bidi="ar-EG"/>
              </w:rPr>
              <w:t>(mm)</w:t>
            </w: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0.019*</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0.368</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0.535</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0.392</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0.139</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0.67</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0.07</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0.638</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0.077</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0.002**</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0.477</w:t>
            </w:r>
          </w:p>
        </w:tc>
        <w:tc>
          <w:tcPr>
            <w:tcW w:w="574" w:type="pct"/>
            <w:shd w:val="clear" w:color="auto" w:fill="auto"/>
          </w:tcPr>
          <w:p w:rsidR="00CF151E" w:rsidRPr="004B147B" w:rsidRDefault="0006274D" w:rsidP="009E3379">
            <w:pPr>
              <w:pStyle w:val="NoSpacing"/>
              <w:rPr>
                <w:sz w:val="18"/>
                <w:szCs w:val="18"/>
                <w:lang w:bidi="ar-EG"/>
              </w:rPr>
            </w:pPr>
            <w:r w:rsidRPr="004B147B">
              <w:rPr>
                <w:sz w:val="18"/>
                <w:szCs w:val="18"/>
                <w:lang w:bidi="ar-EG"/>
              </w:rPr>
              <w:t>V</w:t>
            </w:r>
            <w:r w:rsidR="004B147B" w:rsidRPr="004B147B">
              <w:rPr>
                <w:sz w:val="18"/>
                <w:szCs w:val="18"/>
                <w:lang w:bidi="ar-EG"/>
              </w:rPr>
              <w:t xml:space="preserve"> </w:t>
            </w:r>
            <w:r w:rsidR="00CF151E" w:rsidRPr="004B147B">
              <w:rPr>
                <w:sz w:val="18"/>
                <w:szCs w:val="18"/>
                <w:lang w:bidi="ar-EG"/>
              </w:rPr>
              <w:t>(mm)</w:t>
            </w:r>
          </w:p>
        </w:tc>
      </w:tr>
      <w:tr w:rsidR="0006274D" w:rsidRPr="004B147B" w:rsidTr="004B147B">
        <w:trPr>
          <w:trHeight w:val="273"/>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0.001**</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0.508</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0.039*</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0.328</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0.191</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-0.211</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0.046*</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0.317</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0.589</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0.81</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Tr</w:t>
            </w:r>
            <w:proofErr w:type="spellEnd"/>
            <w:r w:rsidRPr="004B147B">
              <w:rPr>
                <w:sz w:val="18"/>
                <w:szCs w:val="18"/>
                <w:lang w:bidi="ar-EG"/>
              </w:rPr>
              <w:t xml:space="preserve"> US</w:t>
            </w:r>
            <w:r w:rsidR="004B147B" w:rsidRPr="004B147B">
              <w:rPr>
                <w:sz w:val="18"/>
                <w:szCs w:val="18"/>
                <w:lang w:bidi="ar-EG"/>
              </w:rPr>
              <w:t xml:space="preserve"> </w:t>
            </w:r>
            <w:r w:rsidR="00CF151E" w:rsidRPr="004B147B">
              <w:rPr>
                <w:sz w:val="18"/>
                <w:szCs w:val="18"/>
                <w:lang w:bidi="ar-EG"/>
              </w:rPr>
              <w:t>(mm)</w:t>
            </w:r>
          </w:p>
        </w:tc>
      </w:tr>
      <w:tr w:rsidR="0006274D" w:rsidRPr="004B147B" w:rsidTr="009E3379">
        <w:trPr>
          <w:trHeight w:val="58"/>
          <w:jc w:val="center"/>
        </w:trPr>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0.544</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0.535</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0.9</w:t>
            </w:r>
          </w:p>
        </w:tc>
        <w:tc>
          <w:tcPr>
            <w:tcW w:w="35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0.021</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0.04*</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0.327</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0.067</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0.293</w:t>
            </w:r>
          </w:p>
        </w:tc>
        <w:tc>
          <w:tcPr>
            <w:tcW w:w="419" w:type="pct"/>
            <w:shd w:val="clear" w:color="auto" w:fill="auto"/>
          </w:tcPr>
          <w:p w:rsidR="00CF151E" w:rsidRPr="004B147B" w:rsidRDefault="00CF151E" w:rsidP="009E3379">
            <w:pPr>
              <w:pStyle w:val="NoSpacing"/>
              <w:rPr>
                <w:sz w:val="18"/>
                <w:szCs w:val="18"/>
                <w:lang w:bidi="ar-EG"/>
              </w:rPr>
            </w:pPr>
            <w:r w:rsidRPr="004B147B">
              <w:rPr>
                <w:sz w:val="18"/>
                <w:szCs w:val="18"/>
                <w:lang w:bidi="ar-EG"/>
              </w:rPr>
              <w:t>0.000**</w:t>
            </w:r>
          </w:p>
        </w:tc>
        <w:tc>
          <w:tcPr>
            <w:tcW w:w="328" w:type="pct"/>
            <w:shd w:val="clear" w:color="auto" w:fill="auto"/>
          </w:tcPr>
          <w:p w:rsidR="00CF151E" w:rsidRPr="004B147B" w:rsidRDefault="00CF151E" w:rsidP="009E3379">
            <w:pPr>
              <w:pStyle w:val="NoSpacing"/>
              <w:rPr>
                <w:sz w:val="18"/>
                <w:szCs w:val="18"/>
                <w:lang w:bidi="ar-EG"/>
              </w:rPr>
            </w:pPr>
            <w:r w:rsidRPr="004B147B">
              <w:rPr>
                <w:sz w:val="18"/>
                <w:szCs w:val="18"/>
                <w:lang w:bidi="ar-EG"/>
              </w:rPr>
              <w:t>0.644</w:t>
            </w:r>
          </w:p>
        </w:tc>
        <w:tc>
          <w:tcPr>
            <w:tcW w:w="574" w:type="pct"/>
            <w:shd w:val="clear" w:color="auto" w:fill="auto"/>
          </w:tcPr>
          <w:p w:rsidR="00CF151E" w:rsidRPr="004B147B" w:rsidRDefault="0006274D" w:rsidP="009E3379">
            <w:pPr>
              <w:pStyle w:val="NoSpacing"/>
              <w:rPr>
                <w:sz w:val="18"/>
                <w:szCs w:val="18"/>
                <w:lang w:bidi="ar-EG"/>
              </w:rPr>
            </w:pPr>
            <w:proofErr w:type="spellStart"/>
            <w:r w:rsidRPr="004B147B">
              <w:rPr>
                <w:sz w:val="18"/>
                <w:szCs w:val="18"/>
                <w:lang w:bidi="ar-EG"/>
              </w:rPr>
              <w:t>SSUs</w:t>
            </w:r>
            <w:proofErr w:type="spellEnd"/>
            <w:r w:rsidR="004B147B" w:rsidRPr="004B147B">
              <w:rPr>
                <w:sz w:val="18"/>
                <w:szCs w:val="18"/>
                <w:lang w:bidi="ar-EG"/>
              </w:rPr>
              <w:t xml:space="preserve"> </w:t>
            </w:r>
            <w:r w:rsidR="00CF151E" w:rsidRPr="004B147B">
              <w:rPr>
                <w:sz w:val="18"/>
                <w:szCs w:val="18"/>
                <w:lang w:bidi="ar-EG"/>
              </w:rPr>
              <w:t>(mm)</w:t>
            </w:r>
          </w:p>
        </w:tc>
      </w:tr>
    </w:tbl>
    <w:p w:rsidR="0006274D" w:rsidRPr="004B147B" w:rsidRDefault="0006274D" w:rsidP="009E3379">
      <w:pPr>
        <w:jc w:val="both"/>
        <w:rPr>
          <w:sz w:val="20"/>
          <w:szCs w:val="20"/>
          <w:lang w:bidi="ar-EG"/>
        </w:rPr>
        <w:sectPr w:rsidR="0006274D" w:rsidRPr="004B147B" w:rsidSect="004B147B">
          <w:footnotePr>
            <w:pos w:val="beneathText"/>
          </w:footnotePr>
          <w:type w:val="continuous"/>
          <w:pgSz w:w="12240" w:h="15840" w:code="1"/>
          <w:pgMar w:top="1418" w:right="1418" w:bottom="1418" w:left="1418" w:header="720" w:footer="720" w:gutter="0"/>
          <w:cols w:space="720"/>
          <w:docGrid w:linePitch="360"/>
        </w:sectPr>
      </w:pPr>
    </w:p>
    <w:p w:rsidR="00CF151E" w:rsidRPr="004B147B" w:rsidRDefault="00CF151E" w:rsidP="009E3379">
      <w:pPr>
        <w:jc w:val="both"/>
        <w:rPr>
          <w:sz w:val="20"/>
          <w:szCs w:val="20"/>
          <w:lang w:bidi="ar-EG"/>
        </w:rPr>
      </w:pPr>
    </w:p>
    <w:p w:rsidR="00CF151E" w:rsidRPr="004B147B" w:rsidRDefault="00CF151E" w:rsidP="009E3379">
      <w:pPr>
        <w:jc w:val="both"/>
        <w:rPr>
          <w:sz w:val="20"/>
          <w:szCs w:val="20"/>
          <w:lang w:bidi="ar-EG"/>
        </w:rPr>
      </w:pPr>
      <w:r w:rsidRPr="004B147B">
        <w:rPr>
          <w:sz w:val="20"/>
          <w:szCs w:val="20"/>
          <w:lang w:bidi="ar-EG"/>
        </w:rPr>
        <w:lastRenderedPageBreak/>
        <w:t>Table (5):</w:t>
      </w:r>
      <w:r w:rsidR="00274D70" w:rsidRPr="004B147B">
        <w:rPr>
          <w:sz w:val="20"/>
          <w:szCs w:val="20"/>
          <w:lang w:bidi="ar-EG"/>
        </w:rPr>
        <w:t xml:space="preserve"> </w:t>
      </w:r>
      <w:r w:rsidRPr="004B147B">
        <w:rPr>
          <w:sz w:val="20"/>
          <w:szCs w:val="20"/>
          <w:lang w:bidi="ar-EG"/>
        </w:rPr>
        <w:t>Multiple regression analysis for the prediction of visceral fat thickness from the independent variables</w:t>
      </w:r>
    </w:p>
    <w:tbl>
      <w:tblPr>
        <w:bidiVisual/>
        <w:tblW w:w="951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5259"/>
        <w:gridCol w:w="2126"/>
        <w:gridCol w:w="2127"/>
      </w:tblGrid>
      <w:tr w:rsidR="00063D3A" w:rsidRPr="004B147B" w:rsidTr="00063D3A">
        <w:trPr>
          <w:trHeight w:val="20"/>
        </w:trPr>
        <w:tc>
          <w:tcPr>
            <w:tcW w:w="7385" w:type="dxa"/>
            <w:gridSpan w:val="2"/>
            <w:shd w:val="clear" w:color="auto" w:fill="auto"/>
          </w:tcPr>
          <w:p w:rsidR="00063D3A" w:rsidRPr="004B147B" w:rsidRDefault="00063D3A" w:rsidP="009E3379">
            <w:pPr>
              <w:jc w:val="center"/>
              <w:rPr>
                <w:bCs/>
                <w:sz w:val="20"/>
                <w:szCs w:val="20"/>
                <w:lang w:bidi="ar-EG"/>
              </w:rPr>
            </w:pPr>
            <w:r w:rsidRPr="004B147B">
              <w:rPr>
                <w:bCs/>
                <w:sz w:val="20"/>
                <w:szCs w:val="20"/>
                <w:lang w:bidi="ar-EG"/>
              </w:rPr>
              <w:t>Visceral Fat Thickness (V)</w:t>
            </w:r>
          </w:p>
        </w:tc>
        <w:tc>
          <w:tcPr>
            <w:tcW w:w="2127" w:type="dxa"/>
            <w:vMerge w:val="restart"/>
            <w:shd w:val="clear" w:color="auto" w:fill="auto"/>
          </w:tcPr>
          <w:p w:rsidR="00063D3A" w:rsidRPr="004B147B" w:rsidRDefault="00063D3A" w:rsidP="009E3379">
            <w:pPr>
              <w:jc w:val="both"/>
              <w:rPr>
                <w:bCs/>
                <w:sz w:val="20"/>
                <w:szCs w:val="20"/>
                <w:lang w:bidi="ar-EG"/>
              </w:rPr>
            </w:pPr>
            <w:r w:rsidRPr="004B147B">
              <w:rPr>
                <w:bCs/>
                <w:sz w:val="20"/>
                <w:szCs w:val="20"/>
                <w:lang w:bidi="ar-EG"/>
              </w:rPr>
              <w:t>Independent Variable</w:t>
            </w:r>
          </w:p>
        </w:tc>
      </w:tr>
      <w:tr w:rsidR="00063D3A" w:rsidRPr="004B147B" w:rsidTr="009E3379">
        <w:trPr>
          <w:trHeight w:val="58"/>
        </w:trPr>
        <w:tc>
          <w:tcPr>
            <w:tcW w:w="5259"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Regression coefficient</w:t>
            </w:r>
          </w:p>
        </w:tc>
        <w:tc>
          <w:tcPr>
            <w:tcW w:w="2126" w:type="dxa"/>
            <w:vMerge w:val="restart"/>
            <w:shd w:val="clear" w:color="auto" w:fill="auto"/>
          </w:tcPr>
          <w:p w:rsidR="00063D3A" w:rsidRPr="004B147B" w:rsidRDefault="00063D3A" w:rsidP="009E3379">
            <w:pPr>
              <w:jc w:val="center"/>
              <w:rPr>
                <w:bCs/>
                <w:sz w:val="20"/>
                <w:szCs w:val="20"/>
                <w:lang w:bidi="ar-EG"/>
              </w:rPr>
            </w:pPr>
            <w:r w:rsidRPr="004B147B">
              <w:rPr>
                <w:bCs/>
                <w:sz w:val="20"/>
                <w:szCs w:val="20"/>
                <w:lang w:bidi="ar-EG"/>
              </w:rPr>
              <w:t>Independent Variable</w:t>
            </w:r>
          </w:p>
        </w:tc>
        <w:tc>
          <w:tcPr>
            <w:tcW w:w="2127" w:type="dxa"/>
            <w:vMerge/>
            <w:shd w:val="clear" w:color="auto" w:fill="auto"/>
          </w:tcPr>
          <w:p w:rsidR="00063D3A" w:rsidRPr="004B147B" w:rsidRDefault="00063D3A" w:rsidP="009E3379">
            <w:pPr>
              <w:jc w:val="both"/>
              <w:rPr>
                <w:bCs/>
                <w:sz w:val="20"/>
                <w:szCs w:val="20"/>
                <w:lang w:bidi="ar-EG"/>
              </w:rPr>
            </w:pPr>
          </w:p>
        </w:tc>
      </w:tr>
      <w:tr w:rsidR="00063D3A" w:rsidRPr="004B147B" w:rsidTr="00063D3A">
        <w:trPr>
          <w:trHeight w:val="58"/>
        </w:trPr>
        <w:tc>
          <w:tcPr>
            <w:tcW w:w="5259"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-14.988-</w:t>
            </w:r>
          </w:p>
        </w:tc>
        <w:tc>
          <w:tcPr>
            <w:tcW w:w="2126" w:type="dxa"/>
            <w:vMerge/>
            <w:shd w:val="clear" w:color="auto" w:fill="auto"/>
          </w:tcPr>
          <w:p w:rsidR="00063D3A" w:rsidRPr="004B147B" w:rsidRDefault="00063D3A" w:rsidP="009E3379">
            <w:pPr>
              <w:jc w:val="center"/>
              <w:rPr>
                <w:bCs/>
                <w:sz w:val="20"/>
                <w:szCs w:val="20"/>
                <w:lang w:bidi="ar-EG"/>
              </w:rPr>
            </w:pPr>
          </w:p>
        </w:tc>
        <w:tc>
          <w:tcPr>
            <w:tcW w:w="2127" w:type="dxa"/>
            <w:shd w:val="clear" w:color="auto" w:fill="auto"/>
          </w:tcPr>
          <w:p w:rsidR="00063D3A" w:rsidRPr="004B147B" w:rsidRDefault="00063D3A" w:rsidP="009E3379">
            <w:pPr>
              <w:jc w:val="both"/>
              <w:rPr>
                <w:bCs/>
                <w:sz w:val="20"/>
                <w:szCs w:val="20"/>
                <w:lang w:bidi="ar-EG"/>
              </w:rPr>
            </w:pPr>
            <w:r w:rsidRPr="004B147B">
              <w:rPr>
                <w:bCs/>
                <w:sz w:val="20"/>
                <w:szCs w:val="20"/>
                <w:lang w:bidi="ar-EG"/>
              </w:rPr>
              <w:t>Constant</w:t>
            </w:r>
          </w:p>
        </w:tc>
      </w:tr>
      <w:tr w:rsidR="00063D3A" w:rsidRPr="004B147B" w:rsidTr="00063D3A">
        <w:trPr>
          <w:trHeight w:val="58"/>
        </w:trPr>
        <w:tc>
          <w:tcPr>
            <w:tcW w:w="5259"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0.472</w:t>
            </w:r>
          </w:p>
        </w:tc>
        <w:tc>
          <w:tcPr>
            <w:tcW w:w="2126"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2.317</w:t>
            </w:r>
          </w:p>
        </w:tc>
        <w:tc>
          <w:tcPr>
            <w:tcW w:w="2127" w:type="dxa"/>
            <w:shd w:val="clear" w:color="auto" w:fill="auto"/>
          </w:tcPr>
          <w:p w:rsidR="00063D3A" w:rsidRPr="004B147B" w:rsidRDefault="00063D3A" w:rsidP="009E3379">
            <w:pPr>
              <w:jc w:val="both"/>
              <w:rPr>
                <w:bCs/>
                <w:sz w:val="20"/>
                <w:szCs w:val="20"/>
                <w:lang w:bidi="ar-EG"/>
              </w:rPr>
            </w:pPr>
            <w:r w:rsidRPr="004B147B">
              <w:rPr>
                <w:bCs/>
                <w:sz w:val="20"/>
                <w:szCs w:val="20"/>
                <w:lang w:bidi="ar-EG"/>
              </w:rPr>
              <w:t>Gender</w:t>
            </w:r>
          </w:p>
        </w:tc>
      </w:tr>
      <w:tr w:rsidR="00063D3A" w:rsidRPr="004B147B" w:rsidTr="00063D3A">
        <w:trPr>
          <w:trHeight w:val="58"/>
        </w:trPr>
        <w:tc>
          <w:tcPr>
            <w:tcW w:w="5259"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0.000</w:t>
            </w:r>
          </w:p>
        </w:tc>
        <w:tc>
          <w:tcPr>
            <w:tcW w:w="2126" w:type="dxa"/>
            <w:shd w:val="clear" w:color="auto" w:fill="auto"/>
          </w:tcPr>
          <w:p w:rsidR="00063D3A" w:rsidRPr="004B147B" w:rsidRDefault="00063D3A" w:rsidP="009E3379">
            <w:pPr>
              <w:jc w:val="center"/>
              <w:rPr>
                <w:bCs/>
                <w:sz w:val="20"/>
                <w:szCs w:val="20"/>
                <w:lang w:bidi="ar-EG"/>
              </w:rPr>
            </w:pPr>
            <w:r w:rsidRPr="004B147B">
              <w:rPr>
                <w:bCs/>
                <w:sz w:val="20"/>
                <w:szCs w:val="20"/>
                <w:lang w:bidi="ar-EG"/>
              </w:rPr>
              <w:t>1.954</w:t>
            </w:r>
          </w:p>
        </w:tc>
        <w:tc>
          <w:tcPr>
            <w:tcW w:w="2127" w:type="dxa"/>
            <w:shd w:val="clear" w:color="auto" w:fill="auto"/>
          </w:tcPr>
          <w:p w:rsidR="00063D3A" w:rsidRPr="004B147B" w:rsidRDefault="00063D3A" w:rsidP="009E3379">
            <w:pPr>
              <w:jc w:val="both"/>
              <w:rPr>
                <w:bCs/>
                <w:sz w:val="20"/>
                <w:szCs w:val="20"/>
                <w:lang w:bidi="ar-EG"/>
              </w:rPr>
            </w:pPr>
            <w:smartTag w:uri="urn:schemas-microsoft-com:office:smarttags" w:element="stockticker">
              <w:r w:rsidRPr="004B147B">
                <w:rPr>
                  <w:bCs/>
                  <w:sz w:val="20"/>
                  <w:szCs w:val="20"/>
                  <w:lang w:bidi="ar-EG"/>
                </w:rPr>
                <w:t>BMI</w:t>
              </w:r>
            </w:smartTag>
            <w:r w:rsidRPr="004B147B">
              <w:rPr>
                <w:bCs/>
                <w:sz w:val="20"/>
                <w:szCs w:val="20"/>
                <w:lang w:bidi="ar-EG"/>
              </w:rPr>
              <w:t xml:space="preserve"> (Kg/m2)</w:t>
            </w:r>
          </w:p>
        </w:tc>
      </w:tr>
    </w:tbl>
    <w:p w:rsidR="00CF151E" w:rsidRPr="004B147B" w:rsidRDefault="00CF151E" w:rsidP="009E3379">
      <w:pPr>
        <w:jc w:val="both"/>
        <w:rPr>
          <w:sz w:val="20"/>
          <w:szCs w:val="20"/>
          <w:lang w:bidi="ar-EG"/>
        </w:rPr>
      </w:pPr>
    </w:p>
    <w:p w:rsidR="00CF151E" w:rsidRPr="004B147B" w:rsidRDefault="004B147B" w:rsidP="009E3379">
      <w:pPr>
        <w:pStyle w:val="NoSpacing"/>
        <w:rPr>
          <w:sz w:val="20"/>
          <w:szCs w:val="20"/>
          <w:lang w:bidi="ar-EG"/>
        </w:rPr>
      </w:pPr>
      <w:r>
        <w:rPr>
          <w:sz w:val="20"/>
          <w:szCs w:val="20"/>
          <w:lang w:bidi="ar-EG"/>
        </w:rPr>
        <w:t>Table (6)</w:t>
      </w:r>
      <w:r w:rsidR="00CF151E" w:rsidRPr="004B147B">
        <w:rPr>
          <w:sz w:val="20"/>
          <w:szCs w:val="20"/>
          <w:lang w:bidi="ar-EG"/>
        </w:rPr>
        <w:t>:</w:t>
      </w:r>
      <w:r>
        <w:rPr>
          <w:sz w:val="20"/>
          <w:szCs w:val="20"/>
          <w:lang w:bidi="ar-EG"/>
        </w:rPr>
        <w:t xml:space="preserve"> </w:t>
      </w:r>
      <w:r w:rsidR="00CF151E" w:rsidRPr="004B147B">
        <w:rPr>
          <w:sz w:val="20"/>
          <w:szCs w:val="20"/>
          <w:lang w:bidi="ar-EG"/>
        </w:rPr>
        <w:t xml:space="preserve">Classification of </w:t>
      </w:r>
      <w:smartTag w:uri="urn:schemas-microsoft-com:office:smarttags" w:element="stockticker">
        <w:r w:rsidR="00CF151E" w:rsidRPr="004B147B">
          <w:rPr>
            <w:sz w:val="20"/>
            <w:szCs w:val="20"/>
            <w:lang w:bidi="ar-EG"/>
          </w:rPr>
          <w:t>BMI</w:t>
        </w:r>
      </w:smartTag>
      <w:r w:rsidR="00CF151E" w:rsidRPr="004B147B">
        <w:rPr>
          <w:sz w:val="20"/>
          <w:szCs w:val="20"/>
          <w:lang w:bidi="ar-EG"/>
        </w:rPr>
        <w:t xml:space="preserve"> percentiles in relation to presence of central obesity</w:t>
      </w:r>
      <w:r w:rsidRPr="004B147B">
        <w:rPr>
          <w:sz w:val="20"/>
          <w:szCs w:val="20"/>
          <w:lang w:bidi="ar-EG"/>
        </w:rPr>
        <w:t xml:space="preserve"> </w:t>
      </w:r>
    </w:p>
    <w:tbl>
      <w:tblPr>
        <w:bidiVisual/>
        <w:tblW w:w="951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1110"/>
        <w:gridCol w:w="1099"/>
        <w:gridCol w:w="986"/>
        <w:gridCol w:w="917"/>
        <w:gridCol w:w="15"/>
        <w:gridCol w:w="1097"/>
        <w:gridCol w:w="787"/>
        <w:gridCol w:w="3501"/>
      </w:tblGrid>
      <w:tr w:rsidR="00CF151E" w:rsidRPr="004B147B" w:rsidTr="00274D70">
        <w:trPr>
          <w:trHeight w:val="20"/>
        </w:trPr>
        <w:tc>
          <w:tcPr>
            <w:tcW w:w="2209"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Chi-square test</w:t>
            </w:r>
          </w:p>
        </w:tc>
        <w:tc>
          <w:tcPr>
            <w:tcW w:w="3802" w:type="dxa"/>
            <w:gridSpan w:val="5"/>
            <w:shd w:val="clear" w:color="auto" w:fill="auto"/>
          </w:tcPr>
          <w:p w:rsidR="00CF151E" w:rsidRPr="004B147B" w:rsidRDefault="00CF151E" w:rsidP="009E3379">
            <w:pPr>
              <w:jc w:val="center"/>
              <w:rPr>
                <w:bCs/>
                <w:sz w:val="20"/>
                <w:szCs w:val="20"/>
                <w:lang w:bidi="ar-EG"/>
              </w:rPr>
            </w:pPr>
            <w:smartTag w:uri="urn:schemas-microsoft-com:office:smarttags" w:element="stockticker">
              <w:r w:rsidRPr="004B147B">
                <w:rPr>
                  <w:bCs/>
                  <w:sz w:val="20"/>
                  <w:szCs w:val="20"/>
                  <w:lang w:bidi="ar-EG"/>
                </w:rPr>
                <w:t>BMI</w:t>
              </w:r>
            </w:smartTag>
            <w:r w:rsidRPr="004B147B">
              <w:rPr>
                <w:bCs/>
                <w:sz w:val="20"/>
                <w:szCs w:val="20"/>
                <w:lang w:bidi="ar-EG"/>
              </w:rPr>
              <w:t xml:space="preserve"> percentile</w:t>
            </w:r>
          </w:p>
        </w:tc>
        <w:tc>
          <w:tcPr>
            <w:tcW w:w="3501" w:type="dxa"/>
            <w:vMerge w:val="restart"/>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Waist/height</w:t>
            </w:r>
          </w:p>
        </w:tc>
      </w:tr>
      <w:tr w:rsidR="00CF151E" w:rsidRPr="004B147B" w:rsidTr="00274D70">
        <w:trPr>
          <w:trHeight w:val="58"/>
        </w:trPr>
        <w:tc>
          <w:tcPr>
            <w:tcW w:w="1110" w:type="dxa"/>
            <w:vMerge w:val="restart"/>
            <w:shd w:val="clear" w:color="auto" w:fill="auto"/>
          </w:tcPr>
          <w:p w:rsidR="00CF151E" w:rsidRPr="004B147B" w:rsidRDefault="00CF151E" w:rsidP="009E3379">
            <w:pPr>
              <w:jc w:val="center"/>
              <w:rPr>
                <w:bCs/>
                <w:sz w:val="20"/>
                <w:szCs w:val="20"/>
                <w:lang w:bidi="ar-EG"/>
              </w:rPr>
            </w:pPr>
            <w:r w:rsidRPr="004B147B">
              <w:rPr>
                <w:bCs/>
                <w:i/>
                <w:iCs/>
                <w:sz w:val="20"/>
                <w:szCs w:val="20"/>
                <w:lang w:bidi="ar-EG"/>
              </w:rPr>
              <w:t>P</w:t>
            </w:r>
            <w:r w:rsidRPr="004B147B">
              <w:rPr>
                <w:bCs/>
                <w:sz w:val="20"/>
                <w:szCs w:val="20"/>
                <w:lang w:bidi="ar-EG"/>
              </w:rPr>
              <w:t>-value</w:t>
            </w:r>
          </w:p>
          <w:p w:rsidR="00CF151E" w:rsidRPr="004B147B" w:rsidRDefault="00CF151E" w:rsidP="009E3379">
            <w:pPr>
              <w:jc w:val="center"/>
              <w:rPr>
                <w:bCs/>
                <w:sz w:val="20"/>
                <w:szCs w:val="20"/>
                <w:lang w:bidi="ar-EG"/>
              </w:rPr>
            </w:pPr>
          </w:p>
        </w:tc>
        <w:tc>
          <w:tcPr>
            <w:tcW w:w="1099" w:type="dxa"/>
            <w:vMerge w:val="restart"/>
            <w:shd w:val="clear" w:color="auto" w:fill="auto"/>
          </w:tcPr>
          <w:p w:rsidR="00CF151E" w:rsidRPr="004B147B" w:rsidRDefault="00CF151E" w:rsidP="009E3379">
            <w:pPr>
              <w:jc w:val="center"/>
              <w:rPr>
                <w:bCs/>
                <w:sz w:val="20"/>
                <w:szCs w:val="20"/>
                <w:lang w:bidi="ar-EG"/>
              </w:rPr>
            </w:pPr>
            <w:r w:rsidRPr="004B147B">
              <w:rPr>
                <w:bCs/>
                <w:sz w:val="20"/>
                <w:szCs w:val="20"/>
                <w:lang w:bidi="ar-EG"/>
              </w:rPr>
              <w:t>X</w:t>
            </w:r>
            <w:r w:rsidRPr="004B147B">
              <w:rPr>
                <w:bCs/>
                <w:sz w:val="20"/>
                <w:szCs w:val="20"/>
                <w:vertAlign w:val="superscript"/>
                <w:lang w:bidi="ar-EG"/>
              </w:rPr>
              <w:t>2</w:t>
            </w:r>
          </w:p>
        </w:tc>
        <w:tc>
          <w:tcPr>
            <w:tcW w:w="1918" w:type="dxa"/>
            <w:gridSpan w:val="3"/>
            <w:shd w:val="clear" w:color="auto" w:fill="auto"/>
          </w:tcPr>
          <w:p w:rsidR="00CF151E" w:rsidRPr="004B147B" w:rsidRDefault="00CF151E" w:rsidP="009E3379">
            <w:pPr>
              <w:jc w:val="center"/>
              <w:rPr>
                <w:bCs/>
                <w:sz w:val="20"/>
                <w:szCs w:val="20"/>
                <w:lang w:bidi="ar-EG"/>
              </w:rPr>
            </w:pPr>
            <w:r w:rsidRPr="004B147B">
              <w:rPr>
                <w:bCs/>
                <w:sz w:val="20"/>
                <w:szCs w:val="20"/>
                <w:lang w:bidi="ar-EG"/>
              </w:rPr>
              <w:t>Control (n=40)</w:t>
            </w:r>
          </w:p>
        </w:tc>
        <w:tc>
          <w:tcPr>
            <w:tcW w:w="1884"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Obese (n=40)</w:t>
            </w:r>
          </w:p>
        </w:tc>
        <w:tc>
          <w:tcPr>
            <w:tcW w:w="3501" w:type="dxa"/>
            <w:vMerge/>
            <w:shd w:val="clear" w:color="auto" w:fill="auto"/>
            <w:vAlign w:val="center"/>
          </w:tcPr>
          <w:p w:rsidR="00CF151E" w:rsidRPr="004B147B" w:rsidRDefault="00CF151E" w:rsidP="009E3379">
            <w:pPr>
              <w:jc w:val="both"/>
              <w:rPr>
                <w:bCs/>
                <w:sz w:val="20"/>
                <w:szCs w:val="20"/>
                <w:lang w:bidi="ar-EG"/>
              </w:rPr>
            </w:pPr>
          </w:p>
        </w:tc>
      </w:tr>
      <w:tr w:rsidR="00CF151E" w:rsidRPr="004B147B" w:rsidTr="00274D70">
        <w:trPr>
          <w:trHeight w:val="58"/>
        </w:trPr>
        <w:tc>
          <w:tcPr>
            <w:tcW w:w="1110" w:type="dxa"/>
            <w:vMerge/>
            <w:shd w:val="clear" w:color="auto" w:fill="auto"/>
          </w:tcPr>
          <w:p w:rsidR="00CF151E" w:rsidRPr="004B147B" w:rsidRDefault="00CF151E" w:rsidP="009E3379">
            <w:pPr>
              <w:jc w:val="center"/>
              <w:rPr>
                <w:bCs/>
                <w:sz w:val="20"/>
                <w:szCs w:val="20"/>
                <w:lang w:bidi="ar-EG"/>
              </w:rPr>
            </w:pPr>
          </w:p>
        </w:tc>
        <w:tc>
          <w:tcPr>
            <w:tcW w:w="1099" w:type="dxa"/>
            <w:vMerge/>
            <w:shd w:val="clear" w:color="auto" w:fill="auto"/>
          </w:tcPr>
          <w:p w:rsidR="00CF151E" w:rsidRPr="004B147B" w:rsidRDefault="00CF151E" w:rsidP="009E3379">
            <w:pPr>
              <w:jc w:val="center"/>
              <w:rPr>
                <w:bCs/>
                <w:sz w:val="20"/>
                <w:szCs w:val="20"/>
                <w:lang w:bidi="ar-EG"/>
              </w:rPr>
            </w:pPr>
          </w:p>
        </w:tc>
        <w:tc>
          <w:tcPr>
            <w:tcW w:w="986"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w:t>
            </w:r>
          </w:p>
        </w:tc>
        <w:tc>
          <w:tcPr>
            <w:tcW w:w="91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No.</w:t>
            </w:r>
          </w:p>
        </w:tc>
        <w:tc>
          <w:tcPr>
            <w:tcW w:w="1112"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w:t>
            </w:r>
          </w:p>
        </w:tc>
        <w:tc>
          <w:tcPr>
            <w:tcW w:w="78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No.</w:t>
            </w:r>
          </w:p>
        </w:tc>
        <w:tc>
          <w:tcPr>
            <w:tcW w:w="3501" w:type="dxa"/>
            <w:vMerge/>
            <w:shd w:val="clear" w:color="auto" w:fill="auto"/>
            <w:vAlign w:val="center"/>
          </w:tcPr>
          <w:p w:rsidR="00CF151E" w:rsidRPr="004B147B" w:rsidRDefault="00CF151E" w:rsidP="009E3379">
            <w:pPr>
              <w:jc w:val="both"/>
              <w:rPr>
                <w:bCs/>
                <w:sz w:val="20"/>
                <w:szCs w:val="20"/>
                <w:lang w:bidi="ar-EG"/>
              </w:rPr>
            </w:pPr>
          </w:p>
        </w:tc>
      </w:tr>
      <w:tr w:rsidR="00CF151E" w:rsidRPr="004B147B" w:rsidTr="00274D70">
        <w:trPr>
          <w:trHeight w:val="58"/>
        </w:trPr>
        <w:tc>
          <w:tcPr>
            <w:tcW w:w="1110" w:type="dxa"/>
            <w:vMerge w:val="restart"/>
            <w:shd w:val="clear" w:color="auto" w:fill="auto"/>
          </w:tcPr>
          <w:p w:rsidR="00CF151E" w:rsidRPr="004B147B" w:rsidRDefault="00CF151E" w:rsidP="009E3379">
            <w:pPr>
              <w:jc w:val="center"/>
              <w:rPr>
                <w:bCs/>
                <w:sz w:val="20"/>
                <w:szCs w:val="20"/>
                <w:lang w:bidi="ar-EG"/>
              </w:rPr>
            </w:pPr>
            <w:r w:rsidRPr="004B147B">
              <w:rPr>
                <w:bCs/>
                <w:sz w:val="20"/>
                <w:szCs w:val="20"/>
                <w:lang w:bidi="ar-EG"/>
              </w:rPr>
              <w:t>0.000*</w:t>
            </w:r>
          </w:p>
          <w:p w:rsidR="00CF151E" w:rsidRPr="004B147B" w:rsidRDefault="00CF151E" w:rsidP="009E3379">
            <w:pPr>
              <w:jc w:val="center"/>
              <w:rPr>
                <w:bCs/>
                <w:sz w:val="20"/>
                <w:szCs w:val="20"/>
                <w:lang w:bidi="ar-EG"/>
              </w:rPr>
            </w:pPr>
          </w:p>
        </w:tc>
        <w:tc>
          <w:tcPr>
            <w:tcW w:w="1099" w:type="dxa"/>
            <w:vMerge w:val="restart"/>
            <w:shd w:val="clear" w:color="auto" w:fill="auto"/>
          </w:tcPr>
          <w:p w:rsidR="00CF151E" w:rsidRPr="004B147B" w:rsidRDefault="00CF151E" w:rsidP="009E3379">
            <w:pPr>
              <w:jc w:val="center"/>
              <w:rPr>
                <w:bCs/>
                <w:sz w:val="20"/>
                <w:szCs w:val="20"/>
                <w:lang w:bidi="ar-EG"/>
              </w:rPr>
            </w:pPr>
            <w:r w:rsidRPr="004B147B">
              <w:rPr>
                <w:bCs/>
                <w:sz w:val="20"/>
                <w:szCs w:val="20"/>
                <w:lang w:bidi="ar-EG"/>
              </w:rPr>
              <w:t>26.593</w:t>
            </w:r>
          </w:p>
        </w:tc>
        <w:tc>
          <w:tcPr>
            <w:tcW w:w="986"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62.50</w:t>
            </w:r>
          </w:p>
        </w:tc>
        <w:tc>
          <w:tcPr>
            <w:tcW w:w="91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25</w:t>
            </w:r>
          </w:p>
        </w:tc>
        <w:tc>
          <w:tcPr>
            <w:tcW w:w="1112"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7.50</w:t>
            </w:r>
          </w:p>
        </w:tc>
        <w:tc>
          <w:tcPr>
            <w:tcW w:w="78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3</w:t>
            </w:r>
          </w:p>
        </w:tc>
        <w:tc>
          <w:tcPr>
            <w:tcW w:w="3501" w:type="dxa"/>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No central obesity</w:t>
            </w:r>
          </w:p>
        </w:tc>
      </w:tr>
      <w:tr w:rsidR="00CF151E" w:rsidRPr="004B147B" w:rsidTr="00274D70">
        <w:trPr>
          <w:trHeight w:val="58"/>
        </w:trPr>
        <w:tc>
          <w:tcPr>
            <w:tcW w:w="1110" w:type="dxa"/>
            <w:vMerge/>
            <w:shd w:val="clear" w:color="auto" w:fill="auto"/>
          </w:tcPr>
          <w:p w:rsidR="00CF151E" w:rsidRPr="004B147B" w:rsidRDefault="00CF151E" w:rsidP="009E3379">
            <w:pPr>
              <w:jc w:val="both"/>
              <w:rPr>
                <w:bCs/>
                <w:sz w:val="20"/>
                <w:szCs w:val="20"/>
                <w:lang w:bidi="ar-EG"/>
              </w:rPr>
            </w:pPr>
          </w:p>
        </w:tc>
        <w:tc>
          <w:tcPr>
            <w:tcW w:w="1099" w:type="dxa"/>
            <w:vMerge/>
            <w:shd w:val="clear" w:color="auto" w:fill="auto"/>
          </w:tcPr>
          <w:p w:rsidR="00CF151E" w:rsidRPr="004B147B" w:rsidRDefault="00CF151E" w:rsidP="009E3379">
            <w:pPr>
              <w:jc w:val="both"/>
              <w:rPr>
                <w:bCs/>
                <w:sz w:val="20"/>
                <w:szCs w:val="20"/>
                <w:lang w:bidi="ar-EG"/>
              </w:rPr>
            </w:pPr>
          </w:p>
        </w:tc>
        <w:tc>
          <w:tcPr>
            <w:tcW w:w="986"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37.50</w:t>
            </w:r>
          </w:p>
        </w:tc>
        <w:tc>
          <w:tcPr>
            <w:tcW w:w="91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15</w:t>
            </w:r>
          </w:p>
        </w:tc>
        <w:tc>
          <w:tcPr>
            <w:tcW w:w="1112"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92.50</w:t>
            </w:r>
          </w:p>
        </w:tc>
        <w:tc>
          <w:tcPr>
            <w:tcW w:w="78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37</w:t>
            </w:r>
          </w:p>
        </w:tc>
        <w:tc>
          <w:tcPr>
            <w:tcW w:w="3501" w:type="dxa"/>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central obesity</w:t>
            </w:r>
          </w:p>
        </w:tc>
      </w:tr>
      <w:tr w:rsidR="00CF151E" w:rsidRPr="004B147B" w:rsidTr="009E3379">
        <w:trPr>
          <w:trHeight w:val="58"/>
        </w:trPr>
        <w:tc>
          <w:tcPr>
            <w:tcW w:w="1110" w:type="dxa"/>
            <w:vMerge/>
            <w:shd w:val="clear" w:color="auto" w:fill="auto"/>
          </w:tcPr>
          <w:p w:rsidR="00CF151E" w:rsidRPr="004B147B" w:rsidRDefault="00CF151E" w:rsidP="009E3379">
            <w:pPr>
              <w:jc w:val="both"/>
              <w:rPr>
                <w:bCs/>
                <w:sz w:val="20"/>
                <w:szCs w:val="20"/>
                <w:lang w:bidi="ar-EG"/>
              </w:rPr>
            </w:pPr>
          </w:p>
        </w:tc>
        <w:tc>
          <w:tcPr>
            <w:tcW w:w="1099" w:type="dxa"/>
            <w:vMerge/>
            <w:shd w:val="clear" w:color="auto" w:fill="auto"/>
          </w:tcPr>
          <w:p w:rsidR="00CF151E" w:rsidRPr="004B147B" w:rsidRDefault="00CF151E" w:rsidP="009E3379">
            <w:pPr>
              <w:jc w:val="both"/>
              <w:rPr>
                <w:bCs/>
                <w:sz w:val="20"/>
                <w:szCs w:val="20"/>
                <w:lang w:bidi="ar-EG"/>
              </w:rPr>
            </w:pPr>
          </w:p>
        </w:tc>
        <w:tc>
          <w:tcPr>
            <w:tcW w:w="986"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100.00</w:t>
            </w:r>
          </w:p>
        </w:tc>
        <w:tc>
          <w:tcPr>
            <w:tcW w:w="91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40</w:t>
            </w:r>
          </w:p>
        </w:tc>
        <w:tc>
          <w:tcPr>
            <w:tcW w:w="1112" w:type="dxa"/>
            <w:gridSpan w:val="2"/>
            <w:shd w:val="clear" w:color="auto" w:fill="auto"/>
          </w:tcPr>
          <w:p w:rsidR="00CF151E" w:rsidRPr="004B147B" w:rsidRDefault="00CF151E" w:rsidP="009E3379">
            <w:pPr>
              <w:jc w:val="center"/>
              <w:rPr>
                <w:bCs/>
                <w:sz w:val="20"/>
                <w:szCs w:val="20"/>
                <w:lang w:bidi="ar-EG"/>
              </w:rPr>
            </w:pPr>
            <w:r w:rsidRPr="004B147B">
              <w:rPr>
                <w:bCs/>
                <w:sz w:val="20"/>
                <w:szCs w:val="20"/>
                <w:lang w:bidi="ar-EG"/>
              </w:rPr>
              <w:t>100.00</w:t>
            </w:r>
          </w:p>
        </w:tc>
        <w:tc>
          <w:tcPr>
            <w:tcW w:w="787" w:type="dxa"/>
            <w:shd w:val="clear" w:color="auto" w:fill="auto"/>
          </w:tcPr>
          <w:p w:rsidR="00CF151E" w:rsidRPr="004B147B" w:rsidRDefault="00CF151E" w:rsidP="009E3379">
            <w:pPr>
              <w:jc w:val="center"/>
              <w:rPr>
                <w:bCs/>
                <w:sz w:val="20"/>
                <w:szCs w:val="20"/>
                <w:lang w:bidi="ar-EG"/>
              </w:rPr>
            </w:pPr>
            <w:r w:rsidRPr="004B147B">
              <w:rPr>
                <w:bCs/>
                <w:sz w:val="20"/>
                <w:szCs w:val="20"/>
                <w:lang w:bidi="ar-EG"/>
              </w:rPr>
              <w:t>40</w:t>
            </w:r>
          </w:p>
        </w:tc>
        <w:tc>
          <w:tcPr>
            <w:tcW w:w="3501" w:type="dxa"/>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Total</w:t>
            </w:r>
          </w:p>
        </w:tc>
      </w:tr>
    </w:tbl>
    <w:p w:rsidR="00063D3A" w:rsidRPr="004B147B" w:rsidRDefault="00063D3A" w:rsidP="009E3379">
      <w:pPr>
        <w:jc w:val="both"/>
        <w:rPr>
          <w:sz w:val="20"/>
          <w:szCs w:val="20"/>
          <w:lang w:bidi="ar-EG"/>
        </w:rPr>
        <w:sectPr w:rsidR="00063D3A" w:rsidRPr="004B147B" w:rsidSect="004B147B">
          <w:footnotePr>
            <w:pos w:val="beneathText"/>
          </w:footnotePr>
          <w:type w:val="continuous"/>
          <w:pgSz w:w="12240" w:h="15840" w:code="1"/>
          <w:pgMar w:top="1418" w:right="1418" w:bottom="1418" w:left="1418" w:header="720" w:footer="720" w:gutter="0"/>
          <w:cols w:space="720"/>
          <w:docGrid w:linePitch="360"/>
        </w:sectPr>
      </w:pPr>
    </w:p>
    <w:p w:rsidR="00CF151E" w:rsidRPr="004B147B" w:rsidRDefault="00CF151E" w:rsidP="009E3379">
      <w:pPr>
        <w:jc w:val="both"/>
        <w:rPr>
          <w:sz w:val="20"/>
          <w:szCs w:val="20"/>
          <w:lang w:bidi="ar-EG"/>
        </w:rPr>
      </w:pPr>
    </w:p>
    <w:p w:rsidR="00CF151E" w:rsidRPr="004B147B" w:rsidRDefault="004B147B" w:rsidP="009E3379">
      <w:pPr>
        <w:jc w:val="both"/>
        <w:rPr>
          <w:bCs/>
          <w:sz w:val="20"/>
          <w:szCs w:val="20"/>
          <w:lang w:bidi="ar-EG"/>
        </w:rPr>
      </w:pPr>
      <w:r>
        <w:rPr>
          <w:bCs/>
          <w:sz w:val="20"/>
          <w:szCs w:val="20"/>
          <w:lang w:bidi="ar-EG"/>
        </w:rPr>
        <w:t>Table (7)</w:t>
      </w:r>
      <w:r w:rsidR="00CF151E" w:rsidRPr="004B147B">
        <w:rPr>
          <w:bCs/>
          <w:sz w:val="20"/>
          <w:szCs w:val="20"/>
          <w:lang w:bidi="ar-EG"/>
        </w:rPr>
        <w:t>:</w:t>
      </w:r>
      <w:r>
        <w:rPr>
          <w:bCs/>
          <w:sz w:val="20"/>
          <w:szCs w:val="20"/>
          <w:lang w:bidi="ar-EG"/>
        </w:rPr>
        <w:t xml:space="preserve"> </w:t>
      </w:r>
      <w:r w:rsidR="00CF151E" w:rsidRPr="004B147B">
        <w:rPr>
          <w:bCs/>
          <w:sz w:val="20"/>
          <w:szCs w:val="20"/>
          <w:lang w:bidi="ar-EG"/>
        </w:rPr>
        <w:t xml:space="preserve">Relation between </w:t>
      </w:r>
      <w:smartTag w:uri="urn:schemas-microsoft-com:office:smarttags" w:element="stockticker">
        <w:r w:rsidR="00CF151E" w:rsidRPr="004B147B">
          <w:rPr>
            <w:bCs/>
            <w:sz w:val="20"/>
            <w:szCs w:val="20"/>
            <w:lang w:bidi="ar-EG"/>
          </w:rPr>
          <w:t>BMI</w:t>
        </w:r>
      </w:smartTag>
      <w:r w:rsidR="00CF151E" w:rsidRPr="004B147B">
        <w:rPr>
          <w:bCs/>
          <w:sz w:val="20"/>
          <w:szCs w:val="20"/>
          <w:lang w:bidi="ar-EG"/>
        </w:rPr>
        <w:t xml:space="preserve"> percentiles and blood pressure percentiles</w:t>
      </w:r>
      <w:r w:rsidRPr="004B147B">
        <w:rPr>
          <w:bCs/>
          <w:sz w:val="20"/>
          <w:szCs w:val="20"/>
          <w:lang w:bidi="ar-EG"/>
        </w:rPr>
        <w:t xml:space="preserve"> </w:t>
      </w:r>
    </w:p>
    <w:tbl>
      <w:tblPr>
        <w:bidiVisual/>
        <w:tblW w:w="9640" w:type="dxa"/>
        <w:jc w:val="center"/>
        <w:tblInd w:w="1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00"/>
      </w:tblPr>
      <w:tblGrid>
        <w:gridCol w:w="1017"/>
        <w:gridCol w:w="914"/>
        <w:gridCol w:w="11"/>
        <w:gridCol w:w="898"/>
        <w:gridCol w:w="909"/>
        <w:gridCol w:w="727"/>
        <w:gridCol w:w="1273"/>
        <w:gridCol w:w="727"/>
        <w:gridCol w:w="909"/>
        <w:gridCol w:w="11"/>
        <w:gridCol w:w="2244"/>
      </w:tblGrid>
      <w:tr w:rsidR="00CF151E" w:rsidRPr="004B147B" w:rsidTr="00274D70">
        <w:trPr>
          <w:trHeight w:val="225"/>
          <w:jc w:val="center"/>
        </w:trPr>
        <w:tc>
          <w:tcPr>
            <w:tcW w:w="1942" w:type="dxa"/>
            <w:gridSpan w:val="3"/>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Chi-square test</w:t>
            </w:r>
          </w:p>
        </w:tc>
        <w:tc>
          <w:tcPr>
            <w:tcW w:w="5454" w:type="dxa"/>
            <w:gridSpan w:val="7"/>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Blood pressure</w:t>
            </w:r>
          </w:p>
        </w:tc>
        <w:tc>
          <w:tcPr>
            <w:tcW w:w="2244" w:type="dxa"/>
            <w:shd w:val="clear" w:color="auto" w:fill="auto"/>
            <w:vAlign w:val="center"/>
          </w:tcPr>
          <w:p w:rsidR="00CF151E" w:rsidRPr="004B147B" w:rsidRDefault="00CF151E" w:rsidP="009E3379">
            <w:pPr>
              <w:jc w:val="both"/>
              <w:rPr>
                <w:bCs/>
                <w:sz w:val="20"/>
                <w:szCs w:val="20"/>
                <w:lang w:bidi="ar-EG"/>
              </w:rPr>
            </w:pPr>
            <w:smartTag w:uri="urn:schemas-microsoft-com:office:smarttags" w:element="stockticker">
              <w:r w:rsidRPr="004B147B">
                <w:rPr>
                  <w:bCs/>
                  <w:sz w:val="20"/>
                  <w:szCs w:val="20"/>
                  <w:lang w:bidi="ar-EG"/>
                </w:rPr>
                <w:t>BMI</w:t>
              </w:r>
            </w:smartTag>
            <w:r w:rsidRPr="004B147B">
              <w:rPr>
                <w:bCs/>
                <w:sz w:val="20"/>
                <w:szCs w:val="20"/>
                <w:lang w:bidi="ar-EG"/>
              </w:rPr>
              <w:t xml:space="preserve"> </w:t>
            </w:r>
            <w:proofErr w:type="spellStart"/>
            <w:r w:rsidRPr="004B147B">
              <w:rPr>
                <w:bCs/>
                <w:sz w:val="20"/>
                <w:szCs w:val="20"/>
                <w:lang w:bidi="ar-EG"/>
              </w:rPr>
              <w:t>centile</w:t>
            </w:r>
            <w:proofErr w:type="spellEnd"/>
          </w:p>
        </w:tc>
      </w:tr>
      <w:tr w:rsidR="00CF151E" w:rsidRPr="004B147B" w:rsidTr="00274D70">
        <w:trPr>
          <w:trHeight w:val="58"/>
          <w:jc w:val="center"/>
        </w:trPr>
        <w:tc>
          <w:tcPr>
            <w:tcW w:w="1017" w:type="dxa"/>
            <w:vMerge w:val="restart"/>
            <w:shd w:val="clear" w:color="auto" w:fill="auto"/>
          </w:tcPr>
          <w:p w:rsidR="00CF151E" w:rsidRPr="004B147B" w:rsidRDefault="00CF151E" w:rsidP="009E3379">
            <w:pPr>
              <w:jc w:val="center"/>
              <w:rPr>
                <w:bCs/>
                <w:sz w:val="20"/>
                <w:szCs w:val="20"/>
                <w:lang w:bidi="ar-EG"/>
              </w:rPr>
            </w:pPr>
            <w:r w:rsidRPr="004B147B">
              <w:rPr>
                <w:bCs/>
                <w:i/>
                <w:iCs/>
                <w:sz w:val="20"/>
                <w:szCs w:val="20"/>
                <w:lang w:bidi="ar-EG"/>
              </w:rPr>
              <w:t>P</w:t>
            </w:r>
            <w:r w:rsidRPr="004B147B">
              <w:rPr>
                <w:bCs/>
                <w:sz w:val="20"/>
                <w:szCs w:val="20"/>
                <w:lang w:bidi="ar-EG"/>
              </w:rPr>
              <w:t>-value</w:t>
            </w:r>
          </w:p>
        </w:tc>
        <w:tc>
          <w:tcPr>
            <w:tcW w:w="914" w:type="dxa"/>
            <w:vMerge w:val="restart"/>
            <w:shd w:val="clear" w:color="auto" w:fill="auto"/>
          </w:tcPr>
          <w:p w:rsidR="00CF151E" w:rsidRPr="004B147B" w:rsidRDefault="00CF151E" w:rsidP="009E3379">
            <w:pPr>
              <w:jc w:val="both"/>
              <w:rPr>
                <w:bCs/>
                <w:sz w:val="20"/>
                <w:szCs w:val="20"/>
                <w:lang w:bidi="ar-EG"/>
              </w:rPr>
            </w:pPr>
            <w:r w:rsidRPr="004B147B">
              <w:rPr>
                <w:bCs/>
                <w:sz w:val="20"/>
                <w:szCs w:val="20"/>
                <w:lang w:bidi="ar-EG"/>
              </w:rPr>
              <w:t>X2</w:t>
            </w:r>
          </w:p>
        </w:tc>
        <w:tc>
          <w:tcPr>
            <w:tcW w:w="1818" w:type="dxa"/>
            <w:gridSpan w:val="3"/>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Hypertension</w:t>
            </w:r>
          </w:p>
        </w:tc>
        <w:tc>
          <w:tcPr>
            <w:tcW w:w="2000" w:type="dxa"/>
            <w:gridSpan w:val="2"/>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Pre-hypertension</w:t>
            </w:r>
          </w:p>
        </w:tc>
        <w:tc>
          <w:tcPr>
            <w:tcW w:w="1636" w:type="dxa"/>
            <w:gridSpan w:val="2"/>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Normal</w:t>
            </w:r>
          </w:p>
        </w:tc>
        <w:tc>
          <w:tcPr>
            <w:tcW w:w="2255" w:type="dxa"/>
            <w:gridSpan w:val="2"/>
            <w:shd w:val="clear" w:color="auto" w:fill="auto"/>
            <w:vAlign w:val="center"/>
          </w:tcPr>
          <w:p w:rsidR="00CF151E" w:rsidRPr="004B147B" w:rsidRDefault="00CF151E" w:rsidP="009E3379">
            <w:pPr>
              <w:jc w:val="both"/>
              <w:rPr>
                <w:bCs/>
                <w:sz w:val="20"/>
                <w:szCs w:val="20"/>
                <w:lang w:bidi="ar-EG"/>
              </w:rPr>
            </w:pPr>
          </w:p>
        </w:tc>
      </w:tr>
      <w:tr w:rsidR="00CF151E" w:rsidRPr="004B147B" w:rsidTr="00274D70">
        <w:trPr>
          <w:trHeight w:val="58"/>
          <w:jc w:val="center"/>
        </w:trPr>
        <w:tc>
          <w:tcPr>
            <w:tcW w:w="1017" w:type="dxa"/>
            <w:vMerge/>
            <w:shd w:val="clear" w:color="auto" w:fill="auto"/>
          </w:tcPr>
          <w:p w:rsidR="00CF151E" w:rsidRPr="004B147B" w:rsidRDefault="00CF151E" w:rsidP="009E3379">
            <w:pPr>
              <w:jc w:val="both"/>
              <w:rPr>
                <w:bCs/>
                <w:sz w:val="20"/>
                <w:szCs w:val="20"/>
                <w:lang w:bidi="ar-EG"/>
              </w:rPr>
            </w:pPr>
          </w:p>
        </w:tc>
        <w:tc>
          <w:tcPr>
            <w:tcW w:w="914" w:type="dxa"/>
            <w:vMerge/>
            <w:shd w:val="clear" w:color="auto" w:fill="auto"/>
          </w:tcPr>
          <w:p w:rsidR="00CF151E" w:rsidRPr="004B147B" w:rsidRDefault="00CF151E" w:rsidP="009E3379">
            <w:pPr>
              <w:jc w:val="both"/>
              <w:rPr>
                <w:bCs/>
                <w:sz w:val="20"/>
                <w:szCs w:val="20"/>
                <w:lang w:bidi="ar-EG"/>
              </w:rPr>
            </w:pPr>
          </w:p>
        </w:tc>
        <w:tc>
          <w:tcPr>
            <w:tcW w:w="909" w:type="dxa"/>
            <w:gridSpan w:val="2"/>
            <w:shd w:val="clear" w:color="auto" w:fill="auto"/>
          </w:tcPr>
          <w:p w:rsidR="00CF151E" w:rsidRPr="004B147B" w:rsidRDefault="00CF151E" w:rsidP="009E3379">
            <w:pPr>
              <w:jc w:val="both"/>
              <w:rPr>
                <w:bCs/>
                <w:sz w:val="20"/>
                <w:szCs w:val="20"/>
                <w:lang w:bidi="ar-EG"/>
              </w:rPr>
            </w:pPr>
            <w:r w:rsidRPr="004B147B">
              <w:rPr>
                <w:bCs/>
                <w:sz w:val="20"/>
                <w:szCs w:val="20"/>
                <w:lang w:bidi="ar-EG"/>
              </w:rPr>
              <w:t>%</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No.</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w:t>
            </w:r>
          </w:p>
        </w:tc>
        <w:tc>
          <w:tcPr>
            <w:tcW w:w="1273" w:type="dxa"/>
            <w:shd w:val="clear" w:color="auto" w:fill="auto"/>
          </w:tcPr>
          <w:p w:rsidR="00CF151E" w:rsidRPr="004B147B" w:rsidRDefault="00CF151E" w:rsidP="009E3379">
            <w:pPr>
              <w:jc w:val="both"/>
              <w:rPr>
                <w:bCs/>
                <w:sz w:val="20"/>
                <w:szCs w:val="20"/>
                <w:lang w:bidi="ar-EG"/>
              </w:rPr>
            </w:pPr>
            <w:r w:rsidRPr="004B147B">
              <w:rPr>
                <w:bCs/>
                <w:sz w:val="20"/>
                <w:szCs w:val="20"/>
                <w:lang w:bidi="ar-EG"/>
              </w:rPr>
              <w:t>No.</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No.</w:t>
            </w:r>
          </w:p>
        </w:tc>
        <w:tc>
          <w:tcPr>
            <w:tcW w:w="2255" w:type="dxa"/>
            <w:gridSpan w:val="2"/>
            <w:shd w:val="clear" w:color="auto" w:fill="auto"/>
            <w:vAlign w:val="center"/>
          </w:tcPr>
          <w:p w:rsidR="00CF151E" w:rsidRPr="004B147B" w:rsidRDefault="00CF151E" w:rsidP="009E3379">
            <w:pPr>
              <w:jc w:val="both"/>
              <w:rPr>
                <w:bCs/>
                <w:sz w:val="20"/>
                <w:szCs w:val="20"/>
                <w:lang w:bidi="ar-EG"/>
              </w:rPr>
            </w:pPr>
          </w:p>
        </w:tc>
      </w:tr>
      <w:tr w:rsidR="00CF151E" w:rsidRPr="004B147B" w:rsidTr="00274D70">
        <w:trPr>
          <w:trHeight w:val="178"/>
          <w:jc w:val="center"/>
        </w:trPr>
        <w:tc>
          <w:tcPr>
            <w:tcW w:w="1017" w:type="dxa"/>
            <w:vMerge w:val="restart"/>
            <w:shd w:val="clear" w:color="auto" w:fill="auto"/>
          </w:tcPr>
          <w:p w:rsidR="00CF151E" w:rsidRPr="004B147B" w:rsidRDefault="00CF151E" w:rsidP="009E3379">
            <w:pPr>
              <w:jc w:val="both"/>
              <w:rPr>
                <w:bCs/>
                <w:sz w:val="20"/>
                <w:szCs w:val="20"/>
                <w:lang w:bidi="ar-EG"/>
              </w:rPr>
            </w:pPr>
            <w:r w:rsidRPr="004B147B">
              <w:rPr>
                <w:bCs/>
                <w:sz w:val="20"/>
                <w:szCs w:val="20"/>
                <w:lang w:bidi="ar-EG"/>
              </w:rPr>
              <w:t>0.002*</w:t>
            </w:r>
          </w:p>
          <w:p w:rsidR="00CF151E" w:rsidRPr="004B147B" w:rsidRDefault="00CF151E" w:rsidP="009E3379">
            <w:pPr>
              <w:jc w:val="both"/>
              <w:rPr>
                <w:bCs/>
                <w:sz w:val="20"/>
                <w:szCs w:val="20"/>
                <w:lang w:bidi="ar-EG"/>
              </w:rPr>
            </w:pPr>
          </w:p>
        </w:tc>
        <w:tc>
          <w:tcPr>
            <w:tcW w:w="914" w:type="dxa"/>
            <w:vMerge w:val="restart"/>
            <w:shd w:val="clear" w:color="auto" w:fill="auto"/>
          </w:tcPr>
          <w:p w:rsidR="00CF151E" w:rsidRPr="004B147B" w:rsidRDefault="00CF151E" w:rsidP="009E3379">
            <w:pPr>
              <w:jc w:val="both"/>
              <w:rPr>
                <w:bCs/>
                <w:sz w:val="20"/>
                <w:szCs w:val="20"/>
                <w:lang w:bidi="ar-EG"/>
              </w:rPr>
            </w:pPr>
            <w:r w:rsidRPr="004B147B">
              <w:rPr>
                <w:bCs/>
                <w:sz w:val="20"/>
                <w:szCs w:val="20"/>
                <w:lang w:bidi="ar-EG"/>
              </w:rPr>
              <w:t>10.141</w:t>
            </w:r>
          </w:p>
        </w:tc>
        <w:tc>
          <w:tcPr>
            <w:tcW w:w="909" w:type="dxa"/>
            <w:gridSpan w:val="2"/>
            <w:shd w:val="clear" w:color="auto" w:fill="auto"/>
          </w:tcPr>
          <w:p w:rsidR="00CF151E" w:rsidRPr="004B147B" w:rsidRDefault="00CF151E" w:rsidP="009E3379">
            <w:pPr>
              <w:jc w:val="both"/>
              <w:rPr>
                <w:bCs/>
                <w:sz w:val="20"/>
                <w:szCs w:val="20"/>
                <w:lang w:bidi="ar-EG"/>
              </w:rPr>
            </w:pPr>
            <w:r w:rsidRPr="004B147B">
              <w:rPr>
                <w:bCs/>
                <w:sz w:val="20"/>
                <w:szCs w:val="20"/>
                <w:lang w:bidi="ar-EG"/>
              </w:rPr>
              <w:t>17.5</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7</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5.0</w:t>
            </w:r>
          </w:p>
        </w:tc>
        <w:tc>
          <w:tcPr>
            <w:tcW w:w="1273" w:type="dxa"/>
            <w:shd w:val="clear" w:color="auto" w:fill="auto"/>
          </w:tcPr>
          <w:p w:rsidR="00CF151E" w:rsidRPr="004B147B" w:rsidRDefault="00CF151E" w:rsidP="009E3379">
            <w:pPr>
              <w:jc w:val="both"/>
              <w:rPr>
                <w:bCs/>
                <w:sz w:val="20"/>
                <w:szCs w:val="20"/>
                <w:lang w:bidi="ar-EG"/>
              </w:rPr>
            </w:pPr>
            <w:r w:rsidRPr="004B147B">
              <w:rPr>
                <w:bCs/>
                <w:sz w:val="20"/>
                <w:szCs w:val="20"/>
                <w:lang w:bidi="ar-EG"/>
              </w:rPr>
              <w:t>2</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77.5</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31</w:t>
            </w:r>
          </w:p>
        </w:tc>
        <w:tc>
          <w:tcPr>
            <w:tcW w:w="2255" w:type="dxa"/>
            <w:gridSpan w:val="2"/>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Obese (n=40)</w:t>
            </w:r>
          </w:p>
        </w:tc>
      </w:tr>
      <w:tr w:rsidR="00CF151E" w:rsidRPr="004B147B" w:rsidTr="009E3379">
        <w:trPr>
          <w:trHeight w:val="58"/>
          <w:jc w:val="center"/>
        </w:trPr>
        <w:tc>
          <w:tcPr>
            <w:tcW w:w="1017" w:type="dxa"/>
            <w:vMerge/>
            <w:shd w:val="clear" w:color="auto" w:fill="auto"/>
          </w:tcPr>
          <w:p w:rsidR="00CF151E" w:rsidRPr="004B147B" w:rsidRDefault="00CF151E" w:rsidP="009E3379">
            <w:pPr>
              <w:jc w:val="both"/>
              <w:rPr>
                <w:bCs/>
                <w:sz w:val="20"/>
                <w:szCs w:val="20"/>
                <w:lang w:bidi="ar-EG"/>
              </w:rPr>
            </w:pPr>
          </w:p>
        </w:tc>
        <w:tc>
          <w:tcPr>
            <w:tcW w:w="914" w:type="dxa"/>
            <w:vMerge/>
            <w:shd w:val="clear" w:color="auto" w:fill="auto"/>
          </w:tcPr>
          <w:p w:rsidR="00CF151E" w:rsidRPr="004B147B" w:rsidRDefault="00CF151E" w:rsidP="009E3379">
            <w:pPr>
              <w:jc w:val="both"/>
              <w:rPr>
                <w:bCs/>
                <w:sz w:val="20"/>
                <w:szCs w:val="20"/>
                <w:lang w:bidi="ar-EG"/>
              </w:rPr>
            </w:pPr>
          </w:p>
        </w:tc>
        <w:tc>
          <w:tcPr>
            <w:tcW w:w="909" w:type="dxa"/>
            <w:gridSpan w:val="2"/>
            <w:shd w:val="clear" w:color="auto" w:fill="auto"/>
          </w:tcPr>
          <w:p w:rsidR="00CF151E" w:rsidRPr="004B147B" w:rsidRDefault="00CF151E" w:rsidP="009E3379">
            <w:pPr>
              <w:jc w:val="both"/>
              <w:rPr>
                <w:bCs/>
                <w:sz w:val="20"/>
                <w:szCs w:val="20"/>
                <w:lang w:bidi="ar-EG"/>
              </w:rPr>
            </w:pPr>
            <w:r w:rsidRPr="004B147B">
              <w:rPr>
                <w:bCs/>
                <w:sz w:val="20"/>
                <w:szCs w:val="20"/>
                <w:lang w:bidi="ar-EG"/>
              </w:rPr>
              <w:t>0.00</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0</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0.00</w:t>
            </w:r>
          </w:p>
        </w:tc>
        <w:tc>
          <w:tcPr>
            <w:tcW w:w="1273" w:type="dxa"/>
            <w:shd w:val="clear" w:color="auto" w:fill="auto"/>
          </w:tcPr>
          <w:p w:rsidR="00CF151E" w:rsidRPr="004B147B" w:rsidRDefault="00CF151E" w:rsidP="009E3379">
            <w:pPr>
              <w:jc w:val="both"/>
              <w:rPr>
                <w:bCs/>
                <w:sz w:val="20"/>
                <w:szCs w:val="20"/>
                <w:lang w:bidi="ar-EG"/>
              </w:rPr>
            </w:pPr>
            <w:r w:rsidRPr="004B147B">
              <w:rPr>
                <w:bCs/>
                <w:sz w:val="20"/>
                <w:szCs w:val="20"/>
                <w:lang w:bidi="ar-EG"/>
              </w:rPr>
              <w:t>0</w:t>
            </w:r>
          </w:p>
        </w:tc>
        <w:tc>
          <w:tcPr>
            <w:tcW w:w="727" w:type="dxa"/>
            <w:shd w:val="clear" w:color="auto" w:fill="auto"/>
          </w:tcPr>
          <w:p w:rsidR="00CF151E" w:rsidRPr="004B147B" w:rsidRDefault="00CF151E" w:rsidP="009E3379">
            <w:pPr>
              <w:jc w:val="both"/>
              <w:rPr>
                <w:bCs/>
                <w:sz w:val="20"/>
                <w:szCs w:val="20"/>
                <w:lang w:bidi="ar-EG"/>
              </w:rPr>
            </w:pPr>
            <w:r w:rsidRPr="004B147B">
              <w:rPr>
                <w:bCs/>
                <w:sz w:val="20"/>
                <w:szCs w:val="20"/>
                <w:lang w:bidi="ar-EG"/>
              </w:rPr>
              <w:t>100.0</w:t>
            </w:r>
          </w:p>
        </w:tc>
        <w:tc>
          <w:tcPr>
            <w:tcW w:w="909" w:type="dxa"/>
            <w:shd w:val="clear" w:color="auto" w:fill="auto"/>
          </w:tcPr>
          <w:p w:rsidR="00CF151E" w:rsidRPr="004B147B" w:rsidRDefault="00CF151E" w:rsidP="009E3379">
            <w:pPr>
              <w:jc w:val="both"/>
              <w:rPr>
                <w:bCs/>
                <w:sz w:val="20"/>
                <w:szCs w:val="20"/>
                <w:lang w:bidi="ar-EG"/>
              </w:rPr>
            </w:pPr>
            <w:r w:rsidRPr="004B147B">
              <w:rPr>
                <w:bCs/>
                <w:sz w:val="20"/>
                <w:szCs w:val="20"/>
                <w:lang w:bidi="ar-EG"/>
              </w:rPr>
              <w:t>40</w:t>
            </w:r>
          </w:p>
        </w:tc>
        <w:tc>
          <w:tcPr>
            <w:tcW w:w="2255" w:type="dxa"/>
            <w:gridSpan w:val="2"/>
            <w:shd w:val="clear" w:color="auto" w:fill="auto"/>
            <w:vAlign w:val="center"/>
          </w:tcPr>
          <w:p w:rsidR="00CF151E" w:rsidRPr="004B147B" w:rsidRDefault="00CF151E" w:rsidP="009E3379">
            <w:pPr>
              <w:jc w:val="both"/>
              <w:rPr>
                <w:bCs/>
                <w:sz w:val="20"/>
                <w:szCs w:val="20"/>
                <w:lang w:bidi="ar-EG"/>
              </w:rPr>
            </w:pPr>
            <w:r w:rsidRPr="004B147B">
              <w:rPr>
                <w:bCs/>
                <w:sz w:val="20"/>
                <w:szCs w:val="20"/>
                <w:lang w:bidi="ar-EG"/>
              </w:rPr>
              <w:t>Control</w:t>
            </w:r>
            <w:r w:rsidR="004B147B" w:rsidRPr="004B147B">
              <w:rPr>
                <w:bCs/>
                <w:sz w:val="20"/>
                <w:szCs w:val="20"/>
                <w:lang w:bidi="ar-EG"/>
              </w:rPr>
              <w:t xml:space="preserve"> </w:t>
            </w:r>
            <w:r w:rsidRPr="004B147B">
              <w:rPr>
                <w:bCs/>
                <w:sz w:val="20"/>
                <w:szCs w:val="20"/>
                <w:lang w:bidi="ar-EG"/>
              </w:rPr>
              <w:t>(n=40)</w:t>
            </w:r>
          </w:p>
        </w:tc>
      </w:tr>
    </w:tbl>
    <w:p w:rsidR="004B147B" w:rsidRPr="004B147B" w:rsidRDefault="004B147B" w:rsidP="009E3379">
      <w:pPr>
        <w:jc w:val="both"/>
        <w:rPr>
          <w:sz w:val="20"/>
          <w:szCs w:val="20"/>
          <w:lang w:bidi="ar-EG"/>
        </w:rPr>
      </w:pPr>
    </w:p>
    <w:p w:rsidR="004B147B" w:rsidRDefault="004B147B" w:rsidP="009E3379">
      <w:pPr>
        <w:jc w:val="both"/>
        <w:rPr>
          <w:bCs/>
          <w:sz w:val="20"/>
          <w:szCs w:val="20"/>
          <w:lang w:bidi="ar-EG"/>
        </w:rPr>
        <w:sectPr w:rsidR="004B147B" w:rsidSect="00BF41E7">
          <w:footnotePr>
            <w:pos w:val="beneathText"/>
          </w:footnotePr>
          <w:type w:val="continuous"/>
          <w:pgSz w:w="12240" w:h="15840" w:code="1"/>
          <w:pgMar w:top="1418" w:right="1418" w:bottom="1418" w:left="1418" w:header="720" w:footer="720" w:gutter="0"/>
          <w:cols w:space="720"/>
          <w:docGrid w:linePitch="360"/>
        </w:sectPr>
      </w:pPr>
    </w:p>
    <w:p w:rsidR="00CF151E" w:rsidRPr="004B147B" w:rsidRDefault="00CF151E" w:rsidP="009E3379">
      <w:pPr>
        <w:jc w:val="both"/>
        <w:rPr>
          <w:bCs/>
          <w:sz w:val="20"/>
          <w:szCs w:val="20"/>
          <w:lang w:bidi="ar-EG"/>
        </w:rPr>
      </w:pPr>
      <w:r w:rsidRPr="004B147B">
        <w:rPr>
          <w:bCs/>
          <w:sz w:val="20"/>
          <w:szCs w:val="20"/>
          <w:lang w:bidi="ar-EG"/>
        </w:rPr>
        <w:lastRenderedPageBreak/>
        <w:t xml:space="preserve">Table (8) :Complications in obese group </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tblPr>
      <w:tblGrid>
        <w:gridCol w:w="686"/>
        <w:gridCol w:w="905"/>
        <w:gridCol w:w="3087"/>
      </w:tblGrid>
      <w:tr w:rsidR="00CF151E" w:rsidRPr="004B147B" w:rsidTr="004B147B">
        <w:trPr>
          <w:trHeight w:val="81"/>
          <w:jc w:val="center"/>
        </w:trPr>
        <w:tc>
          <w:tcPr>
            <w:tcW w:w="734" w:type="pct"/>
            <w:shd w:val="clear" w:color="auto" w:fill="auto"/>
          </w:tcPr>
          <w:p w:rsidR="00CF151E" w:rsidRPr="004B147B" w:rsidRDefault="00CF151E" w:rsidP="009E3379">
            <w:pPr>
              <w:jc w:val="both"/>
              <w:rPr>
                <w:sz w:val="20"/>
                <w:szCs w:val="20"/>
                <w:lang w:bidi="ar-EG"/>
              </w:rPr>
            </w:pPr>
            <w:r w:rsidRPr="004B147B">
              <w:rPr>
                <w:bCs/>
                <w:sz w:val="20"/>
                <w:szCs w:val="20"/>
                <w:lang w:bidi="ar-EG"/>
              </w:rPr>
              <w:t>%</w:t>
            </w:r>
          </w:p>
        </w:tc>
        <w:tc>
          <w:tcPr>
            <w:tcW w:w="967" w:type="pct"/>
            <w:shd w:val="clear" w:color="auto" w:fill="auto"/>
          </w:tcPr>
          <w:p w:rsidR="00CF151E" w:rsidRPr="004B147B" w:rsidRDefault="00CF151E" w:rsidP="009E3379">
            <w:pPr>
              <w:jc w:val="both"/>
              <w:rPr>
                <w:sz w:val="20"/>
                <w:szCs w:val="20"/>
                <w:lang w:bidi="ar-EG"/>
              </w:rPr>
            </w:pPr>
            <w:r w:rsidRPr="004B147B">
              <w:rPr>
                <w:bCs/>
                <w:sz w:val="20"/>
                <w:szCs w:val="20"/>
                <w:lang w:bidi="ar-EG"/>
              </w:rPr>
              <w:t>No.</w:t>
            </w:r>
          </w:p>
        </w:tc>
        <w:tc>
          <w:tcPr>
            <w:tcW w:w="3299" w:type="pct"/>
            <w:shd w:val="clear" w:color="auto" w:fill="auto"/>
          </w:tcPr>
          <w:p w:rsidR="00CF151E" w:rsidRPr="004B147B" w:rsidRDefault="00CF151E" w:rsidP="009E3379">
            <w:pPr>
              <w:jc w:val="both"/>
              <w:rPr>
                <w:sz w:val="20"/>
                <w:szCs w:val="20"/>
                <w:lang w:bidi="ar-EG"/>
              </w:rPr>
            </w:pPr>
            <w:r w:rsidRPr="004B147B">
              <w:rPr>
                <w:bCs/>
                <w:sz w:val="20"/>
                <w:szCs w:val="20"/>
                <w:lang w:bidi="ar-EG"/>
              </w:rPr>
              <w:t xml:space="preserve">Complications </w:t>
            </w:r>
          </w:p>
        </w:tc>
      </w:tr>
      <w:tr w:rsidR="00CF151E" w:rsidRPr="004B147B" w:rsidTr="004B147B">
        <w:trPr>
          <w:trHeight w:val="79"/>
          <w:jc w:val="center"/>
        </w:trPr>
        <w:tc>
          <w:tcPr>
            <w:tcW w:w="734" w:type="pct"/>
            <w:shd w:val="clear" w:color="auto" w:fill="auto"/>
          </w:tcPr>
          <w:p w:rsidR="00CF151E" w:rsidRPr="004B147B" w:rsidRDefault="00CF151E" w:rsidP="009E3379">
            <w:pPr>
              <w:jc w:val="both"/>
              <w:rPr>
                <w:sz w:val="20"/>
                <w:szCs w:val="20"/>
                <w:lang w:bidi="ar-EG"/>
              </w:rPr>
            </w:pPr>
            <w:r w:rsidRPr="004B147B">
              <w:rPr>
                <w:bCs/>
                <w:sz w:val="20"/>
                <w:szCs w:val="20"/>
                <w:lang w:bidi="ar-EG"/>
              </w:rPr>
              <w:t>30.0</w:t>
            </w:r>
          </w:p>
        </w:tc>
        <w:tc>
          <w:tcPr>
            <w:tcW w:w="967" w:type="pct"/>
            <w:shd w:val="clear" w:color="auto" w:fill="auto"/>
          </w:tcPr>
          <w:p w:rsidR="00CF151E" w:rsidRPr="004B147B" w:rsidRDefault="00CF151E" w:rsidP="009E3379">
            <w:pPr>
              <w:jc w:val="both"/>
              <w:rPr>
                <w:sz w:val="20"/>
                <w:szCs w:val="20"/>
                <w:lang w:bidi="ar-EG"/>
              </w:rPr>
            </w:pPr>
            <w:r w:rsidRPr="004B147B">
              <w:rPr>
                <w:bCs/>
                <w:sz w:val="20"/>
                <w:szCs w:val="20"/>
                <w:lang w:bidi="ar-EG"/>
              </w:rPr>
              <w:t>12</w:t>
            </w:r>
          </w:p>
        </w:tc>
        <w:tc>
          <w:tcPr>
            <w:tcW w:w="3299" w:type="pct"/>
            <w:shd w:val="clear" w:color="auto" w:fill="auto"/>
          </w:tcPr>
          <w:p w:rsidR="00CF151E" w:rsidRPr="004B147B" w:rsidRDefault="00CF151E" w:rsidP="009E3379">
            <w:pPr>
              <w:jc w:val="both"/>
              <w:rPr>
                <w:sz w:val="20"/>
                <w:szCs w:val="20"/>
                <w:lang w:bidi="ar-EG"/>
              </w:rPr>
            </w:pPr>
            <w:r w:rsidRPr="004B147B">
              <w:rPr>
                <w:bCs/>
                <w:sz w:val="20"/>
                <w:szCs w:val="20"/>
                <w:lang w:bidi="ar-EG"/>
              </w:rPr>
              <w:t>Fatty liver</w:t>
            </w:r>
            <w:r w:rsidR="004B147B" w:rsidRPr="004B147B">
              <w:rPr>
                <w:bCs/>
                <w:sz w:val="20"/>
                <w:szCs w:val="20"/>
                <w:lang w:bidi="ar-EG"/>
              </w:rPr>
              <w:t xml:space="preserve"> </w:t>
            </w:r>
          </w:p>
        </w:tc>
      </w:tr>
      <w:tr w:rsidR="00CF151E" w:rsidRPr="004B147B" w:rsidTr="004B147B">
        <w:trPr>
          <w:trHeight w:val="79"/>
          <w:jc w:val="center"/>
        </w:trPr>
        <w:tc>
          <w:tcPr>
            <w:tcW w:w="734" w:type="pct"/>
            <w:shd w:val="clear" w:color="auto" w:fill="auto"/>
          </w:tcPr>
          <w:p w:rsidR="00CF151E" w:rsidRPr="004B147B" w:rsidRDefault="00CF151E" w:rsidP="009E3379">
            <w:pPr>
              <w:jc w:val="both"/>
              <w:rPr>
                <w:sz w:val="20"/>
                <w:szCs w:val="20"/>
                <w:lang w:bidi="ar-EG"/>
              </w:rPr>
            </w:pPr>
            <w:r w:rsidRPr="004B147B">
              <w:rPr>
                <w:bCs/>
                <w:sz w:val="20"/>
                <w:szCs w:val="20"/>
                <w:lang w:bidi="ar-EG"/>
              </w:rPr>
              <w:t>17.5</w:t>
            </w:r>
          </w:p>
        </w:tc>
        <w:tc>
          <w:tcPr>
            <w:tcW w:w="967" w:type="pct"/>
            <w:shd w:val="clear" w:color="auto" w:fill="auto"/>
          </w:tcPr>
          <w:p w:rsidR="00CF151E" w:rsidRPr="004B147B" w:rsidRDefault="00CF151E" w:rsidP="009E3379">
            <w:pPr>
              <w:jc w:val="both"/>
              <w:rPr>
                <w:sz w:val="20"/>
                <w:szCs w:val="20"/>
                <w:lang w:bidi="ar-EG"/>
              </w:rPr>
            </w:pPr>
            <w:r w:rsidRPr="004B147B">
              <w:rPr>
                <w:bCs/>
                <w:sz w:val="20"/>
                <w:szCs w:val="20"/>
                <w:lang w:bidi="ar-EG"/>
              </w:rPr>
              <w:t>7</w:t>
            </w:r>
          </w:p>
        </w:tc>
        <w:tc>
          <w:tcPr>
            <w:tcW w:w="3299" w:type="pct"/>
            <w:shd w:val="clear" w:color="auto" w:fill="auto"/>
          </w:tcPr>
          <w:p w:rsidR="00CF151E" w:rsidRPr="004B147B" w:rsidRDefault="00CF151E" w:rsidP="009E3379">
            <w:pPr>
              <w:jc w:val="both"/>
              <w:rPr>
                <w:sz w:val="20"/>
                <w:szCs w:val="20"/>
                <w:lang w:bidi="ar-EG"/>
              </w:rPr>
            </w:pPr>
            <w:r w:rsidRPr="004B147B">
              <w:rPr>
                <w:bCs/>
                <w:sz w:val="20"/>
                <w:szCs w:val="20"/>
                <w:lang w:bidi="ar-EG"/>
              </w:rPr>
              <w:t xml:space="preserve">Hypertension </w:t>
            </w:r>
          </w:p>
        </w:tc>
      </w:tr>
      <w:tr w:rsidR="00CF151E" w:rsidRPr="004B147B" w:rsidTr="004B147B">
        <w:trPr>
          <w:trHeight w:val="79"/>
          <w:jc w:val="center"/>
        </w:trPr>
        <w:tc>
          <w:tcPr>
            <w:tcW w:w="734" w:type="pct"/>
            <w:shd w:val="clear" w:color="auto" w:fill="auto"/>
          </w:tcPr>
          <w:p w:rsidR="00CF151E" w:rsidRPr="004B147B" w:rsidRDefault="00CF151E" w:rsidP="009E3379">
            <w:pPr>
              <w:jc w:val="both"/>
              <w:rPr>
                <w:sz w:val="20"/>
                <w:szCs w:val="20"/>
                <w:lang w:bidi="ar-EG"/>
              </w:rPr>
            </w:pPr>
            <w:r w:rsidRPr="004B147B">
              <w:rPr>
                <w:bCs/>
                <w:sz w:val="20"/>
                <w:szCs w:val="20"/>
                <w:lang w:bidi="ar-EG"/>
              </w:rPr>
              <w:t>5.0</w:t>
            </w:r>
          </w:p>
        </w:tc>
        <w:tc>
          <w:tcPr>
            <w:tcW w:w="967" w:type="pct"/>
            <w:shd w:val="clear" w:color="auto" w:fill="auto"/>
          </w:tcPr>
          <w:p w:rsidR="00CF151E" w:rsidRPr="004B147B" w:rsidRDefault="00CF151E" w:rsidP="009E3379">
            <w:pPr>
              <w:jc w:val="both"/>
              <w:rPr>
                <w:sz w:val="20"/>
                <w:szCs w:val="20"/>
                <w:lang w:bidi="ar-EG"/>
              </w:rPr>
            </w:pPr>
            <w:r w:rsidRPr="004B147B">
              <w:rPr>
                <w:bCs/>
                <w:sz w:val="20"/>
                <w:szCs w:val="20"/>
                <w:lang w:bidi="ar-EG"/>
              </w:rPr>
              <w:t>2</w:t>
            </w:r>
          </w:p>
        </w:tc>
        <w:tc>
          <w:tcPr>
            <w:tcW w:w="3299" w:type="pct"/>
            <w:shd w:val="clear" w:color="auto" w:fill="auto"/>
          </w:tcPr>
          <w:p w:rsidR="00CF151E" w:rsidRPr="004B147B" w:rsidRDefault="00CF151E" w:rsidP="009E3379">
            <w:pPr>
              <w:jc w:val="both"/>
              <w:rPr>
                <w:sz w:val="20"/>
                <w:szCs w:val="20"/>
                <w:lang w:bidi="ar-EG"/>
              </w:rPr>
            </w:pPr>
            <w:r w:rsidRPr="004B147B">
              <w:rPr>
                <w:bCs/>
                <w:sz w:val="20"/>
                <w:szCs w:val="20"/>
                <w:lang w:bidi="ar-EG"/>
              </w:rPr>
              <w:t xml:space="preserve">Diabetes Mellitus </w:t>
            </w:r>
          </w:p>
        </w:tc>
      </w:tr>
      <w:tr w:rsidR="00CF151E" w:rsidRPr="004B147B" w:rsidTr="004B147B">
        <w:trPr>
          <w:trHeight w:val="322"/>
          <w:jc w:val="center"/>
        </w:trPr>
        <w:tc>
          <w:tcPr>
            <w:tcW w:w="734" w:type="pct"/>
            <w:shd w:val="clear" w:color="auto" w:fill="auto"/>
          </w:tcPr>
          <w:p w:rsidR="009E3379" w:rsidRDefault="009E3379" w:rsidP="009E3379">
            <w:pPr>
              <w:jc w:val="both"/>
              <w:rPr>
                <w:bCs/>
                <w:sz w:val="20"/>
                <w:szCs w:val="20"/>
                <w:lang w:bidi="ar-EG"/>
              </w:rPr>
            </w:pPr>
          </w:p>
          <w:p w:rsidR="00CF151E" w:rsidRPr="004B147B" w:rsidRDefault="00CF151E" w:rsidP="009E3379">
            <w:pPr>
              <w:jc w:val="both"/>
              <w:rPr>
                <w:bCs/>
                <w:sz w:val="20"/>
                <w:szCs w:val="20"/>
                <w:rtl/>
              </w:rPr>
            </w:pPr>
            <w:r w:rsidRPr="004B147B">
              <w:rPr>
                <w:bCs/>
                <w:sz w:val="20"/>
                <w:szCs w:val="20"/>
                <w:lang w:bidi="ar-EG"/>
              </w:rPr>
              <w:t>36.6</w:t>
            </w:r>
          </w:p>
          <w:p w:rsidR="00CF151E" w:rsidRPr="004B147B" w:rsidRDefault="00CF151E" w:rsidP="009E3379">
            <w:pPr>
              <w:jc w:val="both"/>
              <w:rPr>
                <w:bCs/>
                <w:sz w:val="20"/>
                <w:szCs w:val="20"/>
                <w:lang w:bidi="ar-EG"/>
              </w:rPr>
            </w:pPr>
            <w:r w:rsidRPr="004B147B">
              <w:rPr>
                <w:bCs/>
                <w:sz w:val="20"/>
                <w:szCs w:val="20"/>
                <w:lang w:bidi="ar-EG"/>
              </w:rPr>
              <w:t>63.3</w:t>
            </w:r>
          </w:p>
          <w:p w:rsidR="00CF151E" w:rsidRPr="004B147B" w:rsidRDefault="00CF151E" w:rsidP="009E3379">
            <w:pPr>
              <w:jc w:val="both"/>
              <w:rPr>
                <w:sz w:val="20"/>
                <w:szCs w:val="20"/>
                <w:lang w:bidi="ar-EG"/>
              </w:rPr>
            </w:pPr>
            <w:r w:rsidRPr="004B147B">
              <w:rPr>
                <w:bCs/>
                <w:sz w:val="20"/>
                <w:szCs w:val="20"/>
                <w:lang w:bidi="ar-EG"/>
              </w:rPr>
              <w:t>75</w:t>
            </w:r>
          </w:p>
        </w:tc>
        <w:tc>
          <w:tcPr>
            <w:tcW w:w="967" w:type="pct"/>
            <w:shd w:val="clear" w:color="auto" w:fill="auto"/>
          </w:tcPr>
          <w:p w:rsidR="009E3379" w:rsidRDefault="009E3379" w:rsidP="009E3379">
            <w:pPr>
              <w:jc w:val="both"/>
              <w:rPr>
                <w:bCs/>
                <w:sz w:val="20"/>
                <w:szCs w:val="20"/>
                <w:lang w:bidi="ar-EG"/>
              </w:rPr>
            </w:pPr>
          </w:p>
          <w:p w:rsidR="00CF151E" w:rsidRPr="004B147B" w:rsidRDefault="00CF151E" w:rsidP="009E3379">
            <w:pPr>
              <w:jc w:val="both"/>
              <w:rPr>
                <w:bCs/>
                <w:sz w:val="20"/>
                <w:szCs w:val="20"/>
                <w:rtl/>
              </w:rPr>
            </w:pPr>
            <w:r w:rsidRPr="004B147B">
              <w:rPr>
                <w:bCs/>
                <w:sz w:val="20"/>
                <w:szCs w:val="20"/>
                <w:lang w:bidi="ar-EG"/>
              </w:rPr>
              <w:t>11</w:t>
            </w:r>
          </w:p>
          <w:p w:rsidR="00CF151E" w:rsidRPr="004B147B" w:rsidRDefault="00CF151E" w:rsidP="009E3379">
            <w:pPr>
              <w:jc w:val="both"/>
              <w:rPr>
                <w:bCs/>
                <w:sz w:val="20"/>
                <w:szCs w:val="20"/>
                <w:lang w:bidi="ar-EG"/>
              </w:rPr>
            </w:pPr>
            <w:r w:rsidRPr="004B147B">
              <w:rPr>
                <w:bCs/>
                <w:sz w:val="20"/>
                <w:szCs w:val="20"/>
                <w:lang w:bidi="ar-EG"/>
              </w:rPr>
              <w:t>19</w:t>
            </w:r>
          </w:p>
          <w:p w:rsidR="00CF151E" w:rsidRPr="004B147B" w:rsidRDefault="00CF151E" w:rsidP="009E3379">
            <w:pPr>
              <w:jc w:val="both"/>
              <w:rPr>
                <w:sz w:val="20"/>
                <w:szCs w:val="20"/>
                <w:lang w:bidi="ar-EG"/>
              </w:rPr>
            </w:pPr>
            <w:r w:rsidRPr="004B147B">
              <w:rPr>
                <w:bCs/>
                <w:sz w:val="20"/>
                <w:szCs w:val="20"/>
                <w:lang w:bidi="ar-EG"/>
              </w:rPr>
              <w:t>30</w:t>
            </w:r>
          </w:p>
        </w:tc>
        <w:tc>
          <w:tcPr>
            <w:tcW w:w="3299" w:type="pct"/>
            <w:shd w:val="clear" w:color="auto" w:fill="auto"/>
          </w:tcPr>
          <w:p w:rsidR="00CF151E" w:rsidRPr="004B147B" w:rsidRDefault="00CF151E" w:rsidP="009E3379">
            <w:pPr>
              <w:jc w:val="both"/>
              <w:rPr>
                <w:bCs/>
                <w:sz w:val="20"/>
                <w:szCs w:val="20"/>
                <w:rtl/>
              </w:rPr>
            </w:pPr>
            <w:r w:rsidRPr="004B147B">
              <w:rPr>
                <w:bCs/>
                <w:sz w:val="20"/>
                <w:szCs w:val="20"/>
                <w:lang w:bidi="ar-EG"/>
              </w:rPr>
              <w:t xml:space="preserve">Psychological problems </w:t>
            </w:r>
          </w:p>
          <w:p w:rsidR="00CF151E" w:rsidRPr="004B147B" w:rsidRDefault="00CF151E" w:rsidP="009E3379">
            <w:pPr>
              <w:jc w:val="both"/>
              <w:rPr>
                <w:bCs/>
                <w:sz w:val="20"/>
                <w:szCs w:val="20"/>
                <w:lang w:bidi="ar-EG"/>
              </w:rPr>
            </w:pPr>
            <w:r w:rsidRPr="004B147B">
              <w:rPr>
                <w:bCs/>
                <w:sz w:val="20"/>
                <w:szCs w:val="20"/>
                <w:lang w:bidi="ar-EG"/>
              </w:rPr>
              <w:tab/>
              <w:t xml:space="preserve">Male </w:t>
            </w:r>
          </w:p>
          <w:p w:rsidR="00CF151E" w:rsidRPr="004B147B" w:rsidRDefault="00CF151E" w:rsidP="009E3379">
            <w:pPr>
              <w:jc w:val="both"/>
              <w:rPr>
                <w:bCs/>
                <w:sz w:val="20"/>
                <w:szCs w:val="20"/>
                <w:lang w:bidi="ar-EG"/>
              </w:rPr>
            </w:pPr>
            <w:r w:rsidRPr="004B147B">
              <w:rPr>
                <w:bCs/>
                <w:sz w:val="20"/>
                <w:szCs w:val="20"/>
                <w:lang w:bidi="ar-EG"/>
              </w:rPr>
              <w:tab/>
              <w:t>Female</w:t>
            </w:r>
          </w:p>
          <w:p w:rsidR="00CF151E" w:rsidRPr="004B147B" w:rsidRDefault="00CF151E" w:rsidP="009E3379">
            <w:pPr>
              <w:jc w:val="both"/>
              <w:rPr>
                <w:sz w:val="20"/>
                <w:szCs w:val="20"/>
                <w:lang w:bidi="ar-EG"/>
              </w:rPr>
            </w:pPr>
            <w:r w:rsidRPr="004B147B">
              <w:rPr>
                <w:bCs/>
                <w:sz w:val="20"/>
                <w:szCs w:val="20"/>
                <w:lang w:bidi="ar-EG"/>
              </w:rPr>
              <w:tab/>
              <w:t xml:space="preserve">Total </w:t>
            </w:r>
          </w:p>
        </w:tc>
      </w:tr>
    </w:tbl>
    <w:p w:rsidR="00274D70" w:rsidRDefault="00274D70" w:rsidP="009E3379">
      <w:pPr>
        <w:jc w:val="lowKashida"/>
        <w:rPr>
          <w:sz w:val="20"/>
          <w:szCs w:val="20"/>
          <w:lang w:bidi="ar-EG"/>
        </w:rPr>
      </w:pPr>
    </w:p>
    <w:p w:rsidR="004B147B" w:rsidRPr="006038FB" w:rsidRDefault="004B147B" w:rsidP="009E3379">
      <w:pPr>
        <w:rPr>
          <w:sz w:val="20"/>
          <w:szCs w:val="20"/>
          <w:lang w:bidi="ar-EG"/>
        </w:rPr>
      </w:pPr>
      <w:r w:rsidRPr="006038FB">
        <w:rPr>
          <w:noProof/>
          <w:sz w:val="20"/>
          <w:szCs w:val="20"/>
          <w:lang w:eastAsia="zh-CN"/>
        </w:rPr>
        <w:drawing>
          <wp:inline distT="0" distB="0" distL="0" distR="0">
            <wp:extent cx="2522814" cy="2022235"/>
            <wp:effectExtent l="19050" t="19050" r="10836" b="1611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lum bright="-12000" contrast="36000"/>
                    </a:blip>
                    <a:srcRect l="3064" t="1575" r="1622" b="3149"/>
                    <a:stretch>
                      <a:fillRect/>
                    </a:stretch>
                  </pic:blipFill>
                  <pic:spPr bwMode="auto">
                    <a:xfrm>
                      <a:off x="0" y="0"/>
                      <a:ext cx="2523946" cy="2023142"/>
                    </a:xfrm>
                    <a:prstGeom prst="rect">
                      <a:avLst/>
                    </a:prstGeom>
                    <a:gradFill rotWithShape="1">
                      <a:gsLst>
                        <a:gs pos="0">
                          <a:srgbClr val="FFFFCC"/>
                        </a:gs>
                        <a:gs pos="50000">
                          <a:srgbClr val="FFFFFF"/>
                        </a:gs>
                        <a:gs pos="100000">
                          <a:srgbClr val="FFFFCC"/>
                        </a:gs>
                      </a:gsLst>
                      <a:lin ang="5400000" scaled="1"/>
                    </a:gradFill>
                    <a:ln w="19050">
                      <a:solidFill>
                        <a:srgbClr val="000000"/>
                      </a:solidFill>
                      <a:miter lim="800000"/>
                      <a:headEnd/>
                      <a:tailEnd/>
                    </a:ln>
                  </pic:spPr>
                </pic:pic>
              </a:graphicData>
            </a:graphic>
          </wp:inline>
        </w:drawing>
      </w:r>
    </w:p>
    <w:p w:rsidR="004B147B" w:rsidRPr="006038FB" w:rsidRDefault="004B147B" w:rsidP="009E3379">
      <w:pPr>
        <w:ind w:left="720" w:hanging="720"/>
        <w:rPr>
          <w:b/>
          <w:bCs/>
          <w:sz w:val="20"/>
          <w:szCs w:val="20"/>
          <w:lang w:bidi="ar-EG"/>
        </w:rPr>
      </w:pPr>
      <w:r w:rsidRPr="006038FB">
        <w:rPr>
          <w:b/>
          <w:bCs/>
          <w:sz w:val="20"/>
          <w:szCs w:val="20"/>
          <w:lang w:bidi="ar-EG"/>
        </w:rPr>
        <w:t xml:space="preserve">Figure (2) :Relation between </w:t>
      </w:r>
      <w:smartTag w:uri="urn:schemas-microsoft-com:office:smarttags" w:element="stockticker">
        <w:r w:rsidRPr="006038FB">
          <w:rPr>
            <w:b/>
            <w:bCs/>
            <w:sz w:val="20"/>
            <w:szCs w:val="20"/>
            <w:lang w:bidi="ar-EG"/>
          </w:rPr>
          <w:t>BMI</w:t>
        </w:r>
      </w:smartTag>
      <w:r w:rsidRPr="006038FB">
        <w:rPr>
          <w:b/>
          <w:bCs/>
          <w:sz w:val="20"/>
          <w:szCs w:val="20"/>
          <w:lang w:bidi="ar-EG"/>
        </w:rPr>
        <w:t xml:space="preserve"> and waist circumference in the obese group</w:t>
      </w:r>
    </w:p>
    <w:p w:rsidR="004B147B" w:rsidRPr="006038FB" w:rsidRDefault="004B147B" w:rsidP="009E3379">
      <w:pPr>
        <w:jc w:val="center"/>
        <w:rPr>
          <w:sz w:val="20"/>
          <w:szCs w:val="20"/>
          <w:lang w:bidi="ar-EG"/>
        </w:rPr>
      </w:pPr>
      <w:r w:rsidRPr="006038FB">
        <w:rPr>
          <w:noProof/>
          <w:sz w:val="20"/>
          <w:szCs w:val="20"/>
          <w:lang w:eastAsia="zh-CN"/>
        </w:rPr>
        <w:lastRenderedPageBreak/>
        <w:drawing>
          <wp:inline distT="0" distB="0" distL="0" distR="0">
            <wp:extent cx="2664124" cy="2094976"/>
            <wp:effectExtent l="19050" t="19050" r="21926" b="19574"/>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lum bright="-12000" contrast="36000"/>
                    </a:blip>
                    <a:srcRect l="3545" t="1500" b="3975"/>
                    <a:stretch>
                      <a:fillRect/>
                    </a:stretch>
                  </pic:blipFill>
                  <pic:spPr bwMode="auto">
                    <a:xfrm>
                      <a:off x="0" y="0"/>
                      <a:ext cx="2663825" cy="2094741"/>
                    </a:xfrm>
                    <a:prstGeom prst="rect">
                      <a:avLst/>
                    </a:prstGeom>
                    <a:gradFill rotWithShape="1">
                      <a:gsLst>
                        <a:gs pos="0">
                          <a:srgbClr val="FFFFCC"/>
                        </a:gs>
                        <a:gs pos="50000">
                          <a:srgbClr val="FFFFFF"/>
                        </a:gs>
                        <a:gs pos="100000">
                          <a:srgbClr val="FFFFCC"/>
                        </a:gs>
                      </a:gsLst>
                      <a:lin ang="5400000" scaled="1"/>
                    </a:gradFill>
                    <a:ln w="19050" cmpd="sng">
                      <a:solidFill>
                        <a:srgbClr val="000000"/>
                      </a:solidFill>
                      <a:miter lim="800000"/>
                      <a:headEnd/>
                      <a:tailEnd/>
                    </a:ln>
                    <a:effectLst/>
                  </pic:spPr>
                </pic:pic>
              </a:graphicData>
            </a:graphic>
          </wp:inline>
        </w:drawing>
      </w:r>
    </w:p>
    <w:p w:rsidR="004B147B" w:rsidRPr="006038FB" w:rsidRDefault="004B147B" w:rsidP="009E3379">
      <w:pPr>
        <w:jc w:val="lowKashida"/>
        <w:rPr>
          <w:b/>
          <w:bCs/>
          <w:sz w:val="20"/>
          <w:szCs w:val="20"/>
          <w:lang w:bidi="ar-EG"/>
        </w:rPr>
      </w:pPr>
      <w:r w:rsidRPr="006038FB">
        <w:rPr>
          <w:b/>
          <w:bCs/>
          <w:sz w:val="20"/>
          <w:szCs w:val="20"/>
          <w:lang w:bidi="ar-EG"/>
        </w:rPr>
        <w:t xml:space="preserve">Figure (3) :Relation between </w:t>
      </w:r>
      <w:smartTag w:uri="urn:schemas-microsoft-com:office:smarttags" w:element="stockticker">
        <w:r w:rsidRPr="006038FB">
          <w:rPr>
            <w:b/>
            <w:bCs/>
            <w:sz w:val="20"/>
            <w:szCs w:val="20"/>
            <w:lang w:bidi="ar-EG"/>
          </w:rPr>
          <w:t>BMI</w:t>
        </w:r>
      </w:smartTag>
      <w:r w:rsidRPr="006038FB">
        <w:rPr>
          <w:b/>
          <w:bCs/>
          <w:sz w:val="20"/>
          <w:szCs w:val="20"/>
          <w:lang w:bidi="ar-EG"/>
        </w:rPr>
        <w:t xml:space="preserve"> and waist to height ratio in the obese group</w:t>
      </w:r>
    </w:p>
    <w:p w:rsidR="004B147B" w:rsidRDefault="004B147B" w:rsidP="009E3379">
      <w:pPr>
        <w:jc w:val="lowKashida"/>
        <w:rPr>
          <w:sz w:val="20"/>
          <w:szCs w:val="20"/>
          <w:lang w:bidi="ar-EG"/>
        </w:rPr>
      </w:pPr>
    </w:p>
    <w:p w:rsidR="00CF151E" w:rsidRPr="006038FB" w:rsidRDefault="00CF151E" w:rsidP="009E3379">
      <w:pPr>
        <w:pStyle w:val="NoSpacing"/>
        <w:jc w:val="both"/>
        <w:rPr>
          <w:b/>
          <w:bCs/>
          <w:sz w:val="20"/>
          <w:szCs w:val="20"/>
          <w:lang w:bidi="ar-EG"/>
        </w:rPr>
      </w:pPr>
      <w:r w:rsidRPr="006038FB">
        <w:rPr>
          <w:b/>
          <w:bCs/>
          <w:sz w:val="20"/>
          <w:szCs w:val="20"/>
          <w:lang w:bidi="ar-EG"/>
        </w:rPr>
        <w:t>4.</w:t>
      </w:r>
      <w:r w:rsidR="00274D70" w:rsidRPr="006038FB">
        <w:rPr>
          <w:b/>
          <w:bCs/>
          <w:sz w:val="20"/>
          <w:szCs w:val="20"/>
          <w:lang w:bidi="ar-EG"/>
        </w:rPr>
        <w:t xml:space="preserve"> </w:t>
      </w:r>
      <w:r w:rsidRPr="006038FB">
        <w:rPr>
          <w:b/>
          <w:bCs/>
          <w:sz w:val="20"/>
          <w:szCs w:val="20"/>
          <w:lang w:bidi="ar-EG"/>
        </w:rPr>
        <w:t>Discussion</w:t>
      </w:r>
    </w:p>
    <w:p w:rsidR="00CF151E" w:rsidRPr="006038FB" w:rsidRDefault="00CF151E" w:rsidP="009E3379">
      <w:pPr>
        <w:pStyle w:val="NoSpacing"/>
        <w:ind w:firstLine="426"/>
        <w:jc w:val="both"/>
        <w:rPr>
          <w:b/>
          <w:bCs/>
          <w:i/>
          <w:iCs/>
          <w:sz w:val="20"/>
          <w:szCs w:val="20"/>
          <w:lang w:bidi="ar-EG"/>
        </w:rPr>
      </w:pPr>
      <w:r w:rsidRPr="006038FB">
        <w:rPr>
          <w:sz w:val="20"/>
          <w:szCs w:val="20"/>
          <w:lang w:bidi="ar-EG"/>
        </w:rPr>
        <w:t xml:space="preserve">Obesity in children and adolescents is associated with several metabolic and hemodynamic abnormalities including </w:t>
      </w:r>
      <w:proofErr w:type="spellStart"/>
      <w:r w:rsidRPr="006038FB">
        <w:rPr>
          <w:sz w:val="20"/>
          <w:szCs w:val="20"/>
          <w:lang w:bidi="ar-EG"/>
        </w:rPr>
        <w:t>dyslipidemia</w:t>
      </w:r>
      <w:proofErr w:type="spellEnd"/>
      <w:r w:rsidRPr="006038FB">
        <w:rPr>
          <w:sz w:val="20"/>
          <w:szCs w:val="20"/>
          <w:lang w:bidi="ar-EG"/>
        </w:rPr>
        <w:t xml:space="preserve">, high blood pressure, impaired glucose tolerance, insulin resistance and cardiovascular risk factors </w:t>
      </w:r>
      <w:r w:rsidRPr="006038FB">
        <w:rPr>
          <w:b/>
          <w:bCs/>
          <w:i/>
          <w:iCs/>
          <w:sz w:val="20"/>
          <w:szCs w:val="20"/>
          <w:lang w:bidi="ar-EG"/>
        </w:rPr>
        <w:t>(Ogden et al .,</w:t>
      </w:r>
      <w:r w:rsidR="00274D70" w:rsidRPr="006038FB">
        <w:rPr>
          <w:b/>
          <w:bCs/>
          <w:i/>
          <w:iCs/>
          <w:sz w:val="20"/>
          <w:szCs w:val="20"/>
          <w:lang w:bidi="ar-EG"/>
        </w:rPr>
        <w:t xml:space="preserve"> </w:t>
      </w:r>
      <w:r w:rsidRPr="006038FB">
        <w:rPr>
          <w:b/>
          <w:bCs/>
          <w:i/>
          <w:iCs/>
          <w:sz w:val="20"/>
          <w:szCs w:val="20"/>
          <w:lang w:bidi="ar-EG"/>
        </w:rPr>
        <w:t>2007).</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Pattern of fat distribution rather than obesity is of importance for metabolic disorders and for cardiovascular morbidity and mortality </w:t>
      </w:r>
      <w:r w:rsidRPr="006038FB">
        <w:rPr>
          <w:b/>
          <w:bCs/>
          <w:i/>
          <w:iCs/>
          <w:sz w:val="20"/>
          <w:szCs w:val="20"/>
          <w:lang w:bidi="ar-EG"/>
        </w:rPr>
        <w:t>(</w:t>
      </w:r>
      <w:proofErr w:type="spellStart"/>
      <w:r w:rsidRPr="006038FB">
        <w:rPr>
          <w:b/>
          <w:bCs/>
          <w:i/>
          <w:iCs/>
          <w:sz w:val="20"/>
          <w:szCs w:val="20"/>
          <w:lang w:bidi="ar-EG"/>
        </w:rPr>
        <w:t>Semiz</w:t>
      </w:r>
      <w:proofErr w:type="spellEnd"/>
      <w:r w:rsidRPr="006038FB">
        <w:rPr>
          <w:b/>
          <w:bCs/>
          <w:i/>
          <w:iCs/>
          <w:sz w:val="20"/>
          <w:szCs w:val="20"/>
          <w:lang w:bidi="ar-EG"/>
        </w:rPr>
        <w:t xml:space="preserve"> et al., 2007)</w:t>
      </w:r>
      <w:r w:rsidRPr="006038FB">
        <w:rPr>
          <w:sz w:val="20"/>
          <w:szCs w:val="20"/>
          <w:lang w:bidi="ar-EG"/>
        </w:rPr>
        <w:t xml:space="preserve">. </w:t>
      </w:r>
    </w:p>
    <w:p w:rsidR="00CF151E" w:rsidRPr="006038FB" w:rsidRDefault="004B147B" w:rsidP="009E3379">
      <w:pPr>
        <w:pStyle w:val="NoSpacing"/>
        <w:ind w:firstLine="426"/>
        <w:jc w:val="both"/>
        <w:rPr>
          <w:sz w:val="20"/>
          <w:szCs w:val="20"/>
          <w:lang w:bidi="ar-EG"/>
        </w:rPr>
      </w:pPr>
      <w:r>
        <w:rPr>
          <w:sz w:val="20"/>
          <w:szCs w:val="20"/>
          <w:lang w:bidi="ar-EG"/>
        </w:rPr>
        <w:t xml:space="preserve"> </w:t>
      </w:r>
      <w:r w:rsidR="00CF151E" w:rsidRPr="006038FB">
        <w:rPr>
          <w:sz w:val="20"/>
          <w:szCs w:val="20"/>
          <w:lang w:bidi="ar-EG"/>
        </w:rPr>
        <w:t xml:space="preserve">Obesity in one or both parents probably influences the risk of obesity in their offspring because of shared genes </w:t>
      </w:r>
      <w:r w:rsidR="00274D70" w:rsidRPr="006038FB">
        <w:rPr>
          <w:sz w:val="20"/>
          <w:szCs w:val="20"/>
          <w:lang w:bidi="ar-EG"/>
        </w:rPr>
        <w:t xml:space="preserve">and </w:t>
      </w:r>
      <w:proofErr w:type="spellStart"/>
      <w:r w:rsidR="00274D70" w:rsidRPr="006038FB">
        <w:rPr>
          <w:sz w:val="20"/>
          <w:szCs w:val="20"/>
          <w:lang w:bidi="ar-EG"/>
        </w:rPr>
        <w:t>obesogenic</w:t>
      </w:r>
      <w:proofErr w:type="spellEnd"/>
      <w:r w:rsidR="00274D70" w:rsidRPr="006038FB">
        <w:rPr>
          <w:sz w:val="20"/>
          <w:szCs w:val="20"/>
          <w:lang w:bidi="ar-EG"/>
        </w:rPr>
        <w:t xml:space="preserve"> environment</w:t>
      </w:r>
      <w:r w:rsidR="00CF151E" w:rsidRPr="006038FB">
        <w:rPr>
          <w:sz w:val="20"/>
          <w:szCs w:val="20"/>
          <w:lang w:bidi="ar-EG"/>
        </w:rPr>
        <w:t xml:space="preserve"> </w:t>
      </w:r>
      <w:r w:rsidR="00CF151E" w:rsidRPr="006038FB">
        <w:rPr>
          <w:b/>
          <w:bCs/>
          <w:i/>
          <w:iCs/>
          <w:sz w:val="20"/>
          <w:szCs w:val="20"/>
          <w:lang w:bidi="ar-EG"/>
        </w:rPr>
        <w:lastRenderedPageBreak/>
        <w:t>(Whitaker et al., 1997)</w:t>
      </w:r>
      <w:r w:rsidR="00CF151E" w:rsidRPr="006038FB">
        <w:rPr>
          <w:sz w:val="20"/>
          <w:szCs w:val="20"/>
          <w:lang w:bidi="ar-EG"/>
        </w:rPr>
        <w:t>.</w:t>
      </w:r>
      <w:r>
        <w:rPr>
          <w:sz w:val="20"/>
          <w:szCs w:val="20"/>
          <w:lang w:bidi="ar-EG"/>
        </w:rPr>
        <w:t xml:space="preserve"> </w:t>
      </w:r>
      <w:r w:rsidR="00274D70" w:rsidRPr="006038FB">
        <w:rPr>
          <w:sz w:val="20"/>
          <w:szCs w:val="20"/>
          <w:lang w:bidi="ar-EG"/>
        </w:rPr>
        <w:t>The family history of obesity in the present</w:t>
      </w:r>
      <w:r w:rsidR="00CF151E" w:rsidRPr="006038FB">
        <w:rPr>
          <w:sz w:val="20"/>
          <w:szCs w:val="20"/>
          <w:lang w:bidi="ar-EG"/>
        </w:rPr>
        <w:t xml:space="preserve"> study was significantly higher in obese compared </w:t>
      </w:r>
      <w:r w:rsidR="00274D70" w:rsidRPr="006038FB">
        <w:rPr>
          <w:sz w:val="20"/>
          <w:szCs w:val="20"/>
          <w:lang w:bidi="ar-EG"/>
        </w:rPr>
        <w:t>to control</w:t>
      </w:r>
      <w:r w:rsidR="00CF151E" w:rsidRPr="006038FB">
        <w:rPr>
          <w:sz w:val="20"/>
          <w:szCs w:val="20"/>
          <w:lang w:bidi="ar-EG"/>
        </w:rPr>
        <w:t xml:space="preserve"> group. A longitudinal study in Italy by </w:t>
      </w:r>
      <w:r w:rsidR="00CF151E" w:rsidRPr="006038FB">
        <w:rPr>
          <w:b/>
          <w:bCs/>
          <w:i/>
          <w:iCs/>
          <w:sz w:val="20"/>
          <w:szCs w:val="20"/>
          <w:lang w:bidi="ar-EG"/>
        </w:rPr>
        <w:t>Huerta et al. (2009)</w:t>
      </w:r>
      <w:r w:rsidR="00CF151E" w:rsidRPr="006038FB">
        <w:rPr>
          <w:sz w:val="20"/>
          <w:szCs w:val="20"/>
          <w:lang w:bidi="ar-EG"/>
        </w:rPr>
        <w:t xml:space="preserve"> showed also that parents obesity was the </w:t>
      </w:r>
      <w:r w:rsidR="00274D70" w:rsidRPr="006038FB">
        <w:rPr>
          <w:sz w:val="20"/>
          <w:szCs w:val="20"/>
          <w:lang w:bidi="ar-EG"/>
        </w:rPr>
        <w:t>most important risk factor</w:t>
      </w:r>
      <w:r w:rsidR="00CF151E" w:rsidRPr="006038FB">
        <w:rPr>
          <w:sz w:val="20"/>
          <w:szCs w:val="20"/>
          <w:lang w:bidi="ar-EG"/>
        </w:rPr>
        <w:t xml:space="preserve"> for obesity in children. </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When we studied the most common complaints of obese children, we found that easy fatigability, GIT upset and musculoskeletal pain were the most common. In a study done by </w:t>
      </w:r>
      <w:proofErr w:type="spellStart"/>
      <w:r w:rsidRPr="006038FB">
        <w:rPr>
          <w:b/>
          <w:bCs/>
          <w:i/>
          <w:iCs/>
          <w:sz w:val="20"/>
          <w:szCs w:val="20"/>
          <w:lang w:bidi="ar-EG"/>
        </w:rPr>
        <w:t>Stovitz</w:t>
      </w:r>
      <w:proofErr w:type="spellEnd"/>
      <w:r w:rsidRPr="006038FB">
        <w:rPr>
          <w:b/>
          <w:bCs/>
          <w:i/>
          <w:iCs/>
          <w:sz w:val="20"/>
          <w:szCs w:val="20"/>
          <w:lang w:bidi="ar-EG"/>
        </w:rPr>
        <w:t xml:space="preserve"> et al. (2008)</w:t>
      </w:r>
      <w:r w:rsidRPr="006038FB">
        <w:rPr>
          <w:sz w:val="20"/>
          <w:szCs w:val="20"/>
          <w:lang w:bidi="ar-EG"/>
        </w:rPr>
        <w:t xml:space="preserve">. The majority of obese subjects (61%) complained of joint pain, mainly back pain followed by foot and knee pain. Another study by </w:t>
      </w:r>
      <w:r w:rsidRPr="006038FB">
        <w:rPr>
          <w:b/>
          <w:bCs/>
          <w:i/>
          <w:iCs/>
          <w:sz w:val="20"/>
          <w:szCs w:val="20"/>
          <w:lang w:bidi="ar-EG"/>
        </w:rPr>
        <w:t>Castro-Pinero et al.</w:t>
      </w:r>
      <w:r w:rsidRPr="006038FB">
        <w:rPr>
          <w:sz w:val="20"/>
          <w:szCs w:val="20"/>
          <w:lang w:bidi="ar-EG"/>
        </w:rPr>
        <w:t xml:space="preserve"> </w:t>
      </w:r>
      <w:r w:rsidRPr="006038FB">
        <w:rPr>
          <w:b/>
          <w:bCs/>
          <w:i/>
          <w:iCs/>
          <w:sz w:val="20"/>
          <w:szCs w:val="20"/>
          <w:lang w:bidi="ar-EG"/>
        </w:rPr>
        <w:t>(2011)</w:t>
      </w:r>
      <w:r w:rsidRPr="006038FB">
        <w:rPr>
          <w:sz w:val="20"/>
          <w:szCs w:val="20"/>
          <w:lang w:bidi="ar-EG"/>
        </w:rPr>
        <w:t>, revealed that unfit obese children reported more complaints than controls.</w:t>
      </w:r>
    </w:p>
    <w:p w:rsidR="00CF151E" w:rsidRPr="006038FB" w:rsidRDefault="00CF151E" w:rsidP="009E3379">
      <w:pPr>
        <w:pStyle w:val="NoSpacing"/>
        <w:ind w:firstLine="426"/>
        <w:jc w:val="both"/>
        <w:rPr>
          <w:sz w:val="20"/>
          <w:szCs w:val="20"/>
          <w:lang w:bidi="ar-EG"/>
        </w:rPr>
      </w:pPr>
      <w:r w:rsidRPr="006038FB">
        <w:rPr>
          <w:sz w:val="20"/>
          <w:szCs w:val="20"/>
          <w:lang w:bidi="ar-EG"/>
        </w:rPr>
        <w:t>Body mass index (</w:t>
      </w:r>
      <w:smartTag w:uri="urn:schemas-microsoft-com:office:smarttags" w:element="stockticker">
        <w:r w:rsidRPr="006038FB">
          <w:rPr>
            <w:sz w:val="20"/>
            <w:szCs w:val="20"/>
            <w:lang w:bidi="ar-EG"/>
          </w:rPr>
          <w:t>BMI</w:t>
        </w:r>
      </w:smartTag>
      <w:r w:rsidRPr="006038FB">
        <w:rPr>
          <w:sz w:val="20"/>
          <w:szCs w:val="20"/>
          <w:lang w:bidi="ar-EG"/>
        </w:rPr>
        <w:t>) is a simple and convenient method for measurement</w:t>
      </w:r>
      <w:r w:rsidR="004B147B">
        <w:rPr>
          <w:sz w:val="20"/>
          <w:szCs w:val="20"/>
          <w:lang w:bidi="ar-EG"/>
        </w:rPr>
        <w:t xml:space="preserve"> </w:t>
      </w:r>
      <w:r w:rsidRPr="006038FB">
        <w:rPr>
          <w:sz w:val="20"/>
          <w:szCs w:val="20"/>
          <w:lang w:bidi="ar-EG"/>
        </w:rPr>
        <w:t>of</w:t>
      </w:r>
      <w:r w:rsidR="004B147B">
        <w:rPr>
          <w:sz w:val="20"/>
          <w:szCs w:val="20"/>
          <w:lang w:bidi="ar-EG"/>
        </w:rPr>
        <w:t xml:space="preserve"> </w:t>
      </w:r>
      <w:r w:rsidRPr="006038FB">
        <w:rPr>
          <w:sz w:val="20"/>
          <w:szCs w:val="20"/>
          <w:lang w:bidi="ar-EG"/>
        </w:rPr>
        <w:t>obesity</w:t>
      </w:r>
      <w:r w:rsidR="004B147B">
        <w:rPr>
          <w:sz w:val="20"/>
          <w:szCs w:val="20"/>
          <w:lang w:bidi="ar-EG"/>
        </w:rPr>
        <w:t xml:space="preserve"> </w:t>
      </w:r>
      <w:r w:rsidRPr="006038FB">
        <w:rPr>
          <w:sz w:val="20"/>
          <w:szCs w:val="20"/>
          <w:lang w:bidi="ar-EG"/>
        </w:rPr>
        <w:t>in</w:t>
      </w:r>
      <w:r w:rsidR="004B147B">
        <w:rPr>
          <w:sz w:val="20"/>
          <w:szCs w:val="20"/>
          <w:lang w:bidi="ar-EG"/>
        </w:rPr>
        <w:t xml:space="preserve"> </w:t>
      </w:r>
      <w:r w:rsidRPr="006038FB">
        <w:rPr>
          <w:sz w:val="20"/>
          <w:szCs w:val="20"/>
          <w:lang w:bidi="ar-EG"/>
        </w:rPr>
        <w:t>children</w:t>
      </w:r>
      <w:r w:rsidR="004B147B">
        <w:rPr>
          <w:sz w:val="20"/>
          <w:szCs w:val="20"/>
          <w:lang w:bidi="ar-EG"/>
        </w:rPr>
        <w:t xml:space="preserve"> </w:t>
      </w:r>
      <w:r w:rsidRPr="006038FB">
        <w:rPr>
          <w:sz w:val="20"/>
          <w:szCs w:val="20"/>
          <w:lang w:bidi="ar-EG"/>
        </w:rPr>
        <w:t>and</w:t>
      </w:r>
      <w:r w:rsidR="004B147B">
        <w:rPr>
          <w:sz w:val="20"/>
          <w:szCs w:val="20"/>
          <w:lang w:bidi="ar-EG"/>
        </w:rPr>
        <w:t xml:space="preserve"> </w:t>
      </w:r>
      <w:r w:rsidRPr="006038FB">
        <w:rPr>
          <w:sz w:val="20"/>
          <w:szCs w:val="20"/>
          <w:lang w:bidi="ar-EG"/>
        </w:rPr>
        <w:t>adult</w:t>
      </w:r>
      <w:r w:rsidR="004B147B">
        <w:rPr>
          <w:sz w:val="20"/>
          <w:szCs w:val="20"/>
          <w:lang w:bidi="ar-EG"/>
        </w:rPr>
        <w:t xml:space="preserve"> </w:t>
      </w:r>
      <w:r w:rsidRPr="006038FB">
        <w:rPr>
          <w:b/>
          <w:bCs/>
          <w:i/>
          <w:iCs/>
          <w:sz w:val="20"/>
          <w:szCs w:val="20"/>
          <w:lang w:bidi="ar-EG"/>
        </w:rPr>
        <w:t>(Prentice., 1998 ).</w:t>
      </w:r>
      <w:r w:rsidR="004B147B">
        <w:rPr>
          <w:sz w:val="20"/>
          <w:szCs w:val="20"/>
          <w:lang w:bidi="ar-EG"/>
        </w:rPr>
        <w:t xml:space="preserve"> </w:t>
      </w:r>
      <w:r w:rsidRPr="006038FB">
        <w:rPr>
          <w:sz w:val="20"/>
          <w:szCs w:val="20"/>
          <w:lang w:bidi="ar-EG"/>
        </w:rPr>
        <w:t xml:space="preserve">The major limitation with </w:t>
      </w:r>
      <w:smartTag w:uri="urn:schemas-microsoft-com:office:smarttags" w:element="stockticker">
        <w:r w:rsidRPr="006038FB">
          <w:rPr>
            <w:sz w:val="20"/>
            <w:szCs w:val="20"/>
            <w:lang w:bidi="ar-EG"/>
          </w:rPr>
          <w:t>BMI</w:t>
        </w:r>
      </w:smartTag>
      <w:r w:rsidRPr="006038FB">
        <w:rPr>
          <w:sz w:val="20"/>
          <w:szCs w:val="20"/>
          <w:lang w:bidi="ar-EG"/>
        </w:rPr>
        <w:t xml:space="preserve"> is that it doesn't give any information about fat distribution </w:t>
      </w:r>
      <w:r w:rsidRPr="006038FB">
        <w:rPr>
          <w:b/>
          <w:bCs/>
          <w:i/>
          <w:iCs/>
          <w:sz w:val="20"/>
          <w:szCs w:val="20"/>
          <w:lang w:bidi="ar-EG"/>
        </w:rPr>
        <w:t>(Maynard et al., 2001).</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Despite this limitation, our study showed a highly positive correlation between </w:t>
      </w:r>
      <w:smartTag w:uri="urn:schemas-microsoft-com:office:smarttags" w:element="stockticker">
        <w:r w:rsidRPr="006038FB">
          <w:rPr>
            <w:sz w:val="20"/>
            <w:szCs w:val="20"/>
            <w:lang w:bidi="ar-EG"/>
          </w:rPr>
          <w:t>BMI</w:t>
        </w:r>
      </w:smartTag>
      <w:r w:rsidRPr="006038FB">
        <w:rPr>
          <w:sz w:val="20"/>
          <w:szCs w:val="20"/>
          <w:lang w:bidi="ar-EG"/>
        </w:rPr>
        <w:t xml:space="preserve"> and all the US measurements in the obese group. This finding was in agreement with a study done by </w:t>
      </w:r>
      <w:proofErr w:type="spellStart"/>
      <w:r w:rsidRPr="006038FB">
        <w:rPr>
          <w:b/>
          <w:bCs/>
          <w:i/>
          <w:iCs/>
          <w:sz w:val="20"/>
          <w:szCs w:val="20"/>
          <w:lang w:bidi="ar-EG"/>
        </w:rPr>
        <w:t>Reinehr</w:t>
      </w:r>
      <w:proofErr w:type="spellEnd"/>
      <w:r w:rsidRPr="006038FB">
        <w:rPr>
          <w:b/>
          <w:bCs/>
          <w:i/>
          <w:iCs/>
          <w:sz w:val="20"/>
          <w:szCs w:val="20"/>
          <w:lang w:bidi="ar-EG"/>
        </w:rPr>
        <w:t xml:space="preserve"> and </w:t>
      </w:r>
      <w:proofErr w:type="spellStart"/>
      <w:r w:rsidRPr="006038FB">
        <w:rPr>
          <w:b/>
          <w:bCs/>
          <w:i/>
          <w:iCs/>
          <w:sz w:val="20"/>
          <w:szCs w:val="20"/>
          <w:lang w:bidi="ar-EG"/>
        </w:rPr>
        <w:t>Wunsch</w:t>
      </w:r>
      <w:proofErr w:type="spellEnd"/>
      <w:r w:rsidRPr="006038FB">
        <w:rPr>
          <w:sz w:val="20"/>
          <w:szCs w:val="20"/>
          <w:lang w:bidi="ar-EG"/>
        </w:rPr>
        <w:t xml:space="preserve"> </w:t>
      </w:r>
      <w:r w:rsidRPr="006038FB">
        <w:rPr>
          <w:b/>
          <w:bCs/>
          <w:i/>
          <w:iCs/>
          <w:sz w:val="20"/>
          <w:szCs w:val="20"/>
          <w:lang w:bidi="ar-EG"/>
        </w:rPr>
        <w:t>(2010)</w:t>
      </w:r>
      <w:r w:rsidRPr="006038FB">
        <w:rPr>
          <w:sz w:val="20"/>
          <w:szCs w:val="20"/>
          <w:lang w:bidi="ar-EG"/>
        </w:rPr>
        <w:t xml:space="preserve">, which revealed that BMI was significantly correlated to the </w:t>
      </w:r>
      <w:proofErr w:type="spellStart"/>
      <w:r w:rsidRPr="006038FB">
        <w:rPr>
          <w:sz w:val="20"/>
          <w:szCs w:val="20"/>
          <w:lang w:bidi="ar-EG"/>
        </w:rPr>
        <w:t>ultrasonographic</w:t>
      </w:r>
      <w:proofErr w:type="spellEnd"/>
      <w:r w:rsidRPr="006038FB">
        <w:rPr>
          <w:sz w:val="20"/>
          <w:szCs w:val="20"/>
          <w:lang w:bidi="ar-EG"/>
        </w:rPr>
        <w:t xml:space="preserve"> measurements of intra-abdominal fat mass. Multiple regression analysis, using V as the dependent variable and anthropometric parameters and gender as the independent variables, revealed that BMI was the best single predictor of </w:t>
      </w:r>
      <w:r w:rsidR="00274D70" w:rsidRPr="006038FB">
        <w:rPr>
          <w:sz w:val="20"/>
          <w:szCs w:val="20"/>
          <w:lang w:bidi="ar-EG"/>
        </w:rPr>
        <w:t xml:space="preserve">V. </w:t>
      </w:r>
      <w:r w:rsidRPr="006038FB">
        <w:rPr>
          <w:sz w:val="20"/>
          <w:szCs w:val="20"/>
          <w:lang w:bidi="ar-EG"/>
        </w:rPr>
        <w:t xml:space="preserve">Similar results were reported by </w:t>
      </w:r>
      <w:proofErr w:type="spellStart"/>
      <w:r w:rsidRPr="006038FB">
        <w:rPr>
          <w:b/>
          <w:bCs/>
          <w:i/>
          <w:iCs/>
          <w:sz w:val="20"/>
          <w:szCs w:val="20"/>
          <w:lang w:bidi="ar-EG"/>
        </w:rPr>
        <w:t>Semiz</w:t>
      </w:r>
      <w:proofErr w:type="spellEnd"/>
      <w:r w:rsidRPr="006038FB">
        <w:rPr>
          <w:b/>
          <w:bCs/>
          <w:i/>
          <w:iCs/>
          <w:sz w:val="20"/>
          <w:szCs w:val="20"/>
          <w:lang w:bidi="ar-EG"/>
        </w:rPr>
        <w:t xml:space="preserve"> et al. </w:t>
      </w:r>
      <w:r w:rsidR="00274D70" w:rsidRPr="006038FB">
        <w:rPr>
          <w:b/>
          <w:bCs/>
          <w:i/>
          <w:iCs/>
          <w:sz w:val="20"/>
          <w:szCs w:val="20"/>
          <w:lang w:bidi="ar-EG"/>
        </w:rPr>
        <w:t>(2007</w:t>
      </w:r>
      <w:r w:rsidRPr="006038FB">
        <w:rPr>
          <w:b/>
          <w:bCs/>
          <w:i/>
          <w:iCs/>
          <w:sz w:val="20"/>
          <w:szCs w:val="20"/>
          <w:lang w:bidi="ar-EG"/>
        </w:rPr>
        <w:t>).</w:t>
      </w:r>
      <w:r w:rsidR="004B147B">
        <w:rPr>
          <w:sz w:val="20"/>
          <w:szCs w:val="20"/>
          <w:lang w:bidi="ar-EG"/>
        </w:rPr>
        <w:t xml:space="preserve"> </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In the present study, there was a highly positive correlation between WC and BMI. Also WC showed significant correlation with all US measurements in the obese group. The study of </w:t>
      </w:r>
      <w:proofErr w:type="spellStart"/>
      <w:r w:rsidRPr="006038FB">
        <w:rPr>
          <w:b/>
          <w:bCs/>
          <w:i/>
          <w:iCs/>
          <w:sz w:val="20"/>
          <w:szCs w:val="20"/>
          <w:lang w:bidi="ar-EG"/>
        </w:rPr>
        <w:t>Semiz</w:t>
      </w:r>
      <w:proofErr w:type="spellEnd"/>
      <w:r w:rsidRPr="006038FB">
        <w:rPr>
          <w:b/>
          <w:bCs/>
          <w:i/>
          <w:iCs/>
          <w:sz w:val="20"/>
          <w:szCs w:val="20"/>
          <w:lang w:bidi="ar-EG"/>
        </w:rPr>
        <w:t xml:space="preserve"> et al. (2007)</w:t>
      </w:r>
      <w:r w:rsidRPr="006038FB">
        <w:rPr>
          <w:sz w:val="20"/>
          <w:szCs w:val="20"/>
          <w:lang w:bidi="ar-EG"/>
        </w:rPr>
        <w:t xml:space="preserve">, revealed a significant correlation between WC and </w:t>
      </w:r>
      <w:proofErr w:type="spellStart"/>
      <w:r w:rsidRPr="006038FB">
        <w:rPr>
          <w:sz w:val="20"/>
          <w:szCs w:val="20"/>
          <w:lang w:bidi="ar-EG"/>
        </w:rPr>
        <w:t>Pmax</w:t>
      </w:r>
      <w:proofErr w:type="spellEnd"/>
      <w:r w:rsidRPr="006038FB">
        <w:rPr>
          <w:sz w:val="20"/>
          <w:szCs w:val="20"/>
          <w:lang w:bidi="ar-EG"/>
        </w:rPr>
        <w:t xml:space="preserve"> , </w:t>
      </w:r>
      <w:proofErr w:type="spellStart"/>
      <w:r w:rsidRPr="006038FB">
        <w:rPr>
          <w:sz w:val="20"/>
          <w:szCs w:val="20"/>
          <w:lang w:bidi="ar-EG"/>
        </w:rPr>
        <w:t>Smax</w:t>
      </w:r>
      <w:proofErr w:type="spellEnd"/>
      <w:r w:rsidRPr="006038FB">
        <w:rPr>
          <w:sz w:val="20"/>
          <w:szCs w:val="20"/>
          <w:lang w:bidi="ar-EG"/>
        </w:rPr>
        <w:t xml:space="preserve"> and </w:t>
      </w:r>
      <w:proofErr w:type="spellStart"/>
      <w:r w:rsidRPr="006038FB">
        <w:rPr>
          <w:sz w:val="20"/>
          <w:szCs w:val="20"/>
          <w:lang w:bidi="ar-EG"/>
        </w:rPr>
        <w:t>Smim</w:t>
      </w:r>
      <w:proofErr w:type="spellEnd"/>
      <w:r w:rsidRPr="006038FB">
        <w:rPr>
          <w:sz w:val="20"/>
          <w:szCs w:val="20"/>
          <w:lang w:bidi="ar-EG"/>
        </w:rPr>
        <w:t xml:space="preserve">. In the study of </w:t>
      </w:r>
      <w:proofErr w:type="spellStart"/>
      <w:r w:rsidRPr="006038FB">
        <w:rPr>
          <w:b/>
          <w:bCs/>
          <w:i/>
          <w:iCs/>
          <w:sz w:val="20"/>
          <w:szCs w:val="20"/>
          <w:lang w:bidi="ar-EG"/>
        </w:rPr>
        <w:t>Reinehr</w:t>
      </w:r>
      <w:proofErr w:type="spellEnd"/>
      <w:r w:rsidRPr="006038FB">
        <w:rPr>
          <w:b/>
          <w:bCs/>
          <w:i/>
          <w:iCs/>
          <w:sz w:val="20"/>
          <w:szCs w:val="20"/>
          <w:lang w:bidi="ar-EG"/>
        </w:rPr>
        <w:t xml:space="preserve"> and </w:t>
      </w:r>
      <w:proofErr w:type="spellStart"/>
      <w:r w:rsidRPr="006038FB">
        <w:rPr>
          <w:b/>
          <w:bCs/>
          <w:i/>
          <w:iCs/>
          <w:sz w:val="20"/>
          <w:szCs w:val="20"/>
          <w:lang w:bidi="ar-EG"/>
        </w:rPr>
        <w:t>Wunsch</w:t>
      </w:r>
      <w:proofErr w:type="spellEnd"/>
      <w:r w:rsidRPr="006038FB">
        <w:rPr>
          <w:b/>
          <w:bCs/>
          <w:i/>
          <w:iCs/>
          <w:sz w:val="20"/>
          <w:szCs w:val="20"/>
          <w:lang w:bidi="ar-EG"/>
        </w:rPr>
        <w:t xml:space="preserve"> (2010), </w:t>
      </w:r>
      <w:r w:rsidRPr="006038FB">
        <w:rPr>
          <w:sz w:val="20"/>
          <w:szCs w:val="20"/>
          <w:lang w:bidi="ar-EG"/>
        </w:rPr>
        <w:t>WC was significantly correlated to BMI and to all US measurements of intra-abdominal fat mass.</w:t>
      </w:r>
    </w:p>
    <w:p w:rsidR="00CF151E" w:rsidRPr="006038FB" w:rsidRDefault="004B147B" w:rsidP="009E3379">
      <w:pPr>
        <w:pStyle w:val="NoSpacing"/>
        <w:ind w:firstLine="426"/>
        <w:jc w:val="both"/>
        <w:rPr>
          <w:sz w:val="20"/>
          <w:szCs w:val="20"/>
          <w:lang w:bidi="ar-EG"/>
        </w:rPr>
      </w:pPr>
      <w:r>
        <w:rPr>
          <w:sz w:val="20"/>
          <w:szCs w:val="20"/>
          <w:lang w:bidi="ar-EG"/>
        </w:rPr>
        <w:t xml:space="preserve"> </w:t>
      </w:r>
      <w:r w:rsidR="00CF151E" w:rsidRPr="006038FB">
        <w:rPr>
          <w:sz w:val="20"/>
          <w:szCs w:val="20"/>
          <w:lang w:bidi="ar-EG"/>
        </w:rPr>
        <w:t xml:space="preserve">In our study, there was no relation between WHR and US fat thickness measurements. This was in agreement with the results of </w:t>
      </w:r>
      <w:proofErr w:type="spellStart"/>
      <w:r w:rsidR="00CF151E" w:rsidRPr="006038FB">
        <w:rPr>
          <w:b/>
          <w:bCs/>
          <w:i/>
          <w:iCs/>
          <w:sz w:val="20"/>
          <w:szCs w:val="20"/>
          <w:lang w:bidi="ar-EG"/>
        </w:rPr>
        <w:t>Semiz</w:t>
      </w:r>
      <w:proofErr w:type="spellEnd"/>
      <w:r w:rsidR="00CF151E" w:rsidRPr="006038FB">
        <w:rPr>
          <w:b/>
          <w:bCs/>
          <w:i/>
          <w:iCs/>
          <w:sz w:val="20"/>
          <w:szCs w:val="20"/>
          <w:lang w:bidi="ar-EG"/>
        </w:rPr>
        <w:t xml:space="preserve"> et al. (2007),</w:t>
      </w:r>
      <w:r w:rsidR="00CF151E" w:rsidRPr="006038FB">
        <w:rPr>
          <w:sz w:val="20"/>
          <w:szCs w:val="20"/>
          <w:lang w:bidi="ar-EG"/>
        </w:rPr>
        <w:t>who did not find any correlation between WHR</w:t>
      </w:r>
      <w:r>
        <w:rPr>
          <w:sz w:val="20"/>
          <w:szCs w:val="20"/>
          <w:lang w:bidi="ar-EG"/>
        </w:rPr>
        <w:t xml:space="preserve"> </w:t>
      </w:r>
      <w:r w:rsidR="00CF151E" w:rsidRPr="006038FB">
        <w:rPr>
          <w:sz w:val="20"/>
          <w:szCs w:val="20"/>
          <w:lang w:bidi="ar-EG"/>
        </w:rPr>
        <w:t>and US measurements of intra-abdominal fat mass</w:t>
      </w:r>
      <w:r w:rsidR="00CF151E" w:rsidRPr="006038FB">
        <w:rPr>
          <w:b/>
          <w:bCs/>
          <w:i/>
          <w:iCs/>
          <w:sz w:val="20"/>
          <w:szCs w:val="20"/>
          <w:lang w:bidi="ar-EG"/>
        </w:rPr>
        <w:t xml:space="preserve"> .</w:t>
      </w:r>
      <w:r w:rsidR="00CF151E" w:rsidRPr="006038FB">
        <w:rPr>
          <w:sz w:val="20"/>
          <w:szCs w:val="20"/>
          <w:lang w:bidi="ar-EG"/>
        </w:rPr>
        <w:t xml:space="preserve"> On the contrary, </w:t>
      </w:r>
      <w:proofErr w:type="spellStart"/>
      <w:r w:rsidR="00CF151E" w:rsidRPr="006038FB">
        <w:rPr>
          <w:b/>
          <w:bCs/>
          <w:i/>
          <w:iCs/>
          <w:sz w:val="20"/>
          <w:szCs w:val="20"/>
          <w:lang w:bidi="ar-EG"/>
        </w:rPr>
        <w:t>kytnarova</w:t>
      </w:r>
      <w:proofErr w:type="spellEnd"/>
      <w:r w:rsidR="00CF151E" w:rsidRPr="006038FB">
        <w:rPr>
          <w:b/>
          <w:bCs/>
          <w:i/>
          <w:iCs/>
          <w:sz w:val="20"/>
          <w:szCs w:val="20"/>
          <w:lang w:bidi="ar-EG"/>
        </w:rPr>
        <w:t xml:space="preserve"> et al. (2004)</w:t>
      </w:r>
      <w:r w:rsidR="00CF151E" w:rsidRPr="006038FB">
        <w:rPr>
          <w:sz w:val="20"/>
          <w:szCs w:val="20"/>
          <w:lang w:bidi="ar-EG"/>
        </w:rPr>
        <w:t>, found a significant dependence between intra-abdominal fat measured on ultrasound (IAT) and WHR in boys but not in girls.</w:t>
      </w:r>
      <w:r>
        <w:rPr>
          <w:sz w:val="20"/>
          <w:szCs w:val="20"/>
          <w:lang w:bidi="ar-EG"/>
        </w:rPr>
        <w:t xml:space="preserve"> </w:t>
      </w:r>
    </w:p>
    <w:p w:rsidR="00CF151E" w:rsidRPr="006038FB" w:rsidRDefault="00CF151E" w:rsidP="009E3379">
      <w:pPr>
        <w:pStyle w:val="NoSpacing"/>
        <w:ind w:firstLine="426"/>
        <w:jc w:val="both"/>
        <w:rPr>
          <w:sz w:val="20"/>
          <w:szCs w:val="20"/>
          <w:lang w:bidi="ar-EG"/>
        </w:rPr>
      </w:pPr>
      <w:r w:rsidRPr="006038FB">
        <w:rPr>
          <w:sz w:val="20"/>
          <w:szCs w:val="20"/>
          <w:lang w:bidi="ar-EG"/>
        </w:rPr>
        <w:t>Waist-to-height ratio (</w:t>
      </w:r>
      <w:proofErr w:type="spellStart"/>
      <w:r w:rsidRPr="006038FB">
        <w:rPr>
          <w:sz w:val="20"/>
          <w:szCs w:val="20"/>
          <w:lang w:bidi="ar-EG"/>
        </w:rPr>
        <w:t>WHtR</w:t>
      </w:r>
      <w:proofErr w:type="spellEnd"/>
      <w:r w:rsidRPr="006038FB">
        <w:rPr>
          <w:sz w:val="20"/>
          <w:szCs w:val="20"/>
          <w:lang w:bidi="ar-EG"/>
        </w:rPr>
        <w:t xml:space="preserve">) is a relatively constant anthropometric index of abdominal obesity across different age, sex or racial group. The value of 0.5 was suggested as an appropriate cut off point for both adults and children </w:t>
      </w:r>
      <w:r w:rsidRPr="006038FB">
        <w:rPr>
          <w:b/>
          <w:bCs/>
          <w:i/>
          <w:iCs/>
          <w:sz w:val="20"/>
          <w:szCs w:val="20"/>
          <w:lang w:bidi="ar-EG"/>
        </w:rPr>
        <w:t>(</w:t>
      </w:r>
      <w:proofErr w:type="spellStart"/>
      <w:r w:rsidRPr="006038FB">
        <w:rPr>
          <w:b/>
          <w:bCs/>
          <w:i/>
          <w:iCs/>
          <w:sz w:val="20"/>
          <w:szCs w:val="20"/>
          <w:lang w:bidi="ar-EG"/>
        </w:rPr>
        <w:t>Mokka</w:t>
      </w:r>
      <w:proofErr w:type="spellEnd"/>
      <w:r w:rsidRPr="006038FB">
        <w:rPr>
          <w:b/>
          <w:bCs/>
          <w:i/>
          <w:iCs/>
          <w:sz w:val="20"/>
          <w:szCs w:val="20"/>
          <w:lang w:bidi="ar-EG"/>
        </w:rPr>
        <w:t xml:space="preserve"> et al., 2010).</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Our study revealed that there was a highly positive correlation between </w:t>
      </w:r>
      <w:proofErr w:type="spellStart"/>
      <w:r w:rsidRPr="006038FB">
        <w:rPr>
          <w:sz w:val="20"/>
          <w:szCs w:val="20"/>
          <w:lang w:bidi="ar-EG"/>
        </w:rPr>
        <w:t>WHtR</w:t>
      </w:r>
      <w:proofErr w:type="spellEnd"/>
      <w:r w:rsidRPr="006038FB">
        <w:rPr>
          <w:sz w:val="20"/>
          <w:szCs w:val="20"/>
          <w:lang w:bidi="ar-EG"/>
        </w:rPr>
        <w:t xml:space="preserve"> and </w:t>
      </w:r>
      <w:smartTag w:uri="urn:schemas-microsoft-com:office:smarttags" w:element="stockticker">
        <w:r w:rsidRPr="006038FB">
          <w:rPr>
            <w:sz w:val="20"/>
            <w:szCs w:val="20"/>
            <w:lang w:bidi="ar-EG"/>
          </w:rPr>
          <w:t>BMI</w:t>
        </w:r>
      </w:smartTag>
      <w:r w:rsidRPr="006038FB">
        <w:rPr>
          <w:sz w:val="20"/>
          <w:szCs w:val="20"/>
          <w:lang w:bidi="ar-EG"/>
        </w:rPr>
        <w:t xml:space="preserve"> in the obese group. Also there was a significant positive </w:t>
      </w:r>
      <w:r w:rsidRPr="006038FB">
        <w:rPr>
          <w:sz w:val="20"/>
          <w:szCs w:val="20"/>
          <w:lang w:bidi="ar-EG"/>
        </w:rPr>
        <w:lastRenderedPageBreak/>
        <w:t xml:space="preserve">correlation between </w:t>
      </w:r>
      <w:proofErr w:type="spellStart"/>
      <w:r w:rsidRPr="006038FB">
        <w:rPr>
          <w:sz w:val="20"/>
          <w:szCs w:val="20"/>
          <w:lang w:bidi="ar-EG"/>
        </w:rPr>
        <w:t>WHtR</w:t>
      </w:r>
      <w:proofErr w:type="spellEnd"/>
      <w:r w:rsidRPr="006038FB">
        <w:rPr>
          <w:sz w:val="20"/>
          <w:szCs w:val="20"/>
          <w:lang w:bidi="ar-EG"/>
        </w:rPr>
        <w:t xml:space="preserve"> and V, </w:t>
      </w:r>
      <w:proofErr w:type="spellStart"/>
      <w:r w:rsidRPr="006038FB">
        <w:rPr>
          <w:sz w:val="20"/>
          <w:szCs w:val="20"/>
          <w:lang w:bidi="ar-EG"/>
        </w:rPr>
        <w:t>TrUS</w:t>
      </w:r>
      <w:proofErr w:type="spellEnd"/>
      <w:r w:rsidRPr="006038FB">
        <w:rPr>
          <w:sz w:val="20"/>
          <w:szCs w:val="20"/>
          <w:lang w:bidi="ar-EG"/>
        </w:rPr>
        <w:t xml:space="preserve"> and </w:t>
      </w:r>
      <w:proofErr w:type="spellStart"/>
      <w:r w:rsidRPr="006038FB">
        <w:rPr>
          <w:sz w:val="20"/>
          <w:szCs w:val="20"/>
          <w:lang w:bidi="ar-EG"/>
        </w:rPr>
        <w:t>SsUS</w:t>
      </w:r>
      <w:proofErr w:type="spellEnd"/>
      <w:r w:rsidRPr="006038FB">
        <w:rPr>
          <w:sz w:val="20"/>
          <w:szCs w:val="20"/>
          <w:lang w:bidi="ar-EG"/>
        </w:rPr>
        <w:t xml:space="preserve">. Among the obese children 92.5% had central obesity. A study performed by </w:t>
      </w:r>
      <w:proofErr w:type="spellStart"/>
      <w:r w:rsidRPr="006038FB">
        <w:rPr>
          <w:b/>
          <w:bCs/>
          <w:i/>
          <w:iCs/>
          <w:sz w:val="20"/>
          <w:szCs w:val="20"/>
          <w:lang w:bidi="ar-EG"/>
        </w:rPr>
        <w:t>Maffeis</w:t>
      </w:r>
      <w:proofErr w:type="spellEnd"/>
      <w:r w:rsidRPr="006038FB">
        <w:rPr>
          <w:b/>
          <w:bCs/>
          <w:i/>
          <w:iCs/>
          <w:sz w:val="20"/>
          <w:szCs w:val="20"/>
          <w:lang w:bidi="ar-EG"/>
        </w:rPr>
        <w:t xml:space="preserve"> et al. (2008)</w:t>
      </w:r>
      <w:r w:rsidRPr="006038FB">
        <w:rPr>
          <w:sz w:val="20"/>
          <w:szCs w:val="20"/>
          <w:lang w:bidi="ar-EG"/>
        </w:rPr>
        <w:t xml:space="preserve"> revealed that overweight children with high </w:t>
      </w:r>
      <w:proofErr w:type="spellStart"/>
      <w:r w:rsidRPr="006038FB">
        <w:rPr>
          <w:sz w:val="20"/>
          <w:szCs w:val="20"/>
          <w:lang w:bidi="ar-EG"/>
        </w:rPr>
        <w:t>WHtR</w:t>
      </w:r>
      <w:proofErr w:type="spellEnd"/>
      <w:r w:rsidR="004B147B">
        <w:rPr>
          <w:sz w:val="20"/>
          <w:szCs w:val="20"/>
          <w:lang w:bidi="ar-EG"/>
        </w:rPr>
        <w:t xml:space="preserve"> </w:t>
      </w:r>
      <w:r w:rsidRPr="006038FB">
        <w:rPr>
          <w:sz w:val="20"/>
          <w:szCs w:val="20"/>
          <w:lang w:bidi="ar-EG"/>
        </w:rPr>
        <w:t xml:space="preserve">(&gt;0.5) had significantly high metabolic and cardiovascular risk than children with </w:t>
      </w:r>
      <w:proofErr w:type="spellStart"/>
      <w:r w:rsidRPr="006038FB">
        <w:rPr>
          <w:sz w:val="20"/>
          <w:szCs w:val="20"/>
          <w:lang w:bidi="ar-EG"/>
        </w:rPr>
        <w:t>WHtR</w:t>
      </w:r>
      <w:proofErr w:type="spellEnd"/>
      <w:r w:rsidRPr="006038FB">
        <w:rPr>
          <w:sz w:val="20"/>
          <w:szCs w:val="20"/>
          <w:lang w:bidi="ar-EG"/>
        </w:rPr>
        <w:t xml:space="preserve"> (</w:t>
      </w:r>
      <w:r w:rsidRPr="006038FB">
        <w:rPr>
          <w:sz w:val="20"/>
          <w:szCs w:val="20"/>
          <w:rtl/>
          <w:lang w:bidi="ar-EG"/>
        </w:rPr>
        <w:t>&gt;</w:t>
      </w:r>
      <w:r w:rsidRPr="006038FB">
        <w:rPr>
          <w:sz w:val="20"/>
          <w:szCs w:val="20"/>
          <w:lang w:bidi="ar-EG"/>
        </w:rPr>
        <w:t xml:space="preserve"> 0.5).</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In this study, there was a significant positive correlation between </w:t>
      </w:r>
      <w:proofErr w:type="spellStart"/>
      <w:r w:rsidRPr="006038FB">
        <w:rPr>
          <w:sz w:val="20"/>
          <w:szCs w:val="20"/>
          <w:lang w:bidi="ar-EG"/>
        </w:rPr>
        <w:t>Tr</w:t>
      </w:r>
      <w:proofErr w:type="spellEnd"/>
      <w:r w:rsidRPr="006038FB">
        <w:rPr>
          <w:sz w:val="20"/>
          <w:szCs w:val="20"/>
          <w:lang w:bidi="ar-EG"/>
        </w:rPr>
        <w:t xml:space="preserve"> skin fold measurement and </w:t>
      </w:r>
      <w:proofErr w:type="spellStart"/>
      <w:r w:rsidRPr="006038FB">
        <w:rPr>
          <w:sz w:val="20"/>
          <w:szCs w:val="20"/>
          <w:lang w:bidi="ar-EG"/>
        </w:rPr>
        <w:t>Pmax</w:t>
      </w:r>
      <w:proofErr w:type="spellEnd"/>
      <w:r w:rsidRPr="006038FB">
        <w:rPr>
          <w:sz w:val="20"/>
          <w:szCs w:val="20"/>
          <w:lang w:bidi="ar-EG"/>
        </w:rPr>
        <w:t xml:space="preserve"> , </w:t>
      </w:r>
      <w:proofErr w:type="spellStart"/>
      <w:r w:rsidRPr="006038FB">
        <w:rPr>
          <w:sz w:val="20"/>
          <w:szCs w:val="20"/>
          <w:lang w:bidi="ar-EG"/>
        </w:rPr>
        <w:t>Smax</w:t>
      </w:r>
      <w:proofErr w:type="spellEnd"/>
      <w:r w:rsidRPr="006038FB">
        <w:rPr>
          <w:sz w:val="20"/>
          <w:szCs w:val="20"/>
          <w:lang w:bidi="ar-EG"/>
        </w:rPr>
        <w:t xml:space="preserve">, </w:t>
      </w:r>
      <w:proofErr w:type="spellStart"/>
      <w:r w:rsidRPr="006038FB">
        <w:rPr>
          <w:sz w:val="20"/>
          <w:szCs w:val="20"/>
          <w:lang w:bidi="ar-EG"/>
        </w:rPr>
        <w:t>Smin</w:t>
      </w:r>
      <w:proofErr w:type="spellEnd"/>
      <w:r w:rsidRPr="006038FB">
        <w:rPr>
          <w:sz w:val="20"/>
          <w:szCs w:val="20"/>
          <w:lang w:bidi="ar-EG"/>
        </w:rPr>
        <w:t xml:space="preserve"> and </w:t>
      </w:r>
      <w:proofErr w:type="spellStart"/>
      <w:r w:rsidRPr="006038FB">
        <w:rPr>
          <w:sz w:val="20"/>
          <w:szCs w:val="20"/>
          <w:lang w:bidi="ar-EG"/>
        </w:rPr>
        <w:t>TrUS</w:t>
      </w:r>
      <w:proofErr w:type="spellEnd"/>
      <w:r w:rsidRPr="006038FB">
        <w:rPr>
          <w:sz w:val="20"/>
          <w:szCs w:val="20"/>
          <w:lang w:bidi="ar-EG"/>
        </w:rPr>
        <w:t xml:space="preserve"> , while Ss fold showed positive correlation with </w:t>
      </w:r>
      <w:proofErr w:type="spellStart"/>
      <w:r w:rsidRPr="006038FB">
        <w:rPr>
          <w:sz w:val="20"/>
          <w:szCs w:val="20"/>
          <w:lang w:bidi="ar-EG"/>
        </w:rPr>
        <w:t>Pmax</w:t>
      </w:r>
      <w:proofErr w:type="spellEnd"/>
      <w:r w:rsidRPr="006038FB">
        <w:rPr>
          <w:sz w:val="20"/>
          <w:szCs w:val="20"/>
          <w:lang w:bidi="ar-EG"/>
        </w:rPr>
        <w:t xml:space="preserve">, </w:t>
      </w:r>
      <w:proofErr w:type="spellStart"/>
      <w:r w:rsidRPr="006038FB">
        <w:rPr>
          <w:sz w:val="20"/>
          <w:szCs w:val="20"/>
          <w:lang w:bidi="ar-EG"/>
        </w:rPr>
        <w:t>Smax</w:t>
      </w:r>
      <w:proofErr w:type="spellEnd"/>
      <w:r w:rsidRPr="006038FB">
        <w:rPr>
          <w:sz w:val="20"/>
          <w:szCs w:val="20"/>
          <w:lang w:bidi="ar-EG"/>
        </w:rPr>
        <w:t xml:space="preserve">, </w:t>
      </w:r>
      <w:proofErr w:type="spellStart"/>
      <w:r w:rsidRPr="006038FB">
        <w:rPr>
          <w:sz w:val="20"/>
          <w:szCs w:val="20"/>
          <w:lang w:bidi="ar-EG"/>
        </w:rPr>
        <w:t>Smin</w:t>
      </w:r>
      <w:proofErr w:type="spellEnd"/>
      <w:r w:rsidRPr="006038FB">
        <w:rPr>
          <w:sz w:val="20"/>
          <w:szCs w:val="20"/>
          <w:lang w:bidi="ar-EG"/>
        </w:rPr>
        <w:t xml:space="preserve">, </w:t>
      </w:r>
      <w:proofErr w:type="spellStart"/>
      <w:r w:rsidRPr="006038FB">
        <w:rPr>
          <w:sz w:val="20"/>
          <w:szCs w:val="20"/>
          <w:lang w:bidi="ar-EG"/>
        </w:rPr>
        <w:t>TrUS</w:t>
      </w:r>
      <w:proofErr w:type="spellEnd"/>
      <w:r w:rsidRPr="006038FB">
        <w:rPr>
          <w:sz w:val="20"/>
          <w:szCs w:val="20"/>
          <w:lang w:bidi="ar-EG"/>
        </w:rPr>
        <w:t xml:space="preserve"> and </w:t>
      </w:r>
      <w:proofErr w:type="spellStart"/>
      <w:r w:rsidRPr="006038FB">
        <w:rPr>
          <w:sz w:val="20"/>
          <w:szCs w:val="20"/>
          <w:lang w:bidi="ar-EG"/>
        </w:rPr>
        <w:t>SsUS</w:t>
      </w:r>
      <w:proofErr w:type="spellEnd"/>
      <w:r w:rsidRPr="006038FB">
        <w:rPr>
          <w:sz w:val="20"/>
          <w:szCs w:val="20"/>
          <w:lang w:bidi="ar-EG"/>
        </w:rPr>
        <w:t>. These results were</w:t>
      </w:r>
      <w:r w:rsidR="004B147B">
        <w:rPr>
          <w:sz w:val="20"/>
          <w:szCs w:val="20"/>
          <w:lang w:bidi="ar-EG"/>
        </w:rPr>
        <w:t xml:space="preserve"> </w:t>
      </w:r>
      <w:r w:rsidRPr="006038FB">
        <w:rPr>
          <w:sz w:val="20"/>
          <w:szCs w:val="20"/>
          <w:lang w:bidi="ar-EG"/>
        </w:rPr>
        <w:t xml:space="preserve">in agreement with the results of </w:t>
      </w:r>
      <w:proofErr w:type="spellStart"/>
      <w:r w:rsidRPr="006038FB">
        <w:rPr>
          <w:b/>
          <w:bCs/>
          <w:i/>
          <w:iCs/>
          <w:sz w:val="20"/>
          <w:szCs w:val="20"/>
          <w:lang w:bidi="ar-EG"/>
        </w:rPr>
        <w:t>Semiz</w:t>
      </w:r>
      <w:proofErr w:type="spellEnd"/>
      <w:r w:rsidRPr="006038FB">
        <w:rPr>
          <w:b/>
          <w:bCs/>
          <w:i/>
          <w:iCs/>
          <w:sz w:val="20"/>
          <w:szCs w:val="20"/>
          <w:lang w:bidi="ar-EG"/>
        </w:rPr>
        <w:t xml:space="preserve"> et al. (2007)</w:t>
      </w:r>
      <w:r w:rsidRPr="006038FB">
        <w:rPr>
          <w:sz w:val="20"/>
          <w:szCs w:val="20"/>
          <w:lang w:bidi="ar-EG"/>
        </w:rPr>
        <w:t>.</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On the other hand, </w:t>
      </w:r>
      <w:proofErr w:type="spellStart"/>
      <w:r w:rsidRPr="006038FB">
        <w:rPr>
          <w:b/>
          <w:bCs/>
          <w:i/>
          <w:iCs/>
          <w:sz w:val="20"/>
          <w:szCs w:val="20"/>
          <w:lang w:bidi="ar-EG"/>
        </w:rPr>
        <w:t>Kytnarova</w:t>
      </w:r>
      <w:proofErr w:type="spellEnd"/>
      <w:r w:rsidRPr="006038FB">
        <w:rPr>
          <w:b/>
          <w:bCs/>
          <w:i/>
          <w:iCs/>
          <w:sz w:val="20"/>
          <w:szCs w:val="20"/>
          <w:lang w:bidi="ar-EG"/>
        </w:rPr>
        <w:t xml:space="preserve"> et al . (2004), </w:t>
      </w:r>
      <w:r w:rsidRPr="006038FB">
        <w:rPr>
          <w:sz w:val="20"/>
          <w:szCs w:val="20"/>
          <w:lang w:bidi="ar-EG"/>
        </w:rPr>
        <w:t>proved a significant correlation between IAT and the Ss fold and abdominal fold, while the correlation between the skin fold of the extremities and IAT were not significant.</w:t>
      </w:r>
    </w:p>
    <w:p w:rsidR="00CF151E" w:rsidRPr="006038FB" w:rsidRDefault="00CF151E" w:rsidP="009E3379">
      <w:pPr>
        <w:pStyle w:val="NoSpacing"/>
        <w:ind w:firstLine="426"/>
        <w:jc w:val="both"/>
        <w:rPr>
          <w:sz w:val="20"/>
          <w:szCs w:val="20"/>
          <w:lang w:bidi="ar-EG"/>
        </w:rPr>
      </w:pPr>
      <w:r w:rsidRPr="006038FB">
        <w:rPr>
          <w:sz w:val="20"/>
          <w:szCs w:val="20"/>
          <w:lang w:bidi="ar-EG"/>
        </w:rPr>
        <w:t xml:space="preserve">In this study, we found that the increase in </w:t>
      </w:r>
      <w:smartTag w:uri="urn:schemas-microsoft-com:office:smarttags" w:element="stockticker">
        <w:r w:rsidRPr="006038FB">
          <w:rPr>
            <w:sz w:val="20"/>
            <w:szCs w:val="20"/>
            <w:lang w:bidi="ar-EG"/>
          </w:rPr>
          <w:t>BMI</w:t>
        </w:r>
      </w:smartTag>
      <w:r w:rsidRPr="006038FB">
        <w:rPr>
          <w:sz w:val="20"/>
          <w:szCs w:val="20"/>
          <w:lang w:bidi="ar-EG"/>
        </w:rPr>
        <w:t xml:space="preserve"> percentiles was associated with a highly significant increase in the blood pressure percentiles, 17.5% of obese children developed hypertension and 5% were </w:t>
      </w:r>
      <w:proofErr w:type="spellStart"/>
      <w:r w:rsidRPr="006038FB">
        <w:rPr>
          <w:sz w:val="20"/>
          <w:szCs w:val="20"/>
          <w:lang w:bidi="ar-EG"/>
        </w:rPr>
        <w:t>prehypertensive</w:t>
      </w:r>
      <w:proofErr w:type="spellEnd"/>
      <w:r w:rsidRPr="006038FB">
        <w:rPr>
          <w:sz w:val="20"/>
          <w:szCs w:val="20"/>
          <w:lang w:bidi="ar-EG"/>
        </w:rPr>
        <w:t xml:space="preserve">, also 5% developed diabetes mellitus. A study performed by </w:t>
      </w:r>
      <w:r w:rsidRPr="006038FB">
        <w:rPr>
          <w:b/>
          <w:bCs/>
          <w:i/>
          <w:iCs/>
          <w:sz w:val="20"/>
          <w:szCs w:val="20"/>
          <w:lang w:bidi="ar-EG"/>
        </w:rPr>
        <w:t>Lee et al. (2008)</w:t>
      </w:r>
      <w:r w:rsidRPr="006038FB">
        <w:rPr>
          <w:sz w:val="20"/>
          <w:szCs w:val="20"/>
          <w:lang w:bidi="ar-EG"/>
        </w:rPr>
        <w:t xml:space="preserve"> revealed that glucose intolerance was presenting 17.5 of the obese children and 4.5% had type 2 diabetes mellitus.</w:t>
      </w:r>
    </w:p>
    <w:p w:rsidR="00CF151E" w:rsidRPr="006038FB" w:rsidRDefault="004B147B" w:rsidP="009E3379">
      <w:pPr>
        <w:pStyle w:val="NoSpacing"/>
        <w:ind w:firstLine="426"/>
        <w:jc w:val="both"/>
        <w:rPr>
          <w:sz w:val="20"/>
          <w:szCs w:val="20"/>
          <w:lang w:bidi="ar-EG"/>
        </w:rPr>
      </w:pPr>
      <w:r>
        <w:rPr>
          <w:sz w:val="20"/>
          <w:szCs w:val="20"/>
          <w:lang w:bidi="ar-EG"/>
        </w:rPr>
        <w:t xml:space="preserve"> </w:t>
      </w:r>
      <w:r w:rsidR="00CF151E" w:rsidRPr="006038FB">
        <w:rPr>
          <w:sz w:val="20"/>
          <w:szCs w:val="20"/>
          <w:lang w:bidi="ar-EG"/>
        </w:rPr>
        <w:t xml:space="preserve">In the present study 30% of obese children developed fatty liver as detected by US. A study by </w:t>
      </w:r>
      <w:proofErr w:type="spellStart"/>
      <w:r w:rsidR="00CF151E" w:rsidRPr="006038FB">
        <w:rPr>
          <w:b/>
          <w:bCs/>
          <w:i/>
          <w:iCs/>
          <w:sz w:val="20"/>
          <w:szCs w:val="20"/>
          <w:lang w:bidi="ar-EG"/>
        </w:rPr>
        <w:t>Damaso</w:t>
      </w:r>
      <w:proofErr w:type="spellEnd"/>
      <w:r w:rsidR="00CF151E" w:rsidRPr="006038FB">
        <w:rPr>
          <w:b/>
          <w:bCs/>
          <w:i/>
          <w:iCs/>
          <w:sz w:val="20"/>
          <w:szCs w:val="20"/>
          <w:lang w:bidi="ar-EG"/>
        </w:rPr>
        <w:t xml:space="preserve"> et al. (2008)</w:t>
      </w:r>
      <w:r w:rsidR="00CF151E" w:rsidRPr="006038FB">
        <w:rPr>
          <w:sz w:val="20"/>
          <w:szCs w:val="20"/>
          <w:lang w:bidi="ar-EG"/>
        </w:rPr>
        <w:t>, on 181 obese adolescents, revealed that fatty liver prevalence was 45.3% and it was suggested that the expansion of visceral</w:t>
      </w:r>
      <w:r>
        <w:rPr>
          <w:sz w:val="20"/>
          <w:szCs w:val="20"/>
          <w:lang w:bidi="ar-EG"/>
        </w:rPr>
        <w:t xml:space="preserve"> </w:t>
      </w:r>
      <w:r w:rsidR="00CF151E" w:rsidRPr="006038FB">
        <w:rPr>
          <w:sz w:val="20"/>
          <w:szCs w:val="20"/>
          <w:lang w:bidi="ar-EG"/>
        </w:rPr>
        <w:t>fat was a determinant factor to increase fatty liver prevalence.</w:t>
      </w:r>
    </w:p>
    <w:p w:rsidR="00274D70" w:rsidRPr="006038FB" w:rsidRDefault="00274D70" w:rsidP="009E3379">
      <w:pPr>
        <w:pStyle w:val="NoSpacing"/>
        <w:jc w:val="both"/>
        <w:rPr>
          <w:b/>
          <w:bCs/>
          <w:sz w:val="20"/>
          <w:szCs w:val="20"/>
          <w:lang w:bidi="ar-EG"/>
        </w:rPr>
      </w:pPr>
    </w:p>
    <w:p w:rsidR="00274D70" w:rsidRPr="006038FB" w:rsidRDefault="00274D70" w:rsidP="009E3379">
      <w:pPr>
        <w:pStyle w:val="NoSpacing"/>
        <w:jc w:val="both"/>
        <w:rPr>
          <w:sz w:val="20"/>
          <w:szCs w:val="20"/>
          <w:lang w:bidi="ar-EG"/>
        </w:rPr>
      </w:pPr>
      <w:r w:rsidRPr="006038FB">
        <w:rPr>
          <w:b/>
          <w:bCs/>
          <w:sz w:val="20"/>
          <w:szCs w:val="20"/>
          <w:lang w:bidi="ar-EG"/>
        </w:rPr>
        <w:t>Conclusion</w:t>
      </w:r>
      <w:r w:rsidR="00CF151E" w:rsidRPr="006038FB">
        <w:rPr>
          <w:b/>
          <w:bCs/>
          <w:sz w:val="20"/>
          <w:szCs w:val="20"/>
          <w:lang w:bidi="ar-EG"/>
        </w:rPr>
        <w:t>:</w:t>
      </w:r>
      <w:r w:rsidR="00CF151E" w:rsidRPr="006038FB">
        <w:rPr>
          <w:sz w:val="20"/>
          <w:szCs w:val="20"/>
          <w:lang w:bidi="ar-EG"/>
        </w:rPr>
        <w:t xml:space="preserve"> </w:t>
      </w:r>
    </w:p>
    <w:p w:rsidR="00CF151E" w:rsidRPr="006038FB" w:rsidRDefault="00274D70" w:rsidP="009E3379">
      <w:pPr>
        <w:pStyle w:val="NoSpacing"/>
        <w:ind w:firstLine="426"/>
        <w:jc w:val="both"/>
        <w:rPr>
          <w:sz w:val="20"/>
          <w:szCs w:val="20"/>
          <w:lang w:bidi="ar-EG"/>
        </w:rPr>
      </w:pPr>
      <w:r w:rsidRPr="006038FB">
        <w:rPr>
          <w:sz w:val="20"/>
          <w:szCs w:val="20"/>
          <w:lang w:bidi="ar-EG"/>
        </w:rPr>
        <w:t>Ultrasound</w:t>
      </w:r>
      <w:r w:rsidR="00CF151E" w:rsidRPr="006038FB">
        <w:rPr>
          <w:sz w:val="20"/>
          <w:szCs w:val="20"/>
          <w:lang w:bidi="ar-EG"/>
        </w:rPr>
        <w:t xml:space="preserve"> has been proposed as an alternative non-invasive, easily available technique to measure subcutaneous and visceral fat thickness. </w:t>
      </w:r>
      <w:smartTag w:uri="urn:schemas-microsoft-com:office:smarttags" w:element="stockticker">
        <w:r w:rsidR="00CF151E" w:rsidRPr="006038FB">
          <w:rPr>
            <w:sz w:val="20"/>
            <w:szCs w:val="20"/>
            <w:lang w:bidi="ar-EG"/>
          </w:rPr>
          <w:t>BMI</w:t>
        </w:r>
      </w:smartTag>
      <w:r w:rsidR="00CF151E" w:rsidRPr="006038FB">
        <w:rPr>
          <w:sz w:val="20"/>
          <w:szCs w:val="20"/>
          <w:lang w:bidi="ar-EG"/>
        </w:rPr>
        <w:t xml:space="preserve"> provided the best estimate of body fat. On the contrary to that in adults, WHR was not a good index to show intra-abdominal adiposity in children and adolescents. WC and </w:t>
      </w:r>
      <w:proofErr w:type="spellStart"/>
      <w:r w:rsidR="00CF151E" w:rsidRPr="006038FB">
        <w:rPr>
          <w:sz w:val="20"/>
          <w:szCs w:val="20"/>
          <w:lang w:bidi="ar-EG"/>
        </w:rPr>
        <w:t>WHtR</w:t>
      </w:r>
      <w:proofErr w:type="spellEnd"/>
      <w:r w:rsidR="00CF151E" w:rsidRPr="006038FB">
        <w:rPr>
          <w:sz w:val="20"/>
          <w:szCs w:val="20"/>
          <w:lang w:bidi="ar-EG"/>
        </w:rPr>
        <w:t xml:space="preserve"> were more reliable in this clinical study.</w:t>
      </w:r>
    </w:p>
    <w:p w:rsidR="00274D70" w:rsidRPr="006038FB" w:rsidRDefault="00274D70" w:rsidP="009E3379">
      <w:pPr>
        <w:jc w:val="lowKashida"/>
        <w:rPr>
          <w:b/>
          <w:bCs/>
          <w:sz w:val="20"/>
          <w:szCs w:val="20"/>
          <w:lang w:bidi="ar-EG"/>
        </w:rPr>
      </w:pPr>
    </w:p>
    <w:p w:rsidR="00CF151E" w:rsidRPr="006038FB" w:rsidRDefault="00274D70" w:rsidP="009E3379">
      <w:pPr>
        <w:pStyle w:val="NoSpacing"/>
        <w:rPr>
          <w:b/>
          <w:bCs/>
          <w:sz w:val="20"/>
          <w:szCs w:val="20"/>
          <w:lang w:bidi="ar-EG"/>
        </w:rPr>
      </w:pPr>
      <w:r w:rsidRPr="006038FB">
        <w:rPr>
          <w:b/>
          <w:bCs/>
          <w:sz w:val="20"/>
          <w:szCs w:val="20"/>
          <w:lang w:bidi="ar-EG"/>
        </w:rPr>
        <w:t xml:space="preserve">Corresponding author </w:t>
      </w:r>
    </w:p>
    <w:p w:rsidR="00274D70" w:rsidRPr="006038FB" w:rsidRDefault="00274D70" w:rsidP="009E3379">
      <w:pPr>
        <w:pStyle w:val="NoSpacing"/>
        <w:rPr>
          <w:b/>
          <w:bCs/>
          <w:sz w:val="20"/>
          <w:szCs w:val="20"/>
        </w:rPr>
      </w:pPr>
      <w:proofErr w:type="spellStart"/>
      <w:r w:rsidRPr="006038FB">
        <w:rPr>
          <w:b/>
          <w:bCs/>
          <w:sz w:val="20"/>
          <w:szCs w:val="20"/>
          <w:lang w:bidi="ar-EG"/>
        </w:rPr>
        <w:t>Ateyat</w:t>
      </w:r>
      <w:proofErr w:type="spellEnd"/>
      <w:r w:rsidRPr="006038FB">
        <w:rPr>
          <w:b/>
          <w:bCs/>
          <w:sz w:val="20"/>
          <w:szCs w:val="20"/>
          <w:lang w:bidi="ar-EG"/>
        </w:rPr>
        <w:t xml:space="preserve"> A </w:t>
      </w:r>
      <w:proofErr w:type="spellStart"/>
      <w:r w:rsidRPr="006038FB">
        <w:rPr>
          <w:b/>
          <w:bCs/>
          <w:sz w:val="20"/>
          <w:szCs w:val="20"/>
          <w:lang w:bidi="ar-EG"/>
        </w:rPr>
        <w:t>Ateya</w:t>
      </w:r>
      <w:proofErr w:type="spellEnd"/>
    </w:p>
    <w:p w:rsidR="00274D70" w:rsidRPr="006038FB" w:rsidRDefault="00274D70" w:rsidP="009E3379">
      <w:pPr>
        <w:pStyle w:val="NoSpacing"/>
        <w:rPr>
          <w:sz w:val="20"/>
          <w:szCs w:val="20"/>
          <w:lang w:bidi="ar-EG"/>
        </w:rPr>
      </w:pPr>
      <w:r w:rsidRPr="006038FB">
        <w:rPr>
          <w:sz w:val="20"/>
          <w:szCs w:val="20"/>
          <w:lang w:bidi="ar-EG"/>
        </w:rPr>
        <w:t>Department of Pediatrics, Faculty of Medicine for girls, Faculty of Medicine for Boys, Al-</w:t>
      </w:r>
      <w:proofErr w:type="spellStart"/>
      <w:r w:rsidRPr="006038FB">
        <w:rPr>
          <w:sz w:val="20"/>
          <w:szCs w:val="20"/>
          <w:lang w:bidi="ar-EG"/>
        </w:rPr>
        <w:t>Azhar</w:t>
      </w:r>
      <w:proofErr w:type="spellEnd"/>
      <w:r w:rsidRPr="006038FB">
        <w:rPr>
          <w:sz w:val="20"/>
          <w:szCs w:val="20"/>
          <w:lang w:bidi="ar-EG"/>
        </w:rPr>
        <w:t xml:space="preserve"> University</w:t>
      </w:r>
    </w:p>
    <w:p w:rsidR="00274D70" w:rsidRPr="006038FB" w:rsidRDefault="007A7BA2" w:rsidP="009E3379">
      <w:pPr>
        <w:pStyle w:val="NoSpacing"/>
        <w:rPr>
          <w:sz w:val="20"/>
          <w:szCs w:val="20"/>
          <w:lang w:bidi="ar-EG"/>
        </w:rPr>
      </w:pPr>
      <w:hyperlink r:id="rId15" w:history="1">
        <w:r w:rsidR="00274D70" w:rsidRPr="006038FB">
          <w:rPr>
            <w:rStyle w:val="Hyperlink"/>
            <w:sz w:val="20"/>
            <w:szCs w:val="20"/>
            <w:lang w:bidi="ar-EG"/>
          </w:rPr>
          <w:t>ateyatabolfotoh@yahoo.com</w:t>
        </w:r>
      </w:hyperlink>
    </w:p>
    <w:p w:rsidR="00274D70" w:rsidRPr="006038FB" w:rsidRDefault="00274D70" w:rsidP="009E3379">
      <w:pPr>
        <w:pStyle w:val="NoSpacing"/>
        <w:rPr>
          <w:sz w:val="20"/>
          <w:szCs w:val="20"/>
          <w:lang w:bidi="ar-EG"/>
        </w:rPr>
      </w:pPr>
    </w:p>
    <w:p w:rsidR="00CF151E" w:rsidRPr="006038FB" w:rsidRDefault="00CF151E" w:rsidP="009E3379">
      <w:pPr>
        <w:jc w:val="lowKashida"/>
        <w:rPr>
          <w:b/>
          <w:bCs/>
          <w:sz w:val="20"/>
          <w:szCs w:val="20"/>
          <w:lang w:bidi="ar-EG"/>
        </w:rPr>
      </w:pPr>
      <w:r w:rsidRPr="006038FB">
        <w:rPr>
          <w:b/>
          <w:bCs/>
          <w:sz w:val="20"/>
          <w:szCs w:val="20"/>
          <w:lang w:bidi="ar-EG"/>
        </w:rPr>
        <w:t>References</w:t>
      </w:r>
    </w:p>
    <w:p w:rsidR="00CF151E" w:rsidRPr="006038FB" w:rsidRDefault="00CF151E" w:rsidP="009E3379">
      <w:pPr>
        <w:pStyle w:val="NoSpacing"/>
        <w:numPr>
          <w:ilvl w:val="0"/>
          <w:numId w:val="7"/>
        </w:numPr>
        <w:ind w:left="426"/>
        <w:jc w:val="both"/>
        <w:rPr>
          <w:sz w:val="20"/>
          <w:szCs w:val="20"/>
          <w:lang w:val="es-ES"/>
        </w:rPr>
      </w:pPr>
      <w:proofErr w:type="spellStart"/>
      <w:r w:rsidRPr="006038FB">
        <w:rPr>
          <w:b/>
          <w:bCs/>
          <w:sz w:val="20"/>
          <w:szCs w:val="20"/>
        </w:rPr>
        <w:t>Armellini</w:t>
      </w:r>
      <w:proofErr w:type="spellEnd"/>
      <w:r w:rsidRPr="006038FB">
        <w:rPr>
          <w:b/>
          <w:bCs/>
          <w:sz w:val="20"/>
          <w:szCs w:val="20"/>
        </w:rPr>
        <w:t xml:space="preserve"> F, </w:t>
      </w:r>
      <w:proofErr w:type="spellStart"/>
      <w:r w:rsidRPr="006038FB">
        <w:rPr>
          <w:b/>
          <w:bCs/>
          <w:sz w:val="20"/>
          <w:szCs w:val="20"/>
        </w:rPr>
        <w:t>zamboni</w:t>
      </w:r>
      <w:proofErr w:type="spellEnd"/>
      <w:r w:rsidRPr="006038FB">
        <w:rPr>
          <w:b/>
          <w:bCs/>
          <w:sz w:val="20"/>
          <w:szCs w:val="20"/>
        </w:rPr>
        <w:t xml:space="preserve"> M, </w:t>
      </w:r>
      <w:proofErr w:type="spellStart"/>
      <w:r w:rsidRPr="006038FB">
        <w:rPr>
          <w:b/>
          <w:bCs/>
          <w:sz w:val="20"/>
          <w:szCs w:val="20"/>
        </w:rPr>
        <w:t>Rigo</w:t>
      </w:r>
      <w:proofErr w:type="spellEnd"/>
      <w:r w:rsidRPr="006038FB">
        <w:rPr>
          <w:b/>
          <w:bCs/>
          <w:sz w:val="20"/>
          <w:szCs w:val="20"/>
        </w:rPr>
        <w:t xml:space="preserve"> L (1991): </w:t>
      </w:r>
      <w:proofErr w:type="spellStart"/>
      <w:r w:rsidRPr="006038FB">
        <w:rPr>
          <w:sz w:val="20"/>
          <w:szCs w:val="20"/>
        </w:rPr>
        <w:t>Sonography</w:t>
      </w:r>
      <w:proofErr w:type="spellEnd"/>
      <w:r w:rsidRPr="006038FB">
        <w:rPr>
          <w:sz w:val="20"/>
          <w:szCs w:val="20"/>
        </w:rPr>
        <w:t xml:space="preserve"> detection</w:t>
      </w:r>
      <w:r w:rsidR="004B147B">
        <w:rPr>
          <w:sz w:val="20"/>
          <w:szCs w:val="20"/>
        </w:rPr>
        <w:t xml:space="preserve"> </w:t>
      </w:r>
      <w:r w:rsidRPr="006038FB">
        <w:rPr>
          <w:sz w:val="20"/>
          <w:szCs w:val="20"/>
        </w:rPr>
        <w:t>of</w:t>
      </w:r>
      <w:r w:rsidR="004B147B">
        <w:rPr>
          <w:sz w:val="20"/>
          <w:szCs w:val="20"/>
        </w:rPr>
        <w:t xml:space="preserve"> </w:t>
      </w:r>
      <w:r w:rsidRPr="006038FB">
        <w:rPr>
          <w:sz w:val="20"/>
          <w:szCs w:val="20"/>
        </w:rPr>
        <w:t>small</w:t>
      </w:r>
      <w:r w:rsidR="004B147B">
        <w:rPr>
          <w:sz w:val="20"/>
          <w:szCs w:val="20"/>
        </w:rPr>
        <w:t xml:space="preserve"> </w:t>
      </w:r>
      <w:proofErr w:type="spellStart"/>
      <w:r w:rsidRPr="006038FB">
        <w:rPr>
          <w:sz w:val="20"/>
          <w:szCs w:val="20"/>
        </w:rPr>
        <w:t>intraabdominal</w:t>
      </w:r>
      <w:proofErr w:type="spellEnd"/>
      <w:r w:rsidR="004B147B">
        <w:rPr>
          <w:sz w:val="20"/>
          <w:szCs w:val="20"/>
        </w:rPr>
        <w:t xml:space="preserve"> </w:t>
      </w:r>
      <w:r w:rsidRPr="006038FB">
        <w:rPr>
          <w:sz w:val="20"/>
          <w:szCs w:val="20"/>
        </w:rPr>
        <w:t xml:space="preserve">fat variations. </w:t>
      </w:r>
      <w:r w:rsidRPr="006038FB">
        <w:rPr>
          <w:sz w:val="20"/>
          <w:szCs w:val="20"/>
          <w:lang w:val="es-ES"/>
        </w:rPr>
        <w:t>Int J Obes; 15: 847-852.</w:t>
      </w:r>
    </w:p>
    <w:p w:rsidR="00CF151E" w:rsidRPr="006038FB" w:rsidRDefault="00CF151E" w:rsidP="009E3379">
      <w:pPr>
        <w:pStyle w:val="NoSpacing"/>
        <w:numPr>
          <w:ilvl w:val="0"/>
          <w:numId w:val="7"/>
        </w:numPr>
        <w:ind w:left="426"/>
        <w:jc w:val="both"/>
        <w:rPr>
          <w:sz w:val="20"/>
          <w:szCs w:val="20"/>
        </w:rPr>
      </w:pPr>
      <w:r w:rsidRPr="006038FB">
        <w:rPr>
          <w:b/>
          <w:bCs/>
          <w:sz w:val="20"/>
          <w:szCs w:val="20"/>
          <w:lang w:val="es-ES"/>
        </w:rPr>
        <w:t xml:space="preserve">Castro-pinero J, padillapMoledo C. Ortega FB, Molinerp Urdiales D, Keating X, </w:t>
      </w:r>
      <w:r w:rsidRPr="006038FB">
        <w:rPr>
          <w:b/>
          <w:bCs/>
          <w:i/>
          <w:iCs/>
          <w:sz w:val="20"/>
          <w:szCs w:val="20"/>
          <w:lang w:val="es-ES"/>
        </w:rPr>
        <w:t>et al.</w:t>
      </w:r>
      <w:r w:rsidRPr="006038FB">
        <w:rPr>
          <w:b/>
          <w:bCs/>
          <w:sz w:val="20"/>
          <w:szCs w:val="20"/>
          <w:lang w:val="es-ES"/>
        </w:rPr>
        <w:t xml:space="preserve"> </w:t>
      </w:r>
      <w:r w:rsidRPr="006038FB">
        <w:rPr>
          <w:b/>
          <w:bCs/>
          <w:sz w:val="20"/>
          <w:szCs w:val="20"/>
        </w:rPr>
        <w:t xml:space="preserve">(2011): </w:t>
      </w:r>
      <w:proofErr w:type="spellStart"/>
      <w:r w:rsidRPr="006038FB">
        <w:rPr>
          <w:sz w:val="20"/>
          <w:szCs w:val="20"/>
        </w:rPr>
        <w:t>Cardiorespriatory</w:t>
      </w:r>
      <w:proofErr w:type="spellEnd"/>
      <w:r w:rsidRPr="006038FB">
        <w:rPr>
          <w:sz w:val="20"/>
          <w:szCs w:val="20"/>
        </w:rPr>
        <w:t xml:space="preserve"> fitness and Fatness Are Associated UIT Health Complaints and Health Risk Behaviors in Youth. J Phys Act Health. </w:t>
      </w:r>
    </w:p>
    <w:p w:rsidR="00CF151E" w:rsidRPr="006038FB" w:rsidRDefault="00CF151E" w:rsidP="009E3379">
      <w:pPr>
        <w:pStyle w:val="NoSpacing"/>
        <w:numPr>
          <w:ilvl w:val="0"/>
          <w:numId w:val="7"/>
        </w:numPr>
        <w:ind w:left="426"/>
        <w:jc w:val="both"/>
        <w:rPr>
          <w:sz w:val="20"/>
          <w:szCs w:val="20"/>
        </w:rPr>
      </w:pPr>
      <w:proofErr w:type="spellStart"/>
      <w:r w:rsidRPr="006038FB">
        <w:rPr>
          <w:b/>
          <w:bCs/>
          <w:sz w:val="20"/>
          <w:szCs w:val="20"/>
        </w:rPr>
        <w:lastRenderedPageBreak/>
        <w:t>Damaso</w:t>
      </w:r>
      <w:proofErr w:type="spellEnd"/>
      <w:r w:rsidRPr="006038FB">
        <w:rPr>
          <w:b/>
          <w:bCs/>
          <w:sz w:val="20"/>
          <w:szCs w:val="20"/>
        </w:rPr>
        <w:t xml:space="preserve"> AR, do Prado </w:t>
      </w:r>
      <w:proofErr w:type="spellStart"/>
      <w:r w:rsidRPr="006038FB">
        <w:rPr>
          <w:b/>
          <w:bCs/>
          <w:sz w:val="20"/>
          <w:szCs w:val="20"/>
        </w:rPr>
        <w:t>Wl</w:t>
      </w:r>
      <w:proofErr w:type="spellEnd"/>
      <w:r w:rsidRPr="006038FB">
        <w:rPr>
          <w:b/>
          <w:bCs/>
          <w:sz w:val="20"/>
          <w:szCs w:val="20"/>
        </w:rPr>
        <w:t xml:space="preserve">, de piano A, tock l, </w:t>
      </w:r>
      <w:proofErr w:type="spellStart"/>
      <w:r w:rsidRPr="006038FB">
        <w:rPr>
          <w:b/>
          <w:bCs/>
          <w:sz w:val="20"/>
          <w:szCs w:val="20"/>
        </w:rPr>
        <w:t>caranti</w:t>
      </w:r>
      <w:proofErr w:type="spellEnd"/>
      <w:r w:rsidRPr="006038FB">
        <w:rPr>
          <w:b/>
          <w:bCs/>
          <w:sz w:val="20"/>
          <w:szCs w:val="20"/>
        </w:rPr>
        <w:t xml:space="preserve"> DA, </w:t>
      </w:r>
      <w:r w:rsidRPr="006038FB">
        <w:rPr>
          <w:b/>
          <w:bCs/>
          <w:i/>
          <w:iCs/>
          <w:sz w:val="20"/>
          <w:szCs w:val="20"/>
        </w:rPr>
        <w:t>et al.</w:t>
      </w:r>
      <w:r w:rsidRPr="006038FB">
        <w:rPr>
          <w:b/>
          <w:bCs/>
          <w:sz w:val="20"/>
          <w:szCs w:val="20"/>
        </w:rPr>
        <w:t xml:space="preserve"> (2008): </w:t>
      </w:r>
      <w:r w:rsidRPr="006038FB">
        <w:rPr>
          <w:sz w:val="20"/>
          <w:szCs w:val="20"/>
        </w:rPr>
        <w:t xml:space="preserve">Relationship between nonalcoholic fatty liver disease prevalence and visceral fat in obese adolescents. Dig Liver Dis., 40: 132-139. </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Duren DL, Sherwood RJ, Czerwinski SA, Lee M, </w:t>
      </w:r>
      <w:proofErr w:type="spellStart"/>
      <w:r w:rsidRPr="006038FB">
        <w:rPr>
          <w:b/>
          <w:bCs/>
          <w:sz w:val="20"/>
          <w:szCs w:val="20"/>
        </w:rPr>
        <w:t>Choh</w:t>
      </w:r>
      <w:proofErr w:type="spellEnd"/>
      <w:r w:rsidRPr="006038FB">
        <w:rPr>
          <w:b/>
          <w:bCs/>
          <w:sz w:val="20"/>
          <w:szCs w:val="20"/>
        </w:rPr>
        <w:t xml:space="preserve"> AC, </w:t>
      </w:r>
      <w:r w:rsidRPr="006038FB">
        <w:rPr>
          <w:b/>
          <w:bCs/>
          <w:i/>
          <w:iCs/>
          <w:sz w:val="20"/>
          <w:szCs w:val="20"/>
        </w:rPr>
        <w:t>et al.</w:t>
      </w:r>
      <w:r w:rsidR="004B147B">
        <w:rPr>
          <w:b/>
          <w:bCs/>
          <w:sz w:val="20"/>
          <w:szCs w:val="20"/>
        </w:rPr>
        <w:t xml:space="preserve"> </w:t>
      </w:r>
      <w:r w:rsidRPr="006038FB">
        <w:rPr>
          <w:b/>
          <w:bCs/>
          <w:sz w:val="20"/>
          <w:szCs w:val="20"/>
        </w:rPr>
        <w:t xml:space="preserve">(2008): </w:t>
      </w:r>
      <w:r w:rsidRPr="006038FB">
        <w:rPr>
          <w:sz w:val="20"/>
          <w:szCs w:val="20"/>
        </w:rPr>
        <w:t xml:space="preserve">Body composition methods: comparisons and interpretation. J Diabetes </w:t>
      </w:r>
      <w:proofErr w:type="spellStart"/>
      <w:r w:rsidRPr="006038FB">
        <w:rPr>
          <w:sz w:val="20"/>
          <w:szCs w:val="20"/>
        </w:rPr>
        <w:t>Sci</w:t>
      </w:r>
      <w:proofErr w:type="spellEnd"/>
      <w:r w:rsidRPr="006038FB">
        <w:rPr>
          <w:sz w:val="20"/>
          <w:szCs w:val="20"/>
        </w:rPr>
        <w:t xml:space="preserve"> Technol., 2: 1139-1146</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Huerta SF, </w:t>
      </w:r>
      <w:proofErr w:type="spellStart"/>
      <w:r w:rsidRPr="006038FB">
        <w:rPr>
          <w:b/>
          <w:bCs/>
          <w:sz w:val="20"/>
          <w:szCs w:val="20"/>
        </w:rPr>
        <w:t>Klunder</w:t>
      </w:r>
      <w:proofErr w:type="spellEnd"/>
      <w:r w:rsidRPr="006038FB">
        <w:rPr>
          <w:b/>
          <w:bCs/>
          <w:sz w:val="20"/>
          <w:szCs w:val="20"/>
        </w:rPr>
        <w:t xml:space="preserve"> MK, Cruz LR, and Santo JI (2009): </w:t>
      </w:r>
      <w:r w:rsidRPr="006038FB">
        <w:rPr>
          <w:sz w:val="20"/>
          <w:szCs w:val="20"/>
        </w:rPr>
        <w:t>increase in body mass index and Waist circumference is associated with high blood pressure in children and adolescents in Mexico City. Archives of Medical Research, 40: 208-215.</w:t>
      </w:r>
    </w:p>
    <w:p w:rsidR="00CF151E" w:rsidRPr="006038FB" w:rsidRDefault="00CF151E" w:rsidP="009E3379">
      <w:pPr>
        <w:pStyle w:val="NoSpacing"/>
        <w:numPr>
          <w:ilvl w:val="0"/>
          <w:numId w:val="7"/>
        </w:numPr>
        <w:ind w:left="426"/>
        <w:jc w:val="both"/>
        <w:rPr>
          <w:sz w:val="20"/>
          <w:szCs w:val="20"/>
        </w:rPr>
      </w:pPr>
      <w:r w:rsidRPr="006038FB">
        <w:rPr>
          <w:b/>
          <w:bCs/>
          <w:sz w:val="20"/>
          <w:szCs w:val="20"/>
        </w:rPr>
        <w:t>Justus MB (2004):</w:t>
      </w:r>
      <w:r w:rsidRPr="006038FB">
        <w:rPr>
          <w:sz w:val="20"/>
          <w:szCs w:val="20"/>
        </w:rPr>
        <w:t xml:space="preserve"> A training manual for height and weight assessment. Arkansas Center or Health improvement. </w:t>
      </w:r>
    </w:p>
    <w:p w:rsidR="00CF151E" w:rsidRPr="006038FB" w:rsidRDefault="00CF151E" w:rsidP="009E3379">
      <w:pPr>
        <w:pStyle w:val="NoSpacing"/>
        <w:numPr>
          <w:ilvl w:val="0"/>
          <w:numId w:val="7"/>
        </w:numPr>
        <w:ind w:left="426"/>
        <w:jc w:val="both"/>
        <w:rPr>
          <w:sz w:val="20"/>
          <w:szCs w:val="20"/>
        </w:rPr>
      </w:pPr>
      <w:proofErr w:type="spellStart"/>
      <w:r w:rsidRPr="006038FB">
        <w:rPr>
          <w:b/>
          <w:bCs/>
          <w:sz w:val="20"/>
          <w:szCs w:val="20"/>
        </w:rPr>
        <w:t>Kytnarove</w:t>
      </w:r>
      <w:proofErr w:type="spellEnd"/>
      <w:r w:rsidRPr="006038FB">
        <w:rPr>
          <w:b/>
          <w:bCs/>
          <w:sz w:val="20"/>
          <w:szCs w:val="20"/>
        </w:rPr>
        <w:t xml:space="preserve"> J , </w:t>
      </w:r>
      <w:proofErr w:type="spellStart"/>
      <w:r w:rsidRPr="006038FB">
        <w:rPr>
          <w:b/>
          <w:bCs/>
          <w:sz w:val="20"/>
          <w:szCs w:val="20"/>
        </w:rPr>
        <w:t>Fruhauf</w:t>
      </w:r>
      <w:proofErr w:type="spellEnd"/>
      <w:r w:rsidRPr="006038FB">
        <w:rPr>
          <w:b/>
          <w:bCs/>
          <w:sz w:val="20"/>
          <w:szCs w:val="20"/>
        </w:rPr>
        <w:t xml:space="preserve"> P, </w:t>
      </w:r>
      <w:proofErr w:type="spellStart"/>
      <w:r w:rsidRPr="006038FB">
        <w:rPr>
          <w:b/>
          <w:bCs/>
          <w:sz w:val="20"/>
          <w:szCs w:val="20"/>
        </w:rPr>
        <w:t>Moravcova</w:t>
      </w:r>
      <w:proofErr w:type="spellEnd"/>
      <w:r w:rsidRPr="006038FB">
        <w:rPr>
          <w:b/>
          <w:bCs/>
          <w:sz w:val="20"/>
          <w:szCs w:val="20"/>
        </w:rPr>
        <w:t xml:space="preserve"> A, </w:t>
      </w:r>
      <w:proofErr w:type="spellStart"/>
      <w:r w:rsidRPr="006038FB">
        <w:rPr>
          <w:b/>
          <w:bCs/>
          <w:sz w:val="20"/>
          <w:szCs w:val="20"/>
        </w:rPr>
        <w:t>Kunesova</w:t>
      </w:r>
      <w:proofErr w:type="spellEnd"/>
      <w:r w:rsidRPr="006038FB">
        <w:rPr>
          <w:b/>
          <w:bCs/>
          <w:sz w:val="20"/>
          <w:szCs w:val="20"/>
        </w:rPr>
        <w:t xml:space="preserve"> M, </w:t>
      </w:r>
      <w:proofErr w:type="spellStart"/>
      <w:r w:rsidRPr="006038FB">
        <w:rPr>
          <w:b/>
          <w:bCs/>
          <w:sz w:val="20"/>
          <w:szCs w:val="20"/>
        </w:rPr>
        <w:t>Hainer</w:t>
      </w:r>
      <w:proofErr w:type="spellEnd"/>
      <w:r w:rsidRPr="006038FB">
        <w:rPr>
          <w:b/>
          <w:bCs/>
          <w:sz w:val="20"/>
          <w:szCs w:val="20"/>
        </w:rPr>
        <w:t xml:space="preserve"> V (2004):</w:t>
      </w:r>
      <w:r w:rsidRPr="006038FB">
        <w:rPr>
          <w:sz w:val="20"/>
          <w:szCs w:val="20"/>
        </w:rPr>
        <w:t xml:space="preserve"> Ultrasound measurement of visceral fat in obese chil</w:t>
      </w:r>
      <w:r w:rsidR="00724CA2" w:rsidRPr="006038FB">
        <w:rPr>
          <w:sz w:val="20"/>
          <w:szCs w:val="20"/>
        </w:rPr>
        <w:t xml:space="preserve">dren. </w:t>
      </w:r>
      <w:proofErr w:type="spellStart"/>
      <w:r w:rsidR="00724CA2" w:rsidRPr="006038FB">
        <w:rPr>
          <w:sz w:val="20"/>
          <w:szCs w:val="20"/>
        </w:rPr>
        <w:t>Cas</w:t>
      </w:r>
      <w:proofErr w:type="spellEnd"/>
      <w:r w:rsidR="00724CA2" w:rsidRPr="006038FB">
        <w:rPr>
          <w:sz w:val="20"/>
          <w:szCs w:val="20"/>
        </w:rPr>
        <w:t xml:space="preserve"> </w:t>
      </w:r>
      <w:proofErr w:type="spellStart"/>
      <w:r w:rsidR="00724CA2" w:rsidRPr="006038FB">
        <w:rPr>
          <w:sz w:val="20"/>
          <w:szCs w:val="20"/>
        </w:rPr>
        <w:t>Lek</w:t>
      </w:r>
      <w:proofErr w:type="spellEnd"/>
      <w:r w:rsidR="00724CA2" w:rsidRPr="006038FB">
        <w:rPr>
          <w:sz w:val="20"/>
          <w:szCs w:val="20"/>
        </w:rPr>
        <w:t xml:space="preserve"> </w:t>
      </w:r>
      <w:proofErr w:type="spellStart"/>
      <w:r w:rsidR="00724CA2" w:rsidRPr="006038FB">
        <w:rPr>
          <w:sz w:val="20"/>
          <w:szCs w:val="20"/>
        </w:rPr>
        <w:t>Cesk</w:t>
      </w:r>
      <w:proofErr w:type="spellEnd"/>
      <w:r w:rsidR="00724CA2" w:rsidRPr="006038FB">
        <w:rPr>
          <w:sz w:val="20"/>
          <w:szCs w:val="20"/>
        </w:rPr>
        <w:t xml:space="preserve"> 143: 766-769.</w:t>
      </w:r>
      <w:r w:rsidRPr="006038FB">
        <w:rPr>
          <w:sz w:val="20"/>
          <w:szCs w:val="20"/>
        </w:rPr>
        <w:t xml:space="preserve"> </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Lee YS, </w:t>
      </w:r>
      <w:proofErr w:type="spellStart"/>
      <w:r w:rsidRPr="006038FB">
        <w:rPr>
          <w:b/>
          <w:bCs/>
          <w:sz w:val="20"/>
          <w:szCs w:val="20"/>
        </w:rPr>
        <w:t>Kek</w:t>
      </w:r>
      <w:proofErr w:type="spellEnd"/>
      <w:r w:rsidRPr="006038FB">
        <w:rPr>
          <w:b/>
          <w:bCs/>
          <w:sz w:val="20"/>
          <w:szCs w:val="20"/>
        </w:rPr>
        <w:t xml:space="preserve"> BL, </w:t>
      </w:r>
      <w:proofErr w:type="spellStart"/>
      <w:r w:rsidRPr="006038FB">
        <w:rPr>
          <w:b/>
          <w:bCs/>
          <w:sz w:val="20"/>
          <w:szCs w:val="20"/>
        </w:rPr>
        <w:t>poh</w:t>
      </w:r>
      <w:proofErr w:type="spellEnd"/>
      <w:r w:rsidRPr="006038FB">
        <w:rPr>
          <w:b/>
          <w:bCs/>
          <w:sz w:val="20"/>
          <w:szCs w:val="20"/>
        </w:rPr>
        <w:t xml:space="preserve"> </w:t>
      </w:r>
      <w:proofErr w:type="spellStart"/>
      <w:r w:rsidRPr="006038FB">
        <w:rPr>
          <w:b/>
          <w:bCs/>
          <w:sz w:val="20"/>
          <w:szCs w:val="20"/>
        </w:rPr>
        <w:t>Lk</w:t>
      </w:r>
      <w:proofErr w:type="spellEnd"/>
      <w:r w:rsidRPr="006038FB">
        <w:rPr>
          <w:b/>
          <w:bCs/>
          <w:sz w:val="20"/>
          <w:szCs w:val="20"/>
        </w:rPr>
        <w:t xml:space="preserve">, Saw SM, </w:t>
      </w:r>
      <w:proofErr w:type="spellStart"/>
      <w:r w:rsidRPr="006038FB">
        <w:rPr>
          <w:b/>
          <w:bCs/>
          <w:sz w:val="20"/>
          <w:szCs w:val="20"/>
        </w:rPr>
        <w:t>Loke</w:t>
      </w:r>
      <w:proofErr w:type="spellEnd"/>
      <w:r w:rsidRPr="006038FB">
        <w:rPr>
          <w:b/>
          <w:bCs/>
          <w:sz w:val="20"/>
          <w:szCs w:val="20"/>
        </w:rPr>
        <w:t xml:space="preserve"> KY (2008):</w:t>
      </w:r>
      <w:r w:rsidR="004B147B">
        <w:rPr>
          <w:sz w:val="20"/>
          <w:szCs w:val="20"/>
        </w:rPr>
        <w:t xml:space="preserve"> </w:t>
      </w:r>
      <w:r w:rsidRPr="006038FB">
        <w:rPr>
          <w:sz w:val="20"/>
          <w:szCs w:val="20"/>
        </w:rPr>
        <w:t xml:space="preserve">Association of raised liver </w:t>
      </w:r>
      <w:proofErr w:type="spellStart"/>
      <w:r w:rsidRPr="006038FB">
        <w:rPr>
          <w:sz w:val="20"/>
          <w:szCs w:val="20"/>
        </w:rPr>
        <w:t>transaminases</w:t>
      </w:r>
      <w:proofErr w:type="spellEnd"/>
      <w:r w:rsidRPr="006038FB">
        <w:rPr>
          <w:sz w:val="20"/>
          <w:szCs w:val="20"/>
        </w:rPr>
        <w:t xml:space="preserve"> with physical inactivity, increased waist-hip ratio, and other metabolic morbidities in </w:t>
      </w:r>
      <w:r w:rsidR="00724CA2" w:rsidRPr="006038FB">
        <w:rPr>
          <w:sz w:val="20"/>
          <w:szCs w:val="20"/>
        </w:rPr>
        <w:t>severely</w:t>
      </w:r>
      <w:r w:rsidRPr="006038FB">
        <w:rPr>
          <w:sz w:val="20"/>
          <w:szCs w:val="20"/>
        </w:rPr>
        <w:t xml:space="preserve"> obese children, J </w:t>
      </w:r>
      <w:proofErr w:type="spellStart"/>
      <w:r w:rsidRPr="006038FB">
        <w:rPr>
          <w:sz w:val="20"/>
          <w:szCs w:val="20"/>
        </w:rPr>
        <w:t>Pediatr</w:t>
      </w:r>
      <w:proofErr w:type="spellEnd"/>
      <w:r w:rsidRPr="006038FB">
        <w:rPr>
          <w:sz w:val="20"/>
          <w:szCs w:val="20"/>
        </w:rPr>
        <w:t xml:space="preserve"> </w:t>
      </w:r>
      <w:proofErr w:type="spellStart"/>
      <w:r w:rsidRPr="006038FB">
        <w:rPr>
          <w:sz w:val="20"/>
          <w:szCs w:val="20"/>
        </w:rPr>
        <w:t>Gastroenterol</w:t>
      </w:r>
      <w:proofErr w:type="spellEnd"/>
      <w:r w:rsidRPr="006038FB">
        <w:rPr>
          <w:sz w:val="20"/>
          <w:szCs w:val="20"/>
        </w:rPr>
        <w:t xml:space="preserve"> </w:t>
      </w:r>
      <w:proofErr w:type="spellStart"/>
      <w:r w:rsidRPr="006038FB">
        <w:rPr>
          <w:sz w:val="20"/>
          <w:szCs w:val="20"/>
        </w:rPr>
        <w:t>Nutr</w:t>
      </w:r>
      <w:proofErr w:type="spellEnd"/>
      <w:r w:rsidRPr="006038FB">
        <w:rPr>
          <w:sz w:val="20"/>
          <w:szCs w:val="20"/>
        </w:rPr>
        <w:t xml:space="preserve">., 47: 172-178. </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Lyon HN and </w:t>
      </w:r>
      <w:proofErr w:type="spellStart"/>
      <w:r w:rsidRPr="006038FB">
        <w:rPr>
          <w:b/>
          <w:bCs/>
          <w:sz w:val="20"/>
          <w:szCs w:val="20"/>
        </w:rPr>
        <w:t>Hirschhorn</w:t>
      </w:r>
      <w:proofErr w:type="spellEnd"/>
      <w:r w:rsidRPr="006038FB">
        <w:rPr>
          <w:b/>
          <w:bCs/>
          <w:sz w:val="20"/>
          <w:szCs w:val="20"/>
        </w:rPr>
        <w:t xml:space="preserve"> JN (2005):</w:t>
      </w:r>
      <w:r w:rsidRPr="006038FB">
        <w:rPr>
          <w:sz w:val="20"/>
          <w:szCs w:val="20"/>
        </w:rPr>
        <w:t xml:space="preserve"> Genetics of common forms of obesity: A brief overview Am J </w:t>
      </w:r>
      <w:proofErr w:type="spellStart"/>
      <w:r w:rsidRPr="006038FB">
        <w:rPr>
          <w:sz w:val="20"/>
          <w:szCs w:val="20"/>
        </w:rPr>
        <w:t>Clin</w:t>
      </w:r>
      <w:proofErr w:type="spellEnd"/>
      <w:r w:rsidRPr="006038FB">
        <w:rPr>
          <w:sz w:val="20"/>
          <w:szCs w:val="20"/>
        </w:rPr>
        <w:t xml:space="preserve"> </w:t>
      </w:r>
      <w:proofErr w:type="spellStart"/>
      <w:r w:rsidRPr="006038FB">
        <w:rPr>
          <w:sz w:val="20"/>
          <w:szCs w:val="20"/>
        </w:rPr>
        <w:t>Nutr</w:t>
      </w:r>
      <w:proofErr w:type="spellEnd"/>
      <w:r w:rsidRPr="006038FB">
        <w:rPr>
          <w:sz w:val="20"/>
          <w:szCs w:val="20"/>
        </w:rPr>
        <w:t xml:space="preserve">, 82: 2155-2175. </w:t>
      </w:r>
    </w:p>
    <w:p w:rsidR="00CF151E" w:rsidRPr="006038FB" w:rsidRDefault="00CF151E" w:rsidP="009E3379">
      <w:pPr>
        <w:pStyle w:val="NoSpacing"/>
        <w:numPr>
          <w:ilvl w:val="0"/>
          <w:numId w:val="7"/>
        </w:numPr>
        <w:ind w:left="426"/>
        <w:jc w:val="both"/>
        <w:rPr>
          <w:sz w:val="20"/>
          <w:szCs w:val="20"/>
        </w:rPr>
      </w:pPr>
      <w:proofErr w:type="spellStart"/>
      <w:r w:rsidRPr="006038FB">
        <w:rPr>
          <w:b/>
          <w:bCs/>
          <w:sz w:val="20"/>
          <w:szCs w:val="20"/>
        </w:rPr>
        <w:t>Maffeis</w:t>
      </w:r>
      <w:proofErr w:type="spellEnd"/>
      <w:r w:rsidRPr="006038FB">
        <w:rPr>
          <w:b/>
          <w:bCs/>
          <w:sz w:val="20"/>
          <w:szCs w:val="20"/>
        </w:rPr>
        <w:t xml:space="preserve"> C, </w:t>
      </w:r>
      <w:proofErr w:type="spellStart"/>
      <w:r w:rsidRPr="006038FB">
        <w:rPr>
          <w:b/>
          <w:bCs/>
          <w:sz w:val="20"/>
          <w:szCs w:val="20"/>
        </w:rPr>
        <w:t>Banzato</w:t>
      </w:r>
      <w:proofErr w:type="spellEnd"/>
      <w:r w:rsidRPr="006038FB">
        <w:rPr>
          <w:b/>
          <w:bCs/>
          <w:sz w:val="20"/>
          <w:szCs w:val="20"/>
        </w:rPr>
        <w:t xml:space="preserve"> C, </w:t>
      </w:r>
      <w:proofErr w:type="spellStart"/>
      <w:r w:rsidRPr="006038FB">
        <w:rPr>
          <w:b/>
          <w:bCs/>
          <w:sz w:val="20"/>
          <w:szCs w:val="20"/>
        </w:rPr>
        <w:t>Talamin</w:t>
      </w:r>
      <w:proofErr w:type="spellEnd"/>
      <w:r w:rsidRPr="006038FB">
        <w:rPr>
          <w:b/>
          <w:bCs/>
          <w:sz w:val="20"/>
          <w:szCs w:val="20"/>
        </w:rPr>
        <w:t xml:space="preserve"> G (2008):</w:t>
      </w:r>
      <w:r w:rsidRPr="006038FB">
        <w:rPr>
          <w:sz w:val="20"/>
          <w:szCs w:val="20"/>
        </w:rPr>
        <w:t xml:space="preserve"> </w:t>
      </w:r>
      <w:proofErr w:type="spellStart"/>
      <w:r w:rsidRPr="006038FB">
        <w:rPr>
          <w:sz w:val="20"/>
          <w:szCs w:val="20"/>
        </w:rPr>
        <w:t>Waisttoheight</w:t>
      </w:r>
      <w:proofErr w:type="spellEnd"/>
      <w:r w:rsidRPr="006038FB">
        <w:rPr>
          <w:sz w:val="20"/>
          <w:szCs w:val="20"/>
        </w:rPr>
        <w:t xml:space="preserve"> ratio, a useful index to </w:t>
      </w:r>
      <w:r w:rsidR="00724CA2" w:rsidRPr="006038FB">
        <w:rPr>
          <w:sz w:val="20"/>
          <w:szCs w:val="20"/>
        </w:rPr>
        <w:t>identify</w:t>
      </w:r>
      <w:r w:rsidRPr="006038FB">
        <w:rPr>
          <w:sz w:val="20"/>
          <w:szCs w:val="20"/>
        </w:rPr>
        <w:t xml:space="preserve"> high metabolic risk in overweight children. J </w:t>
      </w:r>
      <w:proofErr w:type="spellStart"/>
      <w:r w:rsidRPr="006038FB">
        <w:rPr>
          <w:sz w:val="20"/>
          <w:szCs w:val="20"/>
        </w:rPr>
        <w:t>Pediatr</w:t>
      </w:r>
      <w:proofErr w:type="spellEnd"/>
      <w:r w:rsidRPr="006038FB">
        <w:rPr>
          <w:sz w:val="20"/>
          <w:szCs w:val="20"/>
        </w:rPr>
        <w:t xml:space="preserve"> 152: 207-213. </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Maynard LM, </w:t>
      </w:r>
      <w:proofErr w:type="spellStart"/>
      <w:r w:rsidRPr="006038FB">
        <w:rPr>
          <w:b/>
          <w:bCs/>
          <w:sz w:val="20"/>
          <w:szCs w:val="20"/>
        </w:rPr>
        <w:t>Wisemadle</w:t>
      </w:r>
      <w:proofErr w:type="spellEnd"/>
      <w:r w:rsidRPr="006038FB">
        <w:rPr>
          <w:b/>
          <w:bCs/>
          <w:sz w:val="20"/>
          <w:szCs w:val="20"/>
        </w:rPr>
        <w:t xml:space="preserve"> W, Roche AF, </w:t>
      </w:r>
      <w:proofErr w:type="spellStart"/>
      <w:r w:rsidRPr="006038FB">
        <w:rPr>
          <w:b/>
          <w:bCs/>
          <w:sz w:val="20"/>
          <w:szCs w:val="20"/>
        </w:rPr>
        <w:t>Chumlea</w:t>
      </w:r>
      <w:proofErr w:type="spellEnd"/>
      <w:r w:rsidRPr="006038FB">
        <w:rPr>
          <w:b/>
          <w:bCs/>
          <w:sz w:val="20"/>
          <w:szCs w:val="20"/>
        </w:rPr>
        <w:t xml:space="preserve"> WC, </w:t>
      </w:r>
      <w:proofErr w:type="spellStart"/>
      <w:r w:rsidRPr="006038FB">
        <w:rPr>
          <w:b/>
          <w:bCs/>
          <w:sz w:val="20"/>
          <w:szCs w:val="20"/>
        </w:rPr>
        <w:t>Guo</w:t>
      </w:r>
      <w:proofErr w:type="spellEnd"/>
      <w:r w:rsidRPr="006038FB">
        <w:rPr>
          <w:b/>
          <w:bCs/>
          <w:sz w:val="20"/>
          <w:szCs w:val="20"/>
        </w:rPr>
        <w:t xml:space="preserve"> SS, </w:t>
      </w:r>
      <w:proofErr w:type="spellStart"/>
      <w:r w:rsidRPr="006038FB">
        <w:rPr>
          <w:b/>
          <w:bCs/>
          <w:sz w:val="20"/>
          <w:szCs w:val="20"/>
        </w:rPr>
        <w:t>Siervogl</w:t>
      </w:r>
      <w:proofErr w:type="spellEnd"/>
      <w:r w:rsidRPr="006038FB">
        <w:rPr>
          <w:b/>
          <w:bCs/>
          <w:sz w:val="20"/>
          <w:szCs w:val="20"/>
        </w:rPr>
        <w:t xml:space="preserve"> RM (2001):</w:t>
      </w:r>
      <w:r w:rsidRPr="006038FB">
        <w:rPr>
          <w:sz w:val="20"/>
          <w:szCs w:val="20"/>
        </w:rPr>
        <w:t xml:space="preserve"> Childhood </w:t>
      </w:r>
      <w:proofErr w:type="spellStart"/>
      <w:r w:rsidRPr="006038FB">
        <w:rPr>
          <w:sz w:val="20"/>
          <w:szCs w:val="20"/>
        </w:rPr>
        <w:t>boody</w:t>
      </w:r>
      <w:proofErr w:type="spellEnd"/>
      <w:r w:rsidRPr="006038FB">
        <w:rPr>
          <w:sz w:val="20"/>
          <w:szCs w:val="20"/>
        </w:rPr>
        <w:t xml:space="preserve"> composition in relation to body mass index .Pediatrics 107: 344-350. </w:t>
      </w:r>
    </w:p>
    <w:p w:rsidR="00CF151E" w:rsidRPr="006038FB" w:rsidRDefault="00CF151E" w:rsidP="009E3379">
      <w:pPr>
        <w:pStyle w:val="NoSpacing"/>
        <w:numPr>
          <w:ilvl w:val="0"/>
          <w:numId w:val="7"/>
        </w:numPr>
        <w:ind w:left="426"/>
        <w:jc w:val="both"/>
        <w:rPr>
          <w:sz w:val="20"/>
          <w:szCs w:val="20"/>
        </w:rPr>
      </w:pPr>
      <w:r w:rsidRPr="006038FB">
        <w:rPr>
          <w:b/>
          <w:bCs/>
          <w:sz w:val="20"/>
          <w:szCs w:val="20"/>
        </w:rPr>
        <w:t xml:space="preserve">Mei Z, </w:t>
      </w:r>
      <w:proofErr w:type="spellStart"/>
      <w:r w:rsidRPr="006038FB">
        <w:rPr>
          <w:b/>
          <w:bCs/>
          <w:sz w:val="20"/>
          <w:szCs w:val="20"/>
        </w:rPr>
        <w:t>Grummer</w:t>
      </w:r>
      <w:proofErr w:type="spellEnd"/>
      <w:r w:rsidRPr="006038FB">
        <w:rPr>
          <w:b/>
          <w:bCs/>
          <w:sz w:val="20"/>
          <w:szCs w:val="20"/>
        </w:rPr>
        <w:t>-</w:t>
      </w:r>
      <w:r w:rsidRPr="006038FB">
        <w:rPr>
          <w:sz w:val="20"/>
          <w:szCs w:val="20"/>
        </w:rPr>
        <w:t xml:space="preserve">Strawn LM, </w:t>
      </w:r>
      <w:proofErr w:type="spellStart"/>
      <w:r w:rsidRPr="006038FB">
        <w:rPr>
          <w:sz w:val="20"/>
          <w:szCs w:val="20"/>
        </w:rPr>
        <w:t>Pietrobelli</w:t>
      </w:r>
      <w:proofErr w:type="spellEnd"/>
      <w:r w:rsidRPr="006038FB">
        <w:rPr>
          <w:sz w:val="20"/>
          <w:szCs w:val="20"/>
        </w:rPr>
        <w:t xml:space="preserve"> A </w:t>
      </w:r>
      <w:proofErr w:type="spellStart"/>
      <w:r w:rsidRPr="006038FB">
        <w:rPr>
          <w:sz w:val="20"/>
          <w:szCs w:val="20"/>
        </w:rPr>
        <w:t>Goulding</w:t>
      </w:r>
      <w:proofErr w:type="spellEnd"/>
      <w:r w:rsidRPr="006038FB">
        <w:rPr>
          <w:sz w:val="20"/>
          <w:szCs w:val="20"/>
        </w:rPr>
        <w:t xml:space="preserve"> A, </w:t>
      </w:r>
      <w:proofErr w:type="spellStart"/>
      <w:r w:rsidRPr="006038FB">
        <w:rPr>
          <w:sz w:val="20"/>
          <w:szCs w:val="20"/>
        </w:rPr>
        <w:t>Goran</w:t>
      </w:r>
      <w:proofErr w:type="spellEnd"/>
      <w:r w:rsidRPr="006038FB">
        <w:rPr>
          <w:sz w:val="20"/>
          <w:szCs w:val="20"/>
        </w:rPr>
        <w:t xml:space="preserve"> MI, </w:t>
      </w:r>
      <w:r w:rsidRPr="006038FB">
        <w:rPr>
          <w:b/>
          <w:bCs/>
          <w:i/>
          <w:iCs/>
          <w:sz w:val="20"/>
          <w:szCs w:val="20"/>
        </w:rPr>
        <w:t>et al.</w:t>
      </w:r>
      <w:r w:rsidRPr="006038FB">
        <w:rPr>
          <w:b/>
          <w:bCs/>
          <w:sz w:val="20"/>
          <w:szCs w:val="20"/>
        </w:rPr>
        <w:t xml:space="preserve"> </w:t>
      </w:r>
      <w:r w:rsidRPr="006038FB">
        <w:rPr>
          <w:sz w:val="20"/>
          <w:szCs w:val="20"/>
        </w:rPr>
        <w:t xml:space="preserve">(2002): validity of body mass index compared with other body-composition screening indexes for the assessment of body fatness in children and adolescents. Am J </w:t>
      </w:r>
      <w:proofErr w:type="spellStart"/>
      <w:r w:rsidRPr="006038FB">
        <w:rPr>
          <w:sz w:val="20"/>
          <w:szCs w:val="20"/>
        </w:rPr>
        <w:t>Clin</w:t>
      </w:r>
      <w:proofErr w:type="spellEnd"/>
      <w:r w:rsidRPr="006038FB">
        <w:rPr>
          <w:sz w:val="20"/>
          <w:szCs w:val="20"/>
        </w:rPr>
        <w:t xml:space="preserve"> </w:t>
      </w:r>
      <w:proofErr w:type="spellStart"/>
      <w:r w:rsidRPr="006038FB">
        <w:rPr>
          <w:sz w:val="20"/>
          <w:szCs w:val="20"/>
        </w:rPr>
        <w:t>Nutr</w:t>
      </w:r>
      <w:proofErr w:type="spellEnd"/>
      <w:r w:rsidRPr="006038FB">
        <w:rPr>
          <w:sz w:val="20"/>
          <w:szCs w:val="20"/>
        </w:rPr>
        <w:t xml:space="preserve"> 75: 978-985. </w:t>
      </w:r>
    </w:p>
    <w:p w:rsidR="00CF151E" w:rsidRPr="006038FB" w:rsidRDefault="00CF151E" w:rsidP="009E3379">
      <w:pPr>
        <w:pStyle w:val="NoSpacing"/>
        <w:numPr>
          <w:ilvl w:val="0"/>
          <w:numId w:val="7"/>
        </w:numPr>
        <w:ind w:left="426"/>
        <w:jc w:val="both"/>
        <w:rPr>
          <w:sz w:val="20"/>
          <w:szCs w:val="20"/>
        </w:rPr>
      </w:pPr>
      <w:proofErr w:type="spellStart"/>
      <w:r w:rsidRPr="006038FB">
        <w:rPr>
          <w:b/>
          <w:bCs/>
          <w:sz w:val="20"/>
          <w:szCs w:val="20"/>
        </w:rPr>
        <w:t>Mokha</w:t>
      </w:r>
      <w:proofErr w:type="spellEnd"/>
      <w:r w:rsidRPr="006038FB">
        <w:rPr>
          <w:b/>
          <w:bCs/>
          <w:sz w:val="20"/>
          <w:szCs w:val="20"/>
        </w:rPr>
        <w:t xml:space="preserve"> JS, </w:t>
      </w:r>
      <w:proofErr w:type="spellStart"/>
      <w:r w:rsidRPr="006038FB">
        <w:rPr>
          <w:b/>
          <w:bCs/>
          <w:sz w:val="20"/>
          <w:szCs w:val="20"/>
        </w:rPr>
        <w:t>Srinivasan</w:t>
      </w:r>
      <w:proofErr w:type="spellEnd"/>
      <w:r w:rsidRPr="006038FB">
        <w:rPr>
          <w:b/>
          <w:bCs/>
          <w:sz w:val="20"/>
          <w:szCs w:val="20"/>
        </w:rPr>
        <w:t xml:space="preserve"> SR, </w:t>
      </w:r>
      <w:proofErr w:type="spellStart"/>
      <w:r w:rsidRPr="006038FB">
        <w:rPr>
          <w:b/>
          <w:bCs/>
          <w:sz w:val="20"/>
          <w:szCs w:val="20"/>
        </w:rPr>
        <w:t>Dasmahapatra</w:t>
      </w:r>
      <w:proofErr w:type="spellEnd"/>
      <w:r w:rsidRPr="006038FB">
        <w:rPr>
          <w:b/>
          <w:bCs/>
          <w:sz w:val="20"/>
          <w:szCs w:val="20"/>
        </w:rPr>
        <w:t xml:space="preserve"> p, Fernandez C, </w:t>
      </w:r>
      <w:proofErr w:type="spellStart"/>
      <w:r w:rsidRPr="006038FB">
        <w:rPr>
          <w:b/>
          <w:bCs/>
          <w:sz w:val="20"/>
          <w:szCs w:val="20"/>
        </w:rPr>
        <w:t>chen</w:t>
      </w:r>
      <w:proofErr w:type="spellEnd"/>
      <w:r w:rsidRPr="006038FB">
        <w:rPr>
          <w:b/>
          <w:bCs/>
          <w:sz w:val="20"/>
          <w:szCs w:val="20"/>
        </w:rPr>
        <w:t xml:space="preserve"> W, </w:t>
      </w:r>
      <w:r w:rsidRPr="006038FB">
        <w:rPr>
          <w:b/>
          <w:bCs/>
          <w:i/>
          <w:iCs/>
          <w:sz w:val="20"/>
          <w:szCs w:val="20"/>
        </w:rPr>
        <w:t>et al.</w:t>
      </w:r>
      <w:r w:rsidRPr="006038FB">
        <w:rPr>
          <w:b/>
          <w:bCs/>
          <w:sz w:val="20"/>
          <w:szCs w:val="20"/>
        </w:rPr>
        <w:t xml:space="preserve"> </w:t>
      </w:r>
      <w:r w:rsidRPr="006038FB">
        <w:rPr>
          <w:sz w:val="20"/>
          <w:szCs w:val="20"/>
        </w:rPr>
        <w:t xml:space="preserve">(2010): utility of waist-to –height ratio in assessing the status of central obesity and related </w:t>
      </w:r>
      <w:proofErr w:type="spellStart"/>
      <w:r w:rsidRPr="006038FB">
        <w:rPr>
          <w:sz w:val="20"/>
          <w:szCs w:val="20"/>
        </w:rPr>
        <w:t>cardiometabolic</w:t>
      </w:r>
      <w:proofErr w:type="spellEnd"/>
      <w:r w:rsidRPr="006038FB">
        <w:rPr>
          <w:sz w:val="20"/>
          <w:szCs w:val="20"/>
        </w:rPr>
        <w:t xml:space="preserve"> risk profile among normal weight and </w:t>
      </w:r>
      <w:r w:rsidRPr="006038FB">
        <w:rPr>
          <w:sz w:val="20"/>
          <w:szCs w:val="20"/>
        </w:rPr>
        <w:lastRenderedPageBreak/>
        <w:t xml:space="preserve">overweight/obese children: the Bogalusa Heart Study. BMC </w:t>
      </w:r>
      <w:proofErr w:type="spellStart"/>
      <w:r w:rsidRPr="006038FB">
        <w:rPr>
          <w:sz w:val="20"/>
          <w:szCs w:val="20"/>
        </w:rPr>
        <w:t>pediatr</w:t>
      </w:r>
      <w:proofErr w:type="spellEnd"/>
      <w:r w:rsidRPr="006038FB">
        <w:rPr>
          <w:sz w:val="20"/>
          <w:szCs w:val="20"/>
        </w:rPr>
        <w:t xml:space="preserve"> 10: 73</w:t>
      </w:r>
    </w:p>
    <w:p w:rsidR="00CF151E" w:rsidRPr="006038FB" w:rsidRDefault="00CF151E" w:rsidP="009E3379">
      <w:pPr>
        <w:pStyle w:val="NoSpacing"/>
        <w:numPr>
          <w:ilvl w:val="0"/>
          <w:numId w:val="7"/>
        </w:numPr>
        <w:ind w:left="426"/>
        <w:jc w:val="both"/>
        <w:rPr>
          <w:b/>
          <w:bCs/>
          <w:sz w:val="20"/>
          <w:szCs w:val="20"/>
          <w:lang w:bidi="ar-EG"/>
        </w:rPr>
      </w:pPr>
      <w:r w:rsidRPr="006038FB">
        <w:rPr>
          <w:b/>
          <w:bCs/>
          <w:sz w:val="20"/>
          <w:szCs w:val="20"/>
        </w:rPr>
        <w:t>Ng KC and Lai SW (2004):</w:t>
      </w:r>
      <w:r w:rsidRPr="006038FB">
        <w:rPr>
          <w:sz w:val="20"/>
          <w:szCs w:val="20"/>
        </w:rPr>
        <w:t xml:space="preserve"> Application of Anthropometric indices in childhood obesity. South Med J. 97 (6): 566-70. </w:t>
      </w:r>
    </w:p>
    <w:p w:rsidR="00CF151E" w:rsidRPr="006038FB" w:rsidRDefault="00CF151E" w:rsidP="009E3379">
      <w:pPr>
        <w:pStyle w:val="NoSpacing"/>
        <w:numPr>
          <w:ilvl w:val="0"/>
          <w:numId w:val="7"/>
        </w:numPr>
        <w:ind w:left="426"/>
        <w:jc w:val="both"/>
        <w:rPr>
          <w:b/>
          <w:bCs/>
          <w:sz w:val="20"/>
          <w:szCs w:val="20"/>
          <w:lang w:bidi="ar-EG"/>
        </w:rPr>
      </w:pPr>
      <w:proofErr w:type="spellStart"/>
      <w:r w:rsidRPr="006038FB">
        <w:rPr>
          <w:b/>
          <w:bCs/>
          <w:sz w:val="20"/>
          <w:szCs w:val="20"/>
          <w:lang w:bidi="ar-EG"/>
        </w:rPr>
        <w:t>Ogden,CL</w:t>
      </w:r>
      <w:proofErr w:type="spellEnd"/>
      <w:r w:rsidRPr="006038FB">
        <w:rPr>
          <w:b/>
          <w:bCs/>
          <w:sz w:val="20"/>
          <w:szCs w:val="20"/>
          <w:lang w:bidi="ar-EG"/>
        </w:rPr>
        <w:t xml:space="preserve">, </w:t>
      </w:r>
      <w:proofErr w:type="spellStart"/>
      <w:r w:rsidRPr="006038FB">
        <w:rPr>
          <w:b/>
          <w:bCs/>
          <w:sz w:val="20"/>
          <w:szCs w:val="20"/>
          <w:lang w:bidi="ar-EG"/>
        </w:rPr>
        <w:t>Yanovski</w:t>
      </w:r>
      <w:proofErr w:type="spellEnd"/>
      <w:r w:rsidRPr="006038FB">
        <w:rPr>
          <w:b/>
          <w:bCs/>
          <w:sz w:val="20"/>
          <w:szCs w:val="20"/>
          <w:lang w:bidi="ar-EG"/>
        </w:rPr>
        <w:t xml:space="preserve"> SZ, </w:t>
      </w:r>
      <w:proofErr w:type="spellStart"/>
      <w:r w:rsidRPr="006038FB">
        <w:rPr>
          <w:b/>
          <w:bCs/>
          <w:sz w:val="20"/>
          <w:szCs w:val="20"/>
          <w:lang w:bidi="ar-EG"/>
        </w:rPr>
        <w:t>CarroU</w:t>
      </w:r>
      <w:proofErr w:type="spellEnd"/>
      <w:r w:rsidRPr="006038FB">
        <w:rPr>
          <w:b/>
          <w:bCs/>
          <w:sz w:val="20"/>
          <w:szCs w:val="20"/>
          <w:lang w:bidi="ar-EG"/>
        </w:rPr>
        <w:t xml:space="preserve"> MD (2007): </w:t>
      </w:r>
      <w:r w:rsidRPr="006038FB">
        <w:rPr>
          <w:sz w:val="20"/>
          <w:szCs w:val="20"/>
          <w:lang w:bidi="ar-EG"/>
        </w:rPr>
        <w:t>The epidemiology</w:t>
      </w:r>
      <w:r w:rsidR="004B147B">
        <w:rPr>
          <w:sz w:val="20"/>
          <w:szCs w:val="20"/>
          <w:lang w:bidi="ar-EG"/>
        </w:rPr>
        <w:t xml:space="preserve"> </w:t>
      </w:r>
      <w:r w:rsidRPr="006038FB">
        <w:rPr>
          <w:sz w:val="20"/>
          <w:szCs w:val="20"/>
          <w:lang w:bidi="ar-EG"/>
        </w:rPr>
        <w:t>of obesity.</w:t>
      </w:r>
      <w:r w:rsidR="004B147B">
        <w:rPr>
          <w:sz w:val="20"/>
          <w:szCs w:val="20"/>
          <w:lang w:bidi="ar-EG"/>
        </w:rPr>
        <w:t xml:space="preserve"> </w:t>
      </w:r>
      <w:r w:rsidRPr="006038FB">
        <w:rPr>
          <w:sz w:val="20"/>
          <w:szCs w:val="20"/>
          <w:lang w:bidi="ar-EG"/>
        </w:rPr>
        <w:t>Gastroenterology 132: 2087-102.</w:t>
      </w:r>
    </w:p>
    <w:p w:rsidR="00CF151E" w:rsidRPr="006038FB" w:rsidRDefault="00CF151E" w:rsidP="009E3379">
      <w:pPr>
        <w:pStyle w:val="NoSpacing"/>
        <w:numPr>
          <w:ilvl w:val="0"/>
          <w:numId w:val="7"/>
        </w:numPr>
        <w:ind w:left="426"/>
        <w:jc w:val="both"/>
        <w:rPr>
          <w:sz w:val="20"/>
          <w:szCs w:val="20"/>
          <w:lang w:bidi="ar-EG"/>
        </w:rPr>
      </w:pPr>
      <w:r w:rsidRPr="006038FB">
        <w:rPr>
          <w:b/>
          <w:bCs/>
          <w:sz w:val="20"/>
          <w:szCs w:val="20"/>
          <w:lang w:bidi="ar-EG"/>
        </w:rPr>
        <w:t xml:space="preserve">Prentice AM (1998): </w:t>
      </w:r>
      <w:r w:rsidRPr="006038FB">
        <w:rPr>
          <w:sz w:val="20"/>
          <w:szCs w:val="20"/>
          <w:lang w:bidi="ar-EG"/>
        </w:rPr>
        <w:t>Body mass index standards for children. BMJ 354: 1874-1875.</w:t>
      </w:r>
    </w:p>
    <w:p w:rsidR="00CF151E" w:rsidRPr="006038FB" w:rsidRDefault="00CF151E" w:rsidP="009E3379">
      <w:pPr>
        <w:pStyle w:val="NoSpacing"/>
        <w:numPr>
          <w:ilvl w:val="0"/>
          <w:numId w:val="7"/>
        </w:numPr>
        <w:ind w:left="426"/>
        <w:jc w:val="both"/>
        <w:rPr>
          <w:sz w:val="20"/>
          <w:szCs w:val="20"/>
          <w:lang w:bidi="ar-EG"/>
        </w:rPr>
      </w:pPr>
      <w:proofErr w:type="spellStart"/>
      <w:r w:rsidRPr="006038FB">
        <w:rPr>
          <w:b/>
          <w:bCs/>
          <w:sz w:val="20"/>
          <w:szCs w:val="20"/>
          <w:lang w:bidi="ar-EG"/>
        </w:rPr>
        <w:t>Reinehr</w:t>
      </w:r>
      <w:proofErr w:type="spellEnd"/>
      <w:r w:rsidRPr="006038FB">
        <w:rPr>
          <w:b/>
          <w:bCs/>
          <w:sz w:val="20"/>
          <w:szCs w:val="20"/>
          <w:lang w:bidi="ar-EG"/>
        </w:rPr>
        <w:t xml:space="preserve"> T and </w:t>
      </w:r>
      <w:proofErr w:type="spellStart"/>
      <w:r w:rsidRPr="006038FB">
        <w:rPr>
          <w:b/>
          <w:bCs/>
          <w:sz w:val="20"/>
          <w:szCs w:val="20"/>
          <w:lang w:bidi="ar-EG"/>
        </w:rPr>
        <w:t>Wunsch</w:t>
      </w:r>
      <w:proofErr w:type="spellEnd"/>
      <w:r w:rsidRPr="006038FB">
        <w:rPr>
          <w:b/>
          <w:bCs/>
          <w:sz w:val="20"/>
          <w:szCs w:val="20"/>
          <w:lang w:bidi="ar-EG"/>
        </w:rPr>
        <w:t xml:space="preserve"> R </w:t>
      </w:r>
      <w:r w:rsidRPr="006038FB">
        <w:rPr>
          <w:sz w:val="20"/>
          <w:szCs w:val="20"/>
          <w:lang w:bidi="ar-EG"/>
        </w:rPr>
        <w:t>(2010): Relationships between cardiovascular risk profile, ultra-</w:t>
      </w:r>
      <w:proofErr w:type="spellStart"/>
      <w:r w:rsidRPr="006038FB">
        <w:rPr>
          <w:sz w:val="20"/>
          <w:szCs w:val="20"/>
          <w:lang w:bidi="ar-EG"/>
        </w:rPr>
        <w:t>sonographic</w:t>
      </w:r>
      <w:proofErr w:type="spellEnd"/>
      <w:r w:rsidRPr="006038FB">
        <w:rPr>
          <w:sz w:val="20"/>
          <w:szCs w:val="20"/>
          <w:lang w:bidi="ar-EG"/>
        </w:rPr>
        <w:t xml:space="preserve"> measurement of intra-abdominal adipose tissue, and waist circumference in obese children. </w:t>
      </w:r>
      <w:proofErr w:type="spellStart"/>
      <w:r w:rsidRPr="006038FB">
        <w:rPr>
          <w:sz w:val="20"/>
          <w:szCs w:val="20"/>
          <w:lang w:bidi="ar-EG"/>
        </w:rPr>
        <w:t>Clin</w:t>
      </w:r>
      <w:proofErr w:type="spellEnd"/>
      <w:r w:rsidRPr="006038FB">
        <w:rPr>
          <w:sz w:val="20"/>
          <w:szCs w:val="20"/>
          <w:lang w:bidi="ar-EG"/>
        </w:rPr>
        <w:t xml:space="preserve"> </w:t>
      </w:r>
      <w:proofErr w:type="spellStart"/>
      <w:r w:rsidRPr="006038FB">
        <w:rPr>
          <w:sz w:val="20"/>
          <w:szCs w:val="20"/>
          <w:lang w:bidi="ar-EG"/>
        </w:rPr>
        <w:t>Nutr</w:t>
      </w:r>
      <w:proofErr w:type="spellEnd"/>
      <w:r w:rsidRPr="006038FB">
        <w:rPr>
          <w:sz w:val="20"/>
          <w:szCs w:val="20"/>
          <w:lang w:bidi="ar-EG"/>
        </w:rPr>
        <w:t>., 29: 24-30.</w:t>
      </w:r>
    </w:p>
    <w:p w:rsidR="00CF151E" w:rsidRPr="006038FB" w:rsidRDefault="00CF151E" w:rsidP="009E3379">
      <w:pPr>
        <w:pStyle w:val="NoSpacing"/>
        <w:numPr>
          <w:ilvl w:val="0"/>
          <w:numId w:val="7"/>
        </w:numPr>
        <w:ind w:left="426"/>
        <w:jc w:val="both"/>
        <w:rPr>
          <w:sz w:val="20"/>
          <w:szCs w:val="20"/>
          <w:lang w:bidi="ar-EG"/>
        </w:rPr>
      </w:pPr>
      <w:r w:rsidRPr="006038FB">
        <w:rPr>
          <w:b/>
          <w:bCs/>
          <w:sz w:val="20"/>
          <w:szCs w:val="20"/>
          <w:lang w:bidi="ar-EG"/>
        </w:rPr>
        <w:t xml:space="preserve">Richard IG and Neil A </w:t>
      </w:r>
      <w:r w:rsidRPr="006038FB">
        <w:rPr>
          <w:sz w:val="20"/>
          <w:szCs w:val="20"/>
          <w:lang w:bidi="ar-EG"/>
        </w:rPr>
        <w:t>(2007): Obesity. In: Essential endocrinology and diabetes, 5</w:t>
      </w:r>
      <w:r w:rsidRPr="006038FB">
        <w:rPr>
          <w:sz w:val="20"/>
          <w:szCs w:val="20"/>
          <w:vertAlign w:val="superscript"/>
          <w:lang w:bidi="ar-EG"/>
        </w:rPr>
        <w:t>th</w:t>
      </w:r>
      <w:r w:rsidRPr="006038FB">
        <w:rPr>
          <w:sz w:val="20"/>
          <w:szCs w:val="20"/>
          <w:lang w:bidi="ar-EG"/>
        </w:rPr>
        <w:t xml:space="preserve"> </w:t>
      </w:r>
      <w:proofErr w:type="spellStart"/>
      <w:r w:rsidRPr="006038FB">
        <w:rPr>
          <w:sz w:val="20"/>
          <w:szCs w:val="20"/>
          <w:lang w:bidi="ar-EG"/>
        </w:rPr>
        <w:t>ed</w:t>
      </w:r>
      <w:proofErr w:type="spellEnd"/>
      <w:r w:rsidRPr="006038FB">
        <w:rPr>
          <w:sz w:val="20"/>
          <w:szCs w:val="20"/>
          <w:lang w:bidi="ar-EG"/>
        </w:rPr>
        <w:t>, pp: 252-264</w:t>
      </w:r>
    </w:p>
    <w:p w:rsidR="00CF151E" w:rsidRPr="006038FB" w:rsidRDefault="00CF151E" w:rsidP="009E3379">
      <w:pPr>
        <w:pStyle w:val="NoSpacing"/>
        <w:numPr>
          <w:ilvl w:val="0"/>
          <w:numId w:val="7"/>
        </w:numPr>
        <w:ind w:left="426"/>
        <w:jc w:val="both"/>
        <w:rPr>
          <w:sz w:val="20"/>
          <w:szCs w:val="20"/>
          <w:lang w:bidi="ar-EG"/>
        </w:rPr>
      </w:pPr>
      <w:r w:rsidRPr="006038FB">
        <w:rPr>
          <w:b/>
          <w:bCs/>
          <w:sz w:val="20"/>
          <w:szCs w:val="20"/>
          <w:lang w:val="es-ES" w:bidi="ar-EG"/>
        </w:rPr>
        <w:t xml:space="preserve">Riguez G, Moreno LA, Blay MG, Blay VA, Garagorri JM, </w:t>
      </w:r>
      <w:r w:rsidRPr="006038FB">
        <w:rPr>
          <w:b/>
          <w:bCs/>
          <w:i/>
          <w:iCs/>
          <w:sz w:val="20"/>
          <w:szCs w:val="20"/>
        </w:rPr>
        <w:t>et al.</w:t>
      </w:r>
      <w:r w:rsidRPr="006038FB">
        <w:rPr>
          <w:b/>
          <w:bCs/>
          <w:sz w:val="20"/>
          <w:szCs w:val="20"/>
        </w:rPr>
        <w:t xml:space="preserve"> </w:t>
      </w:r>
      <w:r w:rsidRPr="006038FB">
        <w:rPr>
          <w:sz w:val="20"/>
          <w:szCs w:val="20"/>
          <w:lang w:bidi="ar-EG"/>
        </w:rPr>
        <w:t xml:space="preserve">(2004): Body composition in adolescents: measurements and metabolic aspects. </w:t>
      </w:r>
      <w:proofErr w:type="spellStart"/>
      <w:r w:rsidRPr="006038FB">
        <w:rPr>
          <w:sz w:val="20"/>
          <w:szCs w:val="20"/>
          <w:lang w:bidi="ar-EG"/>
        </w:rPr>
        <w:t>Int</w:t>
      </w:r>
      <w:proofErr w:type="spellEnd"/>
      <w:r w:rsidRPr="006038FB">
        <w:rPr>
          <w:sz w:val="20"/>
          <w:szCs w:val="20"/>
          <w:lang w:bidi="ar-EG"/>
        </w:rPr>
        <w:t xml:space="preserve"> J </w:t>
      </w:r>
      <w:proofErr w:type="spellStart"/>
      <w:r w:rsidRPr="006038FB">
        <w:rPr>
          <w:sz w:val="20"/>
          <w:szCs w:val="20"/>
          <w:lang w:bidi="ar-EG"/>
        </w:rPr>
        <w:t>Obes</w:t>
      </w:r>
      <w:proofErr w:type="spellEnd"/>
      <w:r w:rsidRPr="006038FB">
        <w:rPr>
          <w:sz w:val="20"/>
          <w:szCs w:val="20"/>
          <w:lang w:bidi="ar-EG"/>
        </w:rPr>
        <w:t xml:space="preserve"> </w:t>
      </w:r>
      <w:proofErr w:type="spellStart"/>
      <w:r w:rsidRPr="006038FB">
        <w:rPr>
          <w:sz w:val="20"/>
          <w:szCs w:val="20"/>
          <w:lang w:bidi="ar-EG"/>
        </w:rPr>
        <w:t>Relat</w:t>
      </w:r>
      <w:proofErr w:type="spellEnd"/>
      <w:r w:rsidRPr="006038FB">
        <w:rPr>
          <w:sz w:val="20"/>
          <w:szCs w:val="20"/>
          <w:lang w:bidi="ar-EG"/>
        </w:rPr>
        <w:t xml:space="preserve"> </w:t>
      </w:r>
      <w:proofErr w:type="spellStart"/>
      <w:r w:rsidRPr="006038FB">
        <w:rPr>
          <w:sz w:val="20"/>
          <w:szCs w:val="20"/>
          <w:lang w:bidi="ar-EG"/>
        </w:rPr>
        <w:t>Metab</w:t>
      </w:r>
      <w:proofErr w:type="spellEnd"/>
      <w:r w:rsidRPr="006038FB">
        <w:rPr>
          <w:sz w:val="20"/>
          <w:szCs w:val="20"/>
          <w:lang w:bidi="ar-EG"/>
        </w:rPr>
        <w:t xml:space="preserve"> </w:t>
      </w:r>
      <w:proofErr w:type="spellStart"/>
      <w:r w:rsidRPr="006038FB">
        <w:rPr>
          <w:sz w:val="20"/>
          <w:szCs w:val="20"/>
          <w:lang w:bidi="ar-EG"/>
        </w:rPr>
        <w:t>Disord</w:t>
      </w:r>
      <w:proofErr w:type="spellEnd"/>
      <w:r w:rsidRPr="006038FB">
        <w:rPr>
          <w:sz w:val="20"/>
          <w:szCs w:val="20"/>
          <w:lang w:bidi="ar-EG"/>
        </w:rPr>
        <w:t xml:space="preserve"> 28 </w:t>
      </w:r>
      <w:proofErr w:type="spellStart"/>
      <w:r w:rsidRPr="006038FB">
        <w:rPr>
          <w:sz w:val="20"/>
          <w:szCs w:val="20"/>
          <w:lang w:bidi="ar-EG"/>
        </w:rPr>
        <w:t>Suppl</w:t>
      </w:r>
      <w:proofErr w:type="spellEnd"/>
      <w:r w:rsidRPr="006038FB">
        <w:rPr>
          <w:sz w:val="20"/>
          <w:szCs w:val="20"/>
          <w:lang w:bidi="ar-EG"/>
        </w:rPr>
        <w:t xml:space="preserve"> 3: S54-58</w:t>
      </w:r>
    </w:p>
    <w:p w:rsidR="00CF151E" w:rsidRPr="006038FB" w:rsidRDefault="00CF151E" w:rsidP="009E3379">
      <w:pPr>
        <w:pStyle w:val="NoSpacing"/>
        <w:numPr>
          <w:ilvl w:val="0"/>
          <w:numId w:val="7"/>
        </w:numPr>
        <w:ind w:left="426"/>
        <w:jc w:val="both"/>
        <w:rPr>
          <w:b/>
          <w:bCs/>
          <w:sz w:val="20"/>
          <w:szCs w:val="20"/>
          <w:lang w:bidi="ar-EG"/>
        </w:rPr>
      </w:pPr>
      <w:proofErr w:type="spellStart"/>
      <w:r w:rsidRPr="006038FB">
        <w:rPr>
          <w:b/>
          <w:bCs/>
          <w:sz w:val="20"/>
          <w:szCs w:val="20"/>
          <w:lang w:bidi="ar-EG"/>
        </w:rPr>
        <w:t>Semiz</w:t>
      </w:r>
      <w:proofErr w:type="spellEnd"/>
      <w:r w:rsidRPr="006038FB">
        <w:rPr>
          <w:b/>
          <w:bCs/>
          <w:sz w:val="20"/>
          <w:szCs w:val="20"/>
          <w:lang w:bidi="ar-EG"/>
        </w:rPr>
        <w:t xml:space="preserve"> S, </w:t>
      </w:r>
      <w:proofErr w:type="spellStart"/>
      <w:r w:rsidRPr="006038FB">
        <w:rPr>
          <w:b/>
          <w:bCs/>
          <w:sz w:val="20"/>
          <w:szCs w:val="20"/>
          <w:lang w:bidi="ar-EG"/>
        </w:rPr>
        <w:t>Ozgoren</w:t>
      </w:r>
      <w:proofErr w:type="spellEnd"/>
      <w:r w:rsidRPr="006038FB">
        <w:rPr>
          <w:b/>
          <w:bCs/>
          <w:sz w:val="20"/>
          <w:szCs w:val="20"/>
          <w:lang w:bidi="ar-EG"/>
        </w:rPr>
        <w:t xml:space="preserve"> E, </w:t>
      </w:r>
      <w:proofErr w:type="spellStart"/>
      <w:r w:rsidRPr="006038FB">
        <w:rPr>
          <w:b/>
          <w:bCs/>
          <w:sz w:val="20"/>
          <w:szCs w:val="20"/>
          <w:lang w:bidi="ar-EG"/>
        </w:rPr>
        <w:t>Sabir</w:t>
      </w:r>
      <w:proofErr w:type="spellEnd"/>
      <w:r w:rsidRPr="006038FB">
        <w:rPr>
          <w:b/>
          <w:bCs/>
          <w:sz w:val="20"/>
          <w:szCs w:val="20"/>
          <w:lang w:bidi="ar-EG"/>
        </w:rPr>
        <w:t xml:space="preserve">(2007): </w:t>
      </w:r>
      <w:r w:rsidRPr="006038FB">
        <w:rPr>
          <w:sz w:val="20"/>
          <w:szCs w:val="20"/>
          <w:lang w:bidi="ar-EG"/>
        </w:rPr>
        <w:t xml:space="preserve">Comparison of </w:t>
      </w:r>
      <w:proofErr w:type="spellStart"/>
      <w:r w:rsidRPr="006038FB">
        <w:rPr>
          <w:sz w:val="20"/>
          <w:szCs w:val="20"/>
          <w:lang w:bidi="ar-EG"/>
        </w:rPr>
        <w:t>ultrasonographic</w:t>
      </w:r>
      <w:proofErr w:type="spellEnd"/>
      <w:r w:rsidRPr="006038FB">
        <w:rPr>
          <w:sz w:val="20"/>
          <w:szCs w:val="20"/>
          <w:lang w:bidi="ar-EG"/>
        </w:rPr>
        <w:t xml:space="preserve"> and anthropometric methods to assess body fat in childhood obesity. </w:t>
      </w:r>
      <w:proofErr w:type="spellStart"/>
      <w:r w:rsidRPr="006038FB">
        <w:rPr>
          <w:sz w:val="20"/>
          <w:szCs w:val="20"/>
          <w:lang w:bidi="ar-EG"/>
        </w:rPr>
        <w:t>Int</w:t>
      </w:r>
      <w:proofErr w:type="spellEnd"/>
      <w:r w:rsidRPr="006038FB">
        <w:rPr>
          <w:sz w:val="20"/>
          <w:szCs w:val="20"/>
          <w:lang w:bidi="ar-EG"/>
        </w:rPr>
        <w:t xml:space="preserve"> </w:t>
      </w:r>
      <w:r w:rsidRPr="006038FB">
        <w:rPr>
          <w:i/>
          <w:iCs/>
          <w:sz w:val="20"/>
          <w:szCs w:val="20"/>
          <w:lang w:bidi="ar-EG"/>
        </w:rPr>
        <w:t xml:space="preserve">J </w:t>
      </w:r>
      <w:proofErr w:type="spellStart"/>
      <w:r w:rsidRPr="006038FB">
        <w:rPr>
          <w:sz w:val="20"/>
          <w:szCs w:val="20"/>
          <w:lang w:bidi="ar-EG"/>
        </w:rPr>
        <w:t>Obes</w:t>
      </w:r>
      <w:proofErr w:type="spellEnd"/>
      <w:r w:rsidRPr="006038FB">
        <w:rPr>
          <w:sz w:val="20"/>
          <w:szCs w:val="20"/>
          <w:lang w:bidi="ar-EG"/>
        </w:rPr>
        <w:t xml:space="preserve"> (</w:t>
      </w:r>
      <w:proofErr w:type="spellStart"/>
      <w:r w:rsidRPr="006038FB">
        <w:rPr>
          <w:sz w:val="20"/>
          <w:szCs w:val="20"/>
          <w:lang w:bidi="ar-EG"/>
        </w:rPr>
        <w:t>Lond</w:t>
      </w:r>
      <w:proofErr w:type="spellEnd"/>
      <w:r w:rsidRPr="006038FB">
        <w:rPr>
          <w:sz w:val="20"/>
          <w:szCs w:val="20"/>
          <w:lang w:bidi="ar-EG"/>
        </w:rPr>
        <w:t>), 31(l):53-58</w:t>
      </w:r>
    </w:p>
    <w:p w:rsidR="00CF151E" w:rsidRPr="006038FB" w:rsidRDefault="00CF151E" w:rsidP="009E3379">
      <w:pPr>
        <w:pStyle w:val="NoSpacing"/>
        <w:numPr>
          <w:ilvl w:val="0"/>
          <w:numId w:val="7"/>
        </w:numPr>
        <w:ind w:left="426"/>
        <w:jc w:val="both"/>
        <w:rPr>
          <w:sz w:val="20"/>
          <w:szCs w:val="20"/>
          <w:lang w:bidi="ar-EG"/>
        </w:rPr>
      </w:pPr>
      <w:r w:rsidRPr="006038FB">
        <w:rPr>
          <w:b/>
          <w:bCs/>
          <w:sz w:val="20"/>
          <w:szCs w:val="20"/>
          <w:lang w:bidi="ar-EG"/>
        </w:rPr>
        <w:t xml:space="preserve">Siegel MJ, </w:t>
      </w:r>
      <w:proofErr w:type="spellStart"/>
      <w:r w:rsidRPr="006038FB">
        <w:rPr>
          <w:b/>
          <w:bCs/>
          <w:sz w:val="20"/>
          <w:szCs w:val="20"/>
          <w:lang w:bidi="ar-EG"/>
        </w:rPr>
        <w:t>Hildebolt</w:t>
      </w:r>
      <w:proofErr w:type="spellEnd"/>
      <w:r w:rsidRPr="006038FB">
        <w:rPr>
          <w:b/>
          <w:bCs/>
          <w:sz w:val="20"/>
          <w:szCs w:val="20"/>
          <w:lang w:bidi="ar-EG"/>
        </w:rPr>
        <w:t xml:space="preserve"> CF, </w:t>
      </w:r>
      <w:proofErr w:type="spellStart"/>
      <w:r w:rsidRPr="006038FB">
        <w:rPr>
          <w:b/>
          <w:bCs/>
          <w:sz w:val="20"/>
          <w:szCs w:val="20"/>
          <w:lang w:bidi="ar-EG"/>
        </w:rPr>
        <w:t>Bae</w:t>
      </w:r>
      <w:proofErr w:type="spellEnd"/>
      <w:r w:rsidRPr="006038FB">
        <w:rPr>
          <w:b/>
          <w:bCs/>
          <w:sz w:val="20"/>
          <w:szCs w:val="20"/>
          <w:lang w:bidi="ar-EG"/>
        </w:rPr>
        <w:t xml:space="preserve"> KT, Hong C, White NH </w:t>
      </w:r>
      <w:r w:rsidRPr="006038FB">
        <w:rPr>
          <w:sz w:val="20"/>
          <w:szCs w:val="20"/>
          <w:lang w:bidi="ar-EG"/>
        </w:rPr>
        <w:t xml:space="preserve">(2007): Total and </w:t>
      </w:r>
      <w:proofErr w:type="spellStart"/>
      <w:r w:rsidRPr="006038FB">
        <w:rPr>
          <w:sz w:val="20"/>
          <w:szCs w:val="20"/>
          <w:lang w:bidi="ar-EG"/>
        </w:rPr>
        <w:t>intraabdominal</w:t>
      </w:r>
      <w:proofErr w:type="spellEnd"/>
      <w:r w:rsidRPr="006038FB">
        <w:rPr>
          <w:sz w:val="20"/>
          <w:szCs w:val="20"/>
          <w:lang w:bidi="ar-EG"/>
        </w:rPr>
        <w:t xml:space="preserve"> fat distribution in preadolescents and adolescents; measurement with MR imaging. Radiology 242: 846-856.</w:t>
      </w:r>
    </w:p>
    <w:p w:rsidR="00CF151E" w:rsidRPr="006038FB" w:rsidRDefault="00CF151E" w:rsidP="009E3379">
      <w:pPr>
        <w:pStyle w:val="NoSpacing"/>
        <w:numPr>
          <w:ilvl w:val="0"/>
          <w:numId w:val="7"/>
        </w:numPr>
        <w:ind w:left="426"/>
        <w:jc w:val="both"/>
        <w:rPr>
          <w:sz w:val="20"/>
          <w:szCs w:val="20"/>
          <w:lang w:bidi="ar-EG"/>
        </w:rPr>
      </w:pPr>
      <w:proofErr w:type="spellStart"/>
      <w:r w:rsidRPr="006038FB">
        <w:rPr>
          <w:b/>
          <w:bCs/>
          <w:sz w:val="20"/>
          <w:szCs w:val="20"/>
          <w:lang w:bidi="ar-EG"/>
        </w:rPr>
        <w:t>Stovitz</w:t>
      </w:r>
      <w:proofErr w:type="spellEnd"/>
      <w:r w:rsidRPr="006038FB">
        <w:rPr>
          <w:b/>
          <w:bCs/>
          <w:sz w:val="20"/>
          <w:szCs w:val="20"/>
          <w:lang w:bidi="ar-EG"/>
        </w:rPr>
        <w:t xml:space="preserve"> SD, </w:t>
      </w:r>
      <w:proofErr w:type="spellStart"/>
      <w:r w:rsidRPr="006038FB">
        <w:rPr>
          <w:b/>
          <w:bCs/>
          <w:sz w:val="20"/>
          <w:szCs w:val="20"/>
          <w:lang w:bidi="ar-EG"/>
        </w:rPr>
        <w:t>pardee</w:t>
      </w:r>
      <w:proofErr w:type="spellEnd"/>
      <w:r w:rsidRPr="006038FB">
        <w:rPr>
          <w:b/>
          <w:bCs/>
          <w:sz w:val="20"/>
          <w:szCs w:val="20"/>
          <w:lang w:bidi="ar-EG"/>
        </w:rPr>
        <w:t xml:space="preserve"> PE, Vazquez G, Duval S, </w:t>
      </w:r>
      <w:proofErr w:type="spellStart"/>
      <w:r w:rsidRPr="006038FB">
        <w:rPr>
          <w:b/>
          <w:bCs/>
          <w:sz w:val="20"/>
          <w:szCs w:val="20"/>
          <w:lang w:bidi="ar-EG"/>
        </w:rPr>
        <w:t>Schwimmer</w:t>
      </w:r>
      <w:proofErr w:type="spellEnd"/>
      <w:r w:rsidRPr="006038FB">
        <w:rPr>
          <w:b/>
          <w:bCs/>
          <w:sz w:val="20"/>
          <w:szCs w:val="20"/>
          <w:lang w:bidi="ar-EG"/>
        </w:rPr>
        <w:t xml:space="preserve"> JB (2008): </w:t>
      </w:r>
      <w:proofErr w:type="spellStart"/>
      <w:r w:rsidRPr="006038FB">
        <w:rPr>
          <w:sz w:val="20"/>
          <w:szCs w:val="20"/>
          <w:lang w:bidi="ar-EG"/>
        </w:rPr>
        <w:t>Musucloskeletal</w:t>
      </w:r>
      <w:proofErr w:type="spellEnd"/>
      <w:r w:rsidRPr="006038FB">
        <w:rPr>
          <w:sz w:val="20"/>
          <w:szCs w:val="20"/>
          <w:lang w:bidi="ar-EG"/>
        </w:rPr>
        <w:t xml:space="preserve"> pain in obese children and adolescents, </w:t>
      </w:r>
      <w:proofErr w:type="spellStart"/>
      <w:r w:rsidRPr="006038FB">
        <w:rPr>
          <w:sz w:val="20"/>
          <w:szCs w:val="20"/>
          <w:lang w:bidi="ar-EG"/>
        </w:rPr>
        <w:t>Acta</w:t>
      </w:r>
      <w:proofErr w:type="spellEnd"/>
      <w:r w:rsidRPr="006038FB">
        <w:rPr>
          <w:sz w:val="20"/>
          <w:szCs w:val="20"/>
          <w:lang w:bidi="ar-EG"/>
        </w:rPr>
        <w:t xml:space="preserve"> </w:t>
      </w:r>
      <w:proofErr w:type="spellStart"/>
      <w:r w:rsidRPr="006038FB">
        <w:rPr>
          <w:sz w:val="20"/>
          <w:szCs w:val="20"/>
          <w:lang w:bidi="ar-EG"/>
        </w:rPr>
        <w:t>Paediatr</w:t>
      </w:r>
      <w:proofErr w:type="spellEnd"/>
      <w:r w:rsidRPr="006038FB">
        <w:rPr>
          <w:sz w:val="20"/>
          <w:szCs w:val="20"/>
          <w:lang w:bidi="ar-EG"/>
        </w:rPr>
        <w:t xml:space="preserve"> 97: 489-493. </w:t>
      </w:r>
    </w:p>
    <w:p w:rsidR="00CF151E" w:rsidRPr="006038FB" w:rsidRDefault="00CF151E" w:rsidP="009E3379">
      <w:pPr>
        <w:pStyle w:val="NoSpacing"/>
        <w:numPr>
          <w:ilvl w:val="0"/>
          <w:numId w:val="7"/>
        </w:numPr>
        <w:ind w:left="426"/>
        <w:jc w:val="both"/>
        <w:rPr>
          <w:sz w:val="20"/>
          <w:szCs w:val="20"/>
          <w:lang w:bidi="ar-EG"/>
        </w:rPr>
      </w:pPr>
      <w:proofErr w:type="spellStart"/>
      <w:r w:rsidRPr="006038FB">
        <w:rPr>
          <w:b/>
          <w:bCs/>
          <w:sz w:val="20"/>
          <w:szCs w:val="20"/>
          <w:lang w:bidi="ar-EG"/>
        </w:rPr>
        <w:t>Vogels</w:t>
      </w:r>
      <w:proofErr w:type="spellEnd"/>
      <w:r w:rsidRPr="006038FB">
        <w:rPr>
          <w:b/>
          <w:bCs/>
          <w:sz w:val="20"/>
          <w:szCs w:val="20"/>
          <w:lang w:bidi="ar-EG"/>
        </w:rPr>
        <w:t xml:space="preserve"> N, </w:t>
      </w:r>
      <w:proofErr w:type="spellStart"/>
      <w:r w:rsidRPr="006038FB">
        <w:rPr>
          <w:b/>
          <w:bCs/>
          <w:sz w:val="20"/>
          <w:szCs w:val="20"/>
          <w:lang w:bidi="ar-EG"/>
        </w:rPr>
        <w:t>Posthumus</w:t>
      </w:r>
      <w:proofErr w:type="spellEnd"/>
      <w:r w:rsidRPr="006038FB">
        <w:rPr>
          <w:b/>
          <w:bCs/>
          <w:sz w:val="20"/>
          <w:szCs w:val="20"/>
          <w:lang w:bidi="ar-EG"/>
        </w:rPr>
        <w:t xml:space="preserve"> DK, </w:t>
      </w:r>
      <w:proofErr w:type="spellStart"/>
      <w:r w:rsidRPr="006038FB">
        <w:rPr>
          <w:b/>
          <w:bCs/>
          <w:sz w:val="20"/>
          <w:szCs w:val="20"/>
          <w:lang w:bidi="ar-EG"/>
        </w:rPr>
        <w:t>Mariman</w:t>
      </w:r>
      <w:proofErr w:type="spellEnd"/>
      <w:r w:rsidRPr="006038FB">
        <w:rPr>
          <w:b/>
          <w:bCs/>
          <w:sz w:val="20"/>
          <w:szCs w:val="20"/>
          <w:lang w:bidi="ar-EG"/>
        </w:rPr>
        <w:t xml:space="preserve"> </w:t>
      </w:r>
      <w:proofErr w:type="spellStart"/>
      <w:r w:rsidRPr="006038FB">
        <w:rPr>
          <w:b/>
          <w:bCs/>
          <w:sz w:val="20"/>
          <w:szCs w:val="20"/>
          <w:lang w:bidi="ar-EG"/>
        </w:rPr>
        <w:t>Ec</w:t>
      </w:r>
      <w:proofErr w:type="spellEnd"/>
      <w:r w:rsidRPr="006038FB">
        <w:rPr>
          <w:b/>
          <w:bCs/>
          <w:sz w:val="20"/>
          <w:szCs w:val="20"/>
          <w:lang w:bidi="ar-EG"/>
        </w:rPr>
        <w:t xml:space="preserve">, </w:t>
      </w:r>
      <w:proofErr w:type="spellStart"/>
      <w:r w:rsidRPr="006038FB">
        <w:rPr>
          <w:b/>
          <w:bCs/>
          <w:sz w:val="20"/>
          <w:szCs w:val="20"/>
          <w:lang w:bidi="ar-EG"/>
        </w:rPr>
        <w:t>Bouwman</w:t>
      </w:r>
      <w:proofErr w:type="spellEnd"/>
      <w:r w:rsidRPr="006038FB">
        <w:rPr>
          <w:b/>
          <w:bCs/>
          <w:sz w:val="20"/>
          <w:szCs w:val="20"/>
          <w:lang w:bidi="ar-EG"/>
        </w:rPr>
        <w:t xml:space="preserve"> F, </w:t>
      </w:r>
      <w:proofErr w:type="spellStart"/>
      <w:r w:rsidRPr="006038FB">
        <w:rPr>
          <w:b/>
          <w:bCs/>
          <w:sz w:val="20"/>
          <w:szCs w:val="20"/>
          <w:lang w:bidi="ar-EG"/>
        </w:rPr>
        <w:t>Kester</w:t>
      </w:r>
      <w:proofErr w:type="spellEnd"/>
      <w:r w:rsidRPr="006038FB">
        <w:rPr>
          <w:b/>
          <w:bCs/>
          <w:sz w:val="20"/>
          <w:szCs w:val="20"/>
          <w:lang w:bidi="ar-EG"/>
        </w:rPr>
        <w:t xml:space="preserve"> AD, </w:t>
      </w:r>
      <w:r w:rsidRPr="006038FB">
        <w:rPr>
          <w:b/>
          <w:bCs/>
          <w:i/>
          <w:iCs/>
          <w:sz w:val="20"/>
          <w:szCs w:val="20"/>
        </w:rPr>
        <w:t>et al.</w:t>
      </w:r>
      <w:r w:rsidRPr="006038FB">
        <w:rPr>
          <w:b/>
          <w:bCs/>
          <w:sz w:val="20"/>
          <w:szCs w:val="20"/>
        </w:rPr>
        <w:t xml:space="preserve"> </w:t>
      </w:r>
      <w:r w:rsidRPr="006038FB">
        <w:rPr>
          <w:b/>
          <w:bCs/>
          <w:sz w:val="20"/>
          <w:szCs w:val="20"/>
          <w:lang w:bidi="ar-EG"/>
        </w:rPr>
        <w:t>(2006):</w:t>
      </w:r>
      <w:r w:rsidRPr="006038FB">
        <w:rPr>
          <w:sz w:val="20"/>
          <w:szCs w:val="20"/>
          <w:lang w:bidi="ar-EG"/>
        </w:rPr>
        <w:t xml:space="preserve"> Determinants of overweight in a cohort of </w:t>
      </w:r>
      <w:proofErr w:type="spellStart"/>
      <w:r w:rsidRPr="006038FB">
        <w:rPr>
          <w:sz w:val="20"/>
          <w:szCs w:val="20"/>
          <w:lang w:bidi="ar-EG"/>
        </w:rPr>
        <w:t>dutch</w:t>
      </w:r>
      <w:proofErr w:type="spellEnd"/>
      <w:r w:rsidRPr="006038FB">
        <w:rPr>
          <w:sz w:val="20"/>
          <w:szCs w:val="20"/>
          <w:lang w:bidi="ar-EG"/>
        </w:rPr>
        <w:t xml:space="preserve"> children. Am J </w:t>
      </w:r>
      <w:proofErr w:type="spellStart"/>
      <w:r w:rsidRPr="006038FB">
        <w:rPr>
          <w:sz w:val="20"/>
          <w:szCs w:val="20"/>
          <w:lang w:bidi="ar-EG"/>
        </w:rPr>
        <w:t>Clin</w:t>
      </w:r>
      <w:proofErr w:type="spellEnd"/>
      <w:r w:rsidRPr="006038FB">
        <w:rPr>
          <w:sz w:val="20"/>
          <w:szCs w:val="20"/>
          <w:lang w:bidi="ar-EG"/>
        </w:rPr>
        <w:t xml:space="preserve"> </w:t>
      </w:r>
      <w:proofErr w:type="spellStart"/>
      <w:r w:rsidRPr="006038FB">
        <w:rPr>
          <w:sz w:val="20"/>
          <w:szCs w:val="20"/>
          <w:lang w:bidi="ar-EG"/>
        </w:rPr>
        <w:t>Nutr</w:t>
      </w:r>
      <w:proofErr w:type="spellEnd"/>
      <w:r w:rsidRPr="006038FB">
        <w:rPr>
          <w:sz w:val="20"/>
          <w:szCs w:val="20"/>
          <w:lang w:bidi="ar-EG"/>
        </w:rPr>
        <w:t xml:space="preserve"> 48: 717-724. </w:t>
      </w:r>
    </w:p>
    <w:p w:rsidR="00CF151E" w:rsidRPr="006038FB" w:rsidRDefault="00CF151E" w:rsidP="009E3379">
      <w:pPr>
        <w:pStyle w:val="NoSpacing"/>
        <w:numPr>
          <w:ilvl w:val="0"/>
          <w:numId w:val="7"/>
        </w:numPr>
        <w:ind w:left="426"/>
        <w:jc w:val="both"/>
        <w:rPr>
          <w:sz w:val="20"/>
          <w:szCs w:val="20"/>
          <w:lang w:bidi="ar-EG"/>
        </w:rPr>
      </w:pPr>
      <w:r w:rsidRPr="006038FB">
        <w:rPr>
          <w:b/>
          <w:bCs/>
          <w:sz w:val="20"/>
          <w:szCs w:val="20"/>
          <w:lang w:bidi="ar-EG"/>
        </w:rPr>
        <w:t xml:space="preserve">Whitaker RC, </w:t>
      </w:r>
      <w:proofErr w:type="spellStart"/>
      <w:r w:rsidRPr="006038FB">
        <w:rPr>
          <w:b/>
          <w:bCs/>
          <w:sz w:val="20"/>
          <w:szCs w:val="20"/>
          <w:lang w:bidi="ar-EG"/>
        </w:rPr>
        <w:t>Wirght</w:t>
      </w:r>
      <w:proofErr w:type="spellEnd"/>
      <w:r w:rsidRPr="006038FB">
        <w:rPr>
          <w:b/>
          <w:bCs/>
          <w:sz w:val="20"/>
          <w:szCs w:val="20"/>
          <w:lang w:bidi="ar-EG"/>
        </w:rPr>
        <w:t xml:space="preserve"> JA, </w:t>
      </w:r>
      <w:proofErr w:type="spellStart"/>
      <w:r w:rsidRPr="006038FB">
        <w:rPr>
          <w:b/>
          <w:bCs/>
          <w:sz w:val="20"/>
          <w:szCs w:val="20"/>
          <w:lang w:bidi="ar-EG"/>
        </w:rPr>
        <w:t>pepe</w:t>
      </w:r>
      <w:proofErr w:type="spellEnd"/>
      <w:r w:rsidRPr="006038FB">
        <w:rPr>
          <w:b/>
          <w:bCs/>
          <w:sz w:val="20"/>
          <w:szCs w:val="20"/>
          <w:lang w:bidi="ar-EG"/>
        </w:rPr>
        <w:t xml:space="preserve"> MS, Seidel </w:t>
      </w:r>
      <w:proofErr w:type="spellStart"/>
      <w:r w:rsidRPr="006038FB">
        <w:rPr>
          <w:b/>
          <w:bCs/>
          <w:sz w:val="20"/>
          <w:szCs w:val="20"/>
          <w:lang w:bidi="ar-EG"/>
        </w:rPr>
        <w:t>Kd</w:t>
      </w:r>
      <w:proofErr w:type="spellEnd"/>
      <w:r w:rsidRPr="006038FB">
        <w:rPr>
          <w:b/>
          <w:bCs/>
          <w:sz w:val="20"/>
          <w:szCs w:val="20"/>
          <w:lang w:bidi="ar-EG"/>
        </w:rPr>
        <w:t xml:space="preserve">, </w:t>
      </w:r>
      <w:proofErr w:type="spellStart"/>
      <w:r w:rsidRPr="006038FB">
        <w:rPr>
          <w:b/>
          <w:bCs/>
          <w:sz w:val="20"/>
          <w:szCs w:val="20"/>
          <w:lang w:bidi="ar-EG"/>
        </w:rPr>
        <w:t>Dioetz</w:t>
      </w:r>
      <w:proofErr w:type="spellEnd"/>
      <w:r w:rsidRPr="006038FB">
        <w:rPr>
          <w:b/>
          <w:bCs/>
          <w:sz w:val="20"/>
          <w:szCs w:val="20"/>
          <w:lang w:bidi="ar-EG"/>
        </w:rPr>
        <w:t xml:space="preserve"> WH (1997):</w:t>
      </w:r>
      <w:r w:rsidRPr="006038FB">
        <w:rPr>
          <w:sz w:val="20"/>
          <w:szCs w:val="20"/>
          <w:lang w:bidi="ar-EG"/>
        </w:rPr>
        <w:t xml:space="preserve"> predicting obesity in young adulthood from childhood and parental obesity. N </w:t>
      </w:r>
      <w:proofErr w:type="spellStart"/>
      <w:r w:rsidRPr="006038FB">
        <w:rPr>
          <w:sz w:val="20"/>
          <w:szCs w:val="20"/>
          <w:lang w:bidi="ar-EG"/>
        </w:rPr>
        <w:t>Engl</w:t>
      </w:r>
      <w:proofErr w:type="spellEnd"/>
      <w:r w:rsidRPr="006038FB">
        <w:rPr>
          <w:sz w:val="20"/>
          <w:szCs w:val="20"/>
          <w:lang w:bidi="ar-EG"/>
        </w:rPr>
        <w:t xml:space="preserve"> J Med., 337: 869-873. </w:t>
      </w:r>
    </w:p>
    <w:p w:rsidR="00CF151E" w:rsidRPr="006038FB" w:rsidRDefault="00CF151E" w:rsidP="009E3379">
      <w:pPr>
        <w:pStyle w:val="NoSpacing"/>
        <w:numPr>
          <w:ilvl w:val="0"/>
          <w:numId w:val="7"/>
        </w:numPr>
        <w:ind w:left="426"/>
        <w:jc w:val="both"/>
        <w:rPr>
          <w:sz w:val="20"/>
          <w:szCs w:val="20"/>
        </w:rPr>
      </w:pPr>
      <w:r w:rsidRPr="006038FB">
        <w:rPr>
          <w:b/>
          <w:bCs/>
          <w:sz w:val="20"/>
          <w:szCs w:val="20"/>
          <w:lang w:bidi="ar-EG"/>
        </w:rPr>
        <w:t>Zhang Q and Wang Y (2009)</w:t>
      </w:r>
      <w:r w:rsidRPr="006038FB">
        <w:rPr>
          <w:sz w:val="20"/>
          <w:szCs w:val="20"/>
          <w:lang w:bidi="ar-EG"/>
        </w:rPr>
        <w:t>: Using concentration index to study changes in socio-</w:t>
      </w:r>
      <w:proofErr w:type="spellStart"/>
      <w:r w:rsidRPr="006038FB">
        <w:rPr>
          <w:sz w:val="20"/>
          <w:szCs w:val="20"/>
          <w:lang w:bidi="ar-EG"/>
        </w:rPr>
        <w:t>econornic</w:t>
      </w:r>
      <w:proofErr w:type="spellEnd"/>
      <w:r w:rsidRPr="006038FB">
        <w:rPr>
          <w:sz w:val="20"/>
          <w:szCs w:val="20"/>
          <w:lang w:bidi="ar-EG"/>
        </w:rPr>
        <w:t xml:space="preserve"> inequality of overweight among US adolescents between 1971 and 2002. </w:t>
      </w:r>
      <w:proofErr w:type="spellStart"/>
      <w:r w:rsidRPr="006038FB">
        <w:rPr>
          <w:sz w:val="20"/>
          <w:szCs w:val="20"/>
          <w:lang w:bidi="ar-EG"/>
        </w:rPr>
        <w:t>Int</w:t>
      </w:r>
      <w:proofErr w:type="spellEnd"/>
      <w:r w:rsidRPr="006038FB">
        <w:rPr>
          <w:sz w:val="20"/>
          <w:szCs w:val="20"/>
          <w:lang w:bidi="ar-EG"/>
        </w:rPr>
        <w:t xml:space="preserve"> J </w:t>
      </w:r>
      <w:proofErr w:type="spellStart"/>
      <w:r w:rsidRPr="006038FB">
        <w:rPr>
          <w:sz w:val="20"/>
          <w:szCs w:val="20"/>
          <w:lang w:bidi="ar-EG"/>
        </w:rPr>
        <w:t>Epidemiol</w:t>
      </w:r>
      <w:proofErr w:type="spellEnd"/>
      <w:r w:rsidRPr="006038FB">
        <w:rPr>
          <w:sz w:val="20"/>
          <w:szCs w:val="20"/>
          <w:lang w:bidi="ar-EG"/>
        </w:rPr>
        <w:t xml:space="preserve">., 36: 916-925. </w:t>
      </w:r>
    </w:p>
    <w:p w:rsidR="00D50783" w:rsidRDefault="00D50783" w:rsidP="009E3379">
      <w:pPr>
        <w:jc w:val="both"/>
        <w:rPr>
          <w:sz w:val="20"/>
          <w:szCs w:val="20"/>
        </w:rPr>
      </w:pPr>
    </w:p>
    <w:p w:rsidR="004B147B" w:rsidRDefault="004B147B" w:rsidP="009E3379">
      <w:pPr>
        <w:jc w:val="both"/>
        <w:rPr>
          <w:sz w:val="20"/>
          <w:szCs w:val="20"/>
        </w:rPr>
        <w:sectPr w:rsidR="004B147B" w:rsidSect="004B147B">
          <w:footnotePr>
            <w:pos w:val="beneathText"/>
          </w:footnotePr>
          <w:type w:val="continuous"/>
          <w:pgSz w:w="12240" w:h="15840" w:code="1"/>
          <w:pgMar w:top="1418" w:right="1418" w:bottom="1418" w:left="1418" w:header="720" w:footer="720" w:gutter="0"/>
          <w:cols w:num="2" w:space="480"/>
          <w:docGrid w:linePitch="360"/>
        </w:sectPr>
      </w:pPr>
    </w:p>
    <w:p w:rsidR="004B147B" w:rsidRDefault="004B147B" w:rsidP="009E3379">
      <w:pPr>
        <w:jc w:val="both"/>
        <w:rPr>
          <w:sz w:val="20"/>
          <w:szCs w:val="20"/>
        </w:rPr>
      </w:pPr>
    </w:p>
    <w:p w:rsidR="009E3379" w:rsidRDefault="009E3379" w:rsidP="009E3379">
      <w:pPr>
        <w:jc w:val="both"/>
        <w:rPr>
          <w:sz w:val="20"/>
          <w:szCs w:val="20"/>
        </w:rPr>
      </w:pPr>
    </w:p>
    <w:p w:rsidR="004B147B" w:rsidRPr="006038FB" w:rsidRDefault="004B147B" w:rsidP="009E3379">
      <w:pPr>
        <w:jc w:val="both"/>
        <w:rPr>
          <w:sz w:val="20"/>
          <w:szCs w:val="20"/>
        </w:rPr>
      </w:pPr>
      <w:r>
        <w:rPr>
          <w:sz w:val="20"/>
          <w:szCs w:val="20"/>
        </w:rPr>
        <w:t>10/1/2012</w:t>
      </w:r>
    </w:p>
    <w:sectPr w:rsidR="004B147B" w:rsidRPr="006038FB" w:rsidSect="00BF41E7">
      <w:footnotePr>
        <w:pos w:val="beneathText"/>
      </w:footnotePr>
      <w:type w:val="continuous"/>
      <w:pgSz w:w="12240" w:h="15840" w:code="1"/>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7B" w:rsidRDefault="004B147B" w:rsidP="006867BC">
      <w:r>
        <w:separator/>
      </w:r>
    </w:p>
  </w:endnote>
  <w:endnote w:type="continuationSeparator" w:id="0">
    <w:p w:rsidR="004B147B" w:rsidRDefault="004B147B" w:rsidP="0068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ITC Franklin Gothic Std Bk C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rcury Text G2">
    <w:altName w:val="Times New Roman"/>
    <w:panose1 w:val="00000000000000000000"/>
    <w:charset w:val="00"/>
    <w:family w:val="roman"/>
    <w:notTrueType/>
    <w:pitch w:val="default"/>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Book">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dvTT9c26d28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7B" w:rsidRPr="00B3167C" w:rsidRDefault="007A7BA2" w:rsidP="00B24808">
    <w:pPr>
      <w:pStyle w:val="Footer"/>
      <w:framePr w:wrap="auto" w:vAnchor="text" w:hAnchor="margin" w:xAlign="center" w:y="1"/>
      <w:rPr>
        <w:rStyle w:val="PageNumber"/>
        <w:sz w:val="20"/>
        <w:szCs w:val="20"/>
      </w:rPr>
    </w:pPr>
    <w:r w:rsidRPr="00B3167C">
      <w:rPr>
        <w:rStyle w:val="PageNumber"/>
        <w:sz w:val="20"/>
        <w:szCs w:val="20"/>
      </w:rPr>
      <w:fldChar w:fldCharType="begin"/>
    </w:r>
    <w:r w:rsidR="004B147B" w:rsidRPr="00B3167C">
      <w:rPr>
        <w:rStyle w:val="PageNumber"/>
        <w:sz w:val="20"/>
        <w:szCs w:val="20"/>
      </w:rPr>
      <w:instrText xml:space="preserve">PAGE  </w:instrText>
    </w:r>
    <w:r w:rsidRPr="00B3167C">
      <w:rPr>
        <w:rStyle w:val="PageNumber"/>
        <w:sz w:val="20"/>
        <w:szCs w:val="20"/>
      </w:rPr>
      <w:fldChar w:fldCharType="separate"/>
    </w:r>
    <w:r w:rsidR="0082654B">
      <w:rPr>
        <w:rStyle w:val="PageNumber"/>
        <w:noProof/>
        <w:sz w:val="20"/>
        <w:szCs w:val="20"/>
      </w:rPr>
      <w:t>182</w:t>
    </w:r>
    <w:r w:rsidRPr="00B3167C">
      <w:rPr>
        <w:rStyle w:val="PageNumber"/>
        <w:sz w:val="20"/>
        <w:szCs w:val="20"/>
      </w:rPr>
      <w:fldChar w:fldCharType="end"/>
    </w:r>
  </w:p>
  <w:p w:rsidR="004B147B" w:rsidRDefault="004B147B" w:rsidP="004B1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7B" w:rsidRDefault="004B147B" w:rsidP="006867BC">
      <w:r>
        <w:separator/>
      </w:r>
    </w:p>
  </w:footnote>
  <w:footnote w:type="continuationSeparator" w:id="0">
    <w:p w:rsidR="004B147B" w:rsidRDefault="004B147B" w:rsidP="0068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7B" w:rsidRDefault="004B147B" w:rsidP="006038FB">
    <w:pPr>
      <w:pBdr>
        <w:bottom w:val="thinThickMediumGap" w:sz="12" w:space="1" w:color="auto"/>
      </w:pBdr>
      <w:tabs>
        <w:tab w:val="center" w:pos="4680"/>
        <w:tab w:val="left" w:pos="9360"/>
      </w:tabs>
      <w:jc w:val="center"/>
      <w:rPr>
        <w:sz w:val="20"/>
        <w:szCs w:val="20"/>
      </w:rPr>
    </w:pPr>
    <w:bookmarkStart w:id="0" w:name="OLE_LINK1"/>
    <w:bookmarkStart w:id="1" w:name="OLE_LINK2"/>
    <w:bookmarkStart w:id="2" w:name="_Hlk298793259"/>
    <w:bookmarkStart w:id="3" w:name="OLE_LINK4"/>
    <w:bookmarkStart w:id="4" w:name="_Hlk298793267"/>
    <w:bookmarkStart w:id="5" w:name="OLE_LINK8"/>
    <w:bookmarkStart w:id="6" w:name="OLE_LINK9"/>
    <w:bookmarkStart w:id="7" w:name="_Hlk311084876"/>
    <w:r>
      <w:rPr>
        <w:sz w:val="20"/>
        <w:szCs w:val="20"/>
      </w:rPr>
      <w:t>Nature and Science 201</w:t>
    </w:r>
    <w:r>
      <w:rPr>
        <w:rFonts w:hint="eastAsia"/>
        <w:sz w:val="20"/>
        <w:szCs w:val="20"/>
        <w:lang w:eastAsia="zh-CN"/>
      </w:rPr>
      <w:t>2</w:t>
    </w:r>
    <w:r>
      <w:rPr>
        <w:sz w:val="20"/>
        <w:szCs w:val="20"/>
      </w:rPr>
      <w:t>;</w:t>
    </w:r>
    <w:r>
      <w:rPr>
        <w:rFonts w:hint="eastAsia"/>
        <w:sz w:val="20"/>
        <w:szCs w:val="20"/>
        <w:lang w:eastAsia="zh-CN"/>
      </w:rPr>
      <w:t>10</w:t>
    </w:r>
    <w:r>
      <w:rPr>
        <w:sz w:val="20"/>
        <w:szCs w:val="20"/>
      </w:rPr>
      <w:t>(</w:t>
    </w:r>
    <w:r>
      <w:rPr>
        <w:rFonts w:eastAsiaTheme="minorEastAsia" w:hint="eastAsia"/>
        <w:sz w:val="20"/>
        <w:szCs w:val="20"/>
        <w:lang w:eastAsia="zh-CN"/>
      </w:rPr>
      <w:t>1</w:t>
    </w:r>
    <w:r w:rsidR="00B40DAA">
      <w:rPr>
        <w:rFonts w:eastAsiaTheme="minorEastAsia"/>
        <w:sz w:val="20"/>
        <w:szCs w:val="20"/>
        <w:lang w:eastAsia="zh-CN"/>
      </w:rPr>
      <w:t>1</w:t>
    </w:r>
    <w:r>
      <w:rPr>
        <w:sz w:val="20"/>
        <w:szCs w:val="20"/>
      </w:rPr>
      <w:t xml:space="preserve">)                                               </w:t>
    </w:r>
    <w:hyperlink r:id="rId1" w:history="1">
      <w:r w:rsidRPr="00F971B6">
        <w:rPr>
          <w:rStyle w:val="Hyperlink"/>
          <w:sz w:val="20"/>
          <w:szCs w:val="20"/>
        </w:rPr>
        <w:t>http://www.sciencepub.net/nature</w:t>
      </w:r>
    </w:hyperlink>
    <w:bookmarkEnd w:id="0"/>
    <w:bookmarkEnd w:id="1"/>
    <w:bookmarkEnd w:id="2"/>
    <w:bookmarkEnd w:id="3"/>
    <w:bookmarkEnd w:id="4"/>
    <w:bookmarkEnd w:id="5"/>
    <w:bookmarkEnd w:id="6"/>
    <w:bookmarkEnd w:id="7"/>
  </w:p>
  <w:p w:rsidR="004B147B" w:rsidRPr="002A7D30" w:rsidRDefault="004B147B" w:rsidP="002A7D3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6640A"/>
    <w:multiLevelType w:val="hybridMultilevel"/>
    <w:tmpl w:val="8996A07A"/>
    <w:lvl w:ilvl="0" w:tplc="55C01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F7FFB"/>
    <w:multiLevelType w:val="hybridMultilevel"/>
    <w:tmpl w:val="2D6E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31629"/>
    <w:multiLevelType w:val="hybridMultilevel"/>
    <w:tmpl w:val="7840A17A"/>
    <w:lvl w:ilvl="0" w:tplc="F1DE6426">
      <w:start w:val="7"/>
      <w:numFmt w:val="decimal"/>
      <w:lvlText w:val="%1-"/>
      <w:lvlJc w:val="left"/>
      <w:pPr>
        <w:tabs>
          <w:tab w:val="num" w:pos="210"/>
        </w:tabs>
        <w:ind w:left="210" w:hanging="360"/>
      </w:pPr>
      <w:rPr>
        <w:rFonts w:hint="default"/>
      </w:rPr>
    </w:lvl>
    <w:lvl w:ilvl="1" w:tplc="04090019" w:tentative="1">
      <w:start w:val="1"/>
      <w:numFmt w:val="lowerLetter"/>
      <w:lvlText w:val="%2."/>
      <w:lvlJc w:val="left"/>
      <w:pPr>
        <w:tabs>
          <w:tab w:val="num" w:pos="930"/>
        </w:tabs>
        <w:ind w:left="930" w:hanging="360"/>
      </w:pPr>
    </w:lvl>
    <w:lvl w:ilvl="2" w:tplc="0409001B" w:tentative="1">
      <w:start w:val="1"/>
      <w:numFmt w:val="lowerRoman"/>
      <w:lvlText w:val="%3."/>
      <w:lvlJc w:val="right"/>
      <w:pPr>
        <w:tabs>
          <w:tab w:val="num" w:pos="1650"/>
        </w:tabs>
        <w:ind w:left="1650" w:hanging="180"/>
      </w:pPr>
    </w:lvl>
    <w:lvl w:ilvl="3" w:tplc="0409000F" w:tentative="1">
      <w:start w:val="1"/>
      <w:numFmt w:val="decimal"/>
      <w:lvlText w:val="%4."/>
      <w:lvlJc w:val="left"/>
      <w:pPr>
        <w:tabs>
          <w:tab w:val="num" w:pos="2370"/>
        </w:tabs>
        <w:ind w:left="2370" w:hanging="360"/>
      </w:p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
    <w:nsid w:val="53AA774B"/>
    <w:multiLevelType w:val="hybridMultilevel"/>
    <w:tmpl w:val="68E45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9A622A"/>
    <w:multiLevelType w:val="hybridMultilevel"/>
    <w:tmpl w:val="166C8E44"/>
    <w:lvl w:ilvl="0" w:tplc="A852E4DA">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5">
    <w:nsid w:val="6A156D04"/>
    <w:multiLevelType w:val="hybridMultilevel"/>
    <w:tmpl w:val="2666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D592E"/>
    <w:multiLevelType w:val="hybridMultilevel"/>
    <w:tmpl w:val="FDCE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7409"/>
  </w:hdrShapeDefaults>
  <w:footnotePr>
    <w:pos w:val="beneathText"/>
    <w:footnote w:id="-1"/>
    <w:footnote w:id="0"/>
  </w:footnotePr>
  <w:endnotePr>
    <w:endnote w:id="-1"/>
    <w:endnote w:id="0"/>
  </w:endnotePr>
  <w:compat>
    <w:useFELayout/>
  </w:compat>
  <w:rsids>
    <w:rsidRoot w:val="001B1605"/>
    <w:rsid w:val="00016937"/>
    <w:rsid w:val="000228B6"/>
    <w:rsid w:val="00036726"/>
    <w:rsid w:val="00040D14"/>
    <w:rsid w:val="000449BD"/>
    <w:rsid w:val="000601E7"/>
    <w:rsid w:val="00061AB6"/>
    <w:rsid w:val="0006274D"/>
    <w:rsid w:val="00063D3A"/>
    <w:rsid w:val="000654C9"/>
    <w:rsid w:val="000B5A4E"/>
    <w:rsid w:val="000D74FE"/>
    <w:rsid w:val="000E2D55"/>
    <w:rsid w:val="000F0462"/>
    <w:rsid w:val="000F6672"/>
    <w:rsid w:val="00134E7F"/>
    <w:rsid w:val="00136E5B"/>
    <w:rsid w:val="00141754"/>
    <w:rsid w:val="00146FDD"/>
    <w:rsid w:val="00150FF0"/>
    <w:rsid w:val="001624C1"/>
    <w:rsid w:val="001631E8"/>
    <w:rsid w:val="00182564"/>
    <w:rsid w:val="00196C77"/>
    <w:rsid w:val="001A4C2B"/>
    <w:rsid w:val="001B1605"/>
    <w:rsid w:val="001C350C"/>
    <w:rsid w:val="001E6F2D"/>
    <w:rsid w:val="001F63EC"/>
    <w:rsid w:val="002300A3"/>
    <w:rsid w:val="00237895"/>
    <w:rsid w:val="00250BFE"/>
    <w:rsid w:val="00254794"/>
    <w:rsid w:val="00274D70"/>
    <w:rsid w:val="0027588C"/>
    <w:rsid w:val="002A4D5D"/>
    <w:rsid w:val="002A7D30"/>
    <w:rsid w:val="002B6FBB"/>
    <w:rsid w:val="002B7338"/>
    <w:rsid w:val="002C1CE4"/>
    <w:rsid w:val="002D4B52"/>
    <w:rsid w:val="002E2EB0"/>
    <w:rsid w:val="002E664C"/>
    <w:rsid w:val="002F0933"/>
    <w:rsid w:val="002F0A97"/>
    <w:rsid w:val="00302DBF"/>
    <w:rsid w:val="003327B4"/>
    <w:rsid w:val="003446D6"/>
    <w:rsid w:val="00347FD4"/>
    <w:rsid w:val="0035156D"/>
    <w:rsid w:val="00362AE7"/>
    <w:rsid w:val="00370E48"/>
    <w:rsid w:val="003776B1"/>
    <w:rsid w:val="00384692"/>
    <w:rsid w:val="00394A71"/>
    <w:rsid w:val="003A29EE"/>
    <w:rsid w:val="003C652F"/>
    <w:rsid w:val="003C7ED1"/>
    <w:rsid w:val="003F3199"/>
    <w:rsid w:val="00411449"/>
    <w:rsid w:val="00423279"/>
    <w:rsid w:val="00442ACC"/>
    <w:rsid w:val="00461A16"/>
    <w:rsid w:val="00467639"/>
    <w:rsid w:val="004873BC"/>
    <w:rsid w:val="0049073C"/>
    <w:rsid w:val="004A61ED"/>
    <w:rsid w:val="004B147B"/>
    <w:rsid w:val="004C2D91"/>
    <w:rsid w:val="004C3EF0"/>
    <w:rsid w:val="004D5F7C"/>
    <w:rsid w:val="004E6B73"/>
    <w:rsid w:val="00500BF5"/>
    <w:rsid w:val="00510950"/>
    <w:rsid w:val="00511684"/>
    <w:rsid w:val="00521983"/>
    <w:rsid w:val="00536645"/>
    <w:rsid w:val="00544E41"/>
    <w:rsid w:val="00561AA2"/>
    <w:rsid w:val="00564CEC"/>
    <w:rsid w:val="005665A5"/>
    <w:rsid w:val="0057768E"/>
    <w:rsid w:val="00596F37"/>
    <w:rsid w:val="005A7185"/>
    <w:rsid w:val="005D3CC9"/>
    <w:rsid w:val="005D5D64"/>
    <w:rsid w:val="005F106D"/>
    <w:rsid w:val="005F2390"/>
    <w:rsid w:val="005F59A7"/>
    <w:rsid w:val="006038FB"/>
    <w:rsid w:val="00606B7A"/>
    <w:rsid w:val="0062711E"/>
    <w:rsid w:val="006505F8"/>
    <w:rsid w:val="00661A0E"/>
    <w:rsid w:val="006638C5"/>
    <w:rsid w:val="0068404B"/>
    <w:rsid w:val="00684A59"/>
    <w:rsid w:val="006867BC"/>
    <w:rsid w:val="006A1740"/>
    <w:rsid w:val="006B4E76"/>
    <w:rsid w:val="006B7192"/>
    <w:rsid w:val="006C1078"/>
    <w:rsid w:val="006D7AB1"/>
    <w:rsid w:val="006E6ACB"/>
    <w:rsid w:val="006F7E90"/>
    <w:rsid w:val="0070058F"/>
    <w:rsid w:val="00705081"/>
    <w:rsid w:val="00713BD8"/>
    <w:rsid w:val="00720AF5"/>
    <w:rsid w:val="00724CA2"/>
    <w:rsid w:val="00755611"/>
    <w:rsid w:val="007903F7"/>
    <w:rsid w:val="007911E2"/>
    <w:rsid w:val="007A3BA2"/>
    <w:rsid w:val="007A7573"/>
    <w:rsid w:val="007A75FB"/>
    <w:rsid w:val="007A7BA2"/>
    <w:rsid w:val="007A7E29"/>
    <w:rsid w:val="007B1CAD"/>
    <w:rsid w:val="007C69DD"/>
    <w:rsid w:val="007C7E6A"/>
    <w:rsid w:val="007E1F50"/>
    <w:rsid w:val="007F0DF2"/>
    <w:rsid w:val="007F12E8"/>
    <w:rsid w:val="007F2796"/>
    <w:rsid w:val="007F3099"/>
    <w:rsid w:val="0080687A"/>
    <w:rsid w:val="008216D9"/>
    <w:rsid w:val="008237BD"/>
    <w:rsid w:val="00824C45"/>
    <w:rsid w:val="0082654B"/>
    <w:rsid w:val="00830467"/>
    <w:rsid w:val="008526CC"/>
    <w:rsid w:val="00860C2F"/>
    <w:rsid w:val="008911A7"/>
    <w:rsid w:val="00896963"/>
    <w:rsid w:val="008D5312"/>
    <w:rsid w:val="008E01EE"/>
    <w:rsid w:val="008E612F"/>
    <w:rsid w:val="008F0ED0"/>
    <w:rsid w:val="008F405F"/>
    <w:rsid w:val="008F5CBE"/>
    <w:rsid w:val="00912C8F"/>
    <w:rsid w:val="00913E20"/>
    <w:rsid w:val="00924312"/>
    <w:rsid w:val="00936174"/>
    <w:rsid w:val="009424B8"/>
    <w:rsid w:val="009437CC"/>
    <w:rsid w:val="009555B6"/>
    <w:rsid w:val="00981D60"/>
    <w:rsid w:val="009E207C"/>
    <w:rsid w:val="009E3379"/>
    <w:rsid w:val="009F588B"/>
    <w:rsid w:val="009F613B"/>
    <w:rsid w:val="00A025BD"/>
    <w:rsid w:val="00A13747"/>
    <w:rsid w:val="00A14AD0"/>
    <w:rsid w:val="00A1682A"/>
    <w:rsid w:val="00A325AD"/>
    <w:rsid w:val="00A54DD8"/>
    <w:rsid w:val="00A61DAF"/>
    <w:rsid w:val="00A70E54"/>
    <w:rsid w:val="00A74659"/>
    <w:rsid w:val="00A803D3"/>
    <w:rsid w:val="00A871BC"/>
    <w:rsid w:val="00A952F7"/>
    <w:rsid w:val="00AC09F5"/>
    <w:rsid w:val="00AD2E6E"/>
    <w:rsid w:val="00AD726D"/>
    <w:rsid w:val="00AD7B6E"/>
    <w:rsid w:val="00AE1CF5"/>
    <w:rsid w:val="00AE2EDB"/>
    <w:rsid w:val="00AE6068"/>
    <w:rsid w:val="00AF4A48"/>
    <w:rsid w:val="00B06E49"/>
    <w:rsid w:val="00B14378"/>
    <w:rsid w:val="00B14D89"/>
    <w:rsid w:val="00B24808"/>
    <w:rsid w:val="00B25B0C"/>
    <w:rsid w:val="00B3167C"/>
    <w:rsid w:val="00B40DAA"/>
    <w:rsid w:val="00B44F16"/>
    <w:rsid w:val="00B47ACC"/>
    <w:rsid w:val="00B522B5"/>
    <w:rsid w:val="00B64F21"/>
    <w:rsid w:val="00B70C9A"/>
    <w:rsid w:val="00B76F65"/>
    <w:rsid w:val="00B83B58"/>
    <w:rsid w:val="00B852C6"/>
    <w:rsid w:val="00BA6E95"/>
    <w:rsid w:val="00BC216A"/>
    <w:rsid w:val="00BF1F4C"/>
    <w:rsid w:val="00BF3A16"/>
    <w:rsid w:val="00BF41E7"/>
    <w:rsid w:val="00BF6A5E"/>
    <w:rsid w:val="00C0166C"/>
    <w:rsid w:val="00C116AC"/>
    <w:rsid w:val="00C1609B"/>
    <w:rsid w:val="00C2698E"/>
    <w:rsid w:val="00C934C9"/>
    <w:rsid w:val="00CD54B0"/>
    <w:rsid w:val="00CE609A"/>
    <w:rsid w:val="00CF151E"/>
    <w:rsid w:val="00CF26A9"/>
    <w:rsid w:val="00CF7BA9"/>
    <w:rsid w:val="00D008C9"/>
    <w:rsid w:val="00D00B72"/>
    <w:rsid w:val="00D0136E"/>
    <w:rsid w:val="00D041ED"/>
    <w:rsid w:val="00D07C58"/>
    <w:rsid w:val="00D1717B"/>
    <w:rsid w:val="00D441D4"/>
    <w:rsid w:val="00D50783"/>
    <w:rsid w:val="00D70BEF"/>
    <w:rsid w:val="00DA02B5"/>
    <w:rsid w:val="00DB08DB"/>
    <w:rsid w:val="00DB7D69"/>
    <w:rsid w:val="00DC557A"/>
    <w:rsid w:val="00DF1F48"/>
    <w:rsid w:val="00DF4ED1"/>
    <w:rsid w:val="00E02297"/>
    <w:rsid w:val="00E14F8F"/>
    <w:rsid w:val="00E334A1"/>
    <w:rsid w:val="00E34D81"/>
    <w:rsid w:val="00E377F5"/>
    <w:rsid w:val="00E468CC"/>
    <w:rsid w:val="00E60317"/>
    <w:rsid w:val="00E75EA5"/>
    <w:rsid w:val="00EC4854"/>
    <w:rsid w:val="00ED14C8"/>
    <w:rsid w:val="00EE0C55"/>
    <w:rsid w:val="00EE3824"/>
    <w:rsid w:val="00EF3533"/>
    <w:rsid w:val="00F154E4"/>
    <w:rsid w:val="00F2013E"/>
    <w:rsid w:val="00F34907"/>
    <w:rsid w:val="00F4355E"/>
    <w:rsid w:val="00F456B4"/>
    <w:rsid w:val="00F56EAD"/>
    <w:rsid w:val="00F8167E"/>
    <w:rsid w:val="00F97FFC"/>
    <w:rsid w:val="00FD19A0"/>
    <w:rsid w:val="00FD7C2F"/>
    <w:rsid w:val="00FE307B"/>
    <w:rsid w:val="00FE3928"/>
    <w:rsid w:val="00FE5C7D"/>
    <w:rsid w:val="00FE7E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D008C9"/>
    <w:pPr>
      <w:suppressAutoHyphens w:val="0"/>
      <w:bidi/>
      <w:spacing w:before="240" w:after="60"/>
      <w:outlineLvl w:val="5"/>
    </w:pPr>
    <w:rPr>
      <w:rFonts w:eastAsia="Times New Roman"/>
      <w:b/>
      <w:bCs/>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F2013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F3A16"/>
    <w:rPr>
      <w:rFonts w:ascii="Arial" w:hAnsi="Arial" w:cs="Arial"/>
      <w:b/>
      <w:bCs/>
      <w:sz w:val="26"/>
      <w:szCs w:val="26"/>
    </w:rPr>
  </w:style>
  <w:style w:type="character" w:customStyle="1" w:styleId="Heading4Char">
    <w:name w:val="Heading 4 Char"/>
    <w:basedOn w:val="DefaultParagraphFont"/>
    <w:link w:val="Heading4"/>
    <w:uiPriority w:val="99"/>
    <w:semiHidden/>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uiPriority w:val="99"/>
    <w:semiHidden/>
    <w:locked/>
    <w:rsid w:val="00F2013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D008C9"/>
    <w:rPr>
      <w:rFonts w:ascii="Times New Roman" w:hAnsi="Times New Roman" w:cs="Times New Roman"/>
      <w:b/>
      <w:bCs/>
      <w:lang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rsid w:val="001B1605"/>
    <w:pPr>
      <w:tabs>
        <w:tab w:val="center" w:pos="4320"/>
        <w:tab w:val="right" w:pos="8640"/>
      </w:tabs>
    </w:pPr>
    <w:rPr>
      <w:sz w:val="32"/>
    </w:rPr>
  </w:style>
  <w:style w:type="character" w:customStyle="1" w:styleId="FooterChar">
    <w:name w:val="Footer Char"/>
    <w:basedOn w:val="DefaultParagraphFont"/>
    <w:link w:val="Footer"/>
    <w:locked/>
    <w:rsid w:val="001B1605"/>
    <w:rPr>
      <w:rFonts w:ascii="Times New Roman" w:eastAsia="SimSun" w:hAnsi="Times New Roman" w:cs="Times New Roman"/>
      <w:sz w:val="24"/>
      <w:szCs w:val="24"/>
      <w:lang w:eastAsia="ar-SA" w:bidi="ar-SA"/>
    </w:rPr>
  </w:style>
  <w:style w:type="paragraph" w:styleId="ListParagraph">
    <w:name w:val="List Paragraph"/>
    <w:basedOn w:val="Normal"/>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rsid w:val="009424B8"/>
    <w:rPr>
      <w:rFonts w:ascii="Tahoma" w:hAnsi="Tahoma" w:cs="Tahoma"/>
      <w:sz w:val="16"/>
      <w:szCs w:val="16"/>
    </w:rPr>
  </w:style>
  <w:style w:type="character" w:customStyle="1" w:styleId="BalloonTextChar">
    <w:name w:val="Balloon Text Char"/>
    <w:basedOn w:val="DefaultParagraphFont"/>
    <w:link w:val="BalloonText"/>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uiPriority w:val="99"/>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qFormat/>
    <w:rsid w:val="00F2013E"/>
    <w:rPr>
      <w:rFonts w:cs="Times New Roman"/>
      <w:i/>
    </w:rPr>
  </w:style>
  <w:style w:type="paragraph" w:styleId="NormalWeb">
    <w:name w:val="Normal (Web)"/>
    <w:basedOn w:val="Normal"/>
    <w:uiPriority w:val="99"/>
    <w:rsid w:val="00F2013E"/>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rsid w:val="00BF3A16"/>
    <w:rPr>
      <w:b/>
      <w:bCs/>
    </w:rPr>
  </w:style>
  <w:style w:type="character" w:customStyle="1" w:styleId="CommentSubjectChar">
    <w:name w:val="Comment Subject Char"/>
    <w:basedOn w:val="CommentTextChar"/>
    <w:link w:val="CommentSubject"/>
    <w:locked/>
    <w:rsid w:val="00BF3A16"/>
    <w:rPr>
      <w:b/>
      <w:bCs/>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rsid w:val="00E60317"/>
    <w:rPr>
      <w:i/>
    </w:rPr>
  </w:style>
  <w:style w:type="character" w:customStyle="1" w:styleId="ref-vol">
    <w:name w:val="ref-vol"/>
    <w:rsid w:val="00E60317"/>
  </w:style>
  <w:style w:type="character" w:customStyle="1" w:styleId="apple-converted-space">
    <w:name w:val="apple-converted-space"/>
    <w:basedOn w:val="DefaultParagraphFont"/>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uiPriority w:val="99"/>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uiPriority w:val="99"/>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uiPriority w:val="99"/>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uiPriority w:val="99"/>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rsid w:val="00B14D89"/>
    <w:rPr>
      <w:rFonts w:cs="Times New Roman"/>
    </w:rPr>
  </w:style>
  <w:style w:type="paragraph" w:customStyle="1" w:styleId="subtitle0">
    <w:name w:val="subtitle"/>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rsid w:val="00B44F16"/>
    <w:rPr>
      <w:rFonts w:cs="Times New Roman"/>
    </w:rPr>
  </w:style>
  <w:style w:type="paragraph" w:styleId="BodyText3">
    <w:name w:val="Body Text 3"/>
    <w:basedOn w:val="Normal"/>
    <w:link w:val="BodyText3Char"/>
    <w:uiPriority w:val="99"/>
    <w:rsid w:val="00D008C9"/>
    <w:pPr>
      <w:spacing w:after="120"/>
    </w:pPr>
    <w:rPr>
      <w:sz w:val="16"/>
      <w:szCs w:val="16"/>
    </w:rPr>
  </w:style>
  <w:style w:type="character" w:customStyle="1" w:styleId="BodyText3Char">
    <w:name w:val="Body Text 3 Char"/>
    <w:basedOn w:val="DefaultParagraphFont"/>
    <w:link w:val="BodyText3"/>
    <w:uiPriority w:val="99"/>
    <w:semiHidden/>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uiPriority w:val="99"/>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uiPriority w:val="99"/>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customStyle="1" w:styleId="yiv339981128msonormal">
    <w:name w:val="yiv339981128msonormal"/>
    <w:basedOn w:val="Normal"/>
    <w:rsid w:val="0062711E"/>
    <w:pPr>
      <w:suppressAutoHyphens w:val="0"/>
      <w:spacing w:before="100" w:beforeAutospacing="1" w:after="100" w:afterAutospacing="1"/>
    </w:pPr>
    <w:rPr>
      <w:rFonts w:eastAsia="Times New Roman"/>
      <w:lang w:eastAsia="en-US"/>
    </w:rPr>
  </w:style>
  <w:style w:type="character" w:customStyle="1" w:styleId="yiv339981128content1">
    <w:name w:val="yiv339981128content1"/>
    <w:basedOn w:val="DefaultParagraphFont"/>
    <w:rsid w:val="0062711E"/>
  </w:style>
  <w:style w:type="character" w:customStyle="1" w:styleId="yshortcuts">
    <w:name w:val="yshortcuts"/>
    <w:basedOn w:val="DefaultParagraphFont"/>
    <w:rsid w:val="007F12E8"/>
  </w:style>
  <w:style w:type="character" w:styleId="HTMLCite">
    <w:name w:val="HTML Cite"/>
    <w:basedOn w:val="DefaultParagraphFont"/>
    <w:uiPriority w:val="99"/>
    <w:locked/>
    <w:rsid w:val="00E75EA5"/>
    <w:rPr>
      <w:rFonts w:cs="Times New Roman"/>
      <w:i/>
      <w:iCs/>
    </w:rPr>
  </w:style>
  <w:style w:type="character" w:customStyle="1" w:styleId="sc">
    <w:name w:val="sc"/>
    <w:basedOn w:val="DefaultParagraphFont"/>
    <w:rsid w:val="007F0DF2"/>
    <w:rPr>
      <w:rFonts w:cs="Times New Roman"/>
    </w:rPr>
  </w:style>
  <w:style w:type="character" w:customStyle="1" w:styleId="ft">
    <w:name w:val="ft"/>
    <w:basedOn w:val="DefaultParagraphFont"/>
    <w:rsid w:val="007F0DF2"/>
    <w:rPr>
      <w:rFonts w:cs="Times New Roman"/>
    </w:rPr>
  </w:style>
  <w:style w:type="character" w:customStyle="1" w:styleId="ref-journal">
    <w:name w:val="ref-journal"/>
    <w:basedOn w:val="DefaultParagraphFont"/>
    <w:rsid w:val="00136E5B"/>
    <w:rPr>
      <w:rFonts w:cs="Times New Roman"/>
    </w:rPr>
  </w:style>
  <w:style w:type="character" w:customStyle="1" w:styleId="ref-vol1">
    <w:name w:val="ref-vol1"/>
    <w:basedOn w:val="DefaultParagraphFont"/>
    <w:uiPriority w:val="99"/>
    <w:rsid w:val="00136E5B"/>
    <w:rPr>
      <w:rFonts w:cs="Times New Roman"/>
      <w:b/>
      <w:bCs/>
    </w:rPr>
  </w:style>
  <w:style w:type="character" w:customStyle="1" w:styleId="xref">
    <w:name w:val="xref"/>
    <w:basedOn w:val="DefaultParagraphFont"/>
    <w:uiPriority w:val="99"/>
    <w:rsid w:val="00136E5B"/>
    <w:rPr>
      <w:rFonts w:cs="Times New Roman"/>
    </w:rPr>
  </w:style>
  <w:style w:type="character" w:customStyle="1" w:styleId="articletitle">
    <w:name w:val="articletitle"/>
    <w:basedOn w:val="DefaultParagraphFont"/>
    <w:uiPriority w:val="99"/>
    <w:rsid w:val="00136E5B"/>
    <w:rPr>
      <w:rFonts w:cs="Times New Roman"/>
    </w:rPr>
  </w:style>
  <w:style w:type="character" w:customStyle="1" w:styleId="journaltitle2">
    <w:name w:val="journaltitle2"/>
    <w:basedOn w:val="DefaultParagraphFont"/>
    <w:uiPriority w:val="99"/>
    <w:rsid w:val="00136E5B"/>
    <w:rPr>
      <w:rFonts w:cs="Times New Roman"/>
      <w:i/>
      <w:iCs/>
    </w:rPr>
  </w:style>
  <w:style w:type="character" w:customStyle="1" w:styleId="pubyear">
    <w:name w:val="pubyear"/>
    <w:basedOn w:val="DefaultParagraphFont"/>
    <w:uiPriority w:val="99"/>
    <w:rsid w:val="00136E5B"/>
    <w:rPr>
      <w:rFonts w:cs="Times New Roman"/>
    </w:rPr>
  </w:style>
  <w:style w:type="character" w:customStyle="1" w:styleId="vol2">
    <w:name w:val="vol2"/>
    <w:basedOn w:val="DefaultParagraphFont"/>
    <w:uiPriority w:val="99"/>
    <w:rsid w:val="00136E5B"/>
    <w:rPr>
      <w:rFonts w:cs="Times New Roman"/>
      <w:b/>
      <w:bCs/>
    </w:rPr>
  </w:style>
  <w:style w:type="character" w:customStyle="1" w:styleId="pagefirst">
    <w:name w:val="pagefirst"/>
    <w:basedOn w:val="DefaultParagraphFont"/>
    <w:uiPriority w:val="99"/>
    <w:rsid w:val="00136E5B"/>
    <w:rPr>
      <w:rFonts w:cs="Times New Roman"/>
    </w:rPr>
  </w:style>
  <w:style w:type="character" w:customStyle="1" w:styleId="pagelast">
    <w:name w:val="pagelast"/>
    <w:basedOn w:val="DefaultParagraphFont"/>
    <w:uiPriority w:val="99"/>
    <w:rsid w:val="00136E5B"/>
    <w:rPr>
      <w:rFonts w:cs="Times New Roman"/>
    </w:rPr>
  </w:style>
  <w:style w:type="character" w:customStyle="1" w:styleId="journaltitle3">
    <w:name w:val="journaltitle3"/>
    <w:basedOn w:val="DefaultParagraphFont"/>
    <w:uiPriority w:val="99"/>
    <w:rsid w:val="00136E5B"/>
    <w:rPr>
      <w:rFonts w:cs="Times New Roman"/>
      <w:i/>
      <w:iCs/>
    </w:rPr>
  </w:style>
  <w:style w:type="character" w:customStyle="1" w:styleId="vol3">
    <w:name w:val="vol3"/>
    <w:basedOn w:val="DefaultParagraphFont"/>
    <w:uiPriority w:val="99"/>
    <w:rsid w:val="00136E5B"/>
    <w:rPr>
      <w:rFonts w:cs="Times New Roman"/>
      <w:b/>
      <w:bCs/>
    </w:rPr>
  </w:style>
  <w:style w:type="paragraph" w:customStyle="1" w:styleId="content">
    <w:name w:val="content"/>
    <w:basedOn w:val="Normal"/>
    <w:uiPriority w:val="99"/>
    <w:rsid w:val="00136E5B"/>
    <w:pPr>
      <w:suppressAutoHyphens w:val="0"/>
      <w:spacing w:before="30"/>
    </w:pPr>
    <w:rPr>
      <w:rFonts w:ascii="Verdana" w:eastAsia="Times New Roman" w:hAnsi="Verdana"/>
      <w:sz w:val="17"/>
      <w:szCs w:val="17"/>
      <w:lang w:eastAsia="en-US"/>
    </w:rPr>
  </w:style>
  <w:style w:type="character" w:customStyle="1" w:styleId="underline">
    <w:name w:val="underline"/>
    <w:basedOn w:val="DefaultParagraphFont"/>
    <w:uiPriority w:val="99"/>
    <w:rsid w:val="00136E5B"/>
    <w:rPr>
      <w:rFonts w:cs="Times New Roman"/>
    </w:rPr>
  </w:style>
  <w:style w:type="character" w:customStyle="1" w:styleId="cit-auth2">
    <w:name w:val="cit-auth2"/>
    <w:basedOn w:val="DefaultParagraphFont"/>
    <w:uiPriority w:val="99"/>
    <w:rsid w:val="00136E5B"/>
    <w:rPr>
      <w:rFonts w:cs="Times New Roman"/>
    </w:rPr>
  </w:style>
  <w:style w:type="character" w:customStyle="1" w:styleId="cit-name-surname">
    <w:name w:val="cit-name-surname"/>
    <w:basedOn w:val="DefaultParagraphFont"/>
    <w:uiPriority w:val="99"/>
    <w:rsid w:val="00136E5B"/>
    <w:rPr>
      <w:rFonts w:cs="Times New Roman"/>
    </w:rPr>
  </w:style>
  <w:style w:type="character" w:customStyle="1" w:styleId="cit-name-given-names">
    <w:name w:val="cit-name-given-names"/>
    <w:basedOn w:val="DefaultParagraphFont"/>
    <w:uiPriority w:val="99"/>
    <w:rsid w:val="00136E5B"/>
    <w:rPr>
      <w:rFonts w:cs="Times New Roman"/>
    </w:rPr>
  </w:style>
  <w:style w:type="character" w:customStyle="1" w:styleId="cit-etal">
    <w:name w:val="cit-etal"/>
    <w:basedOn w:val="DefaultParagraphFont"/>
    <w:uiPriority w:val="99"/>
    <w:rsid w:val="00136E5B"/>
    <w:rPr>
      <w:rFonts w:cs="Times New Roman"/>
    </w:rPr>
  </w:style>
  <w:style w:type="character" w:customStyle="1" w:styleId="cit-article-title">
    <w:name w:val="cit-article-title"/>
    <w:basedOn w:val="DefaultParagraphFont"/>
    <w:uiPriority w:val="99"/>
    <w:rsid w:val="00136E5B"/>
    <w:rPr>
      <w:rFonts w:cs="Times New Roman"/>
    </w:rPr>
  </w:style>
  <w:style w:type="character" w:customStyle="1" w:styleId="cit-pub-date">
    <w:name w:val="cit-pub-date"/>
    <w:basedOn w:val="DefaultParagraphFont"/>
    <w:uiPriority w:val="99"/>
    <w:rsid w:val="00136E5B"/>
    <w:rPr>
      <w:rFonts w:cs="Times New Roman"/>
    </w:rPr>
  </w:style>
  <w:style w:type="character" w:customStyle="1" w:styleId="cit-vol4">
    <w:name w:val="cit-vol4"/>
    <w:basedOn w:val="DefaultParagraphFont"/>
    <w:uiPriority w:val="99"/>
    <w:rsid w:val="00136E5B"/>
    <w:rPr>
      <w:rFonts w:cs="Times New Roman"/>
    </w:rPr>
  </w:style>
  <w:style w:type="character" w:customStyle="1" w:styleId="cit-fpage">
    <w:name w:val="cit-fpage"/>
    <w:basedOn w:val="DefaultParagraphFont"/>
    <w:uiPriority w:val="99"/>
    <w:rsid w:val="00136E5B"/>
    <w:rPr>
      <w:rFonts w:cs="Times New Roman"/>
    </w:rPr>
  </w:style>
  <w:style w:type="character" w:customStyle="1" w:styleId="cit-lpage">
    <w:name w:val="cit-lpage"/>
    <w:basedOn w:val="DefaultParagraphFont"/>
    <w:uiPriority w:val="99"/>
    <w:rsid w:val="00136E5B"/>
    <w:rPr>
      <w:rFonts w:cs="Times New Roman"/>
    </w:rPr>
  </w:style>
  <w:style w:type="character" w:customStyle="1" w:styleId="authors5">
    <w:name w:val="authors5"/>
    <w:basedOn w:val="DefaultParagraphFont"/>
    <w:uiPriority w:val="99"/>
    <w:rsid w:val="00136E5B"/>
    <w:rPr>
      <w:rFonts w:cs="Times New Roman"/>
    </w:rPr>
  </w:style>
  <w:style w:type="character" w:customStyle="1" w:styleId="highlightedsearchterm">
    <w:name w:val="highlightedsearchterm"/>
    <w:basedOn w:val="DefaultParagraphFont"/>
    <w:uiPriority w:val="99"/>
    <w:rsid w:val="00136E5B"/>
    <w:rPr>
      <w:rFonts w:cs="Times New Roman"/>
    </w:rPr>
  </w:style>
  <w:style w:type="character" w:customStyle="1" w:styleId="slug-pages">
    <w:name w:val="slug-pages"/>
    <w:basedOn w:val="DefaultParagraphFont"/>
    <w:uiPriority w:val="99"/>
    <w:rsid w:val="00136E5B"/>
    <w:rPr>
      <w:rFonts w:cs="Times New Roman"/>
    </w:rPr>
  </w:style>
  <w:style w:type="character" w:customStyle="1" w:styleId="cit-source">
    <w:name w:val="cit-source"/>
    <w:basedOn w:val="DefaultParagraphFont"/>
    <w:uiPriority w:val="99"/>
    <w:rsid w:val="00136E5B"/>
    <w:rPr>
      <w:rFonts w:cs="Times New Roman"/>
    </w:rPr>
  </w:style>
  <w:style w:type="character" w:customStyle="1" w:styleId="glossary1">
    <w:name w:val="glossary1"/>
    <w:basedOn w:val="DefaultParagraphFont"/>
    <w:uiPriority w:val="99"/>
    <w:rsid w:val="00136E5B"/>
    <w:rPr>
      <w:rFonts w:cs="Times New Roman"/>
      <w:shd w:val="clear" w:color="auto" w:fill="auto"/>
    </w:rPr>
  </w:style>
  <w:style w:type="character" w:customStyle="1" w:styleId="slug-pub-date3">
    <w:name w:val="slug-pub-date3"/>
    <w:basedOn w:val="DefaultParagraphFont"/>
    <w:uiPriority w:val="99"/>
    <w:rsid w:val="00136E5B"/>
    <w:rPr>
      <w:rFonts w:ascii="inherit" w:hAnsi="inherit" w:cs="Times New Roman"/>
      <w:b/>
      <w:bCs/>
      <w:bdr w:val="none" w:sz="0" w:space="0" w:color="auto" w:frame="1"/>
      <w:vertAlign w:val="baseline"/>
    </w:rPr>
  </w:style>
  <w:style w:type="character" w:customStyle="1" w:styleId="slug-vol">
    <w:name w:val="slug-vol"/>
    <w:basedOn w:val="DefaultParagraphFont"/>
    <w:rsid w:val="00136E5B"/>
    <w:rPr>
      <w:rFonts w:ascii="inherit" w:hAnsi="inherit" w:cs="Times New Roman"/>
      <w:bdr w:val="none" w:sz="0" w:space="0" w:color="auto" w:frame="1"/>
      <w:vertAlign w:val="baseline"/>
    </w:rPr>
  </w:style>
  <w:style w:type="character" w:customStyle="1" w:styleId="slug-issue">
    <w:name w:val="slug-issue"/>
    <w:basedOn w:val="DefaultParagraphFont"/>
    <w:rsid w:val="00136E5B"/>
    <w:rPr>
      <w:rFonts w:ascii="inherit" w:hAnsi="inherit" w:cs="Times New Roman"/>
      <w:bdr w:val="none" w:sz="0" w:space="0" w:color="auto" w:frame="1"/>
      <w:vertAlign w:val="baseline"/>
    </w:rPr>
  </w:style>
  <w:style w:type="character" w:customStyle="1" w:styleId="slug-pages3">
    <w:name w:val="slug-pages3"/>
    <w:basedOn w:val="DefaultParagraphFont"/>
    <w:uiPriority w:val="99"/>
    <w:rsid w:val="00136E5B"/>
    <w:rPr>
      <w:rFonts w:ascii="inherit" w:hAnsi="inherit" w:cs="Times New Roman"/>
      <w:b/>
      <w:bCs/>
      <w:bdr w:val="none" w:sz="0" w:space="0" w:color="auto" w:frame="1"/>
      <w:vertAlign w:val="baseline"/>
    </w:rPr>
  </w:style>
  <w:style w:type="paragraph" w:customStyle="1" w:styleId="title10">
    <w:name w:val="title1"/>
    <w:basedOn w:val="Normal"/>
    <w:rsid w:val="00136E5B"/>
    <w:pPr>
      <w:suppressAutoHyphens w:val="0"/>
    </w:pPr>
    <w:rPr>
      <w:rFonts w:eastAsia="Times New Roman"/>
      <w:sz w:val="27"/>
      <w:szCs w:val="27"/>
      <w:lang w:eastAsia="en-US"/>
    </w:rPr>
  </w:style>
  <w:style w:type="paragraph" w:customStyle="1" w:styleId="desc2">
    <w:name w:val="desc2"/>
    <w:basedOn w:val="Normal"/>
    <w:uiPriority w:val="99"/>
    <w:rsid w:val="00136E5B"/>
    <w:pPr>
      <w:suppressAutoHyphens w:val="0"/>
    </w:pPr>
    <w:rPr>
      <w:rFonts w:eastAsia="Times New Roman"/>
      <w:sz w:val="26"/>
      <w:szCs w:val="26"/>
      <w:lang w:eastAsia="en-US"/>
    </w:rPr>
  </w:style>
  <w:style w:type="paragraph" w:customStyle="1" w:styleId="details1">
    <w:name w:val="details1"/>
    <w:basedOn w:val="Normal"/>
    <w:uiPriority w:val="99"/>
    <w:rsid w:val="00136E5B"/>
    <w:pPr>
      <w:suppressAutoHyphens w:val="0"/>
    </w:pPr>
    <w:rPr>
      <w:rFonts w:eastAsia="Times New Roman"/>
      <w:sz w:val="22"/>
      <w:szCs w:val="22"/>
      <w:lang w:eastAsia="en-US"/>
    </w:rPr>
  </w:style>
  <w:style w:type="character" w:styleId="FollowedHyperlink">
    <w:name w:val="FollowedHyperlink"/>
    <w:basedOn w:val="DefaultParagraphFont"/>
    <w:uiPriority w:val="99"/>
    <w:semiHidden/>
    <w:locked/>
    <w:rsid w:val="00136E5B"/>
    <w:rPr>
      <w:rFonts w:cs="Times New Roman"/>
      <w:color w:val="800080"/>
      <w:u w:val="single"/>
    </w:rPr>
  </w:style>
  <w:style w:type="paragraph" w:customStyle="1" w:styleId="norm11">
    <w:name w:val="norm11"/>
    <w:basedOn w:val="Normal"/>
    <w:uiPriority w:val="99"/>
    <w:rsid w:val="00136E5B"/>
    <w:pPr>
      <w:suppressAutoHyphens w:val="0"/>
      <w:spacing w:before="240" w:after="240"/>
    </w:pPr>
    <w:rPr>
      <w:rFonts w:eastAsia="Times New Roman"/>
      <w:sz w:val="22"/>
      <w:szCs w:val="22"/>
      <w:lang w:eastAsia="en-US"/>
    </w:rPr>
  </w:style>
  <w:style w:type="character" w:customStyle="1" w:styleId="citation-abbreviation2">
    <w:name w:val="citation-abbreviation2"/>
    <w:basedOn w:val="DefaultParagraphFont"/>
    <w:rsid w:val="00362AE7"/>
  </w:style>
  <w:style w:type="character" w:customStyle="1" w:styleId="citation-publication-date">
    <w:name w:val="citation-publication-date"/>
    <w:basedOn w:val="DefaultParagraphFont"/>
    <w:rsid w:val="00362AE7"/>
  </w:style>
  <w:style w:type="character" w:customStyle="1" w:styleId="citation-volume">
    <w:name w:val="citation-volume"/>
    <w:basedOn w:val="DefaultParagraphFont"/>
    <w:rsid w:val="00362AE7"/>
  </w:style>
  <w:style w:type="character" w:customStyle="1" w:styleId="citation-issue">
    <w:name w:val="citation-issue"/>
    <w:basedOn w:val="DefaultParagraphFont"/>
    <w:rsid w:val="00362AE7"/>
  </w:style>
  <w:style w:type="character" w:customStyle="1" w:styleId="citation-flpages">
    <w:name w:val="citation-flpages"/>
    <w:basedOn w:val="DefaultParagraphFont"/>
    <w:rsid w:val="00362AE7"/>
  </w:style>
  <w:style w:type="character" w:customStyle="1" w:styleId="fm-citation-ids-label1">
    <w:name w:val="fm-citation-ids-label1"/>
    <w:rsid w:val="00362AE7"/>
    <w:rPr>
      <w:color w:val="333333"/>
    </w:rPr>
  </w:style>
  <w:style w:type="paragraph" w:customStyle="1" w:styleId="authors">
    <w:name w:val="authors"/>
    <w:basedOn w:val="Normal"/>
    <w:rsid w:val="00362AE7"/>
    <w:pPr>
      <w:suppressAutoHyphens w:val="0"/>
      <w:spacing w:before="100" w:beforeAutospacing="1" w:after="100" w:afterAutospacing="1"/>
    </w:pPr>
    <w:rPr>
      <w:rFonts w:eastAsia="Times New Roman"/>
      <w:lang w:eastAsia="en-US"/>
    </w:rPr>
  </w:style>
  <w:style w:type="character" w:customStyle="1" w:styleId="doi">
    <w:name w:val="doi"/>
    <w:basedOn w:val="DefaultParagraphFont"/>
    <w:rsid w:val="00362AE7"/>
  </w:style>
  <w:style w:type="character" w:customStyle="1" w:styleId="value">
    <w:name w:val="value"/>
    <w:basedOn w:val="DefaultParagraphFont"/>
    <w:rsid w:val="00362AE7"/>
  </w:style>
  <w:style w:type="character" w:customStyle="1" w:styleId="label1">
    <w:name w:val="label1"/>
    <w:basedOn w:val="DefaultParagraphFont"/>
    <w:rsid w:val="00362AE7"/>
  </w:style>
  <w:style w:type="paragraph" w:customStyle="1" w:styleId="articlecategory1">
    <w:name w:val="articlecategory1"/>
    <w:basedOn w:val="Normal"/>
    <w:rsid w:val="00362AE7"/>
    <w:pPr>
      <w:suppressAutoHyphens w:val="0"/>
      <w:spacing w:before="100" w:beforeAutospacing="1" w:after="100" w:afterAutospacing="1"/>
    </w:pPr>
    <w:rPr>
      <w:rFonts w:eastAsia="Times New Roman"/>
      <w:caps/>
      <w:lang w:eastAsia="en-US"/>
    </w:rPr>
  </w:style>
  <w:style w:type="character" w:customStyle="1" w:styleId="pagination">
    <w:name w:val="pagination"/>
    <w:basedOn w:val="DefaultParagraphFont"/>
    <w:rsid w:val="00362AE7"/>
  </w:style>
  <w:style w:type="character" w:customStyle="1" w:styleId="hit1">
    <w:name w:val="hit1"/>
    <w:rsid w:val="00362AE7"/>
    <w:rPr>
      <w:color w:val="5C5C5C"/>
      <w:sz w:val="19"/>
      <w:szCs w:val="19"/>
      <w:bdr w:val="none" w:sz="0" w:space="0" w:color="auto" w:frame="1"/>
      <w:shd w:val="clear" w:color="auto" w:fill="FFFFDD"/>
      <w:vertAlign w:val="baseline"/>
    </w:rPr>
  </w:style>
  <w:style w:type="character" w:customStyle="1" w:styleId="hit">
    <w:name w:val="hit"/>
    <w:rsid w:val="00362AE7"/>
    <w:rPr>
      <w:sz w:val="24"/>
      <w:szCs w:val="24"/>
      <w:bdr w:val="none" w:sz="0" w:space="0" w:color="auto" w:frame="1"/>
      <w:shd w:val="clear" w:color="auto" w:fill="FFFFDD"/>
      <w:vertAlign w:val="baseline"/>
    </w:rPr>
  </w:style>
  <w:style w:type="character" w:customStyle="1" w:styleId="mixed-citation">
    <w:name w:val="mixed-citation"/>
    <w:basedOn w:val="DefaultParagraphFont"/>
    <w:rsid w:val="00362AE7"/>
  </w:style>
  <w:style w:type="character" w:customStyle="1" w:styleId="ref-title">
    <w:name w:val="ref-title"/>
    <w:basedOn w:val="DefaultParagraphFont"/>
    <w:rsid w:val="00362AE7"/>
  </w:style>
  <w:style w:type="character" w:customStyle="1" w:styleId="label">
    <w:name w:val="label"/>
    <w:rsid w:val="00362AE7"/>
    <w:rPr>
      <w:sz w:val="24"/>
      <w:szCs w:val="24"/>
      <w:bdr w:val="none" w:sz="0" w:space="0" w:color="auto" w:frame="1"/>
      <w:vertAlign w:val="baseline"/>
    </w:rPr>
  </w:style>
  <w:style w:type="paragraph" w:customStyle="1" w:styleId="a2">
    <w:name w:val="سرد الفقرات"/>
    <w:basedOn w:val="Normal"/>
    <w:qFormat/>
    <w:rsid w:val="00362AE7"/>
    <w:pPr>
      <w:suppressAutoHyphens w:val="0"/>
      <w:autoSpaceDE w:val="0"/>
      <w:autoSpaceDN w:val="0"/>
      <w:adjustRightInd w:val="0"/>
      <w:spacing w:line="360" w:lineRule="auto"/>
      <w:ind w:left="720"/>
      <w:contextualSpacing/>
    </w:pPr>
    <w:rPr>
      <w:rFonts w:ascii="AdvTT9c26d28d" w:eastAsia="Calibri" w:hAnsi="AdvTT9c26d28d" w:cs="AdvTT9c26d28d"/>
      <w:b/>
      <w:bCs/>
      <w:i/>
      <w:iCs/>
      <w:color w:val="000000"/>
      <w:sz w:val="28"/>
      <w:szCs w:val="28"/>
      <w:lang w:eastAsia="en-US"/>
    </w:rPr>
  </w:style>
  <w:style w:type="character" w:customStyle="1" w:styleId="smallcaps">
    <w:name w:val="smallcaps"/>
    <w:basedOn w:val="DefaultParagraphFont"/>
    <w:rsid w:val="00362AE7"/>
    <w:rPr>
      <w:smallCaps/>
      <w:sz w:val="24"/>
      <w:szCs w:val="24"/>
      <w:bdr w:val="none" w:sz="0" w:space="0" w:color="auto" w:frame="1"/>
      <w:vertAlign w:val="baseline"/>
    </w:rPr>
  </w:style>
  <w:style w:type="character" w:customStyle="1" w:styleId="sehl">
    <w:name w:val="sehl"/>
    <w:basedOn w:val="DefaultParagraphFont"/>
    <w:rsid w:val="00362AE7"/>
  </w:style>
  <w:style w:type="paragraph" w:customStyle="1" w:styleId="journal-information">
    <w:name w:val="journal-information"/>
    <w:basedOn w:val="Normal"/>
    <w:rsid w:val="00362AE7"/>
    <w:pPr>
      <w:suppressAutoHyphens w:val="0"/>
      <w:spacing w:before="100" w:beforeAutospacing="1" w:after="100" w:afterAutospacing="1"/>
    </w:pPr>
    <w:rPr>
      <w:rFonts w:eastAsia="Times New Roman"/>
      <w:lang w:eastAsia="en-US"/>
    </w:rPr>
  </w:style>
  <w:style w:type="paragraph" w:customStyle="1" w:styleId="desc1">
    <w:name w:val="desc1"/>
    <w:basedOn w:val="Normal"/>
    <w:rsid w:val="00362AE7"/>
    <w:pPr>
      <w:suppressAutoHyphens w:val="0"/>
      <w:spacing w:before="100" w:beforeAutospacing="1" w:after="100" w:afterAutospacing="1"/>
    </w:pPr>
    <w:rPr>
      <w:rFonts w:eastAsia="Times New Roman"/>
      <w:sz w:val="28"/>
      <w:szCs w:val="28"/>
      <w:lang w:eastAsia="en-US"/>
    </w:rPr>
  </w:style>
  <w:style w:type="character" w:customStyle="1" w:styleId="citation-journal22">
    <w:name w:val="citation-journal22"/>
    <w:basedOn w:val="DefaultParagraphFont"/>
    <w:rsid w:val="00362AE7"/>
  </w:style>
  <w:style w:type="character" w:customStyle="1" w:styleId="name">
    <w:name w:val="name"/>
    <w:basedOn w:val="DefaultParagraphFont"/>
    <w:rsid w:val="00362AE7"/>
  </w:style>
  <w:style w:type="character" w:customStyle="1" w:styleId="site-title">
    <w:name w:val="site-title"/>
    <w:basedOn w:val="DefaultParagraphFont"/>
    <w:rsid w:val="00362AE7"/>
  </w:style>
  <w:style w:type="character" w:customStyle="1" w:styleId="cit-print-date">
    <w:name w:val="cit-print-date"/>
    <w:basedOn w:val="DefaultParagraphFont"/>
    <w:rsid w:val="00362AE7"/>
  </w:style>
  <w:style w:type="character" w:customStyle="1" w:styleId="cit-vol3">
    <w:name w:val="cit-vol3"/>
    <w:basedOn w:val="DefaultParagraphFont"/>
    <w:rsid w:val="00362AE7"/>
  </w:style>
  <w:style w:type="character" w:customStyle="1" w:styleId="cit-sepcit-sep-after-article-vol">
    <w:name w:val="cit-sep cit-sep-after-article-vol"/>
    <w:basedOn w:val="DefaultParagraphFont"/>
    <w:rsid w:val="00362AE7"/>
  </w:style>
  <w:style w:type="character" w:customStyle="1" w:styleId="cit-first-page">
    <w:name w:val="cit-first-page"/>
    <w:basedOn w:val="DefaultParagraphFont"/>
    <w:rsid w:val="00362AE7"/>
  </w:style>
  <w:style w:type="character" w:customStyle="1" w:styleId="cit-sep2">
    <w:name w:val="cit-sep2"/>
    <w:basedOn w:val="DefaultParagraphFont"/>
    <w:rsid w:val="00362AE7"/>
  </w:style>
  <w:style w:type="character" w:customStyle="1" w:styleId="cit-last-page2">
    <w:name w:val="cit-last-page2"/>
    <w:basedOn w:val="DefaultParagraphFont"/>
    <w:rsid w:val="00362AE7"/>
  </w:style>
  <w:style w:type="character" w:customStyle="1" w:styleId="catch1">
    <w:name w:val="catch1"/>
    <w:basedOn w:val="DefaultParagraphFont"/>
    <w:rsid w:val="00362AE7"/>
    <w:rPr>
      <w:rFonts w:ascii="Arial" w:hAnsi="Arial" w:cs="Arial" w:hint="default"/>
      <w:b/>
      <w:bCs/>
      <w:color w:val="00274B"/>
      <w:sz w:val="22"/>
      <w:szCs w:val="22"/>
    </w:rPr>
  </w:style>
  <w:style w:type="character" w:customStyle="1" w:styleId="textstyle11">
    <w:name w:val="textstyle11"/>
    <w:basedOn w:val="DefaultParagraphFont"/>
    <w:rsid w:val="00362AE7"/>
    <w:rPr>
      <w:rFonts w:ascii="Arial" w:hAnsi="Arial" w:cs="Arial" w:hint="default"/>
      <w:b w:val="0"/>
      <w:bCs w:val="0"/>
      <w:i w:val="0"/>
      <w:iCs w:val="0"/>
      <w:strike w:val="0"/>
      <w:dstrike w:val="0"/>
      <w:color w:val="000000"/>
      <w:sz w:val="24"/>
      <w:szCs w:val="24"/>
      <w:u w:val="none"/>
      <w:effect w:val="none"/>
    </w:rPr>
  </w:style>
  <w:style w:type="character" w:customStyle="1" w:styleId="text1">
    <w:name w:val="text1"/>
    <w:basedOn w:val="DefaultParagraphFont"/>
    <w:rsid w:val="003A29EE"/>
    <w:rPr>
      <w:rFonts w:ascii="Trebuchet MS" w:hAnsi="Trebuchet MS" w:hint="default"/>
      <w:b w:val="0"/>
      <w:bCs w:val="0"/>
      <w:color w:val="000000"/>
      <w:sz w:val="20"/>
      <w:szCs w:val="20"/>
    </w:rPr>
  </w:style>
  <w:style w:type="character" w:customStyle="1" w:styleId="italictext1">
    <w:name w:val="italictext1"/>
    <w:basedOn w:val="DefaultParagraphFont"/>
    <w:rsid w:val="003A29EE"/>
    <w:rPr>
      <w:rFonts w:ascii="Trebuchet MS" w:hAnsi="Trebuchet MS" w:hint="default"/>
      <w:b w:val="0"/>
      <w:bCs w:val="0"/>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yatabolfotoh@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teyatabolfotoh@yahoo.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2247-F876-42BF-A248-FFD83076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3403</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dc:creator>
  <cp:lastModifiedBy>Administrator</cp:lastModifiedBy>
  <cp:revision>8</cp:revision>
  <cp:lastPrinted>2012-10-26T01:07:00Z</cp:lastPrinted>
  <dcterms:created xsi:type="dcterms:W3CDTF">2012-10-25T02:59:00Z</dcterms:created>
  <dcterms:modified xsi:type="dcterms:W3CDTF">2012-10-26T01:08:00Z</dcterms:modified>
</cp:coreProperties>
</file>