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6C" w:rsidRPr="00DA1792" w:rsidRDefault="00D25D6C" w:rsidP="00D25D6C">
      <w:pPr>
        <w:tabs>
          <w:tab w:val="left" w:pos="1800"/>
        </w:tabs>
        <w:ind w:right="-45"/>
        <w:jc w:val="center"/>
        <w:rPr>
          <w:sz w:val="20"/>
          <w:szCs w:val="20"/>
        </w:rPr>
      </w:pPr>
      <w:r w:rsidRPr="00DA1792">
        <w:rPr>
          <w:b/>
          <w:sz w:val="20"/>
          <w:szCs w:val="20"/>
        </w:rPr>
        <w:t>Microbial Oxidation of Elemental Sulphur as a Means of Increasing Sulphate Availability and Combating Alkalinity in Soils</w:t>
      </w:r>
    </w:p>
    <w:p w:rsidR="00D25D6C" w:rsidRPr="00DA1792" w:rsidRDefault="00D25D6C" w:rsidP="00D25D6C">
      <w:pPr>
        <w:tabs>
          <w:tab w:val="left" w:pos="1800"/>
        </w:tabs>
        <w:ind w:right="-45"/>
        <w:jc w:val="center"/>
        <w:rPr>
          <w:sz w:val="20"/>
          <w:szCs w:val="20"/>
        </w:rPr>
      </w:pPr>
    </w:p>
    <w:p w:rsidR="00D25D6C" w:rsidRPr="00DA1792" w:rsidRDefault="00D25D6C" w:rsidP="00D25D6C">
      <w:pPr>
        <w:tabs>
          <w:tab w:val="left" w:pos="1800"/>
        </w:tabs>
        <w:ind w:right="-45"/>
        <w:jc w:val="center"/>
        <w:rPr>
          <w:sz w:val="20"/>
          <w:szCs w:val="20"/>
        </w:rPr>
      </w:pPr>
      <w:r w:rsidRPr="00DA1792">
        <w:rPr>
          <w:sz w:val="20"/>
          <w:szCs w:val="20"/>
        </w:rPr>
        <w:t>Chibuike, G. U., Agbim, N. N., and Asadu, C. L. A.</w:t>
      </w:r>
    </w:p>
    <w:p w:rsidR="00D25D6C" w:rsidRPr="00DA1792" w:rsidRDefault="00D25D6C" w:rsidP="00D25D6C">
      <w:pPr>
        <w:tabs>
          <w:tab w:val="left" w:pos="1800"/>
        </w:tabs>
        <w:ind w:right="-45"/>
        <w:jc w:val="center"/>
        <w:rPr>
          <w:b/>
          <w:sz w:val="20"/>
          <w:szCs w:val="20"/>
        </w:rPr>
      </w:pPr>
    </w:p>
    <w:p w:rsidR="00D25D6C" w:rsidRPr="00DA1792" w:rsidRDefault="00D25D6C" w:rsidP="00D25D6C">
      <w:pPr>
        <w:tabs>
          <w:tab w:val="left" w:pos="1800"/>
        </w:tabs>
        <w:ind w:right="-45"/>
        <w:jc w:val="center"/>
        <w:rPr>
          <w:sz w:val="20"/>
          <w:szCs w:val="20"/>
        </w:rPr>
      </w:pPr>
      <w:r w:rsidRPr="00DA1792">
        <w:rPr>
          <w:sz w:val="20"/>
          <w:szCs w:val="20"/>
        </w:rPr>
        <w:t>Department of Soil Science, University of Nigeria, Nsukka, Nigeria.</w:t>
      </w:r>
    </w:p>
    <w:p w:rsidR="00D25D6C" w:rsidRPr="00DA1792" w:rsidRDefault="00D25D6C" w:rsidP="00D25D6C">
      <w:pPr>
        <w:tabs>
          <w:tab w:val="left" w:pos="1800"/>
        </w:tabs>
        <w:ind w:right="-46"/>
        <w:jc w:val="center"/>
        <w:rPr>
          <w:sz w:val="20"/>
          <w:szCs w:val="20"/>
        </w:rPr>
      </w:pPr>
      <w:r w:rsidRPr="00DA1792">
        <w:rPr>
          <w:sz w:val="20"/>
          <w:szCs w:val="20"/>
        </w:rPr>
        <w:t xml:space="preserve">Corresponding Author: Chibuike, G. U. </w:t>
      </w:r>
      <w:hyperlink r:id="rId7" w:history="1">
        <w:r w:rsidRPr="00DA1792">
          <w:rPr>
            <w:rStyle w:val="Hyperlink"/>
            <w:sz w:val="20"/>
            <w:szCs w:val="20"/>
          </w:rPr>
          <w:t>chibuikeg@yahoo.com</w:t>
        </w:r>
      </w:hyperlink>
      <w:r w:rsidRPr="00DA1792">
        <w:rPr>
          <w:sz w:val="20"/>
          <w:szCs w:val="20"/>
        </w:rPr>
        <w:t xml:space="preserve"> </w:t>
      </w:r>
    </w:p>
    <w:p w:rsidR="00D25D6C" w:rsidRPr="00DA1792" w:rsidRDefault="00D25D6C" w:rsidP="00D25D6C">
      <w:pPr>
        <w:tabs>
          <w:tab w:val="left" w:pos="1800"/>
        </w:tabs>
        <w:ind w:right="-46"/>
        <w:jc w:val="both"/>
        <w:rPr>
          <w:b/>
          <w:sz w:val="20"/>
          <w:szCs w:val="20"/>
        </w:rPr>
      </w:pPr>
    </w:p>
    <w:p w:rsidR="00D25D6C" w:rsidRPr="00DA1792" w:rsidRDefault="00D25D6C" w:rsidP="00D25D6C">
      <w:pPr>
        <w:tabs>
          <w:tab w:val="left" w:pos="1800"/>
        </w:tabs>
        <w:ind w:right="-46"/>
        <w:jc w:val="both"/>
        <w:rPr>
          <w:rFonts w:eastAsiaTheme="minorEastAsia"/>
          <w:sz w:val="20"/>
          <w:szCs w:val="20"/>
          <w:lang w:eastAsia="zh-CN"/>
        </w:rPr>
      </w:pPr>
      <w:r w:rsidRPr="00DA1792">
        <w:rPr>
          <w:b/>
          <w:sz w:val="20"/>
          <w:szCs w:val="20"/>
        </w:rPr>
        <w:t xml:space="preserve">Abstract: </w:t>
      </w:r>
      <w:r w:rsidRPr="00DA1792">
        <w:rPr>
          <w:sz w:val="20"/>
          <w:szCs w:val="20"/>
        </w:rPr>
        <w:t xml:space="preserve">Microbial oxidation of elemental sulphur was studied using three different soils and three different organic materials in order to assess sulphate production. The three soils were either amended with only elemental sulphur or with elemental sulphur and one of the organic materials at any of two different rates (5% and 20%). The experiment was laid out in a 3 x 3 x 8 Factorial in Completely Randomized Design and the treatments were replicated three times. They were brought to their field capacities and incubated at room temperature. At the end of each incubation period, a set of the treatment was sampled and analysed for the amount of sulphate formed. The change in pH in the various samples was also measured. The net sulphate formed increased significantly (P </w:t>
      </w:r>
      <w:r w:rsidRPr="00DA1792">
        <w:rPr>
          <w:sz w:val="20"/>
          <w:szCs w:val="20"/>
          <w:u w:val="single"/>
        </w:rPr>
        <w:t>&lt;</w:t>
      </w:r>
      <w:r w:rsidRPr="00DA1792">
        <w:rPr>
          <w:sz w:val="20"/>
          <w:szCs w:val="20"/>
        </w:rPr>
        <w:t xml:space="preserve"> 0.05) with increases in incubation period in each of the three soils. The treatments amended with organic materials significantly produced more sulphate with time compared with the treatments without organic amendments. Higher rates (20%) of each organic material were significantly better than their lower rates (5%) with the plantain peels treatments producing the highest amounts of sulphates than the other organic materials in all the soils. Loam soil was significantly better than the other two soils in terms of sulphate formation with time while sandy soil produced the least amount of sulphate with time. The change in pH decreased significantly (P </w:t>
      </w:r>
      <w:r w:rsidRPr="00DA1792">
        <w:rPr>
          <w:sz w:val="20"/>
          <w:szCs w:val="20"/>
          <w:u w:val="single"/>
        </w:rPr>
        <w:t>&lt;</w:t>
      </w:r>
      <w:r w:rsidRPr="00DA1792">
        <w:rPr>
          <w:sz w:val="20"/>
          <w:szCs w:val="20"/>
        </w:rPr>
        <w:t xml:space="preserve"> 0.05) with increases in incubation period for all the treatments. Loam soil samples showed the greatest amounts of pH reduction with time. Soils amended with organic materials also showed higher amounts of pH reduction than the soils without additional organic materials. Microbial oxidation of elemental sulphur using appropriate organic materials such as plantain peels is therefore recommended as a means of ameliorating sulphur deficiency and alkalinity in soils.</w:t>
      </w:r>
    </w:p>
    <w:p w:rsidR="00D25D6C" w:rsidRPr="00DA1792" w:rsidRDefault="00D25D6C" w:rsidP="00D25D6C">
      <w:pPr>
        <w:jc w:val="both"/>
        <w:rPr>
          <w:rFonts w:eastAsiaTheme="minorEastAsia"/>
          <w:sz w:val="20"/>
          <w:szCs w:val="20"/>
          <w:lang w:eastAsia="zh-CN"/>
        </w:rPr>
      </w:pPr>
      <w:r w:rsidRPr="00DA1792">
        <w:rPr>
          <w:b/>
          <w:sz w:val="20"/>
          <w:szCs w:val="20"/>
        </w:rPr>
        <w:t>[</w:t>
      </w:r>
      <w:r w:rsidRPr="00DA1792">
        <w:rPr>
          <w:sz w:val="20"/>
          <w:szCs w:val="20"/>
        </w:rPr>
        <w:t xml:space="preserve">Chibuike, G. U., Agbim, N. N., and Asadu, C. L. A. </w:t>
      </w:r>
      <w:r w:rsidRPr="00DA1792">
        <w:rPr>
          <w:b/>
          <w:sz w:val="20"/>
          <w:szCs w:val="20"/>
        </w:rPr>
        <w:t>Microbial Oxidation of Elemental Sulphur as a Means of Increasing Sulphate Availability and Combating Alkalinity in Soils.</w:t>
      </w:r>
      <w:r w:rsidRPr="00DA1792">
        <w:rPr>
          <w:bCs/>
          <w:i/>
          <w:sz w:val="20"/>
          <w:szCs w:val="20"/>
        </w:rPr>
        <w:t xml:space="preserve"> Nat</w:t>
      </w:r>
      <w:r w:rsidRPr="00DA1792">
        <w:rPr>
          <w:rFonts w:eastAsiaTheme="minorEastAsia"/>
          <w:bCs/>
          <w:i/>
          <w:sz w:val="20"/>
          <w:szCs w:val="20"/>
          <w:lang w:eastAsia="zh-CN"/>
        </w:rPr>
        <w:t xml:space="preserve"> </w:t>
      </w:r>
      <w:r w:rsidRPr="00DA1792">
        <w:rPr>
          <w:bCs/>
          <w:i/>
          <w:sz w:val="20"/>
          <w:szCs w:val="20"/>
        </w:rPr>
        <w:t>Sci</w:t>
      </w:r>
      <w:r w:rsidRPr="00DA1792">
        <w:rPr>
          <w:bCs/>
          <w:sz w:val="20"/>
          <w:szCs w:val="20"/>
        </w:rPr>
        <w:t xml:space="preserve"> 201</w:t>
      </w:r>
      <w:r w:rsidRPr="00DA1792">
        <w:rPr>
          <w:bCs/>
          <w:sz w:val="20"/>
          <w:szCs w:val="20"/>
          <w:lang w:eastAsia="zh-CN"/>
        </w:rPr>
        <w:t>2</w:t>
      </w:r>
      <w:r w:rsidRPr="00DA1792">
        <w:rPr>
          <w:bCs/>
          <w:sz w:val="20"/>
          <w:szCs w:val="20"/>
        </w:rPr>
        <w:t>;</w:t>
      </w:r>
      <w:r w:rsidRPr="00DA1792">
        <w:rPr>
          <w:bCs/>
          <w:sz w:val="20"/>
          <w:szCs w:val="20"/>
          <w:lang w:eastAsia="zh-CN"/>
        </w:rPr>
        <w:t>10</w:t>
      </w:r>
      <w:r w:rsidRPr="00DA1792">
        <w:rPr>
          <w:bCs/>
          <w:sz w:val="20"/>
          <w:szCs w:val="20"/>
        </w:rPr>
        <w:t>(</w:t>
      </w:r>
      <w:r w:rsidRPr="00DA1792">
        <w:rPr>
          <w:rFonts w:eastAsiaTheme="minorEastAsia"/>
          <w:bCs/>
          <w:sz w:val="20"/>
          <w:szCs w:val="20"/>
          <w:lang w:eastAsia="zh-CN"/>
        </w:rPr>
        <w:t>11</w:t>
      </w:r>
      <w:r w:rsidRPr="00DA1792">
        <w:rPr>
          <w:bCs/>
          <w:sz w:val="20"/>
          <w:szCs w:val="20"/>
        </w:rPr>
        <w:t>):176</w:t>
      </w:r>
      <w:r w:rsidRPr="00DA1792">
        <w:rPr>
          <w:rFonts w:eastAsiaTheme="minorEastAsia"/>
          <w:bCs/>
          <w:sz w:val="20"/>
          <w:szCs w:val="20"/>
          <w:lang w:eastAsia="zh-CN"/>
        </w:rPr>
        <w:t>-181</w:t>
      </w:r>
      <w:r w:rsidRPr="00DA1792">
        <w:rPr>
          <w:bCs/>
          <w:sz w:val="20"/>
          <w:szCs w:val="20"/>
        </w:rPr>
        <w:t xml:space="preserve">]. (ISSN: 1545-0740). </w:t>
      </w:r>
      <w:hyperlink r:id="rId8" w:history="1">
        <w:r w:rsidRPr="00DA1792">
          <w:rPr>
            <w:rStyle w:val="Hyperlink"/>
            <w:bCs/>
            <w:sz w:val="20"/>
            <w:szCs w:val="20"/>
          </w:rPr>
          <w:t>http://www.sciencepub.net</w:t>
        </w:r>
        <w:r w:rsidRPr="00DA1792">
          <w:rPr>
            <w:rStyle w:val="Hyperlink"/>
            <w:rFonts w:eastAsiaTheme="minorEastAsia"/>
            <w:sz w:val="20"/>
            <w:szCs w:val="20"/>
            <w:lang w:eastAsia="zh-CN"/>
          </w:rPr>
          <w:t>/nature</w:t>
        </w:r>
      </w:hyperlink>
      <w:r w:rsidRPr="00DA1792">
        <w:rPr>
          <w:bCs/>
          <w:color w:val="0000FF"/>
          <w:sz w:val="20"/>
          <w:szCs w:val="20"/>
          <w:lang w:eastAsia="zh-CN"/>
        </w:rPr>
        <w:t>. 26</w:t>
      </w:r>
    </w:p>
    <w:p w:rsidR="00D25D6C" w:rsidRPr="00DA1792" w:rsidRDefault="00D25D6C" w:rsidP="00D25D6C">
      <w:pPr>
        <w:jc w:val="both"/>
        <w:rPr>
          <w:sz w:val="20"/>
          <w:szCs w:val="20"/>
        </w:rPr>
      </w:pPr>
    </w:p>
    <w:p w:rsidR="00D25D6C" w:rsidRPr="00DA1792" w:rsidRDefault="00D25D6C" w:rsidP="00D25D6C">
      <w:pPr>
        <w:tabs>
          <w:tab w:val="left" w:pos="1800"/>
        </w:tabs>
        <w:ind w:right="-46"/>
        <w:jc w:val="both"/>
        <w:rPr>
          <w:sz w:val="20"/>
          <w:szCs w:val="20"/>
        </w:rPr>
      </w:pPr>
      <w:r w:rsidRPr="00DA1792">
        <w:rPr>
          <w:b/>
          <w:sz w:val="20"/>
          <w:szCs w:val="20"/>
        </w:rPr>
        <w:t xml:space="preserve">Keywords: </w:t>
      </w:r>
      <w:r w:rsidRPr="00DA1792">
        <w:rPr>
          <w:sz w:val="20"/>
          <w:szCs w:val="20"/>
        </w:rPr>
        <w:t>microbial oxidation, elemental sulphur, sandy soil, loamy soils, organic materials.</w:t>
      </w:r>
      <w:r w:rsidRPr="00DA1792">
        <w:rPr>
          <w:b/>
          <w:sz w:val="20"/>
          <w:szCs w:val="20"/>
        </w:rPr>
        <w:t xml:space="preserve"> </w:t>
      </w:r>
    </w:p>
    <w:p w:rsidR="00D25D6C" w:rsidRPr="00DA1792" w:rsidRDefault="00D25D6C" w:rsidP="00D25D6C">
      <w:pPr>
        <w:tabs>
          <w:tab w:val="left" w:pos="1800"/>
        </w:tabs>
        <w:ind w:right="-46"/>
        <w:jc w:val="both"/>
        <w:rPr>
          <w:b/>
          <w:sz w:val="20"/>
          <w:szCs w:val="20"/>
        </w:rPr>
      </w:pPr>
      <w:r w:rsidRPr="00DA1792">
        <w:rPr>
          <w:b/>
          <w:sz w:val="20"/>
          <w:szCs w:val="20"/>
        </w:rPr>
        <w:t xml:space="preserve"> </w:t>
      </w:r>
    </w:p>
    <w:p w:rsidR="00D25D6C" w:rsidRPr="00DA1792" w:rsidRDefault="00D25D6C" w:rsidP="00D25D6C">
      <w:pPr>
        <w:tabs>
          <w:tab w:val="left" w:pos="1800"/>
        </w:tabs>
        <w:ind w:right="-46"/>
        <w:jc w:val="both"/>
        <w:rPr>
          <w:b/>
          <w:sz w:val="20"/>
          <w:szCs w:val="20"/>
        </w:rPr>
        <w:sectPr w:rsidR="00D25D6C" w:rsidRPr="00DA1792" w:rsidSect="00D25D6C">
          <w:headerReference w:type="even" r:id="rId9"/>
          <w:headerReference w:type="default" r:id="rId10"/>
          <w:footerReference w:type="default" r:id="rId11"/>
          <w:type w:val="continuous"/>
          <w:pgSz w:w="12240" w:h="15840" w:code="1"/>
          <w:pgMar w:top="1440" w:right="1440" w:bottom="1440" w:left="1440" w:header="720" w:footer="720" w:gutter="0"/>
          <w:pgNumType w:start="176"/>
          <w:cols w:space="708"/>
          <w:docGrid w:linePitch="360"/>
        </w:sectPr>
      </w:pPr>
    </w:p>
    <w:p w:rsidR="00D25D6C" w:rsidRPr="00DA1792" w:rsidRDefault="00D25D6C" w:rsidP="00D25D6C">
      <w:pPr>
        <w:tabs>
          <w:tab w:val="left" w:pos="1800"/>
        </w:tabs>
        <w:ind w:right="-46"/>
        <w:jc w:val="both"/>
        <w:rPr>
          <w:b/>
          <w:sz w:val="20"/>
          <w:szCs w:val="20"/>
        </w:rPr>
      </w:pPr>
      <w:r w:rsidRPr="00DA1792">
        <w:rPr>
          <w:b/>
          <w:sz w:val="20"/>
          <w:szCs w:val="20"/>
        </w:rPr>
        <w:lastRenderedPageBreak/>
        <w:t>1. Introduction</w:t>
      </w:r>
    </w:p>
    <w:p w:rsidR="00D25D6C" w:rsidRPr="00DA1792" w:rsidRDefault="00D25D6C" w:rsidP="00D25D6C">
      <w:pPr>
        <w:tabs>
          <w:tab w:val="left" w:pos="720"/>
          <w:tab w:val="left" w:pos="1800"/>
        </w:tabs>
        <w:ind w:right="-46" w:firstLineChars="213" w:firstLine="426"/>
        <w:jc w:val="both"/>
        <w:rPr>
          <w:sz w:val="20"/>
          <w:szCs w:val="20"/>
        </w:rPr>
      </w:pPr>
      <w:r w:rsidRPr="00DA1792">
        <w:rPr>
          <w:sz w:val="20"/>
          <w:szCs w:val="20"/>
        </w:rPr>
        <w:t xml:space="preserve">Sulphur is one of the essential elements needed for the proper growth and development of plants. It is immobile in plants and being a constituent of proteins, it is vital for the synthesis of the sulphur-containing amino acids - cysteine, cystine and methionine. The amino acids are indicators of the protein quality of plant produce. Leguminous crops and crops like cabbage and onion that have distinctive flavour and aroma require large amounts of sulphur since it is an essential element in aromatic oils (Vidyalakshmi </w:t>
      </w:r>
      <w:r w:rsidRPr="00DA1792">
        <w:rPr>
          <w:i/>
          <w:sz w:val="20"/>
          <w:szCs w:val="20"/>
        </w:rPr>
        <w:t>et al</w:t>
      </w:r>
      <w:r w:rsidRPr="00DA1792">
        <w:rPr>
          <w:sz w:val="20"/>
          <w:szCs w:val="20"/>
        </w:rPr>
        <w:t xml:space="preserve">., 2009). In addition, elemental sulphur (sulphur in its simplest form) had long been found to control a disease of potato called potato scab caused by </w:t>
      </w:r>
      <w:r w:rsidRPr="00DA1792">
        <w:rPr>
          <w:i/>
          <w:sz w:val="20"/>
          <w:szCs w:val="20"/>
        </w:rPr>
        <w:t>Streptomyces scabies.</w:t>
      </w:r>
      <w:r w:rsidRPr="00DA1792">
        <w:rPr>
          <w:sz w:val="20"/>
          <w:szCs w:val="20"/>
        </w:rPr>
        <w:t xml:space="preserve"> It does this by lowering the soil pH thus making the environment unfavourable for the growth of the organism (Hooker and Kent, 1950; Vlitos and Hooker, 1951). </w:t>
      </w:r>
    </w:p>
    <w:p w:rsidR="00D25D6C" w:rsidRPr="00DA1792" w:rsidRDefault="00D25D6C" w:rsidP="00D25D6C">
      <w:pPr>
        <w:tabs>
          <w:tab w:val="left" w:pos="567"/>
          <w:tab w:val="left" w:pos="720"/>
          <w:tab w:val="left" w:pos="851"/>
          <w:tab w:val="left" w:pos="1800"/>
        </w:tabs>
        <w:ind w:right="-46" w:firstLineChars="213" w:firstLine="426"/>
        <w:jc w:val="both"/>
        <w:rPr>
          <w:sz w:val="20"/>
          <w:szCs w:val="20"/>
        </w:rPr>
      </w:pPr>
      <w:r w:rsidRPr="00DA1792">
        <w:rPr>
          <w:sz w:val="20"/>
          <w:szCs w:val="20"/>
        </w:rPr>
        <w:t xml:space="preserve">Sulphur is usually found in small quantities in soils. In areas close to industrial centres, sufficient sulphur to nourish crops is brought down from the atmosphere by rain and snow (Millar </w:t>
      </w:r>
      <w:r w:rsidRPr="00DA1792">
        <w:rPr>
          <w:i/>
          <w:sz w:val="20"/>
          <w:szCs w:val="20"/>
        </w:rPr>
        <w:t>et al.</w:t>
      </w:r>
      <w:r w:rsidRPr="00DA1792">
        <w:rPr>
          <w:sz w:val="20"/>
          <w:szCs w:val="20"/>
        </w:rPr>
        <w:t xml:space="preserve">, 1962). Hence, deficiency of sulphur is rare in such areas. However, in countries where bush burning is common, for instance in the savannah belts of Nigeria </w:t>
      </w:r>
      <w:r w:rsidRPr="00DA1792">
        <w:rPr>
          <w:sz w:val="20"/>
          <w:szCs w:val="20"/>
        </w:rPr>
        <w:lastRenderedPageBreak/>
        <w:t xml:space="preserve">and Ghana sulphur deficiency has been recorded (Enwezor, 1976; Kang </w:t>
      </w:r>
      <w:r w:rsidRPr="00DA1792">
        <w:rPr>
          <w:i/>
          <w:sz w:val="20"/>
          <w:szCs w:val="20"/>
        </w:rPr>
        <w:t>et al</w:t>
      </w:r>
      <w:r w:rsidRPr="00DA1792">
        <w:rPr>
          <w:sz w:val="20"/>
          <w:szCs w:val="20"/>
        </w:rPr>
        <w:t xml:space="preserve">., 1981; Acquaye and Beringer, 1989). Therefore to ameliorate this condition, inorganic fertilizer such as ammonium sulphate, single super phosphate, elemental sulphur and several other fertilizers and fertilizer ingredients containing sulphur are added to the soil. Soil dressing with organic manures that contain appreciable quantities of sulphur originating from the sulphur-containing amino acids of animal and vegetable proteins is also a common practice. </w:t>
      </w:r>
    </w:p>
    <w:p w:rsidR="00D25D6C" w:rsidRPr="00DA1792" w:rsidRDefault="00D25D6C" w:rsidP="00D25D6C">
      <w:pPr>
        <w:tabs>
          <w:tab w:val="left" w:pos="567"/>
          <w:tab w:val="left" w:pos="851"/>
          <w:tab w:val="left" w:pos="1800"/>
        </w:tabs>
        <w:ind w:right="-46" w:firstLineChars="213" w:firstLine="426"/>
        <w:jc w:val="both"/>
        <w:rPr>
          <w:sz w:val="20"/>
          <w:szCs w:val="20"/>
        </w:rPr>
      </w:pPr>
      <w:r w:rsidRPr="00DA1792">
        <w:rPr>
          <w:sz w:val="20"/>
          <w:szCs w:val="20"/>
        </w:rPr>
        <w:t xml:space="preserve">Studies have shown that the existence of nutrient elements in the soil in their right form and proportion is more important than the mere presence of these elements in the soil (Anyanwu </w:t>
      </w:r>
      <w:r w:rsidRPr="00DA1792">
        <w:rPr>
          <w:i/>
          <w:sz w:val="20"/>
          <w:szCs w:val="20"/>
        </w:rPr>
        <w:t>et al.,</w:t>
      </w:r>
      <w:r w:rsidRPr="00DA1792">
        <w:rPr>
          <w:sz w:val="20"/>
          <w:szCs w:val="20"/>
        </w:rPr>
        <w:t xml:space="preserve"> 1969). Plants do not directly make use of sulphur. Thus, it must be oxidized to sulphate in order to provide plant-available sulphur. Oxidation of sulphur or sulphides is carried out by a number of gram negative bacteria of the genera</w:t>
      </w:r>
      <w:r w:rsidRPr="00DA1792">
        <w:rPr>
          <w:i/>
          <w:sz w:val="20"/>
          <w:szCs w:val="20"/>
        </w:rPr>
        <w:t xml:space="preserve"> Thiobacillus, Thiomicrospora, Thiospaera</w:t>
      </w:r>
      <w:r w:rsidRPr="00DA1792">
        <w:rPr>
          <w:sz w:val="20"/>
          <w:szCs w:val="20"/>
        </w:rPr>
        <w:t xml:space="preserve"> and </w:t>
      </w:r>
      <w:r w:rsidRPr="00DA1792">
        <w:rPr>
          <w:i/>
          <w:sz w:val="20"/>
          <w:szCs w:val="20"/>
        </w:rPr>
        <w:t>Sulfolobus</w:t>
      </w:r>
      <w:r w:rsidRPr="00DA1792">
        <w:rPr>
          <w:sz w:val="20"/>
          <w:szCs w:val="20"/>
        </w:rPr>
        <w:t xml:space="preserve">. However, other heterotrophs like </w:t>
      </w:r>
      <w:r w:rsidRPr="00DA1792">
        <w:rPr>
          <w:i/>
          <w:sz w:val="20"/>
          <w:szCs w:val="20"/>
        </w:rPr>
        <w:t>Paracoccus, Xanthobacter, Alcaligens</w:t>
      </w:r>
      <w:r w:rsidRPr="00DA1792">
        <w:rPr>
          <w:sz w:val="20"/>
          <w:szCs w:val="20"/>
        </w:rPr>
        <w:t xml:space="preserve"> and </w:t>
      </w:r>
      <w:r w:rsidRPr="00DA1792">
        <w:rPr>
          <w:i/>
          <w:sz w:val="20"/>
          <w:szCs w:val="20"/>
        </w:rPr>
        <w:t>Pseudomonas</w:t>
      </w:r>
      <w:r w:rsidRPr="00DA1792">
        <w:rPr>
          <w:sz w:val="20"/>
          <w:szCs w:val="20"/>
        </w:rPr>
        <w:t xml:space="preserve"> can also oxidize sulphur (Kuenen and Beudeker 1982; Vidyalakshmi </w:t>
      </w:r>
      <w:r w:rsidRPr="00DA1792">
        <w:rPr>
          <w:i/>
          <w:sz w:val="20"/>
          <w:szCs w:val="20"/>
        </w:rPr>
        <w:t xml:space="preserve">et al., </w:t>
      </w:r>
      <w:r w:rsidRPr="00DA1792">
        <w:rPr>
          <w:sz w:val="20"/>
          <w:szCs w:val="20"/>
        </w:rPr>
        <w:t xml:space="preserve">2009). All these bacteria produce sulphuric acid (hydrogen ions and </w:t>
      </w:r>
      <w:r w:rsidRPr="00DA1792">
        <w:rPr>
          <w:sz w:val="20"/>
          <w:szCs w:val="20"/>
        </w:rPr>
        <w:lastRenderedPageBreak/>
        <w:t xml:space="preserve">sulphate ions) as a metabolic product (Trudinger, 1971). The most significant of these bacteria is of the genus </w:t>
      </w:r>
      <w:r w:rsidRPr="00DA1792">
        <w:rPr>
          <w:i/>
          <w:sz w:val="20"/>
          <w:szCs w:val="20"/>
        </w:rPr>
        <w:t xml:space="preserve">Thiobacillus </w:t>
      </w:r>
      <w:r w:rsidRPr="00DA1792">
        <w:rPr>
          <w:sz w:val="20"/>
          <w:szCs w:val="20"/>
        </w:rPr>
        <w:t>of which</w:t>
      </w:r>
      <w:r w:rsidRPr="00DA1792">
        <w:rPr>
          <w:i/>
          <w:sz w:val="20"/>
          <w:szCs w:val="20"/>
        </w:rPr>
        <w:t xml:space="preserve"> Thiobacillus thiooxidans </w:t>
      </w:r>
      <w:r w:rsidRPr="00DA1792">
        <w:rPr>
          <w:sz w:val="20"/>
          <w:szCs w:val="20"/>
        </w:rPr>
        <w:t xml:space="preserve">is considered the most significant species (Swaby and Fedel, 1973). Organic materials especially green manures when added to soils increase the sulphur oxidation process as they serve as the major source of energy for the heterotrophic micro-organisms present in soils (Tisdale and Nelson, 1966; Brady, 1974; Wainwright </w:t>
      </w:r>
      <w:r w:rsidRPr="00DA1792">
        <w:rPr>
          <w:i/>
          <w:sz w:val="20"/>
          <w:szCs w:val="20"/>
        </w:rPr>
        <w:t>et al</w:t>
      </w:r>
      <w:r w:rsidRPr="00DA1792">
        <w:rPr>
          <w:sz w:val="20"/>
          <w:szCs w:val="20"/>
        </w:rPr>
        <w:t xml:space="preserve">.,1986). </w:t>
      </w:r>
    </w:p>
    <w:p w:rsidR="00D25D6C" w:rsidRPr="00DA1792" w:rsidRDefault="00D25D6C" w:rsidP="00D25D6C">
      <w:pPr>
        <w:tabs>
          <w:tab w:val="left" w:pos="567"/>
          <w:tab w:val="left" w:pos="851"/>
          <w:tab w:val="left" w:pos="1800"/>
        </w:tabs>
        <w:ind w:right="-46" w:firstLineChars="213" w:firstLine="426"/>
        <w:jc w:val="both"/>
        <w:rPr>
          <w:sz w:val="20"/>
          <w:szCs w:val="20"/>
        </w:rPr>
      </w:pPr>
      <w:r w:rsidRPr="00DA1792">
        <w:rPr>
          <w:sz w:val="20"/>
          <w:szCs w:val="20"/>
        </w:rPr>
        <w:t xml:space="preserve">The oxidation of elemental sulphur to sulphate results in acidification of the soil. The acid produced from the oxidation process helps in reducing the alkalinity of alkaline soils (Cox and Koenig, 2010). This favours the growth and development of certain acid tolerant crops such as rice (Chapman, 1980; Moore </w:t>
      </w:r>
      <w:r w:rsidRPr="00DA1792">
        <w:rPr>
          <w:i/>
          <w:sz w:val="20"/>
          <w:szCs w:val="20"/>
        </w:rPr>
        <w:t>et al</w:t>
      </w:r>
      <w:r w:rsidRPr="00DA1792">
        <w:rPr>
          <w:sz w:val="20"/>
          <w:szCs w:val="20"/>
        </w:rPr>
        <w:t xml:space="preserve">., 1994; Slaton </w:t>
      </w:r>
      <w:r w:rsidRPr="00DA1792">
        <w:rPr>
          <w:i/>
          <w:sz w:val="20"/>
          <w:szCs w:val="20"/>
        </w:rPr>
        <w:t>et al.,</w:t>
      </w:r>
      <w:r w:rsidRPr="00DA1792">
        <w:rPr>
          <w:sz w:val="20"/>
          <w:szCs w:val="20"/>
        </w:rPr>
        <w:t xml:space="preserve"> 1998; Slaton </w:t>
      </w:r>
      <w:r w:rsidRPr="00DA1792">
        <w:rPr>
          <w:i/>
          <w:sz w:val="20"/>
          <w:szCs w:val="20"/>
        </w:rPr>
        <w:t>et al</w:t>
      </w:r>
      <w:r w:rsidRPr="00DA1792">
        <w:rPr>
          <w:sz w:val="20"/>
          <w:szCs w:val="20"/>
        </w:rPr>
        <w:t xml:space="preserve">., 2001). Other crops like cashew and tobacco that grow well on acid soils may also be favoured by this acidification process. </w:t>
      </w:r>
    </w:p>
    <w:p w:rsidR="00D25D6C" w:rsidRPr="00DA1792" w:rsidRDefault="00D25D6C" w:rsidP="00D25D6C">
      <w:pPr>
        <w:tabs>
          <w:tab w:val="left" w:pos="567"/>
          <w:tab w:val="left" w:pos="851"/>
          <w:tab w:val="left" w:pos="1800"/>
        </w:tabs>
        <w:ind w:right="-46" w:firstLineChars="213" w:firstLine="426"/>
        <w:jc w:val="both"/>
        <w:rPr>
          <w:sz w:val="20"/>
          <w:szCs w:val="20"/>
        </w:rPr>
      </w:pPr>
      <w:r w:rsidRPr="00DA1792">
        <w:rPr>
          <w:sz w:val="20"/>
          <w:szCs w:val="20"/>
        </w:rPr>
        <w:t>Earlier studies outlined above, indicate that the microbial oxidation of elemental sulphur in soils is of great importance since it not only enables the plants to make use of sulphur in the right form and proportion but it also corrects soil alkalinity. However, comparative studies of textural variations, plantain and yam peels as well as spear grass are rare in literature. Therefore, the objectives of the study were to assess sulphate production in sandy and loamy soils amended with three organic materials and also to determine the effect of this production on soil pH.</w:t>
      </w:r>
    </w:p>
    <w:p w:rsidR="00D25D6C" w:rsidRPr="00DA1792" w:rsidRDefault="00D25D6C" w:rsidP="00D25D6C">
      <w:pPr>
        <w:tabs>
          <w:tab w:val="left" w:pos="567"/>
          <w:tab w:val="left" w:pos="851"/>
          <w:tab w:val="left" w:pos="1800"/>
        </w:tabs>
        <w:ind w:right="-46" w:firstLineChars="213" w:firstLine="426"/>
        <w:jc w:val="both"/>
        <w:rPr>
          <w:sz w:val="20"/>
          <w:szCs w:val="20"/>
        </w:rPr>
      </w:pPr>
    </w:p>
    <w:p w:rsidR="00D25D6C" w:rsidRPr="00DA1792" w:rsidRDefault="00D25D6C" w:rsidP="00D25D6C">
      <w:pPr>
        <w:tabs>
          <w:tab w:val="left" w:pos="567"/>
          <w:tab w:val="left" w:pos="851"/>
          <w:tab w:val="left" w:pos="1800"/>
        </w:tabs>
        <w:ind w:right="-46"/>
        <w:jc w:val="both"/>
        <w:rPr>
          <w:sz w:val="20"/>
          <w:szCs w:val="20"/>
        </w:rPr>
      </w:pPr>
      <w:r w:rsidRPr="00DA1792">
        <w:rPr>
          <w:b/>
          <w:sz w:val="20"/>
          <w:szCs w:val="20"/>
        </w:rPr>
        <w:t>2. Materials and Methods</w:t>
      </w:r>
    </w:p>
    <w:p w:rsidR="00D25D6C" w:rsidRPr="00DA1792" w:rsidRDefault="00D25D6C" w:rsidP="00D25D6C">
      <w:pPr>
        <w:tabs>
          <w:tab w:val="left" w:pos="720"/>
          <w:tab w:val="left" w:pos="1800"/>
        </w:tabs>
        <w:ind w:right="-46" w:firstLineChars="213" w:firstLine="426"/>
        <w:jc w:val="both"/>
        <w:rPr>
          <w:sz w:val="20"/>
          <w:szCs w:val="20"/>
        </w:rPr>
      </w:pPr>
      <w:r w:rsidRPr="00DA1792">
        <w:rPr>
          <w:sz w:val="20"/>
          <w:szCs w:val="20"/>
        </w:rPr>
        <w:t xml:space="preserve">The soil types used in this study were loam, sandy clay loam and sandy soils. The loam and sandy clay loam soils were obtained from two different farm lands at the University of Nigeria, Nsukka (UNN). The sandy soil was obtained from another location but also at UNN. Soil survey had earlier been conducted in these areas in order to ascertain the various soil types that were present before the soil samples were collected. These soils have been classified as Ultisols (Igwe, 2001). They were collected at a depth of 0 – 20cm, air dried and passed through a 2mm sieve. </w:t>
      </w:r>
    </w:p>
    <w:p w:rsidR="00D25D6C" w:rsidRPr="00DA1792" w:rsidRDefault="00D25D6C" w:rsidP="00D25D6C">
      <w:pPr>
        <w:tabs>
          <w:tab w:val="left" w:pos="720"/>
          <w:tab w:val="left" w:pos="1800"/>
        </w:tabs>
        <w:ind w:right="-46" w:firstLineChars="213" w:firstLine="426"/>
        <w:jc w:val="both"/>
        <w:rPr>
          <w:sz w:val="20"/>
          <w:szCs w:val="20"/>
        </w:rPr>
      </w:pPr>
      <w:r w:rsidRPr="00DA1792">
        <w:rPr>
          <w:sz w:val="20"/>
          <w:szCs w:val="20"/>
        </w:rPr>
        <w:t>The organic materials used in this experiment were plantain (</w:t>
      </w:r>
      <w:r w:rsidRPr="00DA1792">
        <w:rPr>
          <w:i/>
          <w:sz w:val="20"/>
          <w:szCs w:val="20"/>
        </w:rPr>
        <w:t>Musa paradisiaca</w:t>
      </w:r>
      <w:r w:rsidRPr="00DA1792">
        <w:rPr>
          <w:sz w:val="20"/>
          <w:szCs w:val="20"/>
        </w:rPr>
        <w:t>) peels, yam (</w:t>
      </w:r>
      <w:r w:rsidRPr="00DA1792">
        <w:rPr>
          <w:i/>
          <w:sz w:val="20"/>
          <w:szCs w:val="20"/>
        </w:rPr>
        <w:t>Dioscorea rotundata</w:t>
      </w:r>
      <w:r w:rsidRPr="00DA1792">
        <w:rPr>
          <w:sz w:val="20"/>
          <w:szCs w:val="20"/>
        </w:rPr>
        <w:t>) peels and spear grass (</w:t>
      </w:r>
      <w:r w:rsidRPr="00DA1792">
        <w:rPr>
          <w:i/>
          <w:sz w:val="20"/>
          <w:szCs w:val="20"/>
        </w:rPr>
        <w:t>Imperata cylindrica</w:t>
      </w:r>
      <w:r w:rsidRPr="00DA1792">
        <w:rPr>
          <w:sz w:val="20"/>
          <w:szCs w:val="20"/>
        </w:rPr>
        <w:t>). Plantain peels and yam peels were obtained from New Point Restaurant, UNN. Spear grass was collected from a land belonging to Veterinary Faculty, UNN. These materials were selected because of their availability in the study area. They were air dried and cut into small pieces of about 5.0mm each.</w:t>
      </w:r>
    </w:p>
    <w:p w:rsidR="00D25D6C" w:rsidRPr="00DA1792" w:rsidRDefault="00D25D6C" w:rsidP="00D25D6C">
      <w:pPr>
        <w:tabs>
          <w:tab w:val="left" w:pos="720"/>
          <w:tab w:val="left" w:pos="1800"/>
        </w:tabs>
        <w:ind w:right="-46" w:firstLineChars="213" w:firstLine="426"/>
        <w:jc w:val="both"/>
        <w:rPr>
          <w:sz w:val="20"/>
          <w:szCs w:val="20"/>
        </w:rPr>
      </w:pPr>
      <w:r w:rsidRPr="00DA1792">
        <w:rPr>
          <w:sz w:val="20"/>
          <w:szCs w:val="20"/>
        </w:rPr>
        <w:t xml:space="preserve">Elemental sulphur was sourced from Department of Soil Science, UNN. In its pure form, elemental </w:t>
      </w:r>
      <w:r w:rsidRPr="00DA1792">
        <w:rPr>
          <w:sz w:val="20"/>
          <w:szCs w:val="20"/>
        </w:rPr>
        <w:lastRenderedPageBreak/>
        <w:t xml:space="preserve">sulphur is a yellow, inert, water-insoluble crystalline solid. It was crushed and passed through a 2mm sieve. </w:t>
      </w:r>
    </w:p>
    <w:p w:rsidR="00D25D6C" w:rsidRPr="00DA1792" w:rsidRDefault="00D25D6C" w:rsidP="00D25D6C">
      <w:pPr>
        <w:tabs>
          <w:tab w:val="left" w:pos="720"/>
          <w:tab w:val="left" w:pos="1800"/>
        </w:tabs>
        <w:ind w:right="-46" w:firstLineChars="213" w:firstLine="426"/>
        <w:jc w:val="both"/>
        <w:rPr>
          <w:sz w:val="20"/>
          <w:szCs w:val="20"/>
        </w:rPr>
      </w:pPr>
    </w:p>
    <w:p w:rsidR="00D25D6C" w:rsidRPr="00DA1792" w:rsidRDefault="00D25D6C" w:rsidP="00D25D6C">
      <w:pPr>
        <w:tabs>
          <w:tab w:val="left" w:pos="720"/>
          <w:tab w:val="left" w:pos="1800"/>
        </w:tabs>
        <w:ind w:right="-46"/>
        <w:jc w:val="both"/>
        <w:rPr>
          <w:b/>
          <w:sz w:val="20"/>
          <w:szCs w:val="20"/>
        </w:rPr>
      </w:pPr>
      <w:r w:rsidRPr="00DA1792">
        <w:rPr>
          <w:b/>
          <w:sz w:val="20"/>
          <w:szCs w:val="20"/>
        </w:rPr>
        <w:t>2.1 Incubation Technique</w:t>
      </w:r>
    </w:p>
    <w:p w:rsidR="00D25D6C" w:rsidRPr="00DA1792" w:rsidRDefault="00D25D6C" w:rsidP="00D25D6C">
      <w:pPr>
        <w:tabs>
          <w:tab w:val="left" w:pos="720"/>
          <w:tab w:val="left" w:pos="1800"/>
        </w:tabs>
        <w:ind w:right="-46" w:firstLineChars="213" w:firstLine="426"/>
        <w:jc w:val="both"/>
        <w:rPr>
          <w:sz w:val="20"/>
          <w:szCs w:val="20"/>
        </w:rPr>
      </w:pPr>
      <w:r w:rsidRPr="00DA1792">
        <w:rPr>
          <w:sz w:val="20"/>
          <w:szCs w:val="20"/>
        </w:rPr>
        <w:t>Each of 216 plastic beakers had 30g of the appropriate soil sample, 3g of elemental sulphur (excluding the control) and 5% or 20% of one of the organic materials (excluding the control) by weight. Three incubation periods (15, 30 and 60 days) were then applied. The treatments are defined as follows:</w:t>
      </w:r>
    </w:p>
    <w:p w:rsidR="00D25D6C" w:rsidRPr="00DA1792" w:rsidRDefault="00D25D6C" w:rsidP="00D25D6C">
      <w:pPr>
        <w:tabs>
          <w:tab w:val="left" w:pos="720"/>
          <w:tab w:val="left" w:pos="1800"/>
        </w:tabs>
        <w:ind w:right="-46" w:firstLineChars="213" w:firstLine="426"/>
        <w:jc w:val="both"/>
        <w:rPr>
          <w:sz w:val="20"/>
          <w:szCs w:val="20"/>
        </w:rPr>
      </w:pPr>
    </w:p>
    <w:p w:rsidR="00D25D6C" w:rsidRPr="00DA1792" w:rsidRDefault="00D25D6C" w:rsidP="00D25D6C">
      <w:pPr>
        <w:tabs>
          <w:tab w:val="left" w:pos="1800"/>
        </w:tabs>
        <w:ind w:right="-46"/>
        <w:jc w:val="both"/>
        <w:rPr>
          <w:sz w:val="20"/>
          <w:szCs w:val="20"/>
        </w:rPr>
      </w:pPr>
      <w:r w:rsidRPr="00DA1792">
        <w:rPr>
          <w:sz w:val="20"/>
          <w:szCs w:val="20"/>
        </w:rPr>
        <w:t>T</w:t>
      </w:r>
      <w:r w:rsidRPr="00DA1792">
        <w:rPr>
          <w:sz w:val="20"/>
          <w:szCs w:val="20"/>
          <w:vertAlign w:val="subscript"/>
        </w:rPr>
        <w:t>1</w:t>
      </w:r>
      <w:r w:rsidRPr="00DA1792">
        <w:rPr>
          <w:sz w:val="20"/>
          <w:szCs w:val="20"/>
        </w:rPr>
        <w:t xml:space="preserve">:  S (S = sandy soil, loam soil or sandy clay loam) </w:t>
      </w:r>
    </w:p>
    <w:p w:rsidR="00D25D6C" w:rsidRPr="00DA1792" w:rsidRDefault="00D25D6C" w:rsidP="00D25D6C">
      <w:pPr>
        <w:tabs>
          <w:tab w:val="left" w:pos="1800"/>
        </w:tabs>
        <w:ind w:right="-46"/>
        <w:jc w:val="both"/>
        <w:rPr>
          <w:sz w:val="20"/>
          <w:szCs w:val="20"/>
        </w:rPr>
      </w:pPr>
      <w:r w:rsidRPr="00DA1792">
        <w:rPr>
          <w:sz w:val="20"/>
          <w:szCs w:val="20"/>
        </w:rPr>
        <w:t>T</w:t>
      </w:r>
      <w:r w:rsidRPr="00DA1792">
        <w:rPr>
          <w:sz w:val="20"/>
          <w:szCs w:val="20"/>
          <w:vertAlign w:val="subscript"/>
        </w:rPr>
        <w:t>2</w:t>
      </w:r>
      <w:r w:rsidRPr="00DA1792">
        <w:rPr>
          <w:sz w:val="20"/>
          <w:szCs w:val="20"/>
        </w:rPr>
        <w:t>:  S + S</w:t>
      </w:r>
      <w:r w:rsidRPr="00DA1792">
        <w:rPr>
          <w:sz w:val="20"/>
          <w:szCs w:val="20"/>
          <w:vertAlign w:val="superscript"/>
        </w:rPr>
        <w:t>o</w:t>
      </w:r>
      <w:r w:rsidRPr="00DA1792">
        <w:rPr>
          <w:sz w:val="20"/>
          <w:szCs w:val="20"/>
        </w:rPr>
        <w:t xml:space="preserve"> (S</w:t>
      </w:r>
      <w:r w:rsidRPr="00DA1792">
        <w:rPr>
          <w:sz w:val="20"/>
          <w:szCs w:val="20"/>
          <w:vertAlign w:val="superscript"/>
        </w:rPr>
        <w:t>o</w:t>
      </w:r>
      <w:r w:rsidRPr="00DA1792">
        <w:rPr>
          <w:sz w:val="20"/>
          <w:szCs w:val="20"/>
        </w:rPr>
        <w:t xml:space="preserve"> = elemental sulphur)</w:t>
      </w:r>
    </w:p>
    <w:p w:rsidR="00D25D6C" w:rsidRPr="00DA1792" w:rsidRDefault="00D25D6C" w:rsidP="00D25D6C">
      <w:pPr>
        <w:tabs>
          <w:tab w:val="left" w:pos="1800"/>
        </w:tabs>
        <w:ind w:right="-46"/>
        <w:jc w:val="both"/>
        <w:rPr>
          <w:sz w:val="20"/>
          <w:szCs w:val="20"/>
        </w:rPr>
      </w:pPr>
      <w:r w:rsidRPr="00DA1792">
        <w:rPr>
          <w:sz w:val="20"/>
          <w:szCs w:val="20"/>
        </w:rPr>
        <w:t>T</w:t>
      </w:r>
      <w:r w:rsidRPr="00DA1792">
        <w:rPr>
          <w:sz w:val="20"/>
          <w:szCs w:val="20"/>
          <w:vertAlign w:val="subscript"/>
        </w:rPr>
        <w:t>3</w:t>
      </w:r>
      <w:r w:rsidRPr="00DA1792">
        <w:rPr>
          <w:sz w:val="20"/>
          <w:szCs w:val="20"/>
        </w:rPr>
        <w:t>:  S + S</w:t>
      </w:r>
      <w:r w:rsidRPr="00DA1792">
        <w:rPr>
          <w:sz w:val="20"/>
          <w:szCs w:val="20"/>
          <w:vertAlign w:val="superscript"/>
        </w:rPr>
        <w:t>o</w:t>
      </w:r>
      <w:r w:rsidRPr="00DA1792">
        <w:rPr>
          <w:sz w:val="20"/>
          <w:szCs w:val="20"/>
        </w:rPr>
        <w:t xml:space="preserve"> + 5% PP (PP = plantain peels) </w:t>
      </w:r>
    </w:p>
    <w:p w:rsidR="00D25D6C" w:rsidRPr="00DA1792" w:rsidRDefault="00D25D6C" w:rsidP="00D25D6C">
      <w:pPr>
        <w:tabs>
          <w:tab w:val="left" w:pos="1800"/>
        </w:tabs>
        <w:ind w:right="-46"/>
        <w:jc w:val="both"/>
        <w:rPr>
          <w:sz w:val="20"/>
          <w:szCs w:val="20"/>
        </w:rPr>
      </w:pPr>
      <w:r w:rsidRPr="00DA1792">
        <w:rPr>
          <w:sz w:val="20"/>
          <w:szCs w:val="20"/>
        </w:rPr>
        <w:t>T</w:t>
      </w:r>
      <w:r w:rsidRPr="00DA1792">
        <w:rPr>
          <w:sz w:val="20"/>
          <w:szCs w:val="20"/>
          <w:vertAlign w:val="subscript"/>
        </w:rPr>
        <w:t>4</w:t>
      </w:r>
      <w:r w:rsidRPr="00DA1792">
        <w:rPr>
          <w:sz w:val="20"/>
          <w:szCs w:val="20"/>
        </w:rPr>
        <w:t>:  S + S</w:t>
      </w:r>
      <w:r w:rsidRPr="00DA1792">
        <w:rPr>
          <w:sz w:val="20"/>
          <w:szCs w:val="20"/>
          <w:vertAlign w:val="superscript"/>
        </w:rPr>
        <w:t>o</w:t>
      </w:r>
      <w:r w:rsidRPr="00DA1792">
        <w:rPr>
          <w:sz w:val="20"/>
          <w:szCs w:val="20"/>
        </w:rPr>
        <w:t xml:space="preserve"> + 20% PP   </w:t>
      </w:r>
    </w:p>
    <w:p w:rsidR="00D25D6C" w:rsidRPr="00DA1792" w:rsidRDefault="00D25D6C" w:rsidP="00D25D6C">
      <w:pPr>
        <w:tabs>
          <w:tab w:val="left" w:pos="1800"/>
        </w:tabs>
        <w:ind w:right="-46"/>
        <w:jc w:val="both"/>
        <w:rPr>
          <w:sz w:val="20"/>
          <w:szCs w:val="20"/>
        </w:rPr>
      </w:pPr>
      <w:r w:rsidRPr="00DA1792">
        <w:rPr>
          <w:sz w:val="20"/>
          <w:szCs w:val="20"/>
        </w:rPr>
        <w:t>T</w:t>
      </w:r>
      <w:r w:rsidRPr="00DA1792">
        <w:rPr>
          <w:sz w:val="20"/>
          <w:szCs w:val="20"/>
          <w:vertAlign w:val="subscript"/>
        </w:rPr>
        <w:t>5</w:t>
      </w:r>
      <w:r w:rsidRPr="00DA1792">
        <w:rPr>
          <w:sz w:val="20"/>
          <w:szCs w:val="20"/>
        </w:rPr>
        <w:t>:  S + S</w:t>
      </w:r>
      <w:r w:rsidRPr="00DA1792">
        <w:rPr>
          <w:sz w:val="20"/>
          <w:szCs w:val="20"/>
          <w:vertAlign w:val="superscript"/>
        </w:rPr>
        <w:t>o</w:t>
      </w:r>
      <w:r w:rsidRPr="00DA1792">
        <w:rPr>
          <w:sz w:val="20"/>
          <w:szCs w:val="20"/>
        </w:rPr>
        <w:t xml:space="preserve"> + 5% YP (YP = yam peels)  </w:t>
      </w:r>
    </w:p>
    <w:p w:rsidR="00D25D6C" w:rsidRPr="00DA1792" w:rsidRDefault="00D25D6C" w:rsidP="00D25D6C">
      <w:pPr>
        <w:tabs>
          <w:tab w:val="left" w:pos="1800"/>
        </w:tabs>
        <w:ind w:right="-46"/>
        <w:jc w:val="both"/>
        <w:rPr>
          <w:sz w:val="20"/>
          <w:szCs w:val="20"/>
        </w:rPr>
      </w:pPr>
      <w:r w:rsidRPr="00DA1792">
        <w:rPr>
          <w:sz w:val="20"/>
          <w:szCs w:val="20"/>
        </w:rPr>
        <w:t>T</w:t>
      </w:r>
      <w:r w:rsidRPr="00DA1792">
        <w:rPr>
          <w:sz w:val="20"/>
          <w:szCs w:val="20"/>
          <w:vertAlign w:val="subscript"/>
        </w:rPr>
        <w:t>6</w:t>
      </w:r>
      <w:r w:rsidRPr="00DA1792">
        <w:rPr>
          <w:sz w:val="20"/>
          <w:szCs w:val="20"/>
        </w:rPr>
        <w:t>:  S + S</w:t>
      </w:r>
      <w:r w:rsidRPr="00DA1792">
        <w:rPr>
          <w:sz w:val="20"/>
          <w:szCs w:val="20"/>
          <w:vertAlign w:val="superscript"/>
        </w:rPr>
        <w:t>o</w:t>
      </w:r>
      <w:r w:rsidRPr="00DA1792">
        <w:rPr>
          <w:sz w:val="20"/>
          <w:szCs w:val="20"/>
        </w:rPr>
        <w:t xml:space="preserve"> + 20% YP  </w:t>
      </w:r>
    </w:p>
    <w:p w:rsidR="00D25D6C" w:rsidRPr="00DA1792" w:rsidRDefault="00D25D6C" w:rsidP="00D25D6C">
      <w:pPr>
        <w:tabs>
          <w:tab w:val="left" w:pos="1800"/>
        </w:tabs>
        <w:ind w:right="-46"/>
        <w:jc w:val="both"/>
        <w:rPr>
          <w:sz w:val="20"/>
          <w:szCs w:val="20"/>
        </w:rPr>
      </w:pPr>
      <w:r w:rsidRPr="00DA1792">
        <w:rPr>
          <w:sz w:val="20"/>
          <w:szCs w:val="20"/>
        </w:rPr>
        <w:t>T</w:t>
      </w:r>
      <w:r w:rsidRPr="00DA1792">
        <w:rPr>
          <w:sz w:val="20"/>
          <w:szCs w:val="20"/>
          <w:vertAlign w:val="subscript"/>
        </w:rPr>
        <w:t>7</w:t>
      </w:r>
      <w:r w:rsidRPr="00DA1792">
        <w:rPr>
          <w:sz w:val="20"/>
          <w:szCs w:val="20"/>
        </w:rPr>
        <w:t>:  S + S</w:t>
      </w:r>
      <w:r w:rsidRPr="00DA1792">
        <w:rPr>
          <w:sz w:val="20"/>
          <w:szCs w:val="20"/>
          <w:vertAlign w:val="superscript"/>
        </w:rPr>
        <w:t>o</w:t>
      </w:r>
      <w:r w:rsidRPr="00DA1792">
        <w:rPr>
          <w:sz w:val="20"/>
          <w:szCs w:val="20"/>
        </w:rPr>
        <w:t xml:space="preserve"> + 5% SG (SG = spear grass)  </w:t>
      </w:r>
    </w:p>
    <w:p w:rsidR="00D25D6C" w:rsidRPr="00DA1792" w:rsidRDefault="00D25D6C" w:rsidP="00D25D6C">
      <w:pPr>
        <w:tabs>
          <w:tab w:val="left" w:pos="1800"/>
        </w:tabs>
        <w:ind w:right="-46"/>
        <w:jc w:val="both"/>
        <w:rPr>
          <w:sz w:val="20"/>
          <w:szCs w:val="20"/>
        </w:rPr>
      </w:pPr>
      <w:r w:rsidRPr="00DA1792">
        <w:rPr>
          <w:sz w:val="20"/>
          <w:szCs w:val="20"/>
        </w:rPr>
        <w:t>T</w:t>
      </w:r>
      <w:r w:rsidRPr="00DA1792">
        <w:rPr>
          <w:sz w:val="20"/>
          <w:szCs w:val="20"/>
          <w:vertAlign w:val="subscript"/>
        </w:rPr>
        <w:t>8:</w:t>
      </w:r>
      <w:r w:rsidRPr="00DA1792">
        <w:rPr>
          <w:sz w:val="20"/>
          <w:szCs w:val="20"/>
        </w:rPr>
        <w:t xml:space="preserve">  S + S</w:t>
      </w:r>
      <w:r w:rsidRPr="00DA1792">
        <w:rPr>
          <w:sz w:val="20"/>
          <w:szCs w:val="20"/>
          <w:vertAlign w:val="superscript"/>
        </w:rPr>
        <w:t>o</w:t>
      </w:r>
      <w:r w:rsidRPr="00DA1792">
        <w:rPr>
          <w:sz w:val="20"/>
          <w:szCs w:val="20"/>
        </w:rPr>
        <w:t xml:space="preserve"> + 20% SG   </w:t>
      </w:r>
    </w:p>
    <w:p w:rsidR="00D25D6C" w:rsidRPr="00DA1792" w:rsidRDefault="00D25D6C" w:rsidP="00D25D6C">
      <w:pPr>
        <w:tabs>
          <w:tab w:val="left" w:pos="720"/>
          <w:tab w:val="left" w:pos="1800"/>
        </w:tabs>
        <w:ind w:right="-46"/>
        <w:jc w:val="both"/>
        <w:rPr>
          <w:sz w:val="20"/>
          <w:szCs w:val="20"/>
        </w:rPr>
      </w:pPr>
    </w:p>
    <w:p w:rsidR="00D25D6C" w:rsidRPr="00DA1792" w:rsidRDefault="00D25D6C" w:rsidP="00D25D6C">
      <w:pPr>
        <w:tabs>
          <w:tab w:val="left" w:pos="720"/>
          <w:tab w:val="left" w:pos="1800"/>
        </w:tabs>
        <w:ind w:right="-46" w:firstLineChars="142" w:firstLine="284"/>
        <w:jc w:val="both"/>
        <w:rPr>
          <w:sz w:val="20"/>
          <w:szCs w:val="20"/>
        </w:rPr>
      </w:pPr>
      <w:r w:rsidRPr="00DA1792">
        <w:rPr>
          <w:sz w:val="20"/>
          <w:szCs w:val="20"/>
        </w:rPr>
        <w:t>Adequate water was added to bring the soils to their respective field capacities. The beakers were then covered with aluminium foil to minimize loss of water by evaporation and also to ensure aeration (since the aluminium foil was not air tight). The treatments were arranged in a 3 x 3 x 8 factorial in completely randomized design (CRD), replicated three times and incubated at room temperature. The water content was maintained with deionized water at weekly intervals. At the end of each incubation period, 72 treatments (24 from each soil) were analysed.</w:t>
      </w:r>
    </w:p>
    <w:p w:rsidR="00D25D6C" w:rsidRPr="00DA1792" w:rsidRDefault="00D25D6C" w:rsidP="00D25D6C">
      <w:pPr>
        <w:tabs>
          <w:tab w:val="left" w:pos="720"/>
          <w:tab w:val="left" w:pos="1800"/>
        </w:tabs>
        <w:ind w:right="-46" w:firstLineChars="142" w:firstLine="284"/>
        <w:jc w:val="both"/>
        <w:rPr>
          <w:sz w:val="20"/>
          <w:szCs w:val="20"/>
        </w:rPr>
      </w:pPr>
    </w:p>
    <w:p w:rsidR="00D25D6C" w:rsidRPr="00DA1792" w:rsidRDefault="00D25D6C" w:rsidP="00D25D6C">
      <w:pPr>
        <w:tabs>
          <w:tab w:val="left" w:pos="1800"/>
        </w:tabs>
        <w:ind w:right="-46"/>
        <w:jc w:val="both"/>
        <w:rPr>
          <w:b/>
          <w:sz w:val="20"/>
          <w:szCs w:val="20"/>
        </w:rPr>
      </w:pPr>
      <w:r w:rsidRPr="00DA1792">
        <w:rPr>
          <w:b/>
          <w:sz w:val="20"/>
          <w:szCs w:val="20"/>
        </w:rPr>
        <w:t>2.2 Methods of Soil and Plant Analyses</w:t>
      </w:r>
    </w:p>
    <w:p w:rsidR="00D25D6C" w:rsidRPr="00DA1792" w:rsidRDefault="00D25D6C" w:rsidP="00D25D6C">
      <w:pPr>
        <w:tabs>
          <w:tab w:val="left" w:pos="1800"/>
        </w:tabs>
        <w:ind w:right="-46" w:firstLineChars="142" w:firstLine="284"/>
        <w:jc w:val="both"/>
        <w:rPr>
          <w:sz w:val="20"/>
          <w:szCs w:val="20"/>
        </w:rPr>
      </w:pPr>
      <w:r w:rsidRPr="00DA1792">
        <w:rPr>
          <w:sz w:val="20"/>
          <w:szCs w:val="20"/>
        </w:rPr>
        <w:t>The three soils used for this experiment were analysed before they were incubated. The parameters determined include: particle size composition (Bouyoucos, 1962), pH (Juo, 1979), organic carbon following Walkley and Black dichromate (wet) oxidation method (Nelson and Sommers, 1982), total nitrogen by the Kjeldahl method (Bremner, 1965), available phosphorus using Bray II method (Olsen and Sommers, 1982), calcium and magnesium by the complexometric titration method (Jackson, 1958), potassium by flame photometer, total sulphur using Morgan solution as the extracting solution and iron (Alloway, 1995). The relative sulphate was determined from the total sulphur in the soils. The organic carbon was converted to organic matter by multiplying with the factor 1.724.</w:t>
      </w:r>
    </w:p>
    <w:p w:rsidR="00D25D6C" w:rsidRPr="00DA1792" w:rsidRDefault="00D25D6C" w:rsidP="00D25D6C">
      <w:pPr>
        <w:tabs>
          <w:tab w:val="left" w:pos="720"/>
          <w:tab w:val="left" w:pos="1800"/>
        </w:tabs>
        <w:ind w:right="-46" w:firstLineChars="142" w:firstLine="284"/>
        <w:jc w:val="both"/>
        <w:rPr>
          <w:sz w:val="20"/>
          <w:szCs w:val="20"/>
        </w:rPr>
      </w:pPr>
      <w:r w:rsidRPr="00DA1792">
        <w:rPr>
          <w:sz w:val="20"/>
          <w:szCs w:val="20"/>
        </w:rPr>
        <w:t xml:space="preserve">At the end of each incubation period, the change in pH in the treatments was determined using the method described by Juo (1979). The net sulphate formed was also determined using the method described by Rehm and Caldwell (1968); the values obtained (in ml) were </w:t>
      </w:r>
      <w:r w:rsidRPr="00DA1792">
        <w:rPr>
          <w:sz w:val="20"/>
          <w:szCs w:val="20"/>
        </w:rPr>
        <w:lastRenderedPageBreak/>
        <w:t>converted to tha</w:t>
      </w:r>
      <w:r w:rsidRPr="00DA1792">
        <w:rPr>
          <w:sz w:val="20"/>
          <w:szCs w:val="20"/>
          <w:vertAlign w:val="superscript"/>
        </w:rPr>
        <w:t>-1</w:t>
      </w:r>
      <w:r w:rsidRPr="00DA1792">
        <w:rPr>
          <w:sz w:val="20"/>
          <w:szCs w:val="20"/>
        </w:rPr>
        <w:t xml:space="preserve"> based on the assumption that 1ha of soil weighs 2.25 x 10</w:t>
      </w:r>
      <w:r w:rsidRPr="00DA1792">
        <w:rPr>
          <w:sz w:val="20"/>
          <w:szCs w:val="20"/>
          <w:vertAlign w:val="superscript"/>
        </w:rPr>
        <w:t>3</w:t>
      </w:r>
      <w:r w:rsidRPr="00DA1792">
        <w:rPr>
          <w:sz w:val="20"/>
          <w:szCs w:val="20"/>
        </w:rPr>
        <w:t>t.</w:t>
      </w:r>
    </w:p>
    <w:p w:rsidR="00D25D6C" w:rsidRPr="00DA1792" w:rsidRDefault="00D25D6C" w:rsidP="00D25D6C">
      <w:pPr>
        <w:tabs>
          <w:tab w:val="left" w:pos="720"/>
          <w:tab w:val="left" w:pos="1800"/>
        </w:tabs>
        <w:ind w:right="-46" w:firstLineChars="142" w:firstLine="284"/>
        <w:jc w:val="both"/>
        <w:rPr>
          <w:sz w:val="20"/>
          <w:szCs w:val="20"/>
        </w:rPr>
      </w:pPr>
      <w:r w:rsidRPr="00DA1792">
        <w:rPr>
          <w:sz w:val="20"/>
          <w:szCs w:val="20"/>
        </w:rPr>
        <w:t>The organic materials used for this experiment were analysed for their chemical properties based on the procedure described by (Juo) 1979.</w:t>
      </w:r>
    </w:p>
    <w:p w:rsidR="00D25D6C" w:rsidRPr="00DA1792" w:rsidRDefault="00D25D6C" w:rsidP="00D25D6C">
      <w:pPr>
        <w:tabs>
          <w:tab w:val="left" w:pos="720"/>
          <w:tab w:val="left" w:pos="1800"/>
        </w:tabs>
        <w:ind w:right="-46" w:firstLineChars="142" w:firstLine="284"/>
        <w:jc w:val="both"/>
        <w:rPr>
          <w:sz w:val="20"/>
          <w:szCs w:val="20"/>
        </w:rPr>
      </w:pPr>
    </w:p>
    <w:p w:rsidR="00D25D6C" w:rsidRPr="00DA1792" w:rsidRDefault="00D25D6C" w:rsidP="00D25D6C">
      <w:pPr>
        <w:tabs>
          <w:tab w:val="left" w:pos="1800"/>
        </w:tabs>
        <w:ind w:right="-46"/>
        <w:jc w:val="both"/>
        <w:rPr>
          <w:b/>
          <w:sz w:val="20"/>
          <w:szCs w:val="20"/>
        </w:rPr>
      </w:pPr>
      <w:r w:rsidRPr="00DA1792">
        <w:rPr>
          <w:b/>
          <w:sz w:val="20"/>
          <w:szCs w:val="20"/>
        </w:rPr>
        <w:t>2.3 Statistical Analyses</w:t>
      </w:r>
    </w:p>
    <w:p w:rsidR="00D25D6C" w:rsidRPr="00DA1792" w:rsidRDefault="00D25D6C" w:rsidP="00D25D6C">
      <w:pPr>
        <w:tabs>
          <w:tab w:val="left" w:pos="1800"/>
        </w:tabs>
        <w:ind w:right="-46" w:firstLineChars="142" w:firstLine="284"/>
        <w:jc w:val="both"/>
        <w:rPr>
          <w:b/>
          <w:sz w:val="20"/>
          <w:szCs w:val="20"/>
        </w:rPr>
      </w:pPr>
      <w:r w:rsidRPr="00DA1792">
        <w:rPr>
          <w:sz w:val="20"/>
          <w:szCs w:val="20"/>
        </w:rPr>
        <w:t xml:space="preserve">GENSTAT Statistical Package was used for all the data analyses. The net sulphate formed with time in all the treatments together with the change in pH were analysed using a 3 x 3 x 8 Factorial in Completely Randomized Design (CRD). Fisher’s Least Significance Difference (F-LSD) was used in detecting the difference between means (Obi, 2001). </w:t>
      </w:r>
    </w:p>
    <w:p w:rsidR="00D25D6C" w:rsidRPr="00DA1792" w:rsidRDefault="00D25D6C" w:rsidP="00D25D6C">
      <w:pPr>
        <w:tabs>
          <w:tab w:val="left" w:pos="1800"/>
        </w:tabs>
        <w:ind w:right="-46" w:firstLineChars="142" w:firstLine="285"/>
        <w:jc w:val="both"/>
        <w:rPr>
          <w:b/>
          <w:sz w:val="20"/>
          <w:szCs w:val="20"/>
        </w:rPr>
      </w:pPr>
    </w:p>
    <w:p w:rsidR="00D25D6C" w:rsidRPr="00DA1792" w:rsidRDefault="00D25D6C" w:rsidP="00D25D6C">
      <w:pPr>
        <w:tabs>
          <w:tab w:val="left" w:pos="1800"/>
        </w:tabs>
        <w:ind w:right="-46" w:firstLineChars="142" w:firstLine="285"/>
        <w:jc w:val="both"/>
        <w:rPr>
          <w:b/>
          <w:sz w:val="20"/>
          <w:szCs w:val="20"/>
        </w:rPr>
      </w:pPr>
    </w:p>
    <w:p w:rsidR="00D25D6C" w:rsidRPr="00DA1792" w:rsidRDefault="00D25D6C" w:rsidP="00D25D6C">
      <w:pPr>
        <w:tabs>
          <w:tab w:val="left" w:pos="1800"/>
        </w:tabs>
        <w:ind w:right="-46"/>
        <w:jc w:val="both"/>
        <w:rPr>
          <w:b/>
          <w:sz w:val="20"/>
          <w:szCs w:val="20"/>
        </w:rPr>
      </w:pPr>
      <w:r w:rsidRPr="00DA1792">
        <w:rPr>
          <w:b/>
          <w:sz w:val="20"/>
          <w:szCs w:val="20"/>
        </w:rPr>
        <w:lastRenderedPageBreak/>
        <w:t>3. Results and Discussion</w:t>
      </w:r>
    </w:p>
    <w:p w:rsidR="00D25D6C" w:rsidRPr="00DA1792" w:rsidRDefault="00D25D6C" w:rsidP="00D25D6C">
      <w:pPr>
        <w:tabs>
          <w:tab w:val="left" w:pos="1800"/>
        </w:tabs>
        <w:ind w:right="-46" w:firstLineChars="142" w:firstLine="284"/>
        <w:jc w:val="both"/>
        <w:rPr>
          <w:sz w:val="20"/>
          <w:szCs w:val="20"/>
        </w:rPr>
      </w:pPr>
      <w:r w:rsidRPr="00DA1792">
        <w:rPr>
          <w:sz w:val="20"/>
          <w:szCs w:val="20"/>
        </w:rPr>
        <w:t>Tables 1 and 2 show the results of the initial soil properties and chemical properties of the various organic materials respectively. Table 1 shows that loam soil was more acidic than the other two soils. It also had the highest amounts of organic matter, nitrogen, potassium, sulphur and iron. Sandy clay loam contained more phosphorus than the other soils, while sandy soil had the highest pH value and it also contained greater amounts of calcium and magnesium than loam and sandy clay loam soils. Plantain peels had greater percentages of carbon, nitrogen, phosphorus and sulphur than the other organic amendments (Table 2). Yam peels had the greatest amount of potassium, while, spear grass was the highest in calcium and magnesium.</w:t>
      </w:r>
    </w:p>
    <w:p w:rsidR="00D25D6C" w:rsidRPr="00DA1792" w:rsidRDefault="00D25D6C" w:rsidP="00D25D6C">
      <w:pPr>
        <w:tabs>
          <w:tab w:val="left" w:pos="1800"/>
        </w:tabs>
        <w:ind w:right="-46"/>
        <w:jc w:val="both"/>
        <w:rPr>
          <w:sz w:val="20"/>
          <w:szCs w:val="20"/>
        </w:rPr>
        <w:sectPr w:rsidR="00D25D6C" w:rsidRPr="00DA1792" w:rsidSect="00A052E0">
          <w:type w:val="continuous"/>
          <w:pgSz w:w="12240" w:h="15840" w:code="1"/>
          <w:pgMar w:top="1440" w:right="1440" w:bottom="1440" w:left="1440" w:header="720" w:footer="720" w:gutter="0"/>
          <w:cols w:num="2" w:space="708"/>
          <w:docGrid w:linePitch="360"/>
        </w:sectPr>
      </w:pPr>
    </w:p>
    <w:p w:rsidR="00D25D6C" w:rsidRPr="00DA1792" w:rsidRDefault="00D25D6C" w:rsidP="00D25D6C">
      <w:pPr>
        <w:tabs>
          <w:tab w:val="left" w:pos="1800"/>
        </w:tabs>
        <w:ind w:right="-46"/>
        <w:jc w:val="both"/>
        <w:rPr>
          <w:sz w:val="20"/>
          <w:szCs w:val="20"/>
        </w:rPr>
      </w:pPr>
    </w:p>
    <w:p w:rsidR="00D25D6C" w:rsidRPr="00DA1792" w:rsidRDefault="00D25D6C" w:rsidP="00D25D6C">
      <w:pPr>
        <w:tabs>
          <w:tab w:val="left" w:pos="1800"/>
        </w:tabs>
        <w:ind w:right="-46"/>
        <w:jc w:val="both"/>
        <w:rPr>
          <w:b/>
          <w:sz w:val="20"/>
          <w:szCs w:val="20"/>
        </w:rPr>
      </w:pPr>
    </w:p>
    <w:p w:rsidR="00D25D6C" w:rsidRPr="00DA1792" w:rsidRDefault="00D25D6C" w:rsidP="00D25D6C">
      <w:pPr>
        <w:jc w:val="center"/>
        <w:rPr>
          <w:sz w:val="20"/>
          <w:szCs w:val="20"/>
        </w:rPr>
      </w:pPr>
      <w:r w:rsidRPr="00DA1792">
        <w:rPr>
          <w:b/>
          <w:sz w:val="20"/>
          <w:szCs w:val="20"/>
        </w:rPr>
        <w:t>Table 1</w:t>
      </w:r>
      <w:r w:rsidRPr="00DA1792">
        <w:rPr>
          <w:sz w:val="20"/>
          <w:szCs w:val="20"/>
        </w:rPr>
        <w:t>: Some soil physicochemical properties</w:t>
      </w:r>
    </w:p>
    <w:tbl>
      <w:tblPr>
        <w:tblStyle w:val="TableGrid"/>
        <w:tblW w:w="5000" w:type="pct"/>
        <w:tblLook w:val="04A0"/>
      </w:tblPr>
      <w:tblGrid>
        <w:gridCol w:w="824"/>
        <w:gridCol w:w="582"/>
        <w:gridCol w:w="582"/>
        <w:gridCol w:w="582"/>
        <w:gridCol w:w="582"/>
        <w:gridCol w:w="614"/>
        <w:gridCol w:w="570"/>
        <w:gridCol w:w="550"/>
        <w:gridCol w:w="566"/>
        <w:gridCol w:w="566"/>
        <w:gridCol w:w="566"/>
        <w:gridCol w:w="566"/>
        <w:gridCol w:w="566"/>
        <w:gridCol w:w="728"/>
        <w:gridCol w:w="566"/>
        <w:gridCol w:w="566"/>
      </w:tblGrid>
      <w:tr w:rsidR="00D25D6C" w:rsidRPr="00DA1792" w:rsidTr="006C3B29">
        <w:tc>
          <w:tcPr>
            <w:tcW w:w="468" w:type="pct"/>
            <w:tcBorders>
              <w:left w:val="nil"/>
              <w:bottom w:val="nil"/>
              <w:right w:val="nil"/>
            </w:tcBorders>
          </w:tcPr>
          <w:p w:rsidR="00D25D6C" w:rsidRPr="00DA1792" w:rsidRDefault="00D25D6C" w:rsidP="006C3B29">
            <w:pPr>
              <w:rPr>
                <w:sz w:val="20"/>
                <w:szCs w:val="20"/>
              </w:rPr>
            </w:pPr>
            <w:r w:rsidRPr="00DA1792">
              <w:rPr>
                <w:sz w:val="20"/>
                <w:szCs w:val="20"/>
              </w:rPr>
              <w:t xml:space="preserve">  </w:t>
            </w:r>
          </w:p>
        </w:tc>
        <w:tc>
          <w:tcPr>
            <w:tcW w:w="1721" w:type="pct"/>
            <w:gridSpan w:val="5"/>
            <w:tcBorders>
              <w:left w:val="nil"/>
              <w:bottom w:val="nil"/>
              <w:right w:val="nil"/>
            </w:tcBorders>
          </w:tcPr>
          <w:p w:rsidR="00D25D6C" w:rsidRPr="00DA1792" w:rsidRDefault="00D25D6C" w:rsidP="006C3B29">
            <w:pPr>
              <w:rPr>
                <w:sz w:val="20"/>
                <w:szCs w:val="20"/>
              </w:rPr>
            </w:pPr>
            <w:r w:rsidRPr="00DA1792">
              <w:rPr>
                <w:sz w:val="20"/>
                <w:szCs w:val="20"/>
              </w:rPr>
              <w:t xml:space="preserve">      Particle Size Composition</w:t>
            </w:r>
          </w:p>
        </w:tc>
        <w:tc>
          <w:tcPr>
            <w:tcW w:w="601" w:type="pct"/>
            <w:gridSpan w:val="2"/>
            <w:tcBorders>
              <w:left w:val="nil"/>
              <w:bottom w:val="nil"/>
              <w:right w:val="nil"/>
            </w:tcBorders>
          </w:tcPr>
          <w:p w:rsidR="00D25D6C" w:rsidRPr="00DA1792" w:rsidRDefault="00D25D6C" w:rsidP="006C3B29">
            <w:pPr>
              <w:rPr>
                <w:sz w:val="20"/>
                <w:szCs w:val="20"/>
              </w:rPr>
            </w:pPr>
            <w:r w:rsidRPr="00DA1792">
              <w:rPr>
                <w:sz w:val="20"/>
                <w:szCs w:val="20"/>
              </w:rPr>
              <w:t xml:space="preserve">       pH</w:t>
            </w:r>
          </w:p>
        </w:tc>
        <w:tc>
          <w:tcPr>
            <w:tcW w:w="289" w:type="pct"/>
            <w:tcBorders>
              <w:left w:val="nil"/>
              <w:bottom w:val="nil"/>
              <w:right w:val="nil"/>
            </w:tcBorders>
          </w:tcPr>
          <w:p w:rsidR="00D25D6C" w:rsidRPr="00DA1792" w:rsidRDefault="00D25D6C" w:rsidP="006C3B29">
            <w:pPr>
              <w:rPr>
                <w:sz w:val="20"/>
                <w:szCs w:val="20"/>
              </w:rPr>
            </w:pPr>
          </w:p>
        </w:tc>
        <w:tc>
          <w:tcPr>
            <w:tcW w:w="289" w:type="pct"/>
            <w:tcBorders>
              <w:left w:val="nil"/>
              <w:bottom w:val="nil"/>
              <w:right w:val="nil"/>
            </w:tcBorders>
          </w:tcPr>
          <w:p w:rsidR="00D25D6C" w:rsidRPr="00DA1792" w:rsidRDefault="00D25D6C" w:rsidP="006C3B29">
            <w:pPr>
              <w:rPr>
                <w:sz w:val="20"/>
                <w:szCs w:val="20"/>
              </w:rPr>
            </w:pPr>
          </w:p>
        </w:tc>
        <w:tc>
          <w:tcPr>
            <w:tcW w:w="289" w:type="pct"/>
            <w:tcBorders>
              <w:left w:val="nil"/>
              <w:bottom w:val="nil"/>
              <w:right w:val="nil"/>
            </w:tcBorders>
          </w:tcPr>
          <w:p w:rsidR="00D25D6C" w:rsidRPr="00DA1792" w:rsidRDefault="00D25D6C" w:rsidP="006C3B29">
            <w:pPr>
              <w:rPr>
                <w:sz w:val="20"/>
                <w:szCs w:val="20"/>
              </w:rPr>
            </w:pPr>
          </w:p>
        </w:tc>
        <w:tc>
          <w:tcPr>
            <w:tcW w:w="289" w:type="pct"/>
            <w:tcBorders>
              <w:left w:val="nil"/>
              <w:bottom w:val="nil"/>
              <w:right w:val="nil"/>
            </w:tcBorders>
          </w:tcPr>
          <w:p w:rsidR="00D25D6C" w:rsidRPr="00DA1792" w:rsidRDefault="00D25D6C" w:rsidP="006C3B29">
            <w:pPr>
              <w:rPr>
                <w:sz w:val="20"/>
                <w:szCs w:val="20"/>
              </w:rPr>
            </w:pPr>
          </w:p>
        </w:tc>
        <w:tc>
          <w:tcPr>
            <w:tcW w:w="289" w:type="pct"/>
            <w:tcBorders>
              <w:left w:val="nil"/>
              <w:bottom w:val="nil"/>
              <w:right w:val="nil"/>
            </w:tcBorders>
          </w:tcPr>
          <w:p w:rsidR="00D25D6C" w:rsidRPr="00DA1792" w:rsidRDefault="00D25D6C" w:rsidP="006C3B29">
            <w:pPr>
              <w:rPr>
                <w:sz w:val="20"/>
                <w:szCs w:val="20"/>
              </w:rPr>
            </w:pPr>
          </w:p>
        </w:tc>
        <w:tc>
          <w:tcPr>
            <w:tcW w:w="289" w:type="pct"/>
            <w:tcBorders>
              <w:left w:val="nil"/>
              <w:bottom w:val="nil"/>
              <w:right w:val="nil"/>
            </w:tcBorders>
          </w:tcPr>
          <w:p w:rsidR="00D25D6C" w:rsidRPr="00DA1792" w:rsidRDefault="00D25D6C" w:rsidP="006C3B29">
            <w:pPr>
              <w:rPr>
                <w:sz w:val="20"/>
                <w:szCs w:val="20"/>
              </w:rPr>
            </w:pPr>
          </w:p>
        </w:tc>
        <w:tc>
          <w:tcPr>
            <w:tcW w:w="237" w:type="pct"/>
            <w:tcBorders>
              <w:left w:val="nil"/>
              <w:bottom w:val="nil"/>
              <w:right w:val="nil"/>
            </w:tcBorders>
          </w:tcPr>
          <w:p w:rsidR="00D25D6C" w:rsidRPr="00DA1792" w:rsidRDefault="00D25D6C" w:rsidP="006C3B29">
            <w:pPr>
              <w:rPr>
                <w:sz w:val="20"/>
                <w:szCs w:val="20"/>
              </w:rPr>
            </w:pPr>
          </w:p>
        </w:tc>
        <w:tc>
          <w:tcPr>
            <w:tcW w:w="237" w:type="pct"/>
            <w:tcBorders>
              <w:left w:val="nil"/>
              <w:bottom w:val="nil"/>
              <w:right w:val="nil"/>
            </w:tcBorders>
          </w:tcPr>
          <w:p w:rsidR="00D25D6C" w:rsidRPr="00DA1792" w:rsidRDefault="00D25D6C" w:rsidP="006C3B29">
            <w:pPr>
              <w:rPr>
                <w:sz w:val="20"/>
                <w:szCs w:val="20"/>
              </w:rPr>
            </w:pPr>
          </w:p>
        </w:tc>
      </w:tr>
      <w:tr w:rsidR="00D25D6C" w:rsidRPr="00DA1792" w:rsidTr="006C3B29">
        <w:tc>
          <w:tcPr>
            <w:tcW w:w="468" w:type="pct"/>
            <w:tcBorders>
              <w:top w:val="nil"/>
              <w:left w:val="nil"/>
              <w:bottom w:val="nil"/>
              <w:right w:val="nil"/>
            </w:tcBorders>
          </w:tcPr>
          <w:p w:rsidR="00D25D6C" w:rsidRPr="00DA1792" w:rsidRDefault="00D25D6C" w:rsidP="006C3B29">
            <w:pPr>
              <w:rPr>
                <w:sz w:val="20"/>
                <w:szCs w:val="20"/>
              </w:rPr>
            </w:pPr>
            <w:r w:rsidRPr="00DA1792">
              <w:rPr>
                <w:sz w:val="20"/>
                <w:szCs w:val="20"/>
              </w:rPr>
              <w:t>TC</w:t>
            </w:r>
          </w:p>
        </w:tc>
        <w:tc>
          <w:tcPr>
            <w:tcW w:w="341" w:type="pct"/>
            <w:tcBorders>
              <w:top w:val="nil"/>
              <w:left w:val="nil"/>
              <w:bottom w:val="nil"/>
              <w:right w:val="nil"/>
            </w:tcBorders>
          </w:tcPr>
          <w:p w:rsidR="00D25D6C" w:rsidRPr="00DA1792" w:rsidRDefault="00D25D6C" w:rsidP="006C3B29">
            <w:pPr>
              <w:rPr>
                <w:sz w:val="20"/>
                <w:szCs w:val="20"/>
              </w:rPr>
            </w:pPr>
            <w:r w:rsidRPr="00DA1792">
              <w:rPr>
                <w:sz w:val="20"/>
                <w:szCs w:val="20"/>
              </w:rPr>
              <w:t>CS</w:t>
            </w:r>
          </w:p>
        </w:tc>
        <w:tc>
          <w:tcPr>
            <w:tcW w:w="341" w:type="pct"/>
            <w:tcBorders>
              <w:top w:val="nil"/>
              <w:left w:val="nil"/>
              <w:bottom w:val="nil"/>
              <w:right w:val="nil"/>
            </w:tcBorders>
          </w:tcPr>
          <w:p w:rsidR="00D25D6C" w:rsidRPr="00DA1792" w:rsidRDefault="00D25D6C" w:rsidP="006C3B29">
            <w:pPr>
              <w:rPr>
                <w:sz w:val="20"/>
                <w:szCs w:val="20"/>
              </w:rPr>
            </w:pPr>
            <w:r w:rsidRPr="00DA1792">
              <w:rPr>
                <w:sz w:val="20"/>
                <w:szCs w:val="20"/>
              </w:rPr>
              <w:t>FS</w:t>
            </w:r>
          </w:p>
        </w:tc>
        <w:tc>
          <w:tcPr>
            <w:tcW w:w="341" w:type="pct"/>
            <w:tcBorders>
              <w:top w:val="nil"/>
              <w:left w:val="nil"/>
              <w:bottom w:val="nil"/>
              <w:right w:val="nil"/>
            </w:tcBorders>
          </w:tcPr>
          <w:p w:rsidR="00D25D6C" w:rsidRPr="00DA1792" w:rsidRDefault="00D25D6C" w:rsidP="006C3B29">
            <w:pPr>
              <w:rPr>
                <w:sz w:val="20"/>
                <w:szCs w:val="20"/>
              </w:rPr>
            </w:pPr>
            <w:r w:rsidRPr="00DA1792">
              <w:rPr>
                <w:sz w:val="20"/>
                <w:szCs w:val="20"/>
              </w:rPr>
              <w:t>TS</w:t>
            </w:r>
          </w:p>
        </w:tc>
        <w:tc>
          <w:tcPr>
            <w:tcW w:w="341" w:type="pct"/>
            <w:tcBorders>
              <w:top w:val="nil"/>
              <w:left w:val="nil"/>
              <w:bottom w:val="nil"/>
              <w:right w:val="nil"/>
            </w:tcBorders>
          </w:tcPr>
          <w:p w:rsidR="00D25D6C" w:rsidRPr="00DA1792" w:rsidRDefault="00D25D6C" w:rsidP="006C3B29">
            <w:pPr>
              <w:rPr>
                <w:sz w:val="20"/>
                <w:szCs w:val="20"/>
              </w:rPr>
            </w:pPr>
            <w:r w:rsidRPr="00DA1792">
              <w:rPr>
                <w:sz w:val="20"/>
                <w:szCs w:val="20"/>
              </w:rPr>
              <w:t>Silt</w:t>
            </w:r>
          </w:p>
        </w:tc>
        <w:tc>
          <w:tcPr>
            <w:tcW w:w="357" w:type="pct"/>
            <w:tcBorders>
              <w:top w:val="nil"/>
              <w:left w:val="nil"/>
              <w:bottom w:val="nil"/>
              <w:right w:val="nil"/>
            </w:tcBorders>
          </w:tcPr>
          <w:p w:rsidR="00D25D6C" w:rsidRPr="00DA1792" w:rsidRDefault="00D25D6C" w:rsidP="006C3B29">
            <w:pPr>
              <w:rPr>
                <w:sz w:val="20"/>
                <w:szCs w:val="20"/>
              </w:rPr>
            </w:pPr>
            <w:r w:rsidRPr="00DA1792">
              <w:rPr>
                <w:sz w:val="20"/>
                <w:szCs w:val="20"/>
              </w:rPr>
              <w:t>Clay</w:t>
            </w:r>
          </w:p>
        </w:tc>
        <w:tc>
          <w:tcPr>
            <w:tcW w:w="305" w:type="pct"/>
            <w:tcBorders>
              <w:top w:val="nil"/>
              <w:left w:val="nil"/>
              <w:bottom w:val="nil"/>
              <w:right w:val="nil"/>
            </w:tcBorders>
          </w:tcPr>
          <w:p w:rsidR="00D25D6C" w:rsidRPr="00DA1792" w:rsidRDefault="00D25D6C" w:rsidP="006C3B29">
            <w:pPr>
              <w:rPr>
                <w:sz w:val="20"/>
                <w:szCs w:val="20"/>
              </w:rPr>
            </w:pPr>
            <w:r w:rsidRPr="00DA1792">
              <w:rPr>
                <w:sz w:val="20"/>
                <w:szCs w:val="20"/>
              </w:rPr>
              <w:t>H</w:t>
            </w:r>
            <w:r w:rsidRPr="00DA1792">
              <w:rPr>
                <w:sz w:val="20"/>
                <w:szCs w:val="20"/>
                <w:vertAlign w:val="subscript"/>
              </w:rPr>
              <w:t>2</w:t>
            </w:r>
            <w:r w:rsidRPr="00DA1792">
              <w:rPr>
                <w:sz w:val="20"/>
                <w:szCs w:val="20"/>
              </w:rPr>
              <w:t>O</w:t>
            </w:r>
          </w:p>
        </w:tc>
        <w:tc>
          <w:tcPr>
            <w:tcW w:w="296" w:type="pct"/>
            <w:tcBorders>
              <w:top w:val="nil"/>
              <w:left w:val="nil"/>
              <w:bottom w:val="nil"/>
              <w:right w:val="nil"/>
            </w:tcBorders>
          </w:tcPr>
          <w:p w:rsidR="00D25D6C" w:rsidRPr="00DA1792" w:rsidRDefault="00D25D6C" w:rsidP="006C3B29">
            <w:pPr>
              <w:rPr>
                <w:sz w:val="20"/>
                <w:szCs w:val="20"/>
              </w:rPr>
            </w:pPr>
            <w:r w:rsidRPr="00DA1792">
              <w:rPr>
                <w:sz w:val="20"/>
                <w:szCs w:val="20"/>
              </w:rPr>
              <w:t>KCl</w:t>
            </w:r>
          </w:p>
        </w:tc>
        <w:tc>
          <w:tcPr>
            <w:tcW w:w="289" w:type="pct"/>
            <w:tcBorders>
              <w:top w:val="nil"/>
              <w:left w:val="nil"/>
              <w:bottom w:val="nil"/>
              <w:right w:val="nil"/>
            </w:tcBorders>
          </w:tcPr>
          <w:p w:rsidR="00D25D6C" w:rsidRPr="00DA1792" w:rsidRDefault="00D25D6C" w:rsidP="006C3B29">
            <w:pPr>
              <w:rPr>
                <w:sz w:val="20"/>
                <w:szCs w:val="20"/>
              </w:rPr>
            </w:pPr>
            <w:r w:rsidRPr="00DA1792">
              <w:rPr>
                <w:sz w:val="20"/>
                <w:szCs w:val="20"/>
              </w:rPr>
              <w:t xml:space="preserve">OM </w:t>
            </w:r>
          </w:p>
        </w:tc>
        <w:tc>
          <w:tcPr>
            <w:tcW w:w="289" w:type="pct"/>
            <w:tcBorders>
              <w:top w:val="nil"/>
              <w:left w:val="nil"/>
              <w:bottom w:val="nil"/>
              <w:right w:val="nil"/>
            </w:tcBorders>
          </w:tcPr>
          <w:p w:rsidR="00D25D6C" w:rsidRPr="00DA1792" w:rsidRDefault="00D25D6C" w:rsidP="006C3B29">
            <w:pPr>
              <w:rPr>
                <w:sz w:val="20"/>
                <w:szCs w:val="20"/>
              </w:rPr>
            </w:pPr>
            <w:r w:rsidRPr="00DA1792">
              <w:rPr>
                <w:sz w:val="20"/>
                <w:szCs w:val="20"/>
              </w:rPr>
              <w:t>N</w:t>
            </w:r>
          </w:p>
        </w:tc>
        <w:tc>
          <w:tcPr>
            <w:tcW w:w="289" w:type="pct"/>
            <w:tcBorders>
              <w:top w:val="nil"/>
              <w:left w:val="nil"/>
              <w:bottom w:val="nil"/>
              <w:right w:val="nil"/>
            </w:tcBorders>
          </w:tcPr>
          <w:p w:rsidR="00D25D6C" w:rsidRPr="00DA1792" w:rsidRDefault="00D25D6C" w:rsidP="006C3B29">
            <w:pPr>
              <w:rPr>
                <w:sz w:val="20"/>
                <w:szCs w:val="20"/>
              </w:rPr>
            </w:pPr>
            <w:r w:rsidRPr="00DA1792">
              <w:rPr>
                <w:sz w:val="20"/>
                <w:szCs w:val="20"/>
              </w:rPr>
              <w:t>P</w:t>
            </w:r>
          </w:p>
        </w:tc>
        <w:tc>
          <w:tcPr>
            <w:tcW w:w="289" w:type="pct"/>
            <w:tcBorders>
              <w:top w:val="nil"/>
              <w:left w:val="nil"/>
              <w:bottom w:val="nil"/>
              <w:right w:val="nil"/>
            </w:tcBorders>
          </w:tcPr>
          <w:p w:rsidR="00D25D6C" w:rsidRPr="00DA1792" w:rsidRDefault="00D25D6C" w:rsidP="006C3B29">
            <w:pPr>
              <w:rPr>
                <w:sz w:val="20"/>
                <w:szCs w:val="20"/>
              </w:rPr>
            </w:pPr>
            <w:r w:rsidRPr="00DA1792">
              <w:rPr>
                <w:sz w:val="20"/>
                <w:szCs w:val="20"/>
              </w:rPr>
              <w:t>K</w:t>
            </w:r>
          </w:p>
        </w:tc>
        <w:tc>
          <w:tcPr>
            <w:tcW w:w="289" w:type="pct"/>
            <w:tcBorders>
              <w:top w:val="nil"/>
              <w:left w:val="nil"/>
              <w:bottom w:val="nil"/>
              <w:right w:val="nil"/>
            </w:tcBorders>
          </w:tcPr>
          <w:p w:rsidR="00D25D6C" w:rsidRPr="00DA1792" w:rsidRDefault="00D25D6C" w:rsidP="006C3B29">
            <w:pPr>
              <w:rPr>
                <w:sz w:val="20"/>
                <w:szCs w:val="20"/>
              </w:rPr>
            </w:pPr>
            <w:r w:rsidRPr="00DA1792">
              <w:rPr>
                <w:sz w:val="20"/>
                <w:szCs w:val="20"/>
              </w:rPr>
              <w:t>Ca</w:t>
            </w:r>
          </w:p>
        </w:tc>
        <w:tc>
          <w:tcPr>
            <w:tcW w:w="289" w:type="pct"/>
            <w:tcBorders>
              <w:top w:val="nil"/>
              <w:left w:val="nil"/>
              <w:bottom w:val="nil"/>
              <w:right w:val="nil"/>
            </w:tcBorders>
          </w:tcPr>
          <w:p w:rsidR="00D25D6C" w:rsidRPr="00DA1792" w:rsidRDefault="00D25D6C" w:rsidP="006C3B29">
            <w:pPr>
              <w:rPr>
                <w:sz w:val="20"/>
                <w:szCs w:val="20"/>
              </w:rPr>
            </w:pPr>
            <w:r w:rsidRPr="00DA1792">
              <w:rPr>
                <w:sz w:val="20"/>
                <w:szCs w:val="20"/>
              </w:rPr>
              <w:t xml:space="preserve">   Mg</w:t>
            </w:r>
          </w:p>
        </w:tc>
        <w:tc>
          <w:tcPr>
            <w:tcW w:w="237" w:type="pct"/>
            <w:tcBorders>
              <w:top w:val="nil"/>
              <w:left w:val="nil"/>
              <w:bottom w:val="nil"/>
              <w:right w:val="nil"/>
            </w:tcBorders>
          </w:tcPr>
          <w:p w:rsidR="00D25D6C" w:rsidRPr="00DA1792" w:rsidRDefault="00D25D6C" w:rsidP="006C3B29">
            <w:pPr>
              <w:rPr>
                <w:sz w:val="20"/>
                <w:szCs w:val="20"/>
              </w:rPr>
            </w:pPr>
            <w:r w:rsidRPr="00DA1792">
              <w:rPr>
                <w:sz w:val="20"/>
                <w:szCs w:val="20"/>
              </w:rPr>
              <w:t>S</w:t>
            </w:r>
          </w:p>
        </w:tc>
        <w:tc>
          <w:tcPr>
            <w:tcW w:w="237" w:type="pct"/>
            <w:tcBorders>
              <w:top w:val="nil"/>
              <w:left w:val="nil"/>
              <w:bottom w:val="nil"/>
              <w:right w:val="nil"/>
            </w:tcBorders>
          </w:tcPr>
          <w:p w:rsidR="00D25D6C" w:rsidRPr="00DA1792" w:rsidRDefault="00D25D6C" w:rsidP="006C3B29">
            <w:pPr>
              <w:rPr>
                <w:sz w:val="20"/>
                <w:szCs w:val="20"/>
              </w:rPr>
            </w:pPr>
            <w:r w:rsidRPr="00DA1792">
              <w:rPr>
                <w:sz w:val="20"/>
                <w:szCs w:val="20"/>
              </w:rPr>
              <w:t>Fe</w:t>
            </w:r>
          </w:p>
        </w:tc>
      </w:tr>
      <w:tr w:rsidR="00D25D6C" w:rsidRPr="00DA1792" w:rsidTr="006C3B29">
        <w:tc>
          <w:tcPr>
            <w:tcW w:w="468" w:type="pct"/>
            <w:tcBorders>
              <w:top w:val="nil"/>
              <w:left w:val="nil"/>
              <w:bottom w:val="single" w:sz="4" w:space="0" w:color="auto"/>
              <w:right w:val="nil"/>
            </w:tcBorders>
          </w:tcPr>
          <w:p w:rsidR="00D25D6C" w:rsidRPr="00DA1792" w:rsidRDefault="00D25D6C" w:rsidP="006C3B29">
            <w:pPr>
              <w:rPr>
                <w:sz w:val="20"/>
                <w:szCs w:val="20"/>
              </w:rPr>
            </w:pPr>
          </w:p>
        </w:tc>
        <w:tc>
          <w:tcPr>
            <w:tcW w:w="341" w:type="pct"/>
            <w:tcBorders>
              <w:top w:val="nil"/>
              <w:left w:val="nil"/>
              <w:bottom w:val="single" w:sz="4" w:space="0" w:color="auto"/>
              <w:right w:val="nil"/>
            </w:tcBorders>
          </w:tcPr>
          <w:p w:rsidR="00D25D6C" w:rsidRPr="00DA1792" w:rsidRDefault="00B32003" w:rsidP="006C3B29">
            <w:pPr>
              <w:rPr>
                <w:sz w:val="20"/>
                <w:szCs w:val="20"/>
              </w:rPr>
            </w:pPr>
            <w:r w:rsidRPr="00B32003">
              <w:rPr>
                <w:noProof/>
                <w:sz w:val="20"/>
                <w:szCs w:val="20"/>
              </w:rPr>
              <w:pict>
                <v:shapetype id="_x0000_t32" coordsize="21600,21600" o:spt="32" o:oned="t" path="m,l21600,21600e" filled="f">
                  <v:path arrowok="t" fillok="f" o:connecttype="none"/>
                  <o:lock v:ext="edit" shapetype="t"/>
                </v:shapetype>
                <v:shape id="_x0000_s1061" type="#_x0000_t32" style="position:absolute;margin-left:1.55pt;margin-top:7.05pt;width:61.5pt;height:0;flip:x;z-index:251667456;mso-position-horizontal-relative:text;mso-position-vertical-relative:text" o:connectortype="straight">
                  <v:stroke endarrow="block"/>
                </v:shape>
              </w:pict>
            </w:r>
          </w:p>
        </w:tc>
        <w:tc>
          <w:tcPr>
            <w:tcW w:w="341" w:type="pct"/>
            <w:tcBorders>
              <w:top w:val="nil"/>
              <w:left w:val="nil"/>
              <w:bottom w:val="single" w:sz="4" w:space="0" w:color="auto"/>
              <w:right w:val="nil"/>
            </w:tcBorders>
          </w:tcPr>
          <w:p w:rsidR="00D25D6C" w:rsidRPr="00DA1792" w:rsidRDefault="00D25D6C" w:rsidP="006C3B29">
            <w:pPr>
              <w:rPr>
                <w:sz w:val="20"/>
                <w:szCs w:val="20"/>
              </w:rPr>
            </w:pPr>
          </w:p>
        </w:tc>
        <w:tc>
          <w:tcPr>
            <w:tcW w:w="341" w:type="pct"/>
            <w:tcBorders>
              <w:top w:val="nil"/>
              <w:left w:val="nil"/>
              <w:bottom w:val="single" w:sz="4" w:space="0" w:color="auto"/>
              <w:right w:val="nil"/>
            </w:tcBorders>
          </w:tcPr>
          <w:p w:rsidR="00D25D6C" w:rsidRPr="00DA1792" w:rsidRDefault="00B32003" w:rsidP="006C3B29">
            <w:pPr>
              <w:rPr>
                <w:sz w:val="20"/>
                <w:szCs w:val="20"/>
              </w:rPr>
            </w:pPr>
            <w:r w:rsidRPr="00B32003">
              <w:rPr>
                <w:noProof/>
                <w:sz w:val="20"/>
                <w:szCs w:val="20"/>
              </w:rPr>
              <w:pict>
                <v:shape id="_x0000_s1062" type="#_x0000_t32" style="position:absolute;margin-left:14.6pt;margin-top:7.05pt;width:59.25pt;height:.05pt;z-index:251668480;mso-position-horizontal-relative:text;mso-position-vertical-relative:text" o:connectortype="straight">
                  <v:stroke endarrow="block"/>
                </v:shape>
              </w:pict>
            </w:r>
            <w:r w:rsidR="007502CC">
              <w:rPr>
                <w:sz w:val="20"/>
                <w:szCs w:val="20"/>
              </w:rPr>
              <w:t xml:space="preserve">   </w:t>
            </w:r>
            <w:r w:rsidR="00D25D6C" w:rsidRPr="00DA1792">
              <w:rPr>
                <w:sz w:val="20"/>
                <w:szCs w:val="20"/>
              </w:rPr>
              <w:t xml:space="preserve">% </w:t>
            </w:r>
          </w:p>
        </w:tc>
        <w:tc>
          <w:tcPr>
            <w:tcW w:w="341" w:type="pct"/>
            <w:tcBorders>
              <w:top w:val="nil"/>
              <w:left w:val="nil"/>
              <w:bottom w:val="single" w:sz="4" w:space="0" w:color="auto"/>
              <w:right w:val="nil"/>
            </w:tcBorders>
          </w:tcPr>
          <w:p w:rsidR="00D25D6C" w:rsidRPr="00DA1792" w:rsidRDefault="00D25D6C" w:rsidP="006C3B29">
            <w:pPr>
              <w:rPr>
                <w:sz w:val="20"/>
                <w:szCs w:val="20"/>
              </w:rPr>
            </w:pPr>
          </w:p>
        </w:tc>
        <w:tc>
          <w:tcPr>
            <w:tcW w:w="357" w:type="pct"/>
            <w:tcBorders>
              <w:top w:val="nil"/>
              <w:left w:val="nil"/>
              <w:bottom w:val="single" w:sz="4" w:space="0" w:color="auto"/>
              <w:right w:val="nil"/>
            </w:tcBorders>
          </w:tcPr>
          <w:p w:rsidR="00D25D6C" w:rsidRPr="00DA1792" w:rsidRDefault="00D25D6C" w:rsidP="006C3B29">
            <w:pPr>
              <w:rPr>
                <w:sz w:val="20"/>
                <w:szCs w:val="20"/>
              </w:rPr>
            </w:pPr>
          </w:p>
        </w:tc>
        <w:tc>
          <w:tcPr>
            <w:tcW w:w="305" w:type="pct"/>
            <w:tcBorders>
              <w:top w:val="nil"/>
              <w:left w:val="nil"/>
              <w:bottom w:val="single" w:sz="4" w:space="0" w:color="auto"/>
              <w:right w:val="nil"/>
            </w:tcBorders>
          </w:tcPr>
          <w:p w:rsidR="00D25D6C" w:rsidRPr="00DA1792" w:rsidRDefault="00D25D6C" w:rsidP="006C3B29">
            <w:pPr>
              <w:rPr>
                <w:sz w:val="20"/>
                <w:szCs w:val="20"/>
              </w:rPr>
            </w:pPr>
          </w:p>
        </w:tc>
        <w:tc>
          <w:tcPr>
            <w:tcW w:w="296"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 xml:space="preserve">                  </w:t>
            </w:r>
          </w:p>
        </w:tc>
        <w:tc>
          <w:tcPr>
            <w:tcW w:w="289"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 xml:space="preserve">  %</w:t>
            </w:r>
          </w:p>
        </w:tc>
        <w:tc>
          <w:tcPr>
            <w:tcW w:w="289"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w:t>
            </w:r>
          </w:p>
        </w:tc>
        <w:tc>
          <w:tcPr>
            <w:tcW w:w="289" w:type="pct"/>
            <w:tcBorders>
              <w:top w:val="nil"/>
              <w:left w:val="nil"/>
              <w:bottom w:val="single" w:sz="4" w:space="0" w:color="auto"/>
              <w:right w:val="nil"/>
            </w:tcBorders>
          </w:tcPr>
          <w:p w:rsidR="00D25D6C" w:rsidRPr="00DA1792" w:rsidRDefault="00B32003" w:rsidP="006C3B29">
            <w:pPr>
              <w:rPr>
                <w:sz w:val="20"/>
                <w:szCs w:val="20"/>
              </w:rPr>
            </w:pPr>
            <w:r w:rsidRPr="00B32003">
              <w:rPr>
                <w:noProof/>
                <w:sz w:val="20"/>
                <w:szCs w:val="20"/>
              </w:rPr>
              <w:pict>
                <v:shape id="_x0000_s1064" type="#_x0000_t32" style="position:absolute;margin-left:2.1pt;margin-top:7.05pt;width:78.75pt;height:0;flip:x;z-index:251669504;mso-position-horizontal-relative:text;mso-position-vertical-relative:text" o:connectortype="straight">
                  <v:stroke endarrow="block"/>
                </v:shape>
              </w:pict>
            </w:r>
          </w:p>
        </w:tc>
        <w:tc>
          <w:tcPr>
            <w:tcW w:w="289" w:type="pct"/>
            <w:tcBorders>
              <w:top w:val="nil"/>
              <w:left w:val="nil"/>
              <w:bottom w:val="single" w:sz="4" w:space="0" w:color="auto"/>
              <w:right w:val="nil"/>
            </w:tcBorders>
          </w:tcPr>
          <w:p w:rsidR="00D25D6C" w:rsidRPr="00DA1792" w:rsidRDefault="00D25D6C" w:rsidP="006C3B29">
            <w:pPr>
              <w:rPr>
                <w:sz w:val="20"/>
                <w:szCs w:val="20"/>
              </w:rPr>
            </w:pPr>
          </w:p>
        </w:tc>
        <w:tc>
          <w:tcPr>
            <w:tcW w:w="289" w:type="pct"/>
            <w:tcBorders>
              <w:top w:val="nil"/>
              <w:left w:val="nil"/>
              <w:bottom w:val="single" w:sz="4" w:space="0" w:color="auto"/>
              <w:right w:val="nil"/>
            </w:tcBorders>
          </w:tcPr>
          <w:p w:rsidR="00D25D6C" w:rsidRPr="00DA1792" w:rsidRDefault="00D25D6C" w:rsidP="006C3B29">
            <w:pPr>
              <w:rPr>
                <w:sz w:val="20"/>
                <w:szCs w:val="20"/>
              </w:rPr>
            </w:pPr>
          </w:p>
        </w:tc>
        <w:tc>
          <w:tcPr>
            <w:tcW w:w="289" w:type="pct"/>
            <w:tcBorders>
              <w:top w:val="nil"/>
              <w:left w:val="nil"/>
              <w:bottom w:val="single" w:sz="4" w:space="0" w:color="auto"/>
              <w:right w:val="nil"/>
            </w:tcBorders>
          </w:tcPr>
          <w:p w:rsidR="00D25D6C" w:rsidRPr="00DA1792" w:rsidRDefault="00B32003" w:rsidP="006C3B29">
            <w:pPr>
              <w:rPr>
                <w:sz w:val="20"/>
                <w:szCs w:val="20"/>
              </w:rPr>
            </w:pPr>
            <w:r w:rsidRPr="00B32003">
              <w:rPr>
                <w:noProof/>
                <w:sz w:val="20"/>
                <w:szCs w:val="20"/>
              </w:rPr>
              <w:pict>
                <v:shape id="_x0000_s1057" type="#_x0000_t32" style="position:absolute;margin-left:32.1pt;margin-top:7.05pt;width:55.5pt;height:0;z-index:251663360;mso-position-horizontal-relative:text;mso-position-vertical-relative:text" o:connectortype="straight">
                  <v:stroke endarrow="block"/>
                </v:shape>
              </w:pict>
            </w:r>
            <w:r w:rsidRPr="00B32003">
              <w:rPr>
                <w:noProof/>
                <w:sz w:val="20"/>
                <w:szCs w:val="20"/>
              </w:rPr>
              <w:pict>
                <v:shape id="_x0000_s1058" type="#_x0000_t32" style="position:absolute;margin-left:32.1pt;margin-top:7.05pt;width:0;height:0;z-index:251664384;mso-position-horizontal-relative:text;mso-position-vertical-relative:text" o:connectortype="straight">
                  <v:stroke endarrow="block"/>
                </v:shape>
              </w:pict>
            </w:r>
            <w:r w:rsidR="00D25D6C" w:rsidRPr="00DA1792">
              <w:rPr>
                <w:sz w:val="20"/>
                <w:szCs w:val="20"/>
              </w:rPr>
              <w:t>mg/kg</w:t>
            </w:r>
          </w:p>
        </w:tc>
        <w:tc>
          <w:tcPr>
            <w:tcW w:w="237" w:type="pct"/>
            <w:tcBorders>
              <w:top w:val="nil"/>
              <w:left w:val="nil"/>
              <w:bottom w:val="single" w:sz="4" w:space="0" w:color="auto"/>
              <w:right w:val="nil"/>
            </w:tcBorders>
          </w:tcPr>
          <w:p w:rsidR="00D25D6C" w:rsidRPr="00DA1792" w:rsidRDefault="00D25D6C" w:rsidP="006C3B29">
            <w:pPr>
              <w:rPr>
                <w:sz w:val="20"/>
                <w:szCs w:val="20"/>
              </w:rPr>
            </w:pPr>
          </w:p>
        </w:tc>
        <w:tc>
          <w:tcPr>
            <w:tcW w:w="237" w:type="pct"/>
            <w:tcBorders>
              <w:top w:val="nil"/>
              <w:left w:val="nil"/>
              <w:bottom w:val="single" w:sz="4" w:space="0" w:color="auto"/>
              <w:right w:val="nil"/>
            </w:tcBorders>
          </w:tcPr>
          <w:p w:rsidR="00D25D6C" w:rsidRPr="00DA1792" w:rsidRDefault="00D25D6C" w:rsidP="006C3B29">
            <w:pPr>
              <w:rPr>
                <w:sz w:val="20"/>
                <w:szCs w:val="20"/>
              </w:rPr>
            </w:pPr>
          </w:p>
        </w:tc>
      </w:tr>
      <w:tr w:rsidR="00D25D6C" w:rsidRPr="00DA1792" w:rsidTr="006C3B29">
        <w:tc>
          <w:tcPr>
            <w:tcW w:w="468" w:type="pct"/>
            <w:tcBorders>
              <w:left w:val="nil"/>
              <w:bottom w:val="nil"/>
              <w:right w:val="nil"/>
            </w:tcBorders>
          </w:tcPr>
          <w:p w:rsidR="00D25D6C" w:rsidRPr="00DA1792" w:rsidRDefault="00D25D6C" w:rsidP="006C3B29">
            <w:pPr>
              <w:rPr>
                <w:sz w:val="20"/>
                <w:szCs w:val="20"/>
              </w:rPr>
            </w:pPr>
            <w:r w:rsidRPr="00DA1792">
              <w:rPr>
                <w:sz w:val="20"/>
                <w:szCs w:val="20"/>
              </w:rPr>
              <w:t>LS</w:t>
            </w:r>
          </w:p>
        </w:tc>
        <w:tc>
          <w:tcPr>
            <w:tcW w:w="341" w:type="pct"/>
            <w:tcBorders>
              <w:left w:val="nil"/>
              <w:bottom w:val="nil"/>
              <w:right w:val="nil"/>
            </w:tcBorders>
          </w:tcPr>
          <w:p w:rsidR="00D25D6C" w:rsidRPr="00DA1792" w:rsidRDefault="00D25D6C" w:rsidP="006C3B29">
            <w:pPr>
              <w:jc w:val="right"/>
              <w:rPr>
                <w:sz w:val="20"/>
                <w:szCs w:val="20"/>
              </w:rPr>
            </w:pPr>
            <w:r w:rsidRPr="00DA1792">
              <w:rPr>
                <w:sz w:val="20"/>
                <w:szCs w:val="20"/>
              </w:rPr>
              <w:t>32.9</w:t>
            </w:r>
          </w:p>
        </w:tc>
        <w:tc>
          <w:tcPr>
            <w:tcW w:w="341" w:type="pct"/>
            <w:tcBorders>
              <w:left w:val="nil"/>
              <w:bottom w:val="nil"/>
              <w:right w:val="nil"/>
            </w:tcBorders>
          </w:tcPr>
          <w:p w:rsidR="00D25D6C" w:rsidRPr="00DA1792" w:rsidRDefault="00D25D6C" w:rsidP="006C3B29">
            <w:pPr>
              <w:jc w:val="right"/>
              <w:rPr>
                <w:sz w:val="20"/>
                <w:szCs w:val="20"/>
              </w:rPr>
            </w:pPr>
            <w:r w:rsidRPr="00DA1792">
              <w:rPr>
                <w:sz w:val="20"/>
                <w:szCs w:val="20"/>
              </w:rPr>
              <w:t>22.1</w:t>
            </w:r>
          </w:p>
        </w:tc>
        <w:tc>
          <w:tcPr>
            <w:tcW w:w="341" w:type="pct"/>
            <w:tcBorders>
              <w:left w:val="nil"/>
              <w:bottom w:val="nil"/>
              <w:right w:val="nil"/>
            </w:tcBorders>
          </w:tcPr>
          <w:p w:rsidR="00D25D6C" w:rsidRPr="00DA1792" w:rsidRDefault="00D25D6C" w:rsidP="006C3B29">
            <w:pPr>
              <w:jc w:val="right"/>
              <w:rPr>
                <w:sz w:val="20"/>
                <w:szCs w:val="20"/>
              </w:rPr>
            </w:pPr>
            <w:r w:rsidRPr="00DA1792">
              <w:rPr>
                <w:sz w:val="20"/>
                <w:szCs w:val="20"/>
              </w:rPr>
              <w:t>55.0</w:t>
            </w:r>
          </w:p>
        </w:tc>
        <w:tc>
          <w:tcPr>
            <w:tcW w:w="341" w:type="pct"/>
            <w:tcBorders>
              <w:left w:val="nil"/>
              <w:bottom w:val="nil"/>
              <w:right w:val="nil"/>
            </w:tcBorders>
          </w:tcPr>
          <w:p w:rsidR="00D25D6C" w:rsidRPr="00DA1792" w:rsidRDefault="00D25D6C" w:rsidP="006C3B29">
            <w:pPr>
              <w:jc w:val="right"/>
              <w:rPr>
                <w:sz w:val="20"/>
                <w:szCs w:val="20"/>
              </w:rPr>
            </w:pPr>
            <w:r w:rsidRPr="00DA1792">
              <w:rPr>
                <w:sz w:val="20"/>
                <w:szCs w:val="20"/>
              </w:rPr>
              <w:t>29.0</w:t>
            </w:r>
          </w:p>
        </w:tc>
        <w:tc>
          <w:tcPr>
            <w:tcW w:w="357" w:type="pct"/>
            <w:tcBorders>
              <w:left w:val="nil"/>
              <w:bottom w:val="nil"/>
              <w:right w:val="nil"/>
            </w:tcBorders>
          </w:tcPr>
          <w:p w:rsidR="00D25D6C" w:rsidRPr="00DA1792" w:rsidRDefault="00D25D6C" w:rsidP="006C3B29">
            <w:pPr>
              <w:jc w:val="right"/>
              <w:rPr>
                <w:sz w:val="20"/>
                <w:szCs w:val="20"/>
              </w:rPr>
            </w:pPr>
            <w:r w:rsidRPr="00DA1792">
              <w:rPr>
                <w:sz w:val="20"/>
                <w:szCs w:val="20"/>
              </w:rPr>
              <w:t>16.0</w:t>
            </w:r>
          </w:p>
        </w:tc>
        <w:tc>
          <w:tcPr>
            <w:tcW w:w="305" w:type="pct"/>
            <w:tcBorders>
              <w:left w:val="nil"/>
              <w:bottom w:val="nil"/>
              <w:right w:val="nil"/>
            </w:tcBorders>
          </w:tcPr>
          <w:p w:rsidR="00D25D6C" w:rsidRPr="00DA1792" w:rsidRDefault="00D25D6C" w:rsidP="006C3B29">
            <w:pPr>
              <w:jc w:val="right"/>
              <w:rPr>
                <w:sz w:val="20"/>
                <w:szCs w:val="20"/>
              </w:rPr>
            </w:pPr>
            <w:r w:rsidRPr="00DA1792">
              <w:rPr>
                <w:sz w:val="20"/>
                <w:szCs w:val="20"/>
              </w:rPr>
              <w:t>4.5</w:t>
            </w:r>
          </w:p>
        </w:tc>
        <w:tc>
          <w:tcPr>
            <w:tcW w:w="296" w:type="pct"/>
            <w:tcBorders>
              <w:left w:val="nil"/>
              <w:bottom w:val="nil"/>
              <w:right w:val="nil"/>
            </w:tcBorders>
          </w:tcPr>
          <w:p w:rsidR="00D25D6C" w:rsidRPr="00DA1792" w:rsidRDefault="00D25D6C" w:rsidP="006C3B29">
            <w:pPr>
              <w:jc w:val="right"/>
              <w:rPr>
                <w:sz w:val="20"/>
                <w:szCs w:val="20"/>
              </w:rPr>
            </w:pPr>
            <w:r w:rsidRPr="00DA1792">
              <w:rPr>
                <w:sz w:val="20"/>
                <w:szCs w:val="20"/>
              </w:rPr>
              <w:t>3.3</w:t>
            </w:r>
          </w:p>
        </w:tc>
        <w:tc>
          <w:tcPr>
            <w:tcW w:w="289" w:type="pct"/>
            <w:tcBorders>
              <w:left w:val="nil"/>
              <w:bottom w:val="nil"/>
              <w:right w:val="nil"/>
            </w:tcBorders>
          </w:tcPr>
          <w:p w:rsidR="00D25D6C" w:rsidRPr="00DA1792" w:rsidRDefault="00D25D6C" w:rsidP="006C3B29">
            <w:pPr>
              <w:jc w:val="right"/>
              <w:rPr>
                <w:sz w:val="20"/>
                <w:szCs w:val="20"/>
              </w:rPr>
            </w:pPr>
            <w:r w:rsidRPr="00DA1792">
              <w:rPr>
                <w:sz w:val="20"/>
                <w:szCs w:val="20"/>
              </w:rPr>
              <w:t>1.42</w:t>
            </w:r>
          </w:p>
        </w:tc>
        <w:tc>
          <w:tcPr>
            <w:tcW w:w="289" w:type="pct"/>
            <w:tcBorders>
              <w:left w:val="nil"/>
              <w:bottom w:val="nil"/>
              <w:right w:val="nil"/>
            </w:tcBorders>
          </w:tcPr>
          <w:p w:rsidR="00D25D6C" w:rsidRPr="00DA1792" w:rsidRDefault="00D25D6C" w:rsidP="006C3B29">
            <w:pPr>
              <w:jc w:val="right"/>
              <w:rPr>
                <w:sz w:val="20"/>
                <w:szCs w:val="20"/>
              </w:rPr>
            </w:pPr>
            <w:r w:rsidRPr="00DA1792">
              <w:rPr>
                <w:sz w:val="20"/>
                <w:szCs w:val="20"/>
              </w:rPr>
              <w:t>0.04</w:t>
            </w:r>
          </w:p>
        </w:tc>
        <w:tc>
          <w:tcPr>
            <w:tcW w:w="289" w:type="pct"/>
            <w:tcBorders>
              <w:left w:val="nil"/>
              <w:bottom w:val="nil"/>
              <w:right w:val="nil"/>
            </w:tcBorders>
          </w:tcPr>
          <w:p w:rsidR="00D25D6C" w:rsidRPr="00DA1792" w:rsidRDefault="00D25D6C" w:rsidP="006C3B29">
            <w:pPr>
              <w:jc w:val="right"/>
              <w:rPr>
                <w:sz w:val="20"/>
                <w:szCs w:val="20"/>
              </w:rPr>
            </w:pPr>
            <w:r w:rsidRPr="00DA1792">
              <w:rPr>
                <w:sz w:val="20"/>
                <w:szCs w:val="20"/>
              </w:rPr>
              <w:t>0.66</w:t>
            </w:r>
          </w:p>
        </w:tc>
        <w:tc>
          <w:tcPr>
            <w:tcW w:w="289" w:type="pct"/>
            <w:tcBorders>
              <w:left w:val="nil"/>
              <w:bottom w:val="nil"/>
              <w:right w:val="nil"/>
            </w:tcBorders>
          </w:tcPr>
          <w:p w:rsidR="00D25D6C" w:rsidRPr="00DA1792" w:rsidRDefault="00D25D6C" w:rsidP="006C3B29">
            <w:pPr>
              <w:jc w:val="right"/>
              <w:rPr>
                <w:sz w:val="20"/>
                <w:szCs w:val="20"/>
              </w:rPr>
            </w:pPr>
            <w:r w:rsidRPr="00DA1792">
              <w:rPr>
                <w:sz w:val="20"/>
                <w:szCs w:val="20"/>
              </w:rPr>
              <w:t>0.51</w:t>
            </w:r>
          </w:p>
        </w:tc>
        <w:tc>
          <w:tcPr>
            <w:tcW w:w="289" w:type="pct"/>
            <w:tcBorders>
              <w:left w:val="nil"/>
              <w:bottom w:val="nil"/>
              <w:right w:val="nil"/>
            </w:tcBorders>
          </w:tcPr>
          <w:p w:rsidR="00D25D6C" w:rsidRPr="00DA1792" w:rsidRDefault="00D25D6C" w:rsidP="006C3B29">
            <w:pPr>
              <w:jc w:val="right"/>
              <w:rPr>
                <w:sz w:val="20"/>
                <w:szCs w:val="20"/>
              </w:rPr>
            </w:pPr>
            <w:r w:rsidRPr="00DA1792">
              <w:rPr>
                <w:sz w:val="20"/>
                <w:szCs w:val="20"/>
              </w:rPr>
              <w:t>4.00</w:t>
            </w:r>
          </w:p>
        </w:tc>
        <w:tc>
          <w:tcPr>
            <w:tcW w:w="289" w:type="pct"/>
            <w:tcBorders>
              <w:left w:val="nil"/>
              <w:bottom w:val="nil"/>
              <w:right w:val="nil"/>
            </w:tcBorders>
          </w:tcPr>
          <w:p w:rsidR="00D25D6C" w:rsidRPr="00DA1792" w:rsidRDefault="00D25D6C" w:rsidP="006C3B29">
            <w:pPr>
              <w:jc w:val="right"/>
              <w:rPr>
                <w:sz w:val="20"/>
                <w:szCs w:val="20"/>
              </w:rPr>
            </w:pPr>
            <w:r w:rsidRPr="00DA1792">
              <w:rPr>
                <w:sz w:val="20"/>
                <w:szCs w:val="20"/>
              </w:rPr>
              <w:t>6.00</w:t>
            </w:r>
          </w:p>
        </w:tc>
        <w:tc>
          <w:tcPr>
            <w:tcW w:w="237" w:type="pct"/>
            <w:tcBorders>
              <w:left w:val="nil"/>
              <w:bottom w:val="nil"/>
              <w:right w:val="nil"/>
            </w:tcBorders>
          </w:tcPr>
          <w:p w:rsidR="00D25D6C" w:rsidRPr="00DA1792" w:rsidRDefault="00D25D6C" w:rsidP="006C3B29">
            <w:pPr>
              <w:jc w:val="right"/>
              <w:rPr>
                <w:sz w:val="20"/>
                <w:szCs w:val="20"/>
              </w:rPr>
            </w:pPr>
            <w:r w:rsidRPr="00DA1792">
              <w:rPr>
                <w:sz w:val="20"/>
                <w:szCs w:val="20"/>
              </w:rPr>
              <w:t>0.39</w:t>
            </w:r>
          </w:p>
        </w:tc>
        <w:tc>
          <w:tcPr>
            <w:tcW w:w="237" w:type="pct"/>
            <w:tcBorders>
              <w:left w:val="nil"/>
              <w:bottom w:val="nil"/>
              <w:right w:val="nil"/>
            </w:tcBorders>
          </w:tcPr>
          <w:p w:rsidR="00D25D6C" w:rsidRPr="00DA1792" w:rsidRDefault="00D25D6C" w:rsidP="006C3B29">
            <w:pPr>
              <w:jc w:val="right"/>
              <w:rPr>
                <w:sz w:val="20"/>
                <w:szCs w:val="20"/>
              </w:rPr>
            </w:pPr>
            <w:r w:rsidRPr="00DA1792">
              <w:rPr>
                <w:sz w:val="20"/>
                <w:szCs w:val="20"/>
              </w:rPr>
              <w:t>3.36</w:t>
            </w:r>
          </w:p>
        </w:tc>
      </w:tr>
      <w:tr w:rsidR="00D25D6C" w:rsidRPr="00DA1792" w:rsidTr="006C3B29">
        <w:tc>
          <w:tcPr>
            <w:tcW w:w="468" w:type="pct"/>
            <w:tcBorders>
              <w:top w:val="nil"/>
              <w:left w:val="nil"/>
              <w:bottom w:val="nil"/>
              <w:right w:val="nil"/>
            </w:tcBorders>
          </w:tcPr>
          <w:p w:rsidR="00D25D6C" w:rsidRPr="00DA1792" w:rsidRDefault="00D25D6C" w:rsidP="006C3B29">
            <w:pPr>
              <w:rPr>
                <w:sz w:val="20"/>
                <w:szCs w:val="20"/>
              </w:rPr>
            </w:pPr>
            <w:r w:rsidRPr="00DA1792">
              <w:rPr>
                <w:sz w:val="20"/>
                <w:szCs w:val="20"/>
              </w:rPr>
              <w:t>SCL</w:t>
            </w:r>
          </w:p>
        </w:tc>
        <w:tc>
          <w:tcPr>
            <w:tcW w:w="341"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36.3</w:t>
            </w:r>
          </w:p>
        </w:tc>
        <w:tc>
          <w:tcPr>
            <w:tcW w:w="341"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23.7</w:t>
            </w:r>
          </w:p>
        </w:tc>
        <w:tc>
          <w:tcPr>
            <w:tcW w:w="341"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60.0</w:t>
            </w:r>
          </w:p>
        </w:tc>
        <w:tc>
          <w:tcPr>
            <w:tcW w:w="341"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28.0</w:t>
            </w:r>
          </w:p>
        </w:tc>
        <w:tc>
          <w:tcPr>
            <w:tcW w:w="357"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22.0</w:t>
            </w:r>
          </w:p>
        </w:tc>
        <w:tc>
          <w:tcPr>
            <w:tcW w:w="305"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4.6</w:t>
            </w:r>
          </w:p>
        </w:tc>
        <w:tc>
          <w:tcPr>
            <w:tcW w:w="296"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3.4</w:t>
            </w:r>
          </w:p>
        </w:tc>
        <w:tc>
          <w:tcPr>
            <w:tcW w:w="289"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0.94</w:t>
            </w:r>
          </w:p>
        </w:tc>
        <w:tc>
          <w:tcPr>
            <w:tcW w:w="289"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0.03</w:t>
            </w:r>
          </w:p>
        </w:tc>
        <w:tc>
          <w:tcPr>
            <w:tcW w:w="289"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3.73</w:t>
            </w:r>
          </w:p>
        </w:tc>
        <w:tc>
          <w:tcPr>
            <w:tcW w:w="289"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0.31</w:t>
            </w:r>
          </w:p>
        </w:tc>
        <w:tc>
          <w:tcPr>
            <w:tcW w:w="289"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6.00</w:t>
            </w:r>
          </w:p>
        </w:tc>
        <w:tc>
          <w:tcPr>
            <w:tcW w:w="289"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6.00</w:t>
            </w:r>
          </w:p>
        </w:tc>
        <w:tc>
          <w:tcPr>
            <w:tcW w:w="237"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0.21</w:t>
            </w:r>
          </w:p>
        </w:tc>
        <w:tc>
          <w:tcPr>
            <w:tcW w:w="237" w:type="pct"/>
            <w:tcBorders>
              <w:top w:val="nil"/>
              <w:left w:val="nil"/>
              <w:bottom w:val="nil"/>
              <w:right w:val="nil"/>
            </w:tcBorders>
          </w:tcPr>
          <w:p w:rsidR="00D25D6C" w:rsidRPr="00DA1792" w:rsidRDefault="00D25D6C" w:rsidP="006C3B29">
            <w:pPr>
              <w:jc w:val="right"/>
              <w:rPr>
                <w:sz w:val="20"/>
                <w:szCs w:val="20"/>
              </w:rPr>
            </w:pPr>
            <w:r w:rsidRPr="00DA1792">
              <w:rPr>
                <w:sz w:val="20"/>
                <w:szCs w:val="20"/>
              </w:rPr>
              <w:t>1.68</w:t>
            </w:r>
          </w:p>
        </w:tc>
      </w:tr>
      <w:tr w:rsidR="00D25D6C" w:rsidRPr="00DA1792" w:rsidTr="006C3B29">
        <w:tc>
          <w:tcPr>
            <w:tcW w:w="468" w:type="pct"/>
            <w:tcBorders>
              <w:top w:val="nil"/>
              <w:left w:val="nil"/>
              <w:right w:val="nil"/>
            </w:tcBorders>
          </w:tcPr>
          <w:p w:rsidR="00D25D6C" w:rsidRPr="00DA1792" w:rsidRDefault="00D25D6C" w:rsidP="006C3B29">
            <w:pPr>
              <w:rPr>
                <w:sz w:val="20"/>
                <w:szCs w:val="20"/>
              </w:rPr>
            </w:pPr>
            <w:r w:rsidRPr="00DA1792">
              <w:rPr>
                <w:sz w:val="20"/>
                <w:szCs w:val="20"/>
              </w:rPr>
              <w:t>SS</w:t>
            </w:r>
          </w:p>
        </w:tc>
        <w:tc>
          <w:tcPr>
            <w:tcW w:w="341" w:type="pct"/>
            <w:tcBorders>
              <w:top w:val="nil"/>
              <w:left w:val="nil"/>
              <w:right w:val="nil"/>
            </w:tcBorders>
          </w:tcPr>
          <w:p w:rsidR="00D25D6C" w:rsidRPr="00DA1792" w:rsidRDefault="00D25D6C" w:rsidP="006C3B29">
            <w:pPr>
              <w:jc w:val="right"/>
              <w:rPr>
                <w:sz w:val="20"/>
                <w:szCs w:val="20"/>
              </w:rPr>
            </w:pPr>
            <w:r w:rsidRPr="00DA1792">
              <w:rPr>
                <w:sz w:val="20"/>
                <w:szCs w:val="20"/>
              </w:rPr>
              <w:t>52.1</w:t>
            </w:r>
          </w:p>
        </w:tc>
        <w:tc>
          <w:tcPr>
            <w:tcW w:w="341" w:type="pct"/>
            <w:tcBorders>
              <w:top w:val="nil"/>
              <w:left w:val="nil"/>
              <w:right w:val="nil"/>
            </w:tcBorders>
          </w:tcPr>
          <w:p w:rsidR="00D25D6C" w:rsidRPr="00DA1792" w:rsidRDefault="00D25D6C" w:rsidP="006C3B29">
            <w:pPr>
              <w:jc w:val="right"/>
              <w:rPr>
                <w:sz w:val="20"/>
                <w:szCs w:val="20"/>
              </w:rPr>
            </w:pPr>
            <w:r w:rsidRPr="00DA1792">
              <w:rPr>
                <w:sz w:val="20"/>
                <w:szCs w:val="20"/>
              </w:rPr>
              <w:t>37.1</w:t>
            </w:r>
          </w:p>
        </w:tc>
        <w:tc>
          <w:tcPr>
            <w:tcW w:w="341" w:type="pct"/>
            <w:tcBorders>
              <w:top w:val="nil"/>
              <w:left w:val="nil"/>
              <w:right w:val="nil"/>
            </w:tcBorders>
          </w:tcPr>
          <w:p w:rsidR="00D25D6C" w:rsidRPr="00DA1792" w:rsidRDefault="00D25D6C" w:rsidP="006C3B29">
            <w:pPr>
              <w:jc w:val="right"/>
              <w:rPr>
                <w:sz w:val="20"/>
                <w:szCs w:val="20"/>
              </w:rPr>
            </w:pPr>
            <w:r w:rsidRPr="00DA1792">
              <w:rPr>
                <w:sz w:val="20"/>
                <w:szCs w:val="20"/>
              </w:rPr>
              <w:t>89.0</w:t>
            </w:r>
          </w:p>
        </w:tc>
        <w:tc>
          <w:tcPr>
            <w:tcW w:w="341" w:type="pct"/>
            <w:tcBorders>
              <w:top w:val="nil"/>
              <w:left w:val="nil"/>
              <w:right w:val="nil"/>
            </w:tcBorders>
          </w:tcPr>
          <w:p w:rsidR="00D25D6C" w:rsidRPr="00DA1792" w:rsidRDefault="00D25D6C" w:rsidP="006C3B29">
            <w:pPr>
              <w:jc w:val="right"/>
              <w:rPr>
                <w:sz w:val="20"/>
                <w:szCs w:val="20"/>
              </w:rPr>
            </w:pPr>
            <w:r w:rsidRPr="00DA1792">
              <w:rPr>
                <w:sz w:val="20"/>
                <w:szCs w:val="20"/>
              </w:rPr>
              <w:t>2.8</w:t>
            </w:r>
          </w:p>
        </w:tc>
        <w:tc>
          <w:tcPr>
            <w:tcW w:w="357" w:type="pct"/>
            <w:tcBorders>
              <w:top w:val="nil"/>
              <w:left w:val="nil"/>
              <w:right w:val="nil"/>
            </w:tcBorders>
          </w:tcPr>
          <w:p w:rsidR="00D25D6C" w:rsidRPr="00DA1792" w:rsidRDefault="00D25D6C" w:rsidP="006C3B29">
            <w:pPr>
              <w:jc w:val="right"/>
              <w:rPr>
                <w:sz w:val="20"/>
                <w:szCs w:val="20"/>
              </w:rPr>
            </w:pPr>
            <w:r w:rsidRPr="00DA1792">
              <w:rPr>
                <w:sz w:val="20"/>
                <w:szCs w:val="20"/>
              </w:rPr>
              <w:t>8.0</w:t>
            </w:r>
          </w:p>
        </w:tc>
        <w:tc>
          <w:tcPr>
            <w:tcW w:w="305" w:type="pct"/>
            <w:tcBorders>
              <w:top w:val="nil"/>
              <w:left w:val="nil"/>
              <w:right w:val="nil"/>
            </w:tcBorders>
          </w:tcPr>
          <w:p w:rsidR="00D25D6C" w:rsidRPr="00DA1792" w:rsidRDefault="00D25D6C" w:rsidP="006C3B29">
            <w:pPr>
              <w:jc w:val="right"/>
              <w:rPr>
                <w:sz w:val="20"/>
                <w:szCs w:val="20"/>
              </w:rPr>
            </w:pPr>
            <w:r w:rsidRPr="00DA1792">
              <w:rPr>
                <w:sz w:val="20"/>
                <w:szCs w:val="20"/>
              </w:rPr>
              <w:t>5.9</w:t>
            </w:r>
          </w:p>
        </w:tc>
        <w:tc>
          <w:tcPr>
            <w:tcW w:w="296" w:type="pct"/>
            <w:tcBorders>
              <w:top w:val="nil"/>
              <w:left w:val="nil"/>
              <w:right w:val="nil"/>
            </w:tcBorders>
          </w:tcPr>
          <w:p w:rsidR="00D25D6C" w:rsidRPr="00DA1792" w:rsidRDefault="00D25D6C" w:rsidP="006C3B29">
            <w:pPr>
              <w:jc w:val="right"/>
              <w:rPr>
                <w:sz w:val="20"/>
                <w:szCs w:val="20"/>
              </w:rPr>
            </w:pPr>
            <w:r w:rsidRPr="00DA1792">
              <w:rPr>
                <w:sz w:val="20"/>
                <w:szCs w:val="20"/>
              </w:rPr>
              <w:t>5.4</w:t>
            </w:r>
          </w:p>
        </w:tc>
        <w:tc>
          <w:tcPr>
            <w:tcW w:w="289" w:type="pct"/>
            <w:tcBorders>
              <w:top w:val="nil"/>
              <w:left w:val="nil"/>
              <w:right w:val="nil"/>
            </w:tcBorders>
          </w:tcPr>
          <w:p w:rsidR="00D25D6C" w:rsidRPr="00DA1792" w:rsidRDefault="00D25D6C" w:rsidP="006C3B29">
            <w:pPr>
              <w:jc w:val="right"/>
              <w:rPr>
                <w:sz w:val="20"/>
                <w:szCs w:val="20"/>
              </w:rPr>
            </w:pPr>
            <w:r w:rsidRPr="00DA1792">
              <w:rPr>
                <w:sz w:val="20"/>
                <w:szCs w:val="20"/>
              </w:rPr>
              <w:t>0.20</w:t>
            </w:r>
          </w:p>
        </w:tc>
        <w:tc>
          <w:tcPr>
            <w:tcW w:w="289" w:type="pct"/>
            <w:tcBorders>
              <w:top w:val="nil"/>
              <w:left w:val="nil"/>
              <w:right w:val="nil"/>
            </w:tcBorders>
          </w:tcPr>
          <w:p w:rsidR="00D25D6C" w:rsidRPr="00DA1792" w:rsidRDefault="00D25D6C" w:rsidP="006C3B29">
            <w:pPr>
              <w:jc w:val="right"/>
              <w:rPr>
                <w:sz w:val="20"/>
                <w:szCs w:val="20"/>
              </w:rPr>
            </w:pPr>
            <w:r w:rsidRPr="00DA1792">
              <w:rPr>
                <w:sz w:val="20"/>
                <w:szCs w:val="20"/>
              </w:rPr>
              <w:t>0.01</w:t>
            </w:r>
          </w:p>
        </w:tc>
        <w:tc>
          <w:tcPr>
            <w:tcW w:w="289" w:type="pct"/>
            <w:tcBorders>
              <w:top w:val="nil"/>
              <w:left w:val="nil"/>
              <w:right w:val="nil"/>
            </w:tcBorders>
          </w:tcPr>
          <w:p w:rsidR="00D25D6C" w:rsidRPr="00DA1792" w:rsidRDefault="00D25D6C" w:rsidP="006C3B29">
            <w:pPr>
              <w:jc w:val="right"/>
              <w:rPr>
                <w:sz w:val="20"/>
                <w:szCs w:val="20"/>
              </w:rPr>
            </w:pPr>
            <w:r w:rsidRPr="00DA1792">
              <w:rPr>
                <w:sz w:val="20"/>
                <w:szCs w:val="20"/>
              </w:rPr>
              <w:t>0.93</w:t>
            </w:r>
          </w:p>
        </w:tc>
        <w:tc>
          <w:tcPr>
            <w:tcW w:w="289" w:type="pct"/>
            <w:tcBorders>
              <w:top w:val="nil"/>
              <w:left w:val="nil"/>
              <w:right w:val="nil"/>
            </w:tcBorders>
          </w:tcPr>
          <w:p w:rsidR="00D25D6C" w:rsidRPr="00DA1792" w:rsidRDefault="00D25D6C" w:rsidP="006C3B29">
            <w:pPr>
              <w:jc w:val="right"/>
              <w:rPr>
                <w:sz w:val="20"/>
                <w:szCs w:val="20"/>
              </w:rPr>
            </w:pPr>
            <w:r w:rsidRPr="00DA1792">
              <w:rPr>
                <w:sz w:val="20"/>
                <w:szCs w:val="20"/>
              </w:rPr>
              <w:t>0.25</w:t>
            </w:r>
          </w:p>
        </w:tc>
        <w:tc>
          <w:tcPr>
            <w:tcW w:w="289" w:type="pct"/>
            <w:tcBorders>
              <w:top w:val="nil"/>
              <w:left w:val="nil"/>
              <w:right w:val="nil"/>
            </w:tcBorders>
          </w:tcPr>
          <w:p w:rsidR="00D25D6C" w:rsidRPr="00DA1792" w:rsidRDefault="00D25D6C" w:rsidP="006C3B29">
            <w:pPr>
              <w:jc w:val="right"/>
              <w:rPr>
                <w:sz w:val="20"/>
                <w:szCs w:val="20"/>
              </w:rPr>
            </w:pPr>
            <w:r w:rsidRPr="00DA1792">
              <w:rPr>
                <w:sz w:val="20"/>
                <w:szCs w:val="20"/>
              </w:rPr>
              <w:t>8.00</w:t>
            </w:r>
          </w:p>
        </w:tc>
        <w:tc>
          <w:tcPr>
            <w:tcW w:w="289" w:type="pct"/>
            <w:tcBorders>
              <w:top w:val="nil"/>
              <w:left w:val="nil"/>
              <w:right w:val="nil"/>
            </w:tcBorders>
          </w:tcPr>
          <w:p w:rsidR="00D25D6C" w:rsidRPr="00DA1792" w:rsidRDefault="00D25D6C" w:rsidP="006C3B29">
            <w:pPr>
              <w:jc w:val="right"/>
              <w:rPr>
                <w:sz w:val="20"/>
                <w:szCs w:val="20"/>
              </w:rPr>
            </w:pPr>
            <w:r w:rsidRPr="00DA1792">
              <w:rPr>
                <w:sz w:val="20"/>
                <w:szCs w:val="20"/>
              </w:rPr>
              <w:t>8.00</w:t>
            </w:r>
          </w:p>
        </w:tc>
        <w:tc>
          <w:tcPr>
            <w:tcW w:w="237" w:type="pct"/>
            <w:tcBorders>
              <w:top w:val="nil"/>
              <w:left w:val="nil"/>
              <w:right w:val="nil"/>
            </w:tcBorders>
          </w:tcPr>
          <w:p w:rsidR="00D25D6C" w:rsidRPr="00DA1792" w:rsidRDefault="00D25D6C" w:rsidP="006C3B29">
            <w:pPr>
              <w:jc w:val="right"/>
              <w:rPr>
                <w:sz w:val="20"/>
                <w:szCs w:val="20"/>
              </w:rPr>
            </w:pPr>
            <w:r w:rsidRPr="00DA1792">
              <w:rPr>
                <w:sz w:val="20"/>
                <w:szCs w:val="20"/>
              </w:rPr>
              <w:t>0.11</w:t>
            </w:r>
          </w:p>
        </w:tc>
        <w:tc>
          <w:tcPr>
            <w:tcW w:w="237" w:type="pct"/>
            <w:tcBorders>
              <w:top w:val="nil"/>
              <w:left w:val="nil"/>
              <w:right w:val="nil"/>
            </w:tcBorders>
          </w:tcPr>
          <w:p w:rsidR="00D25D6C" w:rsidRPr="00DA1792" w:rsidRDefault="00D25D6C" w:rsidP="006C3B29">
            <w:pPr>
              <w:jc w:val="right"/>
              <w:rPr>
                <w:sz w:val="20"/>
                <w:szCs w:val="20"/>
              </w:rPr>
            </w:pPr>
            <w:r w:rsidRPr="00DA1792">
              <w:rPr>
                <w:sz w:val="20"/>
                <w:szCs w:val="20"/>
              </w:rPr>
              <w:t>0.56</w:t>
            </w:r>
          </w:p>
        </w:tc>
      </w:tr>
    </w:tbl>
    <w:p w:rsidR="00D25D6C" w:rsidRPr="00DA1792" w:rsidRDefault="00D25D6C" w:rsidP="00D25D6C">
      <w:pPr>
        <w:rPr>
          <w:sz w:val="20"/>
          <w:szCs w:val="20"/>
        </w:rPr>
      </w:pPr>
      <w:r w:rsidRPr="00DA1792">
        <w:rPr>
          <w:sz w:val="20"/>
          <w:szCs w:val="20"/>
        </w:rPr>
        <w:t>TC = textural class, CS = coarse sand, FS = fine sand, TS = total sand, OM = organic matter, LS = Loam soil, SCL = sandy clay loam, SS = sandy soil.</w:t>
      </w:r>
    </w:p>
    <w:p w:rsidR="00D25D6C" w:rsidRPr="00DA1792" w:rsidRDefault="00D25D6C" w:rsidP="00D25D6C">
      <w:pPr>
        <w:rPr>
          <w:sz w:val="20"/>
          <w:szCs w:val="20"/>
        </w:rPr>
      </w:pPr>
    </w:p>
    <w:p w:rsidR="00D25D6C" w:rsidRPr="00DA1792" w:rsidRDefault="00D25D6C" w:rsidP="00D25D6C">
      <w:pPr>
        <w:jc w:val="center"/>
        <w:rPr>
          <w:sz w:val="20"/>
          <w:szCs w:val="20"/>
        </w:rPr>
      </w:pPr>
      <w:r w:rsidRPr="00DA1792">
        <w:rPr>
          <w:b/>
          <w:sz w:val="20"/>
          <w:szCs w:val="20"/>
        </w:rPr>
        <w:t>Table 2</w:t>
      </w:r>
      <w:r w:rsidRPr="00DA1792">
        <w:rPr>
          <w:sz w:val="20"/>
          <w:szCs w:val="20"/>
        </w:rPr>
        <w:t>: Chemical properties of organic materials</w:t>
      </w:r>
    </w:p>
    <w:tbl>
      <w:tblPr>
        <w:tblStyle w:val="TableGrid"/>
        <w:tblW w:w="5000" w:type="pct"/>
        <w:tblLook w:val="04A0"/>
      </w:tblPr>
      <w:tblGrid>
        <w:gridCol w:w="1197"/>
        <w:gridCol w:w="1197"/>
        <w:gridCol w:w="1197"/>
        <w:gridCol w:w="1197"/>
        <w:gridCol w:w="1197"/>
        <w:gridCol w:w="1197"/>
        <w:gridCol w:w="1197"/>
        <w:gridCol w:w="1197"/>
      </w:tblGrid>
      <w:tr w:rsidR="00D25D6C" w:rsidRPr="00DA1792" w:rsidTr="006C3B29">
        <w:tc>
          <w:tcPr>
            <w:tcW w:w="625" w:type="pct"/>
            <w:tcBorders>
              <w:left w:val="nil"/>
              <w:bottom w:val="nil"/>
              <w:right w:val="nil"/>
            </w:tcBorders>
          </w:tcPr>
          <w:p w:rsidR="00D25D6C" w:rsidRPr="00DA1792" w:rsidRDefault="00D25D6C" w:rsidP="006C3B29">
            <w:pPr>
              <w:rPr>
                <w:sz w:val="20"/>
                <w:szCs w:val="20"/>
              </w:rPr>
            </w:pPr>
            <w:r w:rsidRPr="00DA1792">
              <w:rPr>
                <w:sz w:val="20"/>
                <w:szCs w:val="20"/>
              </w:rPr>
              <w:t xml:space="preserve">Organic Material   </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C</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N</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P</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K</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Ca</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Mg</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S</w:t>
            </w:r>
          </w:p>
        </w:tc>
      </w:tr>
      <w:tr w:rsidR="00D25D6C" w:rsidRPr="00DA1792" w:rsidTr="006C3B29">
        <w:tc>
          <w:tcPr>
            <w:tcW w:w="625" w:type="pct"/>
            <w:tcBorders>
              <w:top w:val="nil"/>
              <w:left w:val="nil"/>
              <w:bottom w:val="single" w:sz="4" w:space="0" w:color="auto"/>
              <w:right w:val="nil"/>
            </w:tcBorders>
          </w:tcPr>
          <w:p w:rsidR="00D25D6C" w:rsidRPr="00DA1792" w:rsidRDefault="00D25D6C" w:rsidP="006C3B29">
            <w:pPr>
              <w:rPr>
                <w:sz w:val="20"/>
                <w:szCs w:val="20"/>
              </w:rPr>
            </w:pPr>
          </w:p>
        </w:tc>
        <w:tc>
          <w:tcPr>
            <w:tcW w:w="625" w:type="pct"/>
            <w:tcBorders>
              <w:top w:val="nil"/>
              <w:left w:val="nil"/>
              <w:bottom w:val="single" w:sz="4" w:space="0" w:color="auto"/>
              <w:right w:val="nil"/>
            </w:tcBorders>
          </w:tcPr>
          <w:p w:rsidR="00D25D6C" w:rsidRPr="00DA1792" w:rsidRDefault="00B32003" w:rsidP="006C3B29">
            <w:pPr>
              <w:rPr>
                <w:sz w:val="20"/>
                <w:szCs w:val="20"/>
              </w:rPr>
            </w:pPr>
            <w:r w:rsidRPr="00B32003">
              <w:rPr>
                <w:noProof/>
                <w:sz w:val="20"/>
                <w:szCs w:val="20"/>
              </w:rPr>
              <w:pict>
                <v:shape id="_x0000_s1059" type="#_x0000_t32" style="position:absolute;margin-left:2.25pt;margin-top:7.55pt;width:169.5pt;height:0;flip:x;z-index:251665408;mso-position-horizontal-relative:text;mso-position-vertical-relative:text" o:connectortype="straight">
                  <v:stroke endarrow="block"/>
                </v:shape>
              </w:pict>
            </w:r>
          </w:p>
        </w:tc>
        <w:tc>
          <w:tcPr>
            <w:tcW w:w="625" w:type="pct"/>
            <w:tcBorders>
              <w:top w:val="nil"/>
              <w:left w:val="nil"/>
              <w:bottom w:val="single" w:sz="4" w:space="0" w:color="auto"/>
              <w:right w:val="nil"/>
            </w:tcBorders>
          </w:tcPr>
          <w:p w:rsidR="00D25D6C" w:rsidRPr="00DA1792" w:rsidRDefault="00D25D6C" w:rsidP="006C3B29">
            <w:pPr>
              <w:rPr>
                <w:sz w:val="20"/>
                <w:szCs w:val="20"/>
              </w:rPr>
            </w:pPr>
          </w:p>
        </w:tc>
        <w:tc>
          <w:tcPr>
            <w:tcW w:w="625"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 xml:space="preserve">                            </w:t>
            </w:r>
          </w:p>
        </w:tc>
        <w:tc>
          <w:tcPr>
            <w:tcW w:w="625" w:type="pct"/>
            <w:tcBorders>
              <w:top w:val="nil"/>
              <w:left w:val="nil"/>
              <w:bottom w:val="single" w:sz="4" w:space="0" w:color="auto"/>
              <w:right w:val="nil"/>
            </w:tcBorders>
          </w:tcPr>
          <w:p w:rsidR="00D25D6C" w:rsidRPr="00DA1792" w:rsidRDefault="00B32003" w:rsidP="006C3B29">
            <w:pPr>
              <w:rPr>
                <w:sz w:val="20"/>
                <w:szCs w:val="20"/>
              </w:rPr>
            </w:pPr>
            <w:r w:rsidRPr="00B32003">
              <w:rPr>
                <w:noProof/>
                <w:sz w:val="20"/>
                <w:szCs w:val="20"/>
              </w:rPr>
              <w:pict>
                <v:shape id="_x0000_s1060" type="#_x0000_t32" style="position:absolute;margin-left:41.25pt;margin-top:7.55pt;width:149.25pt;height:0;z-index:251666432;mso-position-horizontal-relative:text;mso-position-vertical-relative:text" o:connectortype="straight">
                  <v:stroke endarrow="block"/>
                </v:shape>
              </w:pict>
            </w:r>
            <w:r w:rsidR="00D25D6C" w:rsidRPr="00DA1792">
              <w:rPr>
                <w:sz w:val="20"/>
                <w:szCs w:val="20"/>
              </w:rPr>
              <w:t>% dry weight</w:t>
            </w:r>
          </w:p>
        </w:tc>
        <w:tc>
          <w:tcPr>
            <w:tcW w:w="625" w:type="pct"/>
            <w:tcBorders>
              <w:top w:val="nil"/>
              <w:left w:val="nil"/>
              <w:bottom w:val="single" w:sz="4" w:space="0" w:color="auto"/>
              <w:right w:val="nil"/>
            </w:tcBorders>
          </w:tcPr>
          <w:p w:rsidR="00D25D6C" w:rsidRPr="00DA1792" w:rsidRDefault="00D25D6C" w:rsidP="006C3B29">
            <w:pPr>
              <w:rPr>
                <w:sz w:val="20"/>
                <w:szCs w:val="20"/>
              </w:rPr>
            </w:pPr>
          </w:p>
        </w:tc>
        <w:tc>
          <w:tcPr>
            <w:tcW w:w="625" w:type="pct"/>
            <w:tcBorders>
              <w:top w:val="nil"/>
              <w:left w:val="nil"/>
              <w:bottom w:val="single" w:sz="4" w:space="0" w:color="auto"/>
              <w:right w:val="nil"/>
            </w:tcBorders>
          </w:tcPr>
          <w:p w:rsidR="00D25D6C" w:rsidRPr="00DA1792" w:rsidRDefault="00D25D6C" w:rsidP="006C3B29">
            <w:pPr>
              <w:rPr>
                <w:sz w:val="20"/>
                <w:szCs w:val="20"/>
              </w:rPr>
            </w:pPr>
          </w:p>
        </w:tc>
        <w:tc>
          <w:tcPr>
            <w:tcW w:w="625" w:type="pct"/>
            <w:tcBorders>
              <w:top w:val="nil"/>
              <w:left w:val="nil"/>
              <w:bottom w:val="single" w:sz="4" w:space="0" w:color="auto"/>
              <w:right w:val="nil"/>
            </w:tcBorders>
          </w:tcPr>
          <w:p w:rsidR="00D25D6C" w:rsidRPr="00DA1792" w:rsidRDefault="00D25D6C" w:rsidP="006C3B29">
            <w:pPr>
              <w:rPr>
                <w:sz w:val="20"/>
                <w:szCs w:val="20"/>
              </w:rPr>
            </w:pPr>
          </w:p>
        </w:tc>
      </w:tr>
      <w:tr w:rsidR="00D25D6C" w:rsidRPr="00DA1792" w:rsidTr="006C3B29">
        <w:tc>
          <w:tcPr>
            <w:tcW w:w="625" w:type="pct"/>
            <w:tcBorders>
              <w:left w:val="nil"/>
              <w:bottom w:val="nil"/>
              <w:right w:val="nil"/>
            </w:tcBorders>
          </w:tcPr>
          <w:p w:rsidR="00D25D6C" w:rsidRPr="00DA1792" w:rsidRDefault="00D25D6C" w:rsidP="006C3B29">
            <w:pPr>
              <w:rPr>
                <w:sz w:val="20"/>
                <w:szCs w:val="20"/>
              </w:rPr>
            </w:pPr>
            <w:r w:rsidRPr="00DA1792">
              <w:rPr>
                <w:sz w:val="20"/>
                <w:szCs w:val="20"/>
              </w:rPr>
              <w:t>PP</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25.0</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1.10</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0.21</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0.60</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0.60</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0.70</w:t>
            </w:r>
          </w:p>
        </w:tc>
        <w:tc>
          <w:tcPr>
            <w:tcW w:w="625" w:type="pct"/>
            <w:tcBorders>
              <w:left w:val="nil"/>
              <w:bottom w:val="nil"/>
              <w:right w:val="nil"/>
            </w:tcBorders>
          </w:tcPr>
          <w:p w:rsidR="00D25D6C" w:rsidRPr="00DA1792" w:rsidRDefault="00D25D6C" w:rsidP="006C3B29">
            <w:pPr>
              <w:rPr>
                <w:sz w:val="20"/>
                <w:szCs w:val="20"/>
              </w:rPr>
            </w:pPr>
            <w:r w:rsidRPr="00DA1792">
              <w:rPr>
                <w:sz w:val="20"/>
                <w:szCs w:val="20"/>
              </w:rPr>
              <w:t>0.21</w:t>
            </w:r>
          </w:p>
        </w:tc>
      </w:tr>
      <w:tr w:rsidR="00D25D6C" w:rsidRPr="00DA1792" w:rsidTr="006C3B29">
        <w:tc>
          <w:tcPr>
            <w:tcW w:w="625" w:type="pct"/>
            <w:tcBorders>
              <w:top w:val="nil"/>
              <w:left w:val="nil"/>
              <w:bottom w:val="nil"/>
              <w:right w:val="nil"/>
            </w:tcBorders>
          </w:tcPr>
          <w:p w:rsidR="00D25D6C" w:rsidRPr="00DA1792" w:rsidRDefault="00D25D6C" w:rsidP="006C3B29">
            <w:pPr>
              <w:rPr>
                <w:sz w:val="20"/>
                <w:szCs w:val="20"/>
              </w:rPr>
            </w:pPr>
            <w:r w:rsidRPr="00DA1792">
              <w:rPr>
                <w:sz w:val="20"/>
                <w:szCs w:val="20"/>
              </w:rPr>
              <w:t>YP</w:t>
            </w:r>
          </w:p>
        </w:tc>
        <w:tc>
          <w:tcPr>
            <w:tcW w:w="625" w:type="pct"/>
            <w:tcBorders>
              <w:top w:val="nil"/>
              <w:left w:val="nil"/>
              <w:bottom w:val="nil"/>
              <w:right w:val="nil"/>
            </w:tcBorders>
          </w:tcPr>
          <w:p w:rsidR="00D25D6C" w:rsidRPr="00DA1792" w:rsidRDefault="00D25D6C" w:rsidP="006C3B29">
            <w:pPr>
              <w:rPr>
                <w:sz w:val="20"/>
                <w:szCs w:val="20"/>
              </w:rPr>
            </w:pPr>
            <w:r w:rsidRPr="00DA1792">
              <w:rPr>
                <w:sz w:val="20"/>
                <w:szCs w:val="20"/>
              </w:rPr>
              <w:t>23.0</w:t>
            </w:r>
          </w:p>
        </w:tc>
        <w:tc>
          <w:tcPr>
            <w:tcW w:w="625" w:type="pct"/>
            <w:tcBorders>
              <w:top w:val="nil"/>
              <w:left w:val="nil"/>
              <w:bottom w:val="nil"/>
              <w:right w:val="nil"/>
            </w:tcBorders>
          </w:tcPr>
          <w:p w:rsidR="00D25D6C" w:rsidRPr="00DA1792" w:rsidRDefault="00D25D6C" w:rsidP="006C3B29">
            <w:pPr>
              <w:rPr>
                <w:sz w:val="20"/>
                <w:szCs w:val="20"/>
              </w:rPr>
            </w:pPr>
            <w:r w:rsidRPr="00DA1792">
              <w:rPr>
                <w:sz w:val="20"/>
                <w:szCs w:val="20"/>
              </w:rPr>
              <w:t>0.91</w:t>
            </w:r>
          </w:p>
        </w:tc>
        <w:tc>
          <w:tcPr>
            <w:tcW w:w="625" w:type="pct"/>
            <w:tcBorders>
              <w:top w:val="nil"/>
              <w:left w:val="nil"/>
              <w:bottom w:val="nil"/>
              <w:right w:val="nil"/>
            </w:tcBorders>
          </w:tcPr>
          <w:p w:rsidR="00D25D6C" w:rsidRPr="00DA1792" w:rsidRDefault="00D25D6C" w:rsidP="006C3B29">
            <w:pPr>
              <w:rPr>
                <w:sz w:val="20"/>
                <w:szCs w:val="20"/>
              </w:rPr>
            </w:pPr>
            <w:r w:rsidRPr="00DA1792">
              <w:rPr>
                <w:sz w:val="20"/>
                <w:szCs w:val="20"/>
              </w:rPr>
              <w:t>0.08</w:t>
            </w:r>
          </w:p>
        </w:tc>
        <w:tc>
          <w:tcPr>
            <w:tcW w:w="625" w:type="pct"/>
            <w:tcBorders>
              <w:top w:val="nil"/>
              <w:left w:val="nil"/>
              <w:bottom w:val="nil"/>
              <w:right w:val="nil"/>
            </w:tcBorders>
          </w:tcPr>
          <w:p w:rsidR="00D25D6C" w:rsidRPr="00DA1792" w:rsidRDefault="00D25D6C" w:rsidP="006C3B29">
            <w:pPr>
              <w:rPr>
                <w:sz w:val="20"/>
                <w:szCs w:val="20"/>
              </w:rPr>
            </w:pPr>
            <w:r w:rsidRPr="00DA1792">
              <w:rPr>
                <w:sz w:val="20"/>
                <w:szCs w:val="20"/>
              </w:rPr>
              <w:t>0.61</w:t>
            </w:r>
          </w:p>
        </w:tc>
        <w:tc>
          <w:tcPr>
            <w:tcW w:w="625" w:type="pct"/>
            <w:tcBorders>
              <w:top w:val="nil"/>
              <w:left w:val="nil"/>
              <w:bottom w:val="nil"/>
              <w:right w:val="nil"/>
            </w:tcBorders>
          </w:tcPr>
          <w:p w:rsidR="00D25D6C" w:rsidRPr="00DA1792" w:rsidRDefault="00D25D6C" w:rsidP="006C3B29">
            <w:pPr>
              <w:rPr>
                <w:sz w:val="20"/>
                <w:szCs w:val="20"/>
              </w:rPr>
            </w:pPr>
            <w:r w:rsidRPr="00DA1792">
              <w:rPr>
                <w:sz w:val="20"/>
                <w:szCs w:val="20"/>
              </w:rPr>
              <w:t>0.60</w:t>
            </w:r>
          </w:p>
        </w:tc>
        <w:tc>
          <w:tcPr>
            <w:tcW w:w="625" w:type="pct"/>
            <w:tcBorders>
              <w:top w:val="nil"/>
              <w:left w:val="nil"/>
              <w:bottom w:val="nil"/>
              <w:right w:val="nil"/>
            </w:tcBorders>
          </w:tcPr>
          <w:p w:rsidR="00D25D6C" w:rsidRPr="00DA1792" w:rsidRDefault="00D25D6C" w:rsidP="006C3B29">
            <w:pPr>
              <w:rPr>
                <w:sz w:val="20"/>
                <w:szCs w:val="20"/>
              </w:rPr>
            </w:pPr>
            <w:r w:rsidRPr="00DA1792">
              <w:rPr>
                <w:sz w:val="20"/>
                <w:szCs w:val="20"/>
              </w:rPr>
              <w:t>0.83</w:t>
            </w:r>
          </w:p>
        </w:tc>
        <w:tc>
          <w:tcPr>
            <w:tcW w:w="625" w:type="pct"/>
            <w:tcBorders>
              <w:top w:val="nil"/>
              <w:left w:val="nil"/>
              <w:bottom w:val="nil"/>
              <w:right w:val="nil"/>
            </w:tcBorders>
          </w:tcPr>
          <w:p w:rsidR="00D25D6C" w:rsidRPr="00DA1792" w:rsidRDefault="00D25D6C" w:rsidP="006C3B29">
            <w:pPr>
              <w:rPr>
                <w:sz w:val="20"/>
                <w:szCs w:val="20"/>
              </w:rPr>
            </w:pPr>
            <w:r w:rsidRPr="00DA1792">
              <w:rPr>
                <w:sz w:val="20"/>
                <w:szCs w:val="20"/>
              </w:rPr>
              <w:t>0.18</w:t>
            </w:r>
          </w:p>
        </w:tc>
      </w:tr>
      <w:tr w:rsidR="00D25D6C" w:rsidRPr="00DA1792" w:rsidTr="006C3B29">
        <w:tc>
          <w:tcPr>
            <w:tcW w:w="625" w:type="pct"/>
            <w:tcBorders>
              <w:top w:val="nil"/>
              <w:left w:val="nil"/>
              <w:right w:val="nil"/>
            </w:tcBorders>
          </w:tcPr>
          <w:p w:rsidR="00D25D6C" w:rsidRPr="00DA1792" w:rsidRDefault="00D25D6C" w:rsidP="006C3B29">
            <w:pPr>
              <w:rPr>
                <w:sz w:val="20"/>
                <w:szCs w:val="20"/>
              </w:rPr>
            </w:pPr>
            <w:r w:rsidRPr="00DA1792">
              <w:rPr>
                <w:sz w:val="20"/>
                <w:szCs w:val="20"/>
              </w:rPr>
              <w:t>SG</w:t>
            </w:r>
          </w:p>
        </w:tc>
        <w:tc>
          <w:tcPr>
            <w:tcW w:w="625" w:type="pct"/>
            <w:tcBorders>
              <w:top w:val="nil"/>
              <w:left w:val="nil"/>
              <w:right w:val="nil"/>
            </w:tcBorders>
          </w:tcPr>
          <w:p w:rsidR="00D25D6C" w:rsidRPr="00DA1792" w:rsidRDefault="00D25D6C" w:rsidP="006C3B29">
            <w:pPr>
              <w:rPr>
                <w:sz w:val="20"/>
                <w:szCs w:val="20"/>
              </w:rPr>
            </w:pPr>
            <w:r w:rsidRPr="00DA1792">
              <w:rPr>
                <w:sz w:val="20"/>
                <w:szCs w:val="20"/>
              </w:rPr>
              <w:t>21.0</w:t>
            </w:r>
          </w:p>
        </w:tc>
        <w:tc>
          <w:tcPr>
            <w:tcW w:w="625" w:type="pct"/>
            <w:tcBorders>
              <w:top w:val="nil"/>
              <w:left w:val="nil"/>
              <w:right w:val="nil"/>
            </w:tcBorders>
          </w:tcPr>
          <w:p w:rsidR="00D25D6C" w:rsidRPr="00DA1792" w:rsidRDefault="00D25D6C" w:rsidP="006C3B29">
            <w:pPr>
              <w:rPr>
                <w:sz w:val="20"/>
                <w:szCs w:val="20"/>
              </w:rPr>
            </w:pPr>
            <w:r w:rsidRPr="00DA1792">
              <w:rPr>
                <w:sz w:val="20"/>
                <w:szCs w:val="20"/>
              </w:rPr>
              <w:t>0.71</w:t>
            </w:r>
          </w:p>
        </w:tc>
        <w:tc>
          <w:tcPr>
            <w:tcW w:w="625" w:type="pct"/>
            <w:tcBorders>
              <w:top w:val="nil"/>
              <w:left w:val="nil"/>
              <w:right w:val="nil"/>
            </w:tcBorders>
          </w:tcPr>
          <w:p w:rsidR="00D25D6C" w:rsidRPr="00DA1792" w:rsidRDefault="00D25D6C" w:rsidP="006C3B29">
            <w:pPr>
              <w:rPr>
                <w:sz w:val="20"/>
                <w:szCs w:val="20"/>
              </w:rPr>
            </w:pPr>
            <w:r w:rsidRPr="00DA1792">
              <w:rPr>
                <w:sz w:val="20"/>
                <w:szCs w:val="20"/>
              </w:rPr>
              <w:t>0.06</w:t>
            </w:r>
          </w:p>
        </w:tc>
        <w:tc>
          <w:tcPr>
            <w:tcW w:w="625" w:type="pct"/>
            <w:tcBorders>
              <w:top w:val="nil"/>
              <w:left w:val="nil"/>
              <w:right w:val="nil"/>
            </w:tcBorders>
          </w:tcPr>
          <w:p w:rsidR="00D25D6C" w:rsidRPr="00DA1792" w:rsidRDefault="00D25D6C" w:rsidP="006C3B29">
            <w:pPr>
              <w:rPr>
                <w:sz w:val="20"/>
                <w:szCs w:val="20"/>
              </w:rPr>
            </w:pPr>
            <w:r w:rsidRPr="00DA1792">
              <w:rPr>
                <w:sz w:val="20"/>
                <w:szCs w:val="20"/>
              </w:rPr>
              <w:t>0.52</w:t>
            </w:r>
          </w:p>
        </w:tc>
        <w:tc>
          <w:tcPr>
            <w:tcW w:w="625" w:type="pct"/>
            <w:tcBorders>
              <w:top w:val="nil"/>
              <w:left w:val="nil"/>
              <w:right w:val="nil"/>
            </w:tcBorders>
          </w:tcPr>
          <w:p w:rsidR="00D25D6C" w:rsidRPr="00DA1792" w:rsidRDefault="00D25D6C" w:rsidP="006C3B29">
            <w:pPr>
              <w:rPr>
                <w:sz w:val="20"/>
                <w:szCs w:val="20"/>
              </w:rPr>
            </w:pPr>
            <w:r w:rsidRPr="00DA1792">
              <w:rPr>
                <w:sz w:val="20"/>
                <w:szCs w:val="20"/>
              </w:rPr>
              <w:t>0.80</w:t>
            </w:r>
          </w:p>
        </w:tc>
        <w:tc>
          <w:tcPr>
            <w:tcW w:w="625" w:type="pct"/>
            <w:tcBorders>
              <w:top w:val="nil"/>
              <w:left w:val="nil"/>
              <w:right w:val="nil"/>
            </w:tcBorders>
          </w:tcPr>
          <w:p w:rsidR="00D25D6C" w:rsidRPr="00DA1792" w:rsidRDefault="00D25D6C" w:rsidP="006C3B29">
            <w:pPr>
              <w:rPr>
                <w:sz w:val="20"/>
                <w:szCs w:val="20"/>
              </w:rPr>
            </w:pPr>
            <w:r w:rsidRPr="00DA1792">
              <w:rPr>
                <w:sz w:val="20"/>
                <w:szCs w:val="20"/>
              </w:rPr>
              <w:t>0.86</w:t>
            </w:r>
          </w:p>
        </w:tc>
        <w:tc>
          <w:tcPr>
            <w:tcW w:w="625" w:type="pct"/>
            <w:tcBorders>
              <w:top w:val="nil"/>
              <w:left w:val="nil"/>
              <w:right w:val="nil"/>
            </w:tcBorders>
          </w:tcPr>
          <w:p w:rsidR="00D25D6C" w:rsidRPr="00DA1792" w:rsidRDefault="00D25D6C" w:rsidP="006C3B29">
            <w:pPr>
              <w:rPr>
                <w:sz w:val="20"/>
                <w:szCs w:val="20"/>
              </w:rPr>
            </w:pPr>
            <w:r w:rsidRPr="00DA1792">
              <w:rPr>
                <w:sz w:val="20"/>
                <w:szCs w:val="20"/>
              </w:rPr>
              <w:t>0.16</w:t>
            </w:r>
          </w:p>
        </w:tc>
      </w:tr>
    </w:tbl>
    <w:p w:rsidR="00D25D6C" w:rsidRPr="00DA1792" w:rsidRDefault="00D25D6C" w:rsidP="00D25D6C">
      <w:pPr>
        <w:rPr>
          <w:sz w:val="20"/>
          <w:szCs w:val="20"/>
        </w:rPr>
      </w:pPr>
      <w:r w:rsidRPr="00DA1792">
        <w:rPr>
          <w:sz w:val="20"/>
          <w:szCs w:val="20"/>
        </w:rPr>
        <w:t>PP = plantain peels, YP = yam peels, SG = spear grass.</w:t>
      </w:r>
    </w:p>
    <w:p w:rsidR="00D25D6C" w:rsidRPr="00DA1792" w:rsidRDefault="00D25D6C" w:rsidP="00D25D6C">
      <w:pPr>
        <w:tabs>
          <w:tab w:val="left" w:pos="1800"/>
        </w:tabs>
        <w:ind w:right="-46"/>
        <w:jc w:val="both"/>
        <w:rPr>
          <w:sz w:val="20"/>
          <w:szCs w:val="20"/>
        </w:rPr>
      </w:pPr>
    </w:p>
    <w:p w:rsidR="00D25D6C" w:rsidRPr="00DA1792" w:rsidRDefault="00D25D6C" w:rsidP="00D25D6C">
      <w:pPr>
        <w:tabs>
          <w:tab w:val="left" w:pos="1800"/>
        </w:tabs>
        <w:ind w:right="-46" w:firstLineChars="213" w:firstLine="426"/>
        <w:jc w:val="both"/>
        <w:rPr>
          <w:sz w:val="20"/>
          <w:szCs w:val="20"/>
        </w:rPr>
        <w:sectPr w:rsidR="00D25D6C" w:rsidRPr="00DA1792" w:rsidSect="00A052E0">
          <w:type w:val="continuous"/>
          <w:pgSz w:w="12240" w:h="15840" w:code="1"/>
          <w:pgMar w:top="1440" w:right="1440" w:bottom="1440" w:left="1440" w:header="720" w:footer="720" w:gutter="0"/>
          <w:cols w:space="708"/>
          <w:docGrid w:linePitch="360"/>
        </w:sectPr>
      </w:pPr>
    </w:p>
    <w:p w:rsidR="00D25D6C" w:rsidRPr="00DA1792" w:rsidRDefault="00D25D6C" w:rsidP="00D25D6C">
      <w:pPr>
        <w:tabs>
          <w:tab w:val="left" w:pos="1800"/>
        </w:tabs>
        <w:ind w:right="-46" w:firstLineChars="213" w:firstLine="426"/>
        <w:jc w:val="both"/>
        <w:rPr>
          <w:sz w:val="20"/>
          <w:szCs w:val="20"/>
        </w:rPr>
      </w:pPr>
      <w:r w:rsidRPr="00DA1792">
        <w:rPr>
          <w:sz w:val="20"/>
          <w:szCs w:val="20"/>
        </w:rPr>
        <w:lastRenderedPageBreak/>
        <w:t xml:space="preserve">Table 3 shows that the effects of the different treatments and their interactions were significant (P </w:t>
      </w:r>
      <w:r w:rsidRPr="00DA1792">
        <w:rPr>
          <w:sz w:val="20"/>
          <w:szCs w:val="20"/>
          <w:u w:val="single"/>
        </w:rPr>
        <w:t>&lt;</w:t>
      </w:r>
      <w:r w:rsidRPr="00DA1792">
        <w:rPr>
          <w:sz w:val="20"/>
          <w:szCs w:val="20"/>
        </w:rPr>
        <w:t xml:space="preserve"> 0.05) on the net sulphate formed. The treatments that had organic materials (T</w:t>
      </w:r>
      <w:r w:rsidRPr="00DA1792">
        <w:rPr>
          <w:sz w:val="20"/>
          <w:szCs w:val="20"/>
          <w:vertAlign w:val="subscript"/>
        </w:rPr>
        <w:t>3</w:t>
      </w:r>
      <w:r w:rsidRPr="00DA1792">
        <w:rPr>
          <w:sz w:val="20"/>
          <w:szCs w:val="20"/>
        </w:rPr>
        <w:t xml:space="preserve"> – T</w:t>
      </w:r>
      <w:r w:rsidRPr="00DA1792">
        <w:rPr>
          <w:sz w:val="20"/>
          <w:szCs w:val="20"/>
          <w:vertAlign w:val="subscript"/>
        </w:rPr>
        <w:t>8</w:t>
      </w:r>
      <w:r w:rsidRPr="00DA1792">
        <w:rPr>
          <w:sz w:val="20"/>
          <w:szCs w:val="20"/>
        </w:rPr>
        <w:t>) produced more sulphate than the treatments without organic materials (T</w:t>
      </w:r>
      <w:r w:rsidRPr="00DA1792">
        <w:rPr>
          <w:sz w:val="20"/>
          <w:szCs w:val="20"/>
          <w:vertAlign w:val="subscript"/>
        </w:rPr>
        <w:t>1</w:t>
      </w:r>
      <w:r w:rsidRPr="00DA1792">
        <w:rPr>
          <w:sz w:val="20"/>
          <w:szCs w:val="20"/>
        </w:rPr>
        <w:t xml:space="preserve"> and T</w:t>
      </w:r>
      <w:r w:rsidRPr="00DA1792">
        <w:rPr>
          <w:sz w:val="20"/>
          <w:szCs w:val="20"/>
          <w:vertAlign w:val="subscript"/>
        </w:rPr>
        <w:t>2</w:t>
      </w:r>
      <w:r w:rsidRPr="00DA1792">
        <w:rPr>
          <w:sz w:val="20"/>
          <w:szCs w:val="20"/>
        </w:rPr>
        <w:t>). This is not surprising because according to Brady (1974), organic matter/material is the principal energy source for soil micro-organisms; biochemical activities would be impossible without them. Hence, the added organic materials favoured the heterotrophic micro-organisms involved in sulphur oxidation, thus increasing the net sulphate formed in these treatments. The degree of their effects were in the increasing order of T</w:t>
      </w:r>
      <w:r w:rsidRPr="00DA1792">
        <w:rPr>
          <w:sz w:val="20"/>
          <w:szCs w:val="20"/>
          <w:vertAlign w:val="subscript"/>
        </w:rPr>
        <w:t xml:space="preserve">4 </w:t>
      </w:r>
      <w:r w:rsidRPr="00DA1792">
        <w:rPr>
          <w:sz w:val="20"/>
          <w:szCs w:val="20"/>
        </w:rPr>
        <w:t>&gt; T</w:t>
      </w:r>
      <w:r w:rsidRPr="00DA1792">
        <w:rPr>
          <w:sz w:val="20"/>
          <w:szCs w:val="20"/>
          <w:vertAlign w:val="subscript"/>
        </w:rPr>
        <w:t xml:space="preserve">3 </w:t>
      </w:r>
      <w:r w:rsidRPr="00DA1792">
        <w:rPr>
          <w:sz w:val="20"/>
          <w:szCs w:val="20"/>
        </w:rPr>
        <w:t>&gt; T</w:t>
      </w:r>
      <w:r w:rsidRPr="00DA1792">
        <w:rPr>
          <w:sz w:val="20"/>
          <w:szCs w:val="20"/>
          <w:vertAlign w:val="subscript"/>
        </w:rPr>
        <w:t xml:space="preserve">6 </w:t>
      </w:r>
      <w:r w:rsidRPr="00DA1792">
        <w:rPr>
          <w:sz w:val="20"/>
          <w:szCs w:val="20"/>
        </w:rPr>
        <w:t>&gt; T</w:t>
      </w:r>
      <w:r w:rsidRPr="00DA1792">
        <w:rPr>
          <w:sz w:val="20"/>
          <w:szCs w:val="20"/>
          <w:vertAlign w:val="subscript"/>
        </w:rPr>
        <w:t xml:space="preserve">8 </w:t>
      </w:r>
      <w:r w:rsidRPr="00DA1792">
        <w:rPr>
          <w:sz w:val="20"/>
          <w:szCs w:val="20"/>
        </w:rPr>
        <w:t>&gt; T</w:t>
      </w:r>
      <w:r w:rsidRPr="00DA1792">
        <w:rPr>
          <w:sz w:val="20"/>
          <w:szCs w:val="20"/>
          <w:vertAlign w:val="subscript"/>
        </w:rPr>
        <w:t xml:space="preserve">5 </w:t>
      </w:r>
      <w:r w:rsidRPr="00DA1792">
        <w:rPr>
          <w:sz w:val="20"/>
          <w:szCs w:val="20"/>
        </w:rPr>
        <w:t>&gt; T</w:t>
      </w:r>
      <w:r w:rsidRPr="00DA1792">
        <w:rPr>
          <w:sz w:val="20"/>
          <w:szCs w:val="20"/>
          <w:vertAlign w:val="subscript"/>
        </w:rPr>
        <w:t>7</w:t>
      </w:r>
      <w:r w:rsidRPr="00DA1792">
        <w:rPr>
          <w:sz w:val="20"/>
          <w:szCs w:val="20"/>
        </w:rPr>
        <w:t xml:space="preserve">. This shows that the different organic materials (at their different rates) affected sulphur oxidation in distinctive ways. It is obvious from the study that the higher rates (20%) of the organic amendments produced more sulphate than </w:t>
      </w:r>
      <w:r w:rsidRPr="00DA1792">
        <w:rPr>
          <w:sz w:val="20"/>
          <w:szCs w:val="20"/>
        </w:rPr>
        <w:lastRenderedPageBreak/>
        <w:t xml:space="preserve">the lower rates (5%). The plantain peel treatments were significantly better than those of yam and spear grass. The reason for its increased efficiency may have been because it contained more sulphur than the other organic materials (Table 2). According to Tisdale and Nelson (1966), mineralization of sulphur from different organic materials depends on the sulphur content of the material; larger amounts of sulphates are released from materials with higher sulphur content. Therefore, more sulphur from the plantain peels may have been oxidized to sulphate. </w:t>
      </w:r>
    </w:p>
    <w:p w:rsidR="00D25D6C" w:rsidRPr="00DA1792" w:rsidRDefault="00D25D6C" w:rsidP="00D25D6C">
      <w:pPr>
        <w:tabs>
          <w:tab w:val="left" w:pos="1800"/>
        </w:tabs>
        <w:ind w:right="-46" w:firstLineChars="213" w:firstLine="426"/>
        <w:jc w:val="both"/>
        <w:rPr>
          <w:sz w:val="20"/>
          <w:szCs w:val="20"/>
        </w:rPr>
      </w:pPr>
      <w:r w:rsidRPr="00DA1792">
        <w:rPr>
          <w:sz w:val="20"/>
          <w:szCs w:val="20"/>
        </w:rPr>
        <w:t xml:space="preserve">Nitrogen rich materials decompose faster than materials that are not so rich in nitrogen (Allison, 1973; Barbarick, 2006). In fact, organic materials that are low in nitrogen are capable of inducing nitrogen deficiency in plants (Barbarick, 2006). Therefore, plantain peels which had the highest percentage of nitrogen decomposed faster than the other amendments whose </w:t>
      </w:r>
      <w:r w:rsidRPr="00DA1792">
        <w:rPr>
          <w:sz w:val="20"/>
          <w:szCs w:val="20"/>
        </w:rPr>
        <w:lastRenderedPageBreak/>
        <w:t>nitrogen values were lower. Thus, it hastened the formation of sulphate in treatments T</w:t>
      </w:r>
      <w:r w:rsidRPr="00DA1792">
        <w:rPr>
          <w:sz w:val="20"/>
          <w:szCs w:val="20"/>
          <w:vertAlign w:val="subscript"/>
        </w:rPr>
        <w:t>3</w:t>
      </w:r>
      <w:r w:rsidRPr="00DA1792">
        <w:rPr>
          <w:sz w:val="20"/>
          <w:szCs w:val="20"/>
        </w:rPr>
        <w:t xml:space="preserve"> and T</w:t>
      </w:r>
      <w:r w:rsidRPr="00DA1792">
        <w:rPr>
          <w:sz w:val="20"/>
          <w:szCs w:val="20"/>
          <w:vertAlign w:val="subscript"/>
        </w:rPr>
        <w:t>4</w:t>
      </w:r>
      <w:r w:rsidRPr="00DA1792">
        <w:rPr>
          <w:sz w:val="20"/>
          <w:szCs w:val="20"/>
        </w:rPr>
        <w:t>.</w:t>
      </w:r>
    </w:p>
    <w:p w:rsidR="00D25D6C" w:rsidRPr="00DA1792" w:rsidRDefault="00D25D6C" w:rsidP="00D25D6C">
      <w:pPr>
        <w:tabs>
          <w:tab w:val="left" w:pos="1800"/>
        </w:tabs>
        <w:ind w:right="-46" w:firstLineChars="213" w:firstLine="426"/>
        <w:jc w:val="both"/>
        <w:rPr>
          <w:sz w:val="20"/>
          <w:szCs w:val="20"/>
        </w:rPr>
      </w:pPr>
      <w:r w:rsidRPr="00DA1792">
        <w:rPr>
          <w:sz w:val="20"/>
          <w:szCs w:val="20"/>
        </w:rPr>
        <w:t>Cellulose and lignin tend to slow down decomposition process in plant materials (Alexander, 1977). It is assumed in this study that plantain peels may have contained smaller amounts of cellulose and lignin than the other organic materials especially spear grass. Thus, it decomposed faster than others and hence, treatments amended with it produced the highest amounts of sulphate with time.</w:t>
      </w:r>
    </w:p>
    <w:p w:rsidR="00D25D6C" w:rsidRPr="00DA1792" w:rsidRDefault="00D25D6C" w:rsidP="00D25D6C">
      <w:pPr>
        <w:tabs>
          <w:tab w:val="left" w:pos="1800"/>
        </w:tabs>
        <w:ind w:right="-46" w:firstLineChars="213" w:firstLine="426"/>
        <w:jc w:val="both"/>
        <w:rPr>
          <w:sz w:val="20"/>
          <w:szCs w:val="20"/>
          <w:vertAlign w:val="subscript"/>
        </w:rPr>
      </w:pPr>
      <w:r w:rsidRPr="00DA1792">
        <w:rPr>
          <w:sz w:val="20"/>
          <w:szCs w:val="20"/>
        </w:rPr>
        <w:t>In the treatments without additional organic materials, T</w:t>
      </w:r>
      <w:r w:rsidRPr="00DA1792">
        <w:rPr>
          <w:sz w:val="20"/>
          <w:szCs w:val="20"/>
          <w:vertAlign w:val="subscript"/>
        </w:rPr>
        <w:t>2</w:t>
      </w:r>
      <w:r w:rsidRPr="00DA1792">
        <w:rPr>
          <w:sz w:val="20"/>
          <w:szCs w:val="20"/>
        </w:rPr>
        <w:t xml:space="preserve"> was significantly better than T</w:t>
      </w:r>
      <w:r w:rsidRPr="00DA1792">
        <w:rPr>
          <w:sz w:val="20"/>
          <w:szCs w:val="20"/>
          <w:vertAlign w:val="subscript"/>
        </w:rPr>
        <w:t>1</w:t>
      </w:r>
      <w:r w:rsidRPr="00DA1792">
        <w:rPr>
          <w:sz w:val="20"/>
          <w:szCs w:val="20"/>
        </w:rPr>
        <w:t>. This was probably because of the additional sulphur source (elemental sulphur) in T</w:t>
      </w:r>
      <w:r w:rsidRPr="00DA1792">
        <w:rPr>
          <w:sz w:val="20"/>
          <w:szCs w:val="20"/>
          <w:vertAlign w:val="subscript"/>
        </w:rPr>
        <w:t>2</w:t>
      </w:r>
      <w:r w:rsidRPr="00DA1792">
        <w:rPr>
          <w:sz w:val="20"/>
          <w:szCs w:val="20"/>
        </w:rPr>
        <w:t xml:space="preserve"> which was absent in T</w:t>
      </w:r>
      <w:r w:rsidRPr="00DA1792">
        <w:rPr>
          <w:sz w:val="20"/>
          <w:szCs w:val="20"/>
          <w:vertAlign w:val="subscript"/>
        </w:rPr>
        <w:t>1.</w:t>
      </w:r>
    </w:p>
    <w:p w:rsidR="00D25D6C" w:rsidRPr="00DA1792" w:rsidRDefault="00D25D6C" w:rsidP="00D25D6C">
      <w:pPr>
        <w:tabs>
          <w:tab w:val="left" w:pos="1800"/>
        </w:tabs>
        <w:ind w:right="-46" w:firstLineChars="213" w:firstLine="426"/>
        <w:jc w:val="both"/>
        <w:rPr>
          <w:sz w:val="20"/>
          <w:szCs w:val="20"/>
        </w:rPr>
      </w:pPr>
      <w:r w:rsidRPr="00DA1792">
        <w:rPr>
          <w:sz w:val="20"/>
          <w:szCs w:val="20"/>
        </w:rPr>
        <w:t xml:space="preserve">The effects of soil types on sulphate production (Table 3) indicate that loam soil was significantly the best followed by sandy clay loam and then sandy soil. The reason for its increased efficiency may be linked to its lowest pH value (Table 1). According to Tisdale and Nelson (1966), oxidation of added sulphur occurs at a faster rate in soils that are acidic. Another reason may have been because of its organic matter content. It had the highest amount of organic matter compared with the other two soils. Organic matter is known to aid sulphur oxidation in soils (Solberg </w:t>
      </w:r>
      <w:r w:rsidRPr="00DA1792">
        <w:rPr>
          <w:i/>
          <w:sz w:val="20"/>
          <w:szCs w:val="20"/>
        </w:rPr>
        <w:t>et al</w:t>
      </w:r>
      <w:r w:rsidRPr="00DA1792">
        <w:rPr>
          <w:sz w:val="20"/>
          <w:szCs w:val="20"/>
        </w:rPr>
        <w:t xml:space="preserve">., 1982; Wainwright </w:t>
      </w:r>
      <w:r w:rsidRPr="00DA1792">
        <w:rPr>
          <w:i/>
          <w:sz w:val="20"/>
          <w:szCs w:val="20"/>
        </w:rPr>
        <w:t>et al.,</w:t>
      </w:r>
      <w:r w:rsidRPr="00DA1792">
        <w:rPr>
          <w:sz w:val="20"/>
          <w:szCs w:val="20"/>
        </w:rPr>
        <w:t xml:space="preserve"> 1986).</w:t>
      </w:r>
    </w:p>
    <w:p w:rsidR="00D25D6C" w:rsidRPr="00DA1792" w:rsidRDefault="00D25D6C" w:rsidP="00D25D6C">
      <w:pPr>
        <w:tabs>
          <w:tab w:val="left" w:pos="1800"/>
        </w:tabs>
        <w:ind w:right="-46" w:firstLineChars="213" w:firstLine="426"/>
        <w:jc w:val="both"/>
        <w:rPr>
          <w:sz w:val="20"/>
          <w:szCs w:val="20"/>
        </w:rPr>
      </w:pPr>
      <w:r w:rsidRPr="00DA1792">
        <w:rPr>
          <w:sz w:val="20"/>
          <w:szCs w:val="20"/>
        </w:rPr>
        <w:t xml:space="preserve">The increase in incubation period had a significant effect (P </w:t>
      </w:r>
      <w:r w:rsidRPr="00DA1792">
        <w:rPr>
          <w:sz w:val="20"/>
          <w:szCs w:val="20"/>
          <w:u w:val="single"/>
        </w:rPr>
        <w:t>&lt;</w:t>
      </w:r>
      <w:r w:rsidRPr="00DA1792">
        <w:rPr>
          <w:sz w:val="20"/>
          <w:szCs w:val="20"/>
        </w:rPr>
        <w:t xml:space="preserve"> 0.05) on the net sulphate formed. The relative increase in the amount of sulphate formed in the 3 soils after 15, 30 and 60 days were more than 320 times, 390 times and 570 times the original values in the soil (Table 3). These high values indicate the high efficiency of microbial oxidation of elemental sulphur when those organic materials are used as soil amendments. Day 60 showed the highest amount of sulphate formation. This was probably because the increased incubation period allowed more of the added organic material to decompose. It is this decomposed material that the heterotrophic organisms involved in sulphur oxidation need for their development (Kuenen and Beudeker, 1982; Deshpande, 2010).  </w:t>
      </w:r>
    </w:p>
    <w:p w:rsidR="00D25D6C" w:rsidRPr="00DA1792" w:rsidRDefault="00D25D6C" w:rsidP="00D25D6C">
      <w:pPr>
        <w:tabs>
          <w:tab w:val="left" w:pos="1800"/>
        </w:tabs>
        <w:ind w:right="-46" w:firstLineChars="213" w:firstLine="426"/>
        <w:jc w:val="both"/>
        <w:rPr>
          <w:sz w:val="20"/>
          <w:szCs w:val="20"/>
        </w:rPr>
      </w:pPr>
      <w:r w:rsidRPr="00DA1792">
        <w:rPr>
          <w:sz w:val="20"/>
          <w:szCs w:val="20"/>
        </w:rPr>
        <w:t xml:space="preserve">The results on Table 4 show that the effects of the different treatments and their interactions were significant (P </w:t>
      </w:r>
      <w:r w:rsidRPr="00DA1792">
        <w:rPr>
          <w:sz w:val="20"/>
          <w:szCs w:val="20"/>
          <w:u w:val="single"/>
        </w:rPr>
        <w:t>&lt;</w:t>
      </w:r>
      <w:r w:rsidRPr="00DA1792">
        <w:rPr>
          <w:sz w:val="20"/>
          <w:szCs w:val="20"/>
        </w:rPr>
        <w:t xml:space="preserve"> 0.05) on the change in pH. The treatments with organic amendments had lower pH values than those without organic amendments. This was probably because the organic materials aided the oxidation process, thus, producing more sulphuric acid and hence significantly (P </w:t>
      </w:r>
      <w:r w:rsidRPr="00DA1792">
        <w:rPr>
          <w:sz w:val="20"/>
          <w:szCs w:val="20"/>
          <w:u w:val="single"/>
        </w:rPr>
        <w:t>&lt;</w:t>
      </w:r>
      <w:r w:rsidRPr="00DA1792">
        <w:rPr>
          <w:sz w:val="20"/>
          <w:szCs w:val="20"/>
        </w:rPr>
        <w:t xml:space="preserve"> 0.05) reducing the soil pH. Higher rates of each organic material gave rise to lower pH values and the plantain peel amendments produced more sulphuric acid (had the lowest pH values) than the soils amended with the other organic materials. It is important to note that the decomposition of the organic materials produced hydrogen ions that may have also contributed to reduction of the soil pH.</w:t>
      </w:r>
    </w:p>
    <w:p w:rsidR="00D25D6C" w:rsidRPr="00DA1792" w:rsidRDefault="00D25D6C" w:rsidP="00D25D6C">
      <w:pPr>
        <w:tabs>
          <w:tab w:val="left" w:pos="1800"/>
        </w:tabs>
        <w:ind w:right="-46" w:firstLineChars="213" w:firstLine="426"/>
        <w:jc w:val="both"/>
        <w:rPr>
          <w:sz w:val="20"/>
          <w:szCs w:val="20"/>
        </w:rPr>
      </w:pPr>
      <w:r w:rsidRPr="00DA1792">
        <w:rPr>
          <w:sz w:val="20"/>
          <w:szCs w:val="20"/>
        </w:rPr>
        <w:lastRenderedPageBreak/>
        <w:t>Loam soil showed the greatest amount of pH reduction compared with the other soils. This could be attributed to its initial pH value; it had the lowest pH value prior to incubation (Table 1).</w:t>
      </w:r>
    </w:p>
    <w:p w:rsidR="00D25D6C" w:rsidRPr="00DA1792" w:rsidRDefault="00D25D6C" w:rsidP="00D25D6C">
      <w:pPr>
        <w:tabs>
          <w:tab w:val="left" w:pos="1800"/>
        </w:tabs>
        <w:ind w:right="-46" w:firstLineChars="213" w:firstLine="426"/>
        <w:jc w:val="both"/>
        <w:rPr>
          <w:sz w:val="20"/>
          <w:szCs w:val="20"/>
        </w:rPr>
      </w:pPr>
      <w:r w:rsidRPr="00DA1792">
        <w:rPr>
          <w:sz w:val="20"/>
          <w:szCs w:val="20"/>
        </w:rPr>
        <w:t xml:space="preserve">The pH also decreased significantly (P </w:t>
      </w:r>
      <w:r w:rsidRPr="00DA1792">
        <w:rPr>
          <w:sz w:val="20"/>
          <w:szCs w:val="20"/>
          <w:u w:val="single"/>
        </w:rPr>
        <w:t>&lt;</w:t>
      </w:r>
      <w:r w:rsidRPr="00DA1792">
        <w:rPr>
          <w:sz w:val="20"/>
          <w:szCs w:val="20"/>
        </w:rPr>
        <w:t xml:space="preserve"> 0.05) with increases in incubation period. This was probably because the increase in incubation period allowed more of the sulphuric acid produced during sulphur oxidation to accumulate and thus, this lowered the soil pH accordingly.</w:t>
      </w:r>
    </w:p>
    <w:p w:rsidR="00D25D6C" w:rsidRPr="00DA1792" w:rsidRDefault="00D25D6C" w:rsidP="00D25D6C">
      <w:pPr>
        <w:tabs>
          <w:tab w:val="left" w:pos="1800"/>
        </w:tabs>
        <w:ind w:right="-46"/>
        <w:jc w:val="both"/>
        <w:rPr>
          <w:b/>
          <w:sz w:val="20"/>
          <w:szCs w:val="20"/>
        </w:rPr>
      </w:pPr>
    </w:p>
    <w:p w:rsidR="00D25D6C" w:rsidRPr="00DA1792" w:rsidRDefault="00D25D6C" w:rsidP="00D25D6C">
      <w:pPr>
        <w:jc w:val="center"/>
        <w:rPr>
          <w:sz w:val="20"/>
          <w:szCs w:val="20"/>
        </w:rPr>
      </w:pPr>
      <w:r w:rsidRPr="00DA1792">
        <w:rPr>
          <w:b/>
          <w:sz w:val="20"/>
          <w:szCs w:val="20"/>
        </w:rPr>
        <w:t>Table 3</w:t>
      </w:r>
      <w:r w:rsidRPr="00DA1792">
        <w:rPr>
          <w:sz w:val="20"/>
          <w:szCs w:val="20"/>
        </w:rPr>
        <w:t>: Mean effects of treatments, soil types and incubation period on the net sulphate formed</w:t>
      </w:r>
    </w:p>
    <w:tbl>
      <w:tblPr>
        <w:tblStyle w:val="TableGrid"/>
        <w:tblW w:w="5000" w:type="pct"/>
        <w:tblLook w:val="04A0"/>
      </w:tblPr>
      <w:tblGrid>
        <w:gridCol w:w="2328"/>
        <w:gridCol w:w="2328"/>
      </w:tblGrid>
      <w:tr w:rsidR="00D25D6C" w:rsidRPr="00DA1792" w:rsidTr="006C3B29">
        <w:tc>
          <w:tcPr>
            <w:tcW w:w="2500" w:type="pct"/>
            <w:tcBorders>
              <w:left w:val="nil"/>
              <w:bottom w:val="single" w:sz="4" w:space="0" w:color="auto"/>
              <w:right w:val="nil"/>
            </w:tcBorders>
          </w:tcPr>
          <w:p w:rsidR="00D25D6C" w:rsidRPr="00DA1792" w:rsidRDefault="0053676D" w:rsidP="0053676D">
            <w:pPr>
              <w:jc w:val="center"/>
              <w:rPr>
                <w:sz w:val="20"/>
                <w:szCs w:val="20"/>
              </w:rPr>
            </w:pPr>
            <w:r>
              <w:rPr>
                <w:sz w:val="20"/>
                <w:szCs w:val="20"/>
              </w:rPr>
              <w:t>Treatment</w:t>
            </w:r>
          </w:p>
        </w:tc>
        <w:tc>
          <w:tcPr>
            <w:tcW w:w="2500" w:type="pct"/>
            <w:tcBorders>
              <w:left w:val="nil"/>
              <w:bottom w:val="single" w:sz="4" w:space="0" w:color="auto"/>
              <w:right w:val="nil"/>
            </w:tcBorders>
          </w:tcPr>
          <w:p w:rsidR="00D25D6C" w:rsidRPr="00DA1792" w:rsidRDefault="00D25D6C" w:rsidP="006C3B29">
            <w:pPr>
              <w:jc w:val="center"/>
              <w:rPr>
                <w:sz w:val="20"/>
                <w:szCs w:val="20"/>
              </w:rPr>
            </w:pPr>
            <w:r w:rsidRPr="00DA1792">
              <w:rPr>
                <w:sz w:val="20"/>
                <w:szCs w:val="20"/>
              </w:rPr>
              <w:t>Mean Net Sulphate (tha</w:t>
            </w:r>
            <w:r w:rsidRPr="00DA1792">
              <w:rPr>
                <w:sz w:val="20"/>
                <w:szCs w:val="20"/>
                <w:vertAlign w:val="superscript"/>
              </w:rPr>
              <w:t>-1</w:t>
            </w:r>
            <w:r w:rsidRPr="00DA1792">
              <w:rPr>
                <w:sz w:val="20"/>
                <w:szCs w:val="20"/>
              </w:rPr>
              <w:t>)</w:t>
            </w:r>
          </w:p>
        </w:tc>
      </w:tr>
      <w:tr w:rsidR="00D25D6C" w:rsidRPr="00DA1792" w:rsidTr="006C3B29">
        <w:tc>
          <w:tcPr>
            <w:tcW w:w="2500" w:type="pct"/>
            <w:tcBorders>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1 </w:t>
            </w:r>
            <w:r w:rsidRPr="00DA1792">
              <w:rPr>
                <w:sz w:val="20"/>
                <w:szCs w:val="20"/>
              </w:rPr>
              <w:t>(S)</w:t>
            </w:r>
          </w:p>
        </w:tc>
        <w:tc>
          <w:tcPr>
            <w:tcW w:w="2500" w:type="pct"/>
            <w:tcBorders>
              <w:left w:val="nil"/>
              <w:bottom w:val="nil"/>
              <w:right w:val="nil"/>
            </w:tcBorders>
          </w:tcPr>
          <w:p w:rsidR="00D25D6C" w:rsidRPr="00DA1792" w:rsidRDefault="00D25D6C" w:rsidP="006C3B29">
            <w:pPr>
              <w:jc w:val="center"/>
              <w:rPr>
                <w:sz w:val="20"/>
                <w:szCs w:val="20"/>
              </w:rPr>
            </w:pPr>
            <w:r w:rsidRPr="00DA1792">
              <w:rPr>
                <w:sz w:val="20"/>
                <w:szCs w:val="20"/>
              </w:rPr>
              <w:t>8.06</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2 </w:t>
            </w:r>
            <w:r w:rsidRPr="00DA1792">
              <w:rPr>
                <w:sz w:val="20"/>
                <w:szCs w:val="20"/>
              </w:rPr>
              <w:t>(S + S</w:t>
            </w:r>
            <w:r w:rsidRPr="00DA1792">
              <w:rPr>
                <w:sz w:val="20"/>
                <w:szCs w:val="20"/>
                <w:vertAlign w:val="superscript"/>
              </w:rPr>
              <w:t>o</w:t>
            </w:r>
            <w:r w:rsidRPr="00DA1792">
              <w:rPr>
                <w:sz w:val="20"/>
                <w:szCs w:val="20"/>
              </w:rPr>
              <w:t>)</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9.73</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3 </w:t>
            </w:r>
            <w:r w:rsidRPr="00DA1792">
              <w:rPr>
                <w:sz w:val="20"/>
                <w:szCs w:val="20"/>
              </w:rPr>
              <w:t>(S + S</w:t>
            </w:r>
            <w:r w:rsidRPr="00DA1792">
              <w:rPr>
                <w:sz w:val="20"/>
                <w:szCs w:val="20"/>
                <w:vertAlign w:val="superscript"/>
              </w:rPr>
              <w:t>o</w:t>
            </w:r>
            <w:r w:rsidRPr="00DA1792">
              <w:rPr>
                <w:sz w:val="20"/>
                <w:szCs w:val="20"/>
              </w:rPr>
              <w:t xml:space="preserve"> + 5%PP)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15.85</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4 </w:t>
            </w:r>
            <w:r w:rsidRPr="00DA1792">
              <w:rPr>
                <w:sz w:val="20"/>
                <w:szCs w:val="20"/>
              </w:rPr>
              <w:t>(S + S</w:t>
            </w:r>
            <w:r w:rsidRPr="00DA1792">
              <w:rPr>
                <w:sz w:val="20"/>
                <w:szCs w:val="20"/>
                <w:vertAlign w:val="superscript"/>
              </w:rPr>
              <w:t>o</w:t>
            </w:r>
            <w:r w:rsidRPr="00DA1792">
              <w:rPr>
                <w:sz w:val="20"/>
                <w:szCs w:val="20"/>
              </w:rPr>
              <w:t xml:space="preserve"> + 20%PP)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16.98</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5 </w:t>
            </w:r>
            <w:r w:rsidRPr="00DA1792">
              <w:rPr>
                <w:sz w:val="20"/>
                <w:szCs w:val="20"/>
              </w:rPr>
              <w:t>(S + S</w:t>
            </w:r>
            <w:r w:rsidRPr="00DA1792">
              <w:rPr>
                <w:sz w:val="20"/>
                <w:szCs w:val="20"/>
                <w:vertAlign w:val="superscript"/>
              </w:rPr>
              <w:t>o</w:t>
            </w:r>
            <w:r w:rsidRPr="00DA1792">
              <w:rPr>
                <w:sz w:val="20"/>
                <w:szCs w:val="20"/>
              </w:rPr>
              <w:t xml:space="preserve"> + 5%YP)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13.45</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6 </w:t>
            </w:r>
            <w:r w:rsidRPr="00DA1792">
              <w:rPr>
                <w:sz w:val="20"/>
                <w:szCs w:val="20"/>
              </w:rPr>
              <w:t>(S + S</w:t>
            </w:r>
            <w:r w:rsidRPr="00DA1792">
              <w:rPr>
                <w:sz w:val="20"/>
                <w:szCs w:val="20"/>
                <w:vertAlign w:val="superscript"/>
              </w:rPr>
              <w:t>o</w:t>
            </w:r>
            <w:r w:rsidRPr="00DA1792">
              <w:rPr>
                <w:sz w:val="20"/>
                <w:szCs w:val="20"/>
              </w:rPr>
              <w:t xml:space="preserve"> + 20%YP)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14.46</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7 </w:t>
            </w:r>
            <w:r w:rsidRPr="00DA1792">
              <w:rPr>
                <w:sz w:val="20"/>
                <w:szCs w:val="20"/>
              </w:rPr>
              <w:t>(S + S</w:t>
            </w:r>
            <w:r w:rsidRPr="00DA1792">
              <w:rPr>
                <w:sz w:val="20"/>
                <w:szCs w:val="20"/>
                <w:vertAlign w:val="superscript"/>
              </w:rPr>
              <w:t>o</w:t>
            </w:r>
            <w:r w:rsidRPr="00DA1792">
              <w:rPr>
                <w:sz w:val="20"/>
                <w:szCs w:val="20"/>
              </w:rPr>
              <w:t xml:space="preserve"> + 5%SG)</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12.08</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8 </w:t>
            </w:r>
            <w:r w:rsidRPr="00DA1792">
              <w:rPr>
                <w:sz w:val="20"/>
                <w:szCs w:val="20"/>
              </w:rPr>
              <w:t>(S + S</w:t>
            </w:r>
            <w:r w:rsidRPr="00DA1792">
              <w:rPr>
                <w:sz w:val="20"/>
                <w:szCs w:val="20"/>
                <w:vertAlign w:val="superscript"/>
              </w:rPr>
              <w:t>o</w:t>
            </w:r>
            <w:r w:rsidRPr="00DA1792">
              <w:rPr>
                <w:sz w:val="20"/>
                <w:szCs w:val="20"/>
              </w:rPr>
              <w:t xml:space="preserve"> + 20%SG)</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13.56</w:t>
            </w:r>
          </w:p>
        </w:tc>
      </w:tr>
      <w:tr w:rsidR="00D25D6C" w:rsidRPr="00DA1792" w:rsidTr="006C3B29">
        <w:tc>
          <w:tcPr>
            <w:tcW w:w="2500"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 xml:space="preserve">F-LSD </w:t>
            </w:r>
            <w:r w:rsidRPr="00DA1792">
              <w:rPr>
                <w:sz w:val="20"/>
                <w:szCs w:val="20"/>
                <w:vertAlign w:val="subscript"/>
              </w:rPr>
              <w:t>(0.05)</w:t>
            </w:r>
          </w:p>
        </w:tc>
        <w:tc>
          <w:tcPr>
            <w:tcW w:w="2500" w:type="pct"/>
            <w:tcBorders>
              <w:top w:val="nil"/>
              <w:left w:val="nil"/>
              <w:bottom w:val="single" w:sz="4" w:space="0" w:color="auto"/>
              <w:right w:val="nil"/>
            </w:tcBorders>
          </w:tcPr>
          <w:p w:rsidR="00D25D6C" w:rsidRPr="00DA1792" w:rsidRDefault="00D25D6C" w:rsidP="006C3B29">
            <w:pPr>
              <w:jc w:val="center"/>
              <w:rPr>
                <w:sz w:val="20"/>
                <w:szCs w:val="20"/>
              </w:rPr>
            </w:pPr>
            <w:r w:rsidRPr="00DA1792">
              <w:rPr>
                <w:sz w:val="20"/>
                <w:szCs w:val="20"/>
              </w:rPr>
              <w:t>0.01</w:t>
            </w:r>
          </w:p>
        </w:tc>
      </w:tr>
      <w:tr w:rsidR="00D25D6C" w:rsidRPr="00DA1792" w:rsidTr="006C3B29">
        <w:tc>
          <w:tcPr>
            <w:tcW w:w="2500" w:type="pct"/>
            <w:tcBorders>
              <w:left w:val="nil"/>
              <w:bottom w:val="single" w:sz="4" w:space="0" w:color="auto"/>
              <w:right w:val="nil"/>
            </w:tcBorders>
          </w:tcPr>
          <w:p w:rsidR="00D25D6C" w:rsidRPr="00DA1792" w:rsidRDefault="00D25D6C" w:rsidP="0053676D">
            <w:pPr>
              <w:jc w:val="center"/>
              <w:rPr>
                <w:sz w:val="20"/>
                <w:szCs w:val="20"/>
              </w:rPr>
            </w:pPr>
            <w:r w:rsidRPr="00DA1792">
              <w:rPr>
                <w:sz w:val="20"/>
                <w:szCs w:val="20"/>
              </w:rPr>
              <w:t>Soil Type</w:t>
            </w:r>
          </w:p>
        </w:tc>
        <w:tc>
          <w:tcPr>
            <w:tcW w:w="2500" w:type="pct"/>
            <w:tcBorders>
              <w:left w:val="nil"/>
              <w:bottom w:val="single" w:sz="4" w:space="0" w:color="auto"/>
              <w:right w:val="nil"/>
            </w:tcBorders>
          </w:tcPr>
          <w:p w:rsidR="00D25D6C" w:rsidRPr="00DA1792" w:rsidRDefault="00D25D6C" w:rsidP="006C3B29">
            <w:pPr>
              <w:rPr>
                <w:sz w:val="20"/>
                <w:szCs w:val="20"/>
              </w:rPr>
            </w:pPr>
          </w:p>
        </w:tc>
      </w:tr>
      <w:tr w:rsidR="00D25D6C" w:rsidRPr="00DA1792" w:rsidTr="006C3B29">
        <w:tc>
          <w:tcPr>
            <w:tcW w:w="2500" w:type="pct"/>
            <w:tcBorders>
              <w:left w:val="nil"/>
              <w:bottom w:val="nil"/>
              <w:right w:val="nil"/>
            </w:tcBorders>
          </w:tcPr>
          <w:p w:rsidR="00D25D6C" w:rsidRPr="00DA1792" w:rsidRDefault="00D25D6C" w:rsidP="006C3B29">
            <w:pPr>
              <w:rPr>
                <w:sz w:val="20"/>
                <w:szCs w:val="20"/>
              </w:rPr>
            </w:pPr>
            <w:r w:rsidRPr="00DA1792">
              <w:rPr>
                <w:sz w:val="20"/>
                <w:szCs w:val="20"/>
              </w:rPr>
              <w:t>Sandy Soil</w:t>
            </w:r>
          </w:p>
        </w:tc>
        <w:tc>
          <w:tcPr>
            <w:tcW w:w="2500" w:type="pct"/>
            <w:tcBorders>
              <w:left w:val="nil"/>
              <w:bottom w:val="nil"/>
              <w:right w:val="nil"/>
            </w:tcBorders>
          </w:tcPr>
          <w:p w:rsidR="00D25D6C" w:rsidRPr="00DA1792" w:rsidRDefault="00D25D6C" w:rsidP="006C3B29">
            <w:pPr>
              <w:jc w:val="center"/>
              <w:rPr>
                <w:sz w:val="20"/>
                <w:szCs w:val="20"/>
              </w:rPr>
            </w:pPr>
            <w:r w:rsidRPr="00DA1792">
              <w:rPr>
                <w:sz w:val="20"/>
                <w:szCs w:val="20"/>
              </w:rPr>
              <w:t>10.72</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Loam Soil</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14.39</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Sandy Clay Loam</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13.95</w:t>
            </w:r>
          </w:p>
        </w:tc>
      </w:tr>
      <w:tr w:rsidR="00D25D6C" w:rsidRPr="00DA1792" w:rsidTr="006C3B29">
        <w:tc>
          <w:tcPr>
            <w:tcW w:w="2500"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 xml:space="preserve">F- LSD </w:t>
            </w:r>
            <w:r w:rsidRPr="00DA1792">
              <w:rPr>
                <w:sz w:val="20"/>
                <w:szCs w:val="20"/>
                <w:vertAlign w:val="subscript"/>
              </w:rPr>
              <w:t>(0.05)</w:t>
            </w:r>
          </w:p>
        </w:tc>
        <w:tc>
          <w:tcPr>
            <w:tcW w:w="2500" w:type="pct"/>
            <w:tcBorders>
              <w:top w:val="nil"/>
              <w:left w:val="nil"/>
              <w:bottom w:val="single" w:sz="4" w:space="0" w:color="auto"/>
              <w:right w:val="nil"/>
            </w:tcBorders>
          </w:tcPr>
          <w:p w:rsidR="00D25D6C" w:rsidRPr="00DA1792" w:rsidRDefault="00D25D6C" w:rsidP="006C3B29">
            <w:pPr>
              <w:jc w:val="center"/>
              <w:rPr>
                <w:sz w:val="20"/>
                <w:szCs w:val="20"/>
              </w:rPr>
            </w:pPr>
            <w:r w:rsidRPr="00DA1792">
              <w:rPr>
                <w:sz w:val="20"/>
                <w:szCs w:val="20"/>
              </w:rPr>
              <w:t>0.01</w:t>
            </w:r>
          </w:p>
        </w:tc>
      </w:tr>
      <w:tr w:rsidR="00D25D6C" w:rsidRPr="00DA1792" w:rsidTr="006C3B29">
        <w:tc>
          <w:tcPr>
            <w:tcW w:w="2500" w:type="pct"/>
            <w:tcBorders>
              <w:left w:val="nil"/>
              <w:bottom w:val="single" w:sz="4" w:space="0" w:color="auto"/>
              <w:right w:val="nil"/>
            </w:tcBorders>
          </w:tcPr>
          <w:p w:rsidR="00D25D6C" w:rsidRPr="00DA1792" w:rsidRDefault="00D25D6C" w:rsidP="006C3B29">
            <w:pPr>
              <w:jc w:val="right"/>
              <w:rPr>
                <w:sz w:val="20"/>
                <w:szCs w:val="20"/>
              </w:rPr>
            </w:pPr>
            <w:r w:rsidRPr="00DA1792">
              <w:rPr>
                <w:sz w:val="20"/>
                <w:szCs w:val="20"/>
              </w:rPr>
              <w:t xml:space="preserve">         Incubation Period</w:t>
            </w:r>
          </w:p>
        </w:tc>
        <w:tc>
          <w:tcPr>
            <w:tcW w:w="2500" w:type="pct"/>
            <w:tcBorders>
              <w:left w:val="nil"/>
              <w:bottom w:val="single" w:sz="4" w:space="0" w:color="auto"/>
              <w:right w:val="nil"/>
            </w:tcBorders>
          </w:tcPr>
          <w:p w:rsidR="00D25D6C" w:rsidRPr="00DA1792" w:rsidRDefault="00D25D6C" w:rsidP="006C3B29">
            <w:pPr>
              <w:jc w:val="center"/>
              <w:rPr>
                <w:sz w:val="20"/>
                <w:szCs w:val="20"/>
              </w:rPr>
            </w:pPr>
          </w:p>
        </w:tc>
      </w:tr>
      <w:tr w:rsidR="00D25D6C" w:rsidRPr="00DA1792" w:rsidTr="006C3B29">
        <w:tc>
          <w:tcPr>
            <w:tcW w:w="2500" w:type="pct"/>
            <w:tcBorders>
              <w:left w:val="nil"/>
              <w:bottom w:val="nil"/>
              <w:right w:val="nil"/>
            </w:tcBorders>
          </w:tcPr>
          <w:p w:rsidR="00D25D6C" w:rsidRPr="00DA1792" w:rsidRDefault="00D25D6C" w:rsidP="006C3B29">
            <w:pPr>
              <w:rPr>
                <w:sz w:val="20"/>
                <w:szCs w:val="20"/>
              </w:rPr>
            </w:pPr>
            <w:r w:rsidRPr="00DA1792">
              <w:rPr>
                <w:sz w:val="20"/>
                <w:szCs w:val="20"/>
              </w:rPr>
              <w:t>Day 1(before incubation)</w:t>
            </w:r>
          </w:p>
        </w:tc>
        <w:tc>
          <w:tcPr>
            <w:tcW w:w="2500" w:type="pct"/>
            <w:tcBorders>
              <w:left w:val="nil"/>
              <w:bottom w:val="nil"/>
              <w:right w:val="nil"/>
            </w:tcBorders>
          </w:tcPr>
          <w:p w:rsidR="00D25D6C" w:rsidRPr="00DA1792" w:rsidRDefault="00D25D6C" w:rsidP="006C3B29">
            <w:pPr>
              <w:jc w:val="center"/>
              <w:rPr>
                <w:sz w:val="20"/>
                <w:szCs w:val="20"/>
              </w:rPr>
            </w:pPr>
            <w:r w:rsidRPr="00DA1792">
              <w:rPr>
                <w:sz w:val="20"/>
                <w:szCs w:val="20"/>
              </w:rPr>
              <w:t>0.03</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Day 15</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9.86</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Day 30</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11.98</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Day 60</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17.22</w:t>
            </w:r>
          </w:p>
        </w:tc>
      </w:tr>
      <w:tr w:rsidR="00D25D6C" w:rsidRPr="00DA1792" w:rsidTr="006C3B29">
        <w:tc>
          <w:tcPr>
            <w:tcW w:w="2500"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 xml:space="preserve">F-LSD </w:t>
            </w:r>
            <w:r w:rsidRPr="00DA1792">
              <w:rPr>
                <w:sz w:val="20"/>
                <w:szCs w:val="20"/>
                <w:vertAlign w:val="subscript"/>
              </w:rPr>
              <w:t>(0.05)</w:t>
            </w:r>
          </w:p>
        </w:tc>
        <w:tc>
          <w:tcPr>
            <w:tcW w:w="2500" w:type="pct"/>
            <w:tcBorders>
              <w:top w:val="nil"/>
              <w:left w:val="nil"/>
              <w:bottom w:val="single" w:sz="4" w:space="0" w:color="auto"/>
              <w:right w:val="nil"/>
            </w:tcBorders>
          </w:tcPr>
          <w:p w:rsidR="00D25D6C" w:rsidRPr="00DA1792" w:rsidRDefault="00D25D6C" w:rsidP="006C3B29">
            <w:pPr>
              <w:jc w:val="center"/>
              <w:rPr>
                <w:sz w:val="20"/>
                <w:szCs w:val="20"/>
              </w:rPr>
            </w:pPr>
            <w:r w:rsidRPr="00DA1792">
              <w:rPr>
                <w:sz w:val="20"/>
                <w:szCs w:val="20"/>
              </w:rPr>
              <w:t>0.01</w:t>
            </w:r>
          </w:p>
        </w:tc>
      </w:tr>
      <w:tr w:rsidR="00D25D6C" w:rsidRPr="00DA1792" w:rsidTr="006C3B29">
        <w:tc>
          <w:tcPr>
            <w:tcW w:w="2500" w:type="pct"/>
            <w:tcBorders>
              <w:left w:val="nil"/>
              <w:bottom w:val="single" w:sz="4" w:space="0" w:color="auto"/>
              <w:right w:val="nil"/>
            </w:tcBorders>
          </w:tcPr>
          <w:p w:rsidR="00D25D6C" w:rsidRPr="00DA1792" w:rsidRDefault="00D25D6C" w:rsidP="006C3B29">
            <w:pPr>
              <w:rPr>
                <w:sz w:val="20"/>
                <w:szCs w:val="20"/>
              </w:rPr>
            </w:pPr>
            <w:r w:rsidRPr="00DA1792">
              <w:rPr>
                <w:sz w:val="20"/>
                <w:szCs w:val="20"/>
              </w:rPr>
              <w:t xml:space="preserve">F- LSD </w:t>
            </w:r>
            <w:r w:rsidRPr="00DA1792">
              <w:rPr>
                <w:sz w:val="20"/>
                <w:szCs w:val="20"/>
                <w:vertAlign w:val="subscript"/>
              </w:rPr>
              <w:t>(0.05)</w:t>
            </w:r>
          </w:p>
        </w:tc>
        <w:tc>
          <w:tcPr>
            <w:tcW w:w="2500" w:type="pct"/>
            <w:tcBorders>
              <w:left w:val="nil"/>
              <w:bottom w:val="single" w:sz="4" w:space="0" w:color="auto"/>
              <w:right w:val="nil"/>
            </w:tcBorders>
          </w:tcPr>
          <w:p w:rsidR="00D25D6C" w:rsidRPr="00DA1792" w:rsidRDefault="00D25D6C" w:rsidP="006C3B29">
            <w:pPr>
              <w:jc w:val="center"/>
              <w:rPr>
                <w:sz w:val="20"/>
                <w:szCs w:val="20"/>
              </w:rPr>
            </w:pPr>
          </w:p>
        </w:tc>
      </w:tr>
      <w:tr w:rsidR="00D25D6C" w:rsidRPr="00DA1792" w:rsidTr="006C3B29">
        <w:tc>
          <w:tcPr>
            <w:tcW w:w="2500" w:type="pct"/>
            <w:tcBorders>
              <w:left w:val="nil"/>
              <w:bottom w:val="nil"/>
              <w:right w:val="nil"/>
            </w:tcBorders>
          </w:tcPr>
          <w:p w:rsidR="00D25D6C" w:rsidRPr="00DA1792" w:rsidRDefault="00D25D6C" w:rsidP="006C3B29">
            <w:pPr>
              <w:rPr>
                <w:sz w:val="20"/>
                <w:szCs w:val="20"/>
              </w:rPr>
            </w:pPr>
            <w:r w:rsidRPr="00DA1792">
              <w:rPr>
                <w:sz w:val="20"/>
                <w:szCs w:val="20"/>
              </w:rPr>
              <w:t>T x S</w:t>
            </w:r>
          </w:p>
        </w:tc>
        <w:tc>
          <w:tcPr>
            <w:tcW w:w="2500" w:type="pct"/>
            <w:tcBorders>
              <w:left w:val="nil"/>
              <w:bottom w:val="nil"/>
              <w:right w:val="nil"/>
            </w:tcBorders>
          </w:tcPr>
          <w:p w:rsidR="00D25D6C" w:rsidRPr="00DA1792" w:rsidRDefault="00D25D6C" w:rsidP="006C3B29">
            <w:pPr>
              <w:jc w:val="center"/>
              <w:rPr>
                <w:sz w:val="20"/>
                <w:szCs w:val="20"/>
              </w:rPr>
            </w:pPr>
            <w:r w:rsidRPr="00DA1792">
              <w:rPr>
                <w:sz w:val="20"/>
                <w:szCs w:val="20"/>
              </w:rPr>
              <w:t>0.02</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 x 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0.02</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S x 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0.01</w:t>
            </w:r>
          </w:p>
        </w:tc>
      </w:tr>
      <w:tr w:rsidR="00D25D6C" w:rsidRPr="00DA1792" w:rsidTr="006C3B29">
        <w:tc>
          <w:tcPr>
            <w:tcW w:w="2500" w:type="pct"/>
            <w:tcBorders>
              <w:top w:val="nil"/>
              <w:left w:val="nil"/>
              <w:right w:val="nil"/>
            </w:tcBorders>
          </w:tcPr>
          <w:p w:rsidR="00D25D6C" w:rsidRPr="00DA1792" w:rsidRDefault="00D25D6C" w:rsidP="006C3B29">
            <w:pPr>
              <w:rPr>
                <w:sz w:val="20"/>
                <w:szCs w:val="20"/>
              </w:rPr>
            </w:pPr>
            <w:r w:rsidRPr="00DA1792">
              <w:rPr>
                <w:sz w:val="20"/>
                <w:szCs w:val="20"/>
              </w:rPr>
              <w:t>T x S x P</w:t>
            </w:r>
          </w:p>
        </w:tc>
        <w:tc>
          <w:tcPr>
            <w:tcW w:w="2500" w:type="pct"/>
            <w:tcBorders>
              <w:top w:val="nil"/>
              <w:left w:val="nil"/>
              <w:right w:val="nil"/>
            </w:tcBorders>
          </w:tcPr>
          <w:p w:rsidR="00D25D6C" w:rsidRPr="00DA1792" w:rsidRDefault="00D25D6C" w:rsidP="006C3B29">
            <w:pPr>
              <w:jc w:val="center"/>
              <w:rPr>
                <w:sz w:val="20"/>
                <w:szCs w:val="20"/>
              </w:rPr>
            </w:pPr>
            <w:r w:rsidRPr="00DA1792">
              <w:rPr>
                <w:sz w:val="20"/>
                <w:szCs w:val="20"/>
              </w:rPr>
              <w:t>0.04</w:t>
            </w:r>
          </w:p>
        </w:tc>
      </w:tr>
    </w:tbl>
    <w:p w:rsidR="00D25D6C" w:rsidRPr="00DA1792" w:rsidRDefault="00D25D6C" w:rsidP="00D25D6C">
      <w:pPr>
        <w:tabs>
          <w:tab w:val="left" w:pos="1800"/>
        </w:tabs>
        <w:ind w:right="-45"/>
        <w:jc w:val="both"/>
        <w:rPr>
          <w:sz w:val="20"/>
          <w:szCs w:val="20"/>
        </w:rPr>
      </w:pPr>
      <w:r w:rsidRPr="00DA1792">
        <w:rPr>
          <w:sz w:val="20"/>
          <w:szCs w:val="20"/>
        </w:rPr>
        <w:t xml:space="preserve"> T = treatment, S = soil type, S</w:t>
      </w:r>
      <w:r w:rsidRPr="00DA1792">
        <w:rPr>
          <w:sz w:val="20"/>
          <w:szCs w:val="20"/>
          <w:vertAlign w:val="superscript"/>
        </w:rPr>
        <w:t>o</w:t>
      </w:r>
      <w:r w:rsidRPr="00DA1792">
        <w:rPr>
          <w:sz w:val="20"/>
          <w:szCs w:val="20"/>
        </w:rPr>
        <w:t xml:space="preserve"> = elemental sulphur, PP = plantain peels, YP = yam peels, SG = spear grass, P = incubation period.</w:t>
      </w:r>
    </w:p>
    <w:p w:rsidR="00D25D6C" w:rsidRPr="00DA1792" w:rsidRDefault="00D25D6C" w:rsidP="00D25D6C">
      <w:pPr>
        <w:tabs>
          <w:tab w:val="left" w:pos="1800"/>
        </w:tabs>
        <w:ind w:right="-46"/>
        <w:jc w:val="both"/>
        <w:rPr>
          <w:sz w:val="20"/>
          <w:szCs w:val="20"/>
        </w:rPr>
      </w:pPr>
    </w:p>
    <w:p w:rsidR="00D25D6C" w:rsidRPr="00DA1792" w:rsidRDefault="00D25D6C" w:rsidP="00D25D6C">
      <w:pPr>
        <w:tabs>
          <w:tab w:val="left" w:pos="1800"/>
        </w:tabs>
        <w:ind w:right="-46"/>
        <w:jc w:val="both"/>
        <w:rPr>
          <w:sz w:val="20"/>
          <w:szCs w:val="20"/>
        </w:rPr>
      </w:pPr>
    </w:p>
    <w:p w:rsidR="00D25D6C" w:rsidRPr="00DA1792" w:rsidRDefault="00D25D6C" w:rsidP="00D25D6C">
      <w:pPr>
        <w:rPr>
          <w:b/>
          <w:sz w:val="20"/>
          <w:szCs w:val="20"/>
        </w:rPr>
      </w:pPr>
    </w:p>
    <w:p w:rsidR="00D25D6C" w:rsidRPr="00DA1792" w:rsidRDefault="00D25D6C" w:rsidP="00D25D6C">
      <w:pPr>
        <w:rPr>
          <w:b/>
          <w:sz w:val="20"/>
          <w:szCs w:val="20"/>
        </w:rPr>
      </w:pPr>
    </w:p>
    <w:p w:rsidR="00D25D6C" w:rsidRPr="00DA1792" w:rsidRDefault="00D25D6C" w:rsidP="00D25D6C">
      <w:pPr>
        <w:rPr>
          <w:b/>
          <w:sz w:val="20"/>
          <w:szCs w:val="20"/>
        </w:rPr>
      </w:pPr>
    </w:p>
    <w:p w:rsidR="00D25D6C" w:rsidRPr="00DA1792" w:rsidRDefault="00D25D6C" w:rsidP="00D25D6C">
      <w:pPr>
        <w:rPr>
          <w:b/>
          <w:sz w:val="20"/>
          <w:szCs w:val="20"/>
        </w:rPr>
      </w:pPr>
    </w:p>
    <w:p w:rsidR="00D25D6C" w:rsidRPr="00DA1792" w:rsidRDefault="00D25D6C" w:rsidP="00D25D6C">
      <w:pPr>
        <w:rPr>
          <w:b/>
          <w:sz w:val="20"/>
          <w:szCs w:val="20"/>
        </w:rPr>
      </w:pPr>
    </w:p>
    <w:p w:rsidR="00D25D6C" w:rsidRPr="00DA1792" w:rsidRDefault="00D25D6C" w:rsidP="00D25D6C">
      <w:pPr>
        <w:rPr>
          <w:b/>
          <w:sz w:val="20"/>
          <w:szCs w:val="20"/>
        </w:rPr>
      </w:pPr>
    </w:p>
    <w:p w:rsidR="00D25D6C" w:rsidRPr="00DA1792" w:rsidRDefault="00D25D6C" w:rsidP="00D25D6C">
      <w:pPr>
        <w:rPr>
          <w:b/>
          <w:sz w:val="20"/>
          <w:szCs w:val="20"/>
        </w:rPr>
      </w:pPr>
    </w:p>
    <w:p w:rsidR="00D25D6C" w:rsidRPr="00DA1792" w:rsidRDefault="00D25D6C" w:rsidP="00D25D6C">
      <w:pPr>
        <w:rPr>
          <w:b/>
          <w:sz w:val="20"/>
          <w:szCs w:val="20"/>
        </w:rPr>
      </w:pPr>
    </w:p>
    <w:p w:rsidR="00D25D6C" w:rsidRPr="00DA1792" w:rsidRDefault="00D25D6C" w:rsidP="00D25D6C">
      <w:pPr>
        <w:rPr>
          <w:b/>
          <w:sz w:val="20"/>
          <w:szCs w:val="20"/>
        </w:rPr>
      </w:pPr>
    </w:p>
    <w:p w:rsidR="00D25D6C" w:rsidRDefault="00D25D6C" w:rsidP="00D25D6C">
      <w:pPr>
        <w:rPr>
          <w:b/>
          <w:sz w:val="20"/>
          <w:szCs w:val="20"/>
        </w:rPr>
      </w:pPr>
    </w:p>
    <w:p w:rsidR="00D25D6C" w:rsidRPr="00DA1792" w:rsidRDefault="00D25D6C" w:rsidP="00D25D6C">
      <w:pPr>
        <w:jc w:val="center"/>
        <w:rPr>
          <w:sz w:val="20"/>
          <w:szCs w:val="20"/>
        </w:rPr>
      </w:pPr>
      <w:r w:rsidRPr="00DA1792">
        <w:rPr>
          <w:b/>
          <w:sz w:val="20"/>
          <w:szCs w:val="20"/>
        </w:rPr>
        <w:lastRenderedPageBreak/>
        <w:t>Table 4</w:t>
      </w:r>
      <w:r w:rsidRPr="00DA1792">
        <w:rPr>
          <w:sz w:val="20"/>
          <w:szCs w:val="20"/>
        </w:rPr>
        <w:t>: Mean effects of treatments, soil types and incubation period on the change in pH</w:t>
      </w:r>
    </w:p>
    <w:tbl>
      <w:tblPr>
        <w:tblStyle w:val="TableGrid"/>
        <w:tblW w:w="5000" w:type="pct"/>
        <w:tblLook w:val="04A0"/>
      </w:tblPr>
      <w:tblGrid>
        <w:gridCol w:w="2328"/>
        <w:gridCol w:w="2328"/>
      </w:tblGrid>
      <w:tr w:rsidR="00D25D6C" w:rsidRPr="00DA1792" w:rsidTr="006C3B29">
        <w:tc>
          <w:tcPr>
            <w:tcW w:w="2500" w:type="pct"/>
            <w:tcBorders>
              <w:left w:val="nil"/>
              <w:bottom w:val="single" w:sz="4" w:space="0" w:color="auto"/>
              <w:right w:val="nil"/>
            </w:tcBorders>
          </w:tcPr>
          <w:p w:rsidR="00D25D6C" w:rsidRPr="00DA1792" w:rsidRDefault="00D25D6C" w:rsidP="0053676D">
            <w:pPr>
              <w:jc w:val="center"/>
              <w:rPr>
                <w:sz w:val="20"/>
                <w:szCs w:val="20"/>
              </w:rPr>
            </w:pPr>
            <w:r w:rsidRPr="00DA1792">
              <w:rPr>
                <w:sz w:val="20"/>
                <w:szCs w:val="20"/>
              </w:rPr>
              <w:t>Treatment</w:t>
            </w:r>
          </w:p>
        </w:tc>
        <w:tc>
          <w:tcPr>
            <w:tcW w:w="2500" w:type="pct"/>
            <w:tcBorders>
              <w:left w:val="nil"/>
              <w:bottom w:val="single" w:sz="4" w:space="0" w:color="auto"/>
              <w:right w:val="nil"/>
            </w:tcBorders>
          </w:tcPr>
          <w:p w:rsidR="00D25D6C" w:rsidRPr="00DA1792" w:rsidRDefault="00D25D6C" w:rsidP="006C3B29">
            <w:pPr>
              <w:jc w:val="center"/>
              <w:rPr>
                <w:sz w:val="20"/>
                <w:szCs w:val="20"/>
              </w:rPr>
            </w:pPr>
            <w:r w:rsidRPr="00DA1792">
              <w:rPr>
                <w:sz w:val="20"/>
                <w:szCs w:val="20"/>
              </w:rPr>
              <w:t>Mean Net Sulphate (tha</w:t>
            </w:r>
            <w:r w:rsidRPr="00DA1792">
              <w:rPr>
                <w:sz w:val="20"/>
                <w:szCs w:val="20"/>
                <w:vertAlign w:val="superscript"/>
              </w:rPr>
              <w:t>-1</w:t>
            </w:r>
            <w:r w:rsidRPr="00DA1792">
              <w:rPr>
                <w:sz w:val="20"/>
                <w:szCs w:val="20"/>
              </w:rPr>
              <w:t>)</w:t>
            </w:r>
          </w:p>
        </w:tc>
      </w:tr>
      <w:tr w:rsidR="00D25D6C" w:rsidRPr="00DA1792" w:rsidTr="006C3B29">
        <w:tc>
          <w:tcPr>
            <w:tcW w:w="2500" w:type="pct"/>
            <w:tcBorders>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1 </w:t>
            </w:r>
            <w:r w:rsidRPr="00DA1792">
              <w:rPr>
                <w:sz w:val="20"/>
                <w:szCs w:val="20"/>
              </w:rPr>
              <w:t>(S)</w:t>
            </w:r>
          </w:p>
        </w:tc>
        <w:tc>
          <w:tcPr>
            <w:tcW w:w="2500" w:type="pct"/>
            <w:tcBorders>
              <w:left w:val="nil"/>
              <w:bottom w:val="nil"/>
              <w:right w:val="nil"/>
            </w:tcBorders>
          </w:tcPr>
          <w:p w:rsidR="00D25D6C" w:rsidRPr="00DA1792" w:rsidRDefault="00D25D6C" w:rsidP="006C3B29">
            <w:pPr>
              <w:jc w:val="center"/>
              <w:rPr>
                <w:sz w:val="20"/>
                <w:szCs w:val="20"/>
              </w:rPr>
            </w:pPr>
            <w:r w:rsidRPr="00DA1792">
              <w:rPr>
                <w:sz w:val="20"/>
                <w:szCs w:val="20"/>
              </w:rPr>
              <w:t>4.5</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2 </w:t>
            </w:r>
            <w:r w:rsidRPr="00DA1792">
              <w:rPr>
                <w:sz w:val="20"/>
                <w:szCs w:val="20"/>
              </w:rPr>
              <w:t>(S + S</w:t>
            </w:r>
            <w:r w:rsidRPr="00DA1792">
              <w:rPr>
                <w:sz w:val="20"/>
                <w:szCs w:val="20"/>
                <w:vertAlign w:val="superscript"/>
              </w:rPr>
              <w:t>o</w:t>
            </w:r>
            <w:r w:rsidRPr="00DA1792">
              <w:rPr>
                <w:sz w:val="20"/>
                <w:szCs w:val="20"/>
              </w:rPr>
              <w:t>)</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4.3</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3 </w:t>
            </w:r>
            <w:r w:rsidRPr="00DA1792">
              <w:rPr>
                <w:sz w:val="20"/>
                <w:szCs w:val="20"/>
              </w:rPr>
              <w:t>(S + S</w:t>
            </w:r>
            <w:r w:rsidRPr="00DA1792">
              <w:rPr>
                <w:sz w:val="20"/>
                <w:szCs w:val="20"/>
                <w:vertAlign w:val="superscript"/>
              </w:rPr>
              <w:t>o</w:t>
            </w:r>
            <w:r w:rsidRPr="00DA1792">
              <w:rPr>
                <w:sz w:val="20"/>
                <w:szCs w:val="20"/>
              </w:rPr>
              <w:t xml:space="preserve"> + 5%PP)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3.5</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4 </w:t>
            </w:r>
            <w:r w:rsidRPr="00DA1792">
              <w:rPr>
                <w:sz w:val="20"/>
                <w:szCs w:val="20"/>
              </w:rPr>
              <w:t>(S + S</w:t>
            </w:r>
            <w:r w:rsidRPr="00DA1792">
              <w:rPr>
                <w:sz w:val="20"/>
                <w:szCs w:val="20"/>
                <w:vertAlign w:val="superscript"/>
              </w:rPr>
              <w:t>o</w:t>
            </w:r>
            <w:r w:rsidRPr="00DA1792">
              <w:rPr>
                <w:sz w:val="20"/>
                <w:szCs w:val="20"/>
              </w:rPr>
              <w:t xml:space="preserve"> + 20%PP)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3.2</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5 </w:t>
            </w:r>
            <w:r w:rsidRPr="00DA1792">
              <w:rPr>
                <w:sz w:val="20"/>
                <w:szCs w:val="20"/>
              </w:rPr>
              <w:t>(S + S</w:t>
            </w:r>
            <w:r w:rsidRPr="00DA1792">
              <w:rPr>
                <w:sz w:val="20"/>
                <w:szCs w:val="20"/>
                <w:vertAlign w:val="superscript"/>
              </w:rPr>
              <w:t>o</w:t>
            </w:r>
            <w:r w:rsidRPr="00DA1792">
              <w:rPr>
                <w:sz w:val="20"/>
                <w:szCs w:val="20"/>
              </w:rPr>
              <w:t xml:space="preserve"> + 5%YP)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3.9</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6 </w:t>
            </w:r>
            <w:r w:rsidRPr="00DA1792">
              <w:rPr>
                <w:sz w:val="20"/>
                <w:szCs w:val="20"/>
              </w:rPr>
              <w:t>(S + S</w:t>
            </w:r>
            <w:r w:rsidRPr="00DA1792">
              <w:rPr>
                <w:sz w:val="20"/>
                <w:szCs w:val="20"/>
                <w:vertAlign w:val="superscript"/>
              </w:rPr>
              <w:t>o</w:t>
            </w:r>
            <w:r w:rsidRPr="00DA1792">
              <w:rPr>
                <w:sz w:val="20"/>
                <w:szCs w:val="20"/>
              </w:rPr>
              <w:t xml:space="preserve"> + 20%YP)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3.5</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7 </w:t>
            </w:r>
            <w:r w:rsidRPr="00DA1792">
              <w:rPr>
                <w:sz w:val="20"/>
                <w:szCs w:val="20"/>
              </w:rPr>
              <w:t>(S + S</w:t>
            </w:r>
            <w:r w:rsidRPr="00DA1792">
              <w:rPr>
                <w:sz w:val="20"/>
                <w:szCs w:val="20"/>
                <w:vertAlign w:val="superscript"/>
              </w:rPr>
              <w:t>o</w:t>
            </w:r>
            <w:r w:rsidRPr="00DA1792">
              <w:rPr>
                <w:sz w:val="20"/>
                <w:szCs w:val="20"/>
              </w:rPr>
              <w:t xml:space="preserve"> + 5%SG)</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3.9</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w:t>
            </w:r>
            <w:r w:rsidRPr="00DA1792">
              <w:rPr>
                <w:sz w:val="20"/>
                <w:szCs w:val="20"/>
                <w:vertAlign w:val="subscript"/>
              </w:rPr>
              <w:t xml:space="preserve">8 </w:t>
            </w:r>
            <w:r w:rsidRPr="00DA1792">
              <w:rPr>
                <w:sz w:val="20"/>
                <w:szCs w:val="20"/>
              </w:rPr>
              <w:t>(S + S</w:t>
            </w:r>
            <w:r w:rsidRPr="00DA1792">
              <w:rPr>
                <w:sz w:val="20"/>
                <w:szCs w:val="20"/>
                <w:vertAlign w:val="superscript"/>
              </w:rPr>
              <w:t>o</w:t>
            </w:r>
            <w:r w:rsidRPr="00DA1792">
              <w:rPr>
                <w:sz w:val="20"/>
                <w:szCs w:val="20"/>
              </w:rPr>
              <w:t xml:space="preserve"> + 20%SG)</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3.7</w:t>
            </w:r>
          </w:p>
        </w:tc>
      </w:tr>
      <w:tr w:rsidR="00D25D6C" w:rsidRPr="00DA1792" w:rsidTr="006C3B29">
        <w:tc>
          <w:tcPr>
            <w:tcW w:w="2500"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 xml:space="preserve">F-LSD </w:t>
            </w:r>
            <w:r w:rsidRPr="00DA1792">
              <w:rPr>
                <w:sz w:val="20"/>
                <w:szCs w:val="20"/>
                <w:vertAlign w:val="subscript"/>
              </w:rPr>
              <w:t>(0.05)</w:t>
            </w:r>
          </w:p>
        </w:tc>
        <w:tc>
          <w:tcPr>
            <w:tcW w:w="2500" w:type="pct"/>
            <w:tcBorders>
              <w:top w:val="nil"/>
              <w:left w:val="nil"/>
              <w:bottom w:val="single" w:sz="4" w:space="0" w:color="auto"/>
              <w:right w:val="nil"/>
            </w:tcBorders>
          </w:tcPr>
          <w:p w:rsidR="00D25D6C" w:rsidRPr="00DA1792" w:rsidRDefault="00D25D6C" w:rsidP="006C3B29">
            <w:pPr>
              <w:jc w:val="center"/>
              <w:rPr>
                <w:sz w:val="20"/>
                <w:szCs w:val="20"/>
              </w:rPr>
            </w:pPr>
            <w:r w:rsidRPr="00DA1792">
              <w:rPr>
                <w:sz w:val="20"/>
                <w:szCs w:val="20"/>
              </w:rPr>
              <w:t>0.1</w:t>
            </w:r>
          </w:p>
        </w:tc>
      </w:tr>
      <w:tr w:rsidR="00D25D6C" w:rsidRPr="00DA1792" w:rsidTr="006C3B29">
        <w:tc>
          <w:tcPr>
            <w:tcW w:w="2500" w:type="pct"/>
            <w:tcBorders>
              <w:left w:val="nil"/>
              <w:bottom w:val="single" w:sz="4" w:space="0" w:color="auto"/>
              <w:right w:val="nil"/>
            </w:tcBorders>
          </w:tcPr>
          <w:p w:rsidR="00D25D6C" w:rsidRPr="00DA1792" w:rsidRDefault="00D25D6C" w:rsidP="0053676D">
            <w:pPr>
              <w:jc w:val="center"/>
              <w:rPr>
                <w:sz w:val="20"/>
                <w:szCs w:val="20"/>
              </w:rPr>
            </w:pPr>
            <w:r w:rsidRPr="00DA1792">
              <w:rPr>
                <w:sz w:val="20"/>
                <w:szCs w:val="20"/>
              </w:rPr>
              <w:t>Soil Type</w:t>
            </w:r>
          </w:p>
        </w:tc>
        <w:tc>
          <w:tcPr>
            <w:tcW w:w="2500" w:type="pct"/>
            <w:tcBorders>
              <w:left w:val="nil"/>
              <w:bottom w:val="single" w:sz="4" w:space="0" w:color="auto"/>
              <w:right w:val="nil"/>
            </w:tcBorders>
          </w:tcPr>
          <w:p w:rsidR="00D25D6C" w:rsidRPr="00DA1792" w:rsidRDefault="00D25D6C" w:rsidP="006C3B29">
            <w:pPr>
              <w:rPr>
                <w:sz w:val="20"/>
                <w:szCs w:val="20"/>
              </w:rPr>
            </w:pPr>
          </w:p>
        </w:tc>
      </w:tr>
      <w:tr w:rsidR="00D25D6C" w:rsidRPr="00DA1792" w:rsidTr="006C3B29">
        <w:tc>
          <w:tcPr>
            <w:tcW w:w="2500" w:type="pct"/>
            <w:tcBorders>
              <w:left w:val="nil"/>
              <w:bottom w:val="nil"/>
              <w:right w:val="nil"/>
            </w:tcBorders>
          </w:tcPr>
          <w:p w:rsidR="00D25D6C" w:rsidRPr="00DA1792" w:rsidRDefault="00D25D6C" w:rsidP="006C3B29">
            <w:pPr>
              <w:rPr>
                <w:sz w:val="20"/>
                <w:szCs w:val="20"/>
              </w:rPr>
            </w:pPr>
            <w:r w:rsidRPr="00DA1792">
              <w:rPr>
                <w:sz w:val="20"/>
                <w:szCs w:val="20"/>
              </w:rPr>
              <w:t>Sandy Soil</w:t>
            </w:r>
          </w:p>
        </w:tc>
        <w:tc>
          <w:tcPr>
            <w:tcW w:w="2500" w:type="pct"/>
            <w:tcBorders>
              <w:left w:val="nil"/>
              <w:bottom w:val="nil"/>
              <w:right w:val="nil"/>
            </w:tcBorders>
          </w:tcPr>
          <w:p w:rsidR="00D25D6C" w:rsidRPr="00DA1792" w:rsidRDefault="00D25D6C" w:rsidP="006C3B29">
            <w:pPr>
              <w:jc w:val="center"/>
              <w:rPr>
                <w:sz w:val="20"/>
                <w:szCs w:val="20"/>
              </w:rPr>
            </w:pPr>
            <w:r w:rsidRPr="00DA1792">
              <w:rPr>
                <w:sz w:val="20"/>
                <w:szCs w:val="20"/>
              </w:rPr>
              <w:t>4.3</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Loam Soil</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3.5</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Sandy Clay Loam</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3.6</w:t>
            </w:r>
          </w:p>
        </w:tc>
      </w:tr>
      <w:tr w:rsidR="00D25D6C" w:rsidRPr="00DA1792" w:rsidTr="006C3B29">
        <w:tc>
          <w:tcPr>
            <w:tcW w:w="2500"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 xml:space="preserve">F- LSD </w:t>
            </w:r>
            <w:r w:rsidRPr="00DA1792">
              <w:rPr>
                <w:sz w:val="20"/>
                <w:szCs w:val="20"/>
                <w:vertAlign w:val="subscript"/>
              </w:rPr>
              <w:t>(0.05)</w:t>
            </w:r>
          </w:p>
        </w:tc>
        <w:tc>
          <w:tcPr>
            <w:tcW w:w="2500" w:type="pct"/>
            <w:tcBorders>
              <w:top w:val="nil"/>
              <w:left w:val="nil"/>
              <w:bottom w:val="single" w:sz="4" w:space="0" w:color="auto"/>
              <w:right w:val="nil"/>
            </w:tcBorders>
          </w:tcPr>
          <w:p w:rsidR="00D25D6C" w:rsidRPr="00DA1792" w:rsidRDefault="00D25D6C" w:rsidP="006C3B29">
            <w:pPr>
              <w:jc w:val="center"/>
              <w:rPr>
                <w:sz w:val="20"/>
                <w:szCs w:val="20"/>
              </w:rPr>
            </w:pPr>
            <w:r w:rsidRPr="00DA1792">
              <w:rPr>
                <w:sz w:val="20"/>
                <w:szCs w:val="20"/>
              </w:rPr>
              <w:t>0.1</w:t>
            </w:r>
          </w:p>
        </w:tc>
      </w:tr>
      <w:tr w:rsidR="00D25D6C" w:rsidRPr="00DA1792" w:rsidTr="006C3B29">
        <w:tc>
          <w:tcPr>
            <w:tcW w:w="2500" w:type="pct"/>
            <w:tcBorders>
              <w:left w:val="nil"/>
              <w:bottom w:val="single" w:sz="4" w:space="0" w:color="auto"/>
              <w:right w:val="nil"/>
            </w:tcBorders>
          </w:tcPr>
          <w:p w:rsidR="00D25D6C" w:rsidRPr="00DA1792" w:rsidRDefault="00D25D6C" w:rsidP="006C3B29">
            <w:pPr>
              <w:jc w:val="right"/>
              <w:rPr>
                <w:sz w:val="20"/>
                <w:szCs w:val="20"/>
              </w:rPr>
            </w:pPr>
            <w:r w:rsidRPr="00DA1792">
              <w:rPr>
                <w:sz w:val="20"/>
                <w:szCs w:val="20"/>
              </w:rPr>
              <w:t xml:space="preserve">         Incubation Period</w:t>
            </w:r>
          </w:p>
        </w:tc>
        <w:tc>
          <w:tcPr>
            <w:tcW w:w="2500" w:type="pct"/>
            <w:tcBorders>
              <w:left w:val="nil"/>
              <w:bottom w:val="single" w:sz="4" w:space="0" w:color="auto"/>
              <w:right w:val="nil"/>
            </w:tcBorders>
          </w:tcPr>
          <w:p w:rsidR="00D25D6C" w:rsidRPr="00DA1792" w:rsidRDefault="00D25D6C" w:rsidP="006C3B29">
            <w:pPr>
              <w:jc w:val="center"/>
              <w:rPr>
                <w:sz w:val="20"/>
                <w:szCs w:val="20"/>
              </w:rPr>
            </w:pP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Day 15</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4.2</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Day 30</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4.0</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Day 60</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3.2</w:t>
            </w:r>
          </w:p>
        </w:tc>
      </w:tr>
      <w:tr w:rsidR="00D25D6C" w:rsidRPr="00DA1792" w:rsidTr="006C3B29">
        <w:tc>
          <w:tcPr>
            <w:tcW w:w="2500" w:type="pct"/>
            <w:tcBorders>
              <w:top w:val="nil"/>
              <w:left w:val="nil"/>
              <w:bottom w:val="single" w:sz="4" w:space="0" w:color="auto"/>
              <w:right w:val="nil"/>
            </w:tcBorders>
          </w:tcPr>
          <w:p w:rsidR="00D25D6C" w:rsidRPr="00DA1792" w:rsidRDefault="00D25D6C" w:rsidP="006C3B29">
            <w:pPr>
              <w:rPr>
                <w:sz w:val="20"/>
                <w:szCs w:val="20"/>
              </w:rPr>
            </w:pPr>
            <w:r w:rsidRPr="00DA1792">
              <w:rPr>
                <w:sz w:val="20"/>
                <w:szCs w:val="20"/>
              </w:rPr>
              <w:t xml:space="preserve">F-LSD </w:t>
            </w:r>
            <w:r w:rsidRPr="00DA1792">
              <w:rPr>
                <w:sz w:val="20"/>
                <w:szCs w:val="20"/>
                <w:vertAlign w:val="subscript"/>
              </w:rPr>
              <w:t>(0.05)</w:t>
            </w:r>
          </w:p>
        </w:tc>
        <w:tc>
          <w:tcPr>
            <w:tcW w:w="2500" w:type="pct"/>
            <w:tcBorders>
              <w:top w:val="nil"/>
              <w:left w:val="nil"/>
              <w:bottom w:val="single" w:sz="4" w:space="0" w:color="auto"/>
              <w:right w:val="nil"/>
            </w:tcBorders>
          </w:tcPr>
          <w:p w:rsidR="00D25D6C" w:rsidRPr="00DA1792" w:rsidRDefault="00D25D6C" w:rsidP="006C3B29">
            <w:pPr>
              <w:jc w:val="center"/>
              <w:rPr>
                <w:sz w:val="20"/>
                <w:szCs w:val="20"/>
              </w:rPr>
            </w:pPr>
            <w:r w:rsidRPr="00DA1792">
              <w:rPr>
                <w:sz w:val="20"/>
                <w:szCs w:val="20"/>
              </w:rPr>
              <w:t>0.1</w:t>
            </w:r>
          </w:p>
        </w:tc>
      </w:tr>
      <w:tr w:rsidR="00D25D6C" w:rsidRPr="00DA1792" w:rsidTr="006C3B29">
        <w:tc>
          <w:tcPr>
            <w:tcW w:w="2500" w:type="pct"/>
            <w:tcBorders>
              <w:left w:val="nil"/>
              <w:bottom w:val="single" w:sz="4" w:space="0" w:color="auto"/>
              <w:right w:val="nil"/>
            </w:tcBorders>
          </w:tcPr>
          <w:p w:rsidR="00D25D6C" w:rsidRPr="00DA1792" w:rsidRDefault="00D25D6C" w:rsidP="006C3B29">
            <w:pPr>
              <w:rPr>
                <w:sz w:val="20"/>
                <w:szCs w:val="20"/>
              </w:rPr>
            </w:pPr>
            <w:r w:rsidRPr="00DA1792">
              <w:rPr>
                <w:sz w:val="20"/>
                <w:szCs w:val="20"/>
              </w:rPr>
              <w:t xml:space="preserve">F- LSD </w:t>
            </w:r>
            <w:r w:rsidRPr="00DA1792">
              <w:rPr>
                <w:sz w:val="20"/>
                <w:szCs w:val="20"/>
                <w:vertAlign w:val="subscript"/>
              </w:rPr>
              <w:t>(0.05)</w:t>
            </w:r>
          </w:p>
        </w:tc>
        <w:tc>
          <w:tcPr>
            <w:tcW w:w="2500" w:type="pct"/>
            <w:tcBorders>
              <w:left w:val="nil"/>
              <w:bottom w:val="single" w:sz="4" w:space="0" w:color="auto"/>
              <w:right w:val="nil"/>
            </w:tcBorders>
          </w:tcPr>
          <w:p w:rsidR="00D25D6C" w:rsidRPr="00DA1792" w:rsidRDefault="00D25D6C" w:rsidP="006C3B29">
            <w:pPr>
              <w:jc w:val="center"/>
              <w:rPr>
                <w:sz w:val="20"/>
                <w:szCs w:val="20"/>
              </w:rPr>
            </w:pPr>
          </w:p>
        </w:tc>
      </w:tr>
      <w:tr w:rsidR="00D25D6C" w:rsidRPr="00DA1792" w:rsidTr="006C3B29">
        <w:tc>
          <w:tcPr>
            <w:tcW w:w="2500" w:type="pct"/>
            <w:tcBorders>
              <w:left w:val="nil"/>
              <w:bottom w:val="nil"/>
              <w:right w:val="nil"/>
            </w:tcBorders>
          </w:tcPr>
          <w:p w:rsidR="00D25D6C" w:rsidRPr="00DA1792" w:rsidRDefault="00D25D6C" w:rsidP="006C3B29">
            <w:pPr>
              <w:rPr>
                <w:sz w:val="20"/>
                <w:szCs w:val="20"/>
              </w:rPr>
            </w:pPr>
            <w:r w:rsidRPr="00DA1792">
              <w:rPr>
                <w:sz w:val="20"/>
                <w:szCs w:val="20"/>
              </w:rPr>
              <w:t>T x S</w:t>
            </w:r>
          </w:p>
        </w:tc>
        <w:tc>
          <w:tcPr>
            <w:tcW w:w="2500" w:type="pct"/>
            <w:tcBorders>
              <w:left w:val="nil"/>
              <w:bottom w:val="nil"/>
              <w:right w:val="nil"/>
            </w:tcBorders>
          </w:tcPr>
          <w:p w:rsidR="00D25D6C" w:rsidRPr="00DA1792" w:rsidRDefault="00D25D6C" w:rsidP="006C3B29">
            <w:pPr>
              <w:jc w:val="center"/>
              <w:rPr>
                <w:sz w:val="20"/>
                <w:szCs w:val="20"/>
              </w:rPr>
            </w:pPr>
            <w:r w:rsidRPr="00DA1792">
              <w:rPr>
                <w:sz w:val="20"/>
                <w:szCs w:val="20"/>
              </w:rPr>
              <w:t>0.3</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T x 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0.3</w:t>
            </w:r>
          </w:p>
        </w:tc>
      </w:tr>
      <w:tr w:rsidR="00D25D6C" w:rsidRPr="00DA1792" w:rsidTr="006C3B29">
        <w:tc>
          <w:tcPr>
            <w:tcW w:w="2500" w:type="pct"/>
            <w:tcBorders>
              <w:top w:val="nil"/>
              <w:left w:val="nil"/>
              <w:bottom w:val="nil"/>
              <w:right w:val="nil"/>
            </w:tcBorders>
          </w:tcPr>
          <w:p w:rsidR="00D25D6C" w:rsidRPr="00DA1792" w:rsidRDefault="00D25D6C" w:rsidP="006C3B29">
            <w:pPr>
              <w:rPr>
                <w:sz w:val="20"/>
                <w:szCs w:val="20"/>
              </w:rPr>
            </w:pPr>
            <w:r w:rsidRPr="00DA1792">
              <w:rPr>
                <w:sz w:val="20"/>
                <w:szCs w:val="20"/>
              </w:rPr>
              <w:t>S x P</w:t>
            </w:r>
          </w:p>
        </w:tc>
        <w:tc>
          <w:tcPr>
            <w:tcW w:w="2500" w:type="pct"/>
            <w:tcBorders>
              <w:top w:val="nil"/>
              <w:left w:val="nil"/>
              <w:bottom w:val="nil"/>
              <w:right w:val="nil"/>
            </w:tcBorders>
          </w:tcPr>
          <w:p w:rsidR="00D25D6C" w:rsidRPr="00DA1792" w:rsidRDefault="00D25D6C" w:rsidP="006C3B29">
            <w:pPr>
              <w:jc w:val="center"/>
              <w:rPr>
                <w:sz w:val="20"/>
                <w:szCs w:val="20"/>
              </w:rPr>
            </w:pPr>
            <w:r w:rsidRPr="00DA1792">
              <w:rPr>
                <w:sz w:val="20"/>
                <w:szCs w:val="20"/>
              </w:rPr>
              <w:t>0.2</w:t>
            </w:r>
          </w:p>
        </w:tc>
      </w:tr>
      <w:tr w:rsidR="00D25D6C" w:rsidRPr="00DA1792" w:rsidTr="006C3B29">
        <w:tc>
          <w:tcPr>
            <w:tcW w:w="2500" w:type="pct"/>
            <w:tcBorders>
              <w:top w:val="nil"/>
              <w:left w:val="nil"/>
              <w:right w:val="nil"/>
            </w:tcBorders>
          </w:tcPr>
          <w:p w:rsidR="00D25D6C" w:rsidRPr="00DA1792" w:rsidRDefault="00D25D6C" w:rsidP="006C3B29">
            <w:pPr>
              <w:rPr>
                <w:sz w:val="20"/>
                <w:szCs w:val="20"/>
              </w:rPr>
            </w:pPr>
            <w:r w:rsidRPr="00DA1792">
              <w:rPr>
                <w:sz w:val="20"/>
                <w:szCs w:val="20"/>
              </w:rPr>
              <w:t>T x S x P</w:t>
            </w:r>
          </w:p>
        </w:tc>
        <w:tc>
          <w:tcPr>
            <w:tcW w:w="2500" w:type="pct"/>
            <w:tcBorders>
              <w:top w:val="nil"/>
              <w:left w:val="nil"/>
              <w:right w:val="nil"/>
            </w:tcBorders>
          </w:tcPr>
          <w:p w:rsidR="00D25D6C" w:rsidRPr="00DA1792" w:rsidRDefault="00D25D6C" w:rsidP="006C3B29">
            <w:pPr>
              <w:jc w:val="center"/>
              <w:rPr>
                <w:sz w:val="20"/>
                <w:szCs w:val="20"/>
              </w:rPr>
            </w:pPr>
            <w:r w:rsidRPr="00DA1792">
              <w:rPr>
                <w:sz w:val="20"/>
                <w:szCs w:val="20"/>
              </w:rPr>
              <w:t>0.4</w:t>
            </w:r>
          </w:p>
        </w:tc>
      </w:tr>
    </w:tbl>
    <w:p w:rsidR="00D25D6C" w:rsidRPr="00DA1792" w:rsidRDefault="00D25D6C" w:rsidP="00D25D6C">
      <w:pPr>
        <w:tabs>
          <w:tab w:val="left" w:pos="1800"/>
        </w:tabs>
        <w:ind w:right="-45"/>
        <w:jc w:val="both"/>
        <w:rPr>
          <w:sz w:val="20"/>
          <w:szCs w:val="20"/>
        </w:rPr>
      </w:pPr>
      <w:r w:rsidRPr="00DA1792">
        <w:rPr>
          <w:sz w:val="20"/>
          <w:szCs w:val="20"/>
        </w:rPr>
        <w:t xml:space="preserve"> T = treatment, S = soil type, S</w:t>
      </w:r>
      <w:r w:rsidRPr="00DA1792">
        <w:rPr>
          <w:sz w:val="20"/>
          <w:szCs w:val="20"/>
          <w:vertAlign w:val="superscript"/>
        </w:rPr>
        <w:t>o</w:t>
      </w:r>
      <w:r w:rsidRPr="00DA1792">
        <w:rPr>
          <w:sz w:val="20"/>
          <w:szCs w:val="20"/>
        </w:rPr>
        <w:t xml:space="preserve"> = elemental sulphur, PP = plantain peels, YP = yam peels, SG = spear grass, P = incubation period.</w:t>
      </w:r>
    </w:p>
    <w:p w:rsidR="00D25D6C" w:rsidRPr="00DA1792" w:rsidRDefault="00D25D6C" w:rsidP="00D25D6C">
      <w:pPr>
        <w:tabs>
          <w:tab w:val="left" w:pos="1800"/>
        </w:tabs>
        <w:ind w:right="-45"/>
        <w:jc w:val="both"/>
        <w:rPr>
          <w:b/>
          <w:sz w:val="20"/>
          <w:szCs w:val="20"/>
        </w:rPr>
      </w:pPr>
    </w:p>
    <w:p w:rsidR="00D25D6C" w:rsidRPr="00DA1792" w:rsidRDefault="00D25D6C" w:rsidP="00D25D6C">
      <w:pPr>
        <w:tabs>
          <w:tab w:val="left" w:pos="1800"/>
        </w:tabs>
        <w:ind w:right="-45"/>
        <w:jc w:val="both"/>
        <w:rPr>
          <w:sz w:val="20"/>
          <w:szCs w:val="20"/>
        </w:rPr>
      </w:pPr>
      <w:r w:rsidRPr="00DA1792">
        <w:rPr>
          <w:b/>
          <w:sz w:val="20"/>
          <w:szCs w:val="20"/>
        </w:rPr>
        <w:t>4. Conclusion</w:t>
      </w:r>
      <w:r w:rsidRPr="00DA1792">
        <w:rPr>
          <w:sz w:val="20"/>
          <w:szCs w:val="20"/>
        </w:rPr>
        <w:t xml:space="preserve">  </w:t>
      </w:r>
    </w:p>
    <w:p w:rsidR="00D25D6C" w:rsidRPr="00DA1792" w:rsidRDefault="00D25D6C" w:rsidP="00D25D6C">
      <w:pPr>
        <w:tabs>
          <w:tab w:val="left" w:pos="720"/>
          <w:tab w:val="left" w:pos="1800"/>
        </w:tabs>
        <w:ind w:right="-46"/>
        <w:jc w:val="both"/>
        <w:rPr>
          <w:sz w:val="20"/>
          <w:szCs w:val="20"/>
        </w:rPr>
      </w:pPr>
      <w:r w:rsidRPr="00DA1792">
        <w:rPr>
          <w:sz w:val="20"/>
          <w:szCs w:val="20"/>
        </w:rPr>
        <w:tab/>
        <w:t>From the study, increase in organic matter application and incubation period enhanced sulphur oxidation which resulted in the formation of more sulphate. Thus, they enhanced the efficiency of sulphate availability in the three soils used for this study. Based on the above findings, when a large amount of sulphate is required by a plant, the incubation period of organic materials need to be long. This study also shows that loamy soils give better conditions for sulphur oxidation than sandy soils. Plantain peel was found to aid sulphur oxidation better than yam peel and spear grass. It was also found that elemental sulphur could be added to soils in order to remediate soil alkalinity, but, this should be done with caution to avoid excessive acidification.</w:t>
      </w:r>
    </w:p>
    <w:p w:rsidR="00D25D6C" w:rsidRPr="00DA1792" w:rsidRDefault="00D25D6C" w:rsidP="00D25D6C">
      <w:pPr>
        <w:tabs>
          <w:tab w:val="left" w:pos="720"/>
          <w:tab w:val="left" w:pos="1800"/>
        </w:tabs>
        <w:ind w:right="-46"/>
        <w:jc w:val="both"/>
        <w:rPr>
          <w:sz w:val="20"/>
          <w:szCs w:val="20"/>
        </w:rPr>
      </w:pPr>
    </w:p>
    <w:p w:rsidR="00D25D6C" w:rsidRPr="00DA1792" w:rsidRDefault="00D25D6C" w:rsidP="00D25D6C">
      <w:pPr>
        <w:tabs>
          <w:tab w:val="left" w:pos="720"/>
          <w:tab w:val="left" w:pos="1800"/>
        </w:tabs>
        <w:ind w:right="-46"/>
        <w:jc w:val="both"/>
        <w:rPr>
          <w:b/>
          <w:sz w:val="20"/>
          <w:szCs w:val="20"/>
        </w:rPr>
      </w:pPr>
      <w:r w:rsidRPr="00DA1792">
        <w:rPr>
          <w:b/>
          <w:sz w:val="20"/>
          <w:szCs w:val="20"/>
        </w:rPr>
        <w:t>5. Acknowledgement</w:t>
      </w:r>
    </w:p>
    <w:p w:rsidR="00D25D6C" w:rsidRPr="00DA1792" w:rsidRDefault="00D25D6C" w:rsidP="00D25D6C">
      <w:pPr>
        <w:tabs>
          <w:tab w:val="left" w:pos="720"/>
          <w:tab w:val="left" w:pos="1800"/>
        </w:tabs>
        <w:ind w:right="-46"/>
        <w:jc w:val="both"/>
        <w:rPr>
          <w:sz w:val="20"/>
          <w:szCs w:val="20"/>
        </w:rPr>
      </w:pPr>
      <w:r w:rsidRPr="00DA1792">
        <w:rPr>
          <w:sz w:val="20"/>
          <w:szCs w:val="20"/>
        </w:rPr>
        <w:tab/>
        <w:t>The assistance offered by staff of the Soil Science Laboratory, University of Nigeria, Nsukka is highly appreciated.</w:t>
      </w:r>
    </w:p>
    <w:p w:rsidR="00D25D6C" w:rsidRPr="00DA1792" w:rsidRDefault="00D25D6C" w:rsidP="00D25D6C">
      <w:pPr>
        <w:tabs>
          <w:tab w:val="left" w:pos="720"/>
          <w:tab w:val="left" w:pos="1800"/>
        </w:tabs>
        <w:ind w:right="-46"/>
        <w:jc w:val="both"/>
        <w:rPr>
          <w:b/>
          <w:sz w:val="20"/>
          <w:szCs w:val="20"/>
        </w:rPr>
      </w:pPr>
    </w:p>
    <w:p w:rsidR="00D25D6C" w:rsidRPr="00DA1792" w:rsidRDefault="00D25D6C" w:rsidP="00D25D6C">
      <w:pPr>
        <w:tabs>
          <w:tab w:val="left" w:pos="720"/>
          <w:tab w:val="left" w:pos="1800"/>
        </w:tabs>
        <w:ind w:right="-46"/>
        <w:jc w:val="both"/>
        <w:rPr>
          <w:b/>
          <w:sz w:val="20"/>
          <w:szCs w:val="20"/>
        </w:rPr>
      </w:pPr>
    </w:p>
    <w:p w:rsidR="00D25D6C" w:rsidRPr="00DA1792" w:rsidRDefault="00D25D6C" w:rsidP="00D25D6C">
      <w:pPr>
        <w:tabs>
          <w:tab w:val="left" w:pos="720"/>
          <w:tab w:val="left" w:pos="1800"/>
        </w:tabs>
        <w:ind w:right="-46"/>
        <w:jc w:val="both"/>
        <w:rPr>
          <w:b/>
          <w:sz w:val="20"/>
          <w:szCs w:val="20"/>
        </w:rPr>
      </w:pPr>
    </w:p>
    <w:p w:rsidR="00D25D6C" w:rsidRPr="00DA1792" w:rsidRDefault="00D25D6C" w:rsidP="00D25D6C">
      <w:pPr>
        <w:tabs>
          <w:tab w:val="left" w:pos="720"/>
          <w:tab w:val="left" w:pos="1800"/>
        </w:tabs>
        <w:ind w:right="-46"/>
        <w:jc w:val="both"/>
        <w:rPr>
          <w:sz w:val="20"/>
          <w:szCs w:val="20"/>
        </w:rPr>
      </w:pPr>
      <w:r w:rsidRPr="00DA1792">
        <w:rPr>
          <w:b/>
          <w:sz w:val="20"/>
          <w:szCs w:val="20"/>
        </w:rPr>
        <w:lastRenderedPageBreak/>
        <w:t>6. References</w:t>
      </w:r>
    </w:p>
    <w:p w:rsidR="00D25D6C" w:rsidRPr="00DA1792" w:rsidRDefault="00D25D6C" w:rsidP="00D25D6C">
      <w:pPr>
        <w:pStyle w:val="ListParagraph"/>
        <w:numPr>
          <w:ilvl w:val="0"/>
          <w:numId w:val="1"/>
        </w:numPr>
        <w:tabs>
          <w:tab w:val="left" w:pos="426"/>
        </w:tabs>
        <w:ind w:left="426" w:right="-46"/>
        <w:jc w:val="both"/>
        <w:rPr>
          <w:sz w:val="20"/>
          <w:szCs w:val="20"/>
        </w:rPr>
      </w:pPr>
      <w:r w:rsidRPr="00DA1792">
        <w:rPr>
          <w:sz w:val="20"/>
          <w:szCs w:val="20"/>
        </w:rPr>
        <w:t>Acquaye, D. K., and Beringer, H. (1989) “Sulphur in Ghanaian soils. I. Status and distribution of different forms of sulphur in some typical profiles”, Plant and Soil 113: 197 – 203.</w:t>
      </w:r>
    </w:p>
    <w:p w:rsidR="00D25D6C" w:rsidRPr="00DA1792" w:rsidRDefault="00D25D6C" w:rsidP="00D25D6C">
      <w:pPr>
        <w:pStyle w:val="ListParagraph"/>
        <w:numPr>
          <w:ilvl w:val="0"/>
          <w:numId w:val="1"/>
        </w:numPr>
        <w:tabs>
          <w:tab w:val="left" w:pos="1800"/>
        </w:tabs>
        <w:ind w:left="426" w:right="-46"/>
        <w:jc w:val="both"/>
        <w:rPr>
          <w:sz w:val="20"/>
          <w:szCs w:val="20"/>
        </w:rPr>
      </w:pPr>
      <w:r w:rsidRPr="00DA1792">
        <w:rPr>
          <w:sz w:val="20"/>
          <w:szCs w:val="20"/>
        </w:rPr>
        <w:t>Alexander, M. (1977) “Introduction to Soil Microbiology”, John Wiley, New York.</w:t>
      </w:r>
    </w:p>
    <w:p w:rsidR="00D25D6C" w:rsidRPr="00DA1792" w:rsidRDefault="00D25D6C" w:rsidP="00D25D6C">
      <w:pPr>
        <w:pStyle w:val="ListParagraph"/>
        <w:numPr>
          <w:ilvl w:val="0"/>
          <w:numId w:val="1"/>
        </w:numPr>
        <w:tabs>
          <w:tab w:val="left" w:pos="426"/>
        </w:tabs>
        <w:ind w:left="426" w:right="-46"/>
        <w:jc w:val="both"/>
        <w:rPr>
          <w:sz w:val="20"/>
          <w:szCs w:val="20"/>
        </w:rPr>
      </w:pPr>
      <w:r w:rsidRPr="00DA1792">
        <w:rPr>
          <w:sz w:val="20"/>
          <w:szCs w:val="20"/>
        </w:rPr>
        <w:t>Allison, E. E. (1973) “Soil Organic Matter and its Role in Crop Production”, Elsevier, New York.</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Alloway, B. J. (1995) “Heavy Metals in Soils”, Blackie Academic and Professional, London.</w:t>
      </w:r>
      <w:r w:rsidRPr="00DA1792">
        <w:rPr>
          <w:sz w:val="20"/>
          <w:szCs w:val="20"/>
        </w:rPr>
        <w:tab/>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Anyanwu, A. C., Anyanwu, B. O., and Anyanwu, V. A. (1969)</w:t>
      </w:r>
      <w:r w:rsidRPr="00DA1792">
        <w:rPr>
          <w:i/>
          <w:sz w:val="20"/>
          <w:szCs w:val="20"/>
        </w:rPr>
        <w:t xml:space="preserve"> </w:t>
      </w:r>
      <w:r w:rsidRPr="00DA1792">
        <w:rPr>
          <w:sz w:val="20"/>
          <w:szCs w:val="20"/>
        </w:rPr>
        <w:t>“A Text Book of Agriculture”, FEP International Ltd., Singapore.</w:t>
      </w:r>
    </w:p>
    <w:p w:rsidR="00D25D6C" w:rsidRPr="00DA1792" w:rsidRDefault="00D25D6C" w:rsidP="00D25D6C">
      <w:pPr>
        <w:pStyle w:val="ListParagraph"/>
        <w:numPr>
          <w:ilvl w:val="0"/>
          <w:numId w:val="1"/>
        </w:numPr>
        <w:tabs>
          <w:tab w:val="left" w:pos="567"/>
          <w:tab w:val="left" w:pos="1843"/>
        </w:tabs>
        <w:ind w:left="426" w:right="-46"/>
        <w:jc w:val="both"/>
        <w:rPr>
          <w:sz w:val="20"/>
          <w:szCs w:val="20"/>
        </w:rPr>
      </w:pPr>
      <w:r w:rsidRPr="00DA1792">
        <w:rPr>
          <w:sz w:val="20"/>
          <w:szCs w:val="20"/>
        </w:rPr>
        <w:t>Barbarick, K. A. (2006) “Organic Materials as Nitrogen Fertilizers”, Colorado State University Extension. USA.</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Bouyoucos, G. J. (1962) “Hydrometer method improved for making particle size analysis of soils”, Agron. J</w:t>
      </w:r>
      <w:r w:rsidRPr="00DA1792">
        <w:rPr>
          <w:i/>
          <w:sz w:val="20"/>
          <w:szCs w:val="20"/>
        </w:rPr>
        <w:t>.</w:t>
      </w:r>
      <w:r w:rsidRPr="00DA1792">
        <w:rPr>
          <w:sz w:val="20"/>
          <w:szCs w:val="20"/>
        </w:rPr>
        <w:t xml:space="preserve">, </w:t>
      </w:r>
      <w:r w:rsidRPr="00DA1792">
        <w:rPr>
          <w:sz w:val="20"/>
          <w:szCs w:val="20"/>
        </w:rPr>
        <w:tab/>
        <w:t>54: 464 – 465.</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Brady, N. C. (1974) “The Nature and Properties of Soils”, Macmillan, New York.</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Bremner, J. M. (1965) “Total nitrogen” In: Black, C. A. (Ed),</w:t>
      </w:r>
      <w:r w:rsidRPr="00DA1792">
        <w:rPr>
          <w:i/>
          <w:sz w:val="20"/>
          <w:szCs w:val="20"/>
        </w:rPr>
        <w:t xml:space="preserve"> </w:t>
      </w:r>
      <w:r w:rsidRPr="00DA1792">
        <w:rPr>
          <w:sz w:val="20"/>
          <w:szCs w:val="20"/>
        </w:rPr>
        <w:t>Methods of Soil Analysis, Part II, Amer. Soc. Agron., 9: 1149 – 1178.</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Chapman, A. L. (1980) “Effect of sulphur, sulphuric acid and gypsum on the yield of rice on the Cununurra soils of the Orid irrigation area, Western Australia”, Aust. J. Exp. Agric. Anim. Husb, 20: 724 – 730.</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Cox, L. and Koenig, R. (2010) “Solutions to Soil Problems: II High pH (Alkaline Soil)”, Utat State University Cooperative Extension. USA.</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 xml:space="preserve">Deshpande, A. (2010) “Autotrophs and Heterotrophs”, </w:t>
      </w:r>
      <w:r w:rsidRPr="00DA1792">
        <w:rPr>
          <w:sz w:val="20"/>
          <w:szCs w:val="20"/>
          <w:u w:val="single"/>
        </w:rPr>
        <w:t xml:space="preserve">http:// </w:t>
      </w:r>
      <w:hyperlink r:id="rId12" w:history="1">
        <w:r w:rsidRPr="00DA1792">
          <w:rPr>
            <w:color w:val="000000" w:themeColor="text1"/>
            <w:sz w:val="20"/>
            <w:szCs w:val="20"/>
            <w:u w:val="single"/>
          </w:rPr>
          <w:t>www.buzzle.com/articles/autotrophs-and-heterotrophs.html</w:t>
        </w:r>
      </w:hyperlink>
      <w:r w:rsidRPr="00DA1792">
        <w:rPr>
          <w:sz w:val="20"/>
          <w:szCs w:val="20"/>
        </w:rPr>
        <w:t>. Accessed 15 March, 2012.</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Enwezor, W. O. (1976) “Sulphur deficiency in soils of South-Eastern Nigeria”,</w:t>
      </w:r>
      <w:r w:rsidRPr="00DA1792">
        <w:rPr>
          <w:i/>
          <w:sz w:val="20"/>
          <w:szCs w:val="20"/>
        </w:rPr>
        <w:t xml:space="preserve"> </w:t>
      </w:r>
      <w:r w:rsidRPr="00DA1792">
        <w:rPr>
          <w:sz w:val="20"/>
          <w:szCs w:val="20"/>
        </w:rPr>
        <w:t>Geoderma 15: 401 – 411.</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Hooker, W. J., and Kent, G. C. (1950) “Sulphur and certain soil amendments for potato scab control in peat soils of Northern Iowa”, Amer. Potato Jour., 27: 343 – 365.</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Igwe, C. A. (2001) “Effects of land use on some structural properties of an Ultisol in South-Eastern Nigeria”, Int. Agrophysics, 15: 237 – 241.</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Jackson, M. C. (1958) “Soil Chemical Analysis: An Advanced Course”, University of Winscosin, USA.</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Juo, A. S. R. (1979) “Selected Methods of Soil and Plant Analysis Manual Series No. 170”, IITA, Ibadan, Nigeria.</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 xml:space="preserve">Kang, B. T., Okoro, E., Acquage, D., and Osiname, O. A. (1981) “Sulphur status of some </w:t>
      </w:r>
      <w:r w:rsidRPr="00DA1792">
        <w:rPr>
          <w:sz w:val="20"/>
          <w:szCs w:val="20"/>
        </w:rPr>
        <w:lastRenderedPageBreak/>
        <w:t>Nigerian soils from the savanna and forest zones”, Soil Sci., 132: 220 – 227.</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 xml:space="preserve">Kuenen, J. G. and Beudeker, R. F. (1982) “Microbiology of </w:t>
      </w:r>
      <w:r w:rsidRPr="00DA1792">
        <w:rPr>
          <w:i/>
          <w:sz w:val="20"/>
          <w:szCs w:val="20"/>
        </w:rPr>
        <w:t>Thiobacilli</w:t>
      </w:r>
      <w:r w:rsidRPr="00DA1792">
        <w:rPr>
          <w:sz w:val="20"/>
          <w:szCs w:val="20"/>
        </w:rPr>
        <w:t xml:space="preserve"> and other sulphur oxidizing bacteria” In:</w:t>
      </w:r>
      <w:r w:rsidRPr="00DA1792">
        <w:rPr>
          <w:i/>
          <w:sz w:val="20"/>
          <w:szCs w:val="20"/>
        </w:rPr>
        <w:t xml:space="preserve"> </w:t>
      </w:r>
      <w:r w:rsidRPr="00DA1792">
        <w:rPr>
          <w:i/>
          <w:sz w:val="20"/>
          <w:szCs w:val="20"/>
        </w:rPr>
        <w:tab/>
      </w:r>
      <w:r w:rsidRPr="00DA1792">
        <w:rPr>
          <w:sz w:val="20"/>
          <w:szCs w:val="20"/>
        </w:rPr>
        <w:t>Post Gate, J. P., and D. P. Kelly (Eds.), Sulphur Bacteria, pp. 473 – 497. University Press, Cambridge.</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Millar, C. E., Turk, L. M., and Foth, H. D. (1962) “Fundamentals of Soil Science”, John Wiley and Sons, Inc., New York.</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Moore, P. A. (Jr.), Sun, Y., Miller, D. M., Beyrouty, C. A., and Norman, R. J. (1994) “Phosphorus deficiency in rice on high pH Soils” In: Sabbe, W. E. (Ed.), Arkansas Soil Fertility Studies 1993, pp. 160 – 167, Res. Ser. 436. Ark. Agric. Exp. Stn. Fayetteville, AR.</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Nelson, D. N., and Sommers, L. E. (1982) “Total organic carbon and organic matter”, In: Page, A. L., Miller, R. H., and Keeny, D. R. (Eds.), Methods of Soil Analysis, Part II, pp. 539 – 579, American Society of Agronomy and Soil Sci. Soc. of Am., Madison W. I.</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Obi, I. U. (2001) “Introduction to Factorial Experiments: For Agricultural, Biological, and Social Sciences Research”,</w:t>
      </w:r>
      <w:r w:rsidRPr="00DA1792">
        <w:rPr>
          <w:i/>
          <w:sz w:val="20"/>
          <w:szCs w:val="20"/>
        </w:rPr>
        <w:t xml:space="preserve"> </w:t>
      </w:r>
      <w:r w:rsidRPr="00DA1792">
        <w:rPr>
          <w:sz w:val="20"/>
          <w:szCs w:val="20"/>
        </w:rPr>
        <w:t>2</w:t>
      </w:r>
      <w:r w:rsidRPr="00DA1792">
        <w:rPr>
          <w:sz w:val="20"/>
          <w:szCs w:val="20"/>
          <w:vertAlign w:val="superscript"/>
        </w:rPr>
        <w:t>nd</w:t>
      </w:r>
      <w:r w:rsidRPr="00DA1792">
        <w:rPr>
          <w:sz w:val="20"/>
          <w:szCs w:val="20"/>
        </w:rPr>
        <w:t xml:space="preserve">  Ed., Optimal Publishers, Enugu.</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Olsen, S. R., and Sommers, L. E. (1982) “Phosphorus”, In: Page, A. L., Miller, R. H., and Keeny, D. R. (Eds.), Methods of Soil Analysis, Part II, pp. 15 – 72, American Society of Agronomy and Soil Sci. Soc. of Am., Madison W. I.</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Rehm, G. W. and Caldwell, A. C. (1968) “Sulphur supplying capacity of soils and the relationship to soil type”</w:t>
      </w:r>
      <w:r w:rsidRPr="00DA1792">
        <w:rPr>
          <w:i/>
          <w:sz w:val="20"/>
          <w:szCs w:val="20"/>
        </w:rPr>
        <w:t xml:space="preserve"> </w:t>
      </w:r>
      <w:r w:rsidRPr="00DA1792">
        <w:rPr>
          <w:sz w:val="20"/>
          <w:szCs w:val="20"/>
        </w:rPr>
        <w:t>Soil Sci., 105: 355 – 361.</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 xml:space="preserve">Slaton, N. A., Ntamatungiro, S., Wilson, C. E. (Jr.) and Norman, R. J. (1998) “Influence of two elemental sulphur products applied to an alkaline </w:t>
      </w:r>
      <w:r w:rsidRPr="00DA1792">
        <w:rPr>
          <w:sz w:val="20"/>
          <w:szCs w:val="20"/>
        </w:rPr>
        <w:lastRenderedPageBreak/>
        <w:t>silt loam on rice growth”, In: Norman, R. J., and Johnston, T. H. (Eds.),  Rice Research Series 1997, pp. 326 – 329. Res. Ser. 460</w:t>
      </w:r>
      <w:r w:rsidRPr="00DA1792">
        <w:rPr>
          <w:i/>
          <w:sz w:val="20"/>
          <w:szCs w:val="20"/>
        </w:rPr>
        <w:t xml:space="preserve">. </w:t>
      </w:r>
      <w:r w:rsidRPr="00DA1792">
        <w:rPr>
          <w:sz w:val="20"/>
          <w:szCs w:val="20"/>
        </w:rPr>
        <w:t>Ark. Agric. Exp. Stn. Fayetteville, AR.</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Slaton, N. A., Norman, R. J., and Gilmour, J. T. (2001) “Oxidation rates of commercial elemental sulphur products applied to an alkaline silt loam from Arkansas”, Soil Sci. Soc. Amer. J., 65: 239 – 243.</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Solberg, E. D., Nyborg, M., Laverty, D. H., and Malhi, S. S. (1982) “Oxidation of elemental sulphur used as fertilizer”, Proc. 19</w:t>
      </w:r>
      <w:r w:rsidRPr="00DA1792">
        <w:rPr>
          <w:sz w:val="20"/>
          <w:szCs w:val="20"/>
          <w:vertAlign w:val="superscript"/>
        </w:rPr>
        <w:t>th</w:t>
      </w:r>
      <w:r w:rsidRPr="00DA1792">
        <w:rPr>
          <w:sz w:val="20"/>
          <w:szCs w:val="20"/>
        </w:rPr>
        <w:t xml:space="preserve"> Ann. Alberta Soil Sci. Workshop Edmonton,</w:t>
      </w:r>
      <w:r w:rsidRPr="00DA1792">
        <w:rPr>
          <w:i/>
          <w:sz w:val="20"/>
          <w:szCs w:val="20"/>
        </w:rPr>
        <w:t xml:space="preserve"> </w:t>
      </w:r>
      <w:r w:rsidRPr="00DA1792">
        <w:rPr>
          <w:sz w:val="20"/>
          <w:szCs w:val="20"/>
        </w:rPr>
        <w:t>pp. 241 – 252.</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Swaby, R. J., and Fidel, R. (1973) “Microbial production of sulphate and sulphide in some Australian soils”, Soil Biol. Biochem., 5: 773 – 781.</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Tisdale, S. L. and Nelson, W. L. (1966) “Soil Fertility and Fertilizers”, The Macmillan Company, New York.</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Trudinger, P. A. (1971) “Microbes, metals and minerals”, Mineral Science and Engineering, 3: 13 - 25.</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Vidyalakshmi, R., Paranthaman, R., and Bhakyaraj, R. (2009) “Sulphur oxidizing bacteria and pulse nutrition – A review”,</w:t>
      </w:r>
      <w:r w:rsidRPr="00DA1792">
        <w:rPr>
          <w:i/>
          <w:sz w:val="20"/>
          <w:szCs w:val="20"/>
        </w:rPr>
        <w:t xml:space="preserve"> </w:t>
      </w:r>
      <w:r w:rsidRPr="00DA1792">
        <w:rPr>
          <w:sz w:val="20"/>
          <w:szCs w:val="20"/>
        </w:rPr>
        <w:t>World Journal of Agric. Sci.</w:t>
      </w:r>
      <w:r w:rsidRPr="00DA1792">
        <w:rPr>
          <w:i/>
          <w:sz w:val="20"/>
          <w:szCs w:val="20"/>
        </w:rPr>
        <w:t xml:space="preserve"> </w:t>
      </w:r>
      <w:r w:rsidRPr="00DA1792">
        <w:rPr>
          <w:sz w:val="20"/>
          <w:szCs w:val="20"/>
        </w:rPr>
        <w:t>5(3): 270 –278.</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 xml:space="preserve">Vlitos, A. J., and Hooker, W. J. (1951) “The influence of sulphur on populations of </w:t>
      </w:r>
      <w:r w:rsidRPr="00DA1792">
        <w:rPr>
          <w:i/>
          <w:sz w:val="20"/>
          <w:szCs w:val="20"/>
        </w:rPr>
        <w:t xml:space="preserve">Streptomyces scabies </w:t>
      </w:r>
      <w:r w:rsidRPr="00DA1792">
        <w:rPr>
          <w:sz w:val="20"/>
          <w:szCs w:val="20"/>
        </w:rPr>
        <w:t xml:space="preserve">and other </w:t>
      </w:r>
      <w:r w:rsidRPr="00DA1792">
        <w:rPr>
          <w:i/>
          <w:sz w:val="20"/>
          <w:szCs w:val="20"/>
        </w:rPr>
        <w:t>Streptomycetes</w:t>
      </w:r>
      <w:r w:rsidRPr="00DA1792">
        <w:rPr>
          <w:sz w:val="20"/>
          <w:szCs w:val="20"/>
        </w:rPr>
        <w:t xml:space="preserve"> in peat soil, American Journal of Botany 38(9): 678 – 683.</w:t>
      </w:r>
    </w:p>
    <w:p w:rsidR="00D25D6C" w:rsidRPr="00DA1792" w:rsidRDefault="00D25D6C" w:rsidP="00D25D6C">
      <w:pPr>
        <w:pStyle w:val="ListParagraph"/>
        <w:numPr>
          <w:ilvl w:val="0"/>
          <w:numId w:val="1"/>
        </w:numPr>
        <w:tabs>
          <w:tab w:val="left" w:pos="567"/>
        </w:tabs>
        <w:ind w:left="426" w:right="-46"/>
        <w:jc w:val="both"/>
        <w:rPr>
          <w:sz w:val="20"/>
          <w:szCs w:val="20"/>
        </w:rPr>
      </w:pPr>
      <w:r w:rsidRPr="00DA1792">
        <w:rPr>
          <w:sz w:val="20"/>
          <w:szCs w:val="20"/>
        </w:rPr>
        <w:t>Wainwright, M., Nevall, W., and Grayston, S. J. (1986) “Effects of organic matter on sulphur oxidation in soil and influence of sulphur oxidation on soil nitrification”, Plant and Soil,</w:t>
      </w:r>
      <w:r w:rsidRPr="00DA1792">
        <w:rPr>
          <w:i/>
          <w:sz w:val="20"/>
          <w:szCs w:val="20"/>
        </w:rPr>
        <w:t xml:space="preserve"> </w:t>
      </w:r>
      <w:r w:rsidRPr="00DA1792">
        <w:rPr>
          <w:sz w:val="20"/>
          <w:szCs w:val="20"/>
        </w:rPr>
        <w:t>96: 369 – 376.</w:t>
      </w:r>
    </w:p>
    <w:p w:rsidR="00D25D6C" w:rsidRPr="00DA1792" w:rsidRDefault="00D25D6C" w:rsidP="00D25D6C">
      <w:pPr>
        <w:tabs>
          <w:tab w:val="left" w:pos="567"/>
        </w:tabs>
        <w:ind w:right="-46"/>
        <w:jc w:val="both"/>
        <w:rPr>
          <w:sz w:val="20"/>
          <w:szCs w:val="20"/>
        </w:rPr>
        <w:sectPr w:rsidR="00D25D6C" w:rsidRPr="00DA1792" w:rsidSect="00B56877">
          <w:type w:val="continuous"/>
          <w:pgSz w:w="12240" w:h="15840" w:code="1"/>
          <w:pgMar w:top="1440" w:right="1440" w:bottom="1440" w:left="1440" w:header="720" w:footer="720" w:gutter="0"/>
          <w:cols w:num="2" w:space="480"/>
          <w:docGrid w:linePitch="360"/>
        </w:sectPr>
      </w:pPr>
    </w:p>
    <w:p w:rsidR="00D25D6C" w:rsidRPr="00DA1792" w:rsidRDefault="00D25D6C" w:rsidP="00D25D6C">
      <w:pPr>
        <w:tabs>
          <w:tab w:val="left" w:pos="567"/>
        </w:tabs>
        <w:ind w:right="-46"/>
        <w:jc w:val="both"/>
        <w:rPr>
          <w:sz w:val="20"/>
          <w:szCs w:val="20"/>
        </w:rPr>
      </w:pPr>
    </w:p>
    <w:p w:rsidR="00D25D6C" w:rsidRPr="00DA1792" w:rsidRDefault="00D25D6C" w:rsidP="00D25D6C">
      <w:pPr>
        <w:tabs>
          <w:tab w:val="left" w:pos="567"/>
        </w:tabs>
        <w:ind w:right="-46"/>
        <w:jc w:val="both"/>
        <w:rPr>
          <w:sz w:val="20"/>
          <w:szCs w:val="20"/>
        </w:rPr>
      </w:pPr>
    </w:p>
    <w:p w:rsidR="00D25D6C" w:rsidRPr="00DA1792" w:rsidRDefault="00D25D6C" w:rsidP="00D25D6C">
      <w:pPr>
        <w:rPr>
          <w:sz w:val="20"/>
          <w:szCs w:val="20"/>
        </w:rPr>
      </w:pPr>
      <w:r w:rsidRPr="00DA1792">
        <w:rPr>
          <w:sz w:val="20"/>
          <w:szCs w:val="20"/>
        </w:rPr>
        <w:t>9/15/2012</w:t>
      </w:r>
    </w:p>
    <w:p w:rsidR="00D25D6C" w:rsidRPr="00DA1792" w:rsidRDefault="00D25D6C" w:rsidP="00D25D6C">
      <w:pPr>
        <w:rPr>
          <w:sz w:val="20"/>
          <w:szCs w:val="20"/>
        </w:rPr>
      </w:pPr>
    </w:p>
    <w:p w:rsidR="001E1A25" w:rsidRPr="00D25D6C" w:rsidRDefault="001E1A25" w:rsidP="00D25D6C">
      <w:pPr>
        <w:rPr>
          <w:szCs w:val="20"/>
        </w:rPr>
      </w:pPr>
    </w:p>
    <w:sectPr w:rsidR="001E1A25" w:rsidRPr="00D25D6C" w:rsidSect="00A052E0">
      <w:headerReference w:type="even" r:id="rId13"/>
      <w:headerReference w:type="default" r:id="rId14"/>
      <w:footerReference w:type="default" r:id="rId15"/>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61" w:rsidRDefault="00484461" w:rsidP="00587F88">
      <w:r>
        <w:separator/>
      </w:r>
    </w:p>
  </w:endnote>
  <w:endnote w:type="continuationSeparator" w:id="0">
    <w:p w:rsidR="00484461" w:rsidRDefault="00484461" w:rsidP="00587F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15111"/>
      <w:docPartObj>
        <w:docPartGallery w:val="Page Numbers (Bottom of Page)"/>
        <w:docPartUnique/>
      </w:docPartObj>
    </w:sdtPr>
    <w:sdtEndPr>
      <w:rPr>
        <w:sz w:val="20"/>
        <w:szCs w:val="20"/>
      </w:rPr>
    </w:sdtEndPr>
    <w:sdtContent>
      <w:p w:rsidR="00D25D6C" w:rsidRPr="00C328E0" w:rsidRDefault="00B32003">
        <w:pPr>
          <w:pStyle w:val="Footer"/>
          <w:jc w:val="center"/>
          <w:rPr>
            <w:sz w:val="20"/>
            <w:szCs w:val="20"/>
          </w:rPr>
        </w:pPr>
        <w:r w:rsidRPr="00C328E0">
          <w:rPr>
            <w:sz w:val="20"/>
            <w:szCs w:val="20"/>
          </w:rPr>
          <w:fldChar w:fldCharType="begin"/>
        </w:r>
        <w:r w:rsidR="00D25D6C" w:rsidRPr="00C328E0">
          <w:rPr>
            <w:sz w:val="20"/>
            <w:szCs w:val="20"/>
          </w:rPr>
          <w:instrText xml:space="preserve"> PAGE   \* MERGEFORMAT </w:instrText>
        </w:r>
        <w:r w:rsidRPr="00C328E0">
          <w:rPr>
            <w:sz w:val="20"/>
            <w:szCs w:val="20"/>
          </w:rPr>
          <w:fldChar w:fldCharType="separate"/>
        </w:r>
        <w:r w:rsidR="00A81E85" w:rsidRPr="00A81E85">
          <w:rPr>
            <w:noProof/>
            <w:sz w:val="20"/>
            <w:szCs w:val="20"/>
            <w:lang w:val="zh-CN"/>
          </w:rPr>
          <w:t>177</w:t>
        </w:r>
        <w:r w:rsidRPr="00C328E0">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9813"/>
      <w:docPartObj>
        <w:docPartGallery w:val="Page Numbers (Bottom of Page)"/>
        <w:docPartUnique/>
      </w:docPartObj>
    </w:sdtPr>
    <w:sdtEndPr>
      <w:rPr>
        <w:sz w:val="20"/>
        <w:szCs w:val="20"/>
      </w:rPr>
    </w:sdtEndPr>
    <w:sdtContent>
      <w:p w:rsidR="00C328E0" w:rsidRPr="00C328E0" w:rsidRDefault="00B32003">
        <w:pPr>
          <w:pStyle w:val="Footer"/>
          <w:jc w:val="center"/>
          <w:rPr>
            <w:sz w:val="20"/>
            <w:szCs w:val="20"/>
          </w:rPr>
        </w:pPr>
        <w:r w:rsidRPr="00C328E0">
          <w:rPr>
            <w:sz w:val="20"/>
            <w:szCs w:val="20"/>
          </w:rPr>
          <w:fldChar w:fldCharType="begin"/>
        </w:r>
        <w:r w:rsidR="00C328E0" w:rsidRPr="00C328E0">
          <w:rPr>
            <w:sz w:val="20"/>
            <w:szCs w:val="20"/>
          </w:rPr>
          <w:instrText xml:space="preserve"> PAGE   \* MERGEFORMAT </w:instrText>
        </w:r>
        <w:r w:rsidRPr="00C328E0">
          <w:rPr>
            <w:sz w:val="20"/>
            <w:szCs w:val="20"/>
          </w:rPr>
          <w:fldChar w:fldCharType="separate"/>
        </w:r>
        <w:r w:rsidR="00D25D6C" w:rsidRPr="00D25D6C">
          <w:rPr>
            <w:noProof/>
            <w:sz w:val="20"/>
            <w:szCs w:val="20"/>
            <w:lang w:val="zh-CN"/>
          </w:rPr>
          <w:t>1</w:t>
        </w:r>
        <w:r w:rsidRPr="00C328E0">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61" w:rsidRDefault="00484461" w:rsidP="00587F88">
      <w:r>
        <w:separator/>
      </w:r>
    </w:p>
  </w:footnote>
  <w:footnote w:type="continuationSeparator" w:id="0">
    <w:p w:rsidR="00484461" w:rsidRDefault="00484461" w:rsidP="0058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C" w:rsidRDefault="00B32003">
    <w:pPr>
      <w:pStyle w:val="Header"/>
      <w:framePr w:wrap="around" w:vAnchor="text" w:hAnchor="margin" w:xAlign="right" w:y="1"/>
      <w:rPr>
        <w:rStyle w:val="PageNumber"/>
      </w:rPr>
    </w:pPr>
    <w:r>
      <w:rPr>
        <w:rStyle w:val="PageNumber"/>
      </w:rPr>
      <w:fldChar w:fldCharType="begin"/>
    </w:r>
    <w:r w:rsidR="00D25D6C">
      <w:rPr>
        <w:rStyle w:val="PageNumber"/>
      </w:rPr>
      <w:instrText xml:space="preserve">PAGE  </w:instrText>
    </w:r>
    <w:r>
      <w:rPr>
        <w:rStyle w:val="PageNumber"/>
      </w:rPr>
      <w:fldChar w:fldCharType="separate"/>
    </w:r>
    <w:r w:rsidR="00D25D6C">
      <w:rPr>
        <w:rStyle w:val="PageNumber"/>
        <w:noProof/>
      </w:rPr>
      <w:t>3</w:t>
    </w:r>
    <w:r>
      <w:rPr>
        <w:rStyle w:val="PageNumber"/>
      </w:rPr>
      <w:fldChar w:fldCharType="end"/>
    </w:r>
  </w:p>
  <w:p w:rsidR="00D25D6C" w:rsidRDefault="00D25D6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C" w:rsidRDefault="00D25D6C" w:rsidP="00A052E0">
    <w:pPr>
      <w:pBdr>
        <w:bottom w:val="thinThickMediumGap" w:sz="12" w:space="1" w:color="auto"/>
      </w:pBdr>
      <w:tabs>
        <w:tab w:val="center" w:pos="4680"/>
        <w:tab w:val="left" w:pos="9360"/>
      </w:tabs>
      <w:jc w:val="center"/>
      <w:rPr>
        <w:sz w:val="20"/>
        <w:szCs w:val="20"/>
      </w:rPr>
    </w:pPr>
    <w:r>
      <w:rPr>
        <w:sz w:val="20"/>
        <w:szCs w:val="20"/>
      </w:rPr>
      <w:t>Nature and Science 201</w:t>
    </w:r>
    <w:r>
      <w:rPr>
        <w:rFonts w:hint="eastAsia"/>
        <w:sz w:val="20"/>
        <w:szCs w:val="20"/>
        <w:lang w:eastAsia="zh-CN"/>
      </w:rPr>
      <w:t>2</w:t>
    </w:r>
    <w:r>
      <w:rPr>
        <w:sz w:val="20"/>
        <w:szCs w:val="20"/>
      </w:rPr>
      <w:t>;</w:t>
    </w:r>
    <w:r>
      <w:rPr>
        <w:rFonts w:hint="eastAsia"/>
        <w:sz w:val="20"/>
        <w:szCs w:val="20"/>
        <w:lang w:eastAsia="zh-CN"/>
      </w:rPr>
      <w:t>10</w:t>
    </w:r>
    <w:r>
      <w:rPr>
        <w:sz w:val="20"/>
        <w:szCs w:val="20"/>
      </w:rPr>
      <w:t>(</w:t>
    </w:r>
    <w:r>
      <w:rPr>
        <w:rFonts w:eastAsiaTheme="minorEastAsia" w:hint="eastAsia"/>
        <w:sz w:val="20"/>
        <w:szCs w:val="20"/>
        <w:lang w:eastAsia="zh-CN"/>
      </w:rPr>
      <w:t>1</w:t>
    </w:r>
    <w:r>
      <w:rPr>
        <w:rFonts w:eastAsiaTheme="minorEastAsia"/>
        <w:sz w:val="20"/>
        <w:szCs w:val="20"/>
        <w:lang w:eastAsia="zh-CN"/>
      </w:rPr>
      <w:t>1</w:t>
    </w:r>
    <w:r>
      <w:rPr>
        <w:sz w:val="20"/>
        <w:szCs w:val="20"/>
      </w:rPr>
      <w:t xml:space="preserve">) </w:t>
    </w:r>
    <w:r>
      <w:rPr>
        <w:color w:val="000000"/>
        <w:sz w:val="20"/>
        <w:szCs w:val="20"/>
      </w:rPr>
      <w:t xml:space="preserve">                       </w:t>
    </w:r>
    <w:r>
      <w:rPr>
        <w:rFonts w:hint="eastAsia"/>
        <w:color w:val="000000"/>
        <w:sz w:val="20"/>
        <w:szCs w:val="20"/>
        <w:lang w:eastAsia="zh-CN"/>
      </w:rPr>
      <w:t xml:space="preserve">                           </w:t>
    </w:r>
    <w:r>
      <w:rPr>
        <w:color w:val="000000"/>
        <w:sz w:val="20"/>
        <w:szCs w:val="20"/>
      </w:rPr>
      <w:t xml:space="preserve">         </w:t>
    </w:r>
    <w:r w:rsidRPr="00F971B6">
      <w:rPr>
        <w:color w:val="0000FF"/>
        <w:sz w:val="20"/>
        <w:szCs w:val="20"/>
      </w:rPr>
      <w:t xml:space="preserve">  </w:t>
    </w:r>
    <w:hyperlink r:id="rId1" w:history="1">
      <w:r w:rsidRPr="00F971B6">
        <w:rPr>
          <w:rStyle w:val="Hyperlink"/>
          <w:sz w:val="20"/>
          <w:szCs w:val="20"/>
        </w:rPr>
        <w:t>http://www.sciencepub.net/nature</w:t>
      </w:r>
    </w:hyperlink>
  </w:p>
  <w:p w:rsidR="00D25D6C" w:rsidRPr="002A7D30" w:rsidRDefault="00D25D6C" w:rsidP="00A052E0">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EC" w:rsidRDefault="00B32003">
    <w:pPr>
      <w:pStyle w:val="Header"/>
      <w:framePr w:wrap="around" w:vAnchor="text" w:hAnchor="margin" w:xAlign="right" w:y="1"/>
      <w:rPr>
        <w:rStyle w:val="PageNumber"/>
      </w:rPr>
    </w:pPr>
    <w:r>
      <w:rPr>
        <w:rStyle w:val="PageNumber"/>
      </w:rPr>
      <w:fldChar w:fldCharType="begin"/>
    </w:r>
    <w:r w:rsidR="0062298F">
      <w:rPr>
        <w:rStyle w:val="PageNumber"/>
      </w:rPr>
      <w:instrText xml:space="preserve">PAGE  </w:instrText>
    </w:r>
    <w:r>
      <w:rPr>
        <w:rStyle w:val="PageNumber"/>
      </w:rPr>
      <w:fldChar w:fldCharType="separate"/>
    </w:r>
    <w:r w:rsidR="0062298F">
      <w:rPr>
        <w:rStyle w:val="PageNumber"/>
        <w:noProof/>
      </w:rPr>
      <w:t>3</w:t>
    </w:r>
    <w:r>
      <w:rPr>
        <w:rStyle w:val="PageNumber"/>
      </w:rPr>
      <w:fldChar w:fldCharType="end"/>
    </w:r>
  </w:p>
  <w:p w:rsidR="008420EC" w:rsidRDefault="00A81E85">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E0" w:rsidRDefault="00A052E0" w:rsidP="00A052E0">
    <w:pPr>
      <w:pBdr>
        <w:bottom w:val="thinThickMediumGap" w:sz="12" w:space="1" w:color="auto"/>
      </w:pBdr>
      <w:tabs>
        <w:tab w:val="center" w:pos="4680"/>
        <w:tab w:val="left" w:pos="9360"/>
      </w:tabs>
      <w:jc w:val="center"/>
      <w:rPr>
        <w:sz w:val="20"/>
        <w:szCs w:val="20"/>
      </w:rPr>
    </w:pPr>
    <w:bookmarkStart w:id="0" w:name="OLE_LINK1"/>
    <w:bookmarkStart w:id="1" w:name="OLE_LINK2"/>
    <w:bookmarkStart w:id="2" w:name="_Hlk298793259"/>
    <w:bookmarkStart w:id="3" w:name="OLE_LINK4"/>
    <w:bookmarkStart w:id="4" w:name="_Hlk298793267"/>
    <w:bookmarkStart w:id="5" w:name="OLE_LINK8"/>
    <w:bookmarkStart w:id="6" w:name="OLE_LINK9"/>
    <w:bookmarkStart w:id="7" w:name="_Hlk311084876"/>
    <w:r>
      <w:rPr>
        <w:sz w:val="20"/>
        <w:szCs w:val="20"/>
      </w:rPr>
      <w:t>Nature and Science 201</w:t>
    </w:r>
    <w:r>
      <w:rPr>
        <w:rFonts w:hint="eastAsia"/>
        <w:sz w:val="20"/>
        <w:szCs w:val="20"/>
        <w:lang w:eastAsia="zh-CN"/>
      </w:rPr>
      <w:t>2</w:t>
    </w:r>
    <w:r>
      <w:rPr>
        <w:sz w:val="20"/>
        <w:szCs w:val="20"/>
      </w:rPr>
      <w:t>;</w:t>
    </w:r>
    <w:r>
      <w:rPr>
        <w:rFonts w:hint="eastAsia"/>
        <w:sz w:val="20"/>
        <w:szCs w:val="20"/>
        <w:lang w:eastAsia="zh-CN"/>
      </w:rPr>
      <w:t>10</w:t>
    </w:r>
    <w:r>
      <w:rPr>
        <w:sz w:val="20"/>
        <w:szCs w:val="20"/>
      </w:rPr>
      <w:t>(</w:t>
    </w:r>
    <w:r>
      <w:rPr>
        <w:rFonts w:eastAsiaTheme="minorEastAsia" w:hint="eastAsia"/>
        <w:sz w:val="20"/>
        <w:szCs w:val="20"/>
        <w:lang w:eastAsia="zh-CN"/>
      </w:rPr>
      <w:t>1</w:t>
    </w:r>
    <w:r w:rsidR="00B10256">
      <w:rPr>
        <w:rFonts w:eastAsiaTheme="minorEastAsia"/>
        <w:sz w:val="20"/>
        <w:szCs w:val="20"/>
        <w:lang w:eastAsia="zh-CN"/>
      </w:rPr>
      <w:t>1</w:t>
    </w:r>
    <w:r>
      <w:rPr>
        <w:sz w:val="20"/>
        <w:szCs w:val="20"/>
      </w:rPr>
      <w:t xml:space="preserve">) </w:t>
    </w:r>
    <w:r>
      <w:rPr>
        <w:color w:val="000000"/>
        <w:sz w:val="20"/>
        <w:szCs w:val="20"/>
      </w:rPr>
      <w:t xml:space="preserve">                       </w:t>
    </w:r>
    <w:r>
      <w:rPr>
        <w:rFonts w:hint="eastAsia"/>
        <w:color w:val="000000"/>
        <w:sz w:val="20"/>
        <w:szCs w:val="20"/>
        <w:lang w:eastAsia="zh-CN"/>
      </w:rPr>
      <w:t xml:space="preserve">                           </w:t>
    </w:r>
    <w:r>
      <w:rPr>
        <w:color w:val="000000"/>
        <w:sz w:val="20"/>
        <w:szCs w:val="20"/>
      </w:rPr>
      <w:t xml:space="preserve">         </w:t>
    </w:r>
    <w:r w:rsidRPr="00F971B6">
      <w:rPr>
        <w:color w:val="0000FF"/>
        <w:sz w:val="20"/>
        <w:szCs w:val="20"/>
      </w:rPr>
      <w:t xml:space="preserve">  </w:t>
    </w:r>
    <w:hyperlink r:id="rId1" w:history="1">
      <w:r w:rsidRPr="00F971B6">
        <w:rPr>
          <w:rStyle w:val="Hyperlink"/>
          <w:sz w:val="20"/>
          <w:szCs w:val="20"/>
        </w:rPr>
        <w:t>http://www.sciencepub.net/nature</w:t>
      </w:r>
    </w:hyperlink>
    <w:bookmarkEnd w:id="0"/>
    <w:bookmarkEnd w:id="1"/>
    <w:bookmarkEnd w:id="2"/>
    <w:bookmarkEnd w:id="3"/>
    <w:bookmarkEnd w:id="4"/>
    <w:bookmarkEnd w:id="5"/>
    <w:bookmarkEnd w:id="6"/>
    <w:bookmarkEnd w:id="7"/>
  </w:p>
  <w:p w:rsidR="00A052E0" w:rsidRPr="002A7D30" w:rsidRDefault="00A052E0" w:rsidP="00A052E0">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80CED"/>
    <w:multiLevelType w:val="hybridMultilevel"/>
    <w:tmpl w:val="015A3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DD6F12"/>
    <w:rsid w:val="000039B8"/>
    <w:rsid w:val="000C4E7E"/>
    <w:rsid w:val="001513F6"/>
    <w:rsid w:val="00164C93"/>
    <w:rsid w:val="001E1A25"/>
    <w:rsid w:val="00237CEC"/>
    <w:rsid w:val="00245080"/>
    <w:rsid w:val="002B05B1"/>
    <w:rsid w:val="002C7F1F"/>
    <w:rsid w:val="00301444"/>
    <w:rsid w:val="003A4EE6"/>
    <w:rsid w:val="0042448D"/>
    <w:rsid w:val="00484461"/>
    <w:rsid w:val="004A7B83"/>
    <w:rsid w:val="004C24B7"/>
    <w:rsid w:val="0053676D"/>
    <w:rsid w:val="00562B16"/>
    <w:rsid w:val="00587F88"/>
    <w:rsid w:val="005D4596"/>
    <w:rsid w:val="00613A71"/>
    <w:rsid w:val="0062298F"/>
    <w:rsid w:val="006C588C"/>
    <w:rsid w:val="00703FD8"/>
    <w:rsid w:val="007502CC"/>
    <w:rsid w:val="0088129B"/>
    <w:rsid w:val="00980FF2"/>
    <w:rsid w:val="0098702F"/>
    <w:rsid w:val="009D16E3"/>
    <w:rsid w:val="00A052E0"/>
    <w:rsid w:val="00A81E85"/>
    <w:rsid w:val="00AD5879"/>
    <w:rsid w:val="00AF449A"/>
    <w:rsid w:val="00B10256"/>
    <w:rsid w:val="00B32003"/>
    <w:rsid w:val="00B32BB1"/>
    <w:rsid w:val="00B56877"/>
    <w:rsid w:val="00C328E0"/>
    <w:rsid w:val="00CA554D"/>
    <w:rsid w:val="00CC382C"/>
    <w:rsid w:val="00D25D6C"/>
    <w:rsid w:val="00DB2DF3"/>
    <w:rsid w:val="00DC02EC"/>
    <w:rsid w:val="00DD6F12"/>
    <w:rsid w:val="00E32F10"/>
    <w:rsid w:val="00E84795"/>
    <w:rsid w:val="00F96753"/>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8" type="connector" idref="#_x0000_s1062"/>
        <o:r id="V:Rule9" type="connector" idref="#_x0000_s1061"/>
        <o:r id="V:Rule10" type="connector" idref="#_x0000_s1058"/>
        <o:r id="V:Rule11" type="connector" idref="#_x0000_s1064"/>
        <o:r id="V:Rule12" type="connector" idref="#_x0000_s1060"/>
        <o:r id="V:Rule13" type="connector" idref="#_x0000_s1059"/>
        <o:r id="V:Rule1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iPriority w:val="99"/>
    <w:rsid w:val="00DD6F12"/>
    <w:pPr>
      <w:tabs>
        <w:tab w:val="center" w:pos="4320"/>
        <w:tab w:val="right" w:pos="8640"/>
      </w:tabs>
    </w:pPr>
  </w:style>
  <w:style w:type="character" w:customStyle="1" w:styleId="HeaderChar">
    <w:name w:val="Header Char"/>
    <w:aliases w:val="Char Char"/>
    <w:basedOn w:val="DefaultParagraphFont"/>
    <w:link w:val="Header"/>
    <w:uiPriority w:val="99"/>
    <w:rsid w:val="00DD6F12"/>
    <w:rPr>
      <w:rFonts w:ascii="Times New Roman" w:eastAsia="Times New Roman" w:hAnsi="Times New Roman" w:cs="Times New Roman"/>
      <w:sz w:val="24"/>
      <w:szCs w:val="24"/>
      <w:lang w:eastAsia="en-GB"/>
    </w:rPr>
  </w:style>
  <w:style w:type="character" w:styleId="PageNumber">
    <w:name w:val="page number"/>
    <w:basedOn w:val="DefaultParagraphFont"/>
    <w:rsid w:val="00DD6F12"/>
  </w:style>
  <w:style w:type="paragraph" w:styleId="Footer">
    <w:name w:val="footer"/>
    <w:basedOn w:val="Normal"/>
    <w:link w:val="FooterChar"/>
    <w:uiPriority w:val="99"/>
    <w:unhideWhenUsed/>
    <w:rsid w:val="00DD6F12"/>
    <w:pPr>
      <w:tabs>
        <w:tab w:val="center" w:pos="4513"/>
        <w:tab w:val="right" w:pos="9026"/>
      </w:tabs>
    </w:pPr>
  </w:style>
  <w:style w:type="character" w:customStyle="1" w:styleId="FooterChar">
    <w:name w:val="Footer Char"/>
    <w:basedOn w:val="DefaultParagraphFont"/>
    <w:link w:val="Footer"/>
    <w:uiPriority w:val="99"/>
    <w:rsid w:val="00DD6F1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D6F12"/>
    <w:pPr>
      <w:ind w:left="720"/>
      <w:contextualSpacing/>
    </w:pPr>
  </w:style>
  <w:style w:type="character" w:styleId="Hyperlink">
    <w:name w:val="Hyperlink"/>
    <w:basedOn w:val="DefaultParagraphFont"/>
    <w:uiPriority w:val="99"/>
    <w:unhideWhenUsed/>
    <w:rsid w:val="00DD6F12"/>
    <w:rPr>
      <w:color w:val="0000FF" w:themeColor="hyperlink"/>
      <w:u w:val="single"/>
    </w:rPr>
  </w:style>
  <w:style w:type="table" w:styleId="TableGrid">
    <w:name w:val="Table Grid"/>
    <w:basedOn w:val="TableNormal"/>
    <w:uiPriority w:val="59"/>
    <w:rsid w:val="00DD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52E0"/>
    <w:rPr>
      <w:rFonts w:ascii="Tahoma" w:hAnsi="Tahoma" w:cs="Tahoma"/>
      <w:sz w:val="16"/>
      <w:szCs w:val="16"/>
    </w:rPr>
  </w:style>
  <w:style w:type="character" w:customStyle="1" w:styleId="BalloonTextChar">
    <w:name w:val="Balloon Text Char"/>
    <w:basedOn w:val="DefaultParagraphFont"/>
    <w:link w:val="BalloonText"/>
    <w:uiPriority w:val="99"/>
    <w:semiHidden/>
    <w:rsid w:val="00A052E0"/>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ibuikeg@yahoo.com" TargetMode="External"/><Relationship Id="rId12" Type="http://schemas.openxmlformats.org/officeDocument/2006/relationships/hyperlink" Target="http://www.buzzle.com/articles/autotrophs-and-heterotroph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GRACIOUS</dc:creator>
  <cp:lastModifiedBy>Administrator</cp:lastModifiedBy>
  <cp:revision>2</cp:revision>
  <cp:lastPrinted>2012-10-26T01:08:00Z</cp:lastPrinted>
  <dcterms:created xsi:type="dcterms:W3CDTF">2012-10-27T02:30:00Z</dcterms:created>
  <dcterms:modified xsi:type="dcterms:W3CDTF">2012-10-27T02:30:00Z</dcterms:modified>
</cp:coreProperties>
</file>