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B9" w:rsidRDefault="004E67B9" w:rsidP="008362BE">
      <w:pPr>
        <w:spacing w:after="0" w:line="240" w:lineRule="auto"/>
        <w:jc w:val="center"/>
        <w:rPr>
          <w:rFonts w:ascii="Times New Roman" w:hAnsi="Times New Roman" w:cs="Times New Roman"/>
          <w:b/>
          <w:bCs/>
          <w:sz w:val="20"/>
          <w:szCs w:val="20"/>
        </w:rPr>
      </w:pPr>
      <w:r w:rsidRPr="008362BE">
        <w:rPr>
          <w:rFonts w:ascii="Times New Roman" w:hAnsi="Times New Roman" w:cs="Times New Roman"/>
          <w:b/>
          <w:bCs/>
          <w:sz w:val="20"/>
          <w:szCs w:val="20"/>
        </w:rPr>
        <w:t>IMPACT OF TOTAL PETROLEUM HYDROCARBON CONCENTRATION AND ITS EFFECTS ON SOIL AROUND ASPHALT PRODUCING FACILITY IN OBINZE, OWERRI</w:t>
      </w:r>
    </w:p>
    <w:p w:rsidR="008362BE" w:rsidRPr="008362BE" w:rsidRDefault="008362BE" w:rsidP="008362BE">
      <w:pPr>
        <w:spacing w:after="0" w:line="240" w:lineRule="auto"/>
        <w:jc w:val="center"/>
        <w:rPr>
          <w:rFonts w:ascii="Times New Roman" w:hAnsi="Times New Roman" w:cs="Times New Roman"/>
          <w:b/>
          <w:bCs/>
          <w:sz w:val="20"/>
          <w:szCs w:val="20"/>
        </w:rPr>
      </w:pPr>
    </w:p>
    <w:p w:rsidR="004E67B9" w:rsidRDefault="004E67B9" w:rsidP="008362BE">
      <w:pPr>
        <w:spacing w:after="0" w:line="240" w:lineRule="auto"/>
        <w:jc w:val="center"/>
        <w:rPr>
          <w:rFonts w:ascii="Times New Roman" w:hAnsi="Times New Roman" w:cs="Times New Roman"/>
          <w:bCs/>
          <w:sz w:val="20"/>
          <w:szCs w:val="20"/>
        </w:rPr>
      </w:pPr>
      <w:r w:rsidRPr="008362BE">
        <w:rPr>
          <w:rFonts w:ascii="Times New Roman" w:hAnsi="Times New Roman" w:cs="Times New Roman"/>
          <w:bCs/>
          <w:sz w:val="20"/>
          <w:szCs w:val="20"/>
          <w:vertAlign w:val="superscript"/>
        </w:rPr>
        <w:t>1</w:t>
      </w:r>
      <w:r w:rsidRPr="008362BE">
        <w:rPr>
          <w:rFonts w:ascii="Times New Roman" w:hAnsi="Times New Roman" w:cs="Times New Roman"/>
          <w:bCs/>
          <w:sz w:val="20"/>
          <w:szCs w:val="20"/>
        </w:rPr>
        <w:t xml:space="preserve">Mgbahuruike Leonard </w:t>
      </w:r>
      <w:proofErr w:type="spellStart"/>
      <w:r w:rsidRPr="008362BE">
        <w:rPr>
          <w:rFonts w:ascii="Times New Roman" w:hAnsi="Times New Roman" w:cs="Times New Roman"/>
          <w:bCs/>
          <w:sz w:val="20"/>
          <w:szCs w:val="20"/>
        </w:rPr>
        <w:t>Udochukwu</w:t>
      </w:r>
      <w:proofErr w:type="spellEnd"/>
      <w:r w:rsidRPr="008362BE">
        <w:rPr>
          <w:rFonts w:ascii="Times New Roman" w:hAnsi="Times New Roman" w:cs="Times New Roman"/>
          <w:bCs/>
          <w:sz w:val="20"/>
          <w:szCs w:val="20"/>
        </w:rPr>
        <w:t xml:space="preserve">, </w:t>
      </w:r>
      <w:r w:rsidRPr="008362BE">
        <w:rPr>
          <w:rFonts w:ascii="Times New Roman" w:hAnsi="Times New Roman" w:cs="Times New Roman"/>
          <w:bCs/>
          <w:sz w:val="20"/>
          <w:szCs w:val="20"/>
          <w:vertAlign w:val="superscript"/>
        </w:rPr>
        <w:t>2</w:t>
      </w:r>
      <w:r w:rsidRPr="008362BE">
        <w:rPr>
          <w:rFonts w:ascii="Times New Roman" w:hAnsi="Times New Roman" w:cs="Times New Roman"/>
          <w:bCs/>
          <w:sz w:val="20"/>
          <w:szCs w:val="20"/>
        </w:rPr>
        <w:t xml:space="preserve">Njoku-Tony, </w:t>
      </w:r>
      <w:proofErr w:type="spellStart"/>
      <w:r w:rsidRPr="008362BE">
        <w:rPr>
          <w:rFonts w:ascii="Times New Roman" w:hAnsi="Times New Roman" w:cs="Times New Roman"/>
          <w:bCs/>
          <w:sz w:val="20"/>
          <w:szCs w:val="20"/>
        </w:rPr>
        <w:t>Roseline</w:t>
      </w:r>
      <w:proofErr w:type="spellEnd"/>
      <w:r w:rsidRPr="008362BE">
        <w:rPr>
          <w:rFonts w:ascii="Times New Roman" w:hAnsi="Times New Roman" w:cs="Times New Roman"/>
          <w:bCs/>
          <w:sz w:val="20"/>
          <w:szCs w:val="20"/>
        </w:rPr>
        <w:t xml:space="preserve"> </w:t>
      </w:r>
      <w:proofErr w:type="spellStart"/>
      <w:r w:rsidRPr="008362BE">
        <w:rPr>
          <w:rFonts w:ascii="Times New Roman" w:hAnsi="Times New Roman" w:cs="Times New Roman"/>
          <w:bCs/>
          <w:sz w:val="20"/>
          <w:szCs w:val="20"/>
        </w:rPr>
        <w:t>Feechi</w:t>
      </w:r>
      <w:proofErr w:type="spellEnd"/>
      <w:r w:rsidRPr="008362BE">
        <w:rPr>
          <w:rFonts w:ascii="Times New Roman" w:hAnsi="Times New Roman" w:cs="Times New Roman"/>
          <w:bCs/>
          <w:sz w:val="20"/>
          <w:szCs w:val="20"/>
        </w:rPr>
        <w:t xml:space="preserve">, </w:t>
      </w:r>
      <w:r w:rsidRPr="008362BE">
        <w:rPr>
          <w:rFonts w:ascii="Times New Roman" w:hAnsi="Times New Roman" w:cs="Times New Roman"/>
          <w:bCs/>
          <w:sz w:val="20"/>
          <w:szCs w:val="20"/>
          <w:vertAlign w:val="superscript"/>
        </w:rPr>
        <w:t>3</w:t>
      </w:r>
      <w:r w:rsidRPr="008362BE">
        <w:rPr>
          <w:rFonts w:ascii="Times New Roman" w:hAnsi="Times New Roman" w:cs="Times New Roman"/>
          <w:bCs/>
          <w:sz w:val="20"/>
          <w:szCs w:val="20"/>
        </w:rPr>
        <w:t xml:space="preserve">Nwachukwu, Joseph </w:t>
      </w:r>
      <w:proofErr w:type="spellStart"/>
      <w:r w:rsidRPr="008362BE">
        <w:rPr>
          <w:rFonts w:ascii="Times New Roman" w:hAnsi="Times New Roman" w:cs="Times New Roman"/>
          <w:bCs/>
          <w:sz w:val="20"/>
          <w:szCs w:val="20"/>
        </w:rPr>
        <w:t>Ikechukwu</w:t>
      </w:r>
      <w:proofErr w:type="spellEnd"/>
    </w:p>
    <w:p w:rsidR="008362BE" w:rsidRPr="008362BE" w:rsidRDefault="008362BE" w:rsidP="008362BE">
      <w:pPr>
        <w:spacing w:after="0" w:line="240" w:lineRule="auto"/>
        <w:jc w:val="center"/>
        <w:rPr>
          <w:rFonts w:ascii="Times New Roman" w:hAnsi="Times New Roman" w:cs="Times New Roman"/>
          <w:bCs/>
          <w:sz w:val="20"/>
          <w:szCs w:val="20"/>
        </w:rPr>
      </w:pPr>
    </w:p>
    <w:p w:rsidR="004E67B9" w:rsidRPr="008362BE" w:rsidRDefault="004E67B9" w:rsidP="008362BE">
      <w:pPr>
        <w:spacing w:after="0" w:line="240" w:lineRule="auto"/>
        <w:jc w:val="center"/>
        <w:rPr>
          <w:rFonts w:ascii="Times New Roman" w:hAnsi="Times New Roman" w:cs="Times New Roman"/>
          <w:bCs/>
          <w:sz w:val="20"/>
          <w:szCs w:val="20"/>
        </w:rPr>
      </w:pPr>
      <w:r w:rsidRPr="008362BE">
        <w:rPr>
          <w:rFonts w:ascii="Times New Roman" w:hAnsi="Times New Roman" w:cs="Times New Roman"/>
          <w:bCs/>
          <w:sz w:val="20"/>
          <w:szCs w:val="20"/>
        </w:rPr>
        <w:t>Department of Environmental Technology,</w:t>
      </w:r>
      <w:r w:rsidR="008362BE">
        <w:rPr>
          <w:rFonts w:ascii="Times New Roman" w:hAnsi="Times New Roman" w:cs="Times New Roman"/>
          <w:bCs/>
          <w:sz w:val="20"/>
          <w:szCs w:val="20"/>
        </w:rPr>
        <w:t xml:space="preserve"> </w:t>
      </w:r>
      <w:r w:rsidRPr="008362BE">
        <w:rPr>
          <w:rFonts w:ascii="Times New Roman" w:hAnsi="Times New Roman" w:cs="Times New Roman"/>
          <w:bCs/>
          <w:sz w:val="20"/>
          <w:szCs w:val="20"/>
        </w:rPr>
        <w:t>Federal University of Technology</w:t>
      </w:r>
      <w:r w:rsidR="008362BE">
        <w:rPr>
          <w:rFonts w:ascii="Times New Roman" w:hAnsi="Times New Roman" w:cs="Times New Roman"/>
          <w:bCs/>
          <w:sz w:val="20"/>
          <w:szCs w:val="20"/>
        </w:rPr>
        <w:t xml:space="preserve">, </w:t>
      </w:r>
      <w:r w:rsidRPr="008362BE">
        <w:rPr>
          <w:rFonts w:ascii="Times New Roman" w:hAnsi="Times New Roman" w:cs="Times New Roman"/>
          <w:bCs/>
          <w:sz w:val="20"/>
          <w:szCs w:val="20"/>
        </w:rPr>
        <w:t xml:space="preserve">PMB 1526 </w:t>
      </w:r>
      <w:proofErr w:type="spellStart"/>
      <w:r w:rsidRPr="008362BE">
        <w:rPr>
          <w:rFonts w:ascii="Times New Roman" w:hAnsi="Times New Roman" w:cs="Times New Roman"/>
          <w:bCs/>
          <w:sz w:val="20"/>
          <w:szCs w:val="20"/>
        </w:rPr>
        <w:t>Owerri</w:t>
      </w:r>
      <w:proofErr w:type="spellEnd"/>
      <w:r w:rsidRPr="008362BE">
        <w:rPr>
          <w:rFonts w:ascii="Times New Roman" w:hAnsi="Times New Roman" w:cs="Times New Roman"/>
          <w:bCs/>
          <w:sz w:val="20"/>
          <w:szCs w:val="20"/>
        </w:rPr>
        <w:t xml:space="preserve">, Nigeria. </w:t>
      </w:r>
    </w:p>
    <w:p w:rsidR="004E67B9" w:rsidRPr="008362BE" w:rsidRDefault="00776F23" w:rsidP="008362BE">
      <w:pPr>
        <w:spacing w:after="0" w:line="240" w:lineRule="auto"/>
        <w:jc w:val="center"/>
        <w:rPr>
          <w:rFonts w:ascii="Times New Roman" w:hAnsi="Times New Roman" w:cs="Times New Roman"/>
          <w:bCs/>
          <w:sz w:val="20"/>
          <w:szCs w:val="20"/>
        </w:rPr>
      </w:pPr>
      <w:hyperlink r:id="rId7" w:history="1">
        <w:r w:rsidR="004E67B9" w:rsidRPr="008362BE">
          <w:rPr>
            <w:rStyle w:val="Hyperlink"/>
            <w:rFonts w:ascii="Times New Roman" w:hAnsi="Times New Roman" w:cs="Times New Roman"/>
            <w:bCs/>
            <w:sz w:val="20"/>
            <w:szCs w:val="20"/>
          </w:rPr>
          <w:t>Leocash2k3@yahoo.com</w:t>
        </w:r>
      </w:hyperlink>
    </w:p>
    <w:p w:rsidR="004E67B9" w:rsidRPr="008362BE" w:rsidRDefault="004E67B9" w:rsidP="008362BE">
      <w:pPr>
        <w:spacing w:after="0" w:line="240" w:lineRule="auto"/>
        <w:jc w:val="center"/>
        <w:rPr>
          <w:b/>
          <w:bCs/>
          <w:sz w:val="20"/>
          <w:szCs w:val="20"/>
        </w:rPr>
      </w:pPr>
    </w:p>
    <w:p w:rsidR="00CE7555" w:rsidRPr="008362BE" w:rsidRDefault="004E67B9"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b/>
          <w:bCs/>
          <w:sz w:val="20"/>
          <w:szCs w:val="20"/>
        </w:rPr>
        <w:t xml:space="preserve">Abstract: </w:t>
      </w:r>
      <w:r w:rsidRPr="008362BE">
        <w:rPr>
          <w:rFonts w:ascii="Times New Roman" w:hAnsi="Times New Roman" w:cs="Times New Roman"/>
          <w:sz w:val="20"/>
          <w:szCs w:val="20"/>
        </w:rPr>
        <w:t xml:space="preserve">This study investigated the impact of plume emission on soil quality of New Idea Asphalt plant in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 xml:space="preserve"> West, Imo State. Four (4) locations SP1 (100m) from point of emission, SP2 (300m) and SP3 (600m) in a farm land with depths(0-30cm) were established in the downwind direction while a control location was also measured 5km away from the emission point in the upwind direction. In the soil, priority parameters: TPH, Nitrate, Phosphate, </w:t>
      </w:r>
      <w:proofErr w:type="spellStart"/>
      <w:r w:rsidRPr="008362BE">
        <w:rPr>
          <w:rFonts w:ascii="Times New Roman" w:hAnsi="Times New Roman" w:cs="Times New Roman"/>
          <w:sz w:val="20"/>
          <w:szCs w:val="20"/>
        </w:rPr>
        <w:t>Sulphate</w:t>
      </w:r>
      <w:proofErr w:type="spellEnd"/>
      <w:r w:rsidRPr="008362BE">
        <w:rPr>
          <w:rFonts w:ascii="Times New Roman" w:hAnsi="Times New Roman" w:cs="Times New Roman"/>
          <w:sz w:val="20"/>
          <w:szCs w:val="20"/>
        </w:rPr>
        <w:t xml:space="preserve">, pH, Textural class, Moisture content, Total Nitrogen and TOC were investigated. The results of TPH in the soil was in the range of 60.97 to 356.76mg/kg and belonged to the group of </w:t>
      </w:r>
      <w:proofErr w:type="spellStart"/>
      <w:r w:rsidRPr="008362BE">
        <w:rPr>
          <w:rFonts w:ascii="Times New Roman" w:hAnsi="Times New Roman" w:cs="Times New Roman"/>
          <w:sz w:val="20"/>
          <w:szCs w:val="20"/>
        </w:rPr>
        <w:t>aliphatics</w:t>
      </w:r>
      <w:proofErr w:type="spellEnd"/>
      <w:r w:rsidRPr="008362BE">
        <w:rPr>
          <w:rFonts w:ascii="Times New Roman" w:hAnsi="Times New Roman" w:cs="Times New Roman"/>
          <w:sz w:val="20"/>
          <w:szCs w:val="20"/>
        </w:rPr>
        <w:t>(C</w:t>
      </w:r>
      <w:r w:rsidRPr="008362BE">
        <w:rPr>
          <w:rFonts w:ascii="Times New Roman" w:hAnsi="Times New Roman" w:cs="Times New Roman"/>
          <w:sz w:val="20"/>
          <w:szCs w:val="20"/>
          <w:vertAlign w:val="subscript"/>
        </w:rPr>
        <w:t>17/22</w:t>
      </w:r>
      <w:r w:rsidRPr="008362BE">
        <w:rPr>
          <w:rFonts w:ascii="Times New Roman" w:hAnsi="Times New Roman" w:cs="Times New Roman"/>
          <w:sz w:val="20"/>
          <w:szCs w:val="20"/>
        </w:rPr>
        <w:t>,C</w:t>
      </w:r>
      <w:r w:rsidRPr="008362BE">
        <w:rPr>
          <w:rFonts w:ascii="Times New Roman" w:hAnsi="Times New Roman" w:cs="Times New Roman"/>
          <w:sz w:val="20"/>
          <w:szCs w:val="20"/>
          <w:vertAlign w:val="subscript"/>
        </w:rPr>
        <w:t>31</w:t>
      </w:r>
      <w:r w:rsidRPr="008362BE">
        <w:rPr>
          <w:rFonts w:ascii="Times New Roman" w:hAnsi="Times New Roman" w:cs="Times New Roman"/>
          <w:sz w:val="20"/>
          <w:szCs w:val="20"/>
        </w:rPr>
        <w:t>andC</w:t>
      </w:r>
      <w:r w:rsidRPr="008362BE">
        <w:rPr>
          <w:rFonts w:ascii="Times New Roman" w:hAnsi="Times New Roman" w:cs="Times New Roman"/>
          <w:sz w:val="20"/>
          <w:szCs w:val="20"/>
          <w:vertAlign w:val="subscript"/>
        </w:rPr>
        <w:t>36</w:t>
      </w:r>
      <w:r w:rsidRPr="008362BE">
        <w:rPr>
          <w:rFonts w:ascii="Times New Roman" w:hAnsi="Times New Roman" w:cs="Times New Roman"/>
          <w:sz w:val="20"/>
          <w:szCs w:val="20"/>
        </w:rPr>
        <w:t>) with C</w:t>
      </w:r>
      <w:r w:rsidRPr="008362BE">
        <w:rPr>
          <w:rFonts w:ascii="Times New Roman" w:hAnsi="Times New Roman" w:cs="Times New Roman"/>
          <w:sz w:val="20"/>
          <w:szCs w:val="20"/>
          <w:vertAlign w:val="subscript"/>
        </w:rPr>
        <w:t>17</w:t>
      </w:r>
      <w:r w:rsidRPr="008362BE">
        <w:rPr>
          <w:rFonts w:ascii="Times New Roman" w:hAnsi="Times New Roman" w:cs="Times New Roman"/>
          <w:sz w:val="20"/>
          <w:szCs w:val="20"/>
        </w:rPr>
        <w:t xml:space="preserve"> most contributed and C</w:t>
      </w:r>
      <w:r w:rsidRPr="008362BE">
        <w:rPr>
          <w:rFonts w:ascii="Times New Roman" w:hAnsi="Times New Roman" w:cs="Times New Roman"/>
          <w:sz w:val="20"/>
          <w:szCs w:val="20"/>
          <w:vertAlign w:val="subscript"/>
        </w:rPr>
        <w:t>31</w:t>
      </w:r>
      <w:r w:rsidRPr="008362BE">
        <w:rPr>
          <w:rFonts w:ascii="Times New Roman" w:hAnsi="Times New Roman" w:cs="Times New Roman"/>
          <w:sz w:val="20"/>
          <w:szCs w:val="20"/>
        </w:rPr>
        <w:t xml:space="preserve"> least contributed in variability of the thirty(30) original variables measured. The highest concentration of 356.76mg/kg was most contributed by SP2 location. Correlation(r) matrix and Principal Component Analysis (PCA) were basic statistical tools used to determine the interactions of the TPHs components at p&lt; 0.05. Further structure detections were made with means plot for this analysis. Soil pollution is a major public health hazards, especially with inhabitants close to the industrial environment as there   could be possible seepage and subsequent ground water contamination. This contaminated water will subsequently be ingested by drinking and this calls for serious public health intervention. Best Available Techniques (BAT) and policy reforms should </w:t>
      </w:r>
      <w:proofErr w:type="spellStart"/>
      <w:r w:rsidRPr="008362BE">
        <w:rPr>
          <w:rFonts w:ascii="Times New Roman" w:hAnsi="Times New Roman" w:cs="Times New Roman"/>
          <w:sz w:val="20"/>
          <w:szCs w:val="20"/>
        </w:rPr>
        <w:t>therfore</w:t>
      </w:r>
      <w:proofErr w:type="spellEnd"/>
      <w:r w:rsidRPr="008362BE">
        <w:rPr>
          <w:rFonts w:ascii="Times New Roman" w:hAnsi="Times New Roman" w:cs="Times New Roman"/>
          <w:sz w:val="20"/>
          <w:szCs w:val="20"/>
        </w:rPr>
        <w:t xml:space="preserve"> be intensified as a measure for ecological efficiency in production processes. Assessment of Total Petroleum Hydrocarbon and its Effect on Soil around </w:t>
      </w:r>
      <w:proofErr w:type="spellStart"/>
      <w:r w:rsidRPr="008362BE">
        <w:rPr>
          <w:rFonts w:ascii="Times New Roman" w:hAnsi="Times New Roman" w:cs="Times New Roman"/>
          <w:sz w:val="20"/>
          <w:szCs w:val="20"/>
        </w:rPr>
        <w:t>Ashphalt</w:t>
      </w:r>
      <w:proofErr w:type="spellEnd"/>
      <w:r w:rsidRPr="008362BE">
        <w:rPr>
          <w:rFonts w:ascii="Times New Roman" w:hAnsi="Times New Roman" w:cs="Times New Roman"/>
          <w:sz w:val="20"/>
          <w:szCs w:val="20"/>
        </w:rPr>
        <w:t xml:space="preserve"> Producing Facility in </w:t>
      </w:r>
      <w:proofErr w:type="spellStart"/>
      <w:r w:rsidRPr="008362BE">
        <w:rPr>
          <w:rFonts w:ascii="Times New Roman" w:hAnsi="Times New Roman" w:cs="Times New Roman"/>
          <w:sz w:val="20"/>
          <w:szCs w:val="20"/>
        </w:rPr>
        <w:t>Obinze</w:t>
      </w:r>
      <w:proofErr w:type="spellEnd"/>
      <w:r w:rsidRPr="008362BE">
        <w:rPr>
          <w:rFonts w:ascii="Times New Roman" w:hAnsi="Times New Roman" w:cs="Times New Roman"/>
          <w:sz w:val="20"/>
          <w:szCs w:val="20"/>
        </w:rPr>
        <w:t xml:space="preserve">,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 xml:space="preserve">. </w:t>
      </w:r>
    </w:p>
    <w:p w:rsidR="004E67B9" w:rsidRPr="008362BE" w:rsidRDefault="00D10558"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b/>
          <w:bCs/>
          <w:sz w:val="20"/>
          <w:szCs w:val="20"/>
        </w:rPr>
        <w:t>[</w:t>
      </w:r>
      <w:proofErr w:type="spellStart"/>
      <w:r w:rsidRPr="008362BE">
        <w:rPr>
          <w:rFonts w:ascii="Times New Roman" w:hAnsi="Times New Roman" w:cs="Times New Roman"/>
          <w:bCs/>
          <w:sz w:val="20"/>
          <w:szCs w:val="20"/>
        </w:rPr>
        <w:t>Mgbahuruike</w:t>
      </w:r>
      <w:proofErr w:type="spellEnd"/>
      <w:r w:rsidRPr="008362BE">
        <w:rPr>
          <w:rFonts w:ascii="Times New Roman" w:hAnsi="Times New Roman" w:cs="Times New Roman"/>
          <w:bCs/>
          <w:sz w:val="20"/>
          <w:szCs w:val="20"/>
        </w:rPr>
        <w:t xml:space="preserve"> Leonard </w:t>
      </w:r>
      <w:proofErr w:type="spellStart"/>
      <w:r w:rsidRPr="008362BE">
        <w:rPr>
          <w:rFonts w:ascii="Times New Roman" w:hAnsi="Times New Roman" w:cs="Times New Roman"/>
          <w:bCs/>
          <w:sz w:val="20"/>
          <w:szCs w:val="20"/>
        </w:rPr>
        <w:t>Udochukwu</w:t>
      </w:r>
      <w:proofErr w:type="spellEnd"/>
      <w:r w:rsidRPr="008362BE">
        <w:rPr>
          <w:rFonts w:ascii="Times New Roman" w:hAnsi="Times New Roman" w:cs="Times New Roman"/>
          <w:bCs/>
          <w:sz w:val="20"/>
          <w:szCs w:val="20"/>
        </w:rPr>
        <w:t xml:space="preserve">, </w:t>
      </w:r>
      <w:proofErr w:type="spellStart"/>
      <w:r w:rsidRPr="008362BE">
        <w:rPr>
          <w:rFonts w:ascii="Times New Roman" w:hAnsi="Times New Roman" w:cs="Times New Roman"/>
          <w:bCs/>
          <w:sz w:val="20"/>
          <w:szCs w:val="20"/>
        </w:rPr>
        <w:t>Njoku</w:t>
      </w:r>
      <w:proofErr w:type="spellEnd"/>
      <w:r w:rsidRPr="008362BE">
        <w:rPr>
          <w:rFonts w:ascii="Times New Roman" w:hAnsi="Times New Roman" w:cs="Times New Roman"/>
          <w:bCs/>
          <w:sz w:val="20"/>
          <w:szCs w:val="20"/>
        </w:rPr>
        <w:t xml:space="preserve">-Tony, </w:t>
      </w:r>
      <w:proofErr w:type="spellStart"/>
      <w:r w:rsidRPr="008362BE">
        <w:rPr>
          <w:rFonts w:ascii="Times New Roman" w:hAnsi="Times New Roman" w:cs="Times New Roman"/>
          <w:bCs/>
          <w:sz w:val="20"/>
          <w:szCs w:val="20"/>
        </w:rPr>
        <w:t>Roseline</w:t>
      </w:r>
      <w:proofErr w:type="spellEnd"/>
      <w:r w:rsidRPr="008362BE">
        <w:rPr>
          <w:rFonts w:ascii="Times New Roman" w:hAnsi="Times New Roman" w:cs="Times New Roman"/>
          <w:bCs/>
          <w:sz w:val="20"/>
          <w:szCs w:val="20"/>
        </w:rPr>
        <w:t xml:space="preserve"> </w:t>
      </w:r>
      <w:proofErr w:type="spellStart"/>
      <w:r w:rsidRPr="008362BE">
        <w:rPr>
          <w:rFonts w:ascii="Times New Roman" w:hAnsi="Times New Roman" w:cs="Times New Roman"/>
          <w:bCs/>
          <w:sz w:val="20"/>
          <w:szCs w:val="20"/>
        </w:rPr>
        <w:t>Feechi</w:t>
      </w:r>
      <w:proofErr w:type="spellEnd"/>
      <w:r w:rsidRPr="008362BE">
        <w:rPr>
          <w:rFonts w:ascii="Times New Roman" w:hAnsi="Times New Roman" w:cs="Times New Roman"/>
          <w:bCs/>
          <w:sz w:val="20"/>
          <w:szCs w:val="20"/>
        </w:rPr>
        <w:t xml:space="preserve">, </w:t>
      </w:r>
      <w:proofErr w:type="spellStart"/>
      <w:r w:rsidRPr="008362BE">
        <w:rPr>
          <w:rFonts w:ascii="Times New Roman" w:hAnsi="Times New Roman" w:cs="Times New Roman"/>
          <w:bCs/>
          <w:sz w:val="20"/>
          <w:szCs w:val="20"/>
        </w:rPr>
        <w:t>Nwachukwu</w:t>
      </w:r>
      <w:proofErr w:type="spellEnd"/>
      <w:r w:rsidRPr="008362BE">
        <w:rPr>
          <w:rFonts w:ascii="Times New Roman" w:hAnsi="Times New Roman" w:cs="Times New Roman"/>
          <w:bCs/>
          <w:sz w:val="20"/>
          <w:szCs w:val="20"/>
        </w:rPr>
        <w:t xml:space="preserve">, Joseph </w:t>
      </w:r>
      <w:proofErr w:type="spellStart"/>
      <w:r w:rsidRPr="008362BE">
        <w:rPr>
          <w:rFonts w:ascii="Times New Roman" w:hAnsi="Times New Roman" w:cs="Times New Roman"/>
          <w:bCs/>
          <w:sz w:val="20"/>
          <w:szCs w:val="20"/>
        </w:rPr>
        <w:t>Ikechukwu</w:t>
      </w:r>
      <w:proofErr w:type="spellEnd"/>
      <w:r w:rsidRPr="008362BE">
        <w:rPr>
          <w:rFonts w:ascii="Times New Roman" w:hAnsi="Times New Roman" w:cs="Times New Roman"/>
          <w:bCs/>
          <w:sz w:val="20"/>
          <w:szCs w:val="20"/>
        </w:rPr>
        <w:t xml:space="preserve">. </w:t>
      </w:r>
      <w:r w:rsidRPr="008362BE">
        <w:rPr>
          <w:rFonts w:ascii="Times New Roman" w:hAnsi="Times New Roman" w:cs="Times New Roman"/>
          <w:b/>
          <w:bCs/>
          <w:sz w:val="20"/>
          <w:szCs w:val="20"/>
        </w:rPr>
        <w:t>IMPACT OF TOTAL PETROLEUM HYDROCARBON CONCENTRATION AND ITS EFFECTS ON SOIL AROUND ASPHALT PRODUCING FACILITY IN OBINZE, OWERRI.</w:t>
      </w:r>
      <w:r w:rsidRPr="008362BE">
        <w:rPr>
          <w:i/>
          <w:color w:val="000000"/>
          <w:sz w:val="20"/>
          <w:szCs w:val="20"/>
          <w:lang w:bidi="ar-EG"/>
        </w:rPr>
        <w:t xml:space="preserve"> </w:t>
      </w:r>
      <w:r w:rsidR="00CE7555" w:rsidRPr="008362BE">
        <w:rPr>
          <w:i/>
          <w:color w:val="000000"/>
          <w:sz w:val="20"/>
          <w:szCs w:val="20"/>
          <w:lang w:bidi="ar-EG"/>
        </w:rPr>
        <w:t xml:space="preserve">Nat </w:t>
      </w:r>
      <w:proofErr w:type="spellStart"/>
      <w:r w:rsidR="00CE7555" w:rsidRPr="008362BE">
        <w:rPr>
          <w:i/>
          <w:color w:val="000000"/>
          <w:sz w:val="20"/>
          <w:szCs w:val="20"/>
          <w:lang w:bidi="ar-EG"/>
        </w:rPr>
        <w:t>Sci</w:t>
      </w:r>
      <w:proofErr w:type="spellEnd"/>
      <w:r w:rsidR="00CE7555" w:rsidRPr="008362BE">
        <w:rPr>
          <w:i/>
          <w:color w:val="000000"/>
          <w:sz w:val="20"/>
          <w:szCs w:val="20"/>
          <w:lang w:bidi="ar-EG"/>
        </w:rPr>
        <w:t xml:space="preserve"> </w:t>
      </w:r>
      <w:r w:rsidR="00CE7555" w:rsidRPr="008362BE">
        <w:rPr>
          <w:color w:val="000000"/>
          <w:sz w:val="20"/>
          <w:szCs w:val="20"/>
          <w:lang w:bidi="ar-EG"/>
        </w:rPr>
        <w:t>2012;10(</w:t>
      </w:r>
      <w:r w:rsidR="00CE7555" w:rsidRPr="008362BE">
        <w:rPr>
          <w:rFonts w:eastAsia="宋体"/>
          <w:color w:val="000000"/>
          <w:sz w:val="20"/>
          <w:szCs w:val="20"/>
          <w:lang w:eastAsia="zh-CN" w:bidi="ar-EG"/>
        </w:rPr>
        <w:t>9</w:t>
      </w:r>
      <w:r w:rsidR="00CE7555" w:rsidRPr="008362BE">
        <w:rPr>
          <w:color w:val="000000"/>
          <w:sz w:val="20"/>
          <w:szCs w:val="20"/>
          <w:lang w:bidi="ar-EG"/>
        </w:rPr>
        <w:t>):</w:t>
      </w:r>
      <w:r w:rsidR="008362BE">
        <w:rPr>
          <w:color w:val="000000"/>
          <w:sz w:val="20"/>
          <w:szCs w:val="20"/>
          <w:lang w:bidi="ar-EG"/>
        </w:rPr>
        <w:t>20</w:t>
      </w:r>
      <w:r w:rsidR="00CE7555" w:rsidRPr="008362BE">
        <w:rPr>
          <w:color w:val="000000"/>
          <w:sz w:val="20"/>
          <w:szCs w:val="20"/>
          <w:lang w:bidi="ar-EG"/>
        </w:rPr>
        <w:t>-</w:t>
      </w:r>
      <w:r w:rsidR="00C97C2C">
        <w:rPr>
          <w:color w:val="000000"/>
          <w:sz w:val="20"/>
          <w:szCs w:val="20"/>
          <w:lang w:bidi="ar-EG"/>
        </w:rPr>
        <w:t>25</w:t>
      </w:r>
      <w:r w:rsidR="00CE7555" w:rsidRPr="008362BE">
        <w:rPr>
          <w:color w:val="000000"/>
          <w:sz w:val="20"/>
          <w:szCs w:val="20"/>
          <w:lang w:bidi="ar-EG"/>
        </w:rPr>
        <w:t>].</w:t>
      </w:r>
      <w:r w:rsidR="00CE7555" w:rsidRPr="008362BE">
        <w:rPr>
          <w:rFonts w:eastAsia="宋体"/>
          <w:color w:val="000000"/>
          <w:sz w:val="20"/>
          <w:szCs w:val="20"/>
          <w:lang w:eastAsia="zh-CN" w:bidi="ar-EG"/>
        </w:rPr>
        <w:t xml:space="preserve"> </w:t>
      </w:r>
      <w:r w:rsidR="00CE7555" w:rsidRPr="008362BE">
        <w:rPr>
          <w:color w:val="000000"/>
          <w:sz w:val="20"/>
          <w:szCs w:val="20"/>
          <w:lang w:bidi="ar-EG"/>
        </w:rPr>
        <w:t>(ISSN: 1545-0740).</w:t>
      </w:r>
      <w:r w:rsidR="00CE7555" w:rsidRPr="008362BE">
        <w:rPr>
          <w:color w:val="0000FF"/>
          <w:sz w:val="20"/>
          <w:szCs w:val="20"/>
        </w:rPr>
        <w:t xml:space="preserve"> </w:t>
      </w:r>
      <w:hyperlink r:id="rId8" w:history="1">
        <w:r w:rsidR="00CE7555" w:rsidRPr="008362BE">
          <w:rPr>
            <w:rStyle w:val="Hyperlink"/>
            <w:sz w:val="20"/>
            <w:szCs w:val="20"/>
          </w:rPr>
          <w:t>http://www.sciencepub.net/nature</w:t>
        </w:r>
      </w:hyperlink>
      <w:r w:rsidR="00CE7555" w:rsidRPr="008362BE">
        <w:rPr>
          <w:color w:val="0000FF"/>
          <w:sz w:val="20"/>
          <w:szCs w:val="20"/>
        </w:rPr>
        <w:t>. 3</w:t>
      </w:r>
    </w:p>
    <w:p w:rsidR="004E67B9" w:rsidRPr="008362BE" w:rsidRDefault="004E67B9" w:rsidP="008362BE">
      <w:pPr>
        <w:spacing w:after="0" w:line="240" w:lineRule="auto"/>
        <w:jc w:val="both"/>
        <w:rPr>
          <w:sz w:val="20"/>
          <w:szCs w:val="20"/>
        </w:rPr>
      </w:pPr>
    </w:p>
    <w:p w:rsidR="004E67B9" w:rsidRPr="006C7871" w:rsidRDefault="004E67B9" w:rsidP="008362BE">
      <w:pPr>
        <w:spacing w:after="0" w:line="240" w:lineRule="auto"/>
        <w:jc w:val="both"/>
        <w:rPr>
          <w:rFonts w:ascii="Times New Roman" w:hAnsi="Times New Roman" w:cs="Times New Roman"/>
          <w:bCs/>
          <w:sz w:val="20"/>
          <w:szCs w:val="20"/>
        </w:rPr>
      </w:pPr>
      <w:r w:rsidRPr="008362BE">
        <w:rPr>
          <w:rFonts w:ascii="Times New Roman" w:hAnsi="Times New Roman" w:cs="Times New Roman"/>
          <w:b/>
          <w:bCs/>
          <w:sz w:val="20"/>
          <w:szCs w:val="20"/>
        </w:rPr>
        <w:t>Key words:</w:t>
      </w:r>
      <w:r w:rsidRPr="006C7871">
        <w:rPr>
          <w:rFonts w:ascii="Times New Roman" w:hAnsi="Times New Roman" w:cs="Times New Roman"/>
          <w:bCs/>
          <w:sz w:val="20"/>
          <w:szCs w:val="20"/>
        </w:rPr>
        <w:t xml:space="preserve"> TPH, emissions, contamination, Asphalt, Facility, </w:t>
      </w:r>
      <w:proofErr w:type="spellStart"/>
      <w:r w:rsidRPr="006C7871">
        <w:rPr>
          <w:rFonts w:ascii="Times New Roman" w:hAnsi="Times New Roman" w:cs="Times New Roman"/>
          <w:bCs/>
          <w:sz w:val="20"/>
          <w:szCs w:val="20"/>
        </w:rPr>
        <w:t>Obinze</w:t>
      </w:r>
      <w:proofErr w:type="spellEnd"/>
    </w:p>
    <w:p w:rsidR="004E67B9" w:rsidRPr="008362BE" w:rsidRDefault="004E67B9" w:rsidP="008362BE">
      <w:pPr>
        <w:spacing w:after="0" w:line="240" w:lineRule="auto"/>
        <w:jc w:val="both"/>
        <w:rPr>
          <w:b/>
          <w:bCs/>
          <w:sz w:val="20"/>
          <w:szCs w:val="20"/>
        </w:rPr>
      </w:pPr>
    </w:p>
    <w:p w:rsidR="004E67B9" w:rsidRPr="008362BE" w:rsidRDefault="004E67B9" w:rsidP="008362BE">
      <w:pPr>
        <w:spacing w:after="0" w:line="240" w:lineRule="auto"/>
        <w:jc w:val="both"/>
        <w:rPr>
          <w:b/>
          <w:bCs/>
          <w:sz w:val="20"/>
          <w:szCs w:val="20"/>
        </w:rPr>
        <w:sectPr w:rsidR="004E67B9" w:rsidRPr="008362BE" w:rsidSect="00C97C2C">
          <w:headerReference w:type="default" r:id="rId9"/>
          <w:footerReference w:type="default" r:id="rId10"/>
          <w:pgSz w:w="12240" w:h="15840"/>
          <w:pgMar w:top="1440" w:right="1440" w:bottom="1440" w:left="1440" w:header="720" w:footer="720" w:gutter="0"/>
          <w:pgNumType w:start="20"/>
          <w:cols w:space="720"/>
          <w:docGrid w:linePitch="360"/>
        </w:sect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lastRenderedPageBreak/>
        <w:t>Introduction</w:t>
      </w:r>
    </w:p>
    <w:p w:rsidR="004E67B9" w:rsidRPr="008362BE" w:rsidRDefault="004E67B9" w:rsidP="008362BE">
      <w:pPr>
        <w:spacing w:after="0" w:line="240" w:lineRule="auto"/>
        <w:ind w:firstLine="540"/>
        <w:jc w:val="both"/>
        <w:rPr>
          <w:rFonts w:ascii="Times New Roman" w:hAnsi="Times New Roman" w:cs="Times New Roman"/>
          <w:sz w:val="20"/>
          <w:szCs w:val="20"/>
        </w:rPr>
      </w:pPr>
      <w:r w:rsidRPr="008362BE">
        <w:rPr>
          <w:rFonts w:ascii="Times New Roman" w:hAnsi="Times New Roman" w:cs="Times New Roman"/>
          <w:sz w:val="20"/>
          <w:szCs w:val="20"/>
        </w:rPr>
        <w:t>Petroleum products are integral part of our modern lives. It is nearly impossible to avoid exposure to hydrocarbons from petroleum products. They either come from industrial activities, solvent used at work or home or application of pesticides formulate from petroleum products.</w:t>
      </w:r>
    </w:p>
    <w:p w:rsidR="004E67B9" w:rsidRPr="008362BE" w:rsidRDefault="004E67B9" w:rsidP="008362BE">
      <w:pPr>
        <w:spacing w:after="0" w:line="240" w:lineRule="auto"/>
        <w:ind w:firstLine="540"/>
        <w:jc w:val="both"/>
        <w:rPr>
          <w:rFonts w:ascii="Times New Roman" w:hAnsi="Times New Roman" w:cs="Times New Roman"/>
          <w:sz w:val="20"/>
          <w:szCs w:val="20"/>
        </w:rPr>
      </w:pPr>
      <w:r w:rsidRPr="008362BE">
        <w:rPr>
          <w:rFonts w:ascii="Times New Roman" w:hAnsi="Times New Roman" w:cs="Times New Roman"/>
          <w:sz w:val="20"/>
          <w:szCs w:val="20"/>
        </w:rPr>
        <w:t xml:space="preserve">The term total petroleum hydrocarbon (TPH) is used to describe a broad family of several hundred chemical compounds that originally come from crude oil. They are considered persistent hazardous pollutants, and include compound that can </w:t>
      </w:r>
      <w:proofErr w:type="spellStart"/>
      <w:r w:rsidRPr="008362BE">
        <w:rPr>
          <w:rFonts w:ascii="Times New Roman" w:hAnsi="Times New Roman" w:cs="Times New Roman"/>
          <w:sz w:val="20"/>
          <w:szCs w:val="20"/>
        </w:rPr>
        <w:t>bioconcentrate</w:t>
      </w:r>
      <w:proofErr w:type="spellEnd"/>
      <w:r w:rsidRPr="008362BE">
        <w:rPr>
          <w:rFonts w:ascii="Times New Roman" w:hAnsi="Times New Roman" w:cs="Times New Roman"/>
          <w:sz w:val="20"/>
          <w:szCs w:val="20"/>
        </w:rPr>
        <w:t xml:space="preserve"> and </w:t>
      </w:r>
      <w:proofErr w:type="spellStart"/>
      <w:r w:rsidRPr="008362BE">
        <w:rPr>
          <w:rFonts w:ascii="Times New Roman" w:hAnsi="Times New Roman" w:cs="Times New Roman"/>
          <w:sz w:val="20"/>
          <w:szCs w:val="20"/>
        </w:rPr>
        <w:t>bioaccumulate</w:t>
      </w:r>
      <w:proofErr w:type="spellEnd"/>
      <w:r w:rsidRPr="008362BE">
        <w:rPr>
          <w:rFonts w:ascii="Times New Roman" w:hAnsi="Times New Roman" w:cs="Times New Roman"/>
          <w:sz w:val="20"/>
          <w:szCs w:val="20"/>
        </w:rPr>
        <w:t xml:space="preserve"> in food chain (McElroy, 1983), (</w:t>
      </w:r>
      <w:proofErr w:type="spellStart"/>
      <w:r w:rsidRPr="008362BE">
        <w:rPr>
          <w:rFonts w:ascii="Times New Roman" w:hAnsi="Times New Roman" w:cs="Times New Roman"/>
          <w:sz w:val="20"/>
          <w:szCs w:val="20"/>
        </w:rPr>
        <w:t>Heitkamp</w:t>
      </w:r>
      <w:proofErr w:type="spellEnd"/>
      <w:r w:rsidRPr="008362BE">
        <w:rPr>
          <w:rFonts w:ascii="Times New Roman" w:hAnsi="Times New Roman" w:cs="Times New Roman"/>
          <w:sz w:val="20"/>
          <w:szCs w:val="20"/>
        </w:rPr>
        <w:t xml:space="preserve">, 1988), acutely toxic compounds such as benzene (IARC, 2000) and </w:t>
      </w:r>
      <w:proofErr w:type="spellStart"/>
      <w:r w:rsidRPr="008362BE">
        <w:rPr>
          <w:rFonts w:ascii="Times New Roman" w:hAnsi="Times New Roman" w:cs="Times New Roman"/>
          <w:sz w:val="20"/>
          <w:szCs w:val="20"/>
        </w:rPr>
        <w:t>benzo</w:t>
      </w:r>
      <w:proofErr w:type="spellEnd"/>
      <w:r w:rsidRPr="008362BE">
        <w:rPr>
          <w:rFonts w:ascii="Times New Roman" w:hAnsi="Times New Roman" w:cs="Times New Roman"/>
          <w:sz w:val="20"/>
          <w:szCs w:val="20"/>
        </w:rPr>
        <w:t xml:space="preserve"> (a) and </w:t>
      </w:r>
      <w:proofErr w:type="spellStart"/>
      <w:r w:rsidRPr="008362BE">
        <w:rPr>
          <w:rFonts w:ascii="Times New Roman" w:hAnsi="Times New Roman" w:cs="Times New Roman"/>
          <w:sz w:val="20"/>
          <w:szCs w:val="20"/>
        </w:rPr>
        <w:t>pyrene</w:t>
      </w:r>
      <w:proofErr w:type="spellEnd"/>
      <w:r w:rsidRPr="008362BE">
        <w:rPr>
          <w:rFonts w:ascii="Times New Roman" w:hAnsi="Times New Roman" w:cs="Times New Roman"/>
          <w:sz w:val="20"/>
          <w:szCs w:val="20"/>
        </w:rPr>
        <w:t xml:space="preserve"> are recognized mutagen carcinogens (</w:t>
      </w:r>
      <w:proofErr w:type="spellStart"/>
      <w:r w:rsidRPr="008362BE">
        <w:rPr>
          <w:rFonts w:ascii="Times New Roman" w:hAnsi="Times New Roman" w:cs="Times New Roman"/>
          <w:sz w:val="20"/>
          <w:szCs w:val="20"/>
        </w:rPr>
        <w:t>Mortelmans</w:t>
      </w:r>
      <w:proofErr w:type="spellEnd"/>
      <w:r w:rsidRPr="008362BE">
        <w:rPr>
          <w:rFonts w:ascii="Times New Roman" w:hAnsi="Times New Roman" w:cs="Times New Roman"/>
          <w:sz w:val="20"/>
          <w:szCs w:val="20"/>
        </w:rPr>
        <w:t>, 1986). Total Petroleum Hydrocarbons are components of most fossil fuels and are ubiquitous in the natural environment (</w:t>
      </w:r>
      <w:proofErr w:type="spellStart"/>
      <w:r w:rsidRPr="008362BE">
        <w:rPr>
          <w:rFonts w:ascii="Times New Roman" w:hAnsi="Times New Roman" w:cs="Times New Roman"/>
          <w:sz w:val="20"/>
          <w:szCs w:val="20"/>
        </w:rPr>
        <w:t>Ellenhorn</w:t>
      </w:r>
      <w:proofErr w:type="spellEnd"/>
      <w:r w:rsidRPr="008362BE">
        <w:rPr>
          <w:rFonts w:ascii="Times New Roman" w:hAnsi="Times New Roman" w:cs="Times New Roman"/>
          <w:sz w:val="20"/>
          <w:szCs w:val="20"/>
        </w:rPr>
        <w:t xml:space="preserve">, 1988; Agency, 1993). TPHs are divided into two categories, the gasoline range organics (GRO) which corresponds to small chain </w:t>
      </w:r>
      <w:proofErr w:type="spellStart"/>
      <w:r w:rsidRPr="008362BE">
        <w:rPr>
          <w:rFonts w:ascii="Times New Roman" w:hAnsi="Times New Roman" w:cs="Times New Roman"/>
          <w:sz w:val="20"/>
          <w:szCs w:val="20"/>
        </w:rPr>
        <w:t>alkanes</w:t>
      </w:r>
      <w:proofErr w:type="spellEnd"/>
      <w:r w:rsidRPr="008362BE">
        <w:rPr>
          <w:rFonts w:ascii="Times New Roman" w:hAnsi="Times New Roman" w:cs="Times New Roman"/>
          <w:sz w:val="20"/>
          <w:szCs w:val="20"/>
        </w:rPr>
        <w:t xml:space="preserve"> and diesel range organics (DRO) which corresponds to the lager chain </w:t>
      </w:r>
      <w:proofErr w:type="spellStart"/>
      <w:r w:rsidRPr="008362BE">
        <w:rPr>
          <w:rFonts w:ascii="Times New Roman" w:hAnsi="Times New Roman" w:cs="Times New Roman"/>
          <w:sz w:val="20"/>
          <w:szCs w:val="20"/>
        </w:rPr>
        <w:t>alkanes</w:t>
      </w:r>
      <w:proofErr w:type="spellEnd"/>
      <w:r w:rsidRPr="008362BE">
        <w:rPr>
          <w:rFonts w:ascii="Times New Roman" w:hAnsi="Times New Roman" w:cs="Times New Roman"/>
          <w:sz w:val="20"/>
          <w:szCs w:val="20"/>
        </w:rPr>
        <w:t xml:space="preserve">. There are concerns with short term (accident) and long term exposures to petroleum hydrocarbons </w:t>
      </w:r>
      <w:proofErr w:type="spellStart"/>
      <w:r w:rsidRPr="008362BE">
        <w:rPr>
          <w:rFonts w:ascii="Times New Roman" w:hAnsi="Times New Roman" w:cs="Times New Roman"/>
          <w:sz w:val="20"/>
          <w:szCs w:val="20"/>
        </w:rPr>
        <w:t>e.g</w:t>
      </w:r>
      <w:proofErr w:type="spellEnd"/>
      <w:r w:rsidRPr="008362BE">
        <w:rPr>
          <w:rFonts w:ascii="Times New Roman" w:hAnsi="Times New Roman" w:cs="Times New Roman"/>
          <w:sz w:val="20"/>
          <w:szCs w:val="20"/>
        </w:rPr>
        <w:t xml:space="preserve"> contaminated soil or drinking </w:t>
      </w:r>
      <w:r w:rsidRPr="008362BE">
        <w:rPr>
          <w:rFonts w:ascii="Times New Roman" w:hAnsi="Times New Roman" w:cs="Times New Roman"/>
          <w:sz w:val="20"/>
          <w:szCs w:val="20"/>
        </w:rPr>
        <w:lastRenderedPageBreak/>
        <w:t>water). These contaminants are released to the environment through accidents, as managed releases, or as unintended by- products of industrial, commercial or private actions. Most TPH are introduced into the soil from atmospheric deposition after local and long range transport from industrial activity (8). This phenomenon can be deleterious to soil ecosystem as it can accumulate in the soils and migrate into the subsurface (Balks et al. 1998). This results to changes in microbial populations and activities at fuel contaminated sites (</w:t>
      </w:r>
      <w:proofErr w:type="spellStart"/>
      <w:r w:rsidRPr="008362BE">
        <w:rPr>
          <w:rFonts w:ascii="Times New Roman" w:hAnsi="Times New Roman" w:cs="Times New Roman"/>
          <w:sz w:val="20"/>
          <w:szCs w:val="20"/>
        </w:rPr>
        <w:t>Aislabie</w:t>
      </w:r>
      <w:proofErr w:type="spellEnd"/>
      <w:r w:rsidRPr="008362BE">
        <w:rPr>
          <w:rFonts w:ascii="Times New Roman" w:hAnsi="Times New Roman" w:cs="Times New Roman"/>
          <w:sz w:val="20"/>
          <w:szCs w:val="20"/>
        </w:rPr>
        <w:t xml:space="preserve"> et al, 1998).</w:t>
      </w:r>
    </w:p>
    <w:p w:rsidR="004E67B9" w:rsidRPr="008362BE" w:rsidRDefault="004E67B9" w:rsidP="008362BE">
      <w:pPr>
        <w:spacing w:after="0" w:line="240" w:lineRule="auto"/>
        <w:ind w:firstLine="540"/>
        <w:jc w:val="both"/>
        <w:rPr>
          <w:rFonts w:ascii="Times New Roman" w:hAnsi="Times New Roman" w:cs="Times New Roman"/>
          <w:sz w:val="20"/>
          <w:szCs w:val="20"/>
        </w:rPr>
      </w:pPr>
      <w:r w:rsidRPr="008362BE">
        <w:rPr>
          <w:rFonts w:ascii="Times New Roman" w:hAnsi="Times New Roman" w:cs="Times New Roman"/>
          <w:sz w:val="20"/>
          <w:szCs w:val="20"/>
        </w:rPr>
        <w:t xml:space="preserve">Contaminated soils are usually deficient in macro and micro nutrients necessary for plant growth and </w:t>
      </w:r>
      <w:proofErr w:type="spellStart"/>
      <w:r w:rsidRPr="008362BE">
        <w:rPr>
          <w:rFonts w:ascii="Times New Roman" w:hAnsi="Times New Roman" w:cs="Times New Roman"/>
          <w:sz w:val="20"/>
          <w:szCs w:val="20"/>
        </w:rPr>
        <w:t>uptimum</w:t>
      </w:r>
      <w:proofErr w:type="spellEnd"/>
      <w:r w:rsidRPr="008362BE">
        <w:rPr>
          <w:rFonts w:ascii="Times New Roman" w:hAnsi="Times New Roman" w:cs="Times New Roman"/>
          <w:sz w:val="20"/>
          <w:szCs w:val="20"/>
        </w:rPr>
        <w:t xml:space="preserve"> yield.  </w:t>
      </w:r>
      <w:proofErr w:type="spellStart"/>
      <w:r w:rsidRPr="008362BE">
        <w:rPr>
          <w:rFonts w:ascii="Times New Roman" w:hAnsi="Times New Roman" w:cs="Times New Roman"/>
          <w:sz w:val="20"/>
          <w:szCs w:val="20"/>
        </w:rPr>
        <w:t>Osuji</w:t>
      </w:r>
      <w:proofErr w:type="spellEnd"/>
      <w:r w:rsidRPr="008362BE">
        <w:rPr>
          <w:rFonts w:ascii="Times New Roman" w:hAnsi="Times New Roman" w:cs="Times New Roman"/>
          <w:sz w:val="20"/>
          <w:szCs w:val="20"/>
        </w:rPr>
        <w:t xml:space="preserve"> et al (2005) observed that beyond 3% concentration, oil has been reported to be increasingly deleterious to soil biota and crop growth. But very little is known about the effects of TPH contaminants on the physical properties of </w:t>
      </w:r>
      <w:proofErr w:type="spellStart"/>
      <w:r w:rsidRPr="008362BE">
        <w:rPr>
          <w:rFonts w:ascii="Times New Roman" w:hAnsi="Times New Roman" w:cs="Times New Roman"/>
          <w:sz w:val="20"/>
          <w:szCs w:val="20"/>
        </w:rPr>
        <w:t>Obinze</w:t>
      </w:r>
      <w:proofErr w:type="spellEnd"/>
      <w:r w:rsidRPr="008362BE">
        <w:rPr>
          <w:rFonts w:ascii="Times New Roman" w:hAnsi="Times New Roman" w:cs="Times New Roman"/>
          <w:sz w:val="20"/>
          <w:szCs w:val="20"/>
        </w:rPr>
        <w:t xml:space="preserve"> soil where the Asphalt plant is located. Although, loss of soil fertility through loss of soil organic matter, leaching of nutrients, loss of nutrient laden topsoil, changes in soil pH and other forms of soil degradation are evident.</w:t>
      </w:r>
    </w:p>
    <w:p w:rsidR="004E67B9" w:rsidRPr="008362BE" w:rsidRDefault="004E67B9" w:rsidP="008362BE">
      <w:pPr>
        <w:spacing w:after="0" w:line="240" w:lineRule="auto"/>
        <w:ind w:firstLine="540"/>
        <w:jc w:val="both"/>
        <w:rPr>
          <w:rFonts w:ascii="Times New Roman" w:hAnsi="Times New Roman" w:cs="Times New Roman"/>
          <w:sz w:val="20"/>
          <w:szCs w:val="20"/>
        </w:rPr>
      </w:pPr>
      <w:r w:rsidRPr="008362BE">
        <w:rPr>
          <w:rFonts w:ascii="Times New Roman" w:hAnsi="Times New Roman" w:cs="Times New Roman"/>
          <w:sz w:val="20"/>
          <w:szCs w:val="20"/>
        </w:rPr>
        <w:t xml:space="preserve">Populations living in the vicinity of the industrial sites may be at greater risk of potential </w:t>
      </w:r>
      <w:r w:rsidRPr="008362BE">
        <w:rPr>
          <w:rFonts w:ascii="Times New Roman" w:hAnsi="Times New Roman" w:cs="Times New Roman"/>
          <w:sz w:val="20"/>
          <w:szCs w:val="20"/>
        </w:rPr>
        <w:lastRenderedPageBreak/>
        <w:t>exposure to TPH than the general population through inhalation, ingestion and direct contact with contaminated media (Agency, 1990).</w:t>
      </w:r>
    </w:p>
    <w:p w:rsidR="004E67B9" w:rsidRPr="008362BE" w:rsidRDefault="004E67B9" w:rsidP="008362BE">
      <w:pPr>
        <w:spacing w:after="0" w:line="240" w:lineRule="auto"/>
        <w:ind w:firstLine="540"/>
        <w:jc w:val="both"/>
        <w:rPr>
          <w:rFonts w:ascii="Times New Roman" w:hAnsi="Times New Roman" w:cs="Times New Roman"/>
          <w:sz w:val="20"/>
          <w:szCs w:val="20"/>
        </w:rPr>
      </w:pPr>
      <w:r w:rsidRPr="008362BE">
        <w:rPr>
          <w:rFonts w:ascii="Times New Roman" w:hAnsi="Times New Roman" w:cs="Times New Roman"/>
          <w:sz w:val="20"/>
          <w:szCs w:val="20"/>
        </w:rPr>
        <w:t xml:space="preserve">This present work therefore was conducted to assess the levels of TPH and their impact on the soil around </w:t>
      </w:r>
      <w:proofErr w:type="spellStart"/>
      <w:r w:rsidRPr="008362BE">
        <w:rPr>
          <w:rFonts w:ascii="Times New Roman" w:hAnsi="Times New Roman" w:cs="Times New Roman"/>
          <w:sz w:val="20"/>
          <w:szCs w:val="20"/>
        </w:rPr>
        <w:t>Obinze</w:t>
      </w:r>
      <w:proofErr w:type="spellEnd"/>
      <w:r w:rsidRPr="008362BE">
        <w:rPr>
          <w:rFonts w:ascii="Times New Roman" w:hAnsi="Times New Roman" w:cs="Times New Roman"/>
          <w:sz w:val="20"/>
          <w:szCs w:val="20"/>
        </w:rPr>
        <w:t xml:space="preserve"> Asphalt producing plant.</w:t>
      </w:r>
    </w:p>
    <w:p w:rsidR="008362BE" w:rsidRDefault="008362BE" w:rsidP="008362BE">
      <w:pPr>
        <w:spacing w:after="0" w:line="240" w:lineRule="auto"/>
        <w:jc w:val="both"/>
        <w:rPr>
          <w:rFonts w:ascii="Times New Roman" w:hAnsi="Times New Roman" w:cs="Times New Roman"/>
          <w:b/>
          <w:bCs/>
          <w:sz w:val="20"/>
          <w:szCs w:val="20"/>
        </w:r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Materials and Methods</w:t>
      </w: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Study Area.</w:t>
      </w:r>
    </w:p>
    <w:p w:rsidR="004E67B9" w:rsidRPr="008362BE" w:rsidRDefault="004E67B9" w:rsidP="008362BE">
      <w:pPr>
        <w:spacing w:after="0" w:line="240" w:lineRule="auto"/>
        <w:ind w:firstLine="540"/>
        <w:jc w:val="both"/>
        <w:rPr>
          <w:rFonts w:ascii="Times New Roman" w:hAnsi="Times New Roman" w:cs="Times New Roman"/>
          <w:sz w:val="20"/>
          <w:szCs w:val="20"/>
        </w:rPr>
      </w:pPr>
      <w:r w:rsidRPr="008362BE">
        <w:rPr>
          <w:rFonts w:ascii="Times New Roman" w:hAnsi="Times New Roman" w:cs="Times New Roman"/>
          <w:sz w:val="20"/>
          <w:szCs w:val="20"/>
        </w:rPr>
        <w:t xml:space="preserve">This study was carried out in an asphalt producing plant situated at </w:t>
      </w:r>
      <w:proofErr w:type="spellStart"/>
      <w:r w:rsidRPr="008362BE">
        <w:rPr>
          <w:rFonts w:ascii="Times New Roman" w:hAnsi="Times New Roman" w:cs="Times New Roman"/>
          <w:sz w:val="20"/>
          <w:szCs w:val="20"/>
        </w:rPr>
        <w:t>Obinze</w:t>
      </w:r>
      <w:proofErr w:type="spellEnd"/>
      <w:r w:rsidRPr="008362BE">
        <w:rPr>
          <w:rFonts w:ascii="Times New Roman" w:hAnsi="Times New Roman" w:cs="Times New Roman"/>
          <w:sz w:val="20"/>
          <w:szCs w:val="20"/>
        </w:rPr>
        <w:t xml:space="preserve"> along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 xml:space="preserve"> Port Harcourt road in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 xml:space="preserve"> west Local Government Area of  Imo State. The area is located within 5</w:t>
      </w:r>
      <w:r w:rsidRPr="008362BE">
        <w:rPr>
          <w:rFonts w:ascii="Times New Roman" w:hAnsi="Times New Roman" w:cs="Times New Roman"/>
          <w:sz w:val="20"/>
          <w:szCs w:val="20"/>
          <w:vertAlign w:val="superscript"/>
        </w:rPr>
        <w:t>0</w:t>
      </w:r>
      <w:r w:rsidRPr="008362BE">
        <w:rPr>
          <w:rFonts w:ascii="Times New Roman" w:hAnsi="Times New Roman" w:cs="Times New Roman"/>
          <w:sz w:val="20"/>
          <w:szCs w:val="20"/>
        </w:rPr>
        <w:t>67N and longitude 6</w:t>
      </w:r>
      <w:r w:rsidRPr="008362BE">
        <w:rPr>
          <w:rFonts w:ascii="Times New Roman" w:hAnsi="Times New Roman" w:cs="Times New Roman"/>
          <w:sz w:val="20"/>
          <w:szCs w:val="20"/>
          <w:vertAlign w:val="superscript"/>
        </w:rPr>
        <w:t>0</w:t>
      </w:r>
      <w:r w:rsidRPr="008362BE">
        <w:rPr>
          <w:rFonts w:ascii="Times New Roman" w:hAnsi="Times New Roman" w:cs="Times New Roman"/>
          <w:sz w:val="20"/>
          <w:szCs w:val="20"/>
        </w:rPr>
        <w:t>361 and 7</w:t>
      </w:r>
      <w:r w:rsidRPr="008362BE">
        <w:rPr>
          <w:rFonts w:ascii="Times New Roman" w:hAnsi="Times New Roman" w:cs="Times New Roman"/>
          <w:sz w:val="20"/>
          <w:szCs w:val="20"/>
          <w:vertAlign w:val="superscript"/>
        </w:rPr>
        <w:t>0</w:t>
      </w:r>
      <w:r w:rsidRPr="008362BE">
        <w:rPr>
          <w:rFonts w:ascii="Times New Roman" w:hAnsi="Times New Roman" w:cs="Times New Roman"/>
          <w:sz w:val="20"/>
          <w:szCs w:val="20"/>
        </w:rPr>
        <w:t>281E. Topography of the area supports sizeable human population settlement consisting of the indigenes and pockets of Hausa communities scattered in small discrete concentrations. Climate of the area is tropical with two distinct seasons (dry and rainy seasons). The rainy season last between March and October with a short dry spell in August popularly known as August break. While the Dry season last between November and February. (</w:t>
      </w:r>
      <w:proofErr w:type="spellStart"/>
      <w:r w:rsidRPr="008362BE">
        <w:rPr>
          <w:rFonts w:ascii="Times New Roman" w:hAnsi="Times New Roman" w:cs="Times New Roman"/>
          <w:sz w:val="20"/>
          <w:szCs w:val="20"/>
        </w:rPr>
        <w:t>Njoku</w:t>
      </w:r>
      <w:proofErr w:type="spellEnd"/>
      <w:r w:rsidRPr="008362BE">
        <w:rPr>
          <w:rFonts w:ascii="Times New Roman" w:hAnsi="Times New Roman" w:cs="Times New Roman"/>
          <w:sz w:val="20"/>
          <w:szCs w:val="20"/>
        </w:rPr>
        <w:t>-Tony, 2008).The sand of the area is sand/loam and vegetation is typical rainforest. Annual rainfall ranges from 0.0mm to 2,500mm. The mean temperature over most of the area is 27</w:t>
      </w:r>
      <w:r w:rsidRPr="008362BE">
        <w:rPr>
          <w:rFonts w:ascii="Times New Roman" w:hAnsi="Times New Roman" w:cs="Times New Roman"/>
          <w:sz w:val="20"/>
          <w:szCs w:val="20"/>
          <w:vertAlign w:val="superscript"/>
        </w:rPr>
        <w:t>0</w:t>
      </w:r>
      <w:r w:rsidRPr="008362BE">
        <w:rPr>
          <w:rFonts w:ascii="Times New Roman" w:hAnsi="Times New Roman" w:cs="Times New Roman"/>
          <w:sz w:val="20"/>
          <w:szCs w:val="20"/>
        </w:rPr>
        <w:t>C while relative humidity is about 70-80% (IMSG, 1993). The production capacity of the facility is designed to produce 400tons of asphalt per hour but because of some technical and environmental factors the facility now produces at 300 to 320 tons per hour. The main occupation of the people is agriculture and there are also civil servants and traders.</w:t>
      </w:r>
    </w:p>
    <w:p w:rsidR="004E67B9" w:rsidRPr="008362BE" w:rsidRDefault="004E67B9" w:rsidP="008362BE">
      <w:pPr>
        <w:spacing w:after="0" w:line="240" w:lineRule="auto"/>
        <w:jc w:val="both"/>
        <w:rPr>
          <w:rFonts w:ascii="Times New Roman" w:hAnsi="Times New Roman" w:cs="Times New Roman"/>
          <w:b/>
          <w:bCs/>
          <w:sz w:val="20"/>
          <w:szCs w:val="20"/>
        </w:rPr>
      </w:pPr>
    </w:p>
    <w:p w:rsidR="004E67B9" w:rsidRPr="008362BE" w:rsidRDefault="00FC0FA6" w:rsidP="008362BE">
      <w:pPr>
        <w:spacing w:after="0" w:line="240" w:lineRule="auto"/>
        <w:jc w:val="both"/>
        <w:rPr>
          <w:rFonts w:ascii="Times New Roman" w:hAnsi="Times New Roman" w:cs="Times New Roman"/>
          <w:b/>
          <w:bCs/>
          <w:sz w:val="20"/>
          <w:szCs w:val="20"/>
        </w:rPr>
      </w:pPr>
      <w:r w:rsidRPr="008362BE">
        <w:rPr>
          <w:noProof/>
          <w:sz w:val="20"/>
          <w:szCs w:val="20"/>
          <w:lang w:eastAsia="zh-CN"/>
        </w:rPr>
        <w:drawing>
          <wp:inline distT="0" distB="0" distL="0" distR="0">
            <wp:extent cx="2734783" cy="2646072"/>
            <wp:effectExtent l="19050" t="0" r="8417"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38209" cy="2649387"/>
                    </a:xfrm>
                    <a:prstGeom prst="rect">
                      <a:avLst/>
                    </a:prstGeom>
                    <a:noFill/>
                    <a:ln w="9525">
                      <a:noFill/>
                      <a:miter lim="800000"/>
                      <a:headEnd/>
                      <a:tailEnd/>
                    </a:ln>
                  </pic:spPr>
                </pic:pic>
              </a:graphicData>
            </a:graphic>
          </wp:inline>
        </w:drawing>
      </w:r>
    </w:p>
    <w:p w:rsidR="008362BE" w:rsidRDefault="008362BE" w:rsidP="008362BE">
      <w:pPr>
        <w:spacing w:after="0" w:line="240" w:lineRule="auto"/>
        <w:jc w:val="both"/>
        <w:rPr>
          <w:rFonts w:ascii="Times New Roman" w:hAnsi="Times New Roman" w:cs="Times New Roman"/>
          <w:b/>
          <w:bCs/>
          <w:sz w:val="20"/>
          <w:szCs w:val="20"/>
        </w:r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Sample Collection</w:t>
      </w:r>
    </w:p>
    <w:p w:rsidR="004E67B9" w:rsidRDefault="004E67B9" w:rsidP="008362BE">
      <w:pPr>
        <w:spacing w:after="0" w:line="240" w:lineRule="auto"/>
        <w:ind w:firstLine="720"/>
        <w:jc w:val="both"/>
        <w:rPr>
          <w:rFonts w:ascii="Times New Roman" w:hAnsi="Times New Roman" w:cs="Times New Roman"/>
          <w:sz w:val="20"/>
          <w:szCs w:val="20"/>
        </w:rPr>
      </w:pPr>
      <w:r w:rsidRPr="008362BE">
        <w:rPr>
          <w:rFonts w:ascii="Times New Roman" w:hAnsi="Times New Roman" w:cs="Times New Roman"/>
          <w:sz w:val="20"/>
          <w:szCs w:val="20"/>
        </w:rPr>
        <w:t xml:space="preserve">Nine (9) soil parameters were investigated </w:t>
      </w:r>
      <w:proofErr w:type="spellStart"/>
      <w:r w:rsidRPr="008362BE">
        <w:rPr>
          <w:rFonts w:ascii="Times New Roman" w:hAnsi="Times New Roman" w:cs="Times New Roman"/>
          <w:sz w:val="20"/>
          <w:szCs w:val="20"/>
        </w:rPr>
        <w:t>viz</w:t>
      </w:r>
      <w:proofErr w:type="spellEnd"/>
      <w:r w:rsidRPr="008362BE">
        <w:rPr>
          <w:rFonts w:ascii="Times New Roman" w:hAnsi="Times New Roman" w:cs="Times New Roman"/>
          <w:sz w:val="20"/>
          <w:szCs w:val="20"/>
        </w:rPr>
        <w:t xml:space="preserve">: TPH, Nitrate, Phosphate, </w:t>
      </w:r>
      <w:proofErr w:type="spellStart"/>
      <w:r w:rsidRPr="008362BE">
        <w:rPr>
          <w:rFonts w:ascii="Times New Roman" w:hAnsi="Times New Roman" w:cs="Times New Roman"/>
          <w:sz w:val="20"/>
          <w:szCs w:val="20"/>
        </w:rPr>
        <w:t>Sulphate</w:t>
      </w:r>
      <w:proofErr w:type="spellEnd"/>
      <w:r w:rsidRPr="008362BE">
        <w:rPr>
          <w:rFonts w:ascii="Times New Roman" w:hAnsi="Times New Roman" w:cs="Times New Roman"/>
          <w:sz w:val="20"/>
          <w:szCs w:val="20"/>
        </w:rPr>
        <w:t xml:space="preserve">, pH, Textural </w:t>
      </w:r>
      <w:r w:rsidRPr="008362BE">
        <w:rPr>
          <w:rFonts w:ascii="Times New Roman" w:hAnsi="Times New Roman" w:cs="Times New Roman"/>
          <w:sz w:val="20"/>
          <w:szCs w:val="20"/>
        </w:rPr>
        <w:lastRenderedPageBreak/>
        <w:t>class, Moisture content, Total Nitrogen and Total Organic Carbon. Soil samples were collected from four sampling locations, SP1 (100m from point of emission), SP2 (300m), and SP3 (600m) in the prevailing wind direction while a control  sample 5km in the opposite wind direction were utilized for the study. Soil samples were collected at these different locations at the depth of (0-30cm) and transferred into an aluminum foil paper bag, labeled for each location and taken to the laboratory for analysis.</w:t>
      </w:r>
    </w:p>
    <w:p w:rsidR="008362BE" w:rsidRPr="008362BE" w:rsidRDefault="008362BE" w:rsidP="008362BE">
      <w:pPr>
        <w:spacing w:after="0" w:line="240" w:lineRule="auto"/>
        <w:ind w:firstLine="720"/>
        <w:jc w:val="both"/>
        <w:rPr>
          <w:rFonts w:ascii="Times New Roman" w:hAnsi="Times New Roman" w:cs="Times New Roman"/>
          <w:sz w:val="20"/>
          <w:szCs w:val="20"/>
        </w:rPr>
      </w:pPr>
    </w:p>
    <w:p w:rsidR="004E67B9" w:rsidRPr="008362BE" w:rsidRDefault="00FC0FA6" w:rsidP="008362BE">
      <w:pPr>
        <w:spacing w:after="0" w:line="240" w:lineRule="auto"/>
        <w:jc w:val="both"/>
        <w:rPr>
          <w:b/>
          <w:bCs/>
          <w:sz w:val="20"/>
          <w:szCs w:val="20"/>
        </w:rPr>
      </w:pPr>
      <w:r w:rsidRPr="008362BE">
        <w:rPr>
          <w:noProof/>
          <w:sz w:val="20"/>
          <w:szCs w:val="20"/>
          <w:lang w:eastAsia="zh-CN"/>
        </w:rPr>
        <w:drawing>
          <wp:inline distT="0" distB="0" distL="0" distR="0">
            <wp:extent cx="2877906" cy="190322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80973" cy="1905256"/>
                    </a:xfrm>
                    <a:prstGeom prst="rect">
                      <a:avLst/>
                    </a:prstGeom>
                    <a:noFill/>
                    <a:ln w="9525">
                      <a:noFill/>
                      <a:miter lim="800000"/>
                      <a:headEnd/>
                      <a:tailEnd/>
                    </a:ln>
                  </pic:spPr>
                </pic:pic>
              </a:graphicData>
            </a:graphic>
          </wp:inline>
        </w:drawing>
      </w: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 xml:space="preserve">Fig 1: A photographic plate of the vertical view of the plume at </w:t>
      </w:r>
      <w:proofErr w:type="spellStart"/>
      <w:r w:rsidRPr="008362BE">
        <w:rPr>
          <w:rFonts w:ascii="Times New Roman" w:hAnsi="Times New Roman" w:cs="Times New Roman"/>
          <w:b/>
          <w:bCs/>
          <w:sz w:val="20"/>
          <w:szCs w:val="20"/>
        </w:rPr>
        <w:t>Obinze</w:t>
      </w:r>
      <w:proofErr w:type="spellEnd"/>
      <w:r w:rsidRPr="008362BE">
        <w:rPr>
          <w:rFonts w:ascii="Times New Roman" w:hAnsi="Times New Roman" w:cs="Times New Roman"/>
          <w:b/>
          <w:bCs/>
          <w:sz w:val="20"/>
          <w:szCs w:val="20"/>
        </w:rPr>
        <w:t xml:space="preserve">, </w:t>
      </w:r>
      <w:proofErr w:type="spellStart"/>
      <w:r w:rsidRPr="008362BE">
        <w:rPr>
          <w:rFonts w:ascii="Times New Roman" w:hAnsi="Times New Roman" w:cs="Times New Roman"/>
          <w:b/>
          <w:bCs/>
          <w:sz w:val="20"/>
          <w:szCs w:val="20"/>
        </w:rPr>
        <w:t>Owerri</w:t>
      </w:r>
      <w:proofErr w:type="spellEnd"/>
      <w:r w:rsidRPr="008362BE">
        <w:rPr>
          <w:rFonts w:ascii="Times New Roman" w:hAnsi="Times New Roman" w:cs="Times New Roman"/>
          <w:b/>
          <w:bCs/>
          <w:sz w:val="20"/>
          <w:szCs w:val="20"/>
        </w:rPr>
        <w:t xml:space="preserve"> </w:t>
      </w:r>
    </w:p>
    <w:p w:rsidR="004E67B9" w:rsidRPr="008362BE" w:rsidRDefault="004E67B9" w:rsidP="008362BE">
      <w:pPr>
        <w:spacing w:after="0" w:line="240" w:lineRule="auto"/>
        <w:jc w:val="both"/>
        <w:rPr>
          <w:rFonts w:ascii="Times New Roman" w:hAnsi="Times New Roman" w:cs="Times New Roman"/>
          <w:b/>
          <w:bCs/>
          <w:sz w:val="20"/>
          <w:szCs w:val="20"/>
        </w:r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Analytical Procedure</w:t>
      </w:r>
    </w:p>
    <w:p w:rsidR="004E67B9" w:rsidRPr="008362BE" w:rsidRDefault="004E67B9" w:rsidP="008362BE">
      <w:pPr>
        <w:spacing w:after="0" w:line="240" w:lineRule="auto"/>
        <w:ind w:firstLine="720"/>
        <w:jc w:val="both"/>
        <w:rPr>
          <w:rFonts w:ascii="Times New Roman" w:hAnsi="Times New Roman" w:cs="Times New Roman"/>
          <w:sz w:val="20"/>
          <w:szCs w:val="20"/>
        </w:rPr>
      </w:pPr>
      <w:r w:rsidRPr="008362BE">
        <w:rPr>
          <w:rFonts w:ascii="Times New Roman" w:hAnsi="Times New Roman" w:cs="Times New Roman"/>
          <w:sz w:val="20"/>
          <w:szCs w:val="20"/>
        </w:rPr>
        <w:t xml:space="preserve">For TPH, the content was obtained by shaking 10g of a representative fresh sample with 20ml of toluene and oil extracted determined by absorbance at 420nm wavelength in a </w:t>
      </w:r>
      <w:proofErr w:type="spellStart"/>
      <w:r w:rsidRPr="008362BE">
        <w:rPr>
          <w:rFonts w:ascii="Times New Roman" w:hAnsi="Times New Roman" w:cs="Times New Roman"/>
          <w:sz w:val="20"/>
          <w:szCs w:val="20"/>
        </w:rPr>
        <w:t>spectronic</w:t>
      </w:r>
      <w:proofErr w:type="spellEnd"/>
      <w:r w:rsidRPr="008362BE">
        <w:rPr>
          <w:rFonts w:ascii="Times New Roman" w:hAnsi="Times New Roman" w:cs="Times New Roman"/>
          <w:sz w:val="20"/>
          <w:szCs w:val="20"/>
        </w:rPr>
        <w:t xml:space="preserve"> 21-D spectrophotometer</w:t>
      </w:r>
    </w:p>
    <w:p w:rsidR="004E67B9" w:rsidRPr="008362BE" w:rsidRDefault="004E67B9" w:rsidP="008362BE">
      <w:pPr>
        <w:spacing w:after="0" w:line="240" w:lineRule="auto"/>
        <w:ind w:firstLine="720"/>
        <w:jc w:val="both"/>
        <w:rPr>
          <w:rFonts w:ascii="Times New Roman" w:hAnsi="Times New Roman" w:cs="Times New Roman"/>
          <w:sz w:val="20"/>
          <w:szCs w:val="20"/>
        </w:rPr>
      </w:pPr>
      <w:r w:rsidRPr="008362BE">
        <w:rPr>
          <w:rFonts w:ascii="Times New Roman" w:hAnsi="Times New Roman" w:cs="Times New Roman"/>
          <w:sz w:val="20"/>
          <w:szCs w:val="20"/>
        </w:rPr>
        <w:t>Soil moisture content was determined by using an oven dry method in which samples were dried to constant    weight (</w:t>
      </w:r>
      <w:proofErr w:type="spellStart"/>
      <w:r w:rsidRPr="008362BE">
        <w:rPr>
          <w:rFonts w:ascii="Times New Roman" w:hAnsi="Times New Roman" w:cs="Times New Roman"/>
          <w:sz w:val="20"/>
          <w:szCs w:val="20"/>
        </w:rPr>
        <w:t>Ahuja</w:t>
      </w:r>
      <w:proofErr w:type="spellEnd"/>
      <w:r w:rsidRPr="008362BE">
        <w:rPr>
          <w:rFonts w:ascii="Times New Roman" w:hAnsi="Times New Roman" w:cs="Times New Roman"/>
          <w:sz w:val="20"/>
          <w:szCs w:val="20"/>
        </w:rPr>
        <w:t xml:space="preserve"> et al, 1976) and the difference in mass of wet and dry samples recorded and expressed in percentage      </w:t>
      </w:r>
    </w:p>
    <w:p w:rsidR="004E67B9" w:rsidRDefault="00776F23" w:rsidP="008362BE">
      <w:pPr>
        <w:spacing w:after="0" w:line="240" w:lineRule="auto"/>
        <w:ind w:firstLine="180"/>
        <w:jc w:val="both"/>
        <w:rPr>
          <w:rFonts w:ascii="Times New Roman" w:hAnsi="Times New Roman" w:cs="Times New Roman"/>
          <w:sz w:val="20"/>
          <w:szCs w:val="20"/>
        </w:rPr>
      </w:pPr>
      <w:r w:rsidRPr="008362BE">
        <w:rPr>
          <w:rFonts w:ascii="Times New Roman" w:hAnsi="Times New Roman" w:cs="Times New Roman"/>
          <w:sz w:val="20"/>
          <w:szCs w:val="20"/>
        </w:rPr>
        <w:fldChar w:fldCharType="begin"/>
      </w:r>
      <w:r w:rsidR="004E67B9" w:rsidRPr="008362BE">
        <w:rPr>
          <w:rFonts w:ascii="Times New Roman" w:hAnsi="Times New Roman" w:cs="Times New Roman"/>
          <w:sz w:val="20"/>
          <w:szCs w:val="20"/>
        </w:rPr>
        <w:instrText xml:space="preserve"> QUOTE </w:instrText>
      </w:r>
      <w:r w:rsidR="00FC0FA6" w:rsidRPr="008362BE">
        <w:rPr>
          <w:rFonts w:ascii="Times New Roman" w:hAnsi="Times New Roman" w:cs="Times New Roman"/>
          <w:noProof/>
          <w:sz w:val="20"/>
          <w:szCs w:val="20"/>
          <w:lang w:eastAsia="zh-CN"/>
        </w:rPr>
        <w:drawing>
          <wp:inline distT="0" distB="0" distL="0" distR="0">
            <wp:extent cx="1882140" cy="4464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882140" cy="446405"/>
                    </a:xfrm>
                    <a:prstGeom prst="rect">
                      <a:avLst/>
                    </a:prstGeom>
                    <a:noFill/>
                    <a:ln w="9525">
                      <a:noFill/>
                      <a:miter lim="800000"/>
                      <a:headEnd/>
                      <a:tailEnd/>
                    </a:ln>
                  </pic:spPr>
                </pic:pic>
              </a:graphicData>
            </a:graphic>
          </wp:inline>
        </w:drawing>
      </w:r>
      <w:r w:rsidR="004E67B9" w:rsidRPr="008362BE">
        <w:rPr>
          <w:rFonts w:ascii="Times New Roman" w:hAnsi="Times New Roman" w:cs="Times New Roman"/>
          <w:sz w:val="20"/>
          <w:szCs w:val="20"/>
        </w:rPr>
        <w:instrText xml:space="preserve"> </w:instrText>
      </w:r>
      <w:r w:rsidRPr="008362BE">
        <w:rPr>
          <w:rFonts w:ascii="Times New Roman" w:hAnsi="Times New Roman" w:cs="Times New Roman"/>
          <w:sz w:val="20"/>
          <w:szCs w:val="20"/>
        </w:rPr>
        <w:fldChar w:fldCharType="separate"/>
      </w:r>
      <w:r w:rsidR="00FC0FA6" w:rsidRPr="008362BE">
        <w:rPr>
          <w:rFonts w:ascii="Times New Roman" w:hAnsi="Times New Roman" w:cs="Times New Roman"/>
          <w:noProof/>
          <w:sz w:val="20"/>
          <w:szCs w:val="20"/>
          <w:lang w:eastAsia="zh-CN"/>
        </w:rPr>
        <w:drawing>
          <wp:inline distT="0" distB="0" distL="0" distR="0">
            <wp:extent cx="1892300" cy="4464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892300" cy="446405"/>
                    </a:xfrm>
                    <a:prstGeom prst="rect">
                      <a:avLst/>
                    </a:prstGeom>
                    <a:noFill/>
                    <a:ln w="9525">
                      <a:noFill/>
                      <a:miter lim="800000"/>
                      <a:headEnd/>
                      <a:tailEnd/>
                    </a:ln>
                  </pic:spPr>
                </pic:pic>
              </a:graphicData>
            </a:graphic>
          </wp:inline>
        </w:drawing>
      </w:r>
      <w:r w:rsidRPr="008362BE">
        <w:rPr>
          <w:rFonts w:ascii="Times New Roman" w:hAnsi="Times New Roman" w:cs="Times New Roman"/>
          <w:sz w:val="20"/>
          <w:szCs w:val="20"/>
        </w:rPr>
        <w:fldChar w:fldCharType="end"/>
      </w:r>
    </w:p>
    <w:p w:rsidR="008362BE" w:rsidRPr="008362BE" w:rsidRDefault="008362BE" w:rsidP="008362BE">
      <w:pPr>
        <w:spacing w:after="0" w:line="240" w:lineRule="auto"/>
        <w:ind w:firstLine="180"/>
        <w:jc w:val="both"/>
        <w:rPr>
          <w:rFonts w:ascii="Times New Roman" w:hAnsi="Times New Roman" w:cs="Times New Roman"/>
          <w:sz w:val="20"/>
          <w:szCs w:val="20"/>
        </w:rPr>
      </w:pPr>
    </w:p>
    <w:p w:rsidR="004E67B9" w:rsidRPr="008362BE" w:rsidRDefault="004E67B9" w:rsidP="008362BE">
      <w:pPr>
        <w:spacing w:after="0" w:line="240" w:lineRule="auto"/>
        <w:ind w:firstLine="720"/>
        <w:jc w:val="both"/>
        <w:rPr>
          <w:rFonts w:ascii="Times New Roman" w:hAnsi="Times New Roman" w:cs="Times New Roman"/>
          <w:sz w:val="20"/>
          <w:szCs w:val="20"/>
        </w:rPr>
      </w:pPr>
      <w:r w:rsidRPr="008362BE">
        <w:rPr>
          <w:rFonts w:ascii="Times New Roman" w:hAnsi="Times New Roman" w:cs="Times New Roman"/>
          <w:sz w:val="20"/>
          <w:szCs w:val="20"/>
        </w:rPr>
        <w:t>For pH, the method of Jackson (1964) was adopted. Air-dried sample was passed through a 2mm sieve and afterwards, 20g of it was placed in a 50ml beaker. 40ml of distilled water was added to it and the mixture was stirred with glass rod and allowed to stand for 30mins. The pH value was read off with a coming pH meter (model 7).</w:t>
      </w:r>
    </w:p>
    <w:p w:rsidR="008362BE" w:rsidRDefault="008362BE" w:rsidP="008362BE">
      <w:pPr>
        <w:spacing w:after="0" w:line="240" w:lineRule="auto"/>
        <w:jc w:val="both"/>
        <w:rPr>
          <w:rFonts w:ascii="Times New Roman" w:hAnsi="Times New Roman" w:cs="Times New Roman"/>
          <w:b/>
          <w:bCs/>
          <w:sz w:val="20"/>
          <w:szCs w:val="20"/>
        </w:r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Statistical Analysis</w:t>
      </w:r>
    </w:p>
    <w:p w:rsidR="004E67B9" w:rsidRDefault="004E67B9" w:rsidP="008362BE">
      <w:pPr>
        <w:spacing w:after="0" w:line="240" w:lineRule="auto"/>
        <w:ind w:firstLine="720"/>
        <w:jc w:val="both"/>
        <w:rPr>
          <w:rFonts w:ascii="Times New Roman" w:hAnsi="Times New Roman" w:cs="Times New Roman"/>
          <w:sz w:val="20"/>
          <w:szCs w:val="20"/>
        </w:rPr>
      </w:pPr>
      <w:r w:rsidRPr="008362BE">
        <w:rPr>
          <w:rFonts w:ascii="Times New Roman" w:hAnsi="Times New Roman" w:cs="Times New Roman"/>
          <w:sz w:val="20"/>
          <w:szCs w:val="20"/>
        </w:rPr>
        <w:t>Descriptive statistics and graphical illustrations as provided by SPSS© 17.0 and MS Excel© 2007 were utilized in the analysis of data.</w:t>
      </w:r>
    </w:p>
    <w:p w:rsidR="008362BE" w:rsidRPr="008362BE" w:rsidRDefault="008362BE" w:rsidP="008362BE">
      <w:pPr>
        <w:spacing w:after="0" w:line="240" w:lineRule="auto"/>
        <w:ind w:firstLine="720"/>
        <w:jc w:val="both"/>
        <w:rPr>
          <w:rFonts w:ascii="Times New Roman" w:hAnsi="Times New Roman" w:cs="Times New Roman"/>
          <w:sz w:val="20"/>
          <w:szCs w:val="20"/>
        </w:r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lastRenderedPageBreak/>
        <w:t>Result</w:t>
      </w:r>
    </w:p>
    <w:p w:rsidR="004E67B9" w:rsidRPr="008362BE" w:rsidRDefault="004E67B9" w:rsidP="008362BE">
      <w:pPr>
        <w:spacing w:after="0" w:line="240" w:lineRule="auto"/>
        <w:ind w:firstLine="720"/>
        <w:jc w:val="both"/>
        <w:rPr>
          <w:rFonts w:ascii="Times New Roman" w:hAnsi="Times New Roman" w:cs="Times New Roman"/>
          <w:sz w:val="20"/>
          <w:szCs w:val="20"/>
        </w:rPr>
      </w:pPr>
      <w:r w:rsidRPr="008362BE">
        <w:rPr>
          <w:rFonts w:ascii="Times New Roman" w:hAnsi="Times New Roman" w:cs="Times New Roman"/>
          <w:sz w:val="20"/>
          <w:szCs w:val="20"/>
        </w:rPr>
        <w:t xml:space="preserve">Nine (9) parameters: Total Petroleum Hydrocarbon (TPH),Nitrate, Phosphate, </w:t>
      </w:r>
      <w:proofErr w:type="spellStart"/>
      <w:r w:rsidRPr="008362BE">
        <w:rPr>
          <w:rFonts w:ascii="Times New Roman" w:hAnsi="Times New Roman" w:cs="Times New Roman"/>
          <w:sz w:val="20"/>
          <w:szCs w:val="20"/>
        </w:rPr>
        <w:t>Sulphate</w:t>
      </w:r>
      <w:proofErr w:type="spellEnd"/>
      <w:r w:rsidRPr="008362BE">
        <w:rPr>
          <w:rFonts w:ascii="Times New Roman" w:hAnsi="Times New Roman" w:cs="Times New Roman"/>
          <w:sz w:val="20"/>
          <w:szCs w:val="20"/>
        </w:rPr>
        <w:t xml:space="preserve">, pH, Textural class (sand, clay and loam), moisture content, Total Nitrogen and Total organic Carbon (TOC)  for soil were analyzed. These parameters showed moderate to high variations in concentration: TPH, Nitrate, Phosphate and </w:t>
      </w:r>
      <w:proofErr w:type="spellStart"/>
      <w:r w:rsidRPr="008362BE">
        <w:rPr>
          <w:rFonts w:ascii="Times New Roman" w:hAnsi="Times New Roman" w:cs="Times New Roman"/>
          <w:sz w:val="20"/>
          <w:szCs w:val="20"/>
        </w:rPr>
        <w:t>Sulphate</w:t>
      </w:r>
      <w:proofErr w:type="spellEnd"/>
      <w:r w:rsidRPr="008362BE">
        <w:rPr>
          <w:rFonts w:ascii="Times New Roman" w:hAnsi="Times New Roman" w:cs="Times New Roman"/>
          <w:sz w:val="20"/>
          <w:szCs w:val="20"/>
        </w:rPr>
        <w:t xml:space="preserve"> varied between 34.18 – 356.79(130.41±75.84), 28.90 – 31.00 </w:t>
      </w:r>
      <w:r w:rsidRPr="008362BE">
        <w:rPr>
          <w:rFonts w:ascii="Times New Roman" w:hAnsi="Times New Roman" w:cs="Times New Roman"/>
          <w:sz w:val="20"/>
          <w:szCs w:val="20"/>
        </w:rPr>
        <w:lastRenderedPageBreak/>
        <w:t>(30.05±0.51), 8.65 – 10.80(10.02±0.51) and 58.20 – 66.50(61.58±1.76)</w:t>
      </w:r>
      <w:proofErr w:type="spellStart"/>
      <w:r w:rsidRPr="008362BE">
        <w:rPr>
          <w:rFonts w:ascii="Times New Roman" w:hAnsi="Times New Roman" w:cs="Times New Roman"/>
          <w:sz w:val="20"/>
          <w:szCs w:val="20"/>
        </w:rPr>
        <w:t>ppm</w:t>
      </w:r>
      <w:proofErr w:type="spellEnd"/>
      <w:r w:rsidRPr="008362BE">
        <w:rPr>
          <w:rFonts w:ascii="Times New Roman" w:hAnsi="Times New Roman" w:cs="Times New Roman"/>
          <w:sz w:val="20"/>
          <w:szCs w:val="20"/>
        </w:rPr>
        <w:t xml:space="preserve">  respectively. While pH, Sand, Clay, Loam, Moisture Content, Total Nitrogen and Total Organic Carbon varied between 5.00 – 5.60(5.33 – 0.13),65.00 – 72.00(69.25±1.49), 18.00 – 30.00(22.50±2.63),5.00 – 10.00(8.25±1.18),2.00 – 3.00(2.50±0.29),0.14 – 0.16(0.15±0.01) and 1.30 – 1.80(1.50±0.11) </w:t>
      </w:r>
      <w:proofErr w:type="spellStart"/>
      <w:r w:rsidRPr="008362BE">
        <w:rPr>
          <w:rFonts w:ascii="Times New Roman" w:hAnsi="Times New Roman" w:cs="Times New Roman"/>
          <w:sz w:val="20"/>
          <w:szCs w:val="20"/>
        </w:rPr>
        <w:t>ppm</w:t>
      </w:r>
      <w:proofErr w:type="spellEnd"/>
      <w:r w:rsidRPr="008362BE">
        <w:rPr>
          <w:rFonts w:ascii="Times New Roman" w:hAnsi="Times New Roman" w:cs="Times New Roman"/>
          <w:sz w:val="20"/>
          <w:szCs w:val="20"/>
        </w:rPr>
        <w:t xml:space="preserve">  </w:t>
      </w:r>
    </w:p>
    <w:p w:rsidR="004E67B9" w:rsidRPr="008362BE" w:rsidRDefault="004E67B9" w:rsidP="008362BE">
      <w:pPr>
        <w:spacing w:after="0" w:line="240" w:lineRule="auto"/>
        <w:jc w:val="both"/>
        <w:rPr>
          <w:b/>
          <w:bCs/>
          <w:sz w:val="20"/>
          <w:szCs w:val="20"/>
        </w:rPr>
        <w:sectPr w:rsidR="004E67B9" w:rsidRPr="008362BE" w:rsidSect="00CB1A63">
          <w:type w:val="continuous"/>
          <w:pgSz w:w="12240" w:h="15840"/>
          <w:pgMar w:top="1440" w:right="1440" w:bottom="1440" w:left="1440" w:header="720" w:footer="720" w:gutter="0"/>
          <w:cols w:num="2" w:space="720"/>
          <w:docGrid w:linePitch="360"/>
        </w:sectPr>
      </w:pPr>
    </w:p>
    <w:p w:rsidR="008362BE" w:rsidRDefault="008362BE" w:rsidP="008362BE">
      <w:pPr>
        <w:spacing w:after="0" w:line="240" w:lineRule="auto"/>
        <w:jc w:val="both"/>
        <w:rPr>
          <w:b/>
          <w:bCs/>
          <w:sz w:val="20"/>
          <w:szCs w:val="20"/>
        </w:rPr>
      </w:pPr>
    </w:p>
    <w:p w:rsidR="004E67B9" w:rsidRPr="008362BE" w:rsidRDefault="004E67B9" w:rsidP="008362BE">
      <w:pPr>
        <w:spacing w:after="0" w:line="240" w:lineRule="auto"/>
        <w:jc w:val="both"/>
        <w:rPr>
          <w:b/>
          <w:bCs/>
          <w:sz w:val="20"/>
          <w:szCs w:val="20"/>
        </w:rPr>
      </w:pPr>
      <w:r w:rsidRPr="008362BE">
        <w:rPr>
          <w:b/>
          <w:bCs/>
          <w:sz w:val="20"/>
          <w:szCs w:val="20"/>
        </w:rPr>
        <w:t>Table 1.1   Descriptive Statistics for Soil</w:t>
      </w:r>
    </w:p>
    <w:tbl>
      <w:tblPr>
        <w:tblW w:w="0" w:type="auto"/>
        <w:tblInd w:w="-106" w:type="dxa"/>
        <w:tblLook w:val="00A0"/>
      </w:tblPr>
      <w:tblGrid>
        <w:gridCol w:w="1644"/>
        <w:gridCol w:w="1596"/>
        <w:gridCol w:w="1596"/>
        <w:gridCol w:w="1596"/>
        <w:gridCol w:w="1596"/>
        <w:gridCol w:w="1596"/>
      </w:tblGrid>
      <w:tr w:rsidR="004E67B9" w:rsidRPr="008362BE" w:rsidTr="00DB12B1">
        <w:tc>
          <w:tcPr>
            <w:tcW w:w="1596" w:type="dxa"/>
            <w:tcBorders>
              <w:top w:val="single" w:sz="4" w:space="0" w:color="auto"/>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QUALITY</w:t>
            </w:r>
          </w:p>
          <w:p w:rsidR="004E67B9" w:rsidRPr="008362BE" w:rsidRDefault="004E67B9" w:rsidP="008362BE">
            <w:pPr>
              <w:spacing w:after="0" w:line="240" w:lineRule="auto"/>
              <w:jc w:val="both"/>
              <w:rPr>
                <w:b/>
                <w:bCs/>
                <w:sz w:val="20"/>
                <w:szCs w:val="20"/>
              </w:rPr>
            </w:pPr>
            <w:r w:rsidRPr="008362BE">
              <w:rPr>
                <w:b/>
                <w:bCs/>
                <w:sz w:val="20"/>
                <w:szCs w:val="20"/>
              </w:rPr>
              <w:t>PARAMETERS</w:t>
            </w:r>
          </w:p>
        </w:tc>
        <w:tc>
          <w:tcPr>
            <w:tcW w:w="1596" w:type="dxa"/>
            <w:tcBorders>
              <w:top w:val="single" w:sz="4" w:space="0" w:color="auto"/>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MINIMUM</w:t>
            </w:r>
          </w:p>
        </w:tc>
        <w:tc>
          <w:tcPr>
            <w:tcW w:w="1596" w:type="dxa"/>
            <w:tcBorders>
              <w:top w:val="single" w:sz="4" w:space="0" w:color="auto"/>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MAXIMUM</w:t>
            </w:r>
          </w:p>
        </w:tc>
        <w:tc>
          <w:tcPr>
            <w:tcW w:w="1596" w:type="dxa"/>
            <w:tcBorders>
              <w:top w:val="single" w:sz="4" w:space="0" w:color="auto"/>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RANGE</w:t>
            </w:r>
          </w:p>
        </w:tc>
        <w:tc>
          <w:tcPr>
            <w:tcW w:w="1596" w:type="dxa"/>
            <w:tcBorders>
              <w:top w:val="single" w:sz="4" w:space="0" w:color="auto"/>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MEAN</w:t>
            </w:r>
          </w:p>
        </w:tc>
        <w:tc>
          <w:tcPr>
            <w:tcW w:w="1596" w:type="dxa"/>
            <w:tcBorders>
              <w:top w:val="single" w:sz="4" w:space="0" w:color="auto"/>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STANDARD ERROR</w:t>
            </w:r>
          </w:p>
        </w:tc>
      </w:tr>
      <w:tr w:rsidR="004E67B9" w:rsidRPr="008362BE" w:rsidTr="00DB12B1">
        <w:tc>
          <w:tcPr>
            <w:tcW w:w="1596" w:type="dxa"/>
            <w:tcBorders>
              <w:top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TPH</w:t>
            </w:r>
          </w:p>
        </w:tc>
        <w:tc>
          <w:tcPr>
            <w:tcW w:w="1596" w:type="dxa"/>
            <w:tcBorders>
              <w:top w:val="single" w:sz="4" w:space="0" w:color="auto"/>
            </w:tcBorders>
          </w:tcPr>
          <w:p w:rsidR="004E67B9" w:rsidRPr="008362BE" w:rsidRDefault="004E67B9" w:rsidP="008362BE">
            <w:pPr>
              <w:spacing w:after="0" w:line="240" w:lineRule="auto"/>
              <w:jc w:val="both"/>
              <w:rPr>
                <w:sz w:val="20"/>
                <w:szCs w:val="20"/>
              </w:rPr>
            </w:pPr>
            <w:r w:rsidRPr="008362BE">
              <w:rPr>
                <w:sz w:val="20"/>
                <w:szCs w:val="20"/>
              </w:rPr>
              <w:t>34.18</w:t>
            </w:r>
          </w:p>
        </w:tc>
        <w:tc>
          <w:tcPr>
            <w:tcW w:w="1596" w:type="dxa"/>
            <w:tcBorders>
              <w:top w:val="single" w:sz="4" w:space="0" w:color="auto"/>
            </w:tcBorders>
          </w:tcPr>
          <w:p w:rsidR="004E67B9" w:rsidRPr="008362BE" w:rsidRDefault="004E67B9" w:rsidP="008362BE">
            <w:pPr>
              <w:spacing w:after="0" w:line="240" w:lineRule="auto"/>
              <w:jc w:val="both"/>
              <w:rPr>
                <w:sz w:val="20"/>
                <w:szCs w:val="20"/>
              </w:rPr>
            </w:pPr>
            <w:r w:rsidRPr="008362BE">
              <w:rPr>
                <w:sz w:val="20"/>
                <w:szCs w:val="20"/>
              </w:rPr>
              <w:t>356.79</w:t>
            </w:r>
          </w:p>
        </w:tc>
        <w:tc>
          <w:tcPr>
            <w:tcW w:w="1596" w:type="dxa"/>
            <w:tcBorders>
              <w:top w:val="single" w:sz="4" w:space="0" w:color="auto"/>
            </w:tcBorders>
          </w:tcPr>
          <w:p w:rsidR="004E67B9" w:rsidRPr="008362BE" w:rsidRDefault="004E67B9" w:rsidP="008362BE">
            <w:pPr>
              <w:spacing w:after="0" w:line="240" w:lineRule="auto"/>
              <w:jc w:val="both"/>
              <w:rPr>
                <w:sz w:val="20"/>
                <w:szCs w:val="20"/>
              </w:rPr>
            </w:pPr>
            <w:r w:rsidRPr="008362BE">
              <w:rPr>
                <w:sz w:val="20"/>
                <w:szCs w:val="20"/>
              </w:rPr>
              <w:t>322.61</w:t>
            </w:r>
          </w:p>
        </w:tc>
        <w:tc>
          <w:tcPr>
            <w:tcW w:w="1596" w:type="dxa"/>
            <w:tcBorders>
              <w:top w:val="single" w:sz="4" w:space="0" w:color="auto"/>
            </w:tcBorders>
          </w:tcPr>
          <w:p w:rsidR="004E67B9" w:rsidRPr="008362BE" w:rsidRDefault="004E67B9" w:rsidP="008362BE">
            <w:pPr>
              <w:spacing w:after="0" w:line="240" w:lineRule="auto"/>
              <w:jc w:val="both"/>
              <w:rPr>
                <w:sz w:val="20"/>
                <w:szCs w:val="20"/>
              </w:rPr>
            </w:pPr>
            <w:r w:rsidRPr="008362BE">
              <w:rPr>
                <w:sz w:val="20"/>
                <w:szCs w:val="20"/>
              </w:rPr>
              <w:t>130.4100</w:t>
            </w:r>
          </w:p>
        </w:tc>
        <w:tc>
          <w:tcPr>
            <w:tcW w:w="1596" w:type="dxa"/>
            <w:tcBorders>
              <w:top w:val="single" w:sz="4" w:space="0" w:color="auto"/>
            </w:tcBorders>
          </w:tcPr>
          <w:p w:rsidR="004E67B9" w:rsidRPr="008362BE" w:rsidRDefault="004E67B9" w:rsidP="008362BE">
            <w:pPr>
              <w:spacing w:after="0" w:line="240" w:lineRule="auto"/>
              <w:jc w:val="both"/>
              <w:rPr>
                <w:sz w:val="20"/>
                <w:szCs w:val="20"/>
              </w:rPr>
            </w:pPr>
            <w:r w:rsidRPr="008362BE">
              <w:rPr>
                <w:sz w:val="20"/>
                <w:szCs w:val="20"/>
              </w:rPr>
              <w:t>75.83740</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NITRATE</w:t>
            </w:r>
          </w:p>
        </w:tc>
        <w:tc>
          <w:tcPr>
            <w:tcW w:w="1596" w:type="dxa"/>
          </w:tcPr>
          <w:p w:rsidR="004E67B9" w:rsidRPr="008362BE" w:rsidRDefault="004E67B9" w:rsidP="008362BE">
            <w:pPr>
              <w:spacing w:after="0" w:line="240" w:lineRule="auto"/>
              <w:jc w:val="both"/>
              <w:rPr>
                <w:sz w:val="20"/>
                <w:szCs w:val="20"/>
              </w:rPr>
            </w:pPr>
            <w:r w:rsidRPr="008362BE">
              <w:rPr>
                <w:sz w:val="20"/>
                <w:szCs w:val="20"/>
              </w:rPr>
              <w:t>28.90</w:t>
            </w:r>
          </w:p>
        </w:tc>
        <w:tc>
          <w:tcPr>
            <w:tcW w:w="1596" w:type="dxa"/>
          </w:tcPr>
          <w:p w:rsidR="004E67B9" w:rsidRPr="008362BE" w:rsidRDefault="004E67B9" w:rsidP="008362BE">
            <w:pPr>
              <w:spacing w:after="0" w:line="240" w:lineRule="auto"/>
              <w:jc w:val="both"/>
              <w:rPr>
                <w:sz w:val="20"/>
                <w:szCs w:val="20"/>
              </w:rPr>
            </w:pPr>
            <w:r w:rsidRPr="008362BE">
              <w:rPr>
                <w:sz w:val="20"/>
                <w:szCs w:val="20"/>
              </w:rPr>
              <w:t>31.00</w:t>
            </w:r>
          </w:p>
        </w:tc>
        <w:tc>
          <w:tcPr>
            <w:tcW w:w="1596" w:type="dxa"/>
          </w:tcPr>
          <w:p w:rsidR="004E67B9" w:rsidRPr="008362BE" w:rsidRDefault="004E67B9" w:rsidP="008362BE">
            <w:pPr>
              <w:spacing w:after="0" w:line="240" w:lineRule="auto"/>
              <w:jc w:val="both"/>
              <w:rPr>
                <w:sz w:val="20"/>
                <w:szCs w:val="20"/>
              </w:rPr>
            </w:pPr>
            <w:r w:rsidRPr="008362BE">
              <w:rPr>
                <w:sz w:val="20"/>
                <w:szCs w:val="20"/>
              </w:rPr>
              <w:t>2.10</w:t>
            </w:r>
          </w:p>
        </w:tc>
        <w:tc>
          <w:tcPr>
            <w:tcW w:w="1596" w:type="dxa"/>
          </w:tcPr>
          <w:p w:rsidR="004E67B9" w:rsidRPr="008362BE" w:rsidRDefault="004E67B9" w:rsidP="008362BE">
            <w:pPr>
              <w:spacing w:after="0" w:line="240" w:lineRule="auto"/>
              <w:jc w:val="both"/>
              <w:rPr>
                <w:sz w:val="20"/>
                <w:szCs w:val="20"/>
              </w:rPr>
            </w:pPr>
            <w:r w:rsidRPr="008362BE">
              <w:rPr>
                <w:sz w:val="20"/>
                <w:szCs w:val="20"/>
              </w:rPr>
              <w:t>30.0500</w:t>
            </w:r>
          </w:p>
        </w:tc>
        <w:tc>
          <w:tcPr>
            <w:tcW w:w="1596" w:type="dxa"/>
          </w:tcPr>
          <w:p w:rsidR="004E67B9" w:rsidRPr="008362BE" w:rsidRDefault="004E67B9" w:rsidP="008362BE">
            <w:pPr>
              <w:spacing w:after="0" w:line="240" w:lineRule="auto"/>
              <w:jc w:val="both"/>
              <w:rPr>
                <w:sz w:val="20"/>
                <w:szCs w:val="20"/>
              </w:rPr>
            </w:pPr>
            <w:r w:rsidRPr="008362BE">
              <w:rPr>
                <w:sz w:val="20"/>
                <w:szCs w:val="20"/>
              </w:rPr>
              <w:t>0.504744</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PHOSPHATE</w:t>
            </w:r>
          </w:p>
        </w:tc>
        <w:tc>
          <w:tcPr>
            <w:tcW w:w="1596" w:type="dxa"/>
          </w:tcPr>
          <w:p w:rsidR="004E67B9" w:rsidRPr="008362BE" w:rsidRDefault="004E67B9" w:rsidP="008362BE">
            <w:pPr>
              <w:spacing w:after="0" w:line="240" w:lineRule="auto"/>
              <w:jc w:val="both"/>
              <w:rPr>
                <w:sz w:val="20"/>
                <w:szCs w:val="20"/>
              </w:rPr>
            </w:pPr>
            <w:r w:rsidRPr="008362BE">
              <w:rPr>
                <w:sz w:val="20"/>
                <w:szCs w:val="20"/>
              </w:rPr>
              <w:t>8.65</w:t>
            </w:r>
          </w:p>
        </w:tc>
        <w:tc>
          <w:tcPr>
            <w:tcW w:w="1596" w:type="dxa"/>
          </w:tcPr>
          <w:p w:rsidR="004E67B9" w:rsidRPr="008362BE" w:rsidRDefault="004E67B9" w:rsidP="008362BE">
            <w:pPr>
              <w:spacing w:after="0" w:line="240" w:lineRule="auto"/>
              <w:jc w:val="both"/>
              <w:rPr>
                <w:sz w:val="20"/>
                <w:szCs w:val="20"/>
              </w:rPr>
            </w:pPr>
            <w:r w:rsidRPr="008362BE">
              <w:rPr>
                <w:sz w:val="20"/>
                <w:szCs w:val="20"/>
              </w:rPr>
              <w:t>10.80</w:t>
            </w:r>
          </w:p>
        </w:tc>
        <w:tc>
          <w:tcPr>
            <w:tcW w:w="1596" w:type="dxa"/>
          </w:tcPr>
          <w:p w:rsidR="004E67B9" w:rsidRPr="008362BE" w:rsidRDefault="004E67B9" w:rsidP="008362BE">
            <w:pPr>
              <w:spacing w:after="0" w:line="240" w:lineRule="auto"/>
              <w:jc w:val="both"/>
              <w:rPr>
                <w:sz w:val="20"/>
                <w:szCs w:val="20"/>
              </w:rPr>
            </w:pPr>
            <w:r w:rsidRPr="008362BE">
              <w:rPr>
                <w:sz w:val="20"/>
                <w:szCs w:val="20"/>
              </w:rPr>
              <w:t>2.15</w:t>
            </w:r>
          </w:p>
        </w:tc>
        <w:tc>
          <w:tcPr>
            <w:tcW w:w="1596" w:type="dxa"/>
          </w:tcPr>
          <w:p w:rsidR="004E67B9" w:rsidRPr="008362BE" w:rsidRDefault="004E67B9" w:rsidP="008362BE">
            <w:pPr>
              <w:spacing w:after="0" w:line="240" w:lineRule="auto"/>
              <w:jc w:val="both"/>
              <w:rPr>
                <w:sz w:val="20"/>
                <w:szCs w:val="20"/>
              </w:rPr>
            </w:pPr>
            <w:r w:rsidRPr="008362BE">
              <w:rPr>
                <w:sz w:val="20"/>
                <w:szCs w:val="20"/>
              </w:rPr>
              <w:t>10.0175</w:t>
            </w:r>
          </w:p>
        </w:tc>
        <w:tc>
          <w:tcPr>
            <w:tcW w:w="1596" w:type="dxa"/>
          </w:tcPr>
          <w:p w:rsidR="004E67B9" w:rsidRPr="008362BE" w:rsidRDefault="004E67B9" w:rsidP="008362BE">
            <w:pPr>
              <w:spacing w:after="0" w:line="240" w:lineRule="auto"/>
              <w:jc w:val="both"/>
              <w:rPr>
                <w:sz w:val="20"/>
                <w:szCs w:val="20"/>
              </w:rPr>
            </w:pPr>
            <w:r w:rsidRPr="008362BE">
              <w:rPr>
                <w:sz w:val="20"/>
                <w:szCs w:val="20"/>
              </w:rPr>
              <w:t>0.51102</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SULPHATE</w:t>
            </w:r>
          </w:p>
        </w:tc>
        <w:tc>
          <w:tcPr>
            <w:tcW w:w="1596" w:type="dxa"/>
          </w:tcPr>
          <w:p w:rsidR="004E67B9" w:rsidRPr="008362BE" w:rsidRDefault="004E67B9" w:rsidP="008362BE">
            <w:pPr>
              <w:spacing w:after="0" w:line="240" w:lineRule="auto"/>
              <w:jc w:val="both"/>
              <w:rPr>
                <w:sz w:val="20"/>
                <w:szCs w:val="20"/>
              </w:rPr>
            </w:pPr>
            <w:r w:rsidRPr="008362BE">
              <w:rPr>
                <w:sz w:val="20"/>
                <w:szCs w:val="20"/>
              </w:rPr>
              <w:t>58.20</w:t>
            </w:r>
          </w:p>
        </w:tc>
        <w:tc>
          <w:tcPr>
            <w:tcW w:w="1596" w:type="dxa"/>
          </w:tcPr>
          <w:p w:rsidR="004E67B9" w:rsidRPr="008362BE" w:rsidRDefault="004E67B9" w:rsidP="008362BE">
            <w:pPr>
              <w:spacing w:after="0" w:line="240" w:lineRule="auto"/>
              <w:jc w:val="both"/>
              <w:rPr>
                <w:sz w:val="20"/>
                <w:szCs w:val="20"/>
              </w:rPr>
            </w:pPr>
            <w:r w:rsidRPr="008362BE">
              <w:rPr>
                <w:sz w:val="20"/>
                <w:szCs w:val="20"/>
              </w:rPr>
              <w:t>66.50</w:t>
            </w:r>
          </w:p>
        </w:tc>
        <w:tc>
          <w:tcPr>
            <w:tcW w:w="1596" w:type="dxa"/>
          </w:tcPr>
          <w:p w:rsidR="004E67B9" w:rsidRPr="008362BE" w:rsidRDefault="004E67B9" w:rsidP="008362BE">
            <w:pPr>
              <w:spacing w:after="0" w:line="240" w:lineRule="auto"/>
              <w:jc w:val="both"/>
              <w:rPr>
                <w:sz w:val="20"/>
                <w:szCs w:val="20"/>
              </w:rPr>
            </w:pPr>
            <w:r w:rsidRPr="008362BE">
              <w:rPr>
                <w:sz w:val="20"/>
                <w:szCs w:val="20"/>
              </w:rPr>
              <w:t>8.30</w:t>
            </w:r>
          </w:p>
        </w:tc>
        <w:tc>
          <w:tcPr>
            <w:tcW w:w="1596" w:type="dxa"/>
          </w:tcPr>
          <w:p w:rsidR="004E67B9" w:rsidRPr="008362BE" w:rsidRDefault="004E67B9" w:rsidP="008362BE">
            <w:pPr>
              <w:spacing w:after="0" w:line="240" w:lineRule="auto"/>
              <w:jc w:val="both"/>
              <w:rPr>
                <w:sz w:val="20"/>
                <w:szCs w:val="20"/>
              </w:rPr>
            </w:pPr>
            <w:r w:rsidRPr="008362BE">
              <w:rPr>
                <w:sz w:val="20"/>
                <w:szCs w:val="20"/>
              </w:rPr>
              <w:t>61.5750</w:t>
            </w:r>
          </w:p>
        </w:tc>
        <w:tc>
          <w:tcPr>
            <w:tcW w:w="1596" w:type="dxa"/>
          </w:tcPr>
          <w:p w:rsidR="004E67B9" w:rsidRPr="008362BE" w:rsidRDefault="004E67B9" w:rsidP="008362BE">
            <w:pPr>
              <w:spacing w:after="0" w:line="240" w:lineRule="auto"/>
              <w:jc w:val="both"/>
              <w:rPr>
                <w:sz w:val="20"/>
                <w:szCs w:val="20"/>
              </w:rPr>
            </w:pPr>
            <w:r w:rsidRPr="008362BE">
              <w:rPr>
                <w:sz w:val="20"/>
                <w:szCs w:val="20"/>
              </w:rPr>
              <w:t>1.759991</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pH</w:t>
            </w:r>
          </w:p>
        </w:tc>
        <w:tc>
          <w:tcPr>
            <w:tcW w:w="1596" w:type="dxa"/>
          </w:tcPr>
          <w:p w:rsidR="004E67B9" w:rsidRPr="008362BE" w:rsidRDefault="004E67B9" w:rsidP="008362BE">
            <w:pPr>
              <w:spacing w:after="0" w:line="240" w:lineRule="auto"/>
              <w:jc w:val="both"/>
              <w:rPr>
                <w:sz w:val="20"/>
                <w:szCs w:val="20"/>
              </w:rPr>
            </w:pPr>
            <w:r w:rsidRPr="008362BE">
              <w:rPr>
                <w:sz w:val="20"/>
                <w:szCs w:val="20"/>
              </w:rPr>
              <w:t>5.00</w:t>
            </w:r>
          </w:p>
        </w:tc>
        <w:tc>
          <w:tcPr>
            <w:tcW w:w="1596" w:type="dxa"/>
          </w:tcPr>
          <w:p w:rsidR="004E67B9" w:rsidRPr="008362BE" w:rsidRDefault="004E67B9" w:rsidP="008362BE">
            <w:pPr>
              <w:spacing w:after="0" w:line="240" w:lineRule="auto"/>
              <w:jc w:val="both"/>
              <w:rPr>
                <w:sz w:val="20"/>
                <w:szCs w:val="20"/>
              </w:rPr>
            </w:pPr>
            <w:r w:rsidRPr="008362BE">
              <w:rPr>
                <w:sz w:val="20"/>
                <w:szCs w:val="20"/>
              </w:rPr>
              <w:t>5.60</w:t>
            </w:r>
          </w:p>
        </w:tc>
        <w:tc>
          <w:tcPr>
            <w:tcW w:w="1596" w:type="dxa"/>
          </w:tcPr>
          <w:p w:rsidR="004E67B9" w:rsidRPr="008362BE" w:rsidRDefault="004E67B9" w:rsidP="008362BE">
            <w:pPr>
              <w:spacing w:after="0" w:line="240" w:lineRule="auto"/>
              <w:jc w:val="both"/>
              <w:rPr>
                <w:sz w:val="20"/>
                <w:szCs w:val="20"/>
              </w:rPr>
            </w:pPr>
            <w:r w:rsidRPr="008362BE">
              <w:rPr>
                <w:sz w:val="20"/>
                <w:szCs w:val="20"/>
              </w:rPr>
              <w:t>0.60</w:t>
            </w:r>
          </w:p>
        </w:tc>
        <w:tc>
          <w:tcPr>
            <w:tcW w:w="1596" w:type="dxa"/>
          </w:tcPr>
          <w:p w:rsidR="004E67B9" w:rsidRPr="008362BE" w:rsidRDefault="004E67B9" w:rsidP="008362BE">
            <w:pPr>
              <w:spacing w:after="0" w:line="240" w:lineRule="auto"/>
              <w:jc w:val="both"/>
              <w:rPr>
                <w:sz w:val="20"/>
                <w:szCs w:val="20"/>
              </w:rPr>
            </w:pPr>
            <w:r w:rsidRPr="008362BE">
              <w:rPr>
                <w:sz w:val="20"/>
                <w:szCs w:val="20"/>
              </w:rPr>
              <w:t>5.3250</w:t>
            </w:r>
          </w:p>
        </w:tc>
        <w:tc>
          <w:tcPr>
            <w:tcW w:w="1596" w:type="dxa"/>
          </w:tcPr>
          <w:p w:rsidR="004E67B9" w:rsidRPr="008362BE" w:rsidRDefault="004E67B9" w:rsidP="008362BE">
            <w:pPr>
              <w:spacing w:after="0" w:line="240" w:lineRule="auto"/>
              <w:jc w:val="both"/>
              <w:rPr>
                <w:sz w:val="20"/>
                <w:szCs w:val="20"/>
              </w:rPr>
            </w:pPr>
            <w:r w:rsidRPr="008362BE">
              <w:rPr>
                <w:sz w:val="20"/>
                <w:szCs w:val="20"/>
              </w:rPr>
              <w:t>0.12500</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SAND</w:t>
            </w:r>
          </w:p>
        </w:tc>
        <w:tc>
          <w:tcPr>
            <w:tcW w:w="1596" w:type="dxa"/>
          </w:tcPr>
          <w:p w:rsidR="004E67B9" w:rsidRPr="008362BE" w:rsidRDefault="004E67B9" w:rsidP="008362BE">
            <w:pPr>
              <w:spacing w:after="0" w:line="240" w:lineRule="auto"/>
              <w:jc w:val="both"/>
              <w:rPr>
                <w:sz w:val="20"/>
                <w:szCs w:val="20"/>
              </w:rPr>
            </w:pPr>
            <w:r w:rsidRPr="008362BE">
              <w:rPr>
                <w:sz w:val="20"/>
                <w:szCs w:val="20"/>
              </w:rPr>
              <w:t>65.00</w:t>
            </w:r>
          </w:p>
        </w:tc>
        <w:tc>
          <w:tcPr>
            <w:tcW w:w="1596" w:type="dxa"/>
          </w:tcPr>
          <w:p w:rsidR="004E67B9" w:rsidRPr="008362BE" w:rsidRDefault="004E67B9" w:rsidP="008362BE">
            <w:pPr>
              <w:spacing w:after="0" w:line="240" w:lineRule="auto"/>
              <w:jc w:val="both"/>
              <w:rPr>
                <w:sz w:val="20"/>
                <w:szCs w:val="20"/>
              </w:rPr>
            </w:pPr>
            <w:r w:rsidRPr="008362BE">
              <w:rPr>
                <w:sz w:val="20"/>
                <w:szCs w:val="20"/>
              </w:rPr>
              <w:t>72.00</w:t>
            </w:r>
          </w:p>
        </w:tc>
        <w:tc>
          <w:tcPr>
            <w:tcW w:w="1596" w:type="dxa"/>
          </w:tcPr>
          <w:p w:rsidR="004E67B9" w:rsidRPr="008362BE" w:rsidRDefault="004E67B9" w:rsidP="008362BE">
            <w:pPr>
              <w:spacing w:after="0" w:line="240" w:lineRule="auto"/>
              <w:jc w:val="both"/>
              <w:rPr>
                <w:sz w:val="20"/>
                <w:szCs w:val="20"/>
              </w:rPr>
            </w:pPr>
            <w:r w:rsidRPr="008362BE">
              <w:rPr>
                <w:sz w:val="20"/>
                <w:szCs w:val="20"/>
              </w:rPr>
              <w:t>7.00</w:t>
            </w:r>
          </w:p>
        </w:tc>
        <w:tc>
          <w:tcPr>
            <w:tcW w:w="1596" w:type="dxa"/>
          </w:tcPr>
          <w:p w:rsidR="004E67B9" w:rsidRPr="008362BE" w:rsidRDefault="004E67B9" w:rsidP="008362BE">
            <w:pPr>
              <w:spacing w:after="0" w:line="240" w:lineRule="auto"/>
              <w:jc w:val="both"/>
              <w:rPr>
                <w:sz w:val="20"/>
                <w:szCs w:val="20"/>
              </w:rPr>
            </w:pPr>
            <w:r w:rsidRPr="008362BE">
              <w:rPr>
                <w:sz w:val="20"/>
                <w:szCs w:val="20"/>
              </w:rPr>
              <w:t>69.2500</w:t>
            </w:r>
          </w:p>
        </w:tc>
        <w:tc>
          <w:tcPr>
            <w:tcW w:w="1596" w:type="dxa"/>
          </w:tcPr>
          <w:p w:rsidR="004E67B9" w:rsidRPr="008362BE" w:rsidRDefault="004E67B9" w:rsidP="008362BE">
            <w:pPr>
              <w:spacing w:after="0" w:line="240" w:lineRule="auto"/>
              <w:jc w:val="both"/>
              <w:rPr>
                <w:sz w:val="20"/>
                <w:szCs w:val="20"/>
              </w:rPr>
            </w:pPr>
            <w:r w:rsidRPr="008362BE">
              <w:rPr>
                <w:sz w:val="20"/>
                <w:szCs w:val="20"/>
              </w:rPr>
              <w:t>1.49304</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CLAY</w:t>
            </w:r>
          </w:p>
        </w:tc>
        <w:tc>
          <w:tcPr>
            <w:tcW w:w="1596" w:type="dxa"/>
          </w:tcPr>
          <w:p w:rsidR="004E67B9" w:rsidRPr="008362BE" w:rsidRDefault="004E67B9" w:rsidP="008362BE">
            <w:pPr>
              <w:spacing w:after="0" w:line="240" w:lineRule="auto"/>
              <w:jc w:val="both"/>
              <w:rPr>
                <w:sz w:val="20"/>
                <w:szCs w:val="20"/>
              </w:rPr>
            </w:pPr>
            <w:r w:rsidRPr="008362BE">
              <w:rPr>
                <w:sz w:val="20"/>
                <w:szCs w:val="20"/>
              </w:rPr>
              <w:t>18.00</w:t>
            </w:r>
          </w:p>
        </w:tc>
        <w:tc>
          <w:tcPr>
            <w:tcW w:w="1596" w:type="dxa"/>
          </w:tcPr>
          <w:p w:rsidR="004E67B9" w:rsidRPr="008362BE" w:rsidRDefault="004E67B9" w:rsidP="008362BE">
            <w:pPr>
              <w:spacing w:after="0" w:line="240" w:lineRule="auto"/>
              <w:jc w:val="both"/>
              <w:rPr>
                <w:sz w:val="20"/>
                <w:szCs w:val="20"/>
              </w:rPr>
            </w:pPr>
            <w:r w:rsidRPr="008362BE">
              <w:rPr>
                <w:sz w:val="20"/>
                <w:szCs w:val="20"/>
              </w:rPr>
              <w:t>30.00</w:t>
            </w:r>
          </w:p>
        </w:tc>
        <w:tc>
          <w:tcPr>
            <w:tcW w:w="1596" w:type="dxa"/>
          </w:tcPr>
          <w:p w:rsidR="004E67B9" w:rsidRPr="008362BE" w:rsidRDefault="004E67B9" w:rsidP="008362BE">
            <w:pPr>
              <w:spacing w:after="0" w:line="240" w:lineRule="auto"/>
              <w:jc w:val="both"/>
              <w:rPr>
                <w:sz w:val="20"/>
                <w:szCs w:val="20"/>
              </w:rPr>
            </w:pPr>
            <w:r w:rsidRPr="008362BE">
              <w:rPr>
                <w:sz w:val="20"/>
                <w:szCs w:val="20"/>
              </w:rPr>
              <w:t>12.08</w:t>
            </w:r>
          </w:p>
        </w:tc>
        <w:tc>
          <w:tcPr>
            <w:tcW w:w="1596" w:type="dxa"/>
          </w:tcPr>
          <w:p w:rsidR="004E67B9" w:rsidRPr="008362BE" w:rsidRDefault="004E67B9" w:rsidP="008362BE">
            <w:pPr>
              <w:spacing w:after="0" w:line="240" w:lineRule="auto"/>
              <w:jc w:val="both"/>
              <w:rPr>
                <w:sz w:val="20"/>
                <w:szCs w:val="20"/>
              </w:rPr>
            </w:pPr>
            <w:r w:rsidRPr="008362BE">
              <w:rPr>
                <w:sz w:val="20"/>
                <w:szCs w:val="20"/>
              </w:rPr>
              <w:t>22.5000</w:t>
            </w:r>
          </w:p>
        </w:tc>
        <w:tc>
          <w:tcPr>
            <w:tcW w:w="1596" w:type="dxa"/>
          </w:tcPr>
          <w:p w:rsidR="004E67B9" w:rsidRPr="008362BE" w:rsidRDefault="004E67B9" w:rsidP="008362BE">
            <w:pPr>
              <w:spacing w:after="0" w:line="240" w:lineRule="auto"/>
              <w:jc w:val="both"/>
              <w:rPr>
                <w:sz w:val="20"/>
                <w:szCs w:val="20"/>
              </w:rPr>
            </w:pPr>
            <w:r w:rsidRPr="008362BE">
              <w:rPr>
                <w:sz w:val="20"/>
                <w:szCs w:val="20"/>
              </w:rPr>
              <w:t>2.62996</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LOAM</w:t>
            </w:r>
          </w:p>
        </w:tc>
        <w:tc>
          <w:tcPr>
            <w:tcW w:w="1596" w:type="dxa"/>
          </w:tcPr>
          <w:p w:rsidR="004E67B9" w:rsidRPr="008362BE" w:rsidRDefault="004E67B9" w:rsidP="008362BE">
            <w:pPr>
              <w:spacing w:after="0" w:line="240" w:lineRule="auto"/>
              <w:jc w:val="both"/>
              <w:rPr>
                <w:sz w:val="20"/>
                <w:szCs w:val="20"/>
              </w:rPr>
            </w:pPr>
            <w:r w:rsidRPr="008362BE">
              <w:rPr>
                <w:sz w:val="20"/>
                <w:szCs w:val="20"/>
              </w:rPr>
              <w:t>5.00</w:t>
            </w:r>
          </w:p>
        </w:tc>
        <w:tc>
          <w:tcPr>
            <w:tcW w:w="1596" w:type="dxa"/>
          </w:tcPr>
          <w:p w:rsidR="004E67B9" w:rsidRPr="008362BE" w:rsidRDefault="004E67B9" w:rsidP="008362BE">
            <w:pPr>
              <w:spacing w:after="0" w:line="240" w:lineRule="auto"/>
              <w:jc w:val="both"/>
              <w:rPr>
                <w:sz w:val="20"/>
                <w:szCs w:val="20"/>
              </w:rPr>
            </w:pPr>
            <w:r w:rsidRPr="008362BE">
              <w:rPr>
                <w:sz w:val="20"/>
                <w:szCs w:val="20"/>
              </w:rPr>
              <w:t>10.00</w:t>
            </w:r>
          </w:p>
        </w:tc>
        <w:tc>
          <w:tcPr>
            <w:tcW w:w="1596" w:type="dxa"/>
          </w:tcPr>
          <w:p w:rsidR="004E67B9" w:rsidRPr="008362BE" w:rsidRDefault="004E67B9" w:rsidP="008362BE">
            <w:pPr>
              <w:spacing w:after="0" w:line="240" w:lineRule="auto"/>
              <w:jc w:val="both"/>
              <w:rPr>
                <w:sz w:val="20"/>
                <w:szCs w:val="20"/>
              </w:rPr>
            </w:pPr>
            <w:r w:rsidRPr="008362BE">
              <w:rPr>
                <w:sz w:val="20"/>
                <w:szCs w:val="20"/>
              </w:rPr>
              <w:t>5.00</w:t>
            </w:r>
          </w:p>
        </w:tc>
        <w:tc>
          <w:tcPr>
            <w:tcW w:w="1596" w:type="dxa"/>
          </w:tcPr>
          <w:p w:rsidR="004E67B9" w:rsidRPr="008362BE" w:rsidRDefault="004E67B9" w:rsidP="008362BE">
            <w:pPr>
              <w:spacing w:after="0" w:line="240" w:lineRule="auto"/>
              <w:jc w:val="both"/>
              <w:rPr>
                <w:sz w:val="20"/>
                <w:szCs w:val="20"/>
              </w:rPr>
            </w:pPr>
            <w:r w:rsidRPr="008362BE">
              <w:rPr>
                <w:sz w:val="20"/>
                <w:szCs w:val="20"/>
              </w:rPr>
              <w:t>8.2500</w:t>
            </w:r>
          </w:p>
        </w:tc>
        <w:tc>
          <w:tcPr>
            <w:tcW w:w="1596" w:type="dxa"/>
          </w:tcPr>
          <w:p w:rsidR="004E67B9" w:rsidRPr="008362BE" w:rsidRDefault="004E67B9" w:rsidP="008362BE">
            <w:pPr>
              <w:spacing w:after="0" w:line="240" w:lineRule="auto"/>
              <w:jc w:val="both"/>
              <w:rPr>
                <w:sz w:val="20"/>
                <w:szCs w:val="20"/>
              </w:rPr>
            </w:pPr>
            <w:r w:rsidRPr="008362BE">
              <w:rPr>
                <w:sz w:val="20"/>
                <w:szCs w:val="20"/>
              </w:rPr>
              <w:t>1.18145</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MOIST.  CONT</w:t>
            </w:r>
          </w:p>
        </w:tc>
        <w:tc>
          <w:tcPr>
            <w:tcW w:w="1596" w:type="dxa"/>
          </w:tcPr>
          <w:p w:rsidR="004E67B9" w:rsidRPr="008362BE" w:rsidRDefault="004E67B9" w:rsidP="008362BE">
            <w:pPr>
              <w:spacing w:after="0" w:line="240" w:lineRule="auto"/>
              <w:jc w:val="both"/>
              <w:rPr>
                <w:sz w:val="20"/>
                <w:szCs w:val="20"/>
              </w:rPr>
            </w:pPr>
            <w:r w:rsidRPr="008362BE">
              <w:rPr>
                <w:sz w:val="20"/>
                <w:szCs w:val="20"/>
              </w:rPr>
              <w:t>2.00</w:t>
            </w:r>
          </w:p>
        </w:tc>
        <w:tc>
          <w:tcPr>
            <w:tcW w:w="1596" w:type="dxa"/>
          </w:tcPr>
          <w:p w:rsidR="004E67B9" w:rsidRPr="008362BE" w:rsidRDefault="004E67B9" w:rsidP="008362BE">
            <w:pPr>
              <w:spacing w:after="0" w:line="240" w:lineRule="auto"/>
              <w:jc w:val="both"/>
              <w:rPr>
                <w:sz w:val="20"/>
                <w:szCs w:val="20"/>
              </w:rPr>
            </w:pPr>
            <w:r w:rsidRPr="008362BE">
              <w:rPr>
                <w:sz w:val="20"/>
                <w:szCs w:val="20"/>
              </w:rPr>
              <w:t>3.00</w:t>
            </w:r>
          </w:p>
        </w:tc>
        <w:tc>
          <w:tcPr>
            <w:tcW w:w="1596" w:type="dxa"/>
          </w:tcPr>
          <w:p w:rsidR="004E67B9" w:rsidRPr="008362BE" w:rsidRDefault="004E67B9" w:rsidP="008362BE">
            <w:pPr>
              <w:spacing w:after="0" w:line="240" w:lineRule="auto"/>
              <w:jc w:val="both"/>
              <w:rPr>
                <w:sz w:val="20"/>
                <w:szCs w:val="20"/>
              </w:rPr>
            </w:pPr>
            <w:r w:rsidRPr="008362BE">
              <w:rPr>
                <w:sz w:val="20"/>
                <w:szCs w:val="20"/>
              </w:rPr>
              <w:t>1.00</w:t>
            </w:r>
          </w:p>
        </w:tc>
        <w:tc>
          <w:tcPr>
            <w:tcW w:w="1596" w:type="dxa"/>
          </w:tcPr>
          <w:p w:rsidR="004E67B9" w:rsidRPr="008362BE" w:rsidRDefault="004E67B9" w:rsidP="008362BE">
            <w:pPr>
              <w:spacing w:after="0" w:line="240" w:lineRule="auto"/>
              <w:jc w:val="both"/>
              <w:rPr>
                <w:sz w:val="20"/>
                <w:szCs w:val="20"/>
              </w:rPr>
            </w:pPr>
            <w:r w:rsidRPr="008362BE">
              <w:rPr>
                <w:sz w:val="20"/>
                <w:szCs w:val="20"/>
              </w:rPr>
              <w:t>2.5000</w:t>
            </w:r>
          </w:p>
        </w:tc>
        <w:tc>
          <w:tcPr>
            <w:tcW w:w="1596" w:type="dxa"/>
          </w:tcPr>
          <w:p w:rsidR="004E67B9" w:rsidRPr="008362BE" w:rsidRDefault="004E67B9" w:rsidP="008362BE">
            <w:pPr>
              <w:spacing w:after="0" w:line="240" w:lineRule="auto"/>
              <w:jc w:val="both"/>
              <w:rPr>
                <w:sz w:val="20"/>
                <w:szCs w:val="20"/>
              </w:rPr>
            </w:pPr>
            <w:r w:rsidRPr="008362BE">
              <w:rPr>
                <w:sz w:val="20"/>
                <w:szCs w:val="20"/>
              </w:rPr>
              <w:t>0.28868</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TOTALNITROGEN</w:t>
            </w:r>
          </w:p>
        </w:tc>
        <w:tc>
          <w:tcPr>
            <w:tcW w:w="1596" w:type="dxa"/>
          </w:tcPr>
          <w:p w:rsidR="004E67B9" w:rsidRPr="008362BE" w:rsidRDefault="004E67B9" w:rsidP="008362BE">
            <w:pPr>
              <w:spacing w:after="0" w:line="240" w:lineRule="auto"/>
              <w:jc w:val="both"/>
              <w:rPr>
                <w:sz w:val="20"/>
                <w:szCs w:val="20"/>
              </w:rPr>
            </w:pPr>
            <w:r w:rsidRPr="008362BE">
              <w:rPr>
                <w:sz w:val="20"/>
                <w:szCs w:val="20"/>
              </w:rPr>
              <w:t>0.14</w:t>
            </w:r>
          </w:p>
        </w:tc>
        <w:tc>
          <w:tcPr>
            <w:tcW w:w="1596" w:type="dxa"/>
          </w:tcPr>
          <w:p w:rsidR="004E67B9" w:rsidRPr="008362BE" w:rsidRDefault="004E67B9" w:rsidP="008362BE">
            <w:pPr>
              <w:spacing w:after="0" w:line="240" w:lineRule="auto"/>
              <w:jc w:val="both"/>
              <w:rPr>
                <w:sz w:val="20"/>
                <w:szCs w:val="20"/>
              </w:rPr>
            </w:pPr>
            <w:r w:rsidRPr="008362BE">
              <w:rPr>
                <w:sz w:val="20"/>
                <w:szCs w:val="20"/>
              </w:rPr>
              <w:t>0.16</w:t>
            </w:r>
          </w:p>
        </w:tc>
        <w:tc>
          <w:tcPr>
            <w:tcW w:w="1596" w:type="dxa"/>
          </w:tcPr>
          <w:p w:rsidR="004E67B9" w:rsidRPr="008362BE" w:rsidRDefault="004E67B9" w:rsidP="008362BE">
            <w:pPr>
              <w:spacing w:after="0" w:line="240" w:lineRule="auto"/>
              <w:jc w:val="both"/>
              <w:rPr>
                <w:sz w:val="20"/>
                <w:szCs w:val="20"/>
              </w:rPr>
            </w:pPr>
            <w:r w:rsidRPr="008362BE">
              <w:rPr>
                <w:sz w:val="20"/>
                <w:szCs w:val="20"/>
              </w:rPr>
              <w:t>0.02</w:t>
            </w:r>
          </w:p>
        </w:tc>
        <w:tc>
          <w:tcPr>
            <w:tcW w:w="1596" w:type="dxa"/>
          </w:tcPr>
          <w:p w:rsidR="004E67B9" w:rsidRPr="008362BE" w:rsidRDefault="004E67B9" w:rsidP="008362BE">
            <w:pPr>
              <w:spacing w:after="0" w:line="240" w:lineRule="auto"/>
              <w:jc w:val="both"/>
              <w:rPr>
                <w:sz w:val="20"/>
                <w:szCs w:val="20"/>
              </w:rPr>
            </w:pPr>
            <w:r w:rsidRPr="008362BE">
              <w:rPr>
                <w:sz w:val="20"/>
                <w:szCs w:val="20"/>
              </w:rPr>
              <w:t>0.1475</w:t>
            </w:r>
          </w:p>
        </w:tc>
        <w:tc>
          <w:tcPr>
            <w:tcW w:w="1596" w:type="dxa"/>
          </w:tcPr>
          <w:p w:rsidR="004E67B9" w:rsidRPr="008362BE" w:rsidRDefault="004E67B9" w:rsidP="008362BE">
            <w:pPr>
              <w:spacing w:after="0" w:line="240" w:lineRule="auto"/>
              <w:jc w:val="both"/>
              <w:rPr>
                <w:sz w:val="20"/>
                <w:szCs w:val="20"/>
              </w:rPr>
            </w:pPr>
            <w:r w:rsidRPr="008362BE">
              <w:rPr>
                <w:sz w:val="20"/>
                <w:szCs w:val="20"/>
              </w:rPr>
              <w:t>0.08479</w:t>
            </w:r>
          </w:p>
        </w:tc>
      </w:tr>
      <w:tr w:rsidR="004E67B9" w:rsidRPr="008362BE" w:rsidTr="00DB12B1">
        <w:tc>
          <w:tcPr>
            <w:tcW w:w="1596" w:type="dxa"/>
          </w:tcPr>
          <w:p w:rsidR="004E67B9" w:rsidRPr="008362BE" w:rsidRDefault="004E67B9" w:rsidP="008362BE">
            <w:pPr>
              <w:spacing w:after="0" w:line="240" w:lineRule="auto"/>
              <w:jc w:val="both"/>
              <w:rPr>
                <w:b/>
                <w:bCs/>
                <w:sz w:val="20"/>
                <w:szCs w:val="20"/>
              </w:rPr>
            </w:pPr>
            <w:r w:rsidRPr="008362BE">
              <w:rPr>
                <w:b/>
                <w:bCs/>
                <w:sz w:val="20"/>
                <w:szCs w:val="20"/>
              </w:rPr>
              <w:t>TOC</w:t>
            </w:r>
          </w:p>
        </w:tc>
        <w:tc>
          <w:tcPr>
            <w:tcW w:w="1596" w:type="dxa"/>
          </w:tcPr>
          <w:p w:rsidR="004E67B9" w:rsidRPr="008362BE" w:rsidRDefault="004E67B9" w:rsidP="008362BE">
            <w:pPr>
              <w:spacing w:after="0" w:line="240" w:lineRule="auto"/>
              <w:jc w:val="both"/>
              <w:rPr>
                <w:sz w:val="20"/>
                <w:szCs w:val="20"/>
              </w:rPr>
            </w:pPr>
            <w:r w:rsidRPr="008362BE">
              <w:rPr>
                <w:sz w:val="20"/>
                <w:szCs w:val="20"/>
              </w:rPr>
              <w:t>1.30</w:t>
            </w:r>
          </w:p>
        </w:tc>
        <w:tc>
          <w:tcPr>
            <w:tcW w:w="1596" w:type="dxa"/>
          </w:tcPr>
          <w:p w:rsidR="004E67B9" w:rsidRPr="008362BE" w:rsidRDefault="004E67B9" w:rsidP="008362BE">
            <w:pPr>
              <w:spacing w:after="0" w:line="240" w:lineRule="auto"/>
              <w:jc w:val="both"/>
              <w:rPr>
                <w:sz w:val="20"/>
                <w:szCs w:val="20"/>
              </w:rPr>
            </w:pPr>
            <w:r w:rsidRPr="008362BE">
              <w:rPr>
                <w:sz w:val="20"/>
                <w:szCs w:val="20"/>
              </w:rPr>
              <w:t>1.88</w:t>
            </w:r>
          </w:p>
        </w:tc>
        <w:tc>
          <w:tcPr>
            <w:tcW w:w="1596" w:type="dxa"/>
          </w:tcPr>
          <w:p w:rsidR="004E67B9" w:rsidRPr="008362BE" w:rsidRDefault="004E67B9" w:rsidP="008362BE">
            <w:pPr>
              <w:spacing w:after="0" w:line="240" w:lineRule="auto"/>
              <w:jc w:val="both"/>
              <w:rPr>
                <w:sz w:val="20"/>
                <w:szCs w:val="20"/>
              </w:rPr>
            </w:pPr>
            <w:r w:rsidRPr="008362BE">
              <w:rPr>
                <w:sz w:val="20"/>
                <w:szCs w:val="20"/>
              </w:rPr>
              <w:t>0.05</w:t>
            </w:r>
          </w:p>
        </w:tc>
        <w:tc>
          <w:tcPr>
            <w:tcW w:w="1596" w:type="dxa"/>
          </w:tcPr>
          <w:p w:rsidR="004E67B9" w:rsidRPr="008362BE" w:rsidRDefault="004E67B9" w:rsidP="008362BE">
            <w:pPr>
              <w:spacing w:after="0" w:line="240" w:lineRule="auto"/>
              <w:jc w:val="both"/>
              <w:rPr>
                <w:sz w:val="20"/>
                <w:szCs w:val="20"/>
              </w:rPr>
            </w:pPr>
            <w:r w:rsidRPr="008362BE">
              <w:rPr>
                <w:sz w:val="20"/>
                <w:szCs w:val="20"/>
              </w:rPr>
              <w:t>1.5000</w:t>
            </w:r>
          </w:p>
        </w:tc>
        <w:tc>
          <w:tcPr>
            <w:tcW w:w="1596" w:type="dxa"/>
          </w:tcPr>
          <w:p w:rsidR="004E67B9" w:rsidRPr="008362BE" w:rsidRDefault="004E67B9" w:rsidP="008362BE">
            <w:pPr>
              <w:spacing w:after="0" w:line="240" w:lineRule="auto"/>
              <w:jc w:val="both"/>
              <w:rPr>
                <w:sz w:val="20"/>
                <w:szCs w:val="20"/>
              </w:rPr>
            </w:pPr>
            <w:r w:rsidRPr="008362BE">
              <w:rPr>
                <w:sz w:val="20"/>
                <w:szCs w:val="20"/>
              </w:rPr>
              <w:t>0.10801</w:t>
            </w:r>
          </w:p>
        </w:tc>
      </w:tr>
      <w:tr w:rsidR="004E67B9" w:rsidRPr="008362BE" w:rsidTr="00DB12B1">
        <w:tc>
          <w:tcPr>
            <w:tcW w:w="1596" w:type="dxa"/>
            <w:tcBorders>
              <w:bottom w:val="single" w:sz="4" w:space="0" w:color="auto"/>
            </w:tcBorders>
          </w:tcPr>
          <w:p w:rsidR="004E67B9" w:rsidRPr="008362BE" w:rsidRDefault="004E67B9" w:rsidP="008362BE">
            <w:pPr>
              <w:spacing w:after="0" w:line="240" w:lineRule="auto"/>
              <w:jc w:val="both"/>
              <w:rPr>
                <w:b/>
                <w:bCs/>
                <w:sz w:val="20"/>
                <w:szCs w:val="20"/>
              </w:rPr>
            </w:pPr>
            <w:r w:rsidRPr="008362BE">
              <w:rPr>
                <w:b/>
                <w:bCs/>
                <w:sz w:val="20"/>
                <w:szCs w:val="20"/>
              </w:rPr>
              <w:t>C/N RATIO</w:t>
            </w:r>
          </w:p>
        </w:tc>
        <w:tc>
          <w:tcPr>
            <w:tcW w:w="1596" w:type="dxa"/>
            <w:tcBorders>
              <w:bottom w:val="single" w:sz="4" w:space="0" w:color="auto"/>
            </w:tcBorders>
          </w:tcPr>
          <w:p w:rsidR="004E67B9" w:rsidRPr="008362BE" w:rsidRDefault="004E67B9" w:rsidP="008362BE">
            <w:pPr>
              <w:spacing w:after="0" w:line="240" w:lineRule="auto"/>
              <w:jc w:val="both"/>
              <w:rPr>
                <w:sz w:val="20"/>
                <w:szCs w:val="20"/>
              </w:rPr>
            </w:pPr>
            <w:r w:rsidRPr="008362BE">
              <w:rPr>
                <w:sz w:val="20"/>
                <w:szCs w:val="20"/>
              </w:rPr>
              <w:t>8.67</w:t>
            </w:r>
          </w:p>
        </w:tc>
        <w:tc>
          <w:tcPr>
            <w:tcW w:w="1596" w:type="dxa"/>
            <w:tcBorders>
              <w:bottom w:val="single" w:sz="4" w:space="0" w:color="auto"/>
            </w:tcBorders>
          </w:tcPr>
          <w:p w:rsidR="004E67B9" w:rsidRPr="008362BE" w:rsidRDefault="004E67B9" w:rsidP="008362BE">
            <w:pPr>
              <w:spacing w:after="0" w:line="240" w:lineRule="auto"/>
              <w:jc w:val="both"/>
              <w:rPr>
                <w:sz w:val="20"/>
                <w:szCs w:val="20"/>
              </w:rPr>
            </w:pPr>
            <w:r w:rsidRPr="008362BE">
              <w:rPr>
                <w:sz w:val="20"/>
                <w:szCs w:val="20"/>
              </w:rPr>
              <w:t>12.86</w:t>
            </w:r>
          </w:p>
        </w:tc>
        <w:tc>
          <w:tcPr>
            <w:tcW w:w="1596" w:type="dxa"/>
            <w:tcBorders>
              <w:bottom w:val="single" w:sz="4" w:space="0" w:color="auto"/>
            </w:tcBorders>
          </w:tcPr>
          <w:p w:rsidR="004E67B9" w:rsidRPr="008362BE" w:rsidRDefault="004E67B9" w:rsidP="008362BE">
            <w:pPr>
              <w:spacing w:after="0" w:line="240" w:lineRule="auto"/>
              <w:jc w:val="both"/>
              <w:rPr>
                <w:sz w:val="20"/>
                <w:szCs w:val="20"/>
              </w:rPr>
            </w:pPr>
            <w:r w:rsidRPr="008362BE">
              <w:rPr>
                <w:sz w:val="20"/>
                <w:szCs w:val="20"/>
              </w:rPr>
              <w:t>4.19</w:t>
            </w:r>
          </w:p>
        </w:tc>
        <w:tc>
          <w:tcPr>
            <w:tcW w:w="1596" w:type="dxa"/>
            <w:tcBorders>
              <w:bottom w:val="single" w:sz="4" w:space="0" w:color="auto"/>
            </w:tcBorders>
          </w:tcPr>
          <w:p w:rsidR="004E67B9" w:rsidRPr="008362BE" w:rsidRDefault="004E67B9" w:rsidP="008362BE">
            <w:pPr>
              <w:spacing w:after="0" w:line="240" w:lineRule="auto"/>
              <w:jc w:val="both"/>
              <w:rPr>
                <w:sz w:val="20"/>
                <w:szCs w:val="20"/>
              </w:rPr>
            </w:pPr>
            <w:r w:rsidRPr="008362BE">
              <w:rPr>
                <w:sz w:val="20"/>
                <w:szCs w:val="20"/>
              </w:rPr>
              <w:t>10.0725</w:t>
            </w:r>
          </w:p>
        </w:tc>
        <w:tc>
          <w:tcPr>
            <w:tcW w:w="1596" w:type="dxa"/>
            <w:tcBorders>
              <w:bottom w:val="single" w:sz="4" w:space="0" w:color="auto"/>
            </w:tcBorders>
          </w:tcPr>
          <w:p w:rsidR="004E67B9" w:rsidRPr="008362BE" w:rsidRDefault="004E67B9" w:rsidP="008362BE">
            <w:pPr>
              <w:spacing w:after="0" w:line="240" w:lineRule="auto"/>
              <w:jc w:val="both"/>
              <w:rPr>
                <w:sz w:val="20"/>
                <w:szCs w:val="20"/>
              </w:rPr>
            </w:pPr>
            <w:r w:rsidRPr="008362BE">
              <w:rPr>
                <w:sz w:val="20"/>
                <w:szCs w:val="20"/>
              </w:rPr>
              <w:t>0.94412</w:t>
            </w:r>
          </w:p>
        </w:tc>
      </w:tr>
    </w:tbl>
    <w:p w:rsidR="004E67B9" w:rsidRPr="008362BE" w:rsidRDefault="004E67B9" w:rsidP="008362BE">
      <w:pPr>
        <w:spacing w:after="0" w:line="240" w:lineRule="auto"/>
        <w:rPr>
          <w:rFonts w:ascii="Times New Roman" w:hAnsi="Times New Roman" w:cs="Times New Roman"/>
          <w:sz w:val="20"/>
          <w:szCs w:val="20"/>
        </w:rPr>
      </w:pPr>
    </w:p>
    <w:p w:rsidR="004E67B9" w:rsidRPr="008362BE" w:rsidRDefault="004E67B9" w:rsidP="008362BE">
      <w:pPr>
        <w:spacing w:after="0" w:line="240" w:lineRule="auto"/>
        <w:rPr>
          <w:rFonts w:ascii="Times New Roman" w:hAnsi="Times New Roman" w:cs="Times New Roman"/>
          <w:sz w:val="20"/>
          <w:szCs w:val="20"/>
        </w:rPr>
        <w:sectPr w:rsidR="004E67B9" w:rsidRPr="008362BE" w:rsidSect="003374ED">
          <w:type w:val="continuous"/>
          <w:pgSz w:w="12240" w:h="15840"/>
          <w:pgMar w:top="1440" w:right="1440" w:bottom="1440" w:left="1440" w:header="720" w:footer="720" w:gutter="0"/>
          <w:cols w:space="720"/>
          <w:docGrid w:linePitch="360"/>
        </w:sectPr>
      </w:pPr>
    </w:p>
    <w:p w:rsidR="004E67B9" w:rsidRDefault="008362BE" w:rsidP="008362BE">
      <w:pPr>
        <w:spacing w:after="0" w:line="240" w:lineRule="auto"/>
        <w:ind w:firstLine="720"/>
        <w:rPr>
          <w:rFonts w:ascii="Times New Roman" w:hAnsi="Times New Roman" w:cs="Times New Roman"/>
          <w:sz w:val="20"/>
          <w:szCs w:val="20"/>
        </w:rPr>
      </w:pPr>
      <w:r w:rsidRPr="008362BE">
        <w:rPr>
          <w:rFonts w:ascii="Times New Roman" w:hAnsi="Times New Roman" w:cs="Times New Roman"/>
          <w:sz w:val="20"/>
          <w:szCs w:val="20"/>
        </w:rPr>
        <w:lastRenderedPageBreak/>
        <w:t xml:space="preserve">The </w:t>
      </w:r>
      <w:r w:rsidR="004E67B9" w:rsidRPr="008362BE">
        <w:rPr>
          <w:rFonts w:ascii="Times New Roman" w:hAnsi="Times New Roman" w:cs="Times New Roman"/>
          <w:sz w:val="20"/>
          <w:szCs w:val="20"/>
        </w:rPr>
        <w:t>test of homogeneity in means variance of the soil showed high</w:t>
      </w:r>
      <w:r w:rsidR="004E67B9" w:rsidRPr="008362BE">
        <w:rPr>
          <w:sz w:val="20"/>
          <w:szCs w:val="20"/>
        </w:rPr>
        <w:t xml:space="preserve"> </w:t>
      </w:r>
      <w:r w:rsidR="004E67B9" w:rsidRPr="008362BE">
        <w:rPr>
          <w:rFonts w:ascii="Times New Roman" w:hAnsi="Times New Roman" w:cs="Times New Roman"/>
          <w:sz w:val="20"/>
          <w:szCs w:val="20"/>
        </w:rPr>
        <w:t>significant spatial inequality in means of the soil parameters under study.</w:t>
      </w:r>
    </w:p>
    <w:p w:rsidR="008362BE" w:rsidRPr="008362BE" w:rsidRDefault="008362BE" w:rsidP="008362BE">
      <w:pPr>
        <w:spacing w:after="0" w:line="240" w:lineRule="auto"/>
        <w:ind w:firstLine="720"/>
        <w:rPr>
          <w:rFonts w:ascii="Times New Roman" w:hAnsi="Times New Roman" w:cs="Times New Roman"/>
          <w:sz w:val="20"/>
          <w:szCs w:val="20"/>
        </w:rPr>
      </w:pPr>
    </w:p>
    <w:p w:rsidR="004E67B9" w:rsidRPr="008362BE" w:rsidRDefault="00FC0FA6" w:rsidP="008362BE">
      <w:pPr>
        <w:spacing w:after="0" w:line="240" w:lineRule="auto"/>
        <w:rPr>
          <w:rFonts w:ascii="Times New Roman" w:hAnsi="Times New Roman" w:cs="Times New Roman"/>
          <w:sz w:val="20"/>
          <w:szCs w:val="20"/>
        </w:rPr>
      </w:pPr>
      <w:r w:rsidRPr="008362BE">
        <w:rPr>
          <w:noProof/>
          <w:sz w:val="20"/>
          <w:szCs w:val="20"/>
          <w:lang w:eastAsia="zh-CN"/>
        </w:rPr>
        <w:drawing>
          <wp:inline distT="0" distB="0" distL="0" distR="0">
            <wp:extent cx="2700655" cy="1626870"/>
            <wp:effectExtent l="19050" t="0" r="4445" b="0"/>
            <wp:docPr id="5"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4"/>
                    <a:srcRect/>
                    <a:stretch>
                      <a:fillRect/>
                    </a:stretch>
                  </pic:blipFill>
                  <pic:spPr bwMode="auto">
                    <a:xfrm>
                      <a:off x="0" y="0"/>
                      <a:ext cx="2700655" cy="1626870"/>
                    </a:xfrm>
                    <a:prstGeom prst="rect">
                      <a:avLst/>
                    </a:prstGeom>
                    <a:noFill/>
                    <a:ln w="9525">
                      <a:noFill/>
                      <a:miter lim="800000"/>
                      <a:headEnd/>
                      <a:tailEnd/>
                    </a:ln>
                  </pic:spPr>
                </pic:pic>
              </a:graphicData>
            </a:graphic>
          </wp:inline>
        </w:drawing>
      </w:r>
    </w:p>
    <w:p w:rsidR="004E67B9" w:rsidRPr="008362BE" w:rsidRDefault="004E67B9" w:rsidP="008362BE">
      <w:pPr>
        <w:spacing w:after="0" w:line="240" w:lineRule="auto"/>
        <w:rPr>
          <w:rFonts w:ascii="Times New Roman" w:hAnsi="Times New Roman" w:cs="Times New Roman"/>
          <w:sz w:val="20"/>
          <w:szCs w:val="20"/>
        </w:rPr>
      </w:pPr>
      <w:r w:rsidRPr="008362BE">
        <w:rPr>
          <w:rFonts w:ascii="Times New Roman" w:hAnsi="Times New Roman" w:cs="Times New Roman"/>
          <w:sz w:val="20"/>
          <w:szCs w:val="20"/>
        </w:rPr>
        <w:t>[F</w:t>
      </w:r>
      <w:r w:rsidRPr="008362BE">
        <w:rPr>
          <w:rFonts w:ascii="Times New Roman" w:hAnsi="Times New Roman" w:cs="Times New Roman"/>
          <w:sz w:val="20"/>
          <w:szCs w:val="20"/>
          <w:vertAlign w:val="subscript"/>
        </w:rPr>
        <w:t>(11.366)</w:t>
      </w:r>
      <w:r w:rsidRPr="008362BE">
        <w:rPr>
          <w:rFonts w:ascii="Times New Roman" w:hAnsi="Times New Roman" w:cs="Times New Roman"/>
          <w:sz w:val="20"/>
          <w:szCs w:val="20"/>
        </w:rPr>
        <w:t xml:space="preserve">&gt; </w:t>
      </w:r>
      <w:proofErr w:type="spellStart"/>
      <w:r w:rsidRPr="008362BE">
        <w:rPr>
          <w:rFonts w:ascii="Times New Roman" w:hAnsi="Times New Roman" w:cs="Times New Roman"/>
          <w:sz w:val="20"/>
          <w:szCs w:val="20"/>
        </w:rPr>
        <w:t>F</w:t>
      </w:r>
      <w:r w:rsidRPr="008362BE">
        <w:rPr>
          <w:rFonts w:ascii="Times New Roman" w:hAnsi="Times New Roman" w:cs="Times New Roman"/>
          <w:sz w:val="20"/>
          <w:szCs w:val="20"/>
          <w:vertAlign w:val="subscript"/>
        </w:rPr>
        <w:t>crit</w:t>
      </w:r>
      <w:proofErr w:type="spellEnd"/>
      <w:r w:rsidRPr="008362BE">
        <w:rPr>
          <w:rFonts w:ascii="Times New Roman" w:hAnsi="Times New Roman" w:cs="Times New Roman"/>
          <w:sz w:val="20"/>
          <w:szCs w:val="20"/>
          <w:vertAlign w:val="subscript"/>
        </w:rPr>
        <w:t>(3.952)</w:t>
      </w:r>
      <w:r w:rsidRPr="008362BE">
        <w:rPr>
          <w:rFonts w:ascii="Times New Roman" w:hAnsi="Times New Roman" w:cs="Times New Roman"/>
          <w:sz w:val="20"/>
          <w:szCs w:val="20"/>
        </w:rPr>
        <w:t>] at P&lt; 0.05</w:t>
      </w:r>
    </w:p>
    <w:p w:rsidR="004E67B9" w:rsidRDefault="00FC0FA6" w:rsidP="008362BE">
      <w:pPr>
        <w:spacing w:after="0" w:line="240" w:lineRule="auto"/>
        <w:rPr>
          <w:rFonts w:ascii="Times New Roman" w:hAnsi="Times New Roman" w:cs="Times New Roman"/>
          <w:sz w:val="20"/>
          <w:szCs w:val="20"/>
        </w:rPr>
      </w:pPr>
      <w:r w:rsidRPr="008362BE">
        <w:rPr>
          <w:noProof/>
          <w:sz w:val="20"/>
          <w:szCs w:val="20"/>
          <w:lang w:eastAsia="zh-CN"/>
        </w:rPr>
        <w:drawing>
          <wp:inline distT="0" distB="0" distL="0" distR="0">
            <wp:extent cx="2639090" cy="1733107"/>
            <wp:effectExtent l="19050" t="0" r="8860" b="0"/>
            <wp:docPr id="6"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5"/>
                    <a:srcRect/>
                    <a:stretch>
                      <a:fillRect/>
                    </a:stretch>
                  </pic:blipFill>
                  <pic:spPr bwMode="auto">
                    <a:xfrm>
                      <a:off x="0" y="0"/>
                      <a:ext cx="2639090" cy="1733107"/>
                    </a:xfrm>
                    <a:prstGeom prst="rect">
                      <a:avLst/>
                    </a:prstGeom>
                    <a:noFill/>
                    <a:ln w="9525">
                      <a:noFill/>
                      <a:miter lim="800000"/>
                      <a:headEnd/>
                      <a:tailEnd/>
                    </a:ln>
                  </pic:spPr>
                </pic:pic>
              </a:graphicData>
            </a:graphic>
          </wp:inline>
        </w:drawing>
      </w:r>
    </w:p>
    <w:p w:rsidR="008362BE" w:rsidRPr="008362BE" w:rsidRDefault="008362BE" w:rsidP="008362BE">
      <w:pPr>
        <w:spacing w:after="0" w:line="240" w:lineRule="auto"/>
        <w:rPr>
          <w:rFonts w:ascii="Times New Roman" w:hAnsi="Times New Roman" w:cs="Times New Roman"/>
          <w:sz w:val="20"/>
          <w:szCs w:val="20"/>
        </w:rPr>
      </w:pPr>
    </w:p>
    <w:p w:rsidR="004E67B9" w:rsidRPr="008362BE" w:rsidRDefault="00FC0FA6" w:rsidP="008362BE">
      <w:pPr>
        <w:spacing w:after="0" w:line="240" w:lineRule="auto"/>
        <w:rPr>
          <w:sz w:val="20"/>
          <w:szCs w:val="20"/>
        </w:rPr>
      </w:pPr>
      <w:r w:rsidRPr="008362BE">
        <w:rPr>
          <w:noProof/>
          <w:sz w:val="20"/>
          <w:szCs w:val="20"/>
          <w:lang w:eastAsia="zh-CN"/>
        </w:rPr>
        <w:lastRenderedPageBreak/>
        <w:drawing>
          <wp:inline distT="0" distB="0" distL="0" distR="0">
            <wp:extent cx="2894271" cy="1924493"/>
            <wp:effectExtent l="19050" t="0" r="1329" b="0"/>
            <wp:docPr id="7"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16"/>
                    <a:srcRect/>
                    <a:stretch>
                      <a:fillRect/>
                    </a:stretch>
                  </pic:blipFill>
                  <pic:spPr bwMode="auto">
                    <a:xfrm>
                      <a:off x="0" y="0"/>
                      <a:ext cx="2893883" cy="1924235"/>
                    </a:xfrm>
                    <a:prstGeom prst="rect">
                      <a:avLst/>
                    </a:prstGeom>
                    <a:noFill/>
                    <a:ln w="9525">
                      <a:noFill/>
                      <a:miter lim="800000"/>
                      <a:headEnd/>
                      <a:tailEnd/>
                    </a:ln>
                  </pic:spPr>
                </pic:pic>
              </a:graphicData>
            </a:graphic>
          </wp:inline>
        </w:drawing>
      </w:r>
    </w:p>
    <w:p w:rsidR="004E67B9" w:rsidRPr="008362BE" w:rsidRDefault="004E67B9" w:rsidP="008362BE">
      <w:pPr>
        <w:spacing w:after="0" w:line="240" w:lineRule="auto"/>
        <w:rPr>
          <w:sz w:val="20"/>
          <w:szCs w:val="20"/>
        </w:rPr>
      </w:pPr>
    </w:p>
    <w:p w:rsidR="004E67B9" w:rsidRPr="008362BE" w:rsidRDefault="00FC0FA6" w:rsidP="008362BE">
      <w:pPr>
        <w:spacing w:after="0" w:line="240" w:lineRule="auto"/>
        <w:rPr>
          <w:sz w:val="20"/>
          <w:szCs w:val="20"/>
        </w:rPr>
      </w:pPr>
      <w:r w:rsidRPr="008362BE">
        <w:rPr>
          <w:noProof/>
          <w:sz w:val="20"/>
          <w:szCs w:val="20"/>
          <w:lang w:eastAsia="zh-CN"/>
        </w:rPr>
        <w:drawing>
          <wp:inline distT="0" distB="0" distL="0" distR="0">
            <wp:extent cx="2904903" cy="1956391"/>
            <wp:effectExtent l="19050" t="0" r="0" b="0"/>
            <wp:docPr id="8"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noChangeArrowheads="1"/>
                    </pic:cNvPicPr>
                  </pic:nvPicPr>
                  <pic:blipFill>
                    <a:blip r:embed="rId17"/>
                    <a:srcRect/>
                    <a:stretch>
                      <a:fillRect/>
                    </a:stretch>
                  </pic:blipFill>
                  <pic:spPr bwMode="auto">
                    <a:xfrm>
                      <a:off x="0" y="0"/>
                      <a:ext cx="2905251" cy="1956625"/>
                    </a:xfrm>
                    <a:prstGeom prst="rect">
                      <a:avLst/>
                    </a:prstGeom>
                    <a:noFill/>
                    <a:ln w="9525">
                      <a:noFill/>
                      <a:miter lim="800000"/>
                      <a:headEnd/>
                      <a:tailEnd/>
                    </a:ln>
                  </pic:spPr>
                </pic:pic>
              </a:graphicData>
            </a:graphic>
          </wp:inline>
        </w:drawing>
      </w:r>
    </w:p>
    <w:p w:rsidR="004E67B9" w:rsidRPr="008362BE" w:rsidRDefault="004E67B9" w:rsidP="008362BE">
      <w:pPr>
        <w:tabs>
          <w:tab w:val="left" w:pos="7770"/>
        </w:tabs>
        <w:spacing w:after="0" w:line="240" w:lineRule="auto"/>
        <w:rPr>
          <w:sz w:val="20"/>
          <w:szCs w:val="20"/>
        </w:rPr>
      </w:pPr>
    </w:p>
    <w:p w:rsidR="004E67B9" w:rsidRPr="008362BE" w:rsidRDefault="004E67B9" w:rsidP="008362BE">
      <w:pPr>
        <w:tabs>
          <w:tab w:val="left" w:pos="7770"/>
        </w:tabs>
        <w:spacing w:after="0" w:line="240" w:lineRule="auto"/>
        <w:rPr>
          <w:sz w:val="20"/>
          <w:szCs w:val="20"/>
        </w:rPr>
      </w:pPr>
    </w:p>
    <w:p w:rsidR="004E67B9" w:rsidRDefault="00FC0FA6" w:rsidP="008362BE">
      <w:pPr>
        <w:tabs>
          <w:tab w:val="left" w:pos="7770"/>
        </w:tabs>
        <w:spacing w:after="0" w:line="240" w:lineRule="auto"/>
        <w:rPr>
          <w:sz w:val="20"/>
          <w:szCs w:val="20"/>
        </w:rPr>
      </w:pPr>
      <w:r w:rsidRPr="008362BE">
        <w:rPr>
          <w:noProof/>
          <w:sz w:val="20"/>
          <w:szCs w:val="20"/>
          <w:lang w:eastAsia="zh-CN"/>
        </w:rPr>
        <w:drawing>
          <wp:inline distT="0" distB="0" distL="0" distR="0">
            <wp:extent cx="2934335" cy="2009775"/>
            <wp:effectExtent l="19050" t="0" r="0" b="0"/>
            <wp:docPr id="9"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18"/>
                    <a:srcRect/>
                    <a:stretch>
                      <a:fillRect/>
                    </a:stretch>
                  </pic:blipFill>
                  <pic:spPr bwMode="auto">
                    <a:xfrm>
                      <a:off x="0" y="0"/>
                      <a:ext cx="2934335" cy="2009775"/>
                    </a:xfrm>
                    <a:prstGeom prst="rect">
                      <a:avLst/>
                    </a:prstGeom>
                    <a:noFill/>
                    <a:ln w="9525">
                      <a:noFill/>
                      <a:miter lim="800000"/>
                      <a:headEnd/>
                      <a:tailEnd/>
                    </a:ln>
                  </pic:spPr>
                </pic:pic>
              </a:graphicData>
            </a:graphic>
          </wp:inline>
        </w:drawing>
      </w:r>
    </w:p>
    <w:p w:rsidR="008362BE" w:rsidRPr="008362BE" w:rsidRDefault="008362BE" w:rsidP="008362BE">
      <w:pPr>
        <w:tabs>
          <w:tab w:val="left" w:pos="7770"/>
        </w:tabs>
        <w:spacing w:after="0" w:line="240" w:lineRule="auto"/>
        <w:rPr>
          <w:sz w:val="20"/>
          <w:szCs w:val="20"/>
        </w:rPr>
      </w:pPr>
    </w:p>
    <w:p w:rsidR="004E67B9" w:rsidRPr="008362BE" w:rsidRDefault="00FC0FA6" w:rsidP="008362BE">
      <w:pPr>
        <w:tabs>
          <w:tab w:val="left" w:pos="7770"/>
        </w:tabs>
        <w:spacing w:after="0" w:line="240" w:lineRule="auto"/>
        <w:rPr>
          <w:sz w:val="20"/>
          <w:szCs w:val="20"/>
        </w:rPr>
      </w:pPr>
      <w:r w:rsidRPr="008362BE">
        <w:rPr>
          <w:noProof/>
          <w:sz w:val="20"/>
          <w:szCs w:val="20"/>
          <w:lang w:eastAsia="zh-CN"/>
        </w:rPr>
        <w:drawing>
          <wp:inline distT="0" distB="0" distL="0" distR="0">
            <wp:extent cx="2958066" cy="237241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2958199" cy="2372524"/>
                    </a:xfrm>
                    <a:prstGeom prst="rect">
                      <a:avLst/>
                    </a:prstGeom>
                    <a:noFill/>
                    <a:ln w="9525">
                      <a:noFill/>
                      <a:miter lim="800000"/>
                      <a:headEnd/>
                      <a:tailEnd/>
                    </a:ln>
                  </pic:spPr>
                </pic:pic>
              </a:graphicData>
            </a:graphic>
          </wp:inline>
        </w:drawing>
      </w:r>
    </w:p>
    <w:p w:rsidR="004E67B9" w:rsidRPr="008362BE" w:rsidRDefault="004E67B9" w:rsidP="008362BE">
      <w:pPr>
        <w:tabs>
          <w:tab w:val="left" w:pos="7770"/>
        </w:tabs>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Fig 1.6 </w:t>
      </w:r>
      <w:proofErr w:type="spellStart"/>
      <w:r w:rsidRPr="008362BE">
        <w:rPr>
          <w:rFonts w:ascii="Times New Roman" w:hAnsi="Times New Roman" w:cs="Times New Roman"/>
          <w:sz w:val="20"/>
          <w:szCs w:val="20"/>
        </w:rPr>
        <w:t>scree</w:t>
      </w:r>
      <w:proofErr w:type="spellEnd"/>
      <w:r w:rsidRPr="008362BE">
        <w:rPr>
          <w:rFonts w:ascii="Times New Roman" w:hAnsi="Times New Roman" w:cs="Times New Roman"/>
          <w:sz w:val="20"/>
          <w:szCs w:val="20"/>
        </w:rPr>
        <w:t xml:space="preserve"> plot showing the thirty carbon components and their extent of influence in the soil</w:t>
      </w:r>
    </w:p>
    <w:p w:rsidR="008362BE" w:rsidRDefault="008362BE" w:rsidP="008362BE">
      <w:pPr>
        <w:spacing w:after="0" w:line="240" w:lineRule="auto"/>
        <w:jc w:val="both"/>
        <w:rPr>
          <w:rFonts w:ascii="Times New Roman" w:hAnsi="Times New Roman" w:cs="Times New Roman"/>
          <w:b/>
          <w:bCs/>
          <w:sz w:val="20"/>
          <w:szCs w:val="20"/>
        </w:rPr>
      </w:pPr>
    </w:p>
    <w:p w:rsidR="004E67B9" w:rsidRPr="008362BE" w:rsidRDefault="004E67B9" w:rsidP="008362BE">
      <w:pPr>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Table 1.2: Rotated Component Matrix of Extracted Variables</w:t>
      </w:r>
    </w:p>
    <w:tbl>
      <w:tblPr>
        <w:tblW w:w="0" w:type="auto"/>
        <w:tblInd w:w="-106" w:type="dxa"/>
        <w:tblBorders>
          <w:top w:val="single" w:sz="4" w:space="0" w:color="auto"/>
          <w:bottom w:val="single" w:sz="4" w:space="0" w:color="auto"/>
        </w:tblBorders>
        <w:tblLook w:val="00A0"/>
      </w:tblPr>
      <w:tblGrid>
        <w:gridCol w:w="1293"/>
        <w:gridCol w:w="1074"/>
        <w:gridCol w:w="1198"/>
        <w:gridCol w:w="1077"/>
      </w:tblGrid>
      <w:tr w:rsidR="004E67B9" w:rsidRPr="008362BE" w:rsidTr="003374ED">
        <w:trPr>
          <w:trHeight w:val="436"/>
        </w:trPr>
        <w:tc>
          <w:tcPr>
            <w:tcW w:w="1368" w:type="dxa"/>
            <w:vMerge w:val="restart"/>
            <w:tcBorders>
              <w:top w:val="single" w:sz="4" w:space="0" w:color="auto"/>
            </w:tcBorders>
            <w:vAlign w:val="center"/>
          </w:tcPr>
          <w:p w:rsidR="004E67B9" w:rsidRPr="008362BE" w:rsidRDefault="004E67B9" w:rsidP="008362BE">
            <w:pPr>
              <w:spacing w:after="0" w:line="240" w:lineRule="auto"/>
              <w:jc w:val="center"/>
              <w:rPr>
                <w:rFonts w:ascii="Times New Roman" w:hAnsi="Times New Roman" w:cs="Times New Roman"/>
                <w:b/>
                <w:bCs/>
                <w:sz w:val="20"/>
                <w:szCs w:val="20"/>
              </w:rPr>
            </w:pPr>
            <w:r w:rsidRPr="008362BE">
              <w:rPr>
                <w:rFonts w:ascii="Times New Roman" w:hAnsi="Times New Roman" w:cs="Times New Roman"/>
                <w:b/>
                <w:bCs/>
                <w:sz w:val="20"/>
                <w:szCs w:val="20"/>
              </w:rPr>
              <w:t>Parameter</w:t>
            </w:r>
          </w:p>
        </w:tc>
        <w:tc>
          <w:tcPr>
            <w:tcW w:w="3964" w:type="dxa"/>
            <w:gridSpan w:val="3"/>
            <w:tcBorders>
              <w:top w:val="single" w:sz="4" w:space="0" w:color="auto"/>
            </w:tcBorders>
            <w:vAlign w:val="center"/>
          </w:tcPr>
          <w:p w:rsidR="004E67B9" w:rsidRPr="008362BE" w:rsidRDefault="004E67B9" w:rsidP="008362BE">
            <w:pPr>
              <w:spacing w:after="0" w:line="240" w:lineRule="auto"/>
              <w:jc w:val="center"/>
              <w:rPr>
                <w:rFonts w:ascii="Times New Roman" w:hAnsi="Times New Roman" w:cs="Times New Roman"/>
                <w:b/>
                <w:bCs/>
                <w:sz w:val="20"/>
                <w:szCs w:val="20"/>
              </w:rPr>
            </w:pPr>
            <w:r w:rsidRPr="008362BE">
              <w:rPr>
                <w:rFonts w:ascii="Times New Roman" w:hAnsi="Times New Roman" w:cs="Times New Roman"/>
                <w:b/>
                <w:bCs/>
                <w:sz w:val="20"/>
                <w:szCs w:val="20"/>
              </w:rPr>
              <w:t>Component</w:t>
            </w:r>
          </w:p>
        </w:tc>
      </w:tr>
      <w:tr w:rsidR="004E67B9" w:rsidRPr="008362BE" w:rsidTr="003374ED">
        <w:trPr>
          <w:trHeight w:val="251"/>
        </w:trPr>
        <w:tc>
          <w:tcPr>
            <w:tcW w:w="1368" w:type="dxa"/>
            <w:vMerge/>
          </w:tcPr>
          <w:p w:rsidR="004E67B9" w:rsidRPr="008362BE" w:rsidRDefault="004E67B9" w:rsidP="008362BE">
            <w:pPr>
              <w:spacing w:after="0" w:line="240" w:lineRule="auto"/>
              <w:jc w:val="both"/>
              <w:rPr>
                <w:rFonts w:ascii="Times New Roman" w:hAnsi="Times New Roman" w:cs="Times New Roman"/>
                <w:b/>
                <w:bCs/>
                <w:sz w:val="20"/>
                <w:szCs w:val="20"/>
              </w:rPr>
            </w:pPr>
          </w:p>
        </w:tc>
        <w:tc>
          <w:tcPr>
            <w:tcW w:w="1260" w:type="dxa"/>
            <w:vAlign w:val="center"/>
          </w:tcPr>
          <w:p w:rsidR="004E67B9" w:rsidRPr="008362BE" w:rsidRDefault="004E67B9" w:rsidP="008362BE">
            <w:pPr>
              <w:spacing w:after="0" w:line="240" w:lineRule="auto"/>
              <w:jc w:val="center"/>
              <w:rPr>
                <w:rFonts w:ascii="Times New Roman" w:hAnsi="Times New Roman" w:cs="Times New Roman"/>
                <w:b/>
                <w:bCs/>
                <w:sz w:val="20"/>
                <w:szCs w:val="20"/>
              </w:rPr>
            </w:pPr>
            <w:r w:rsidRPr="008362BE">
              <w:rPr>
                <w:rFonts w:ascii="Times New Roman" w:hAnsi="Times New Roman" w:cs="Times New Roman"/>
                <w:b/>
                <w:bCs/>
                <w:sz w:val="20"/>
                <w:szCs w:val="20"/>
              </w:rPr>
              <w:t>1</w:t>
            </w:r>
          </w:p>
        </w:tc>
        <w:tc>
          <w:tcPr>
            <w:tcW w:w="1440" w:type="dxa"/>
            <w:vAlign w:val="center"/>
          </w:tcPr>
          <w:p w:rsidR="004E67B9" w:rsidRPr="008362BE" w:rsidRDefault="004E67B9" w:rsidP="008362BE">
            <w:pPr>
              <w:spacing w:after="0" w:line="240" w:lineRule="auto"/>
              <w:jc w:val="center"/>
              <w:rPr>
                <w:rFonts w:ascii="Times New Roman" w:hAnsi="Times New Roman" w:cs="Times New Roman"/>
                <w:b/>
                <w:bCs/>
                <w:sz w:val="20"/>
                <w:szCs w:val="20"/>
              </w:rPr>
            </w:pPr>
            <w:r w:rsidRPr="008362BE">
              <w:rPr>
                <w:rFonts w:ascii="Times New Roman" w:hAnsi="Times New Roman" w:cs="Times New Roman"/>
                <w:b/>
                <w:bCs/>
                <w:sz w:val="20"/>
                <w:szCs w:val="20"/>
              </w:rPr>
              <w:t>2</w:t>
            </w:r>
          </w:p>
        </w:tc>
        <w:tc>
          <w:tcPr>
            <w:tcW w:w="1264" w:type="dxa"/>
            <w:vAlign w:val="center"/>
          </w:tcPr>
          <w:p w:rsidR="004E67B9" w:rsidRPr="008362BE" w:rsidRDefault="004E67B9" w:rsidP="008362BE">
            <w:pPr>
              <w:spacing w:after="0" w:line="240" w:lineRule="auto"/>
              <w:jc w:val="center"/>
              <w:rPr>
                <w:rFonts w:ascii="Times New Roman" w:hAnsi="Times New Roman" w:cs="Times New Roman"/>
                <w:b/>
                <w:bCs/>
                <w:sz w:val="20"/>
                <w:szCs w:val="20"/>
              </w:rPr>
            </w:pPr>
            <w:r w:rsidRPr="008362BE">
              <w:rPr>
                <w:rFonts w:ascii="Times New Roman" w:hAnsi="Times New Roman" w:cs="Times New Roman"/>
                <w:b/>
                <w:bCs/>
                <w:sz w:val="20"/>
                <w:szCs w:val="20"/>
              </w:rPr>
              <w:t>3</w:t>
            </w:r>
          </w:p>
        </w:tc>
      </w:tr>
      <w:tr w:rsidR="004E67B9" w:rsidRPr="008362BE" w:rsidTr="003374ED">
        <w:tc>
          <w:tcPr>
            <w:tcW w:w="1368" w:type="dxa"/>
          </w:tcPr>
          <w:p w:rsidR="004E67B9" w:rsidRPr="008362BE" w:rsidRDefault="004E67B9" w:rsidP="008362BE">
            <w:pPr>
              <w:spacing w:after="0" w:line="240" w:lineRule="auto"/>
              <w:jc w:val="both"/>
              <w:rPr>
                <w:rFonts w:ascii="Times New Roman" w:hAnsi="Times New Roman" w:cs="Times New Roman"/>
                <w:sz w:val="20"/>
                <w:szCs w:val="20"/>
                <w:vertAlign w:val="subscript"/>
              </w:rPr>
            </w:pPr>
            <w:r w:rsidRPr="008362BE">
              <w:rPr>
                <w:rFonts w:ascii="Times New Roman" w:hAnsi="Times New Roman" w:cs="Times New Roman"/>
                <w:sz w:val="20"/>
                <w:szCs w:val="20"/>
              </w:rPr>
              <w:t xml:space="preserve">    C</w:t>
            </w:r>
            <w:r w:rsidRPr="008362BE">
              <w:rPr>
                <w:rFonts w:ascii="Times New Roman" w:hAnsi="Times New Roman" w:cs="Times New Roman"/>
                <w:sz w:val="20"/>
                <w:szCs w:val="20"/>
                <w:vertAlign w:val="subscript"/>
              </w:rPr>
              <w:t>17/22</w:t>
            </w:r>
          </w:p>
        </w:tc>
        <w:tc>
          <w:tcPr>
            <w:tcW w:w="1260" w:type="dxa"/>
          </w:tcPr>
          <w:p w:rsidR="004E67B9" w:rsidRPr="008362BE" w:rsidRDefault="004E67B9"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     0.983</w:t>
            </w:r>
          </w:p>
        </w:tc>
        <w:tc>
          <w:tcPr>
            <w:tcW w:w="1440" w:type="dxa"/>
          </w:tcPr>
          <w:p w:rsidR="004E67B9" w:rsidRPr="008362BE" w:rsidRDefault="004E67B9"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     </w:t>
            </w:r>
          </w:p>
        </w:tc>
        <w:tc>
          <w:tcPr>
            <w:tcW w:w="1264" w:type="dxa"/>
          </w:tcPr>
          <w:p w:rsidR="004E67B9" w:rsidRPr="008362BE" w:rsidRDefault="004E67B9" w:rsidP="008362BE">
            <w:pPr>
              <w:spacing w:after="0" w:line="240" w:lineRule="auto"/>
              <w:jc w:val="both"/>
              <w:rPr>
                <w:rFonts w:ascii="Times New Roman" w:hAnsi="Times New Roman" w:cs="Times New Roman"/>
                <w:sz w:val="20"/>
                <w:szCs w:val="20"/>
              </w:rPr>
            </w:pPr>
          </w:p>
        </w:tc>
      </w:tr>
      <w:tr w:rsidR="004E67B9" w:rsidRPr="008362BE" w:rsidTr="003374ED">
        <w:tc>
          <w:tcPr>
            <w:tcW w:w="1368" w:type="dxa"/>
          </w:tcPr>
          <w:p w:rsidR="004E67B9" w:rsidRPr="008362BE" w:rsidRDefault="004E67B9" w:rsidP="008362BE">
            <w:pPr>
              <w:spacing w:after="0" w:line="240" w:lineRule="auto"/>
              <w:jc w:val="both"/>
              <w:rPr>
                <w:rFonts w:ascii="Times New Roman" w:hAnsi="Times New Roman" w:cs="Times New Roman"/>
                <w:sz w:val="20"/>
                <w:szCs w:val="20"/>
                <w:vertAlign w:val="subscript"/>
              </w:rPr>
            </w:pPr>
            <w:r w:rsidRPr="008362BE">
              <w:rPr>
                <w:rFonts w:ascii="Times New Roman" w:hAnsi="Times New Roman" w:cs="Times New Roman"/>
                <w:sz w:val="20"/>
                <w:szCs w:val="20"/>
              </w:rPr>
              <w:t xml:space="preserve">    C</w:t>
            </w:r>
            <w:r w:rsidRPr="008362BE">
              <w:rPr>
                <w:rFonts w:ascii="Times New Roman" w:hAnsi="Times New Roman" w:cs="Times New Roman"/>
                <w:sz w:val="20"/>
                <w:szCs w:val="20"/>
                <w:vertAlign w:val="subscript"/>
              </w:rPr>
              <w:t>36</w:t>
            </w:r>
          </w:p>
        </w:tc>
        <w:tc>
          <w:tcPr>
            <w:tcW w:w="1260" w:type="dxa"/>
          </w:tcPr>
          <w:p w:rsidR="004E67B9" w:rsidRPr="008362BE" w:rsidRDefault="004E67B9" w:rsidP="008362BE">
            <w:pPr>
              <w:spacing w:after="0" w:line="240" w:lineRule="auto"/>
              <w:jc w:val="both"/>
              <w:rPr>
                <w:rFonts w:ascii="Times New Roman" w:hAnsi="Times New Roman" w:cs="Times New Roman"/>
                <w:sz w:val="20"/>
                <w:szCs w:val="20"/>
              </w:rPr>
            </w:pPr>
          </w:p>
        </w:tc>
        <w:tc>
          <w:tcPr>
            <w:tcW w:w="1440" w:type="dxa"/>
          </w:tcPr>
          <w:p w:rsidR="004E67B9" w:rsidRPr="008362BE" w:rsidRDefault="004E67B9"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           0.991</w:t>
            </w:r>
          </w:p>
        </w:tc>
        <w:tc>
          <w:tcPr>
            <w:tcW w:w="1264" w:type="dxa"/>
          </w:tcPr>
          <w:p w:rsidR="004E67B9" w:rsidRPr="008362BE" w:rsidRDefault="004E67B9" w:rsidP="008362BE">
            <w:pPr>
              <w:spacing w:after="0" w:line="240" w:lineRule="auto"/>
              <w:jc w:val="both"/>
              <w:rPr>
                <w:rFonts w:ascii="Times New Roman" w:hAnsi="Times New Roman" w:cs="Times New Roman"/>
                <w:sz w:val="20"/>
                <w:szCs w:val="20"/>
              </w:rPr>
            </w:pPr>
          </w:p>
        </w:tc>
      </w:tr>
      <w:tr w:rsidR="004E67B9" w:rsidRPr="008362BE" w:rsidTr="003374ED">
        <w:tc>
          <w:tcPr>
            <w:tcW w:w="1368" w:type="dxa"/>
            <w:tcBorders>
              <w:bottom w:val="single" w:sz="4" w:space="0" w:color="auto"/>
            </w:tcBorders>
          </w:tcPr>
          <w:p w:rsidR="004E67B9" w:rsidRPr="008362BE" w:rsidRDefault="004E67B9" w:rsidP="008362BE">
            <w:pPr>
              <w:spacing w:after="0" w:line="240" w:lineRule="auto"/>
              <w:jc w:val="both"/>
              <w:rPr>
                <w:rFonts w:ascii="Times New Roman" w:hAnsi="Times New Roman" w:cs="Times New Roman"/>
                <w:sz w:val="20"/>
                <w:szCs w:val="20"/>
                <w:vertAlign w:val="subscript"/>
              </w:rPr>
            </w:pPr>
            <w:r w:rsidRPr="008362BE">
              <w:rPr>
                <w:rFonts w:ascii="Times New Roman" w:hAnsi="Times New Roman" w:cs="Times New Roman"/>
                <w:sz w:val="20"/>
                <w:szCs w:val="20"/>
              </w:rPr>
              <w:t xml:space="preserve">    C</w:t>
            </w:r>
            <w:r w:rsidRPr="008362BE">
              <w:rPr>
                <w:rFonts w:ascii="Times New Roman" w:hAnsi="Times New Roman" w:cs="Times New Roman"/>
                <w:sz w:val="20"/>
                <w:szCs w:val="20"/>
                <w:vertAlign w:val="subscript"/>
              </w:rPr>
              <w:t>31</w:t>
            </w:r>
          </w:p>
        </w:tc>
        <w:tc>
          <w:tcPr>
            <w:tcW w:w="1260" w:type="dxa"/>
            <w:tcBorders>
              <w:bottom w:val="single" w:sz="4" w:space="0" w:color="auto"/>
            </w:tcBorders>
          </w:tcPr>
          <w:p w:rsidR="004E67B9" w:rsidRPr="008362BE" w:rsidRDefault="004E67B9" w:rsidP="008362BE">
            <w:pPr>
              <w:spacing w:after="0" w:line="240" w:lineRule="auto"/>
              <w:jc w:val="both"/>
              <w:rPr>
                <w:rFonts w:ascii="Times New Roman" w:hAnsi="Times New Roman" w:cs="Times New Roman"/>
                <w:sz w:val="20"/>
                <w:szCs w:val="20"/>
              </w:rPr>
            </w:pPr>
          </w:p>
        </w:tc>
        <w:tc>
          <w:tcPr>
            <w:tcW w:w="1440" w:type="dxa"/>
            <w:tcBorders>
              <w:bottom w:val="single" w:sz="4" w:space="0" w:color="auto"/>
            </w:tcBorders>
          </w:tcPr>
          <w:p w:rsidR="004E67B9" w:rsidRPr="008362BE" w:rsidRDefault="004E67B9" w:rsidP="008362BE">
            <w:pPr>
              <w:spacing w:after="0" w:line="240" w:lineRule="auto"/>
              <w:jc w:val="both"/>
              <w:rPr>
                <w:rFonts w:ascii="Times New Roman" w:hAnsi="Times New Roman" w:cs="Times New Roman"/>
                <w:sz w:val="20"/>
                <w:szCs w:val="20"/>
              </w:rPr>
            </w:pPr>
          </w:p>
        </w:tc>
        <w:tc>
          <w:tcPr>
            <w:tcW w:w="1264" w:type="dxa"/>
            <w:tcBorders>
              <w:bottom w:val="single" w:sz="4" w:space="0" w:color="auto"/>
            </w:tcBorders>
          </w:tcPr>
          <w:p w:rsidR="004E67B9" w:rsidRPr="008362BE" w:rsidRDefault="004E67B9"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         0.969</w:t>
            </w:r>
          </w:p>
        </w:tc>
      </w:tr>
    </w:tbl>
    <w:p w:rsidR="004E67B9" w:rsidRPr="008362BE" w:rsidRDefault="004E67B9" w:rsidP="008362BE">
      <w:pPr>
        <w:tabs>
          <w:tab w:val="left" w:pos="7770"/>
        </w:tabs>
        <w:spacing w:after="0" w:line="240" w:lineRule="auto"/>
        <w:rPr>
          <w:rFonts w:ascii="Times New Roman" w:hAnsi="Times New Roman" w:cs="Times New Roman"/>
          <w:sz w:val="20"/>
          <w:szCs w:val="20"/>
        </w:rPr>
      </w:pPr>
    </w:p>
    <w:p w:rsidR="004E67B9" w:rsidRPr="008362BE" w:rsidRDefault="008362BE" w:rsidP="008362BE">
      <w:pPr>
        <w:tabs>
          <w:tab w:val="left" w:pos="777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E67B9" w:rsidRPr="008362BE">
        <w:rPr>
          <w:rFonts w:ascii="Times New Roman" w:hAnsi="Times New Roman" w:cs="Times New Roman"/>
          <w:sz w:val="20"/>
          <w:szCs w:val="20"/>
        </w:rPr>
        <w:t xml:space="preserve">A total of thirty(30) hydrocarbon variables were analyzed in the soil locations. The </w:t>
      </w:r>
      <w:proofErr w:type="spellStart"/>
      <w:r w:rsidR="004E67B9" w:rsidRPr="008362BE">
        <w:rPr>
          <w:rFonts w:ascii="Times New Roman" w:hAnsi="Times New Roman" w:cs="Times New Roman"/>
          <w:sz w:val="20"/>
          <w:szCs w:val="20"/>
        </w:rPr>
        <w:t>screeplot</w:t>
      </w:r>
      <w:proofErr w:type="spellEnd"/>
      <w:r w:rsidR="004E67B9" w:rsidRPr="008362BE">
        <w:rPr>
          <w:rFonts w:ascii="Times New Roman" w:hAnsi="Times New Roman" w:cs="Times New Roman"/>
          <w:sz w:val="20"/>
          <w:szCs w:val="20"/>
        </w:rPr>
        <w:t xml:space="preserve"> (fig 1.6) represents the </w:t>
      </w:r>
      <w:proofErr w:type="spellStart"/>
      <w:r w:rsidR="004E67B9" w:rsidRPr="008362BE">
        <w:rPr>
          <w:rFonts w:ascii="Times New Roman" w:hAnsi="Times New Roman" w:cs="Times New Roman"/>
          <w:sz w:val="20"/>
          <w:szCs w:val="20"/>
        </w:rPr>
        <w:t>eigenvalue</w:t>
      </w:r>
      <w:proofErr w:type="spellEnd"/>
      <w:r w:rsidR="004E67B9" w:rsidRPr="008362BE">
        <w:rPr>
          <w:rFonts w:ascii="Times New Roman" w:hAnsi="Times New Roman" w:cs="Times New Roman"/>
          <w:sz w:val="20"/>
          <w:szCs w:val="20"/>
        </w:rPr>
        <w:t xml:space="preserve">  of each component in the initial solution</w:t>
      </w:r>
    </w:p>
    <w:p w:rsidR="004E67B9" w:rsidRPr="008362BE" w:rsidRDefault="008362BE" w:rsidP="008362BE">
      <w:pPr>
        <w:tabs>
          <w:tab w:val="left" w:pos="777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E67B9" w:rsidRPr="008362BE">
        <w:rPr>
          <w:rFonts w:ascii="Times New Roman" w:hAnsi="Times New Roman" w:cs="Times New Roman"/>
          <w:sz w:val="20"/>
          <w:szCs w:val="20"/>
        </w:rPr>
        <w:t>Extraction and rotation sums of square loadings (fig 1.5) revealed that the first three(3) principal components formed the extracted component on the steep slope while the other components are formed on the shallow slope.</w:t>
      </w:r>
    </w:p>
    <w:p w:rsidR="004E67B9" w:rsidRPr="008362BE" w:rsidRDefault="008362BE" w:rsidP="008362BE">
      <w:pPr>
        <w:tabs>
          <w:tab w:val="left" w:pos="777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E67B9" w:rsidRPr="008362BE">
        <w:rPr>
          <w:rFonts w:ascii="Times New Roman" w:hAnsi="Times New Roman" w:cs="Times New Roman"/>
          <w:sz w:val="20"/>
          <w:szCs w:val="20"/>
        </w:rPr>
        <w:t>The rotated components in table 1.0 revealed that the first component is highly correlated with C</w:t>
      </w:r>
      <w:r w:rsidR="004E67B9" w:rsidRPr="008362BE">
        <w:rPr>
          <w:rFonts w:ascii="Times New Roman" w:hAnsi="Times New Roman" w:cs="Times New Roman"/>
          <w:sz w:val="20"/>
          <w:szCs w:val="20"/>
          <w:vertAlign w:val="subscript"/>
        </w:rPr>
        <w:t xml:space="preserve">17 </w:t>
      </w:r>
      <w:r w:rsidR="004E67B9" w:rsidRPr="008362BE">
        <w:rPr>
          <w:rFonts w:ascii="Times New Roman" w:hAnsi="Times New Roman" w:cs="Times New Roman"/>
          <w:sz w:val="20"/>
          <w:szCs w:val="20"/>
        </w:rPr>
        <w:t>/C</w:t>
      </w:r>
      <w:r w:rsidR="004E67B9" w:rsidRPr="008362BE">
        <w:rPr>
          <w:rFonts w:ascii="Times New Roman" w:hAnsi="Times New Roman" w:cs="Times New Roman"/>
          <w:sz w:val="20"/>
          <w:szCs w:val="20"/>
          <w:vertAlign w:val="subscript"/>
        </w:rPr>
        <w:t>22</w:t>
      </w:r>
      <w:r w:rsidR="004E67B9" w:rsidRPr="008362BE">
        <w:rPr>
          <w:rFonts w:ascii="Times New Roman" w:hAnsi="Times New Roman" w:cs="Times New Roman"/>
          <w:sz w:val="20"/>
          <w:szCs w:val="20"/>
        </w:rPr>
        <w:t>(0.983), the second component is most highly correlated with C</w:t>
      </w:r>
      <w:r w:rsidR="004E67B9" w:rsidRPr="008362BE">
        <w:rPr>
          <w:rFonts w:ascii="Times New Roman" w:hAnsi="Times New Roman" w:cs="Times New Roman"/>
          <w:sz w:val="20"/>
          <w:szCs w:val="20"/>
          <w:vertAlign w:val="subscript"/>
        </w:rPr>
        <w:t>36</w:t>
      </w:r>
      <w:r w:rsidR="004E67B9" w:rsidRPr="008362BE">
        <w:rPr>
          <w:rFonts w:ascii="Times New Roman" w:hAnsi="Times New Roman" w:cs="Times New Roman"/>
          <w:sz w:val="20"/>
          <w:szCs w:val="20"/>
        </w:rPr>
        <w:t>(0.991) while the third component is most highly correlated with C</w:t>
      </w:r>
      <w:r w:rsidR="004E67B9" w:rsidRPr="008362BE">
        <w:rPr>
          <w:rFonts w:ascii="Times New Roman" w:hAnsi="Times New Roman" w:cs="Times New Roman"/>
          <w:sz w:val="20"/>
          <w:szCs w:val="20"/>
          <w:vertAlign w:val="subscript"/>
        </w:rPr>
        <w:t>31</w:t>
      </w:r>
      <w:r w:rsidR="004E67B9" w:rsidRPr="008362BE">
        <w:rPr>
          <w:rFonts w:ascii="Times New Roman" w:hAnsi="Times New Roman" w:cs="Times New Roman"/>
          <w:sz w:val="20"/>
          <w:szCs w:val="20"/>
        </w:rPr>
        <w:t>(0.969).</w:t>
      </w:r>
    </w:p>
    <w:p w:rsidR="004E67B9" w:rsidRPr="008362BE" w:rsidRDefault="004E67B9" w:rsidP="008362BE">
      <w:pPr>
        <w:tabs>
          <w:tab w:val="left" w:pos="7770"/>
        </w:tabs>
        <w:spacing w:after="0" w:line="240" w:lineRule="auto"/>
        <w:rPr>
          <w:rFonts w:ascii="Times New Roman" w:hAnsi="Times New Roman" w:cs="Times New Roman"/>
          <w:sz w:val="20"/>
          <w:szCs w:val="20"/>
        </w:rPr>
      </w:pPr>
    </w:p>
    <w:p w:rsidR="004E67B9" w:rsidRPr="008362BE" w:rsidRDefault="004E67B9" w:rsidP="008362BE">
      <w:pPr>
        <w:tabs>
          <w:tab w:val="left" w:pos="7770"/>
        </w:tabs>
        <w:spacing w:after="0" w:line="240" w:lineRule="auto"/>
        <w:rPr>
          <w:rFonts w:ascii="Times New Roman" w:hAnsi="Times New Roman" w:cs="Times New Roman"/>
          <w:b/>
          <w:bCs/>
          <w:sz w:val="20"/>
          <w:szCs w:val="20"/>
        </w:rPr>
      </w:pPr>
      <w:r w:rsidRPr="008362BE">
        <w:rPr>
          <w:rFonts w:ascii="Times New Roman" w:hAnsi="Times New Roman" w:cs="Times New Roman"/>
          <w:b/>
          <w:bCs/>
          <w:sz w:val="20"/>
          <w:szCs w:val="20"/>
        </w:rPr>
        <w:t>Discussion</w:t>
      </w:r>
    </w:p>
    <w:p w:rsidR="004E67B9" w:rsidRPr="008362BE" w:rsidRDefault="004E67B9" w:rsidP="008362BE">
      <w:pPr>
        <w:tabs>
          <w:tab w:val="left" w:pos="7770"/>
        </w:tabs>
        <w:spacing w:after="0" w:line="240" w:lineRule="auto"/>
        <w:ind w:firstLine="360"/>
        <w:jc w:val="both"/>
        <w:rPr>
          <w:rFonts w:ascii="Times New Roman" w:hAnsi="Times New Roman" w:cs="Times New Roman"/>
          <w:b/>
          <w:bCs/>
          <w:sz w:val="20"/>
          <w:szCs w:val="20"/>
        </w:rPr>
      </w:pPr>
      <w:r w:rsidRPr="008362BE">
        <w:rPr>
          <w:rFonts w:ascii="Times New Roman" w:hAnsi="Times New Roman" w:cs="Times New Roman"/>
          <w:sz w:val="20"/>
          <w:szCs w:val="20"/>
        </w:rPr>
        <w:t>The high concentration of TPH detected in the soil sample especially the point close to source</w:t>
      </w:r>
      <w:r w:rsidRPr="008362BE">
        <w:rPr>
          <w:rFonts w:ascii="Times New Roman" w:hAnsi="Times New Roman" w:cs="Times New Roman"/>
          <w:b/>
          <w:bCs/>
          <w:sz w:val="20"/>
          <w:szCs w:val="20"/>
        </w:rPr>
        <w:t xml:space="preserve"> </w:t>
      </w:r>
      <w:r w:rsidRPr="008362BE">
        <w:rPr>
          <w:rFonts w:ascii="Times New Roman" w:hAnsi="Times New Roman" w:cs="Times New Roman"/>
          <w:sz w:val="20"/>
          <w:szCs w:val="20"/>
        </w:rPr>
        <w:t>of emission could readily be attributed to TPH contamination of the soil from the poorly treated emission from the</w:t>
      </w:r>
      <w:r w:rsidRPr="008362BE">
        <w:rPr>
          <w:rFonts w:ascii="Times New Roman" w:hAnsi="Times New Roman" w:cs="Times New Roman"/>
          <w:b/>
          <w:bCs/>
          <w:sz w:val="20"/>
          <w:szCs w:val="20"/>
        </w:rPr>
        <w:t xml:space="preserve"> </w:t>
      </w:r>
      <w:proofErr w:type="spellStart"/>
      <w:r w:rsidRPr="008362BE">
        <w:rPr>
          <w:rFonts w:ascii="Times New Roman" w:hAnsi="Times New Roman" w:cs="Times New Roman"/>
          <w:sz w:val="20"/>
          <w:szCs w:val="20"/>
        </w:rPr>
        <w:t>neighbourhood</w:t>
      </w:r>
      <w:proofErr w:type="spellEnd"/>
      <w:r w:rsidRPr="008362BE">
        <w:rPr>
          <w:rFonts w:ascii="Times New Roman" w:hAnsi="Times New Roman" w:cs="Times New Roman"/>
          <w:sz w:val="20"/>
          <w:szCs w:val="20"/>
        </w:rPr>
        <w:t>.</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The test of homogeneity in mean variance of the soil using the one way analysis of variance showed high significant spatial inequality in means of the soil parameters under study.</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[F</w:t>
      </w:r>
      <w:r w:rsidRPr="008362BE">
        <w:rPr>
          <w:rFonts w:ascii="Times New Roman" w:hAnsi="Times New Roman" w:cs="Times New Roman"/>
          <w:sz w:val="20"/>
          <w:szCs w:val="20"/>
          <w:vertAlign w:val="subscript"/>
        </w:rPr>
        <w:t>(11.366)</w:t>
      </w:r>
      <w:r w:rsidRPr="008362BE">
        <w:rPr>
          <w:rFonts w:ascii="Times New Roman" w:hAnsi="Times New Roman" w:cs="Times New Roman"/>
          <w:sz w:val="20"/>
          <w:szCs w:val="20"/>
        </w:rPr>
        <w:t xml:space="preserve">&gt; </w:t>
      </w:r>
      <w:proofErr w:type="spellStart"/>
      <w:r w:rsidRPr="008362BE">
        <w:rPr>
          <w:rFonts w:ascii="Times New Roman" w:hAnsi="Times New Roman" w:cs="Times New Roman"/>
          <w:sz w:val="20"/>
          <w:szCs w:val="20"/>
        </w:rPr>
        <w:t>F</w:t>
      </w:r>
      <w:r w:rsidRPr="008362BE">
        <w:rPr>
          <w:rFonts w:ascii="Times New Roman" w:hAnsi="Times New Roman" w:cs="Times New Roman"/>
          <w:sz w:val="20"/>
          <w:szCs w:val="20"/>
          <w:vertAlign w:val="subscript"/>
        </w:rPr>
        <w:t>Crit</w:t>
      </w:r>
      <w:proofErr w:type="spellEnd"/>
      <w:r w:rsidRPr="008362BE">
        <w:rPr>
          <w:rFonts w:ascii="Times New Roman" w:hAnsi="Times New Roman" w:cs="Times New Roman"/>
          <w:sz w:val="20"/>
          <w:szCs w:val="20"/>
          <w:vertAlign w:val="subscript"/>
        </w:rPr>
        <w:t xml:space="preserve">(3.952)] </w:t>
      </w:r>
      <w:r w:rsidRPr="008362BE">
        <w:rPr>
          <w:rFonts w:ascii="Times New Roman" w:hAnsi="Times New Roman" w:cs="Times New Roman"/>
          <w:sz w:val="20"/>
          <w:szCs w:val="20"/>
        </w:rPr>
        <w:t>at P&lt;0.05. Using means Plot for the structure detection of means difference, the inequalities were revealed to be contributed by all the parameters measured in all the locations.(fig 4.1……4.10). The most logical assumption could be adduced to non-isotropic (different properties in all direction) nature of the soil, high residence time and runoffs of pollutants along the soil gradients (</w:t>
      </w:r>
      <w:proofErr w:type="spellStart"/>
      <w:r w:rsidRPr="008362BE">
        <w:rPr>
          <w:rFonts w:ascii="Times New Roman" w:hAnsi="Times New Roman" w:cs="Times New Roman"/>
          <w:sz w:val="20"/>
          <w:szCs w:val="20"/>
        </w:rPr>
        <w:t>Windgardner</w:t>
      </w:r>
      <w:proofErr w:type="spellEnd"/>
      <w:r w:rsidRPr="008362BE">
        <w:rPr>
          <w:rFonts w:ascii="Times New Roman" w:hAnsi="Times New Roman" w:cs="Times New Roman"/>
          <w:sz w:val="20"/>
          <w:szCs w:val="20"/>
        </w:rPr>
        <w:t xml:space="preserve">, 1996). From the results obtained, the TPH components extraction falls into the group of </w:t>
      </w:r>
      <w:proofErr w:type="spellStart"/>
      <w:r w:rsidRPr="008362BE">
        <w:rPr>
          <w:rFonts w:ascii="Times New Roman" w:hAnsi="Times New Roman" w:cs="Times New Roman"/>
          <w:sz w:val="20"/>
          <w:szCs w:val="20"/>
        </w:rPr>
        <w:t>Aliphatics</w:t>
      </w:r>
      <w:proofErr w:type="spellEnd"/>
      <w:r w:rsidRPr="008362BE">
        <w:rPr>
          <w:rFonts w:ascii="Times New Roman" w:hAnsi="Times New Roman" w:cs="Times New Roman"/>
          <w:sz w:val="20"/>
          <w:szCs w:val="20"/>
        </w:rPr>
        <w:t>.</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TPH in the soil ranged from 60.97 to 356.79. The highest concentration is most contributed by location two (SP2) 356.79mg/kg and less contributed at control point 34.18mg/kg farther from the Asphalt plant.(fig 1.1). There is significant difference between the samples near the Asphalt plant and control location from the plant. A review of existing data on the Niger Delta by NDES (1999), </w:t>
      </w:r>
      <w:proofErr w:type="spellStart"/>
      <w:r w:rsidRPr="008362BE">
        <w:rPr>
          <w:rFonts w:ascii="Times New Roman" w:hAnsi="Times New Roman" w:cs="Times New Roman"/>
          <w:sz w:val="20"/>
          <w:szCs w:val="20"/>
        </w:rPr>
        <w:t>Osuji</w:t>
      </w:r>
      <w:proofErr w:type="spellEnd"/>
      <w:r w:rsidRPr="008362BE">
        <w:rPr>
          <w:rFonts w:ascii="Times New Roman" w:hAnsi="Times New Roman" w:cs="Times New Roman"/>
          <w:sz w:val="20"/>
          <w:szCs w:val="20"/>
        </w:rPr>
        <w:t xml:space="preserve"> (2001) and </w:t>
      </w:r>
      <w:proofErr w:type="spellStart"/>
      <w:r w:rsidRPr="008362BE">
        <w:rPr>
          <w:rFonts w:ascii="Times New Roman" w:hAnsi="Times New Roman" w:cs="Times New Roman"/>
          <w:sz w:val="20"/>
          <w:szCs w:val="20"/>
        </w:rPr>
        <w:t>Osuji</w:t>
      </w:r>
      <w:proofErr w:type="spellEnd"/>
      <w:r w:rsidRPr="008362BE">
        <w:rPr>
          <w:rFonts w:ascii="Times New Roman" w:hAnsi="Times New Roman" w:cs="Times New Roman"/>
          <w:sz w:val="20"/>
          <w:szCs w:val="20"/>
        </w:rPr>
        <w:t xml:space="preserve"> et al (2004) affirms that such high hydrocarbon levels affect both above-ground and subterranean flora and fauna which are essential adjuncts in the biogeochemical cycle that affects the availability of plant nutrients. It is therefore asserted that the Asphalt plant has significant impact on the TPH content of the soil around it. The strong significant associations observed between most of the hydrocarbons agrees with the work of El-</w:t>
      </w:r>
      <w:proofErr w:type="spellStart"/>
      <w:r w:rsidRPr="008362BE">
        <w:rPr>
          <w:rFonts w:ascii="Times New Roman" w:hAnsi="Times New Roman" w:cs="Times New Roman"/>
          <w:sz w:val="20"/>
          <w:szCs w:val="20"/>
        </w:rPr>
        <w:t>Deeb</w:t>
      </w:r>
      <w:proofErr w:type="spellEnd"/>
      <w:r w:rsidRPr="008362BE">
        <w:rPr>
          <w:rFonts w:ascii="Times New Roman" w:hAnsi="Times New Roman" w:cs="Times New Roman"/>
          <w:sz w:val="20"/>
          <w:szCs w:val="20"/>
        </w:rPr>
        <w:t xml:space="preserve"> and </w:t>
      </w:r>
      <w:proofErr w:type="spellStart"/>
      <w:r w:rsidRPr="008362BE">
        <w:rPr>
          <w:rFonts w:ascii="Times New Roman" w:hAnsi="Times New Roman" w:cs="Times New Roman"/>
          <w:sz w:val="20"/>
          <w:szCs w:val="20"/>
        </w:rPr>
        <w:t>Emara</w:t>
      </w:r>
      <w:proofErr w:type="spellEnd"/>
      <w:r w:rsidRPr="008362BE">
        <w:rPr>
          <w:rFonts w:ascii="Times New Roman" w:hAnsi="Times New Roman" w:cs="Times New Roman"/>
          <w:sz w:val="20"/>
          <w:szCs w:val="20"/>
        </w:rPr>
        <w:t xml:space="preserve"> (2005). The source of this study is therefore generally believed to be of </w:t>
      </w:r>
      <w:proofErr w:type="spellStart"/>
      <w:r w:rsidRPr="008362BE">
        <w:rPr>
          <w:rFonts w:ascii="Times New Roman" w:hAnsi="Times New Roman" w:cs="Times New Roman"/>
          <w:sz w:val="20"/>
          <w:szCs w:val="20"/>
        </w:rPr>
        <w:t>petrogenic</w:t>
      </w:r>
      <w:proofErr w:type="spellEnd"/>
      <w:r w:rsidRPr="008362BE">
        <w:rPr>
          <w:rFonts w:ascii="Times New Roman" w:hAnsi="Times New Roman" w:cs="Times New Roman"/>
          <w:sz w:val="20"/>
          <w:szCs w:val="20"/>
        </w:rPr>
        <w:t xml:space="preserve"> and </w:t>
      </w:r>
      <w:proofErr w:type="spellStart"/>
      <w:r w:rsidRPr="008362BE">
        <w:rPr>
          <w:rFonts w:ascii="Times New Roman" w:hAnsi="Times New Roman" w:cs="Times New Roman"/>
          <w:sz w:val="20"/>
          <w:szCs w:val="20"/>
        </w:rPr>
        <w:t>hydrocarbonic</w:t>
      </w:r>
      <w:proofErr w:type="spellEnd"/>
      <w:r w:rsidRPr="008362BE">
        <w:rPr>
          <w:rFonts w:ascii="Times New Roman" w:hAnsi="Times New Roman" w:cs="Times New Roman"/>
          <w:sz w:val="20"/>
          <w:szCs w:val="20"/>
        </w:rPr>
        <w:t xml:space="preserve"> origin and components are closely related due to their molecular weight (</w:t>
      </w:r>
      <w:proofErr w:type="spellStart"/>
      <w:r w:rsidRPr="008362BE">
        <w:rPr>
          <w:rFonts w:ascii="Times New Roman" w:hAnsi="Times New Roman" w:cs="Times New Roman"/>
          <w:sz w:val="20"/>
          <w:szCs w:val="20"/>
        </w:rPr>
        <w:t>Okoro</w:t>
      </w:r>
      <w:proofErr w:type="spellEnd"/>
      <w:r w:rsidRPr="008362BE">
        <w:rPr>
          <w:rFonts w:ascii="Times New Roman" w:hAnsi="Times New Roman" w:cs="Times New Roman"/>
          <w:sz w:val="20"/>
          <w:szCs w:val="20"/>
        </w:rPr>
        <w:t xml:space="preserve">, 2007) </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Residual saturation of TPH in the soil determines the degree of soil contamination and can act as a continuing source of contamination for individual compounds to separate from bulk product and migrate independently in air (volatility) or ground water (solubility)(Bauman 1988).</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Total Nitrogen content in the sample location nearest to the Asphalt plant is in the range of 0.14 to </w:t>
      </w:r>
      <w:r w:rsidRPr="008362BE">
        <w:rPr>
          <w:rFonts w:ascii="Times New Roman" w:hAnsi="Times New Roman" w:cs="Times New Roman"/>
          <w:sz w:val="20"/>
          <w:szCs w:val="20"/>
        </w:rPr>
        <w:lastRenderedPageBreak/>
        <w:t xml:space="preserve">0.15% while the control location which is farther away (5km) from the plant is 0.16%.  Thus, the most logical assumption is that the Asphalt plant has no impact on Total Nitrogen content in the soil around it. </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However, the slight difference in Total Organic Carbon from 1.8mg/kg near the plant (SP1) as against the control away from the plant 1.5mg/kg showed that Organic matter content increased following the addition of carbonaceous substances within the plant vicinity. </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The significantly uncorrelated relationship between pH and TPH components imply that hydrocarbon ion concentration does not play any role in the biogeochemical availability of TPL rather their concentrations are anthropogenic in nature Agency, (1995).</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In pH and Moisture content, there was no much significant difference between the sample location near the Asphalt plant and the control. For pH in SP1 to SP3 were in the range of 5.3 to 5.6 and the control location was at 5.0 while for moisture content, it was in the range of 2.0 to 3.0% across the sample locations. The plausible conclusion perhaps is that the Asphalt plant has no significant impact on pH and moisture content in the soil around it.</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 In Textural classes for sand, clay and loam, there were slight differences between the sample locations SP1 to SP3 against control location (fig 4.5d). The logical assumption could be the addition of such levels of carbonaceous substances to the impacted area which eventually affected the concentrations of Carbon/Nitrogen ratio in the soil.</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Carbon/Nitrogen is an essential nutrient in the soil for plant growth. However, if there inputs to a soil exceeds both the biological demand and storage capacity, saturation becomes evident. This will eventually lead to Nitrogen leaching from the soil, causing soil acidification which incidentally alters the soil chemistry.</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The result of this study calls for public health concern as it is confirmed that TPH are carcinogenic (Agency, 1995) </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Moreover carcinogenicity is transgenic as </w:t>
      </w:r>
      <w:proofErr w:type="spellStart"/>
      <w:r w:rsidRPr="008362BE">
        <w:rPr>
          <w:rFonts w:ascii="Times New Roman" w:hAnsi="Times New Roman" w:cs="Times New Roman"/>
          <w:sz w:val="20"/>
          <w:szCs w:val="20"/>
        </w:rPr>
        <w:t>oncogenes</w:t>
      </w:r>
      <w:proofErr w:type="spellEnd"/>
      <w:r w:rsidRPr="008362BE">
        <w:rPr>
          <w:rFonts w:ascii="Times New Roman" w:hAnsi="Times New Roman" w:cs="Times New Roman"/>
          <w:sz w:val="20"/>
          <w:szCs w:val="20"/>
        </w:rPr>
        <w:t xml:space="preserve"> (cancer prone genes) could be inherited by filial generations (Evans 1977, </w:t>
      </w:r>
      <w:proofErr w:type="spellStart"/>
      <w:r w:rsidRPr="008362BE">
        <w:rPr>
          <w:rFonts w:ascii="Times New Roman" w:hAnsi="Times New Roman" w:cs="Times New Roman"/>
          <w:sz w:val="20"/>
          <w:szCs w:val="20"/>
        </w:rPr>
        <w:t>Cema</w:t>
      </w:r>
      <w:proofErr w:type="spellEnd"/>
      <w:r w:rsidRPr="008362BE">
        <w:rPr>
          <w:rFonts w:ascii="Times New Roman" w:hAnsi="Times New Roman" w:cs="Times New Roman"/>
          <w:sz w:val="20"/>
          <w:szCs w:val="20"/>
        </w:rPr>
        <w:t xml:space="preserve"> 1996)</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Man inevitably suffers the risk of bioaccumulation as a result of his position in the food chain and his predisposition to other routes of exposure.</w:t>
      </w:r>
    </w:p>
    <w:p w:rsidR="008362BE" w:rsidRDefault="008362BE" w:rsidP="008362BE">
      <w:pPr>
        <w:tabs>
          <w:tab w:val="left" w:pos="2780"/>
        </w:tabs>
        <w:spacing w:after="0" w:line="240" w:lineRule="auto"/>
        <w:jc w:val="both"/>
        <w:rPr>
          <w:rFonts w:ascii="Times New Roman" w:hAnsi="Times New Roman" w:cs="Times New Roman"/>
          <w:b/>
          <w:bCs/>
          <w:sz w:val="20"/>
          <w:szCs w:val="20"/>
        </w:rPr>
      </w:pPr>
    </w:p>
    <w:p w:rsidR="004E67B9" w:rsidRPr="008362BE" w:rsidRDefault="004E67B9" w:rsidP="008362BE">
      <w:pPr>
        <w:tabs>
          <w:tab w:val="left" w:pos="2780"/>
        </w:tabs>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Conclusion</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In the quest to meet with developmental challenges, man inadvertently destroys his nest by creating air pollution and consequently impacting adversely on human health.</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lastRenderedPageBreak/>
        <w:t xml:space="preserve">The results of this research have shown that the Asphalt plant facility located along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 xml:space="preserve">- Port Harcourt road has measurable impact on soil in its immediate environment especially for TPH. Although the concentration of some of the soil elements are negligible (asphalt plant has not operated for long).It is obvious that more quantities of TPH would be deposited in the environment with more years of production. If we must put a stop to this environmental menace, it becomes imperative that a feasible and economically viable equipment and techniques for controlling pollution irrespective of its location must be provided. Pollution caused by some of these pollutants can be reduced substantially by using equipment like: Double Catalyst Double Absorption(DCDA), Gravity Settling Chamber, Electrostatic Precipitator(ESP), Scrubbers and other properly designed plant, thus abating air pollution. </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Government should introduce environmental value added tax(EVAT), strict laws implemented to make factories use pollution control measures or best available technology for abatement. </w:t>
      </w:r>
    </w:p>
    <w:p w:rsidR="008362BE" w:rsidRDefault="008362BE" w:rsidP="008362BE">
      <w:pPr>
        <w:tabs>
          <w:tab w:val="left" w:pos="2780"/>
        </w:tabs>
        <w:spacing w:after="0" w:line="240" w:lineRule="auto"/>
        <w:jc w:val="both"/>
        <w:rPr>
          <w:rFonts w:ascii="Times New Roman" w:hAnsi="Times New Roman" w:cs="Times New Roman"/>
          <w:b/>
          <w:bCs/>
          <w:sz w:val="20"/>
          <w:szCs w:val="20"/>
        </w:rPr>
      </w:pPr>
    </w:p>
    <w:p w:rsidR="004E67B9" w:rsidRPr="008362BE" w:rsidRDefault="004E67B9" w:rsidP="008362BE">
      <w:pPr>
        <w:tabs>
          <w:tab w:val="left" w:pos="2780"/>
        </w:tabs>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Acknowledgment</w:t>
      </w:r>
    </w:p>
    <w:p w:rsidR="004E67B9" w:rsidRPr="008362BE" w:rsidRDefault="004E67B9" w:rsidP="008362BE">
      <w:pPr>
        <w:tabs>
          <w:tab w:val="left" w:pos="2780"/>
        </w:tabs>
        <w:spacing w:after="0" w:line="240" w:lineRule="auto"/>
        <w:ind w:firstLine="360"/>
        <w:jc w:val="both"/>
        <w:rPr>
          <w:rFonts w:ascii="Times New Roman" w:hAnsi="Times New Roman" w:cs="Times New Roman"/>
          <w:b/>
          <w:bCs/>
          <w:sz w:val="20"/>
          <w:szCs w:val="20"/>
        </w:rPr>
      </w:pPr>
      <w:r w:rsidRPr="008362BE">
        <w:rPr>
          <w:rFonts w:ascii="Times New Roman" w:hAnsi="Times New Roman" w:cs="Times New Roman"/>
          <w:sz w:val="20"/>
          <w:szCs w:val="20"/>
        </w:rPr>
        <w:t xml:space="preserve">We sincerely acknowledge our able supervisor Dr </w:t>
      </w:r>
      <w:proofErr w:type="spellStart"/>
      <w:r w:rsidRPr="008362BE">
        <w:rPr>
          <w:rFonts w:ascii="Times New Roman" w:hAnsi="Times New Roman" w:cs="Times New Roman"/>
          <w:sz w:val="20"/>
          <w:szCs w:val="20"/>
        </w:rPr>
        <w:t>Njoku</w:t>
      </w:r>
      <w:proofErr w:type="spellEnd"/>
      <w:r w:rsidRPr="008362BE">
        <w:rPr>
          <w:rFonts w:ascii="Times New Roman" w:hAnsi="Times New Roman" w:cs="Times New Roman"/>
          <w:sz w:val="20"/>
          <w:szCs w:val="20"/>
        </w:rPr>
        <w:t>, P.C for his able guidance all through the course of the research</w:t>
      </w:r>
      <w:r w:rsidRPr="008362BE">
        <w:rPr>
          <w:rFonts w:ascii="Times New Roman" w:hAnsi="Times New Roman" w:cs="Times New Roman"/>
          <w:b/>
          <w:bCs/>
          <w:sz w:val="20"/>
          <w:szCs w:val="20"/>
        </w:rPr>
        <w:t>.</w:t>
      </w:r>
    </w:p>
    <w:p w:rsidR="008362BE" w:rsidRDefault="008362BE" w:rsidP="008362BE">
      <w:pPr>
        <w:tabs>
          <w:tab w:val="left" w:pos="2780"/>
        </w:tabs>
        <w:spacing w:after="0" w:line="240" w:lineRule="auto"/>
        <w:jc w:val="both"/>
        <w:rPr>
          <w:rFonts w:ascii="Times New Roman" w:hAnsi="Times New Roman" w:cs="Times New Roman"/>
          <w:b/>
          <w:bCs/>
          <w:sz w:val="20"/>
          <w:szCs w:val="20"/>
        </w:rPr>
      </w:pPr>
    </w:p>
    <w:p w:rsidR="004E67B9" w:rsidRPr="008362BE" w:rsidRDefault="004E67B9" w:rsidP="008362BE">
      <w:pPr>
        <w:tabs>
          <w:tab w:val="left" w:pos="2780"/>
        </w:tabs>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Corresponding Author</w:t>
      </w:r>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Mgbahuruike</w:t>
      </w:r>
      <w:proofErr w:type="spellEnd"/>
      <w:r w:rsidRPr="008362BE">
        <w:rPr>
          <w:rFonts w:ascii="Times New Roman" w:hAnsi="Times New Roman" w:cs="Times New Roman"/>
          <w:sz w:val="20"/>
          <w:szCs w:val="20"/>
        </w:rPr>
        <w:t xml:space="preserve">, Leonard </w:t>
      </w:r>
      <w:proofErr w:type="spellStart"/>
      <w:r w:rsidRPr="008362BE">
        <w:rPr>
          <w:rFonts w:ascii="Times New Roman" w:hAnsi="Times New Roman" w:cs="Times New Roman"/>
          <w:sz w:val="20"/>
          <w:szCs w:val="20"/>
        </w:rPr>
        <w:t>Udochukwu</w:t>
      </w:r>
      <w:proofErr w:type="spellEnd"/>
    </w:p>
    <w:p w:rsidR="004E67B9" w:rsidRPr="008362BE" w:rsidRDefault="004E67B9" w:rsidP="008362BE">
      <w:pPr>
        <w:tabs>
          <w:tab w:val="left" w:pos="2780"/>
        </w:tabs>
        <w:spacing w:after="0" w:line="240" w:lineRule="auto"/>
        <w:ind w:firstLine="360"/>
        <w:jc w:val="both"/>
        <w:rPr>
          <w:rFonts w:ascii="Times New Roman" w:hAnsi="Times New Roman" w:cs="Times New Roman"/>
          <w:sz w:val="20"/>
          <w:szCs w:val="20"/>
        </w:rPr>
      </w:pPr>
      <w:r w:rsidRPr="008362BE">
        <w:rPr>
          <w:rFonts w:ascii="Times New Roman" w:hAnsi="Times New Roman" w:cs="Times New Roman"/>
          <w:sz w:val="20"/>
          <w:szCs w:val="20"/>
        </w:rPr>
        <w:t xml:space="preserve">Department of Environmental Technology, Federal university of Technology, P.M.B 1526,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w:t>
      </w:r>
    </w:p>
    <w:p w:rsidR="004E67B9" w:rsidRPr="008362BE" w:rsidRDefault="004E67B9" w:rsidP="008362BE">
      <w:pPr>
        <w:tabs>
          <w:tab w:val="left" w:pos="2780"/>
        </w:tabs>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 Leocash2k3@yahoo.com</w:t>
      </w:r>
    </w:p>
    <w:p w:rsidR="008362BE" w:rsidRDefault="008362BE" w:rsidP="008362BE">
      <w:pPr>
        <w:tabs>
          <w:tab w:val="left" w:pos="2780"/>
        </w:tabs>
        <w:spacing w:after="0" w:line="240" w:lineRule="auto"/>
        <w:jc w:val="both"/>
        <w:rPr>
          <w:rFonts w:ascii="Times New Roman" w:hAnsi="Times New Roman" w:cs="Times New Roman"/>
          <w:b/>
          <w:bCs/>
          <w:sz w:val="20"/>
          <w:szCs w:val="20"/>
        </w:rPr>
      </w:pPr>
    </w:p>
    <w:p w:rsidR="004E67B9" w:rsidRPr="008362BE" w:rsidRDefault="004E67B9" w:rsidP="008362BE">
      <w:pPr>
        <w:tabs>
          <w:tab w:val="left" w:pos="2780"/>
        </w:tabs>
        <w:spacing w:after="0" w:line="240" w:lineRule="auto"/>
        <w:jc w:val="both"/>
        <w:rPr>
          <w:rFonts w:ascii="Times New Roman" w:hAnsi="Times New Roman" w:cs="Times New Roman"/>
          <w:b/>
          <w:bCs/>
          <w:sz w:val="20"/>
          <w:szCs w:val="20"/>
        </w:rPr>
      </w:pPr>
      <w:r w:rsidRPr="008362BE">
        <w:rPr>
          <w:rFonts w:ascii="Times New Roman" w:hAnsi="Times New Roman" w:cs="Times New Roman"/>
          <w:b/>
          <w:bCs/>
          <w:sz w:val="20"/>
          <w:szCs w:val="20"/>
        </w:rPr>
        <w:t>References</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Agency for Toxic Substances and Disease Registry (ATSDR)</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(1995).</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 xml:space="preserve">Public Health Statement for </w:t>
      </w:r>
      <w:proofErr w:type="spellStart"/>
      <w:r w:rsidRPr="008362BE">
        <w:rPr>
          <w:rFonts w:ascii="Times New Roman" w:hAnsi="Times New Roman" w:cs="Times New Roman"/>
          <w:sz w:val="20"/>
          <w:szCs w:val="20"/>
        </w:rPr>
        <w:t>Polyclic</w:t>
      </w:r>
      <w:proofErr w:type="spellEnd"/>
      <w:r w:rsidRPr="008362BE">
        <w:rPr>
          <w:rFonts w:ascii="Times New Roman" w:hAnsi="Times New Roman" w:cs="Times New Roman"/>
          <w:b/>
          <w:bCs/>
          <w:sz w:val="20"/>
          <w:szCs w:val="20"/>
        </w:rPr>
        <w:t xml:space="preserve"> </w:t>
      </w:r>
      <w:r w:rsidRPr="008362BE">
        <w:rPr>
          <w:rFonts w:ascii="Times New Roman" w:hAnsi="Times New Roman" w:cs="Times New Roman"/>
          <w:sz w:val="20"/>
          <w:szCs w:val="20"/>
        </w:rPr>
        <w:t>Aromatic Hydrocarbons</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(PAHS).</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Agency for Toxic Substances and Disease Registry (ATSDR). US Department of Health and Human Services. Public Health Service, Atlanta,</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Ahuja</w:t>
      </w:r>
      <w:proofErr w:type="spellEnd"/>
      <w:r w:rsidRPr="008362BE">
        <w:rPr>
          <w:rFonts w:ascii="Times New Roman" w:hAnsi="Times New Roman" w:cs="Times New Roman"/>
          <w:sz w:val="20"/>
          <w:szCs w:val="20"/>
        </w:rPr>
        <w:t>, L.R, D.K, Bruce, R.R, Barnes, B.B, 1989. Evaluation of Spatial Distribution of Hydraulic Conductivity using Effective porosity data. Soil Sci. 148, 404-411.</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Aislabie</w:t>
      </w:r>
      <w:proofErr w:type="spellEnd"/>
      <w:r w:rsidRPr="008362BE">
        <w:rPr>
          <w:rFonts w:ascii="Times New Roman" w:hAnsi="Times New Roman" w:cs="Times New Roman"/>
          <w:sz w:val="20"/>
          <w:szCs w:val="20"/>
        </w:rPr>
        <w:t xml:space="preserve">, J., McLeod, M. and Fraser, R. (1998). Potential for biodegradation of hydrocarbon in soil from Ross Dependency, </w:t>
      </w:r>
      <w:proofErr w:type="spellStart"/>
      <w:r w:rsidRPr="008362BE">
        <w:rPr>
          <w:rFonts w:ascii="Times New Roman" w:hAnsi="Times New Roman" w:cs="Times New Roman"/>
          <w:sz w:val="20"/>
          <w:szCs w:val="20"/>
        </w:rPr>
        <w:t>Antartica</w:t>
      </w:r>
      <w:proofErr w:type="spellEnd"/>
      <w:r w:rsidRPr="008362BE">
        <w:rPr>
          <w:rFonts w:ascii="Times New Roman" w:hAnsi="Times New Roman" w:cs="Times New Roman"/>
          <w:sz w:val="20"/>
          <w:szCs w:val="20"/>
        </w:rPr>
        <w:t>. Applied Microbiology and Biotechnology, 49, 210-214.</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Bauman, B.J (1988) References dose</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 xml:space="preserve">(RFD): Description and use in Health Risk Assessment. </w:t>
      </w:r>
      <w:proofErr w:type="spellStart"/>
      <w:r w:rsidRPr="008362BE">
        <w:rPr>
          <w:rFonts w:ascii="Times New Roman" w:hAnsi="Times New Roman" w:cs="Times New Roman"/>
          <w:sz w:val="20"/>
          <w:szCs w:val="20"/>
        </w:rPr>
        <w:t>Regul</w:t>
      </w:r>
      <w:proofErr w:type="spellEnd"/>
      <w:r w:rsidRPr="008362BE">
        <w:rPr>
          <w:rFonts w:ascii="Times New Roman" w:hAnsi="Times New Roman" w:cs="Times New Roman"/>
          <w:sz w:val="20"/>
          <w:szCs w:val="20"/>
        </w:rPr>
        <w:t xml:space="preserve"> </w:t>
      </w:r>
      <w:proofErr w:type="spellStart"/>
      <w:r w:rsidRPr="008362BE">
        <w:rPr>
          <w:rFonts w:ascii="Times New Roman" w:hAnsi="Times New Roman" w:cs="Times New Roman"/>
          <w:sz w:val="20"/>
          <w:szCs w:val="20"/>
        </w:rPr>
        <w:t>Toxicol</w:t>
      </w:r>
      <w:proofErr w:type="spellEnd"/>
      <w:r w:rsidRPr="008362BE">
        <w:rPr>
          <w:rFonts w:ascii="Times New Roman" w:hAnsi="Times New Roman" w:cs="Times New Roman"/>
          <w:sz w:val="20"/>
          <w:szCs w:val="20"/>
        </w:rPr>
        <w:t xml:space="preserve"> </w:t>
      </w:r>
      <w:proofErr w:type="spellStart"/>
      <w:r w:rsidRPr="008362BE">
        <w:rPr>
          <w:rFonts w:ascii="Times New Roman" w:hAnsi="Times New Roman" w:cs="Times New Roman"/>
          <w:sz w:val="20"/>
          <w:szCs w:val="20"/>
        </w:rPr>
        <w:t>Pharmacol</w:t>
      </w:r>
      <w:proofErr w:type="spellEnd"/>
      <w:r w:rsidRPr="008362BE">
        <w:rPr>
          <w:rFonts w:ascii="Times New Roman" w:hAnsi="Times New Roman" w:cs="Times New Roman"/>
          <w:sz w:val="20"/>
          <w:szCs w:val="20"/>
        </w:rPr>
        <w:t xml:space="preserve"> 8:471-486</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Cema</w:t>
      </w:r>
      <w:proofErr w:type="spellEnd"/>
      <w:r w:rsidRPr="008362BE">
        <w:rPr>
          <w:rFonts w:ascii="Times New Roman" w:hAnsi="Times New Roman" w:cs="Times New Roman"/>
          <w:sz w:val="20"/>
          <w:szCs w:val="20"/>
        </w:rPr>
        <w:t xml:space="preserve">, M. (1996) </w:t>
      </w:r>
      <w:proofErr w:type="spellStart"/>
      <w:r w:rsidRPr="008362BE">
        <w:rPr>
          <w:rFonts w:ascii="Times New Roman" w:hAnsi="Times New Roman" w:cs="Times New Roman"/>
          <w:sz w:val="20"/>
          <w:szCs w:val="20"/>
        </w:rPr>
        <w:t>Mutagenicity</w:t>
      </w:r>
      <w:proofErr w:type="spellEnd"/>
      <w:r w:rsidRPr="008362BE">
        <w:rPr>
          <w:rFonts w:ascii="Times New Roman" w:hAnsi="Times New Roman" w:cs="Times New Roman"/>
          <w:sz w:val="20"/>
          <w:szCs w:val="20"/>
        </w:rPr>
        <w:t xml:space="preserve"> Testing of Environmental Complex Mixtures (Air, Drinking </w:t>
      </w:r>
      <w:r w:rsidRPr="008362BE">
        <w:rPr>
          <w:rFonts w:ascii="Times New Roman" w:hAnsi="Times New Roman" w:cs="Times New Roman"/>
          <w:sz w:val="20"/>
          <w:szCs w:val="20"/>
        </w:rPr>
        <w:lastRenderedPageBreak/>
        <w:t xml:space="preserve">water and Effluent, Soil etc) In: Abstract book, INREG, </w:t>
      </w:r>
      <w:proofErr w:type="spellStart"/>
      <w:r w:rsidRPr="008362BE">
        <w:rPr>
          <w:rFonts w:ascii="Times New Roman" w:hAnsi="Times New Roman" w:cs="Times New Roman"/>
          <w:sz w:val="20"/>
          <w:szCs w:val="20"/>
        </w:rPr>
        <w:t>Rockilide</w:t>
      </w:r>
      <w:proofErr w:type="spellEnd"/>
      <w:r w:rsidRPr="008362BE">
        <w:rPr>
          <w:rFonts w:ascii="Times New Roman" w:hAnsi="Times New Roman" w:cs="Times New Roman"/>
          <w:sz w:val="20"/>
          <w:szCs w:val="20"/>
        </w:rPr>
        <w:t xml:space="preserve"> University, </w:t>
      </w:r>
      <w:proofErr w:type="spellStart"/>
      <w:r w:rsidRPr="008362BE">
        <w:rPr>
          <w:rFonts w:ascii="Times New Roman" w:hAnsi="Times New Roman" w:cs="Times New Roman"/>
          <w:sz w:val="20"/>
          <w:szCs w:val="20"/>
        </w:rPr>
        <w:t>Rocklide</w:t>
      </w:r>
      <w:proofErr w:type="spellEnd"/>
      <w:r w:rsidRPr="008362BE">
        <w:rPr>
          <w:rFonts w:ascii="Times New Roman" w:hAnsi="Times New Roman" w:cs="Times New Roman"/>
          <w:sz w:val="20"/>
          <w:szCs w:val="20"/>
        </w:rPr>
        <w:t>, 1996, p4.</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 xml:space="preserve">Balks, M.R, </w:t>
      </w:r>
      <w:proofErr w:type="spellStart"/>
      <w:r w:rsidRPr="008362BE">
        <w:rPr>
          <w:rFonts w:ascii="Times New Roman" w:hAnsi="Times New Roman" w:cs="Times New Roman"/>
          <w:sz w:val="20"/>
          <w:szCs w:val="20"/>
        </w:rPr>
        <w:t>Aislabie</w:t>
      </w:r>
      <w:proofErr w:type="spellEnd"/>
      <w:r w:rsidRPr="008362BE">
        <w:rPr>
          <w:rFonts w:ascii="Times New Roman" w:hAnsi="Times New Roman" w:cs="Times New Roman"/>
          <w:sz w:val="20"/>
          <w:szCs w:val="20"/>
        </w:rPr>
        <w:t xml:space="preserve">, J. and </w:t>
      </w:r>
      <w:proofErr w:type="spellStart"/>
      <w:r w:rsidRPr="008362BE">
        <w:rPr>
          <w:rFonts w:ascii="Times New Roman" w:hAnsi="Times New Roman" w:cs="Times New Roman"/>
          <w:sz w:val="20"/>
          <w:szCs w:val="20"/>
        </w:rPr>
        <w:t>Foght</w:t>
      </w:r>
      <w:proofErr w:type="spellEnd"/>
      <w:r w:rsidRPr="008362BE">
        <w:rPr>
          <w:rFonts w:ascii="Times New Roman" w:hAnsi="Times New Roman" w:cs="Times New Roman"/>
          <w:sz w:val="20"/>
          <w:szCs w:val="20"/>
        </w:rPr>
        <w:t xml:space="preserve">, J.M. (1999) Preliminary assessment of constrain to biodegradation of fuel spills in </w:t>
      </w:r>
      <w:proofErr w:type="spellStart"/>
      <w:r w:rsidRPr="008362BE">
        <w:rPr>
          <w:rFonts w:ascii="Times New Roman" w:hAnsi="Times New Roman" w:cs="Times New Roman"/>
          <w:sz w:val="20"/>
          <w:szCs w:val="20"/>
        </w:rPr>
        <w:t>Antartic</w:t>
      </w:r>
      <w:proofErr w:type="spellEnd"/>
      <w:r w:rsidRPr="008362BE">
        <w:rPr>
          <w:rFonts w:ascii="Times New Roman" w:hAnsi="Times New Roman" w:cs="Times New Roman"/>
          <w:sz w:val="20"/>
          <w:szCs w:val="20"/>
        </w:rPr>
        <w:t xml:space="preserve"> soils. Symposium 38, proceeding 16th world congress of soil science, Montpelier, France, 20-26 August 1998</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 xml:space="preserve">Montpelier: International Union of soil science CD-ROM </w:t>
      </w:r>
      <w:proofErr w:type="spellStart"/>
      <w:r w:rsidRPr="008362BE">
        <w:rPr>
          <w:rFonts w:ascii="Times New Roman" w:hAnsi="Times New Roman" w:cs="Times New Roman"/>
          <w:sz w:val="20"/>
          <w:szCs w:val="20"/>
        </w:rPr>
        <w:t>Ellenhorn</w:t>
      </w:r>
      <w:proofErr w:type="spellEnd"/>
      <w:r w:rsidRPr="008362BE">
        <w:rPr>
          <w:rFonts w:ascii="Times New Roman" w:hAnsi="Times New Roman" w:cs="Times New Roman"/>
          <w:sz w:val="20"/>
          <w:szCs w:val="20"/>
        </w:rPr>
        <w:t xml:space="preserve"> M.J. </w:t>
      </w:r>
      <w:proofErr w:type="spellStart"/>
      <w:r w:rsidRPr="008362BE">
        <w:rPr>
          <w:rFonts w:ascii="Times New Roman" w:hAnsi="Times New Roman" w:cs="Times New Roman"/>
          <w:sz w:val="20"/>
          <w:szCs w:val="20"/>
        </w:rPr>
        <w:t>Barceloux</w:t>
      </w:r>
      <w:proofErr w:type="spellEnd"/>
      <w:r w:rsidRPr="008362BE">
        <w:rPr>
          <w:rFonts w:ascii="Times New Roman" w:hAnsi="Times New Roman" w:cs="Times New Roman"/>
          <w:sz w:val="20"/>
          <w:szCs w:val="20"/>
        </w:rPr>
        <w:t xml:space="preserve"> D.G.(1988) Polycyclic Aromatic </w:t>
      </w:r>
      <w:proofErr w:type="spellStart"/>
      <w:r w:rsidRPr="008362BE">
        <w:rPr>
          <w:rFonts w:ascii="Times New Roman" w:hAnsi="Times New Roman" w:cs="Times New Roman"/>
          <w:sz w:val="20"/>
          <w:szCs w:val="20"/>
        </w:rPr>
        <w:t>Hydrocarbons,D.G</w:t>
      </w:r>
      <w:proofErr w:type="spellEnd"/>
      <w:r w:rsidRPr="008362BE">
        <w:rPr>
          <w:rFonts w:ascii="Times New Roman" w:hAnsi="Times New Roman" w:cs="Times New Roman"/>
          <w:sz w:val="20"/>
          <w:szCs w:val="20"/>
        </w:rPr>
        <w:t>.(</w:t>
      </w:r>
      <w:proofErr w:type="spellStart"/>
      <w:r w:rsidRPr="008362BE">
        <w:rPr>
          <w:rFonts w:ascii="Times New Roman" w:hAnsi="Times New Roman" w:cs="Times New Roman"/>
          <w:sz w:val="20"/>
          <w:szCs w:val="20"/>
        </w:rPr>
        <w:t>Eds</w:t>
      </w:r>
      <w:proofErr w:type="spellEnd"/>
      <w:r w:rsidRPr="008362BE">
        <w:rPr>
          <w:rFonts w:ascii="Times New Roman" w:hAnsi="Times New Roman" w:cs="Times New Roman"/>
          <w:sz w:val="20"/>
          <w:szCs w:val="20"/>
        </w:rPr>
        <w:t xml:space="preserve">): </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Medical Toxicology: Diagnosis and Treatment of Poisoning. Elsevier,</w:t>
      </w:r>
      <w:r w:rsidR="008362BE" w:rsidRPr="008362BE">
        <w:rPr>
          <w:rFonts w:ascii="Times New Roman" w:hAnsi="Times New Roman" w:cs="Times New Roman"/>
          <w:sz w:val="20"/>
          <w:szCs w:val="20"/>
        </w:rPr>
        <w:t xml:space="preserve"> </w:t>
      </w:r>
      <w:r w:rsidRPr="008362BE">
        <w:rPr>
          <w:rFonts w:ascii="Times New Roman" w:hAnsi="Times New Roman" w:cs="Times New Roman"/>
          <w:sz w:val="20"/>
          <w:szCs w:val="20"/>
        </w:rPr>
        <w:t>New York, NY, pp 952-954.</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 xml:space="preserve">El- </w:t>
      </w:r>
      <w:proofErr w:type="spellStart"/>
      <w:r w:rsidRPr="008362BE">
        <w:rPr>
          <w:rFonts w:ascii="Times New Roman" w:hAnsi="Times New Roman" w:cs="Times New Roman"/>
          <w:sz w:val="20"/>
          <w:szCs w:val="20"/>
        </w:rPr>
        <w:t>Deeb</w:t>
      </w:r>
      <w:proofErr w:type="spellEnd"/>
      <w:r w:rsidRPr="008362BE">
        <w:rPr>
          <w:rFonts w:ascii="Times New Roman" w:hAnsi="Times New Roman" w:cs="Times New Roman"/>
          <w:sz w:val="20"/>
          <w:szCs w:val="20"/>
        </w:rPr>
        <w:t xml:space="preserve">, M.K.Z and </w:t>
      </w:r>
      <w:proofErr w:type="spellStart"/>
      <w:r w:rsidRPr="008362BE">
        <w:rPr>
          <w:rFonts w:ascii="Times New Roman" w:hAnsi="Times New Roman" w:cs="Times New Roman"/>
          <w:sz w:val="20"/>
          <w:szCs w:val="20"/>
        </w:rPr>
        <w:t>Emara</w:t>
      </w:r>
      <w:proofErr w:type="spellEnd"/>
      <w:r w:rsidRPr="008362BE">
        <w:rPr>
          <w:rFonts w:ascii="Times New Roman" w:hAnsi="Times New Roman" w:cs="Times New Roman"/>
          <w:sz w:val="20"/>
          <w:szCs w:val="20"/>
        </w:rPr>
        <w:t xml:space="preserve">, H.A (2005) Polycyclic aromatic hydrocarbons and aromatic Plasticizer Materials in the seawater of Alexandria Coastal area, Egyptian Journal of Aquatic Research, Vol. 31,pp.15-24. </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Evans, H.J</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 xml:space="preserve">(1977) Molecular Mechanism in the </w:t>
      </w:r>
      <w:proofErr w:type="spellStart"/>
      <w:r w:rsidRPr="008362BE">
        <w:rPr>
          <w:rFonts w:ascii="Times New Roman" w:hAnsi="Times New Roman" w:cs="Times New Roman"/>
          <w:sz w:val="20"/>
          <w:szCs w:val="20"/>
        </w:rPr>
        <w:t>indution</w:t>
      </w:r>
      <w:proofErr w:type="spellEnd"/>
      <w:r w:rsidRPr="008362BE">
        <w:rPr>
          <w:rFonts w:ascii="Times New Roman" w:hAnsi="Times New Roman" w:cs="Times New Roman"/>
          <w:sz w:val="20"/>
          <w:szCs w:val="20"/>
        </w:rPr>
        <w:t xml:space="preserve"> of Chromosome </w:t>
      </w:r>
      <w:proofErr w:type="spellStart"/>
      <w:r w:rsidRPr="008362BE">
        <w:rPr>
          <w:rFonts w:ascii="Times New Roman" w:hAnsi="Times New Roman" w:cs="Times New Roman"/>
          <w:sz w:val="20"/>
          <w:szCs w:val="20"/>
        </w:rPr>
        <w:t>Abberation</w:t>
      </w:r>
      <w:proofErr w:type="spellEnd"/>
      <w:r w:rsidRPr="008362BE">
        <w:rPr>
          <w:rFonts w:ascii="Times New Roman" w:hAnsi="Times New Roman" w:cs="Times New Roman"/>
          <w:sz w:val="20"/>
          <w:szCs w:val="20"/>
        </w:rPr>
        <w:t>.</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 xml:space="preserve">In: D. Scott, B.A. Bridges and </w:t>
      </w:r>
      <w:proofErr w:type="spellStart"/>
      <w:r w:rsidRPr="008362BE">
        <w:rPr>
          <w:rFonts w:ascii="Times New Roman" w:hAnsi="Times New Roman" w:cs="Times New Roman"/>
          <w:sz w:val="20"/>
          <w:szCs w:val="20"/>
        </w:rPr>
        <w:t>F.H.Sobel</w:t>
      </w:r>
      <w:proofErr w:type="spellEnd"/>
      <w:r w:rsidRPr="008362BE">
        <w:rPr>
          <w:rFonts w:ascii="Times New Roman" w:hAnsi="Times New Roman" w:cs="Times New Roman"/>
          <w:sz w:val="20"/>
          <w:szCs w:val="20"/>
        </w:rPr>
        <w:t xml:space="preserve">, </w:t>
      </w:r>
      <w:proofErr w:type="spellStart"/>
      <w:r w:rsidRPr="008362BE">
        <w:rPr>
          <w:rFonts w:ascii="Times New Roman" w:hAnsi="Times New Roman" w:cs="Times New Roman"/>
          <w:sz w:val="20"/>
          <w:szCs w:val="20"/>
        </w:rPr>
        <w:t>Eds.,</w:t>
      </w:r>
      <w:r w:rsidR="008362BE">
        <w:rPr>
          <w:rFonts w:ascii="Times New Roman" w:hAnsi="Times New Roman" w:cs="Times New Roman"/>
          <w:sz w:val="20"/>
          <w:szCs w:val="20"/>
        </w:rPr>
        <w:t>Progress</w:t>
      </w:r>
      <w:proofErr w:type="spellEnd"/>
      <w:r w:rsidR="008362BE">
        <w:rPr>
          <w:rFonts w:ascii="Times New Roman" w:hAnsi="Times New Roman" w:cs="Times New Roman"/>
          <w:sz w:val="20"/>
          <w:szCs w:val="20"/>
        </w:rPr>
        <w:t xml:space="preserve"> </w:t>
      </w:r>
      <w:r w:rsidRPr="008362BE">
        <w:rPr>
          <w:rFonts w:ascii="Times New Roman" w:hAnsi="Times New Roman" w:cs="Times New Roman"/>
          <w:sz w:val="20"/>
          <w:szCs w:val="20"/>
        </w:rPr>
        <w:t>in Genetic Toxicity, pp 57-74</w:t>
      </w:r>
      <w:r w:rsidR="008362BE">
        <w:rPr>
          <w:rFonts w:ascii="Times New Roman" w:hAnsi="Times New Roman" w:cs="Times New Roman"/>
          <w:sz w:val="20"/>
          <w:szCs w:val="20"/>
        </w:rPr>
        <w:t>.</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Heitkamp</w:t>
      </w:r>
      <w:proofErr w:type="spellEnd"/>
      <w:r w:rsidRPr="008362BE">
        <w:rPr>
          <w:rFonts w:ascii="Times New Roman" w:hAnsi="Times New Roman" w:cs="Times New Roman"/>
          <w:sz w:val="20"/>
          <w:szCs w:val="20"/>
        </w:rPr>
        <w:t xml:space="preserve"> M.A., and </w:t>
      </w:r>
      <w:proofErr w:type="spellStart"/>
      <w:r w:rsidRPr="008362BE">
        <w:rPr>
          <w:rFonts w:ascii="Times New Roman" w:hAnsi="Times New Roman" w:cs="Times New Roman"/>
          <w:sz w:val="20"/>
          <w:szCs w:val="20"/>
        </w:rPr>
        <w:t>Cerniglia</w:t>
      </w:r>
      <w:proofErr w:type="spellEnd"/>
      <w:r w:rsidRPr="008362BE">
        <w:rPr>
          <w:rFonts w:ascii="Times New Roman" w:hAnsi="Times New Roman" w:cs="Times New Roman"/>
          <w:sz w:val="20"/>
          <w:szCs w:val="20"/>
        </w:rPr>
        <w:t xml:space="preserve"> C.E. Appl. Environ. </w:t>
      </w:r>
      <w:proofErr w:type="spellStart"/>
      <w:r w:rsidRPr="008362BE">
        <w:rPr>
          <w:rFonts w:ascii="Times New Roman" w:hAnsi="Times New Roman" w:cs="Times New Roman"/>
          <w:sz w:val="20"/>
          <w:szCs w:val="20"/>
        </w:rPr>
        <w:t>Microbiol</w:t>
      </w:r>
      <w:proofErr w:type="spellEnd"/>
      <w:r w:rsidRPr="008362BE">
        <w:rPr>
          <w:rFonts w:ascii="Times New Roman" w:hAnsi="Times New Roman" w:cs="Times New Roman"/>
          <w:sz w:val="20"/>
          <w:szCs w:val="20"/>
        </w:rPr>
        <w:t>., 54</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(1988)</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1612.</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Imo State of Nigeria</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(IMSG, 1993)</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 xml:space="preserve">Atlas of Imo State of Nigeria. Ministry of works and transport. Department of lands, survey urban Development </w:t>
      </w:r>
      <w:proofErr w:type="spellStart"/>
      <w:r w:rsidRPr="008362BE">
        <w:rPr>
          <w:rFonts w:ascii="Times New Roman" w:hAnsi="Times New Roman" w:cs="Times New Roman"/>
          <w:sz w:val="20"/>
          <w:szCs w:val="20"/>
        </w:rPr>
        <w:t>Owerri</w:t>
      </w:r>
      <w:proofErr w:type="spellEnd"/>
      <w:r w:rsidRPr="008362BE">
        <w:rPr>
          <w:rFonts w:ascii="Times New Roman" w:hAnsi="Times New Roman" w:cs="Times New Roman"/>
          <w:sz w:val="20"/>
          <w:szCs w:val="20"/>
        </w:rPr>
        <w:t>, Imo State. p 116</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 xml:space="preserve">International Agency for Research on Cancer(IARC),Monographs on the Evaluation of the carcinogenic risk of some industrial chemicals to humans, Lyon France, 2000.   </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 xml:space="preserve">Jackson, D.N (1967) Manual for The Personality Research Form. Research Bulletin 43. London, Ontario University of Western Ontario.  </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lastRenderedPageBreak/>
        <w:t xml:space="preserve">McElroy E., Farrington J.W., and Teal J.M., In: </w:t>
      </w:r>
      <w:proofErr w:type="spellStart"/>
      <w:r w:rsidRPr="008362BE">
        <w:rPr>
          <w:rFonts w:ascii="Times New Roman" w:hAnsi="Times New Roman" w:cs="Times New Roman"/>
          <w:sz w:val="20"/>
          <w:szCs w:val="20"/>
        </w:rPr>
        <w:t>Varansi</w:t>
      </w:r>
      <w:proofErr w:type="spellEnd"/>
      <w:r w:rsidRPr="008362BE">
        <w:rPr>
          <w:rFonts w:ascii="Times New Roman" w:hAnsi="Times New Roman" w:cs="Times New Roman"/>
          <w:sz w:val="20"/>
          <w:szCs w:val="20"/>
        </w:rPr>
        <w:t xml:space="preserve"> U.</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(1983)</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w:t>
      </w:r>
      <w:proofErr w:type="spellStart"/>
      <w:r w:rsidRPr="008362BE">
        <w:rPr>
          <w:rFonts w:ascii="Times New Roman" w:hAnsi="Times New Roman" w:cs="Times New Roman"/>
          <w:sz w:val="20"/>
          <w:szCs w:val="20"/>
        </w:rPr>
        <w:t>ed</w:t>
      </w:r>
      <w:proofErr w:type="spellEnd"/>
      <w:r w:rsidRPr="008362BE">
        <w:rPr>
          <w:rFonts w:ascii="Times New Roman" w:hAnsi="Times New Roman" w:cs="Times New Roman"/>
          <w:sz w:val="20"/>
          <w:szCs w:val="20"/>
        </w:rPr>
        <w:t xml:space="preserve">) Metabolism of Polycyclic Aromatic Hydrocarbons in Aquatic Environment, CRC Press Inc., Boca </w:t>
      </w:r>
      <w:proofErr w:type="spellStart"/>
      <w:r w:rsidRPr="008362BE">
        <w:rPr>
          <w:rFonts w:ascii="Times New Roman" w:hAnsi="Times New Roman" w:cs="Times New Roman"/>
          <w:sz w:val="20"/>
          <w:szCs w:val="20"/>
        </w:rPr>
        <w:t>Rton</w:t>
      </w:r>
      <w:proofErr w:type="spellEnd"/>
      <w:r w:rsidRPr="008362BE">
        <w:rPr>
          <w:rFonts w:ascii="Times New Roman" w:hAnsi="Times New Roman" w:cs="Times New Roman"/>
          <w:sz w:val="20"/>
          <w:szCs w:val="20"/>
        </w:rPr>
        <w:t>, Florida, 1989</w:t>
      </w:r>
      <w:r w:rsidR="008362BE">
        <w:rPr>
          <w:rFonts w:ascii="Times New Roman" w:hAnsi="Times New Roman" w:cs="Times New Roman"/>
          <w:sz w:val="20"/>
          <w:szCs w:val="20"/>
        </w:rPr>
        <w:t>.</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Mortelmans</w:t>
      </w:r>
      <w:proofErr w:type="spellEnd"/>
      <w:r w:rsidRPr="008362BE">
        <w:rPr>
          <w:rFonts w:ascii="Times New Roman" w:hAnsi="Times New Roman" w:cs="Times New Roman"/>
          <w:sz w:val="20"/>
          <w:szCs w:val="20"/>
        </w:rPr>
        <w:t xml:space="preserve">. K, </w:t>
      </w:r>
      <w:proofErr w:type="spellStart"/>
      <w:r w:rsidRPr="008362BE">
        <w:rPr>
          <w:rFonts w:ascii="Times New Roman" w:hAnsi="Times New Roman" w:cs="Times New Roman"/>
          <w:sz w:val="20"/>
          <w:szCs w:val="20"/>
        </w:rPr>
        <w:t>Harworth</w:t>
      </w:r>
      <w:proofErr w:type="spellEnd"/>
      <w:r w:rsidRPr="008362BE">
        <w:rPr>
          <w:rFonts w:ascii="Times New Roman" w:hAnsi="Times New Roman" w:cs="Times New Roman"/>
          <w:sz w:val="20"/>
          <w:szCs w:val="20"/>
        </w:rPr>
        <w:t xml:space="preserve">. S, </w:t>
      </w:r>
      <w:proofErr w:type="spellStart"/>
      <w:r w:rsidRPr="008362BE">
        <w:rPr>
          <w:rFonts w:ascii="Times New Roman" w:hAnsi="Times New Roman" w:cs="Times New Roman"/>
          <w:sz w:val="20"/>
          <w:szCs w:val="20"/>
        </w:rPr>
        <w:t>Lawlor</w:t>
      </w:r>
      <w:proofErr w:type="spellEnd"/>
      <w:r w:rsidRPr="008362BE">
        <w:rPr>
          <w:rFonts w:ascii="Times New Roman" w:hAnsi="Times New Roman" w:cs="Times New Roman"/>
          <w:sz w:val="20"/>
          <w:szCs w:val="20"/>
        </w:rPr>
        <w:t xml:space="preserve"> .T, Speck. W, </w:t>
      </w:r>
      <w:proofErr w:type="spellStart"/>
      <w:r w:rsidRPr="008362BE">
        <w:rPr>
          <w:rFonts w:ascii="Times New Roman" w:hAnsi="Times New Roman" w:cs="Times New Roman"/>
          <w:sz w:val="20"/>
          <w:szCs w:val="20"/>
        </w:rPr>
        <w:t>Tainer</w:t>
      </w:r>
      <w:proofErr w:type="spellEnd"/>
      <w:r w:rsidRPr="008362BE">
        <w:rPr>
          <w:rFonts w:ascii="Times New Roman" w:hAnsi="Times New Roman" w:cs="Times New Roman"/>
          <w:sz w:val="20"/>
          <w:szCs w:val="20"/>
        </w:rPr>
        <w:t xml:space="preserve"> and </w:t>
      </w:r>
      <w:proofErr w:type="spellStart"/>
      <w:r w:rsidRPr="008362BE">
        <w:rPr>
          <w:rFonts w:ascii="Times New Roman" w:hAnsi="Times New Roman" w:cs="Times New Roman"/>
          <w:sz w:val="20"/>
          <w:szCs w:val="20"/>
        </w:rPr>
        <w:t>Zeiger</w:t>
      </w:r>
      <w:proofErr w:type="spellEnd"/>
      <w:r w:rsidRPr="008362BE">
        <w:rPr>
          <w:rFonts w:ascii="Times New Roman" w:hAnsi="Times New Roman" w:cs="Times New Roman"/>
          <w:sz w:val="20"/>
          <w:szCs w:val="20"/>
        </w:rPr>
        <w:t>. E. Environ  Mutagen, 8(1986)</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r w:rsidRPr="008362BE">
        <w:rPr>
          <w:rFonts w:ascii="Times New Roman" w:hAnsi="Times New Roman" w:cs="Times New Roman"/>
          <w:sz w:val="20"/>
          <w:szCs w:val="20"/>
        </w:rPr>
        <w:t>NDES (1999).</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Niger</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Delta Environmental Survey Phase I Report, vol.1 Environ.</w:t>
      </w:r>
      <w:r w:rsidR="008362BE">
        <w:rPr>
          <w:rFonts w:ascii="Times New Roman" w:hAnsi="Times New Roman" w:cs="Times New Roman"/>
          <w:sz w:val="20"/>
          <w:szCs w:val="20"/>
        </w:rPr>
        <w:t xml:space="preserve"> And</w:t>
      </w:r>
      <w:r w:rsidRPr="008362BE">
        <w:rPr>
          <w:rFonts w:ascii="Times New Roman" w:hAnsi="Times New Roman" w:cs="Times New Roman"/>
          <w:sz w:val="20"/>
          <w:szCs w:val="20"/>
        </w:rPr>
        <w:t xml:space="preserve"> socio-economic characteristics (Revised Edition) Technical Report  submitted by Environmental Resource Managers Limited, Lagos. Pp. 101-116.</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Njoku</w:t>
      </w:r>
      <w:proofErr w:type="spellEnd"/>
      <w:r w:rsidRPr="008362BE">
        <w:rPr>
          <w:rFonts w:ascii="Times New Roman" w:hAnsi="Times New Roman" w:cs="Times New Roman"/>
          <w:sz w:val="20"/>
          <w:szCs w:val="20"/>
        </w:rPr>
        <w:t xml:space="preserve">-Tony, R.F (2011) World Rural Observation. Prevalence of </w:t>
      </w:r>
      <w:proofErr w:type="spellStart"/>
      <w:r w:rsidRPr="008362BE">
        <w:rPr>
          <w:rFonts w:ascii="Times New Roman" w:hAnsi="Times New Roman" w:cs="Times New Roman"/>
          <w:sz w:val="20"/>
          <w:szCs w:val="20"/>
        </w:rPr>
        <w:t>Paramphistomiasis</w:t>
      </w:r>
      <w:proofErr w:type="spellEnd"/>
      <w:r w:rsidRPr="008362BE">
        <w:rPr>
          <w:rFonts w:ascii="Times New Roman" w:hAnsi="Times New Roman" w:cs="Times New Roman"/>
          <w:sz w:val="20"/>
          <w:szCs w:val="20"/>
        </w:rPr>
        <w:t xml:space="preserve"> among Goats Slaughtered in Some Selected Abattoirs in </w:t>
      </w:r>
      <w:proofErr w:type="spellStart"/>
      <w:r w:rsidRPr="008362BE">
        <w:rPr>
          <w:rFonts w:ascii="Times New Roman" w:hAnsi="Times New Roman" w:cs="Times New Roman"/>
          <w:sz w:val="20"/>
          <w:szCs w:val="20"/>
        </w:rPr>
        <w:t>in</w:t>
      </w:r>
      <w:proofErr w:type="spellEnd"/>
      <w:r w:rsidRPr="008362BE">
        <w:rPr>
          <w:rFonts w:ascii="Times New Roman" w:hAnsi="Times New Roman" w:cs="Times New Roman"/>
          <w:sz w:val="20"/>
          <w:szCs w:val="20"/>
        </w:rPr>
        <w:t xml:space="preserve"> Imo State, Nigeria.3(1) p82</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Okoro</w:t>
      </w:r>
      <w:proofErr w:type="spellEnd"/>
      <w:r w:rsidRPr="008362BE">
        <w:rPr>
          <w:rFonts w:ascii="Times New Roman" w:hAnsi="Times New Roman" w:cs="Times New Roman"/>
          <w:sz w:val="20"/>
          <w:szCs w:val="20"/>
        </w:rPr>
        <w:t xml:space="preserve">, D.(2007) Source Determination of </w:t>
      </w:r>
      <w:proofErr w:type="spellStart"/>
      <w:r w:rsidRPr="008362BE">
        <w:rPr>
          <w:rFonts w:ascii="Times New Roman" w:hAnsi="Times New Roman" w:cs="Times New Roman"/>
          <w:sz w:val="20"/>
          <w:szCs w:val="20"/>
        </w:rPr>
        <w:t>Polynuclear</w:t>
      </w:r>
      <w:proofErr w:type="spellEnd"/>
      <w:r w:rsidRPr="008362BE">
        <w:rPr>
          <w:rFonts w:ascii="Times New Roman" w:hAnsi="Times New Roman" w:cs="Times New Roman"/>
          <w:sz w:val="20"/>
          <w:szCs w:val="20"/>
        </w:rPr>
        <w:t xml:space="preserve"> Aromatic Hydrocarbons in Water and Sediments of a Creek in Niger </w:t>
      </w:r>
      <w:proofErr w:type="spellStart"/>
      <w:r w:rsidRPr="008362BE">
        <w:rPr>
          <w:rFonts w:ascii="Times New Roman" w:hAnsi="Times New Roman" w:cs="Times New Roman"/>
          <w:sz w:val="20"/>
          <w:szCs w:val="20"/>
        </w:rPr>
        <w:t>Delter</w:t>
      </w:r>
      <w:proofErr w:type="spellEnd"/>
      <w:r w:rsidRPr="008362BE">
        <w:rPr>
          <w:rFonts w:ascii="Times New Roman" w:hAnsi="Times New Roman" w:cs="Times New Roman"/>
          <w:sz w:val="20"/>
          <w:szCs w:val="20"/>
        </w:rPr>
        <w:t xml:space="preserve"> Region” African Journal of Biotechnology. Vol.7.No3, pp.282-285.</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Osuji</w:t>
      </w:r>
      <w:proofErr w:type="spellEnd"/>
      <w:r w:rsidRPr="008362BE">
        <w:rPr>
          <w:rFonts w:ascii="Times New Roman" w:hAnsi="Times New Roman" w:cs="Times New Roman"/>
          <w:sz w:val="20"/>
          <w:szCs w:val="20"/>
        </w:rPr>
        <w:t xml:space="preserve"> LC (2001). Total hydrocarbon content of soils, fifteen months after </w:t>
      </w:r>
      <w:proofErr w:type="spellStart"/>
      <w:r w:rsidRPr="008362BE">
        <w:rPr>
          <w:rFonts w:ascii="Times New Roman" w:hAnsi="Times New Roman" w:cs="Times New Roman"/>
          <w:sz w:val="20"/>
          <w:szCs w:val="20"/>
        </w:rPr>
        <w:t>Eneka</w:t>
      </w:r>
      <w:proofErr w:type="spellEnd"/>
      <w:r w:rsidRPr="008362BE">
        <w:rPr>
          <w:rFonts w:ascii="Times New Roman" w:hAnsi="Times New Roman" w:cs="Times New Roman"/>
          <w:sz w:val="20"/>
          <w:szCs w:val="20"/>
        </w:rPr>
        <w:t xml:space="preserve"> and </w:t>
      </w:r>
      <w:proofErr w:type="spellStart"/>
      <w:r w:rsidRPr="008362BE">
        <w:rPr>
          <w:rFonts w:ascii="Times New Roman" w:hAnsi="Times New Roman" w:cs="Times New Roman"/>
          <w:sz w:val="20"/>
          <w:szCs w:val="20"/>
        </w:rPr>
        <w:t>Isiokpo</w:t>
      </w:r>
      <w:proofErr w:type="spellEnd"/>
      <w:r w:rsidRPr="008362BE">
        <w:rPr>
          <w:rFonts w:ascii="Times New Roman" w:hAnsi="Times New Roman" w:cs="Times New Roman"/>
          <w:sz w:val="20"/>
          <w:szCs w:val="20"/>
        </w:rPr>
        <w:t xml:space="preserve"> oil spill. </w:t>
      </w:r>
      <w:r w:rsidRPr="008362BE">
        <w:rPr>
          <w:rFonts w:ascii="Times New Roman" w:hAnsi="Times New Roman" w:cs="Times New Roman"/>
          <w:i/>
          <w:iCs/>
          <w:sz w:val="20"/>
          <w:szCs w:val="20"/>
        </w:rPr>
        <w:t>J. Appl. Sci.</w:t>
      </w:r>
      <w:r w:rsidRPr="008362BE">
        <w:rPr>
          <w:rFonts w:ascii="Times New Roman" w:hAnsi="Times New Roman" w:cs="Times New Roman"/>
          <w:sz w:val="20"/>
          <w:szCs w:val="20"/>
        </w:rPr>
        <w:t xml:space="preserve"> </w:t>
      </w:r>
      <w:r w:rsidRPr="008362BE">
        <w:rPr>
          <w:rFonts w:ascii="Times New Roman" w:hAnsi="Times New Roman" w:cs="Times New Roman"/>
          <w:i/>
          <w:iCs/>
          <w:sz w:val="20"/>
          <w:szCs w:val="20"/>
        </w:rPr>
        <w:t>Environ mgt</w:t>
      </w:r>
      <w:r w:rsidRPr="008362BE">
        <w:rPr>
          <w:rFonts w:ascii="Times New Roman" w:hAnsi="Times New Roman" w:cs="Times New Roman"/>
          <w:sz w:val="20"/>
          <w:szCs w:val="20"/>
        </w:rPr>
        <w:t>. 5(2): 35-38</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Osuji</w:t>
      </w:r>
      <w:proofErr w:type="spellEnd"/>
      <w:r w:rsidRPr="008362BE">
        <w:rPr>
          <w:rFonts w:ascii="Times New Roman" w:hAnsi="Times New Roman" w:cs="Times New Roman"/>
          <w:sz w:val="20"/>
          <w:szCs w:val="20"/>
        </w:rPr>
        <w:t xml:space="preserve"> LC., </w:t>
      </w:r>
      <w:proofErr w:type="spellStart"/>
      <w:r w:rsidRPr="008362BE">
        <w:rPr>
          <w:rFonts w:ascii="Times New Roman" w:hAnsi="Times New Roman" w:cs="Times New Roman"/>
          <w:sz w:val="20"/>
          <w:szCs w:val="20"/>
        </w:rPr>
        <w:t>Adesiyan</w:t>
      </w:r>
      <w:proofErr w:type="spellEnd"/>
      <w:r w:rsidRPr="008362BE">
        <w:rPr>
          <w:rFonts w:ascii="Times New Roman" w:hAnsi="Times New Roman" w:cs="Times New Roman"/>
          <w:sz w:val="20"/>
          <w:szCs w:val="20"/>
        </w:rPr>
        <w:t xml:space="preserve"> S.O.(2005). The </w:t>
      </w:r>
      <w:proofErr w:type="spellStart"/>
      <w:r w:rsidRPr="008362BE">
        <w:rPr>
          <w:rFonts w:ascii="Times New Roman" w:hAnsi="Times New Roman" w:cs="Times New Roman"/>
          <w:sz w:val="20"/>
          <w:szCs w:val="20"/>
        </w:rPr>
        <w:t>Isiokpo</w:t>
      </w:r>
      <w:proofErr w:type="spellEnd"/>
      <w:r w:rsidRPr="008362BE">
        <w:rPr>
          <w:rFonts w:ascii="Times New Roman" w:hAnsi="Times New Roman" w:cs="Times New Roman"/>
          <w:sz w:val="20"/>
          <w:szCs w:val="20"/>
        </w:rPr>
        <w:t xml:space="preserve"> oil pipeline leakage: Total Organic Carbon/Organic matter contents of affected soils, </w:t>
      </w:r>
      <w:r w:rsidRPr="008362BE">
        <w:rPr>
          <w:rFonts w:ascii="Times New Roman" w:hAnsi="Times New Roman" w:cs="Times New Roman"/>
          <w:i/>
          <w:iCs/>
          <w:sz w:val="20"/>
          <w:szCs w:val="20"/>
        </w:rPr>
        <w:t>Chem.</w:t>
      </w:r>
      <w:r w:rsidRPr="008362BE">
        <w:rPr>
          <w:rFonts w:ascii="Times New Roman" w:hAnsi="Times New Roman" w:cs="Times New Roman"/>
          <w:sz w:val="20"/>
          <w:szCs w:val="20"/>
        </w:rPr>
        <w:t xml:space="preserve"> </w:t>
      </w:r>
      <w:proofErr w:type="spellStart"/>
      <w:r w:rsidRPr="008362BE">
        <w:rPr>
          <w:rFonts w:ascii="Times New Roman" w:hAnsi="Times New Roman" w:cs="Times New Roman"/>
          <w:i/>
          <w:iCs/>
          <w:sz w:val="20"/>
          <w:szCs w:val="20"/>
        </w:rPr>
        <w:t>Biodiv</w:t>
      </w:r>
      <w:proofErr w:type="spellEnd"/>
      <w:r w:rsidRPr="008362BE">
        <w:rPr>
          <w:rFonts w:ascii="Times New Roman" w:hAnsi="Times New Roman" w:cs="Times New Roman"/>
          <w:i/>
          <w:iCs/>
          <w:sz w:val="20"/>
          <w:szCs w:val="20"/>
        </w:rPr>
        <w:t>.</w:t>
      </w:r>
      <w:r w:rsidRPr="008362BE">
        <w:rPr>
          <w:rFonts w:ascii="Times New Roman" w:hAnsi="Times New Roman" w:cs="Times New Roman"/>
          <w:sz w:val="20"/>
          <w:szCs w:val="20"/>
        </w:rPr>
        <w:t xml:space="preserve"> 2: 1079-1085</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Osuji</w:t>
      </w:r>
      <w:proofErr w:type="spellEnd"/>
      <w:r w:rsidRPr="008362BE">
        <w:rPr>
          <w:rFonts w:ascii="Times New Roman" w:hAnsi="Times New Roman" w:cs="Times New Roman"/>
          <w:sz w:val="20"/>
          <w:szCs w:val="20"/>
        </w:rPr>
        <w:t xml:space="preserve"> LC, </w:t>
      </w:r>
      <w:proofErr w:type="spellStart"/>
      <w:r w:rsidRPr="008362BE">
        <w:rPr>
          <w:rFonts w:ascii="Times New Roman" w:hAnsi="Times New Roman" w:cs="Times New Roman"/>
          <w:sz w:val="20"/>
          <w:szCs w:val="20"/>
        </w:rPr>
        <w:t>Adesiyan</w:t>
      </w:r>
      <w:proofErr w:type="spellEnd"/>
      <w:r w:rsidRPr="008362BE">
        <w:rPr>
          <w:rFonts w:ascii="Times New Roman" w:hAnsi="Times New Roman" w:cs="Times New Roman"/>
          <w:sz w:val="20"/>
          <w:szCs w:val="20"/>
        </w:rPr>
        <w:t xml:space="preserve"> SO., </w:t>
      </w:r>
      <w:proofErr w:type="spellStart"/>
      <w:r w:rsidRPr="008362BE">
        <w:rPr>
          <w:rFonts w:ascii="Times New Roman" w:hAnsi="Times New Roman" w:cs="Times New Roman"/>
          <w:sz w:val="20"/>
          <w:szCs w:val="20"/>
        </w:rPr>
        <w:t>Obute</w:t>
      </w:r>
      <w:proofErr w:type="spellEnd"/>
      <w:r w:rsidRPr="008362BE">
        <w:rPr>
          <w:rFonts w:ascii="Times New Roman" w:hAnsi="Times New Roman" w:cs="Times New Roman"/>
          <w:sz w:val="20"/>
          <w:szCs w:val="20"/>
        </w:rPr>
        <w:t xml:space="preserve"> GC.</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 xml:space="preserve">(2004). Post Impact Assessment of oil pollution in the </w:t>
      </w:r>
      <w:proofErr w:type="spellStart"/>
      <w:r w:rsidRPr="008362BE">
        <w:rPr>
          <w:rFonts w:ascii="Times New Roman" w:hAnsi="Times New Roman" w:cs="Times New Roman"/>
          <w:sz w:val="20"/>
          <w:szCs w:val="20"/>
        </w:rPr>
        <w:t>Agbada</w:t>
      </w:r>
      <w:proofErr w:type="spellEnd"/>
      <w:r w:rsidRPr="008362BE">
        <w:rPr>
          <w:rFonts w:ascii="Times New Roman" w:hAnsi="Times New Roman" w:cs="Times New Roman"/>
          <w:sz w:val="20"/>
          <w:szCs w:val="20"/>
        </w:rPr>
        <w:t xml:space="preserve"> West Plain of Niger Delta Nigeria: Field reconnaissance and total extractable hydrocarbon content. </w:t>
      </w:r>
      <w:r w:rsidRPr="008362BE">
        <w:rPr>
          <w:rFonts w:ascii="Times New Roman" w:hAnsi="Times New Roman" w:cs="Times New Roman"/>
          <w:i/>
          <w:iCs/>
          <w:sz w:val="20"/>
          <w:szCs w:val="20"/>
        </w:rPr>
        <w:t xml:space="preserve">Chem. </w:t>
      </w:r>
      <w:proofErr w:type="spellStart"/>
      <w:r w:rsidRPr="008362BE">
        <w:rPr>
          <w:rFonts w:ascii="Times New Roman" w:hAnsi="Times New Roman" w:cs="Times New Roman"/>
          <w:i/>
          <w:iCs/>
          <w:sz w:val="20"/>
          <w:szCs w:val="20"/>
        </w:rPr>
        <w:t>Biodiv</w:t>
      </w:r>
      <w:proofErr w:type="spellEnd"/>
      <w:r w:rsidRPr="008362BE">
        <w:rPr>
          <w:rFonts w:ascii="Times New Roman" w:hAnsi="Times New Roman" w:cs="Times New Roman"/>
          <w:i/>
          <w:iCs/>
          <w:sz w:val="20"/>
          <w:szCs w:val="20"/>
        </w:rPr>
        <w:t xml:space="preserve">. </w:t>
      </w:r>
      <w:r w:rsidRPr="008362BE">
        <w:rPr>
          <w:rFonts w:ascii="Times New Roman" w:hAnsi="Times New Roman" w:cs="Times New Roman"/>
          <w:sz w:val="20"/>
          <w:szCs w:val="20"/>
        </w:rPr>
        <w:t>1(10):1569-1577</w:t>
      </w:r>
      <w:r w:rsidR="008362BE">
        <w:rPr>
          <w:rFonts w:ascii="Times New Roman" w:hAnsi="Times New Roman" w:cs="Times New Roman"/>
          <w:sz w:val="20"/>
          <w:szCs w:val="20"/>
        </w:rPr>
        <w:t>.</w:t>
      </w:r>
      <w:r w:rsidRPr="008362BE">
        <w:rPr>
          <w:rFonts w:ascii="Times New Roman" w:hAnsi="Times New Roman" w:cs="Times New Roman"/>
          <w:sz w:val="20"/>
          <w:szCs w:val="20"/>
        </w:rPr>
        <w:t xml:space="preserve">  </w:t>
      </w:r>
    </w:p>
    <w:p w:rsidR="004E67B9" w:rsidRPr="008362BE" w:rsidRDefault="004E67B9" w:rsidP="008362BE">
      <w:pPr>
        <w:numPr>
          <w:ilvl w:val="0"/>
          <w:numId w:val="1"/>
        </w:numPr>
        <w:tabs>
          <w:tab w:val="clear" w:pos="720"/>
        </w:tabs>
        <w:spacing w:after="0" w:line="240" w:lineRule="auto"/>
        <w:ind w:left="360"/>
        <w:jc w:val="both"/>
        <w:rPr>
          <w:rFonts w:ascii="Times New Roman" w:hAnsi="Times New Roman" w:cs="Times New Roman"/>
          <w:sz w:val="20"/>
          <w:szCs w:val="20"/>
        </w:rPr>
      </w:pPr>
      <w:proofErr w:type="spellStart"/>
      <w:r w:rsidRPr="008362BE">
        <w:rPr>
          <w:rFonts w:ascii="Times New Roman" w:hAnsi="Times New Roman" w:cs="Times New Roman"/>
          <w:sz w:val="20"/>
          <w:szCs w:val="20"/>
        </w:rPr>
        <w:t>Windgardner</w:t>
      </w:r>
      <w:proofErr w:type="spellEnd"/>
      <w:r w:rsidRPr="008362BE">
        <w:rPr>
          <w:rFonts w:ascii="Times New Roman" w:hAnsi="Times New Roman" w:cs="Times New Roman"/>
          <w:sz w:val="20"/>
          <w:szCs w:val="20"/>
        </w:rPr>
        <w:t>,</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(1996).</w:t>
      </w:r>
      <w:r w:rsidR="008362BE">
        <w:rPr>
          <w:rFonts w:ascii="Times New Roman" w:hAnsi="Times New Roman" w:cs="Times New Roman"/>
          <w:sz w:val="20"/>
          <w:szCs w:val="20"/>
        </w:rPr>
        <w:t xml:space="preserve"> </w:t>
      </w:r>
      <w:r w:rsidRPr="008362BE">
        <w:rPr>
          <w:rFonts w:ascii="Times New Roman" w:hAnsi="Times New Roman" w:cs="Times New Roman"/>
          <w:sz w:val="20"/>
          <w:szCs w:val="20"/>
        </w:rPr>
        <w:t>”Geology for Engineers”. New York Prentice Hall.</w:t>
      </w:r>
    </w:p>
    <w:p w:rsidR="004E67B9" w:rsidRPr="008362BE" w:rsidRDefault="004E67B9" w:rsidP="008362BE">
      <w:pPr>
        <w:tabs>
          <w:tab w:val="left" w:pos="2780"/>
        </w:tabs>
        <w:spacing w:after="0" w:line="240" w:lineRule="auto"/>
        <w:rPr>
          <w:rFonts w:ascii="Times New Roman" w:hAnsi="Times New Roman" w:cs="Times New Roman"/>
          <w:sz w:val="20"/>
          <w:szCs w:val="20"/>
        </w:rPr>
        <w:sectPr w:rsidR="004E67B9" w:rsidRPr="008362BE" w:rsidSect="00CB1A63">
          <w:type w:val="continuous"/>
          <w:pgSz w:w="12240" w:h="15840"/>
          <w:pgMar w:top="1440" w:right="1440" w:bottom="1440" w:left="1440" w:header="720" w:footer="720" w:gutter="0"/>
          <w:cols w:num="2" w:space="720"/>
          <w:docGrid w:linePitch="360"/>
        </w:sectPr>
      </w:pPr>
    </w:p>
    <w:p w:rsidR="004E67B9" w:rsidRPr="008362BE" w:rsidRDefault="004E67B9" w:rsidP="008362BE">
      <w:pPr>
        <w:spacing w:after="0" w:line="240" w:lineRule="auto"/>
        <w:rPr>
          <w:rFonts w:ascii="Times New Roman" w:hAnsi="Times New Roman" w:cs="Times New Roman"/>
          <w:sz w:val="20"/>
          <w:szCs w:val="20"/>
        </w:rPr>
      </w:pPr>
      <w:r w:rsidRPr="008362BE">
        <w:rPr>
          <w:rFonts w:ascii="Times New Roman" w:hAnsi="Times New Roman" w:cs="Times New Roman"/>
          <w:sz w:val="20"/>
          <w:szCs w:val="20"/>
        </w:rPr>
        <w:lastRenderedPageBreak/>
        <w:t xml:space="preserve"> </w:t>
      </w:r>
    </w:p>
    <w:p w:rsidR="004E67B9" w:rsidRPr="008362BE" w:rsidRDefault="004E67B9" w:rsidP="008362BE">
      <w:pPr>
        <w:spacing w:after="0" w:line="240" w:lineRule="auto"/>
        <w:jc w:val="both"/>
        <w:rPr>
          <w:rFonts w:ascii="Times New Roman" w:hAnsi="Times New Roman" w:cs="Times New Roman"/>
          <w:sz w:val="20"/>
          <w:szCs w:val="20"/>
        </w:rPr>
      </w:pPr>
      <w:r w:rsidRPr="008362BE">
        <w:rPr>
          <w:rFonts w:ascii="Times New Roman" w:hAnsi="Times New Roman" w:cs="Times New Roman"/>
          <w:sz w:val="20"/>
          <w:szCs w:val="20"/>
        </w:rPr>
        <w:t xml:space="preserve"> 21</w:t>
      </w:r>
      <w:r w:rsidRPr="008362BE">
        <w:rPr>
          <w:rFonts w:ascii="Times New Roman" w:hAnsi="Times New Roman" w:cs="Times New Roman"/>
          <w:sz w:val="20"/>
          <w:szCs w:val="20"/>
          <w:vertAlign w:val="superscript"/>
        </w:rPr>
        <w:t>st</w:t>
      </w:r>
      <w:r w:rsidRPr="008362BE">
        <w:rPr>
          <w:rFonts w:ascii="Times New Roman" w:hAnsi="Times New Roman" w:cs="Times New Roman"/>
          <w:sz w:val="20"/>
          <w:szCs w:val="20"/>
        </w:rPr>
        <w:t xml:space="preserve"> May, 2012. </w:t>
      </w:r>
    </w:p>
    <w:sectPr w:rsidR="004E67B9" w:rsidRPr="008362BE" w:rsidSect="003374E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B9" w:rsidRDefault="004E67B9" w:rsidP="00A65663">
      <w:pPr>
        <w:spacing w:after="0" w:line="240" w:lineRule="auto"/>
      </w:pPr>
      <w:r>
        <w:separator/>
      </w:r>
    </w:p>
  </w:endnote>
  <w:endnote w:type="continuationSeparator" w:id="0">
    <w:p w:rsidR="004E67B9" w:rsidRDefault="004E67B9" w:rsidP="00A65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0123"/>
      <w:docPartObj>
        <w:docPartGallery w:val="Page Numbers (Bottom of Page)"/>
        <w:docPartUnique/>
      </w:docPartObj>
    </w:sdtPr>
    <w:sdtContent>
      <w:p w:rsidR="00C97C2C" w:rsidRDefault="00776F23">
        <w:pPr>
          <w:pStyle w:val="Footer"/>
          <w:jc w:val="center"/>
        </w:pPr>
        <w:fldSimple w:instr=" PAGE   \* MERGEFORMAT ">
          <w:r w:rsidR="000933D2">
            <w:rPr>
              <w:noProof/>
            </w:rPr>
            <w:t>20</w:t>
          </w:r>
        </w:fldSimple>
      </w:p>
    </w:sdtContent>
  </w:sdt>
  <w:p w:rsidR="00C97C2C" w:rsidRDefault="00C97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B9" w:rsidRDefault="004E67B9" w:rsidP="00A65663">
      <w:pPr>
        <w:spacing w:after="0" w:line="240" w:lineRule="auto"/>
      </w:pPr>
      <w:r>
        <w:separator/>
      </w:r>
    </w:p>
  </w:footnote>
  <w:footnote w:type="continuationSeparator" w:id="0">
    <w:p w:rsidR="004E67B9" w:rsidRDefault="004E67B9" w:rsidP="00A65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5B" w:rsidRPr="00E26BB9" w:rsidRDefault="001D6E5B" w:rsidP="001D6E5B">
    <w:pPr>
      <w:pBdr>
        <w:bottom w:val="thinThickMediumGap" w:sz="12" w:space="0" w:color="auto"/>
      </w:pBdr>
      <w:tabs>
        <w:tab w:val="left" w:pos="9360"/>
      </w:tabs>
      <w:jc w:val="center"/>
      <w:rPr>
        <w:sz w:val="20"/>
        <w:szCs w:val="20"/>
      </w:rPr>
    </w:pPr>
    <w:r w:rsidRPr="00E26BB9">
      <w:rPr>
        <w:sz w:val="20"/>
        <w:szCs w:val="20"/>
      </w:rPr>
      <w:t>Nature and Science 2012;</w:t>
    </w:r>
    <w:r w:rsidRPr="00E26BB9">
      <w:rPr>
        <w:sz w:val="20"/>
        <w:szCs w:val="20"/>
        <w:lang w:eastAsia="zh-CN"/>
      </w:rPr>
      <w:t>10</w:t>
    </w:r>
    <w:r w:rsidRPr="00E26BB9">
      <w:rPr>
        <w:sz w:val="20"/>
        <w:szCs w:val="20"/>
      </w:rPr>
      <w:t>(</w:t>
    </w:r>
    <w:r>
      <w:rPr>
        <w:rFonts w:eastAsia="宋体" w:hint="eastAsia"/>
        <w:sz w:val="20"/>
        <w:szCs w:val="20"/>
        <w:lang w:eastAsia="zh-CN"/>
      </w:rPr>
      <w:t>9</w:t>
    </w:r>
    <w:r w:rsidRPr="00E26BB9">
      <w:rPr>
        <w:sz w:val="20"/>
        <w:szCs w:val="20"/>
      </w:rPr>
      <w:t xml:space="preserve">) </w:t>
    </w:r>
    <w:r w:rsidRPr="00E26BB9">
      <w:rPr>
        <w:color w:val="000000"/>
        <w:sz w:val="20"/>
        <w:szCs w:val="20"/>
      </w:rPr>
      <w:t xml:space="preserve">                                                     </w:t>
    </w:r>
    <w:hyperlink r:id="rId1" w:history="1">
      <w:r w:rsidRPr="00E26BB9">
        <w:rPr>
          <w:rStyle w:val="Hyperlink"/>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421E2"/>
    <w:multiLevelType w:val="hybridMultilevel"/>
    <w:tmpl w:val="2AD459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
  <w:rsids>
    <w:rsidRoot w:val="009E0A96"/>
    <w:rsid w:val="00010E38"/>
    <w:rsid w:val="00025E3C"/>
    <w:rsid w:val="0004798C"/>
    <w:rsid w:val="00051AFD"/>
    <w:rsid w:val="00056B08"/>
    <w:rsid w:val="00074A0C"/>
    <w:rsid w:val="000767DE"/>
    <w:rsid w:val="000858A4"/>
    <w:rsid w:val="00087679"/>
    <w:rsid w:val="000928DA"/>
    <w:rsid w:val="000933D2"/>
    <w:rsid w:val="000B6569"/>
    <w:rsid w:val="000D34A8"/>
    <w:rsid w:val="000E0637"/>
    <w:rsid w:val="00100341"/>
    <w:rsid w:val="0010270D"/>
    <w:rsid w:val="001156A4"/>
    <w:rsid w:val="001544B0"/>
    <w:rsid w:val="00154D68"/>
    <w:rsid w:val="00191FC5"/>
    <w:rsid w:val="001A3558"/>
    <w:rsid w:val="001D0CBD"/>
    <w:rsid w:val="001D6E5B"/>
    <w:rsid w:val="001E0CC1"/>
    <w:rsid w:val="001E7EDB"/>
    <w:rsid w:val="001F2E4B"/>
    <w:rsid w:val="00203BC3"/>
    <w:rsid w:val="00215B61"/>
    <w:rsid w:val="00225683"/>
    <w:rsid w:val="00226B4F"/>
    <w:rsid w:val="00227045"/>
    <w:rsid w:val="00235A74"/>
    <w:rsid w:val="002450B3"/>
    <w:rsid w:val="0026280C"/>
    <w:rsid w:val="0027700B"/>
    <w:rsid w:val="002F0DC6"/>
    <w:rsid w:val="002F4B02"/>
    <w:rsid w:val="002F4FA3"/>
    <w:rsid w:val="002F7941"/>
    <w:rsid w:val="002F7F53"/>
    <w:rsid w:val="00315A3B"/>
    <w:rsid w:val="003374ED"/>
    <w:rsid w:val="003440CD"/>
    <w:rsid w:val="00361C40"/>
    <w:rsid w:val="00374BE5"/>
    <w:rsid w:val="00383512"/>
    <w:rsid w:val="00384B56"/>
    <w:rsid w:val="003A33B0"/>
    <w:rsid w:val="003B5E19"/>
    <w:rsid w:val="003B6E52"/>
    <w:rsid w:val="003C51C0"/>
    <w:rsid w:val="003C5365"/>
    <w:rsid w:val="003D57CD"/>
    <w:rsid w:val="00401B1F"/>
    <w:rsid w:val="00407227"/>
    <w:rsid w:val="00407436"/>
    <w:rsid w:val="004077BB"/>
    <w:rsid w:val="00407D4C"/>
    <w:rsid w:val="00412B02"/>
    <w:rsid w:val="00432321"/>
    <w:rsid w:val="004453B3"/>
    <w:rsid w:val="00464B7A"/>
    <w:rsid w:val="004667EC"/>
    <w:rsid w:val="00485DD5"/>
    <w:rsid w:val="00490EC5"/>
    <w:rsid w:val="004B2F2E"/>
    <w:rsid w:val="004C11CA"/>
    <w:rsid w:val="004E67B9"/>
    <w:rsid w:val="005166C8"/>
    <w:rsid w:val="00516950"/>
    <w:rsid w:val="00530A46"/>
    <w:rsid w:val="00542CCD"/>
    <w:rsid w:val="00547250"/>
    <w:rsid w:val="00550793"/>
    <w:rsid w:val="0057038E"/>
    <w:rsid w:val="00573A0A"/>
    <w:rsid w:val="00585B13"/>
    <w:rsid w:val="005B7328"/>
    <w:rsid w:val="005C4A3F"/>
    <w:rsid w:val="005D624B"/>
    <w:rsid w:val="005D6816"/>
    <w:rsid w:val="005E7BCD"/>
    <w:rsid w:val="005F27C8"/>
    <w:rsid w:val="00606049"/>
    <w:rsid w:val="00611B4F"/>
    <w:rsid w:val="00634434"/>
    <w:rsid w:val="00637CEC"/>
    <w:rsid w:val="006534FC"/>
    <w:rsid w:val="006633D2"/>
    <w:rsid w:val="00667FB9"/>
    <w:rsid w:val="00681688"/>
    <w:rsid w:val="006A26AD"/>
    <w:rsid w:val="006A5A38"/>
    <w:rsid w:val="006C7871"/>
    <w:rsid w:val="006D3E59"/>
    <w:rsid w:val="006D7DA8"/>
    <w:rsid w:val="007032F5"/>
    <w:rsid w:val="00714CB6"/>
    <w:rsid w:val="00727657"/>
    <w:rsid w:val="0075409A"/>
    <w:rsid w:val="00776F23"/>
    <w:rsid w:val="00780837"/>
    <w:rsid w:val="00787DA2"/>
    <w:rsid w:val="00792569"/>
    <w:rsid w:val="00792C1D"/>
    <w:rsid w:val="00794804"/>
    <w:rsid w:val="007949B6"/>
    <w:rsid w:val="007C2E94"/>
    <w:rsid w:val="007C57B1"/>
    <w:rsid w:val="007D0769"/>
    <w:rsid w:val="007E1225"/>
    <w:rsid w:val="007E47CE"/>
    <w:rsid w:val="007E60FC"/>
    <w:rsid w:val="007E665F"/>
    <w:rsid w:val="00801F2F"/>
    <w:rsid w:val="008034BF"/>
    <w:rsid w:val="00804C20"/>
    <w:rsid w:val="00824530"/>
    <w:rsid w:val="00833FC4"/>
    <w:rsid w:val="00834182"/>
    <w:rsid w:val="008362BE"/>
    <w:rsid w:val="00845A9E"/>
    <w:rsid w:val="008559DB"/>
    <w:rsid w:val="008731AE"/>
    <w:rsid w:val="00881817"/>
    <w:rsid w:val="00885300"/>
    <w:rsid w:val="00892EF2"/>
    <w:rsid w:val="008A1980"/>
    <w:rsid w:val="008B06CA"/>
    <w:rsid w:val="008C1346"/>
    <w:rsid w:val="008C6BA4"/>
    <w:rsid w:val="0090450F"/>
    <w:rsid w:val="009065F4"/>
    <w:rsid w:val="00906A42"/>
    <w:rsid w:val="00933434"/>
    <w:rsid w:val="009353A8"/>
    <w:rsid w:val="009512CD"/>
    <w:rsid w:val="00963605"/>
    <w:rsid w:val="009643DC"/>
    <w:rsid w:val="00983B49"/>
    <w:rsid w:val="009A0151"/>
    <w:rsid w:val="009C0A05"/>
    <w:rsid w:val="009C370D"/>
    <w:rsid w:val="009D5ACC"/>
    <w:rsid w:val="009D67A0"/>
    <w:rsid w:val="009E0101"/>
    <w:rsid w:val="009E0A96"/>
    <w:rsid w:val="009F356E"/>
    <w:rsid w:val="00A11DCC"/>
    <w:rsid w:val="00A17B62"/>
    <w:rsid w:val="00A30F41"/>
    <w:rsid w:val="00A34344"/>
    <w:rsid w:val="00A37FA4"/>
    <w:rsid w:val="00A444AC"/>
    <w:rsid w:val="00A54F8B"/>
    <w:rsid w:val="00A564B2"/>
    <w:rsid w:val="00A65663"/>
    <w:rsid w:val="00A71D86"/>
    <w:rsid w:val="00A87C9A"/>
    <w:rsid w:val="00A9125B"/>
    <w:rsid w:val="00AB0E64"/>
    <w:rsid w:val="00AD77D8"/>
    <w:rsid w:val="00AD78AE"/>
    <w:rsid w:val="00AF6254"/>
    <w:rsid w:val="00B109A7"/>
    <w:rsid w:val="00B24CC1"/>
    <w:rsid w:val="00B312A0"/>
    <w:rsid w:val="00B35795"/>
    <w:rsid w:val="00B4009B"/>
    <w:rsid w:val="00B44575"/>
    <w:rsid w:val="00B57127"/>
    <w:rsid w:val="00B76E83"/>
    <w:rsid w:val="00B936B3"/>
    <w:rsid w:val="00BB0258"/>
    <w:rsid w:val="00BC60B8"/>
    <w:rsid w:val="00BD119A"/>
    <w:rsid w:val="00BE03AD"/>
    <w:rsid w:val="00BE08DC"/>
    <w:rsid w:val="00BE2FBB"/>
    <w:rsid w:val="00BE48D3"/>
    <w:rsid w:val="00C137F4"/>
    <w:rsid w:val="00C169C2"/>
    <w:rsid w:val="00C2333F"/>
    <w:rsid w:val="00C30EDF"/>
    <w:rsid w:val="00C713ED"/>
    <w:rsid w:val="00C752C3"/>
    <w:rsid w:val="00C86936"/>
    <w:rsid w:val="00C90538"/>
    <w:rsid w:val="00C93852"/>
    <w:rsid w:val="00C97C2C"/>
    <w:rsid w:val="00CB1A63"/>
    <w:rsid w:val="00CB2EF9"/>
    <w:rsid w:val="00CB3734"/>
    <w:rsid w:val="00CB4D7C"/>
    <w:rsid w:val="00CC720D"/>
    <w:rsid w:val="00CE4BAF"/>
    <w:rsid w:val="00CE5345"/>
    <w:rsid w:val="00CE7555"/>
    <w:rsid w:val="00D0616E"/>
    <w:rsid w:val="00D06562"/>
    <w:rsid w:val="00D10558"/>
    <w:rsid w:val="00D13129"/>
    <w:rsid w:val="00D23EAD"/>
    <w:rsid w:val="00D357F8"/>
    <w:rsid w:val="00D449C9"/>
    <w:rsid w:val="00D45315"/>
    <w:rsid w:val="00D52F0A"/>
    <w:rsid w:val="00D55611"/>
    <w:rsid w:val="00D86963"/>
    <w:rsid w:val="00D86E08"/>
    <w:rsid w:val="00D87CE1"/>
    <w:rsid w:val="00D97599"/>
    <w:rsid w:val="00DB00D8"/>
    <w:rsid w:val="00DB12B1"/>
    <w:rsid w:val="00DC46AE"/>
    <w:rsid w:val="00DD452B"/>
    <w:rsid w:val="00DF5773"/>
    <w:rsid w:val="00E00ECA"/>
    <w:rsid w:val="00E1459F"/>
    <w:rsid w:val="00E1654D"/>
    <w:rsid w:val="00E25FC5"/>
    <w:rsid w:val="00E441FD"/>
    <w:rsid w:val="00E52110"/>
    <w:rsid w:val="00E560BE"/>
    <w:rsid w:val="00E64663"/>
    <w:rsid w:val="00E649A1"/>
    <w:rsid w:val="00E803DC"/>
    <w:rsid w:val="00E920C9"/>
    <w:rsid w:val="00EB4B5B"/>
    <w:rsid w:val="00EE4E54"/>
    <w:rsid w:val="00EF135D"/>
    <w:rsid w:val="00EF5B48"/>
    <w:rsid w:val="00F03B76"/>
    <w:rsid w:val="00F2158D"/>
    <w:rsid w:val="00F34DA0"/>
    <w:rsid w:val="00F42D8B"/>
    <w:rsid w:val="00F5279A"/>
    <w:rsid w:val="00F61AD2"/>
    <w:rsid w:val="00F71EE3"/>
    <w:rsid w:val="00F74AC4"/>
    <w:rsid w:val="00F97360"/>
    <w:rsid w:val="00FB6AE1"/>
    <w:rsid w:val="00FC0FA6"/>
    <w:rsid w:val="00FC44B9"/>
    <w:rsid w:val="00FD520F"/>
    <w:rsid w:val="00FE267F"/>
    <w:rsid w:val="00FF00C6"/>
    <w:rsid w:val="00FF4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5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ACC"/>
    <w:rPr>
      <w:color w:val="808080"/>
    </w:rPr>
  </w:style>
  <w:style w:type="paragraph" w:styleId="BalloonText">
    <w:name w:val="Balloon Text"/>
    <w:basedOn w:val="Normal"/>
    <w:link w:val="BalloonTextChar"/>
    <w:uiPriority w:val="99"/>
    <w:semiHidden/>
    <w:rsid w:val="009D5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5ACC"/>
    <w:rPr>
      <w:rFonts w:ascii="Tahoma" w:hAnsi="Tahoma" w:cs="Tahoma"/>
      <w:sz w:val="16"/>
      <w:szCs w:val="16"/>
    </w:rPr>
  </w:style>
  <w:style w:type="table" w:styleId="TableGrid">
    <w:name w:val="Table Grid"/>
    <w:basedOn w:val="TableNormal"/>
    <w:uiPriority w:val="99"/>
    <w:rsid w:val="005C4A3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6566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5663"/>
  </w:style>
  <w:style w:type="paragraph" w:styleId="Footer">
    <w:name w:val="footer"/>
    <w:basedOn w:val="Normal"/>
    <w:link w:val="FooterChar"/>
    <w:uiPriority w:val="99"/>
    <w:rsid w:val="00A6566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663"/>
  </w:style>
  <w:style w:type="character" w:styleId="Hyperlink">
    <w:name w:val="Hyperlink"/>
    <w:basedOn w:val="DefaultParagraphFont"/>
    <w:uiPriority w:val="99"/>
    <w:rsid w:val="008559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ocash2k3@yahoo.com" TargetMode="Externa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3029</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INPACT OF TOTAL PETROLEUM HYDROCARBON CONCENTRATION AND ITS EFFECTS ON SOIL AROUND ASPALTH PRODUCING FACILITY IN OBINZE, OWERRI</vt:lpstr>
    </vt:vector>
  </TitlesOfParts>
  <Company>HP</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INPACT OF TOTAL PETROLEUM HYDROCARBON CONCENTRATION AND ITS EFFECTS ON SOIL AROUND ASPALTH PRODUCING FACILITY IN OBINZE, OWERRI</dc:title>
  <dc:creator>HP</dc:creator>
  <cp:lastModifiedBy>Administrator</cp:lastModifiedBy>
  <cp:revision>9</cp:revision>
  <dcterms:created xsi:type="dcterms:W3CDTF">2012-06-19T23:07:00Z</dcterms:created>
  <dcterms:modified xsi:type="dcterms:W3CDTF">2012-06-20T07:14:00Z</dcterms:modified>
</cp:coreProperties>
</file>