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AE" w:rsidRDefault="004A6CAE" w:rsidP="004A6CAE">
      <w:pPr>
        <w:spacing w:after="200" w:line="276" w:lineRule="auto"/>
        <w:jc w:val="center"/>
        <w:rPr>
          <w:b/>
          <w:sz w:val="24"/>
          <w:szCs w:val="24"/>
        </w:rPr>
      </w:pPr>
      <w:bookmarkStart w:id="0" w:name="_Toc201932775"/>
      <w:bookmarkStart w:id="1" w:name="_Toc201933341"/>
      <w:bookmarkStart w:id="2" w:name="_Toc201934191"/>
      <w:bookmarkStart w:id="3" w:name="_Toc201964598"/>
      <w:bookmarkStart w:id="4" w:name="_Toc204218749"/>
      <w:bookmarkStart w:id="5" w:name="_Toc204223845"/>
    </w:p>
    <w:p w:rsidR="004A6CAE" w:rsidRPr="00844246" w:rsidRDefault="004A6CAE" w:rsidP="004A6CAE">
      <w:pPr>
        <w:spacing w:after="200" w:line="276" w:lineRule="auto"/>
        <w:jc w:val="center"/>
        <w:rPr>
          <w:b/>
        </w:rPr>
      </w:pPr>
      <w:r w:rsidRPr="00844246">
        <w:rPr>
          <w:b/>
        </w:rPr>
        <w:t xml:space="preserve">Effects of </w:t>
      </w:r>
      <w:r w:rsidRPr="00844246">
        <w:rPr>
          <w:b/>
          <w:i/>
        </w:rPr>
        <w:t>Plasmodium berghei</w:t>
      </w:r>
      <w:r w:rsidRPr="00844246">
        <w:rPr>
          <w:b/>
        </w:rPr>
        <w:t xml:space="preserve"> Infection and Folic Acid Treatment on Biochemical and Antioxidant Indicators in Mice. </w:t>
      </w:r>
    </w:p>
    <w:p w:rsidR="004A6CAE" w:rsidRPr="00844246" w:rsidRDefault="004A6CAE" w:rsidP="004A6CAE">
      <w:pPr>
        <w:jc w:val="both"/>
        <w:rPr>
          <w:b/>
          <w:vertAlign w:val="superscript"/>
        </w:rPr>
      </w:pPr>
    </w:p>
    <w:p w:rsidR="004A6CAE" w:rsidRPr="00844246" w:rsidRDefault="004A6CAE" w:rsidP="004A6CAE">
      <w:pPr>
        <w:spacing w:after="200" w:line="276" w:lineRule="auto"/>
        <w:jc w:val="center"/>
        <w:rPr>
          <w:b/>
        </w:rPr>
      </w:pPr>
      <w:r w:rsidRPr="00844246">
        <w:rPr>
          <w:b/>
        </w:rPr>
        <w:t xml:space="preserve">Short title: Effects of </w:t>
      </w:r>
      <w:r w:rsidRPr="00844246">
        <w:rPr>
          <w:b/>
          <w:i/>
        </w:rPr>
        <w:t>Plasmodium berghei</w:t>
      </w:r>
      <w:r w:rsidRPr="00844246">
        <w:rPr>
          <w:b/>
        </w:rPr>
        <w:t xml:space="preserve"> Infection and Folic Acid Treatment. </w:t>
      </w:r>
    </w:p>
    <w:p w:rsidR="004A6CAE" w:rsidRPr="00844246" w:rsidRDefault="004A6CAE" w:rsidP="004A6CAE">
      <w:pPr>
        <w:jc w:val="both"/>
        <w:rPr>
          <w:b/>
          <w:vertAlign w:val="superscript"/>
        </w:rPr>
      </w:pPr>
    </w:p>
    <w:p w:rsidR="004A6CAE" w:rsidRPr="00844246" w:rsidRDefault="004A6CAE" w:rsidP="004A6CAE">
      <w:pPr>
        <w:jc w:val="both"/>
        <w:rPr>
          <w:b/>
        </w:rPr>
      </w:pPr>
      <w:r w:rsidRPr="00844246">
        <w:rPr>
          <w:b/>
          <w:vertAlign w:val="superscript"/>
        </w:rPr>
        <w:t>1</w:t>
      </w:r>
      <w:r w:rsidRPr="00844246">
        <w:rPr>
          <w:b/>
        </w:rPr>
        <w:t xml:space="preserve">Iyawe, H. O.T and </w:t>
      </w:r>
      <w:r w:rsidRPr="00844246">
        <w:rPr>
          <w:b/>
          <w:vertAlign w:val="superscript"/>
        </w:rPr>
        <w:t>2</w:t>
      </w:r>
      <w:r w:rsidRPr="00844246">
        <w:rPr>
          <w:b/>
        </w:rPr>
        <w:t>Onigbinde, A.O.</w:t>
      </w:r>
      <w:r w:rsidRPr="00844246">
        <w:rPr>
          <w:b/>
        </w:rPr>
        <w:tab/>
      </w:r>
    </w:p>
    <w:p w:rsidR="004A6CAE" w:rsidRPr="00844246" w:rsidRDefault="004A6CAE" w:rsidP="004A6CAE">
      <w:pPr>
        <w:jc w:val="both"/>
      </w:pPr>
      <w:r w:rsidRPr="00844246">
        <w:t>1 and 2 Department of Biochemistry Ambrose Alli University, P. M. B. 14, Ekpoma Nigeria.</w:t>
      </w:r>
    </w:p>
    <w:p w:rsidR="004A6CAE" w:rsidRPr="00844246" w:rsidRDefault="004A6CAE" w:rsidP="004A6CAE">
      <w:pPr>
        <w:jc w:val="both"/>
      </w:pPr>
    </w:p>
    <w:p w:rsidR="004A6CAE" w:rsidRPr="00844246" w:rsidRDefault="004A6CAE" w:rsidP="004A6CAE">
      <w:pPr>
        <w:jc w:val="both"/>
        <w:rPr>
          <w:b/>
        </w:rPr>
      </w:pPr>
      <w:r w:rsidRPr="00844246">
        <w:t>Corresponding Author: Iyawe, H. O.T Department of Biochemistry Ambrose Alli University, Ekpoma Nigeria.</w:t>
      </w:r>
    </w:p>
    <w:p w:rsidR="004A6CAE" w:rsidRPr="00844246" w:rsidRDefault="004A6CAE" w:rsidP="004A6CAE">
      <w:pPr>
        <w:spacing w:after="200" w:line="276" w:lineRule="auto"/>
      </w:pPr>
      <w:r w:rsidRPr="00844246">
        <w:t>Email: Iyawe.hanson@gmail.com</w:t>
      </w:r>
    </w:p>
    <w:p w:rsidR="004A6CAE" w:rsidRPr="00844246" w:rsidRDefault="004A6CAE" w:rsidP="004A6CAE"/>
    <w:p w:rsidR="004A6CAE" w:rsidRPr="00844246" w:rsidRDefault="004A6CAE" w:rsidP="004A6CAE">
      <w:r w:rsidRPr="00844246">
        <w:t>Postal address:</w:t>
      </w:r>
    </w:p>
    <w:p w:rsidR="004A6CAE" w:rsidRPr="00844246" w:rsidRDefault="004A6CAE" w:rsidP="004A6CAE">
      <w:r w:rsidRPr="00844246">
        <w:t xml:space="preserve"> Iyawe Hanson</w:t>
      </w:r>
    </w:p>
    <w:p w:rsidR="004A6CAE" w:rsidRPr="00844246" w:rsidRDefault="004A6CAE" w:rsidP="004A6CAE">
      <w:r w:rsidRPr="00844246">
        <w:t xml:space="preserve"> P.O.Box 1074</w:t>
      </w:r>
    </w:p>
    <w:p w:rsidR="004A6CAE" w:rsidRPr="00844246" w:rsidRDefault="004A6CAE" w:rsidP="004A6CAE">
      <w:r w:rsidRPr="00844246">
        <w:t xml:space="preserve"> Esan West Local Govt. Area, Ekpoma</w:t>
      </w:r>
    </w:p>
    <w:p w:rsidR="004A6CAE" w:rsidRPr="00844246" w:rsidRDefault="004A6CAE" w:rsidP="004A6CAE">
      <w:r w:rsidRPr="00844246">
        <w:t>Edo State Nigeria.</w:t>
      </w:r>
    </w:p>
    <w:p w:rsidR="004A6CAE" w:rsidRPr="00536F46" w:rsidRDefault="004A6CAE" w:rsidP="004A6CAE">
      <w:pPr>
        <w:spacing w:after="200" w:line="276" w:lineRule="auto"/>
        <w:rPr>
          <w:sz w:val="26"/>
        </w:rPr>
      </w:pPr>
    </w:p>
    <w:p w:rsidR="004A6CAE" w:rsidRPr="00536F46" w:rsidRDefault="004A6CAE" w:rsidP="004A6CAE">
      <w:pPr>
        <w:spacing w:after="200" w:line="276" w:lineRule="auto"/>
        <w:rPr>
          <w:sz w:val="24"/>
          <w:szCs w:val="24"/>
        </w:rPr>
      </w:pPr>
      <w:r w:rsidRPr="00536F46">
        <w:rPr>
          <w:sz w:val="24"/>
          <w:szCs w:val="24"/>
        </w:rPr>
        <w:br w:type="page"/>
      </w:r>
    </w:p>
    <w:p w:rsidR="004A6CAE" w:rsidRPr="00844246" w:rsidRDefault="004A6CAE" w:rsidP="004A6CAE">
      <w:pPr>
        <w:spacing w:after="200" w:line="276" w:lineRule="auto"/>
        <w:rPr>
          <w:b/>
        </w:rPr>
      </w:pPr>
      <w:r w:rsidRPr="00844246">
        <w:rPr>
          <w:b/>
          <w:u w:val="single"/>
        </w:rPr>
        <w:lastRenderedPageBreak/>
        <w:t>Abstract</w:t>
      </w:r>
      <w:r w:rsidRPr="00844246">
        <w:rPr>
          <w:b/>
        </w:rPr>
        <w:t>.</w:t>
      </w:r>
    </w:p>
    <w:p w:rsidR="004A6CAE" w:rsidRPr="00844246" w:rsidRDefault="004A6CAE" w:rsidP="004A6CAE">
      <w:pPr>
        <w:spacing w:after="200" w:line="480" w:lineRule="auto"/>
        <w:jc w:val="both"/>
      </w:pPr>
      <w:r w:rsidRPr="00844246">
        <w:t xml:space="preserve">The effect of </w:t>
      </w:r>
      <w:r w:rsidRPr="00844246">
        <w:rPr>
          <w:i/>
        </w:rPr>
        <w:t>Plasmodium berghei</w:t>
      </w:r>
      <w:r w:rsidRPr="00844246">
        <w:t xml:space="preserve"> and folic acid treatments on mice was investigated. The study derives from the need to examine the possible role of folic acid treatment on erythrocyte fragility, packed cell volume (PCV), bilirubin, total protein, malondialdehyde (MDA), superoxide dismutase (SOD), catalase (CAT), glucose-6-phosphate dehydrogenase (G6PD), aspartate aminotransferase (AST), alanine aminotransferase (ALT) and reduced glutathione (GSH) in serum and some tissues of mice. Three groups of ten mice each categorized as non-parasitized-non-treated (control), parasitized-non-treated (PnT) and parasitized folic acid treated (P+faT) were used in this study. Results collected and analyzed using standard statistical tool revealed that treatment of parasitized mice with chloroquine and folic acid had significant (p&lt;0.05) reductions in erythrocyte fragility, total bilirubin, total protein, serum and kidney malondialdehyde (MDA) concentrations, liver catalase (CAT)  and superoxide dismutase (SOD) activities, but  increased (p&lt;0.05) packed cell volume (PCV) and serum CAT and SOD activities in comparison to parasitized non treated (PnT) mice, that had all assayed indices against those of control animals. </w:t>
      </w:r>
      <w:r w:rsidRPr="00844246">
        <w:rPr>
          <w:color w:val="000000" w:themeColor="text1"/>
          <w:lang w:eastAsia="en-GB"/>
        </w:rPr>
        <w:t>From these observations, we conclude that under parasitized condition folic acid may efficiently reduce oxidative stress</w:t>
      </w:r>
      <w:r w:rsidRPr="00844246">
        <w:rPr>
          <w:color w:val="272525"/>
          <w:lang w:eastAsia="en-GB"/>
        </w:rPr>
        <w:t>.</w:t>
      </w:r>
    </w:p>
    <w:p w:rsidR="004A6CAE" w:rsidRPr="00844246" w:rsidRDefault="004A6CAE" w:rsidP="004A6CAE">
      <w:pPr>
        <w:spacing w:line="480" w:lineRule="auto"/>
        <w:jc w:val="both"/>
      </w:pPr>
      <w:r w:rsidRPr="00844246">
        <w:t xml:space="preserve">Key words: </w:t>
      </w:r>
      <w:r w:rsidRPr="00844246">
        <w:rPr>
          <w:i/>
        </w:rPr>
        <w:t>Plasmodium berghei</w:t>
      </w:r>
      <w:r w:rsidRPr="00844246">
        <w:t xml:space="preserve">, Folic acid, Antioxidant, Erythrocyte fragility, oxidative stress.   </w:t>
      </w:r>
    </w:p>
    <w:p w:rsidR="004A6CAE" w:rsidRPr="00844246" w:rsidRDefault="004A6CAE" w:rsidP="004A6CAE">
      <w:pPr>
        <w:spacing w:after="200" w:line="480" w:lineRule="auto"/>
        <w:rPr>
          <w:b/>
        </w:rPr>
      </w:pPr>
      <w:r w:rsidRPr="00844246">
        <w:rPr>
          <w:b/>
        </w:rPr>
        <w:br w:type="page"/>
      </w:r>
    </w:p>
    <w:p w:rsidR="004A6CAE" w:rsidRPr="007020AB" w:rsidRDefault="004A6CAE" w:rsidP="004A6CAE">
      <w:pPr>
        <w:spacing w:after="200" w:line="276" w:lineRule="auto"/>
        <w:rPr>
          <w:b/>
          <w:u w:val="single"/>
        </w:rPr>
      </w:pPr>
      <w:r w:rsidRPr="007020AB">
        <w:rPr>
          <w:b/>
          <w:u w:val="single"/>
        </w:rPr>
        <w:lastRenderedPageBreak/>
        <w:t>Introduction</w:t>
      </w:r>
    </w:p>
    <w:p w:rsidR="004A6CAE" w:rsidRPr="007020AB" w:rsidRDefault="004A6CAE" w:rsidP="002C66D8">
      <w:pPr>
        <w:spacing w:line="480" w:lineRule="auto"/>
        <w:jc w:val="both"/>
      </w:pPr>
      <w:r w:rsidRPr="007020AB">
        <w:t xml:space="preserve">Malaria parasites inside erythrocytes exert oxidative stress within parasitized red blood cells. The parasites generate reactive oxygen species (ROS) from which they are protected </w:t>
      </w:r>
      <w:r w:rsidR="00175EDB" w:rsidRPr="007020AB">
        <w:rPr>
          <w:color w:val="000000" w:themeColor="text1"/>
        </w:rPr>
        <w:t xml:space="preserve">(Hunt and Stocker, 1990; Potter </w:t>
      </w:r>
      <w:r w:rsidR="00175EDB" w:rsidRPr="007020AB">
        <w:rPr>
          <w:i/>
          <w:color w:val="000000" w:themeColor="text1"/>
        </w:rPr>
        <w:t>et al</w:t>
      </w:r>
      <w:r w:rsidR="00BC0321" w:rsidRPr="007020AB">
        <w:rPr>
          <w:i/>
          <w:color w:val="000000" w:themeColor="text1"/>
        </w:rPr>
        <w:t>.,</w:t>
      </w:r>
      <w:r w:rsidR="00175EDB" w:rsidRPr="007020AB">
        <w:rPr>
          <w:color w:val="000000" w:themeColor="text1"/>
        </w:rPr>
        <w:t xml:space="preserve"> 2005)</w:t>
      </w:r>
      <w:r w:rsidRPr="007020AB">
        <w:t xml:space="preserve">, through one or more pathways </w:t>
      </w:r>
      <w:r w:rsidR="00BC0321" w:rsidRPr="007020AB">
        <w:rPr>
          <w:color w:val="000000" w:themeColor="text1"/>
        </w:rPr>
        <w:t xml:space="preserve">(Deslauriers </w:t>
      </w:r>
      <w:r w:rsidR="00BC0321" w:rsidRPr="007020AB">
        <w:rPr>
          <w:i/>
          <w:color w:val="000000" w:themeColor="text1"/>
        </w:rPr>
        <w:t>et al</w:t>
      </w:r>
      <w:r w:rsidR="00BC0321" w:rsidRPr="007020AB">
        <w:rPr>
          <w:color w:val="000000" w:themeColor="text1"/>
        </w:rPr>
        <w:t xml:space="preserve">., 1987; Atamma and Ginsburg 1997; Har-El </w:t>
      </w:r>
      <w:r w:rsidR="00BC0321" w:rsidRPr="007020AB">
        <w:rPr>
          <w:i/>
          <w:color w:val="000000" w:themeColor="text1"/>
        </w:rPr>
        <w:t>et al</w:t>
      </w:r>
      <w:r w:rsidR="00BC0321" w:rsidRPr="007020AB">
        <w:rPr>
          <w:color w:val="000000" w:themeColor="text1"/>
        </w:rPr>
        <w:t>., 1993)</w:t>
      </w:r>
      <w:r w:rsidR="00D62F06" w:rsidRPr="007020AB">
        <w:rPr>
          <w:color w:val="000000" w:themeColor="text1"/>
        </w:rPr>
        <w:t>.</w:t>
      </w:r>
      <w:r w:rsidR="006B1C71" w:rsidRPr="007020AB">
        <w:t xml:space="preserve"> </w:t>
      </w:r>
      <w:r w:rsidRPr="007020AB">
        <w:t xml:space="preserve">The formation of ROS by malaria parasites if not checked by the host cytoprotective enzymes and antioxidants could led to oxidative damage that could contribute to pathophysiology of  many diseases </w:t>
      </w:r>
      <w:r w:rsidR="002C66D8" w:rsidRPr="007020AB">
        <w:rPr>
          <w:bCs/>
          <w:color w:val="000000" w:themeColor="text1"/>
          <w:lang w:eastAsia="en-GB"/>
        </w:rPr>
        <w:t>(</w:t>
      </w:r>
      <w:r w:rsidR="002C66D8" w:rsidRPr="007020AB">
        <w:rPr>
          <w:bCs/>
          <w:color w:val="000000" w:themeColor="text1"/>
          <w:lang w:val="en-GB" w:eastAsia="en-GB"/>
        </w:rPr>
        <w:t>Gora</w:t>
      </w:r>
      <w:r w:rsidR="002C66D8" w:rsidRPr="007020AB">
        <w:rPr>
          <w:bCs/>
          <w:color w:val="000000" w:themeColor="text1"/>
          <w:lang w:eastAsia="en-GB"/>
        </w:rPr>
        <w:t xml:space="preserve"> </w:t>
      </w:r>
      <w:r w:rsidR="002C66D8" w:rsidRPr="007020AB">
        <w:rPr>
          <w:bCs/>
          <w:i/>
          <w:color w:val="000000" w:themeColor="text1"/>
          <w:lang w:eastAsia="en-GB"/>
        </w:rPr>
        <w:t>et al</w:t>
      </w:r>
      <w:r w:rsidR="002C66D8" w:rsidRPr="007020AB">
        <w:rPr>
          <w:bCs/>
          <w:color w:val="000000" w:themeColor="text1"/>
          <w:lang w:eastAsia="en-GB"/>
        </w:rPr>
        <w:t xml:space="preserve">., </w:t>
      </w:r>
      <w:r w:rsidR="002C66D8" w:rsidRPr="007020AB">
        <w:rPr>
          <w:bCs/>
          <w:color w:val="000000" w:themeColor="text1"/>
          <w:lang w:val="en-GB" w:eastAsia="en-GB"/>
        </w:rPr>
        <w:t>2006)</w:t>
      </w:r>
      <w:r w:rsidRPr="007020AB">
        <w:t xml:space="preserve">. The potential toxicity of free radical generated by malaria parasites are counteracted by a large number of cytoprotective enzymes and antioxidants. One of such antioxidant is ascorbic acid </w:t>
      </w:r>
      <w:r w:rsidR="002C66D8" w:rsidRPr="007020AB">
        <w:rPr>
          <w:rFonts w:eastAsiaTheme="minorHAnsi"/>
          <w:color w:val="000000" w:themeColor="text1"/>
          <w:lang w:val="en-GB"/>
        </w:rPr>
        <w:t>(Behrman</w:t>
      </w:r>
      <w:r w:rsidR="002C66D8" w:rsidRPr="007020AB">
        <w:rPr>
          <w:color w:val="000000" w:themeColor="text1"/>
        </w:rPr>
        <w:t xml:space="preserve"> </w:t>
      </w:r>
      <w:r w:rsidR="002C66D8" w:rsidRPr="007020AB">
        <w:rPr>
          <w:i/>
          <w:color w:val="000000" w:themeColor="text1"/>
        </w:rPr>
        <w:t>et al</w:t>
      </w:r>
      <w:r w:rsidR="002C66D8" w:rsidRPr="007020AB">
        <w:rPr>
          <w:color w:val="000000" w:themeColor="text1"/>
        </w:rPr>
        <w:t xml:space="preserve">., </w:t>
      </w:r>
      <w:r w:rsidR="002C66D8" w:rsidRPr="007020AB">
        <w:rPr>
          <w:rFonts w:eastAsiaTheme="minorHAnsi"/>
          <w:color w:val="000000" w:themeColor="text1"/>
          <w:lang w:val="en-GB"/>
        </w:rPr>
        <w:t>2001)</w:t>
      </w:r>
      <w:r w:rsidRPr="007020AB">
        <w:t xml:space="preserve">. </w:t>
      </w:r>
    </w:p>
    <w:p w:rsidR="004A6CAE" w:rsidRPr="007020AB" w:rsidRDefault="004A6CAE" w:rsidP="006B1C71">
      <w:pPr>
        <w:spacing w:line="480" w:lineRule="auto"/>
        <w:jc w:val="both"/>
      </w:pPr>
      <w:r w:rsidRPr="007020AB">
        <w:t xml:space="preserve">In most endemic areas, chloroquine, used to be the first line therapy for malaria </w:t>
      </w:r>
      <w:r w:rsidR="002C66D8" w:rsidRPr="007020AB">
        <w:rPr>
          <w:color w:val="000000" w:themeColor="text1"/>
        </w:rPr>
        <w:t>(Olanrewaju and Johnson 2001)</w:t>
      </w:r>
      <w:r w:rsidRPr="007020AB">
        <w:t xml:space="preserve">, until the World Health Organization (WHO) succeeded in promoting the combination treatment for malaria infection </w:t>
      </w:r>
      <w:r w:rsidR="002C66D8" w:rsidRPr="007020AB">
        <w:rPr>
          <w:color w:val="000000" w:themeColor="text1"/>
        </w:rPr>
        <w:t>(Nosten and Brasseur, 2000).</w:t>
      </w:r>
      <w:r w:rsidR="006B1C71" w:rsidRPr="007020AB">
        <w:t xml:space="preserve"> </w:t>
      </w:r>
      <w:r w:rsidRPr="007020AB">
        <w:t xml:space="preserve">It has been observed that the treatments of malarial infection in most endemic areas are accompanied with vitamin B complex supplementation with folic acid as component. This organic acid been implicated in cardiovascular diseases because serum folate concentration has been reported to be an important determinant of serum total homocysteine (tHcy) </w:t>
      </w:r>
      <w:r w:rsidR="002C66D8" w:rsidRPr="007020AB">
        <w:rPr>
          <w:color w:val="000000" w:themeColor="text1"/>
        </w:rPr>
        <w:t xml:space="preserve">(Morrison, </w:t>
      </w:r>
      <w:r w:rsidR="002C66D8" w:rsidRPr="007020AB">
        <w:rPr>
          <w:i/>
          <w:color w:val="000000" w:themeColor="text1"/>
        </w:rPr>
        <w:t>et al</w:t>
      </w:r>
      <w:r w:rsidR="002C66D8" w:rsidRPr="007020AB">
        <w:rPr>
          <w:color w:val="000000" w:themeColor="text1"/>
        </w:rPr>
        <w:t>., 1996).</w:t>
      </w:r>
      <w:r w:rsidR="006B1C71" w:rsidRPr="007020AB">
        <w:t xml:space="preserve"> </w:t>
      </w:r>
      <w:r w:rsidRPr="007020AB">
        <w:t xml:space="preserve">However, the role folic acid may play as a single intervention agent in other diseases such as malaria infection is not known. Though, a preliminary study has shown folic acid to possess antioxidant property in respiration induced oxidative stress </w:t>
      </w:r>
      <w:r w:rsidR="00D24003" w:rsidRPr="007020AB">
        <w:rPr>
          <w:color w:val="000000" w:themeColor="text1"/>
        </w:rPr>
        <w:t>(</w:t>
      </w:r>
      <w:r w:rsidR="00C9152C" w:rsidRPr="007020AB">
        <w:rPr>
          <w:color w:val="000000" w:themeColor="text1"/>
        </w:rPr>
        <w:t>Iyawe and</w:t>
      </w:r>
      <w:r w:rsidR="00D24003" w:rsidRPr="007020AB">
        <w:rPr>
          <w:color w:val="000000" w:themeColor="text1"/>
        </w:rPr>
        <w:t xml:space="preserve"> Onigbinde, 2006)</w:t>
      </w:r>
      <w:r w:rsidRPr="007020AB">
        <w:t>.</w:t>
      </w:r>
      <w:r w:rsidR="006B1C71" w:rsidRPr="007020AB">
        <w:t xml:space="preserve"> </w:t>
      </w:r>
      <w:r w:rsidRPr="007020AB">
        <w:t xml:space="preserve">This research is therefore designed to assess the specific effect of folic acid in the treatment of </w:t>
      </w:r>
      <w:r w:rsidRPr="007020AB">
        <w:rPr>
          <w:i/>
        </w:rPr>
        <w:t>Plasmodium berghei</w:t>
      </w:r>
      <w:r w:rsidRPr="007020AB">
        <w:t xml:space="preserve"> infection with considerations to selected biochemical and antioxidant indicators.</w:t>
      </w:r>
      <w:r w:rsidR="002507D5" w:rsidRPr="007020AB">
        <w:t xml:space="preserve"> </w:t>
      </w:r>
      <w:r w:rsidR="006B1C71" w:rsidRPr="007020AB">
        <w:t>It is hoped that finding(s) from this work, may give an insight by way of extrapolation as to the usefulness or otherwise of folic acid as in intervening factor in malaria infection management.</w:t>
      </w:r>
    </w:p>
    <w:p w:rsidR="004A6CAE" w:rsidRPr="007020AB" w:rsidRDefault="004A6CAE" w:rsidP="004A6CAE">
      <w:pPr>
        <w:spacing w:line="360" w:lineRule="auto"/>
        <w:jc w:val="both"/>
        <w:rPr>
          <w:b/>
          <w:u w:val="single"/>
        </w:rPr>
      </w:pPr>
      <w:r w:rsidRPr="007020AB">
        <w:rPr>
          <w:b/>
          <w:u w:val="single"/>
        </w:rPr>
        <w:t>Materials and Methods</w:t>
      </w:r>
    </w:p>
    <w:p w:rsidR="004A6CAE" w:rsidRPr="007020AB" w:rsidRDefault="004A6CAE" w:rsidP="004A6CAE">
      <w:pPr>
        <w:spacing w:line="360" w:lineRule="auto"/>
        <w:jc w:val="both"/>
        <w:rPr>
          <w:b/>
        </w:rPr>
      </w:pPr>
      <w:r w:rsidRPr="007020AB">
        <w:rPr>
          <w:b/>
          <w:color w:val="000000"/>
        </w:rPr>
        <w:t>Animals</w:t>
      </w:r>
    </w:p>
    <w:p w:rsidR="004A6CAE" w:rsidRPr="007020AB" w:rsidRDefault="004A6CAE" w:rsidP="00DE6D94">
      <w:pPr>
        <w:spacing w:line="480" w:lineRule="auto"/>
        <w:jc w:val="both"/>
      </w:pPr>
      <w:r w:rsidRPr="007020AB">
        <w:t>Thirty albino male mice of 8 weeks were used in the study. Observation protocols and method used for maintaining ANKA strains of</w:t>
      </w:r>
      <w:r w:rsidRPr="007020AB">
        <w:rPr>
          <w:i/>
        </w:rPr>
        <w:t xml:space="preserve"> Plasmodium berghei</w:t>
      </w:r>
      <w:r w:rsidRPr="007020AB">
        <w:t xml:space="preserve"> in our laboratory has been previously described</w:t>
      </w:r>
      <w:r w:rsidR="00DE6D94" w:rsidRPr="007020AB">
        <w:t xml:space="preserve"> </w:t>
      </w:r>
      <w:r w:rsidR="00DE6D94" w:rsidRPr="007020AB">
        <w:rPr>
          <w:color w:val="000000" w:themeColor="text1"/>
        </w:rPr>
        <w:t>(Iyawe and Onigbinde</w:t>
      </w:r>
      <w:r w:rsidR="00E3077D" w:rsidRPr="007020AB">
        <w:rPr>
          <w:color w:val="000000" w:themeColor="text1"/>
        </w:rPr>
        <w:t>,</w:t>
      </w:r>
      <w:r w:rsidR="00DE6D94" w:rsidRPr="007020AB">
        <w:rPr>
          <w:color w:val="000000" w:themeColor="text1"/>
        </w:rPr>
        <w:t xml:space="preserve"> 2009)</w:t>
      </w:r>
      <w:r w:rsidRPr="007020AB">
        <w:t>. The animals used in this study, w</w:t>
      </w:r>
      <w:r w:rsidR="00555B4D" w:rsidRPr="007020AB">
        <w:t>ere</w:t>
      </w:r>
      <w:r w:rsidRPr="007020AB">
        <w:t xml:space="preserve"> treated and handled in the most humane manner. Three groups of ten animals each respectively categorized as control (None parasitized non–treated), parasitized non–treated (PnT) and parasitized but folic acid-treated (P+faT) were used. Feed and water were respectively given freely. Serum used for assay was harvested as previously reported </w:t>
      </w:r>
      <w:r w:rsidR="00DE6D94" w:rsidRPr="007020AB">
        <w:rPr>
          <w:color w:val="000000" w:themeColor="text1"/>
        </w:rPr>
        <w:t>(Iyawe and Onigbinde</w:t>
      </w:r>
      <w:r w:rsidR="00E3077D" w:rsidRPr="007020AB">
        <w:rPr>
          <w:color w:val="000000" w:themeColor="text1"/>
        </w:rPr>
        <w:t>,</w:t>
      </w:r>
      <w:r w:rsidR="00DE6D94" w:rsidRPr="007020AB">
        <w:rPr>
          <w:color w:val="000000" w:themeColor="text1"/>
        </w:rPr>
        <w:t xml:space="preserve"> 2009). </w:t>
      </w:r>
    </w:p>
    <w:p w:rsidR="004A6CAE" w:rsidRPr="007020AB" w:rsidRDefault="004A6CAE" w:rsidP="004A6CAE">
      <w:pPr>
        <w:pStyle w:val="Heading2"/>
        <w:ind w:left="0"/>
        <w:rPr>
          <w:color w:val="000000"/>
          <w:sz w:val="20"/>
        </w:rPr>
      </w:pPr>
      <w:r w:rsidRPr="007020AB">
        <w:rPr>
          <w:color w:val="000000"/>
          <w:sz w:val="20"/>
        </w:rPr>
        <w:lastRenderedPageBreak/>
        <w:t xml:space="preserve">Drug Preparation and Administration  </w:t>
      </w:r>
    </w:p>
    <w:p w:rsidR="004A6CAE" w:rsidRPr="007020AB" w:rsidRDefault="004A6CAE" w:rsidP="004A6CAE">
      <w:pPr>
        <w:spacing w:line="480" w:lineRule="auto"/>
        <w:jc w:val="both"/>
      </w:pPr>
      <w:r w:rsidRPr="007020AB">
        <w:t>Twelve millimeters folic acid containing 2.5mg/5ml w/v (NAFDAC cert. No: 04 – 4714) manufactured by Mopson Pharmaceutical Ltd. Lagos, was diluted with equal volume of distilled water.</w:t>
      </w:r>
      <w:r w:rsidRPr="007020AB">
        <w:rPr>
          <w:color w:val="FF0000"/>
        </w:rPr>
        <w:t xml:space="preserve"> </w:t>
      </w:r>
      <w:r w:rsidRPr="007020AB">
        <w:t xml:space="preserve">These preparations brought the active component of each drug to 3mg/ml these were administered intraperitoneally (25mg/kg b.w.) </w:t>
      </w:r>
      <w:r w:rsidR="00C85BFA" w:rsidRPr="007020AB">
        <w:t xml:space="preserve">during infection </w:t>
      </w:r>
      <w:r w:rsidRPr="007020AB">
        <w:t>for three days</w:t>
      </w:r>
      <w:r w:rsidR="0015550E" w:rsidRPr="007020AB">
        <w:t>, after establishing the presence of parasites in mice</w:t>
      </w:r>
      <w:r w:rsidR="002507D5" w:rsidRPr="007020AB">
        <w:t xml:space="preserve"> with Giemsa stain</w:t>
      </w:r>
      <w:r w:rsidR="00C85BFA" w:rsidRPr="007020AB">
        <w:t>.</w:t>
      </w:r>
    </w:p>
    <w:p w:rsidR="004A6CAE" w:rsidRPr="007020AB" w:rsidRDefault="004A6CAE" w:rsidP="004A6CAE">
      <w:pPr>
        <w:spacing w:line="480" w:lineRule="auto"/>
        <w:jc w:val="both"/>
        <w:rPr>
          <w:b/>
        </w:rPr>
      </w:pPr>
      <w:r w:rsidRPr="007020AB">
        <w:rPr>
          <w:b/>
          <w:color w:val="000000"/>
        </w:rPr>
        <w:t xml:space="preserve">Tissue Extracts Preparation and </w:t>
      </w:r>
      <w:r w:rsidRPr="007020AB">
        <w:rPr>
          <w:b/>
        </w:rPr>
        <w:t>Assays</w:t>
      </w:r>
    </w:p>
    <w:p w:rsidR="004A6CAE" w:rsidRPr="007020AB" w:rsidRDefault="004A6CAE" w:rsidP="00F9229C">
      <w:pPr>
        <w:spacing w:line="480" w:lineRule="auto"/>
        <w:jc w:val="both"/>
      </w:pPr>
      <w:r w:rsidRPr="007020AB">
        <w:t xml:space="preserve">Kidney, liver and heart tissues of subjects were obtained as previously described </w:t>
      </w:r>
      <w:r w:rsidR="00F9229C" w:rsidRPr="007020AB">
        <w:rPr>
          <w:color w:val="000000" w:themeColor="text1"/>
        </w:rPr>
        <w:t>(Iyawe and Onigbinde</w:t>
      </w:r>
      <w:r w:rsidR="007709B5" w:rsidRPr="007020AB">
        <w:rPr>
          <w:color w:val="000000" w:themeColor="text1"/>
        </w:rPr>
        <w:t>,</w:t>
      </w:r>
      <w:r w:rsidR="00F9229C" w:rsidRPr="007020AB">
        <w:rPr>
          <w:color w:val="000000" w:themeColor="text1"/>
        </w:rPr>
        <w:t xml:space="preserve"> 2009). </w:t>
      </w:r>
      <w:r w:rsidRPr="007020AB">
        <w:rPr>
          <w:color w:val="000000"/>
        </w:rPr>
        <w:t xml:space="preserve">Lipid peroxidation, Superoxide dismutase activity, Catalase activity, Assay of glutathione levels, glucose–6–phosphate dehydrogenase activity (G6PD), gamma glutamyltransferase activity (GGT), Alanine aminotransferase (ALT) and aspartate aminotransferase (AST) assay, serum bilirubin (total, conjugated and unconjugated),Total serum proteins, albumin and, Globulin concentration and </w:t>
      </w:r>
      <w:r w:rsidRPr="007020AB">
        <w:t xml:space="preserve">Erythrocyte fragility were </w:t>
      </w:r>
      <w:r w:rsidRPr="007020AB">
        <w:rPr>
          <w:color w:val="000000"/>
        </w:rPr>
        <w:t>respectively</w:t>
      </w:r>
      <w:r w:rsidRPr="007020AB">
        <w:t xml:space="preserve"> determined as previously described </w:t>
      </w:r>
      <w:r w:rsidR="00CA54BB" w:rsidRPr="007020AB">
        <w:rPr>
          <w:color w:val="000000" w:themeColor="text1"/>
        </w:rPr>
        <w:t>(Iyawe and Onigbinde</w:t>
      </w:r>
      <w:r w:rsidR="00E3077D" w:rsidRPr="007020AB">
        <w:rPr>
          <w:color w:val="000000" w:themeColor="text1"/>
        </w:rPr>
        <w:t>,</w:t>
      </w:r>
      <w:r w:rsidR="00CA54BB" w:rsidRPr="007020AB">
        <w:rPr>
          <w:color w:val="000000" w:themeColor="text1"/>
        </w:rPr>
        <w:t xml:space="preserve"> 2009).</w:t>
      </w:r>
    </w:p>
    <w:p w:rsidR="004A6CAE" w:rsidRPr="007020AB" w:rsidRDefault="004A6CAE" w:rsidP="004A6CAE">
      <w:pPr>
        <w:pStyle w:val="Heading2"/>
        <w:ind w:left="0"/>
        <w:rPr>
          <w:sz w:val="20"/>
        </w:rPr>
      </w:pPr>
      <w:bookmarkStart w:id="6" w:name="_Toc201932770"/>
      <w:bookmarkStart w:id="7" w:name="_Toc201933336"/>
      <w:bookmarkStart w:id="8" w:name="_Toc201934186"/>
      <w:bookmarkStart w:id="9" w:name="_Toc201964593"/>
      <w:bookmarkStart w:id="10" w:name="_Toc204218744"/>
      <w:bookmarkStart w:id="11" w:name="_Toc204223840"/>
      <w:r w:rsidRPr="007020AB">
        <w:rPr>
          <w:sz w:val="20"/>
        </w:rPr>
        <w:t>Statistical Analysis</w:t>
      </w:r>
      <w:bookmarkEnd w:id="6"/>
      <w:bookmarkEnd w:id="7"/>
      <w:bookmarkEnd w:id="8"/>
      <w:bookmarkEnd w:id="9"/>
      <w:bookmarkEnd w:id="10"/>
      <w:bookmarkEnd w:id="11"/>
      <w:r w:rsidRPr="007020AB">
        <w:rPr>
          <w:sz w:val="20"/>
        </w:rPr>
        <w:t xml:space="preserve"> </w:t>
      </w:r>
    </w:p>
    <w:bookmarkEnd w:id="0"/>
    <w:bookmarkEnd w:id="1"/>
    <w:bookmarkEnd w:id="2"/>
    <w:bookmarkEnd w:id="3"/>
    <w:bookmarkEnd w:id="4"/>
    <w:bookmarkEnd w:id="5"/>
    <w:p w:rsidR="00CC1CF5" w:rsidRPr="007020AB" w:rsidRDefault="00CC1CF5" w:rsidP="00CC1CF5">
      <w:pPr>
        <w:spacing w:line="480" w:lineRule="auto"/>
        <w:jc w:val="both"/>
      </w:pPr>
      <w:r w:rsidRPr="007020AB">
        <w:t xml:space="preserve">All values are expressed as Mean </w:t>
      </w:r>
      <w:r w:rsidRPr="007020AB">
        <w:rPr>
          <w:u w:val="single"/>
        </w:rPr>
        <w:t>+</w:t>
      </w:r>
      <w:r w:rsidRPr="007020AB">
        <w:t xml:space="preserve"> SD. Statistical analysis was performed by one-way Analysis of Variance (ANOVA) and individual comparisons of the group mean values were done using Tukey’s Multiple Comparison Test, with the help of Graph pad prism 4.0 software. The value of p &lt; 0.05 was considered significant.</w:t>
      </w:r>
    </w:p>
    <w:p w:rsidR="004A6CAE" w:rsidRPr="007020AB" w:rsidRDefault="004A6CAE" w:rsidP="004A6CAE">
      <w:pPr>
        <w:pStyle w:val="Heading2"/>
        <w:spacing w:line="240" w:lineRule="auto"/>
        <w:ind w:left="0"/>
        <w:rPr>
          <w:sz w:val="20"/>
          <w:u w:val="single"/>
        </w:rPr>
      </w:pPr>
      <w:r w:rsidRPr="007020AB">
        <w:rPr>
          <w:sz w:val="20"/>
          <w:u w:val="single"/>
        </w:rPr>
        <w:t>Results</w:t>
      </w:r>
    </w:p>
    <w:p w:rsidR="004A6CAE" w:rsidRPr="007020AB" w:rsidRDefault="004A6CAE" w:rsidP="004A6CAE">
      <w:pPr>
        <w:pStyle w:val="Heading2"/>
        <w:spacing w:line="240" w:lineRule="auto"/>
        <w:ind w:left="0"/>
        <w:rPr>
          <w:b w:val="0"/>
          <w:sz w:val="20"/>
        </w:rPr>
      </w:pPr>
      <w:bookmarkStart w:id="12" w:name="_Toc204218750"/>
      <w:bookmarkStart w:id="13" w:name="_Toc204223846"/>
    </w:p>
    <w:bookmarkEnd w:id="12"/>
    <w:bookmarkEnd w:id="13"/>
    <w:p w:rsidR="004A6CAE" w:rsidRPr="007020AB" w:rsidRDefault="004A6CAE" w:rsidP="004A6CAE">
      <w:pPr>
        <w:pStyle w:val="Heading2"/>
        <w:ind w:left="0"/>
        <w:rPr>
          <w:b w:val="0"/>
          <w:sz w:val="20"/>
        </w:rPr>
      </w:pPr>
      <w:r w:rsidRPr="007020AB">
        <w:rPr>
          <w:b w:val="0"/>
          <w:sz w:val="20"/>
        </w:rPr>
        <w:t>Folic acid treatment in parasitized mice significantly (p&lt;0.05) reduced erythrocyte fragility, total bilirubin and increased PCV compared to PnT mice with values still significantly (p&lt;0.05) lower than that of control group (Table I). Folic acid supplementation decreased (p&lt;0.05) total protein and globulin in comparison to PnT while albumin in both PnT and P + FaT groups increased (p&lt;0.05) compared to control (In Table II).</w:t>
      </w:r>
    </w:p>
    <w:p w:rsidR="004A6CAE" w:rsidRPr="007020AB" w:rsidRDefault="004A6CAE" w:rsidP="004A6CAE">
      <w:pPr>
        <w:spacing w:line="480" w:lineRule="auto"/>
        <w:jc w:val="both"/>
      </w:pPr>
      <w:r w:rsidRPr="007020AB">
        <w:t>Folic acid treatment of parasitized mice significantly (p&lt;0.05) reduce oxidative stress and increase (p&lt;0.05) the activity of superoxide dismutase (SOD) and catalase (CAT) in comparison to control (Table III). Also, kidney tissue MDA reduced (p&lt;0.05) to near that of control following folic acid supplementation while liver tissue SOD and CAT activity decreased (p&lt;0.05) compared to PnT and control (Table IV).</w:t>
      </w:r>
    </w:p>
    <w:p w:rsidR="004A6CAE" w:rsidRPr="007020AB" w:rsidRDefault="004A6CAE" w:rsidP="004A6CAE">
      <w:pPr>
        <w:spacing w:line="480" w:lineRule="auto"/>
        <w:jc w:val="both"/>
      </w:pPr>
    </w:p>
    <w:p w:rsidR="004A6CAE" w:rsidRDefault="004A6CAE" w:rsidP="004A6CAE">
      <w:pPr>
        <w:spacing w:line="480" w:lineRule="auto"/>
        <w:jc w:val="both"/>
        <w:rPr>
          <w:sz w:val="26"/>
        </w:rPr>
      </w:pPr>
    </w:p>
    <w:p w:rsidR="004A6CAE" w:rsidRDefault="004A6CAE" w:rsidP="004A6CAE">
      <w:pPr>
        <w:spacing w:after="200" w:line="276" w:lineRule="auto"/>
        <w:rPr>
          <w:sz w:val="26"/>
        </w:rPr>
      </w:pPr>
      <w:r>
        <w:rPr>
          <w:sz w:val="26"/>
        </w:rPr>
        <w:br w:type="page"/>
      </w:r>
    </w:p>
    <w:p w:rsidR="004A6CAE" w:rsidRDefault="004A6CAE" w:rsidP="004A6CAE">
      <w:pPr>
        <w:spacing w:line="480" w:lineRule="auto"/>
        <w:jc w:val="both"/>
        <w:rPr>
          <w:sz w:val="26"/>
        </w:rPr>
        <w:sectPr w:rsidR="004A6CAE" w:rsidSect="000D3348">
          <w:footerReference w:type="default" r:id="rId8"/>
          <w:pgSz w:w="11906" w:h="16838"/>
          <w:pgMar w:top="1440" w:right="1440" w:bottom="1440" w:left="1440" w:header="708" w:footer="708" w:gutter="0"/>
          <w:cols w:space="708"/>
          <w:docGrid w:linePitch="360"/>
        </w:sectPr>
      </w:pPr>
    </w:p>
    <w:p w:rsidR="004A6CAE" w:rsidRDefault="004A6CAE" w:rsidP="004A6CAE">
      <w:pPr>
        <w:jc w:val="center"/>
        <w:rPr>
          <w:b/>
          <w:sz w:val="28"/>
          <w:szCs w:val="28"/>
        </w:rPr>
      </w:pPr>
    </w:p>
    <w:p w:rsidR="004A6CAE" w:rsidRDefault="004A6CAE" w:rsidP="004A6CAE">
      <w:pPr>
        <w:jc w:val="center"/>
        <w:rPr>
          <w:b/>
          <w:sz w:val="28"/>
          <w:szCs w:val="28"/>
        </w:rPr>
      </w:pPr>
    </w:p>
    <w:p w:rsidR="004A6CAE" w:rsidRDefault="004A6CAE" w:rsidP="004A6CAE">
      <w:pPr>
        <w:jc w:val="center"/>
        <w:rPr>
          <w:b/>
          <w:sz w:val="28"/>
          <w:szCs w:val="28"/>
        </w:rPr>
      </w:pPr>
    </w:p>
    <w:p w:rsidR="004A6CAE" w:rsidRPr="007020AB" w:rsidRDefault="004A6CAE" w:rsidP="004A6CAE">
      <w:pPr>
        <w:jc w:val="center"/>
        <w:rPr>
          <w:b/>
          <w:u w:val="single"/>
        </w:rPr>
      </w:pPr>
      <w:r w:rsidRPr="007020AB">
        <w:rPr>
          <w:b/>
          <w:u w:val="single"/>
        </w:rPr>
        <w:t xml:space="preserve">Table I: Effect of </w:t>
      </w:r>
      <w:r w:rsidRPr="007020AB">
        <w:rPr>
          <w:b/>
          <w:i/>
          <w:u w:val="single"/>
        </w:rPr>
        <w:t xml:space="preserve">P. berghei </w:t>
      </w:r>
      <w:r w:rsidRPr="007020AB">
        <w:rPr>
          <w:b/>
          <w:u w:val="single"/>
        </w:rPr>
        <w:t>and folic acid treatment on mice haematological indices.</w:t>
      </w:r>
    </w:p>
    <w:p w:rsidR="004A6CAE" w:rsidRPr="007020AB" w:rsidRDefault="004A6CAE" w:rsidP="004A6CAE">
      <w:pPr>
        <w:jc w:val="center"/>
        <w:rPr>
          <w:b/>
        </w:rPr>
      </w:pPr>
    </w:p>
    <w:tbl>
      <w:tblPr>
        <w:tblW w:w="9900" w:type="dxa"/>
        <w:tblInd w:w="2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20"/>
        <w:gridCol w:w="2160"/>
        <w:gridCol w:w="2160"/>
        <w:gridCol w:w="2160"/>
      </w:tblGrid>
      <w:tr w:rsidR="004A6CAE" w:rsidRPr="007020AB" w:rsidTr="007020AB">
        <w:tc>
          <w:tcPr>
            <w:tcW w:w="3420" w:type="dxa"/>
            <w:tcBorders>
              <w:left w:val="nil"/>
            </w:tcBorders>
            <w:vAlign w:val="center"/>
          </w:tcPr>
          <w:p w:rsidR="004A6CAE" w:rsidRPr="007020AB" w:rsidRDefault="004A6CAE" w:rsidP="007020AB">
            <w:pPr>
              <w:spacing w:line="480" w:lineRule="auto"/>
              <w:jc w:val="center"/>
            </w:pPr>
            <w:r w:rsidRPr="007020AB">
              <w:t>Parameters</w:t>
            </w:r>
          </w:p>
        </w:tc>
        <w:tc>
          <w:tcPr>
            <w:tcW w:w="2160" w:type="dxa"/>
            <w:vAlign w:val="center"/>
          </w:tcPr>
          <w:p w:rsidR="004A6CAE" w:rsidRPr="007020AB" w:rsidRDefault="004A6CAE" w:rsidP="007020AB">
            <w:pPr>
              <w:spacing w:line="480" w:lineRule="auto"/>
              <w:jc w:val="center"/>
            </w:pPr>
            <w:r w:rsidRPr="007020AB">
              <w:t>Control</w:t>
            </w:r>
          </w:p>
        </w:tc>
        <w:tc>
          <w:tcPr>
            <w:tcW w:w="2160" w:type="dxa"/>
            <w:vAlign w:val="center"/>
          </w:tcPr>
          <w:p w:rsidR="004A6CAE" w:rsidRPr="007020AB" w:rsidRDefault="004A6CAE" w:rsidP="007020AB">
            <w:pPr>
              <w:spacing w:line="480" w:lineRule="auto"/>
              <w:jc w:val="center"/>
            </w:pPr>
            <w:r w:rsidRPr="007020AB">
              <w:t>PnT</w:t>
            </w:r>
          </w:p>
        </w:tc>
        <w:tc>
          <w:tcPr>
            <w:tcW w:w="2160" w:type="dxa"/>
            <w:tcBorders>
              <w:right w:val="nil"/>
            </w:tcBorders>
            <w:vAlign w:val="center"/>
          </w:tcPr>
          <w:p w:rsidR="004A6CAE" w:rsidRPr="007020AB" w:rsidRDefault="004A6CAE" w:rsidP="007020AB">
            <w:pPr>
              <w:spacing w:line="480" w:lineRule="auto"/>
              <w:jc w:val="center"/>
            </w:pPr>
            <w:r w:rsidRPr="007020AB">
              <w:t>P+faT</w:t>
            </w:r>
          </w:p>
        </w:tc>
      </w:tr>
      <w:tr w:rsidR="004A6CAE" w:rsidRPr="007020AB" w:rsidTr="007020AB">
        <w:trPr>
          <w:trHeight w:hRule="exact" w:val="1090"/>
        </w:trPr>
        <w:tc>
          <w:tcPr>
            <w:tcW w:w="3420" w:type="dxa"/>
            <w:tcBorders>
              <w:left w:val="nil"/>
            </w:tcBorders>
            <w:vAlign w:val="center"/>
          </w:tcPr>
          <w:p w:rsidR="004A6CAE" w:rsidRPr="007020AB" w:rsidRDefault="004A6CAE" w:rsidP="007020AB">
            <w:pPr>
              <w:spacing w:line="480" w:lineRule="auto"/>
              <w:jc w:val="center"/>
            </w:pPr>
            <w:r w:rsidRPr="007020AB">
              <w:t>Erythrocyte fragility (%)</w:t>
            </w:r>
          </w:p>
          <w:p w:rsidR="004A6CAE" w:rsidRPr="007020AB" w:rsidRDefault="004A6CAE" w:rsidP="007020AB">
            <w:pPr>
              <w:spacing w:line="480" w:lineRule="auto"/>
              <w:jc w:val="center"/>
            </w:pPr>
          </w:p>
        </w:tc>
        <w:tc>
          <w:tcPr>
            <w:tcW w:w="2160" w:type="dxa"/>
            <w:vAlign w:val="center"/>
          </w:tcPr>
          <w:p w:rsidR="004A6CAE" w:rsidRPr="007020AB" w:rsidRDefault="004A6CAE" w:rsidP="007020AB">
            <w:pPr>
              <w:spacing w:line="480" w:lineRule="auto"/>
              <w:jc w:val="center"/>
            </w:pPr>
            <w:r w:rsidRPr="007020AB">
              <w:t>0.00 ± 0.00a</w:t>
            </w:r>
          </w:p>
        </w:tc>
        <w:tc>
          <w:tcPr>
            <w:tcW w:w="2160" w:type="dxa"/>
            <w:vAlign w:val="center"/>
          </w:tcPr>
          <w:p w:rsidR="004A6CAE" w:rsidRPr="007020AB" w:rsidRDefault="004A6CAE" w:rsidP="007020AB">
            <w:pPr>
              <w:spacing w:line="480" w:lineRule="auto"/>
              <w:jc w:val="center"/>
            </w:pPr>
            <w:r w:rsidRPr="007020AB">
              <w:t>37.15 ± 0.77b</w:t>
            </w:r>
          </w:p>
        </w:tc>
        <w:tc>
          <w:tcPr>
            <w:tcW w:w="2160" w:type="dxa"/>
            <w:tcBorders>
              <w:right w:val="nil"/>
            </w:tcBorders>
            <w:vAlign w:val="center"/>
          </w:tcPr>
          <w:p w:rsidR="004A6CAE" w:rsidRPr="007020AB" w:rsidRDefault="004A6CAE" w:rsidP="007020AB">
            <w:pPr>
              <w:spacing w:line="480" w:lineRule="auto"/>
              <w:jc w:val="center"/>
            </w:pPr>
            <w:r w:rsidRPr="007020AB">
              <w:t>15.17 ± 0.90c</w:t>
            </w:r>
          </w:p>
        </w:tc>
      </w:tr>
      <w:tr w:rsidR="004A6CAE" w:rsidRPr="007020AB" w:rsidTr="007020AB">
        <w:trPr>
          <w:trHeight w:hRule="exact" w:val="1000"/>
        </w:trPr>
        <w:tc>
          <w:tcPr>
            <w:tcW w:w="3420" w:type="dxa"/>
            <w:tcBorders>
              <w:left w:val="nil"/>
            </w:tcBorders>
            <w:vAlign w:val="center"/>
          </w:tcPr>
          <w:p w:rsidR="004A6CAE" w:rsidRPr="007020AB" w:rsidRDefault="004A6CAE" w:rsidP="007020AB">
            <w:pPr>
              <w:spacing w:line="480" w:lineRule="auto"/>
              <w:jc w:val="center"/>
            </w:pPr>
            <w:r w:rsidRPr="007020AB">
              <w:t>Packed Cell Volume (%)</w:t>
            </w:r>
          </w:p>
          <w:p w:rsidR="004A6CAE" w:rsidRPr="007020AB" w:rsidRDefault="004A6CAE" w:rsidP="007020AB">
            <w:pPr>
              <w:spacing w:line="480" w:lineRule="auto"/>
              <w:jc w:val="center"/>
            </w:pPr>
          </w:p>
        </w:tc>
        <w:tc>
          <w:tcPr>
            <w:tcW w:w="2160" w:type="dxa"/>
            <w:vAlign w:val="center"/>
          </w:tcPr>
          <w:p w:rsidR="004A6CAE" w:rsidRPr="007020AB" w:rsidRDefault="004A6CAE" w:rsidP="007020AB">
            <w:pPr>
              <w:spacing w:line="480" w:lineRule="auto"/>
              <w:jc w:val="center"/>
            </w:pPr>
            <w:r w:rsidRPr="007020AB">
              <w:t>42.71 ± 2.17a</w:t>
            </w:r>
          </w:p>
        </w:tc>
        <w:tc>
          <w:tcPr>
            <w:tcW w:w="2160" w:type="dxa"/>
            <w:vAlign w:val="center"/>
          </w:tcPr>
          <w:p w:rsidR="004A6CAE" w:rsidRPr="007020AB" w:rsidRDefault="004A6CAE" w:rsidP="007020AB">
            <w:pPr>
              <w:spacing w:line="480" w:lineRule="auto"/>
              <w:jc w:val="center"/>
            </w:pPr>
            <w:r w:rsidRPr="007020AB">
              <w:t>26.83 ± 2.33b</w:t>
            </w:r>
          </w:p>
        </w:tc>
        <w:tc>
          <w:tcPr>
            <w:tcW w:w="2160" w:type="dxa"/>
            <w:tcBorders>
              <w:right w:val="nil"/>
            </w:tcBorders>
            <w:vAlign w:val="center"/>
          </w:tcPr>
          <w:p w:rsidR="004A6CAE" w:rsidRPr="007020AB" w:rsidRDefault="004A6CAE" w:rsidP="007020AB">
            <w:pPr>
              <w:spacing w:line="480" w:lineRule="auto"/>
              <w:jc w:val="center"/>
            </w:pPr>
            <w:r w:rsidRPr="007020AB">
              <w:t>36.83 ±1.76c</w:t>
            </w:r>
          </w:p>
        </w:tc>
      </w:tr>
      <w:tr w:rsidR="004A6CAE" w:rsidRPr="007020AB" w:rsidTr="007020AB">
        <w:trPr>
          <w:trHeight w:hRule="exact" w:val="1063"/>
        </w:trPr>
        <w:tc>
          <w:tcPr>
            <w:tcW w:w="3420" w:type="dxa"/>
            <w:tcBorders>
              <w:left w:val="nil"/>
            </w:tcBorders>
            <w:vAlign w:val="center"/>
          </w:tcPr>
          <w:p w:rsidR="004A6CAE" w:rsidRPr="007020AB" w:rsidRDefault="004A6CAE" w:rsidP="007020AB">
            <w:pPr>
              <w:spacing w:line="480" w:lineRule="auto"/>
              <w:jc w:val="center"/>
            </w:pPr>
            <w:r w:rsidRPr="007020AB">
              <w:t>Total Bilirubin (mg/dL)</w:t>
            </w:r>
          </w:p>
          <w:p w:rsidR="004A6CAE" w:rsidRPr="007020AB" w:rsidRDefault="004A6CAE" w:rsidP="007020AB">
            <w:pPr>
              <w:spacing w:line="480" w:lineRule="auto"/>
              <w:jc w:val="center"/>
            </w:pPr>
          </w:p>
        </w:tc>
        <w:tc>
          <w:tcPr>
            <w:tcW w:w="2160" w:type="dxa"/>
            <w:vAlign w:val="center"/>
          </w:tcPr>
          <w:p w:rsidR="004A6CAE" w:rsidRPr="007020AB" w:rsidRDefault="004A6CAE" w:rsidP="007020AB">
            <w:pPr>
              <w:spacing w:line="480" w:lineRule="auto"/>
              <w:jc w:val="center"/>
            </w:pPr>
            <w:r w:rsidRPr="007020AB">
              <w:t>0.16 ± 0.02a</w:t>
            </w:r>
          </w:p>
        </w:tc>
        <w:tc>
          <w:tcPr>
            <w:tcW w:w="2160" w:type="dxa"/>
            <w:vAlign w:val="center"/>
          </w:tcPr>
          <w:p w:rsidR="004A6CAE" w:rsidRPr="007020AB" w:rsidRDefault="004A6CAE" w:rsidP="007020AB">
            <w:pPr>
              <w:spacing w:line="480" w:lineRule="auto"/>
              <w:jc w:val="center"/>
            </w:pPr>
            <w:r w:rsidRPr="007020AB">
              <w:t>0.76 ± 0.12b</w:t>
            </w:r>
          </w:p>
        </w:tc>
        <w:tc>
          <w:tcPr>
            <w:tcW w:w="2160" w:type="dxa"/>
            <w:tcBorders>
              <w:right w:val="nil"/>
            </w:tcBorders>
            <w:vAlign w:val="center"/>
          </w:tcPr>
          <w:p w:rsidR="004A6CAE" w:rsidRPr="007020AB" w:rsidRDefault="004A6CAE" w:rsidP="007020AB">
            <w:pPr>
              <w:spacing w:line="480" w:lineRule="auto"/>
              <w:jc w:val="center"/>
            </w:pPr>
            <w:r w:rsidRPr="007020AB">
              <w:t>0.31 ± 0.08c</w:t>
            </w:r>
          </w:p>
        </w:tc>
      </w:tr>
      <w:tr w:rsidR="004A6CAE" w:rsidRPr="007020AB" w:rsidTr="007020AB">
        <w:trPr>
          <w:trHeight w:hRule="exact" w:val="883"/>
        </w:trPr>
        <w:tc>
          <w:tcPr>
            <w:tcW w:w="3420" w:type="dxa"/>
            <w:tcBorders>
              <w:left w:val="nil"/>
            </w:tcBorders>
            <w:vAlign w:val="center"/>
          </w:tcPr>
          <w:p w:rsidR="004A6CAE" w:rsidRPr="007020AB" w:rsidRDefault="004A6CAE" w:rsidP="007020AB">
            <w:pPr>
              <w:spacing w:line="480" w:lineRule="auto"/>
              <w:jc w:val="center"/>
            </w:pPr>
            <w:r w:rsidRPr="007020AB">
              <w:t>Direct Bilirubin (mg/dL)</w:t>
            </w:r>
          </w:p>
          <w:p w:rsidR="004A6CAE" w:rsidRPr="007020AB" w:rsidRDefault="004A6CAE" w:rsidP="007020AB">
            <w:pPr>
              <w:spacing w:line="480" w:lineRule="auto"/>
              <w:jc w:val="center"/>
            </w:pPr>
          </w:p>
        </w:tc>
        <w:tc>
          <w:tcPr>
            <w:tcW w:w="2160" w:type="dxa"/>
            <w:vAlign w:val="center"/>
          </w:tcPr>
          <w:p w:rsidR="004A6CAE" w:rsidRPr="007020AB" w:rsidRDefault="004A6CAE" w:rsidP="007020AB">
            <w:pPr>
              <w:spacing w:line="480" w:lineRule="auto"/>
              <w:jc w:val="center"/>
            </w:pPr>
            <w:r w:rsidRPr="007020AB">
              <w:t>0.10 ± 0.03a</w:t>
            </w:r>
          </w:p>
        </w:tc>
        <w:tc>
          <w:tcPr>
            <w:tcW w:w="2160" w:type="dxa"/>
            <w:vAlign w:val="center"/>
          </w:tcPr>
          <w:p w:rsidR="004A6CAE" w:rsidRPr="007020AB" w:rsidRDefault="004A6CAE" w:rsidP="007020AB">
            <w:pPr>
              <w:spacing w:line="480" w:lineRule="auto"/>
              <w:jc w:val="center"/>
            </w:pPr>
            <w:r w:rsidRPr="007020AB">
              <w:t>0.68 ± 0.12b</w:t>
            </w:r>
          </w:p>
        </w:tc>
        <w:tc>
          <w:tcPr>
            <w:tcW w:w="2160" w:type="dxa"/>
            <w:tcBorders>
              <w:right w:val="nil"/>
            </w:tcBorders>
            <w:vAlign w:val="center"/>
          </w:tcPr>
          <w:p w:rsidR="004A6CAE" w:rsidRPr="007020AB" w:rsidRDefault="004A6CAE" w:rsidP="007020AB">
            <w:pPr>
              <w:spacing w:line="480" w:lineRule="auto"/>
              <w:jc w:val="center"/>
            </w:pPr>
            <w:r w:rsidRPr="007020AB">
              <w:t>0.26 ± 0.08c</w:t>
            </w:r>
          </w:p>
        </w:tc>
      </w:tr>
      <w:tr w:rsidR="004A6CAE" w:rsidRPr="007020AB" w:rsidTr="007020AB">
        <w:trPr>
          <w:trHeight w:hRule="exact" w:val="1072"/>
        </w:trPr>
        <w:tc>
          <w:tcPr>
            <w:tcW w:w="3420" w:type="dxa"/>
            <w:tcBorders>
              <w:left w:val="nil"/>
            </w:tcBorders>
            <w:vAlign w:val="center"/>
          </w:tcPr>
          <w:p w:rsidR="004A6CAE" w:rsidRPr="007020AB" w:rsidRDefault="004A6CAE" w:rsidP="007020AB">
            <w:pPr>
              <w:spacing w:line="480" w:lineRule="auto"/>
              <w:jc w:val="center"/>
            </w:pPr>
            <w:r w:rsidRPr="007020AB">
              <w:t>Indirect Bilirubin (mg/dL)</w:t>
            </w:r>
          </w:p>
          <w:p w:rsidR="004A6CAE" w:rsidRPr="007020AB" w:rsidRDefault="004A6CAE" w:rsidP="007020AB">
            <w:pPr>
              <w:spacing w:line="480" w:lineRule="auto"/>
              <w:jc w:val="center"/>
            </w:pPr>
          </w:p>
        </w:tc>
        <w:tc>
          <w:tcPr>
            <w:tcW w:w="2160" w:type="dxa"/>
            <w:vAlign w:val="center"/>
          </w:tcPr>
          <w:p w:rsidR="004A6CAE" w:rsidRPr="007020AB" w:rsidRDefault="004A6CAE" w:rsidP="007020AB">
            <w:pPr>
              <w:spacing w:line="480" w:lineRule="auto"/>
              <w:jc w:val="center"/>
            </w:pPr>
            <w:r w:rsidRPr="007020AB">
              <w:t>0.06 ± 0.02</w:t>
            </w:r>
          </w:p>
        </w:tc>
        <w:tc>
          <w:tcPr>
            <w:tcW w:w="2160" w:type="dxa"/>
            <w:vAlign w:val="center"/>
          </w:tcPr>
          <w:p w:rsidR="004A6CAE" w:rsidRPr="007020AB" w:rsidRDefault="004A6CAE" w:rsidP="007020AB">
            <w:pPr>
              <w:spacing w:line="480" w:lineRule="auto"/>
              <w:jc w:val="center"/>
            </w:pPr>
            <w:r w:rsidRPr="007020AB">
              <w:t>0.08 ± 0.01</w:t>
            </w:r>
          </w:p>
        </w:tc>
        <w:tc>
          <w:tcPr>
            <w:tcW w:w="2160" w:type="dxa"/>
            <w:tcBorders>
              <w:right w:val="nil"/>
            </w:tcBorders>
            <w:vAlign w:val="center"/>
          </w:tcPr>
          <w:p w:rsidR="004A6CAE" w:rsidRPr="007020AB" w:rsidRDefault="004A6CAE" w:rsidP="007020AB">
            <w:pPr>
              <w:spacing w:line="480" w:lineRule="auto"/>
              <w:jc w:val="center"/>
            </w:pPr>
            <w:r w:rsidRPr="007020AB">
              <w:t>0.05 ± 0.01</w:t>
            </w:r>
          </w:p>
        </w:tc>
      </w:tr>
    </w:tbl>
    <w:p w:rsidR="004A6CAE" w:rsidRPr="007020AB" w:rsidRDefault="004A6CAE" w:rsidP="004A6CAE">
      <w:pPr>
        <w:jc w:val="center"/>
        <w:rPr>
          <w:b/>
          <w:u w:val="single"/>
        </w:rPr>
      </w:pPr>
      <w:r>
        <w:rPr>
          <w:sz w:val="22"/>
          <w:szCs w:val="22"/>
        </w:rPr>
        <w:t xml:space="preserve">          </w:t>
      </w:r>
      <w:r>
        <w:rPr>
          <w:b/>
          <w:sz w:val="28"/>
          <w:szCs w:val="28"/>
        </w:rPr>
        <w:br w:type="page"/>
      </w:r>
      <w:r w:rsidRPr="007020AB">
        <w:rPr>
          <w:b/>
          <w:u w:val="single"/>
        </w:rPr>
        <w:lastRenderedPageBreak/>
        <w:t xml:space="preserve">Table II: Effect of </w:t>
      </w:r>
      <w:r w:rsidRPr="007020AB">
        <w:rPr>
          <w:b/>
          <w:i/>
          <w:u w:val="single"/>
        </w:rPr>
        <w:t xml:space="preserve">P. berghei </w:t>
      </w:r>
      <w:r w:rsidRPr="007020AB">
        <w:rPr>
          <w:b/>
          <w:u w:val="single"/>
        </w:rPr>
        <w:t>and folic treatments on mice plasma proteins and liver function enzymes.</w:t>
      </w:r>
    </w:p>
    <w:p w:rsidR="004A6CAE" w:rsidRPr="007020AB" w:rsidRDefault="004A6CAE" w:rsidP="004A6CAE">
      <w:pPr>
        <w:rPr>
          <w:b/>
        </w:rPr>
      </w:pPr>
    </w:p>
    <w:tbl>
      <w:tblPr>
        <w:tblW w:w="9926" w:type="dxa"/>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6"/>
        <w:gridCol w:w="2340"/>
        <w:gridCol w:w="2340"/>
        <w:gridCol w:w="2160"/>
      </w:tblGrid>
      <w:tr w:rsidR="004A6CAE" w:rsidRPr="007020AB" w:rsidTr="007020AB">
        <w:tc>
          <w:tcPr>
            <w:tcW w:w="3086" w:type="dxa"/>
            <w:tcBorders>
              <w:left w:val="nil"/>
            </w:tcBorders>
            <w:vAlign w:val="center"/>
          </w:tcPr>
          <w:p w:rsidR="004A6CAE" w:rsidRPr="007020AB" w:rsidRDefault="004A6CAE" w:rsidP="007020AB">
            <w:pPr>
              <w:spacing w:line="480" w:lineRule="auto"/>
              <w:jc w:val="center"/>
            </w:pPr>
            <w:r w:rsidRPr="007020AB">
              <w:t>Parameters</w:t>
            </w:r>
          </w:p>
        </w:tc>
        <w:tc>
          <w:tcPr>
            <w:tcW w:w="2340" w:type="dxa"/>
            <w:vAlign w:val="center"/>
          </w:tcPr>
          <w:p w:rsidR="004A6CAE" w:rsidRPr="007020AB" w:rsidRDefault="004A6CAE" w:rsidP="007020AB">
            <w:pPr>
              <w:spacing w:line="480" w:lineRule="auto"/>
              <w:jc w:val="center"/>
            </w:pPr>
            <w:r w:rsidRPr="007020AB">
              <w:t>Control</w:t>
            </w:r>
          </w:p>
        </w:tc>
        <w:tc>
          <w:tcPr>
            <w:tcW w:w="2340" w:type="dxa"/>
            <w:vAlign w:val="center"/>
          </w:tcPr>
          <w:p w:rsidR="004A6CAE" w:rsidRPr="007020AB" w:rsidRDefault="004A6CAE" w:rsidP="007020AB">
            <w:pPr>
              <w:spacing w:line="480" w:lineRule="auto"/>
              <w:jc w:val="center"/>
            </w:pPr>
            <w:r w:rsidRPr="007020AB">
              <w:t>PnT</w:t>
            </w:r>
          </w:p>
        </w:tc>
        <w:tc>
          <w:tcPr>
            <w:tcW w:w="2160" w:type="dxa"/>
            <w:tcBorders>
              <w:right w:val="nil"/>
            </w:tcBorders>
            <w:vAlign w:val="center"/>
          </w:tcPr>
          <w:p w:rsidR="004A6CAE" w:rsidRPr="007020AB" w:rsidRDefault="004A6CAE" w:rsidP="007020AB">
            <w:pPr>
              <w:spacing w:line="480" w:lineRule="auto"/>
              <w:jc w:val="center"/>
            </w:pPr>
            <w:r w:rsidRPr="007020AB">
              <w:t>P+faT</w:t>
            </w:r>
          </w:p>
        </w:tc>
      </w:tr>
      <w:tr w:rsidR="004A6CAE" w:rsidRPr="007020AB" w:rsidTr="007020AB">
        <w:trPr>
          <w:trHeight w:hRule="exact" w:val="775"/>
        </w:trPr>
        <w:tc>
          <w:tcPr>
            <w:tcW w:w="3086" w:type="dxa"/>
            <w:tcBorders>
              <w:left w:val="nil"/>
            </w:tcBorders>
            <w:vAlign w:val="center"/>
          </w:tcPr>
          <w:p w:rsidR="004A6CAE" w:rsidRPr="007020AB" w:rsidRDefault="004A6CAE" w:rsidP="007020AB">
            <w:pPr>
              <w:spacing w:line="480" w:lineRule="auto"/>
              <w:jc w:val="center"/>
            </w:pPr>
            <w:r w:rsidRPr="007020AB">
              <w:t>Total Protein (g/L)</w:t>
            </w:r>
          </w:p>
          <w:p w:rsidR="004A6CAE" w:rsidRPr="007020AB" w:rsidRDefault="004A6CAE" w:rsidP="007020AB">
            <w:pPr>
              <w:spacing w:line="480" w:lineRule="auto"/>
              <w:jc w:val="center"/>
            </w:pPr>
          </w:p>
        </w:tc>
        <w:tc>
          <w:tcPr>
            <w:tcW w:w="2340" w:type="dxa"/>
            <w:vAlign w:val="center"/>
          </w:tcPr>
          <w:p w:rsidR="004A6CAE" w:rsidRPr="007020AB" w:rsidRDefault="004A6CAE" w:rsidP="007020AB">
            <w:pPr>
              <w:spacing w:line="480" w:lineRule="auto"/>
              <w:jc w:val="center"/>
            </w:pPr>
            <w:r w:rsidRPr="007020AB">
              <w:t>67.72 ± 4.17a</w:t>
            </w:r>
          </w:p>
        </w:tc>
        <w:tc>
          <w:tcPr>
            <w:tcW w:w="2340" w:type="dxa"/>
            <w:vAlign w:val="center"/>
          </w:tcPr>
          <w:p w:rsidR="004A6CAE" w:rsidRPr="007020AB" w:rsidRDefault="004A6CAE" w:rsidP="007020AB">
            <w:pPr>
              <w:spacing w:line="480" w:lineRule="auto"/>
              <w:jc w:val="center"/>
            </w:pPr>
            <w:r w:rsidRPr="007020AB">
              <w:t>89.43 ± 6.24b</w:t>
            </w:r>
          </w:p>
        </w:tc>
        <w:tc>
          <w:tcPr>
            <w:tcW w:w="2160" w:type="dxa"/>
            <w:tcBorders>
              <w:right w:val="nil"/>
            </w:tcBorders>
            <w:vAlign w:val="center"/>
          </w:tcPr>
          <w:p w:rsidR="004A6CAE" w:rsidRPr="007020AB" w:rsidRDefault="004A6CAE" w:rsidP="007020AB">
            <w:pPr>
              <w:spacing w:line="480" w:lineRule="auto"/>
              <w:jc w:val="center"/>
            </w:pPr>
            <w:r w:rsidRPr="007020AB">
              <w:t>69.97 ± 2.71a</w:t>
            </w:r>
          </w:p>
        </w:tc>
      </w:tr>
      <w:tr w:rsidR="004A6CAE" w:rsidRPr="007020AB" w:rsidTr="007020AB">
        <w:trPr>
          <w:trHeight w:hRule="exact" w:val="1072"/>
        </w:trPr>
        <w:tc>
          <w:tcPr>
            <w:tcW w:w="3086" w:type="dxa"/>
            <w:tcBorders>
              <w:left w:val="nil"/>
            </w:tcBorders>
            <w:vAlign w:val="center"/>
          </w:tcPr>
          <w:p w:rsidR="004A6CAE" w:rsidRPr="007020AB" w:rsidRDefault="004A6CAE" w:rsidP="007020AB">
            <w:pPr>
              <w:spacing w:line="480" w:lineRule="auto"/>
              <w:jc w:val="center"/>
            </w:pPr>
            <w:r w:rsidRPr="007020AB">
              <w:t>Albumin (g/L)</w:t>
            </w:r>
          </w:p>
          <w:p w:rsidR="004A6CAE" w:rsidRPr="007020AB" w:rsidRDefault="004A6CAE" w:rsidP="007020AB">
            <w:pPr>
              <w:spacing w:line="480" w:lineRule="auto"/>
              <w:jc w:val="center"/>
            </w:pPr>
          </w:p>
          <w:p w:rsidR="004A6CAE" w:rsidRPr="007020AB" w:rsidRDefault="004A6CAE" w:rsidP="007020AB">
            <w:pPr>
              <w:spacing w:line="480" w:lineRule="auto"/>
              <w:jc w:val="center"/>
            </w:pPr>
          </w:p>
        </w:tc>
        <w:tc>
          <w:tcPr>
            <w:tcW w:w="2340" w:type="dxa"/>
            <w:vAlign w:val="center"/>
          </w:tcPr>
          <w:p w:rsidR="004A6CAE" w:rsidRPr="007020AB" w:rsidRDefault="004A6CAE" w:rsidP="007020AB">
            <w:pPr>
              <w:spacing w:line="480" w:lineRule="auto"/>
              <w:jc w:val="center"/>
            </w:pPr>
            <w:r w:rsidRPr="007020AB">
              <w:t>36.63 ± 2.15a</w:t>
            </w:r>
          </w:p>
        </w:tc>
        <w:tc>
          <w:tcPr>
            <w:tcW w:w="2340" w:type="dxa"/>
            <w:vAlign w:val="center"/>
          </w:tcPr>
          <w:p w:rsidR="004A6CAE" w:rsidRPr="007020AB" w:rsidRDefault="004A6CAE" w:rsidP="007020AB">
            <w:pPr>
              <w:spacing w:line="480" w:lineRule="auto"/>
              <w:jc w:val="center"/>
            </w:pPr>
            <w:r w:rsidRPr="007020AB">
              <w:t>39.14 ± 3.50b</w:t>
            </w:r>
          </w:p>
        </w:tc>
        <w:tc>
          <w:tcPr>
            <w:tcW w:w="2160" w:type="dxa"/>
            <w:tcBorders>
              <w:right w:val="nil"/>
            </w:tcBorders>
            <w:vAlign w:val="center"/>
          </w:tcPr>
          <w:p w:rsidR="004A6CAE" w:rsidRPr="007020AB" w:rsidRDefault="004A6CAE" w:rsidP="007020AB">
            <w:pPr>
              <w:spacing w:line="480" w:lineRule="auto"/>
              <w:jc w:val="center"/>
            </w:pPr>
            <w:r w:rsidRPr="007020AB">
              <w:t>38.93 ± 1.90b</w:t>
            </w:r>
          </w:p>
        </w:tc>
      </w:tr>
      <w:tr w:rsidR="004A6CAE" w:rsidRPr="007020AB" w:rsidTr="007020AB">
        <w:trPr>
          <w:trHeight w:hRule="exact" w:val="1090"/>
        </w:trPr>
        <w:tc>
          <w:tcPr>
            <w:tcW w:w="3086" w:type="dxa"/>
            <w:tcBorders>
              <w:left w:val="nil"/>
            </w:tcBorders>
            <w:vAlign w:val="center"/>
          </w:tcPr>
          <w:p w:rsidR="004A6CAE" w:rsidRPr="007020AB" w:rsidRDefault="004A6CAE" w:rsidP="007020AB">
            <w:pPr>
              <w:spacing w:line="480" w:lineRule="auto"/>
              <w:jc w:val="center"/>
            </w:pPr>
            <w:r w:rsidRPr="007020AB">
              <w:t>Globulin (g/L)</w:t>
            </w:r>
          </w:p>
          <w:p w:rsidR="004A6CAE" w:rsidRPr="007020AB" w:rsidRDefault="004A6CAE" w:rsidP="007020AB">
            <w:pPr>
              <w:spacing w:line="480" w:lineRule="auto"/>
              <w:jc w:val="center"/>
            </w:pPr>
          </w:p>
        </w:tc>
        <w:tc>
          <w:tcPr>
            <w:tcW w:w="2340" w:type="dxa"/>
            <w:vAlign w:val="center"/>
          </w:tcPr>
          <w:p w:rsidR="004A6CAE" w:rsidRPr="007020AB" w:rsidRDefault="004A6CAE" w:rsidP="007020AB">
            <w:pPr>
              <w:spacing w:line="480" w:lineRule="auto"/>
              <w:jc w:val="center"/>
            </w:pPr>
            <w:r w:rsidRPr="007020AB">
              <w:t>31.09 ± 2.65a</w:t>
            </w:r>
          </w:p>
        </w:tc>
        <w:tc>
          <w:tcPr>
            <w:tcW w:w="2340" w:type="dxa"/>
            <w:vAlign w:val="center"/>
          </w:tcPr>
          <w:p w:rsidR="004A6CAE" w:rsidRPr="007020AB" w:rsidRDefault="004A6CAE" w:rsidP="007020AB">
            <w:pPr>
              <w:spacing w:line="480" w:lineRule="auto"/>
              <w:jc w:val="center"/>
            </w:pPr>
            <w:r w:rsidRPr="007020AB">
              <w:t>50.29 ± 6.18b</w:t>
            </w:r>
          </w:p>
        </w:tc>
        <w:tc>
          <w:tcPr>
            <w:tcW w:w="2160" w:type="dxa"/>
            <w:tcBorders>
              <w:right w:val="nil"/>
            </w:tcBorders>
            <w:vAlign w:val="center"/>
          </w:tcPr>
          <w:p w:rsidR="004A6CAE" w:rsidRPr="007020AB" w:rsidRDefault="004A6CAE" w:rsidP="007020AB">
            <w:pPr>
              <w:spacing w:line="480" w:lineRule="auto"/>
              <w:jc w:val="center"/>
            </w:pPr>
            <w:r w:rsidRPr="007020AB">
              <w:t>31.04 ± 4.33a</w:t>
            </w:r>
          </w:p>
        </w:tc>
      </w:tr>
      <w:tr w:rsidR="004A6CAE" w:rsidRPr="007020AB" w:rsidTr="007020AB">
        <w:trPr>
          <w:trHeight w:hRule="exact" w:val="1054"/>
        </w:trPr>
        <w:tc>
          <w:tcPr>
            <w:tcW w:w="3086" w:type="dxa"/>
            <w:tcBorders>
              <w:left w:val="nil"/>
            </w:tcBorders>
            <w:vAlign w:val="center"/>
          </w:tcPr>
          <w:p w:rsidR="004A6CAE" w:rsidRPr="007020AB" w:rsidRDefault="004A6CAE" w:rsidP="007020AB">
            <w:pPr>
              <w:spacing w:line="480" w:lineRule="auto"/>
              <w:jc w:val="center"/>
            </w:pPr>
            <w:r w:rsidRPr="007020AB">
              <w:t>AST Activity (U/L)</w:t>
            </w:r>
          </w:p>
          <w:p w:rsidR="004A6CAE" w:rsidRPr="007020AB" w:rsidRDefault="004A6CAE" w:rsidP="007020AB">
            <w:pPr>
              <w:spacing w:line="480" w:lineRule="auto"/>
              <w:jc w:val="center"/>
            </w:pPr>
          </w:p>
        </w:tc>
        <w:tc>
          <w:tcPr>
            <w:tcW w:w="2340" w:type="dxa"/>
            <w:vAlign w:val="center"/>
          </w:tcPr>
          <w:p w:rsidR="004A6CAE" w:rsidRPr="007020AB" w:rsidRDefault="004A6CAE" w:rsidP="007020AB">
            <w:pPr>
              <w:spacing w:line="480" w:lineRule="auto"/>
              <w:jc w:val="center"/>
            </w:pPr>
            <w:r w:rsidRPr="007020AB">
              <w:t>32.07 ± 5.41</w:t>
            </w:r>
          </w:p>
        </w:tc>
        <w:tc>
          <w:tcPr>
            <w:tcW w:w="2340" w:type="dxa"/>
            <w:vAlign w:val="center"/>
          </w:tcPr>
          <w:p w:rsidR="004A6CAE" w:rsidRPr="007020AB" w:rsidRDefault="004A6CAE" w:rsidP="007020AB">
            <w:pPr>
              <w:spacing w:line="480" w:lineRule="auto"/>
              <w:jc w:val="center"/>
            </w:pPr>
            <w:r w:rsidRPr="007020AB">
              <w:t>36.55 ± 4.93</w:t>
            </w:r>
          </w:p>
        </w:tc>
        <w:tc>
          <w:tcPr>
            <w:tcW w:w="2160" w:type="dxa"/>
            <w:tcBorders>
              <w:right w:val="nil"/>
            </w:tcBorders>
            <w:vAlign w:val="center"/>
          </w:tcPr>
          <w:p w:rsidR="004A6CAE" w:rsidRPr="007020AB" w:rsidRDefault="004A6CAE" w:rsidP="007020AB">
            <w:pPr>
              <w:spacing w:line="480" w:lineRule="auto"/>
              <w:jc w:val="center"/>
            </w:pPr>
            <w:r w:rsidRPr="007020AB">
              <w:t>34.81 ± 5.50</w:t>
            </w:r>
          </w:p>
        </w:tc>
      </w:tr>
      <w:tr w:rsidR="004A6CAE" w:rsidRPr="007020AB" w:rsidTr="007020AB">
        <w:trPr>
          <w:trHeight w:hRule="exact" w:val="1009"/>
        </w:trPr>
        <w:tc>
          <w:tcPr>
            <w:tcW w:w="3086" w:type="dxa"/>
            <w:tcBorders>
              <w:left w:val="nil"/>
            </w:tcBorders>
            <w:vAlign w:val="center"/>
          </w:tcPr>
          <w:p w:rsidR="004A6CAE" w:rsidRPr="007020AB" w:rsidRDefault="004A6CAE" w:rsidP="007020AB">
            <w:pPr>
              <w:spacing w:line="480" w:lineRule="auto"/>
              <w:jc w:val="center"/>
            </w:pPr>
            <w:r w:rsidRPr="007020AB">
              <w:t>ALT Activity (U/L)</w:t>
            </w:r>
          </w:p>
          <w:p w:rsidR="004A6CAE" w:rsidRPr="007020AB" w:rsidRDefault="004A6CAE" w:rsidP="007020AB">
            <w:pPr>
              <w:spacing w:line="480" w:lineRule="auto"/>
              <w:jc w:val="center"/>
            </w:pPr>
          </w:p>
        </w:tc>
        <w:tc>
          <w:tcPr>
            <w:tcW w:w="2340" w:type="dxa"/>
            <w:vAlign w:val="center"/>
          </w:tcPr>
          <w:p w:rsidR="004A6CAE" w:rsidRPr="007020AB" w:rsidRDefault="004A6CAE" w:rsidP="007020AB">
            <w:pPr>
              <w:spacing w:line="480" w:lineRule="auto"/>
              <w:jc w:val="center"/>
            </w:pPr>
            <w:r w:rsidRPr="007020AB">
              <w:t>28.17 ± 4.93</w:t>
            </w:r>
          </w:p>
        </w:tc>
        <w:tc>
          <w:tcPr>
            <w:tcW w:w="2340" w:type="dxa"/>
            <w:vAlign w:val="center"/>
          </w:tcPr>
          <w:p w:rsidR="004A6CAE" w:rsidRPr="007020AB" w:rsidRDefault="004A6CAE" w:rsidP="007020AB">
            <w:pPr>
              <w:spacing w:line="480" w:lineRule="auto"/>
              <w:jc w:val="center"/>
            </w:pPr>
            <w:r w:rsidRPr="007020AB">
              <w:t>30.67 ± 2.86</w:t>
            </w:r>
          </w:p>
        </w:tc>
        <w:tc>
          <w:tcPr>
            <w:tcW w:w="2160" w:type="dxa"/>
            <w:tcBorders>
              <w:right w:val="nil"/>
            </w:tcBorders>
            <w:vAlign w:val="center"/>
          </w:tcPr>
          <w:p w:rsidR="004A6CAE" w:rsidRPr="007020AB" w:rsidRDefault="004A6CAE" w:rsidP="007020AB">
            <w:pPr>
              <w:spacing w:line="480" w:lineRule="auto"/>
              <w:jc w:val="center"/>
            </w:pPr>
            <w:r w:rsidRPr="007020AB">
              <w:t>28.36 ± 5.98</w:t>
            </w:r>
          </w:p>
        </w:tc>
      </w:tr>
      <w:tr w:rsidR="004A6CAE" w:rsidRPr="007020AB" w:rsidTr="007020AB">
        <w:trPr>
          <w:trHeight w:hRule="exact" w:val="973"/>
        </w:trPr>
        <w:tc>
          <w:tcPr>
            <w:tcW w:w="3086" w:type="dxa"/>
            <w:tcBorders>
              <w:left w:val="nil"/>
            </w:tcBorders>
            <w:vAlign w:val="center"/>
          </w:tcPr>
          <w:p w:rsidR="004A6CAE" w:rsidRPr="007020AB" w:rsidRDefault="004A6CAE" w:rsidP="007020AB">
            <w:pPr>
              <w:spacing w:line="480" w:lineRule="auto"/>
              <w:jc w:val="center"/>
            </w:pPr>
            <w:r w:rsidRPr="007020AB">
              <w:t>GGT Activity (U/L)</w:t>
            </w:r>
          </w:p>
          <w:p w:rsidR="004A6CAE" w:rsidRPr="007020AB" w:rsidRDefault="004A6CAE" w:rsidP="007020AB">
            <w:pPr>
              <w:spacing w:line="480" w:lineRule="auto"/>
              <w:jc w:val="center"/>
            </w:pPr>
          </w:p>
        </w:tc>
        <w:tc>
          <w:tcPr>
            <w:tcW w:w="2340" w:type="dxa"/>
            <w:vAlign w:val="center"/>
          </w:tcPr>
          <w:p w:rsidR="004A6CAE" w:rsidRPr="007020AB" w:rsidRDefault="004A6CAE" w:rsidP="007020AB">
            <w:pPr>
              <w:spacing w:line="480" w:lineRule="auto"/>
              <w:jc w:val="center"/>
            </w:pPr>
            <w:r w:rsidRPr="007020AB">
              <w:t>12.22 ± 2.34</w:t>
            </w:r>
          </w:p>
        </w:tc>
        <w:tc>
          <w:tcPr>
            <w:tcW w:w="2340" w:type="dxa"/>
            <w:vAlign w:val="center"/>
          </w:tcPr>
          <w:p w:rsidR="004A6CAE" w:rsidRPr="007020AB" w:rsidRDefault="004A6CAE" w:rsidP="007020AB">
            <w:pPr>
              <w:spacing w:line="480" w:lineRule="auto"/>
              <w:jc w:val="center"/>
            </w:pPr>
            <w:r w:rsidRPr="007020AB">
              <w:t>14.27 ± 2.43</w:t>
            </w:r>
          </w:p>
        </w:tc>
        <w:tc>
          <w:tcPr>
            <w:tcW w:w="2160" w:type="dxa"/>
            <w:tcBorders>
              <w:right w:val="nil"/>
            </w:tcBorders>
            <w:vAlign w:val="center"/>
          </w:tcPr>
          <w:p w:rsidR="004A6CAE" w:rsidRPr="007020AB" w:rsidRDefault="004A6CAE" w:rsidP="007020AB">
            <w:pPr>
              <w:spacing w:line="480" w:lineRule="auto"/>
              <w:jc w:val="center"/>
            </w:pPr>
            <w:r w:rsidRPr="007020AB">
              <w:t>13.62 ± 3.28</w:t>
            </w:r>
          </w:p>
        </w:tc>
      </w:tr>
    </w:tbl>
    <w:p w:rsidR="004A6CAE" w:rsidRPr="007020AB" w:rsidRDefault="004A6CAE" w:rsidP="004A6CAE">
      <w:pPr>
        <w:jc w:val="center"/>
      </w:pPr>
      <w:r w:rsidRPr="007020AB">
        <w:t xml:space="preserve">                                </w:t>
      </w:r>
    </w:p>
    <w:p w:rsidR="004A6CAE" w:rsidRDefault="004A6CAE" w:rsidP="004A6CAE">
      <w:pPr>
        <w:spacing w:after="200" w:line="276" w:lineRule="auto"/>
      </w:pPr>
      <w:r>
        <w:br w:type="page"/>
      </w:r>
    </w:p>
    <w:p w:rsidR="004A6CAE" w:rsidRDefault="004A6CAE" w:rsidP="004A6CAE">
      <w:pPr>
        <w:ind w:left="720" w:hanging="720"/>
        <w:jc w:val="center"/>
        <w:rPr>
          <w:b/>
          <w:sz w:val="28"/>
          <w:szCs w:val="28"/>
        </w:rPr>
      </w:pPr>
    </w:p>
    <w:p w:rsidR="004A6CAE" w:rsidRDefault="004A6CAE" w:rsidP="004A6CAE">
      <w:pPr>
        <w:ind w:left="720" w:hanging="720"/>
        <w:jc w:val="center"/>
        <w:rPr>
          <w:b/>
          <w:sz w:val="28"/>
          <w:szCs w:val="28"/>
        </w:rPr>
      </w:pPr>
    </w:p>
    <w:p w:rsidR="004A6CAE" w:rsidRDefault="004A6CAE" w:rsidP="004A6CAE">
      <w:pPr>
        <w:ind w:left="720" w:hanging="720"/>
        <w:jc w:val="center"/>
        <w:rPr>
          <w:b/>
          <w:sz w:val="28"/>
          <w:szCs w:val="28"/>
        </w:rPr>
      </w:pPr>
    </w:p>
    <w:p w:rsidR="004A6CAE" w:rsidRDefault="004A6CAE" w:rsidP="004A6CAE">
      <w:pPr>
        <w:ind w:left="720" w:hanging="720"/>
        <w:jc w:val="center"/>
        <w:rPr>
          <w:b/>
          <w:sz w:val="28"/>
          <w:szCs w:val="28"/>
        </w:rPr>
      </w:pPr>
    </w:p>
    <w:p w:rsidR="004A6CAE" w:rsidRPr="007020AB" w:rsidRDefault="004A6CAE" w:rsidP="004A6CAE">
      <w:pPr>
        <w:ind w:left="720" w:hanging="720"/>
        <w:jc w:val="center"/>
        <w:rPr>
          <w:b/>
          <w:u w:val="single"/>
        </w:rPr>
      </w:pPr>
      <w:r w:rsidRPr="007020AB">
        <w:rPr>
          <w:b/>
          <w:u w:val="single"/>
        </w:rPr>
        <w:t xml:space="preserve">Table III: Effect of </w:t>
      </w:r>
      <w:r w:rsidRPr="007020AB">
        <w:rPr>
          <w:b/>
          <w:i/>
          <w:u w:val="single"/>
        </w:rPr>
        <w:t>P. berghei</w:t>
      </w:r>
      <w:r w:rsidRPr="007020AB">
        <w:rPr>
          <w:b/>
          <w:u w:val="single"/>
        </w:rPr>
        <w:t xml:space="preserve"> and folic treatments on MDA, glutathione and antioxidant enzymes of mice.</w:t>
      </w:r>
    </w:p>
    <w:p w:rsidR="004A6CAE" w:rsidRPr="007020AB" w:rsidRDefault="004A6CAE" w:rsidP="004A6CAE">
      <w:pPr>
        <w:jc w:val="center"/>
      </w:pPr>
    </w:p>
    <w:p w:rsidR="004A6CAE" w:rsidRPr="007020AB" w:rsidRDefault="004A6CAE" w:rsidP="004A6CAE">
      <w:pPr>
        <w:jc w:val="center"/>
      </w:pPr>
    </w:p>
    <w:tbl>
      <w:tblPr>
        <w:tblpPr w:leftFromText="180" w:rightFromText="180" w:vertAnchor="text" w:horzAnchor="margin" w:tblpXSpec="center" w:tblpY="-107"/>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2160"/>
        <w:gridCol w:w="2340"/>
        <w:gridCol w:w="2160"/>
      </w:tblGrid>
      <w:tr w:rsidR="004A6CAE" w:rsidRPr="007020AB" w:rsidTr="007020AB">
        <w:tc>
          <w:tcPr>
            <w:tcW w:w="3888" w:type="dxa"/>
            <w:tcBorders>
              <w:left w:val="nil"/>
            </w:tcBorders>
            <w:vAlign w:val="center"/>
          </w:tcPr>
          <w:p w:rsidR="004A6CAE" w:rsidRPr="007020AB" w:rsidRDefault="004A6CAE" w:rsidP="007020AB">
            <w:pPr>
              <w:spacing w:line="480" w:lineRule="auto"/>
              <w:jc w:val="center"/>
            </w:pPr>
            <w:r w:rsidRPr="007020AB">
              <w:t>Parameters</w:t>
            </w:r>
          </w:p>
        </w:tc>
        <w:tc>
          <w:tcPr>
            <w:tcW w:w="2160" w:type="dxa"/>
            <w:vAlign w:val="center"/>
          </w:tcPr>
          <w:p w:rsidR="004A6CAE" w:rsidRPr="007020AB" w:rsidRDefault="004A6CAE" w:rsidP="007020AB">
            <w:pPr>
              <w:spacing w:line="480" w:lineRule="auto"/>
              <w:jc w:val="center"/>
            </w:pPr>
            <w:r w:rsidRPr="007020AB">
              <w:t>Control</w:t>
            </w:r>
          </w:p>
        </w:tc>
        <w:tc>
          <w:tcPr>
            <w:tcW w:w="2340" w:type="dxa"/>
            <w:vAlign w:val="center"/>
          </w:tcPr>
          <w:p w:rsidR="004A6CAE" w:rsidRPr="007020AB" w:rsidRDefault="004A6CAE" w:rsidP="007020AB">
            <w:pPr>
              <w:spacing w:line="480" w:lineRule="auto"/>
              <w:jc w:val="center"/>
            </w:pPr>
            <w:r w:rsidRPr="007020AB">
              <w:t>PnT</w:t>
            </w:r>
          </w:p>
        </w:tc>
        <w:tc>
          <w:tcPr>
            <w:tcW w:w="2160" w:type="dxa"/>
            <w:tcBorders>
              <w:right w:val="nil"/>
            </w:tcBorders>
            <w:vAlign w:val="center"/>
          </w:tcPr>
          <w:p w:rsidR="004A6CAE" w:rsidRPr="007020AB" w:rsidRDefault="004A6CAE" w:rsidP="007020AB">
            <w:pPr>
              <w:spacing w:line="480" w:lineRule="auto"/>
              <w:jc w:val="center"/>
            </w:pPr>
            <w:r w:rsidRPr="007020AB">
              <w:t>P+faT</w:t>
            </w:r>
          </w:p>
        </w:tc>
      </w:tr>
      <w:tr w:rsidR="004A6CAE" w:rsidRPr="007020AB" w:rsidTr="007020AB">
        <w:trPr>
          <w:trHeight w:hRule="exact" w:val="703"/>
        </w:trPr>
        <w:tc>
          <w:tcPr>
            <w:tcW w:w="3888" w:type="dxa"/>
            <w:tcBorders>
              <w:left w:val="nil"/>
            </w:tcBorders>
            <w:vAlign w:val="center"/>
          </w:tcPr>
          <w:p w:rsidR="004A6CAE" w:rsidRPr="007020AB" w:rsidRDefault="004A6CAE" w:rsidP="007020AB">
            <w:pPr>
              <w:spacing w:line="480" w:lineRule="auto"/>
              <w:jc w:val="center"/>
            </w:pPr>
            <w:r w:rsidRPr="007020AB">
              <w:t>Malondialdehyde (nmole/mL)</w:t>
            </w:r>
          </w:p>
          <w:p w:rsidR="004A6CAE" w:rsidRPr="007020AB" w:rsidRDefault="004A6CAE" w:rsidP="007020AB">
            <w:pPr>
              <w:spacing w:line="480" w:lineRule="auto"/>
              <w:jc w:val="center"/>
            </w:pPr>
          </w:p>
        </w:tc>
        <w:tc>
          <w:tcPr>
            <w:tcW w:w="2160" w:type="dxa"/>
            <w:vAlign w:val="center"/>
          </w:tcPr>
          <w:p w:rsidR="004A6CAE" w:rsidRPr="007020AB" w:rsidRDefault="004A6CAE" w:rsidP="007020AB">
            <w:pPr>
              <w:spacing w:line="480" w:lineRule="auto"/>
              <w:jc w:val="center"/>
            </w:pPr>
            <w:r w:rsidRPr="007020AB">
              <w:t>3.36 ± 0.71a</w:t>
            </w:r>
          </w:p>
        </w:tc>
        <w:tc>
          <w:tcPr>
            <w:tcW w:w="2340" w:type="dxa"/>
            <w:vAlign w:val="center"/>
          </w:tcPr>
          <w:p w:rsidR="004A6CAE" w:rsidRPr="007020AB" w:rsidRDefault="004A6CAE" w:rsidP="007020AB">
            <w:pPr>
              <w:spacing w:line="480" w:lineRule="auto"/>
              <w:jc w:val="center"/>
            </w:pPr>
            <w:r w:rsidRPr="007020AB">
              <w:t>6.54 ± 0.44b</w:t>
            </w:r>
          </w:p>
        </w:tc>
        <w:tc>
          <w:tcPr>
            <w:tcW w:w="2160" w:type="dxa"/>
            <w:tcBorders>
              <w:right w:val="nil"/>
            </w:tcBorders>
            <w:vAlign w:val="center"/>
          </w:tcPr>
          <w:p w:rsidR="004A6CAE" w:rsidRPr="007020AB" w:rsidRDefault="004A6CAE" w:rsidP="007020AB">
            <w:pPr>
              <w:spacing w:line="480" w:lineRule="auto"/>
              <w:jc w:val="center"/>
            </w:pPr>
            <w:r w:rsidRPr="007020AB">
              <w:t>5.40 ± 0.91c</w:t>
            </w:r>
          </w:p>
        </w:tc>
      </w:tr>
      <w:tr w:rsidR="004A6CAE" w:rsidRPr="007020AB" w:rsidTr="007020AB">
        <w:trPr>
          <w:trHeight w:hRule="exact" w:val="1073"/>
        </w:trPr>
        <w:tc>
          <w:tcPr>
            <w:tcW w:w="3888" w:type="dxa"/>
            <w:tcBorders>
              <w:left w:val="nil"/>
            </w:tcBorders>
            <w:vAlign w:val="center"/>
          </w:tcPr>
          <w:p w:rsidR="004A6CAE" w:rsidRPr="007020AB" w:rsidRDefault="004A6CAE" w:rsidP="007020AB">
            <w:pPr>
              <w:spacing w:line="480" w:lineRule="auto"/>
              <w:jc w:val="center"/>
            </w:pPr>
            <w:r w:rsidRPr="007020AB">
              <w:t>Superoxide Dismutase (U/L)</w:t>
            </w:r>
          </w:p>
        </w:tc>
        <w:tc>
          <w:tcPr>
            <w:tcW w:w="2160" w:type="dxa"/>
            <w:vAlign w:val="center"/>
          </w:tcPr>
          <w:p w:rsidR="004A6CAE" w:rsidRPr="007020AB" w:rsidRDefault="004A6CAE" w:rsidP="007020AB">
            <w:pPr>
              <w:spacing w:line="480" w:lineRule="auto"/>
              <w:jc w:val="center"/>
            </w:pPr>
            <w:r w:rsidRPr="007020AB">
              <w:t>148.72 ± 10.81a</w:t>
            </w:r>
          </w:p>
        </w:tc>
        <w:tc>
          <w:tcPr>
            <w:tcW w:w="2340" w:type="dxa"/>
            <w:vAlign w:val="center"/>
          </w:tcPr>
          <w:p w:rsidR="004A6CAE" w:rsidRPr="007020AB" w:rsidRDefault="004A6CAE" w:rsidP="007020AB">
            <w:pPr>
              <w:spacing w:line="480" w:lineRule="auto"/>
              <w:jc w:val="center"/>
            </w:pPr>
            <w:r w:rsidRPr="007020AB">
              <w:t>58.18 ± 18.78b</w:t>
            </w:r>
          </w:p>
        </w:tc>
        <w:tc>
          <w:tcPr>
            <w:tcW w:w="2160" w:type="dxa"/>
            <w:tcBorders>
              <w:right w:val="nil"/>
            </w:tcBorders>
            <w:vAlign w:val="center"/>
          </w:tcPr>
          <w:p w:rsidR="004A6CAE" w:rsidRPr="007020AB" w:rsidRDefault="004A6CAE" w:rsidP="007020AB">
            <w:pPr>
              <w:spacing w:line="480" w:lineRule="auto"/>
              <w:jc w:val="center"/>
            </w:pPr>
            <w:r w:rsidRPr="007020AB">
              <w:t>82.43 ± 3.68c</w:t>
            </w:r>
          </w:p>
        </w:tc>
      </w:tr>
      <w:tr w:rsidR="004A6CAE" w:rsidRPr="007020AB" w:rsidTr="007020AB">
        <w:trPr>
          <w:trHeight w:hRule="exact" w:val="718"/>
        </w:trPr>
        <w:tc>
          <w:tcPr>
            <w:tcW w:w="3888" w:type="dxa"/>
            <w:tcBorders>
              <w:left w:val="nil"/>
            </w:tcBorders>
            <w:vAlign w:val="center"/>
          </w:tcPr>
          <w:p w:rsidR="004A6CAE" w:rsidRPr="007020AB" w:rsidRDefault="004A6CAE" w:rsidP="007020AB">
            <w:pPr>
              <w:spacing w:line="480" w:lineRule="auto"/>
              <w:jc w:val="center"/>
            </w:pPr>
            <w:r w:rsidRPr="007020AB">
              <w:t>Catalase (U/L)</w:t>
            </w:r>
          </w:p>
        </w:tc>
        <w:tc>
          <w:tcPr>
            <w:tcW w:w="2160" w:type="dxa"/>
            <w:vAlign w:val="center"/>
          </w:tcPr>
          <w:p w:rsidR="004A6CAE" w:rsidRPr="007020AB" w:rsidRDefault="004A6CAE" w:rsidP="007020AB">
            <w:pPr>
              <w:spacing w:line="480" w:lineRule="auto"/>
              <w:jc w:val="center"/>
            </w:pPr>
            <w:r w:rsidRPr="007020AB">
              <w:t>199.70 ±0.14a</w:t>
            </w:r>
          </w:p>
        </w:tc>
        <w:tc>
          <w:tcPr>
            <w:tcW w:w="2340" w:type="dxa"/>
            <w:vAlign w:val="center"/>
          </w:tcPr>
          <w:p w:rsidR="004A6CAE" w:rsidRPr="007020AB" w:rsidRDefault="004A6CAE" w:rsidP="007020AB">
            <w:pPr>
              <w:spacing w:line="480" w:lineRule="auto"/>
              <w:jc w:val="center"/>
            </w:pPr>
            <w:r w:rsidRPr="007020AB">
              <w:t>166.27 ± 5.92b</w:t>
            </w:r>
          </w:p>
        </w:tc>
        <w:tc>
          <w:tcPr>
            <w:tcW w:w="2160" w:type="dxa"/>
            <w:tcBorders>
              <w:right w:val="nil"/>
            </w:tcBorders>
            <w:vAlign w:val="center"/>
          </w:tcPr>
          <w:p w:rsidR="004A6CAE" w:rsidRPr="007020AB" w:rsidRDefault="004A6CAE" w:rsidP="007020AB">
            <w:pPr>
              <w:spacing w:line="480" w:lineRule="auto"/>
              <w:jc w:val="center"/>
            </w:pPr>
            <w:r w:rsidRPr="007020AB">
              <w:t>182.28 ± 8.17c</w:t>
            </w:r>
          </w:p>
        </w:tc>
      </w:tr>
      <w:tr w:rsidR="004A6CAE" w:rsidRPr="007020AB" w:rsidTr="007020AB">
        <w:trPr>
          <w:trHeight w:hRule="exact" w:val="919"/>
        </w:trPr>
        <w:tc>
          <w:tcPr>
            <w:tcW w:w="3888" w:type="dxa"/>
            <w:tcBorders>
              <w:left w:val="nil"/>
            </w:tcBorders>
            <w:vAlign w:val="center"/>
          </w:tcPr>
          <w:p w:rsidR="004A6CAE" w:rsidRPr="007020AB" w:rsidRDefault="004A6CAE" w:rsidP="007020AB">
            <w:pPr>
              <w:spacing w:line="480" w:lineRule="auto"/>
              <w:jc w:val="center"/>
            </w:pPr>
            <w:r w:rsidRPr="007020AB">
              <w:t>Glu-6-P Dehydrogenase (U/L)</w:t>
            </w:r>
          </w:p>
          <w:p w:rsidR="004A6CAE" w:rsidRPr="007020AB" w:rsidRDefault="004A6CAE" w:rsidP="007020AB">
            <w:pPr>
              <w:spacing w:line="480" w:lineRule="auto"/>
              <w:jc w:val="center"/>
            </w:pPr>
          </w:p>
        </w:tc>
        <w:tc>
          <w:tcPr>
            <w:tcW w:w="2160" w:type="dxa"/>
            <w:vAlign w:val="center"/>
          </w:tcPr>
          <w:p w:rsidR="004A6CAE" w:rsidRPr="007020AB" w:rsidRDefault="004A6CAE" w:rsidP="007020AB">
            <w:pPr>
              <w:spacing w:line="480" w:lineRule="auto"/>
              <w:jc w:val="center"/>
            </w:pPr>
            <w:r w:rsidRPr="007020AB">
              <w:t>29.97 ± 0.78</w:t>
            </w:r>
          </w:p>
        </w:tc>
        <w:tc>
          <w:tcPr>
            <w:tcW w:w="2340" w:type="dxa"/>
            <w:vAlign w:val="center"/>
          </w:tcPr>
          <w:p w:rsidR="004A6CAE" w:rsidRPr="007020AB" w:rsidRDefault="004A6CAE" w:rsidP="007020AB">
            <w:pPr>
              <w:spacing w:line="480" w:lineRule="auto"/>
              <w:jc w:val="center"/>
            </w:pPr>
            <w:r w:rsidRPr="007020AB">
              <w:t>33.55 ± 1.68</w:t>
            </w:r>
          </w:p>
        </w:tc>
        <w:tc>
          <w:tcPr>
            <w:tcW w:w="2160" w:type="dxa"/>
            <w:tcBorders>
              <w:right w:val="nil"/>
            </w:tcBorders>
            <w:vAlign w:val="center"/>
          </w:tcPr>
          <w:p w:rsidR="004A6CAE" w:rsidRPr="007020AB" w:rsidRDefault="004A6CAE" w:rsidP="007020AB">
            <w:pPr>
              <w:spacing w:line="480" w:lineRule="auto"/>
              <w:jc w:val="center"/>
            </w:pPr>
            <w:r w:rsidRPr="007020AB">
              <w:t>31.26 ± 5.87</w:t>
            </w:r>
          </w:p>
        </w:tc>
      </w:tr>
      <w:tr w:rsidR="004A6CAE" w:rsidRPr="007020AB" w:rsidTr="007020AB">
        <w:trPr>
          <w:trHeight w:hRule="exact" w:val="901"/>
        </w:trPr>
        <w:tc>
          <w:tcPr>
            <w:tcW w:w="3888" w:type="dxa"/>
            <w:tcBorders>
              <w:left w:val="nil"/>
            </w:tcBorders>
            <w:vAlign w:val="center"/>
          </w:tcPr>
          <w:p w:rsidR="004A6CAE" w:rsidRPr="007020AB" w:rsidRDefault="004A6CAE" w:rsidP="007020AB">
            <w:pPr>
              <w:spacing w:line="480" w:lineRule="auto"/>
              <w:jc w:val="center"/>
            </w:pPr>
            <w:r w:rsidRPr="007020AB">
              <w:t>Reduced Glutathione (ug/mL)</w:t>
            </w:r>
          </w:p>
          <w:p w:rsidR="004A6CAE" w:rsidRPr="007020AB" w:rsidRDefault="004A6CAE" w:rsidP="007020AB">
            <w:pPr>
              <w:spacing w:line="480" w:lineRule="auto"/>
              <w:jc w:val="center"/>
            </w:pPr>
          </w:p>
        </w:tc>
        <w:tc>
          <w:tcPr>
            <w:tcW w:w="2160" w:type="dxa"/>
            <w:vAlign w:val="center"/>
          </w:tcPr>
          <w:p w:rsidR="004A6CAE" w:rsidRPr="007020AB" w:rsidRDefault="004A6CAE" w:rsidP="007020AB">
            <w:pPr>
              <w:spacing w:line="480" w:lineRule="auto"/>
              <w:jc w:val="center"/>
            </w:pPr>
            <w:r w:rsidRPr="007020AB">
              <w:t>3.83 ± 0.19a</w:t>
            </w:r>
          </w:p>
        </w:tc>
        <w:tc>
          <w:tcPr>
            <w:tcW w:w="2340" w:type="dxa"/>
            <w:vAlign w:val="center"/>
          </w:tcPr>
          <w:p w:rsidR="004A6CAE" w:rsidRPr="007020AB" w:rsidRDefault="004A6CAE" w:rsidP="007020AB">
            <w:pPr>
              <w:spacing w:line="480" w:lineRule="auto"/>
              <w:jc w:val="center"/>
            </w:pPr>
            <w:r w:rsidRPr="007020AB">
              <w:t>3.48 ± 0.19a</w:t>
            </w:r>
          </w:p>
        </w:tc>
        <w:tc>
          <w:tcPr>
            <w:tcW w:w="2160" w:type="dxa"/>
            <w:tcBorders>
              <w:right w:val="nil"/>
            </w:tcBorders>
            <w:vAlign w:val="center"/>
          </w:tcPr>
          <w:p w:rsidR="004A6CAE" w:rsidRPr="007020AB" w:rsidRDefault="004A6CAE" w:rsidP="007020AB">
            <w:pPr>
              <w:spacing w:line="480" w:lineRule="auto"/>
              <w:jc w:val="center"/>
            </w:pPr>
            <w:r w:rsidRPr="007020AB">
              <w:t>3.34 ± 0.44c</w:t>
            </w:r>
          </w:p>
        </w:tc>
      </w:tr>
    </w:tbl>
    <w:p w:rsidR="004A6CAE" w:rsidRPr="007020AB" w:rsidRDefault="004A6CAE" w:rsidP="004A6CAE">
      <w:pPr>
        <w:jc w:val="center"/>
      </w:pPr>
    </w:p>
    <w:p w:rsidR="004A6CAE" w:rsidRPr="007020AB" w:rsidRDefault="004A6CAE" w:rsidP="004A6CAE">
      <w:pPr>
        <w:jc w:val="center"/>
      </w:pPr>
    </w:p>
    <w:p w:rsidR="004A6CAE" w:rsidRPr="007020AB" w:rsidRDefault="004A6CAE" w:rsidP="004A6CAE">
      <w:pPr>
        <w:jc w:val="center"/>
      </w:pPr>
    </w:p>
    <w:p w:rsidR="004A6CAE" w:rsidRPr="007020AB" w:rsidRDefault="004A6CAE" w:rsidP="004A6CAE">
      <w:pPr>
        <w:jc w:val="center"/>
      </w:pPr>
    </w:p>
    <w:p w:rsidR="004A6CAE" w:rsidRPr="007020AB" w:rsidRDefault="004A6CAE" w:rsidP="004A6CAE">
      <w:pPr>
        <w:jc w:val="center"/>
      </w:pPr>
    </w:p>
    <w:p w:rsidR="004A6CAE" w:rsidRPr="007020AB" w:rsidRDefault="004A6CAE" w:rsidP="004A6CAE">
      <w:pPr>
        <w:jc w:val="center"/>
      </w:pPr>
    </w:p>
    <w:p w:rsidR="004A6CAE" w:rsidRPr="007020AB" w:rsidRDefault="004A6CAE" w:rsidP="004A6CAE">
      <w:pPr>
        <w:jc w:val="center"/>
      </w:pPr>
    </w:p>
    <w:p w:rsidR="004A6CAE" w:rsidRPr="007020AB" w:rsidRDefault="004A6CAE" w:rsidP="004A6CAE">
      <w:pPr>
        <w:jc w:val="center"/>
      </w:pPr>
    </w:p>
    <w:p w:rsidR="004A6CAE" w:rsidRPr="007020AB" w:rsidRDefault="004A6CAE" w:rsidP="004A6CAE">
      <w:pPr>
        <w:jc w:val="center"/>
      </w:pPr>
    </w:p>
    <w:p w:rsidR="004A6CAE" w:rsidRPr="007020AB" w:rsidRDefault="004A6CAE" w:rsidP="004A6CAE">
      <w:pPr>
        <w:jc w:val="center"/>
      </w:pPr>
    </w:p>
    <w:p w:rsidR="004A6CAE" w:rsidRPr="007020AB" w:rsidRDefault="004A6CAE" w:rsidP="004A6CAE">
      <w:pPr>
        <w:jc w:val="center"/>
      </w:pPr>
    </w:p>
    <w:p w:rsidR="004A6CAE" w:rsidRPr="007020AB" w:rsidRDefault="004A6CAE" w:rsidP="004A6CAE">
      <w:pPr>
        <w:jc w:val="center"/>
      </w:pPr>
    </w:p>
    <w:p w:rsidR="004A6CAE" w:rsidRPr="007020AB" w:rsidRDefault="004A6CAE" w:rsidP="004A6CAE">
      <w:pPr>
        <w:jc w:val="center"/>
      </w:pPr>
    </w:p>
    <w:p w:rsidR="004A6CAE" w:rsidRPr="007020AB" w:rsidRDefault="004A6CAE" w:rsidP="004A6CAE">
      <w:pPr>
        <w:jc w:val="center"/>
      </w:pPr>
    </w:p>
    <w:p w:rsidR="004A6CAE" w:rsidRPr="007020AB" w:rsidRDefault="004A6CAE" w:rsidP="004A6CAE">
      <w:pPr>
        <w:jc w:val="center"/>
      </w:pPr>
    </w:p>
    <w:p w:rsidR="004A6CAE" w:rsidRPr="007020AB" w:rsidRDefault="004A6CAE" w:rsidP="004A6CAE">
      <w:pPr>
        <w:jc w:val="center"/>
      </w:pPr>
    </w:p>
    <w:p w:rsidR="004A6CAE" w:rsidRPr="007020AB" w:rsidRDefault="004A6CAE" w:rsidP="004A6CAE">
      <w:pPr>
        <w:jc w:val="center"/>
      </w:pPr>
    </w:p>
    <w:p w:rsidR="004A6CAE" w:rsidRPr="007020AB" w:rsidRDefault="004A6CAE" w:rsidP="004A6CAE">
      <w:pPr>
        <w:jc w:val="center"/>
      </w:pPr>
    </w:p>
    <w:p w:rsidR="004A6CAE" w:rsidRPr="007020AB" w:rsidRDefault="004A6CAE" w:rsidP="004A6CAE">
      <w:pPr>
        <w:jc w:val="center"/>
      </w:pPr>
    </w:p>
    <w:p w:rsidR="004A6CAE" w:rsidRDefault="004A6CAE" w:rsidP="004A6CAE">
      <w:pPr>
        <w:jc w:val="center"/>
        <w:rPr>
          <w:sz w:val="22"/>
          <w:szCs w:val="22"/>
        </w:rPr>
      </w:pPr>
    </w:p>
    <w:p w:rsidR="004A6CAE" w:rsidRDefault="004A6CAE" w:rsidP="004A6CAE">
      <w:pPr>
        <w:jc w:val="center"/>
        <w:rPr>
          <w:sz w:val="22"/>
          <w:szCs w:val="22"/>
        </w:rPr>
      </w:pPr>
    </w:p>
    <w:p w:rsidR="004A6CAE" w:rsidRPr="00295145" w:rsidRDefault="004A6CAE" w:rsidP="004A6CAE">
      <w:pPr>
        <w:jc w:val="center"/>
        <w:rPr>
          <w:sz w:val="22"/>
          <w:szCs w:val="22"/>
        </w:rPr>
      </w:pPr>
    </w:p>
    <w:p w:rsidR="004A6CAE" w:rsidRDefault="004A6CAE" w:rsidP="004A6CAE">
      <w:pPr>
        <w:jc w:val="center"/>
        <w:rPr>
          <w:b/>
          <w:sz w:val="28"/>
          <w:szCs w:val="28"/>
        </w:rPr>
      </w:pPr>
      <w:r>
        <w:rPr>
          <w:b/>
          <w:sz w:val="28"/>
          <w:szCs w:val="28"/>
        </w:rPr>
        <w:br w:type="page"/>
      </w:r>
    </w:p>
    <w:p w:rsidR="004A6CAE" w:rsidRDefault="004A6CAE" w:rsidP="004A6CAE">
      <w:pPr>
        <w:jc w:val="center"/>
        <w:rPr>
          <w:b/>
          <w:sz w:val="28"/>
          <w:szCs w:val="28"/>
        </w:rPr>
      </w:pPr>
    </w:p>
    <w:p w:rsidR="004A6CAE" w:rsidRPr="007020AB" w:rsidRDefault="004A6CAE" w:rsidP="004A6CAE">
      <w:pPr>
        <w:jc w:val="center"/>
        <w:rPr>
          <w:b/>
          <w:u w:val="single"/>
        </w:rPr>
      </w:pPr>
      <w:r w:rsidRPr="007020AB">
        <w:rPr>
          <w:b/>
          <w:u w:val="single"/>
        </w:rPr>
        <w:t xml:space="preserve">Table IV: Effect of </w:t>
      </w:r>
      <w:r w:rsidRPr="007020AB">
        <w:rPr>
          <w:b/>
          <w:i/>
          <w:u w:val="single"/>
        </w:rPr>
        <w:t>P. berghei</w:t>
      </w:r>
      <w:r w:rsidRPr="007020AB">
        <w:rPr>
          <w:b/>
          <w:u w:val="single"/>
        </w:rPr>
        <w:t xml:space="preserve"> and folic acid treatments on MDA, glutathione and antioxidant enzymes of some parasitized mice organs.</w:t>
      </w:r>
    </w:p>
    <w:p w:rsidR="004A6CAE" w:rsidRPr="007020AB" w:rsidRDefault="004A6CAE" w:rsidP="004A6CAE">
      <w:pPr>
        <w:jc w:val="center"/>
        <w:rPr>
          <w:b/>
        </w:rPr>
      </w:pPr>
    </w:p>
    <w:tbl>
      <w:tblPr>
        <w:tblStyle w:val="TableGrid"/>
        <w:tblW w:w="14220" w:type="dxa"/>
        <w:tblInd w:w="468" w:type="dxa"/>
        <w:tblLayout w:type="fixed"/>
        <w:tblLook w:val="04A0"/>
      </w:tblPr>
      <w:tblGrid>
        <w:gridCol w:w="1941"/>
        <w:gridCol w:w="1389"/>
        <w:gridCol w:w="1260"/>
        <w:gridCol w:w="1260"/>
        <w:gridCol w:w="1530"/>
        <w:gridCol w:w="1440"/>
        <w:gridCol w:w="1440"/>
        <w:gridCol w:w="1350"/>
        <w:gridCol w:w="1350"/>
        <w:gridCol w:w="1260"/>
      </w:tblGrid>
      <w:tr w:rsidR="004A6CAE" w:rsidRPr="007020AB" w:rsidTr="007020AB">
        <w:tc>
          <w:tcPr>
            <w:tcW w:w="1941" w:type="dxa"/>
            <w:vMerge w:val="restart"/>
            <w:tcBorders>
              <w:left w:val="nil"/>
            </w:tcBorders>
            <w:vAlign w:val="center"/>
          </w:tcPr>
          <w:p w:rsidR="004A6CAE" w:rsidRPr="007020AB" w:rsidRDefault="004A6CAE" w:rsidP="007020AB">
            <w:pPr>
              <w:jc w:val="center"/>
            </w:pPr>
            <w:r w:rsidRPr="007020AB">
              <w:rPr>
                <w:b/>
              </w:rPr>
              <w:br w:type="page"/>
            </w:r>
            <w:r w:rsidRPr="007020AB">
              <w:t>Parameters</w:t>
            </w:r>
          </w:p>
        </w:tc>
        <w:tc>
          <w:tcPr>
            <w:tcW w:w="3909" w:type="dxa"/>
            <w:gridSpan w:val="3"/>
            <w:vAlign w:val="center"/>
          </w:tcPr>
          <w:p w:rsidR="004A6CAE" w:rsidRPr="007020AB" w:rsidRDefault="004A6CAE" w:rsidP="007020AB">
            <w:pPr>
              <w:jc w:val="center"/>
            </w:pPr>
            <w:r w:rsidRPr="007020AB">
              <w:t>HEART</w:t>
            </w:r>
          </w:p>
        </w:tc>
        <w:tc>
          <w:tcPr>
            <w:tcW w:w="4410" w:type="dxa"/>
            <w:gridSpan w:val="3"/>
            <w:vAlign w:val="center"/>
          </w:tcPr>
          <w:p w:rsidR="004A6CAE" w:rsidRPr="007020AB" w:rsidRDefault="004A6CAE" w:rsidP="007020AB">
            <w:pPr>
              <w:jc w:val="center"/>
            </w:pPr>
            <w:r w:rsidRPr="007020AB">
              <w:t>LIVER</w:t>
            </w:r>
          </w:p>
        </w:tc>
        <w:tc>
          <w:tcPr>
            <w:tcW w:w="3960" w:type="dxa"/>
            <w:gridSpan w:val="3"/>
            <w:tcBorders>
              <w:right w:val="nil"/>
            </w:tcBorders>
            <w:vAlign w:val="center"/>
          </w:tcPr>
          <w:p w:rsidR="004A6CAE" w:rsidRPr="007020AB" w:rsidRDefault="004A6CAE" w:rsidP="007020AB">
            <w:pPr>
              <w:jc w:val="center"/>
            </w:pPr>
            <w:r w:rsidRPr="007020AB">
              <w:t>KIDNEY</w:t>
            </w:r>
          </w:p>
        </w:tc>
      </w:tr>
      <w:tr w:rsidR="004A6CAE" w:rsidRPr="007020AB" w:rsidTr="007020AB">
        <w:trPr>
          <w:trHeight w:val="92"/>
        </w:trPr>
        <w:tc>
          <w:tcPr>
            <w:tcW w:w="1941" w:type="dxa"/>
            <w:vMerge/>
            <w:tcBorders>
              <w:left w:val="nil"/>
            </w:tcBorders>
            <w:vAlign w:val="center"/>
          </w:tcPr>
          <w:p w:rsidR="004A6CAE" w:rsidRPr="007020AB" w:rsidRDefault="004A6CAE" w:rsidP="007020AB">
            <w:pPr>
              <w:jc w:val="center"/>
            </w:pPr>
          </w:p>
        </w:tc>
        <w:tc>
          <w:tcPr>
            <w:tcW w:w="1389" w:type="dxa"/>
            <w:vAlign w:val="center"/>
          </w:tcPr>
          <w:p w:rsidR="004A6CAE" w:rsidRPr="007020AB" w:rsidRDefault="004A6CAE" w:rsidP="007020AB">
            <w:pPr>
              <w:spacing w:line="480" w:lineRule="auto"/>
              <w:jc w:val="center"/>
            </w:pPr>
            <w:r w:rsidRPr="007020AB">
              <w:t>Control</w:t>
            </w:r>
          </w:p>
        </w:tc>
        <w:tc>
          <w:tcPr>
            <w:tcW w:w="1260" w:type="dxa"/>
            <w:vAlign w:val="center"/>
          </w:tcPr>
          <w:p w:rsidR="004A6CAE" w:rsidRPr="007020AB" w:rsidRDefault="004A6CAE" w:rsidP="007020AB">
            <w:pPr>
              <w:spacing w:line="480" w:lineRule="auto"/>
              <w:jc w:val="center"/>
            </w:pPr>
            <w:r w:rsidRPr="007020AB">
              <w:t>PnT</w:t>
            </w:r>
          </w:p>
        </w:tc>
        <w:tc>
          <w:tcPr>
            <w:tcW w:w="1260" w:type="dxa"/>
            <w:vAlign w:val="center"/>
          </w:tcPr>
          <w:p w:rsidR="004A6CAE" w:rsidRPr="007020AB" w:rsidRDefault="004A6CAE" w:rsidP="007020AB">
            <w:pPr>
              <w:spacing w:line="480" w:lineRule="auto"/>
              <w:jc w:val="center"/>
            </w:pPr>
            <w:r w:rsidRPr="007020AB">
              <w:t>P+faT</w:t>
            </w:r>
          </w:p>
        </w:tc>
        <w:tc>
          <w:tcPr>
            <w:tcW w:w="1530" w:type="dxa"/>
            <w:vAlign w:val="center"/>
          </w:tcPr>
          <w:p w:rsidR="004A6CAE" w:rsidRPr="007020AB" w:rsidRDefault="004A6CAE" w:rsidP="007020AB">
            <w:pPr>
              <w:spacing w:line="480" w:lineRule="auto"/>
              <w:jc w:val="center"/>
            </w:pPr>
            <w:r w:rsidRPr="007020AB">
              <w:t>Control</w:t>
            </w:r>
          </w:p>
        </w:tc>
        <w:tc>
          <w:tcPr>
            <w:tcW w:w="1440" w:type="dxa"/>
            <w:vAlign w:val="center"/>
          </w:tcPr>
          <w:p w:rsidR="004A6CAE" w:rsidRPr="007020AB" w:rsidRDefault="004A6CAE" w:rsidP="007020AB">
            <w:pPr>
              <w:spacing w:line="480" w:lineRule="auto"/>
              <w:jc w:val="center"/>
            </w:pPr>
            <w:r w:rsidRPr="007020AB">
              <w:t>PnT</w:t>
            </w:r>
          </w:p>
        </w:tc>
        <w:tc>
          <w:tcPr>
            <w:tcW w:w="1440" w:type="dxa"/>
            <w:vAlign w:val="center"/>
          </w:tcPr>
          <w:p w:rsidR="004A6CAE" w:rsidRPr="007020AB" w:rsidRDefault="004A6CAE" w:rsidP="007020AB">
            <w:pPr>
              <w:spacing w:line="480" w:lineRule="auto"/>
              <w:jc w:val="center"/>
            </w:pPr>
            <w:r w:rsidRPr="007020AB">
              <w:t>P+faT</w:t>
            </w:r>
          </w:p>
        </w:tc>
        <w:tc>
          <w:tcPr>
            <w:tcW w:w="1350" w:type="dxa"/>
            <w:vAlign w:val="center"/>
          </w:tcPr>
          <w:p w:rsidR="004A6CAE" w:rsidRPr="007020AB" w:rsidRDefault="004A6CAE" w:rsidP="007020AB">
            <w:pPr>
              <w:spacing w:line="480" w:lineRule="auto"/>
              <w:jc w:val="center"/>
            </w:pPr>
            <w:r w:rsidRPr="007020AB">
              <w:t>Control</w:t>
            </w:r>
          </w:p>
        </w:tc>
        <w:tc>
          <w:tcPr>
            <w:tcW w:w="1350" w:type="dxa"/>
            <w:vAlign w:val="center"/>
          </w:tcPr>
          <w:p w:rsidR="004A6CAE" w:rsidRPr="007020AB" w:rsidRDefault="004A6CAE" w:rsidP="007020AB">
            <w:pPr>
              <w:spacing w:line="480" w:lineRule="auto"/>
              <w:jc w:val="center"/>
            </w:pPr>
            <w:r w:rsidRPr="007020AB">
              <w:t>PnT</w:t>
            </w:r>
          </w:p>
        </w:tc>
        <w:tc>
          <w:tcPr>
            <w:tcW w:w="1260" w:type="dxa"/>
            <w:tcBorders>
              <w:right w:val="nil"/>
            </w:tcBorders>
            <w:vAlign w:val="center"/>
          </w:tcPr>
          <w:p w:rsidR="004A6CAE" w:rsidRPr="007020AB" w:rsidRDefault="004A6CAE" w:rsidP="007020AB">
            <w:pPr>
              <w:spacing w:line="480" w:lineRule="auto"/>
              <w:jc w:val="center"/>
            </w:pPr>
            <w:r w:rsidRPr="007020AB">
              <w:t>P+faT</w:t>
            </w:r>
          </w:p>
        </w:tc>
      </w:tr>
      <w:tr w:rsidR="004A6CAE" w:rsidRPr="007020AB" w:rsidTr="007020AB">
        <w:trPr>
          <w:trHeight w:hRule="exact" w:val="694"/>
        </w:trPr>
        <w:tc>
          <w:tcPr>
            <w:tcW w:w="1941" w:type="dxa"/>
            <w:tcBorders>
              <w:left w:val="nil"/>
            </w:tcBorders>
            <w:vAlign w:val="center"/>
          </w:tcPr>
          <w:p w:rsidR="004A6CAE" w:rsidRPr="007020AB" w:rsidRDefault="004A6CAE" w:rsidP="007020AB">
            <w:pPr>
              <w:jc w:val="center"/>
            </w:pPr>
            <w:r w:rsidRPr="007020AB">
              <w:t>Malondialdehyde (nmole/mg)</w:t>
            </w:r>
          </w:p>
          <w:p w:rsidR="004A6CAE" w:rsidRPr="007020AB" w:rsidRDefault="004A6CAE" w:rsidP="007020AB">
            <w:pPr>
              <w:spacing w:line="360" w:lineRule="auto"/>
              <w:jc w:val="center"/>
            </w:pPr>
          </w:p>
        </w:tc>
        <w:tc>
          <w:tcPr>
            <w:tcW w:w="1389" w:type="dxa"/>
            <w:vAlign w:val="center"/>
          </w:tcPr>
          <w:p w:rsidR="004A6CAE" w:rsidRPr="007020AB" w:rsidRDefault="004A6CAE" w:rsidP="007020AB">
            <w:pPr>
              <w:jc w:val="center"/>
            </w:pPr>
            <w:r w:rsidRPr="007020AB">
              <w:t>0.54 ± 0.17</w:t>
            </w:r>
          </w:p>
        </w:tc>
        <w:tc>
          <w:tcPr>
            <w:tcW w:w="1260" w:type="dxa"/>
            <w:vAlign w:val="center"/>
          </w:tcPr>
          <w:p w:rsidR="004A6CAE" w:rsidRPr="007020AB" w:rsidRDefault="004A6CAE" w:rsidP="007020AB">
            <w:pPr>
              <w:jc w:val="center"/>
            </w:pPr>
            <w:r w:rsidRPr="007020AB">
              <w:t>0.59 ± 0.09</w:t>
            </w:r>
          </w:p>
        </w:tc>
        <w:tc>
          <w:tcPr>
            <w:tcW w:w="1260" w:type="dxa"/>
            <w:vAlign w:val="center"/>
          </w:tcPr>
          <w:p w:rsidR="004A6CAE" w:rsidRPr="007020AB" w:rsidRDefault="004A6CAE" w:rsidP="007020AB">
            <w:pPr>
              <w:jc w:val="center"/>
            </w:pPr>
            <w:r w:rsidRPr="007020AB">
              <w:t>0.57 ± 0.12</w:t>
            </w:r>
          </w:p>
        </w:tc>
        <w:tc>
          <w:tcPr>
            <w:tcW w:w="1530" w:type="dxa"/>
            <w:vAlign w:val="center"/>
          </w:tcPr>
          <w:p w:rsidR="004A6CAE" w:rsidRPr="007020AB" w:rsidRDefault="004A6CAE" w:rsidP="007020AB">
            <w:pPr>
              <w:jc w:val="center"/>
            </w:pPr>
            <w:r w:rsidRPr="007020AB">
              <w:t>0.74 ± 0.14</w:t>
            </w:r>
          </w:p>
        </w:tc>
        <w:tc>
          <w:tcPr>
            <w:tcW w:w="1440" w:type="dxa"/>
            <w:vAlign w:val="center"/>
          </w:tcPr>
          <w:p w:rsidR="004A6CAE" w:rsidRPr="007020AB" w:rsidRDefault="004A6CAE" w:rsidP="007020AB">
            <w:pPr>
              <w:jc w:val="center"/>
            </w:pPr>
            <w:r w:rsidRPr="007020AB">
              <w:t>0.79 ± 0.12</w:t>
            </w:r>
          </w:p>
        </w:tc>
        <w:tc>
          <w:tcPr>
            <w:tcW w:w="1440" w:type="dxa"/>
            <w:vAlign w:val="center"/>
          </w:tcPr>
          <w:p w:rsidR="004A6CAE" w:rsidRPr="007020AB" w:rsidRDefault="004A6CAE" w:rsidP="007020AB">
            <w:pPr>
              <w:jc w:val="center"/>
            </w:pPr>
            <w:r w:rsidRPr="007020AB">
              <w:t>0.61 ± 0.35</w:t>
            </w:r>
          </w:p>
        </w:tc>
        <w:tc>
          <w:tcPr>
            <w:tcW w:w="1350" w:type="dxa"/>
            <w:vAlign w:val="center"/>
          </w:tcPr>
          <w:p w:rsidR="004A6CAE" w:rsidRPr="007020AB" w:rsidRDefault="004A6CAE" w:rsidP="007020AB">
            <w:pPr>
              <w:jc w:val="center"/>
            </w:pPr>
            <w:r w:rsidRPr="007020AB">
              <w:t>0.66 ± 0.10a</w:t>
            </w:r>
          </w:p>
        </w:tc>
        <w:tc>
          <w:tcPr>
            <w:tcW w:w="1350" w:type="dxa"/>
            <w:vAlign w:val="center"/>
          </w:tcPr>
          <w:p w:rsidR="004A6CAE" w:rsidRPr="007020AB" w:rsidRDefault="004A6CAE" w:rsidP="007020AB">
            <w:pPr>
              <w:jc w:val="center"/>
            </w:pPr>
            <w:r w:rsidRPr="007020AB">
              <w:t>0.71 ±  0.12b</w:t>
            </w:r>
          </w:p>
        </w:tc>
        <w:tc>
          <w:tcPr>
            <w:tcW w:w="1260" w:type="dxa"/>
            <w:tcBorders>
              <w:right w:val="nil"/>
            </w:tcBorders>
            <w:vAlign w:val="center"/>
          </w:tcPr>
          <w:p w:rsidR="004A6CAE" w:rsidRPr="007020AB" w:rsidRDefault="004A6CAE" w:rsidP="007020AB">
            <w:pPr>
              <w:jc w:val="center"/>
            </w:pPr>
            <w:r w:rsidRPr="007020AB">
              <w:t>0.62 ± 0.08a</w:t>
            </w:r>
          </w:p>
        </w:tc>
      </w:tr>
      <w:tr w:rsidR="004A6CAE" w:rsidRPr="007020AB" w:rsidTr="007020AB">
        <w:trPr>
          <w:trHeight w:hRule="exact" w:val="613"/>
        </w:trPr>
        <w:tc>
          <w:tcPr>
            <w:tcW w:w="1941" w:type="dxa"/>
            <w:tcBorders>
              <w:left w:val="nil"/>
            </w:tcBorders>
            <w:vAlign w:val="center"/>
          </w:tcPr>
          <w:p w:rsidR="004A6CAE" w:rsidRPr="007020AB" w:rsidRDefault="004A6CAE" w:rsidP="007020AB">
            <w:pPr>
              <w:jc w:val="center"/>
            </w:pPr>
            <w:r w:rsidRPr="007020AB">
              <w:t>Superoxide Dismutase (U/L)</w:t>
            </w:r>
          </w:p>
          <w:p w:rsidR="004A6CAE" w:rsidRPr="007020AB" w:rsidRDefault="004A6CAE" w:rsidP="007020AB">
            <w:pPr>
              <w:spacing w:line="360" w:lineRule="auto"/>
              <w:jc w:val="center"/>
            </w:pPr>
          </w:p>
        </w:tc>
        <w:tc>
          <w:tcPr>
            <w:tcW w:w="1389" w:type="dxa"/>
            <w:vAlign w:val="center"/>
          </w:tcPr>
          <w:p w:rsidR="004A6CAE" w:rsidRPr="007020AB" w:rsidRDefault="004A6CAE" w:rsidP="007020AB">
            <w:pPr>
              <w:jc w:val="center"/>
            </w:pPr>
            <w:r w:rsidRPr="007020AB">
              <w:t>41.51 ± 8.22</w:t>
            </w:r>
          </w:p>
        </w:tc>
        <w:tc>
          <w:tcPr>
            <w:tcW w:w="1260" w:type="dxa"/>
            <w:vAlign w:val="center"/>
          </w:tcPr>
          <w:p w:rsidR="004A6CAE" w:rsidRPr="007020AB" w:rsidRDefault="004A6CAE" w:rsidP="007020AB">
            <w:pPr>
              <w:jc w:val="center"/>
            </w:pPr>
            <w:r w:rsidRPr="007020AB">
              <w:t>41.34 ±7.63</w:t>
            </w:r>
          </w:p>
        </w:tc>
        <w:tc>
          <w:tcPr>
            <w:tcW w:w="1260" w:type="dxa"/>
            <w:vAlign w:val="center"/>
          </w:tcPr>
          <w:p w:rsidR="004A6CAE" w:rsidRPr="007020AB" w:rsidRDefault="004A6CAE" w:rsidP="007020AB">
            <w:pPr>
              <w:jc w:val="center"/>
            </w:pPr>
            <w:r w:rsidRPr="007020AB">
              <w:t>41.32 ±7.62</w:t>
            </w:r>
          </w:p>
        </w:tc>
        <w:tc>
          <w:tcPr>
            <w:tcW w:w="1530" w:type="dxa"/>
            <w:vAlign w:val="center"/>
          </w:tcPr>
          <w:p w:rsidR="004A6CAE" w:rsidRPr="007020AB" w:rsidRDefault="004A6CAE" w:rsidP="007020AB">
            <w:pPr>
              <w:jc w:val="center"/>
            </w:pPr>
            <w:r w:rsidRPr="007020AB">
              <w:t>57.32 ± 12.53a</w:t>
            </w:r>
          </w:p>
        </w:tc>
        <w:tc>
          <w:tcPr>
            <w:tcW w:w="1440" w:type="dxa"/>
            <w:vAlign w:val="center"/>
          </w:tcPr>
          <w:p w:rsidR="004A6CAE" w:rsidRPr="007020AB" w:rsidRDefault="004A6CAE" w:rsidP="007020AB">
            <w:pPr>
              <w:jc w:val="center"/>
            </w:pPr>
            <w:r w:rsidRPr="007020AB">
              <w:t>66.67 ± 8.26b</w:t>
            </w:r>
          </w:p>
        </w:tc>
        <w:tc>
          <w:tcPr>
            <w:tcW w:w="1440" w:type="dxa"/>
            <w:vAlign w:val="center"/>
          </w:tcPr>
          <w:p w:rsidR="004A6CAE" w:rsidRPr="007020AB" w:rsidRDefault="004A6CAE" w:rsidP="007020AB">
            <w:pPr>
              <w:jc w:val="center"/>
            </w:pPr>
            <w:r w:rsidRPr="007020AB">
              <w:t>41.34 ± 7.63c</w:t>
            </w:r>
          </w:p>
        </w:tc>
        <w:tc>
          <w:tcPr>
            <w:tcW w:w="1350" w:type="dxa"/>
            <w:vAlign w:val="center"/>
          </w:tcPr>
          <w:p w:rsidR="004A6CAE" w:rsidRPr="007020AB" w:rsidRDefault="004A6CAE" w:rsidP="007020AB">
            <w:pPr>
              <w:jc w:val="center"/>
            </w:pPr>
            <w:r w:rsidRPr="007020AB">
              <w:t>41.51 ± 9.70</w:t>
            </w:r>
          </w:p>
        </w:tc>
        <w:tc>
          <w:tcPr>
            <w:tcW w:w="1350" w:type="dxa"/>
            <w:vAlign w:val="center"/>
          </w:tcPr>
          <w:p w:rsidR="004A6CAE" w:rsidRPr="007020AB" w:rsidRDefault="004A6CAE" w:rsidP="007020AB">
            <w:pPr>
              <w:jc w:val="center"/>
            </w:pPr>
            <w:r w:rsidRPr="007020AB">
              <w:t>40.91 ± 3.16</w:t>
            </w:r>
          </w:p>
        </w:tc>
        <w:tc>
          <w:tcPr>
            <w:tcW w:w="1260" w:type="dxa"/>
            <w:tcBorders>
              <w:right w:val="nil"/>
            </w:tcBorders>
            <w:vAlign w:val="center"/>
          </w:tcPr>
          <w:p w:rsidR="004A6CAE" w:rsidRPr="007020AB" w:rsidRDefault="004A6CAE" w:rsidP="007020AB">
            <w:pPr>
              <w:jc w:val="center"/>
            </w:pPr>
            <w:r w:rsidRPr="007020AB">
              <w:t>41.34 ± 7.24</w:t>
            </w:r>
          </w:p>
        </w:tc>
      </w:tr>
      <w:tr w:rsidR="004A6CAE" w:rsidRPr="007020AB" w:rsidTr="007020AB">
        <w:trPr>
          <w:trHeight w:hRule="exact" w:val="541"/>
        </w:trPr>
        <w:tc>
          <w:tcPr>
            <w:tcW w:w="1941" w:type="dxa"/>
            <w:tcBorders>
              <w:left w:val="nil"/>
            </w:tcBorders>
            <w:vAlign w:val="center"/>
          </w:tcPr>
          <w:p w:rsidR="004A6CAE" w:rsidRPr="007020AB" w:rsidRDefault="004A6CAE" w:rsidP="007020AB">
            <w:pPr>
              <w:spacing w:line="360" w:lineRule="auto"/>
              <w:jc w:val="center"/>
            </w:pPr>
            <w:r w:rsidRPr="007020AB">
              <w:t>Catalase (U/L)</w:t>
            </w:r>
          </w:p>
          <w:p w:rsidR="004A6CAE" w:rsidRPr="007020AB" w:rsidRDefault="004A6CAE" w:rsidP="007020AB">
            <w:pPr>
              <w:spacing w:line="360" w:lineRule="auto"/>
              <w:jc w:val="center"/>
            </w:pPr>
          </w:p>
        </w:tc>
        <w:tc>
          <w:tcPr>
            <w:tcW w:w="1389" w:type="dxa"/>
            <w:vAlign w:val="center"/>
          </w:tcPr>
          <w:p w:rsidR="004A6CAE" w:rsidRPr="007020AB" w:rsidRDefault="004A6CAE" w:rsidP="007020AB">
            <w:pPr>
              <w:jc w:val="center"/>
            </w:pPr>
            <w:r w:rsidRPr="007020AB">
              <w:t>24.89 ± 0.75</w:t>
            </w:r>
          </w:p>
        </w:tc>
        <w:tc>
          <w:tcPr>
            <w:tcW w:w="1260" w:type="dxa"/>
            <w:vAlign w:val="center"/>
          </w:tcPr>
          <w:p w:rsidR="004A6CAE" w:rsidRPr="007020AB" w:rsidRDefault="004A6CAE" w:rsidP="007020AB">
            <w:pPr>
              <w:jc w:val="center"/>
            </w:pPr>
            <w:r w:rsidRPr="007020AB">
              <w:t>24.63 ± 0.50</w:t>
            </w:r>
          </w:p>
        </w:tc>
        <w:tc>
          <w:tcPr>
            <w:tcW w:w="1260" w:type="dxa"/>
            <w:vAlign w:val="center"/>
          </w:tcPr>
          <w:p w:rsidR="004A6CAE" w:rsidRPr="007020AB" w:rsidRDefault="004A6CAE" w:rsidP="007020AB">
            <w:pPr>
              <w:jc w:val="center"/>
            </w:pPr>
            <w:r w:rsidRPr="007020AB">
              <w:t>24.64 ± 0.24</w:t>
            </w:r>
          </w:p>
        </w:tc>
        <w:tc>
          <w:tcPr>
            <w:tcW w:w="1530" w:type="dxa"/>
            <w:vAlign w:val="center"/>
          </w:tcPr>
          <w:p w:rsidR="004A6CAE" w:rsidRPr="007020AB" w:rsidRDefault="004A6CAE" w:rsidP="007020AB">
            <w:pPr>
              <w:jc w:val="center"/>
            </w:pPr>
            <w:r w:rsidRPr="007020AB">
              <w:t xml:space="preserve">38.57 </w:t>
            </w:r>
            <w:r w:rsidRPr="007020AB">
              <w:rPr>
                <w:u w:val="single"/>
                <w:vertAlign w:val="subscript"/>
              </w:rPr>
              <w:softHyphen/>
            </w:r>
            <w:r w:rsidRPr="007020AB">
              <w:t>± 4.71a</w:t>
            </w:r>
          </w:p>
        </w:tc>
        <w:tc>
          <w:tcPr>
            <w:tcW w:w="1440" w:type="dxa"/>
            <w:vAlign w:val="center"/>
          </w:tcPr>
          <w:p w:rsidR="004A6CAE" w:rsidRPr="007020AB" w:rsidRDefault="004A6CAE" w:rsidP="007020AB">
            <w:pPr>
              <w:jc w:val="center"/>
            </w:pPr>
            <w:r w:rsidRPr="007020AB">
              <w:t>44.16 ± 3.06b</w:t>
            </w:r>
          </w:p>
        </w:tc>
        <w:tc>
          <w:tcPr>
            <w:tcW w:w="1440" w:type="dxa"/>
            <w:vAlign w:val="center"/>
          </w:tcPr>
          <w:p w:rsidR="004A6CAE" w:rsidRPr="007020AB" w:rsidRDefault="004A6CAE" w:rsidP="007020AB">
            <w:pPr>
              <w:jc w:val="center"/>
            </w:pPr>
            <w:r w:rsidRPr="007020AB">
              <w:t>33.54 ± 3.67c</w:t>
            </w:r>
          </w:p>
        </w:tc>
        <w:tc>
          <w:tcPr>
            <w:tcW w:w="1350" w:type="dxa"/>
            <w:vAlign w:val="center"/>
          </w:tcPr>
          <w:p w:rsidR="004A6CAE" w:rsidRPr="007020AB" w:rsidRDefault="004A6CAE" w:rsidP="007020AB">
            <w:pPr>
              <w:jc w:val="center"/>
            </w:pPr>
            <w:r w:rsidRPr="007020AB">
              <w:t>24.66 ± 1.80</w:t>
            </w:r>
          </w:p>
        </w:tc>
        <w:tc>
          <w:tcPr>
            <w:tcW w:w="1350" w:type="dxa"/>
            <w:vAlign w:val="center"/>
          </w:tcPr>
          <w:p w:rsidR="004A6CAE" w:rsidRPr="007020AB" w:rsidRDefault="004A6CAE" w:rsidP="007020AB">
            <w:pPr>
              <w:jc w:val="center"/>
            </w:pPr>
            <w:r w:rsidRPr="007020AB">
              <w:t>23.89 ± 2.47</w:t>
            </w:r>
          </w:p>
        </w:tc>
        <w:tc>
          <w:tcPr>
            <w:tcW w:w="1260" w:type="dxa"/>
            <w:tcBorders>
              <w:right w:val="nil"/>
            </w:tcBorders>
            <w:vAlign w:val="center"/>
          </w:tcPr>
          <w:p w:rsidR="004A6CAE" w:rsidRPr="007020AB" w:rsidRDefault="004A6CAE" w:rsidP="007020AB">
            <w:pPr>
              <w:jc w:val="center"/>
            </w:pPr>
            <w:r w:rsidRPr="007020AB">
              <w:t>24.76 ± 2.03</w:t>
            </w:r>
          </w:p>
        </w:tc>
      </w:tr>
      <w:tr w:rsidR="004A6CAE" w:rsidRPr="007020AB" w:rsidTr="007020AB">
        <w:trPr>
          <w:trHeight w:hRule="exact" w:val="631"/>
        </w:trPr>
        <w:tc>
          <w:tcPr>
            <w:tcW w:w="1941" w:type="dxa"/>
            <w:tcBorders>
              <w:left w:val="nil"/>
            </w:tcBorders>
            <w:vAlign w:val="center"/>
          </w:tcPr>
          <w:p w:rsidR="004A6CAE" w:rsidRPr="007020AB" w:rsidRDefault="004A6CAE" w:rsidP="007020AB">
            <w:pPr>
              <w:spacing w:line="360" w:lineRule="auto"/>
              <w:jc w:val="center"/>
            </w:pPr>
            <w:r w:rsidRPr="007020AB">
              <w:t>Glu-6-P-D (U/mg)</w:t>
            </w:r>
          </w:p>
          <w:p w:rsidR="004A6CAE" w:rsidRPr="007020AB" w:rsidRDefault="004A6CAE" w:rsidP="007020AB">
            <w:pPr>
              <w:spacing w:line="360" w:lineRule="auto"/>
              <w:jc w:val="center"/>
            </w:pPr>
          </w:p>
        </w:tc>
        <w:tc>
          <w:tcPr>
            <w:tcW w:w="1389" w:type="dxa"/>
            <w:vAlign w:val="center"/>
          </w:tcPr>
          <w:p w:rsidR="004A6CAE" w:rsidRPr="007020AB" w:rsidRDefault="004A6CAE" w:rsidP="007020AB">
            <w:pPr>
              <w:jc w:val="center"/>
            </w:pPr>
            <w:r w:rsidRPr="007020AB">
              <w:t>0.04 ± 0.11</w:t>
            </w:r>
          </w:p>
        </w:tc>
        <w:tc>
          <w:tcPr>
            <w:tcW w:w="1260" w:type="dxa"/>
            <w:vAlign w:val="center"/>
          </w:tcPr>
          <w:p w:rsidR="004A6CAE" w:rsidRPr="007020AB" w:rsidRDefault="004A6CAE" w:rsidP="007020AB">
            <w:pPr>
              <w:jc w:val="center"/>
            </w:pPr>
            <w:r w:rsidRPr="007020AB">
              <w:t>0.03 ± 0.08</w:t>
            </w:r>
          </w:p>
        </w:tc>
        <w:tc>
          <w:tcPr>
            <w:tcW w:w="1260" w:type="dxa"/>
            <w:vAlign w:val="center"/>
          </w:tcPr>
          <w:p w:rsidR="004A6CAE" w:rsidRPr="007020AB" w:rsidRDefault="004A6CAE" w:rsidP="007020AB">
            <w:pPr>
              <w:jc w:val="center"/>
            </w:pPr>
            <w:r w:rsidRPr="007020AB">
              <w:t>0.03 ± 0.14</w:t>
            </w:r>
          </w:p>
        </w:tc>
        <w:tc>
          <w:tcPr>
            <w:tcW w:w="1530" w:type="dxa"/>
            <w:vAlign w:val="center"/>
          </w:tcPr>
          <w:p w:rsidR="004A6CAE" w:rsidRPr="007020AB" w:rsidRDefault="004A6CAE" w:rsidP="007020AB">
            <w:pPr>
              <w:jc w:val="center"/>
            </w:pPr>
            <w:r w:rsidRPr="007020AB">
              <w:t>0.07 ± 0.01a</w:t>
            </w:r>
          </w:p>
        </w:tc>
        <w:tc>
          <w:tcPr>
            <w:tcW w:w="1440" w:type="dxa"/>
            <w:vAlign w:val="center"/>
          </w:tcPr>
          <w:p w:rsidR="004A6CAE" w:rsidRPr="007020AB" w:rsidRDefault="004A6CAE" w:rsidP="007020AB">
            <w:pPr>
              <w:jc w:val="center"/>
            </w:pPr>
            <w:r w:rsidRPr="007020AB">
              <w:t>0.05 ±0.01b</w:t>
            </w:r>
          </w:p>
        </w:tc>
        <w:tc>
          <w:tcPr>
            <w:tcW w:w="1440" w:type="dxa"/>
            <w:vAlign w:val="center"/>
          </w:tcPr>
          <w:p w:rsidR="004A6CAE" w:rsidRPr="007020AB" w:rsidRDefault="004A6CAE" w:rsidP="007020AB">
            <w:pPr>
              <w:jc w:val="center"/>
            </w:pPr>
            <w:r w:rsidRPr="007020AB">
              <w:t>0.05 ± 0.18b</w:t>
            </w:r>
          </w:p>
        </w:tc>
        <w:tc>
          <w:tcPr>
            <w:tcW w:w="1350" w:type="dxa"/>
            <w:vAlign w:val="center"/>
          </w:tcPr>
          <w:p w:rsidR="004A6CAE" w:rsidRPr="007020AB" w:rsidRDefault="004A6CAE" w:rsidP="007020AB">
            <w:pPr>
              <w:jc w:val="center"/>
            </w:pPr>
            <w:r w:rsidRPr="007020AB">
              <w:t>0.04 ± 0.10</w:t>
            </w:r>
          </w:p>
        </w:tc>
        <w:tc>
          <w:tcPr>
            <w:tcW w:w="1350" w:type="dxa"/>
            <w:vAlign w:val="center"/>
          </w:tcPr>
          <w:p w:rsidR="004A6CAE" w:rsidRPr="007020AB" w:rsidRDefault="004A6CAE" w:rsidP="007020AB">
            <w:pPr>
              <w:jc w:val="center"/>
            </w:pPr>
            <w:r w:rsidRPr="007020AB">
              <w:t>0.03 ± 0.08</w:t>
            </w:r>
          </w:p>
        </w:tc>
        <w:tc>
          <w:tcPr>
            <w:tcW w:w="1260" w:type="dxa"/>
            <w:tcBorders>
              <w:right w:val="nil"/>
            </w:tcBorders>
            <w:vAlign w:val="center"/>
          </w:tcPr>
          <w:p w:rsidR="004A6CAE" w:rsidRPr="007020AB" w:rsidRDefault="004A6CAE" w:rsidP="007020AB">
            <w:pPr>
              <w:jc w:val="center"/>
            </w:pPr>
            <w:r w:rsidRPr="007020AB">
              <w:t>0.03 ±  0.10</w:t>
            </w:r>
          </w:p>
        </w:tc>
      </w:tr>
      <w:tr w:rsidR="004A6CAE" w:rsidRPr="007020AB" w:rsidTr="007020AB">
        <w:trPr>
          <w:trHeight w:hRule="exact" w:val="892"/>
        </w:trPr>
        <w:tc>
          <w:tcPr>
            <w:tcW w:w="1941" w:type="dxa"/>
            <w:tcBorders>
              <w:left w:val="nil"/>
            </w:tcBorders>
            <w:vAlign w:val="center"/>
          </w:tcPr>
          <w:p w:rsidR="004A6CAE" w:rsidRPr="007020AB" w:rsidRDefault="004A6CAE" w:rsidP="007020AB">
            <w:pPr>
              <w:jc w:val="center"/>
            </w:pPr>
            <w:r w:rsidRPr="007020AB">
              <w:t>Reduced Glutathione (ug/mg)</w:t>
            </w:r>
          </w:p>
          <w:p w:rsidR="004A6CAE" w:rsidRPr="007020AB" w:rsidRDefault="004A6CAE" w:rsidP="007020AB">
            <w:pPr>
              <w:spacing w:line="360" w:lineRule="auto"/>
              <w:jc w:val="center"/>
            </w:pPr>
          </w:p>
        </w:tc>
        <w:tc>
          <w:tcPr>
            <w:tcW w:w="1389" w:type="dxa"/>
            <w:vAlign w:val="center"/>
          </w:tcPr>
          <w:p w:rsidR="004A6CAE" w:rsidRPr="007020AB" w:rsidRDefault="004A6CAE" w:rsidP="007020AB">
            <w:pPr>
              <w:jc w:val="center"/>
            </w:pPr>
            <w:r w:rsidRPr="007020AB">
              <w:t>0.37 ± 0.02</w:t>
            </w:r>
          </w:p>
        </w:tc>
        <w:tc>
          <w:tcPr>
            <w:tcW w:w="1260" w:type="dxa"/>
            <w:vAlign w:val="center"/>
          </w:tcPr>
          <w:p w:rsidR="004A6CAE" w:rsidRPr="007020AB" w:rsidRDefault="004A6CAE" w:rsidP="007020AB">
            <w:pPr>
              <w:jc w:val="center"/>
            </w:pPr>
            <w:r w:rsidRPr="007020AB">
              <w:t>0.37 ± 0.02</w:t>
            </w:r>
          </w:p>
        </w:tc>
        <w:tc>
          <w:tcPr>
            <w:tcW w:w="1260" w:type="dxa"/>
            <w:vAlign w:val="center"/>
          </w:tcPr>
          <w:p w:rsidR="004A6CAE" w:rsidRPr="007020AB" w:rsidRDefault="004A6CAE" w:rsidP="007020AB">
            <w:pPr>
              <w:jc w:val="center"/>
            </w:pPr>
            <w:r w:rsidRPr="007020AB">
              <w:t>0.37 ± 0.02</w:t>
            </w:r>
          </w:p>
        </w:tc>
        <w:tc>
          <w:tcPr>
            <w:tcW w:w="1530" w:type="dxa"/>
            <w:vAlign w:val="center"/>
          </w:tcPr>
          <w:p w:rsidR="004A6CAE" w:rsidRPr="007020AB" w:rsidRDefault="004A6CAE" w:rsidP="007020AB">
            <w:pPr>
              <w:jc w:val="center"/>
            </w:pPr>
            <w:r w:rsidRPr="007020AB">
              <w:t>0.69 ± 0.10a</w:t>
            </w:r>
          </w:p>
        </w:tc>
        <w:tc>
          <w:tcPr>
            <w:tcW w:w="1440" w:type="dxa"/>
            <w:vAlign w:val="center"/>
          </w:tcPr>
          <w:p w:rsidR="004A6CAE" w:rsidRPr="007020AB" w:rsidRDefault="004A6CAE" w:rsidP="007020AB">
            <w:pPr>
              <w:jc w:val="center"/>
            </w:pPr>
            <w:r w:rsidRPr="007020AB">
              <w:t>0.58 ±0.10b</w:t>
            </w:r>
          </w:p>
        </w:tc>
        <w:tc>
          <w:tcPr>
            <w:tcW w:w="1440" w:type="dxa"/>
            <w:vAlign w:val="center"/>
          </w:tcPr>
          <w:p w:rsidR="004A6CAE" w:rsidRPr="007020AB" w:rsidRDefault="004A6CAE" w:rsidP="007020AB">
            <w:pPr>
              <w:jc w:val="center"/>
            </w:pPr>
            <w:r w:rsidRPr="007020AB">
              <w:t>0.57 ± 0.20b</w:t>
            </w:r>
          </w:p>
        </w:tc>
        <w:tc>
          <w:tcPr>
            <w:tcW w:w="1350" w:type="dxa"/>
            <w:vAlign w:val="center"/>
          </w:tcPr>
          <w:p w:rsidR="004A6CAE" w:rsidRPr="007020AB" w:rsidRDefault="004A6CAE" w:rsidP="007020AB">
            <w:pPr>
              <w:jc w:val="center"/>
            </w:pPr>
            <w:r w:rsidRPr="007020AB">
              <w:t>0.37 ± 0.02</w:t>
            </w:r>
          </w:p>
        </w:tc>
        <w:tc>
          <w:tcPr>
            <w:tcW w:w="1350" w:type="dxa"/>
            <w:vAlign w:val="center"/>
          </w:tcPr>
          <w:p w:rsidR="004A6CAE" w:rsidRPr="007020AB" w:rsidRDefault="004A6CAE" w:rsidP="007020AB">
            <w:pPr>
              <w:jc w:val="center"/>
            </w:pPr>
            <w:r w:rsidRPr="007020AB">
              <w:t>0.37 ± 0.02</w:t>
            </w:r>
          </w:p>
        </w:tc>
        <w:tc>
          <w:tcPr>
            <w:tcW w:w="1260" w:type="dxa"/>
            <w:tcBorders>
              <w:right w:val="nil"/>
            </w:tcBorders>
            <w:vAlign w:val="center"/>
          </w:tcPr>
          <w:p w:rsidR="004A6CAE" w:rsidRPr="007020AB" w:rsidRDefault="004A6CAE" w:rsidP="007020AB">
            <w:pPr>
              <w:jc w:val="center"/>
            </w:pPr>
            <w:r w:rsidRPr="007020AB">
              <w:t>0.37 ±  0.02</w:t>
            </w:r>
          </w:p>
        </w:tc>
      </w:tr>
    </w:tbl>
    <w:p w:rsidR="009377D3" w:rsidRPr="007020AB" w:rsidRDefault="009377D3" w:rsidP="004A6CAE"/>
    <w:p w:rsidR="009377D3" w:rsidRPr="007020AB" w:rsidRDefault="009377D3" w:rsidP="004A6CAE"/>
    <w:p w:rsidR="009377D3" w:rsidRPr="007020AB" w:rsidRDefault="009377D3" w:rsidP="00D85DDA">
      <w:pPr>
        <w:spacing w:line="480" w:lineRule="auto"/>
      </w:pPr>
      <w:r w:rsidRPr="007020AB">
        <w:t xml:space="preserve">Legends to Tables: Results are presented as mean </w:t>
      </w:r>
      <w:r w:rsidRPr="007020AB">
        <w:rPr>
          <w:u w:val="single"/>
        </w:rPr>
        <w:t>+</w:t>
      </w:r>
      <w:r w:rsidRPr="007020AB">
        <w:t xml:space="preserve"> SD of triplicate determinations (n=10). Values in same</w:t>
      </w:r>
      <w:r w:rsidR="00D85DDA" w:rsidRPr="007020AB">
        <w:t xml:space="preserve"> row with different letters are </w:t>
      </w:r>
      <w:r w:rsidRPr="007020AB">
        <w:t>significantly different (P&lt;0.05).</w:t>
      </w:r>
    </w:p>
    <w:p w:rsidR="00D85DDA" w:rsidRDefault="00D85DDA" w:rsidP="00D85DDA">
      <w:pPr>
        <w:spacing w:line="480" w:lineRule="auto"/>
        <w:jc w:val="center"/>
        <w:rPr>
          <w:sz w:val="24"/>
          <w:szCs w:val="24"/>
        </w:rPr>
      </w:pPr>
    </w:p>
    <w:p w:rsidR="00D85DDA" w:rsidRDefault="00D85DDA" w:rsidP="00D85DDA">
      <w:pPr>
        <w:spacing w:line="480" w:lineRule="auto"/>
        <w:jc w:val="center"/>
        <w:rPr>
          <w:sz w:val="24"/>
          <w:szCs w:val="24"/>
        </w:rPr>
      </w:pPr>
    </w:p>
    <w:p w:rsidR="00D85DDA" w:rsidRDefault="00D85DDA" w:rsidP="00D85DDA">
      <w:pPr>
        <w:spacing w:line="480" w:lineRule="auto"/>
        <w:jc w:val="center"/>
        <w:rPr>
          <w:sz w:val="24"/>
          <w:szCs w:val="24"/>
        </w:rPr>
      </w:pPr>
    </w:p>
    <w:p w:rsidR="00D85DDA" w:rsidRDefault="00D85DDA" w:rsidP="00D85DDA">
      <w:pPr>
        <w:spacing w:line="480" w:lineRule="auto"/>
        <w:jc w:val="center"/>
        <w:rPr>
          <w:sz w:val="24"/>
          <w:szCs w:val="24"/>
        </w:rPr>
      </w:pPr>
    </w:p>
    <w:p w:rsidR="00D85DDA" w:rsidRPr="00D85DDA" w:rsidRDefault="00D85DDA" w:rsidP="00D85DDA">
      <w:pPr>
        <w:spacing w:line="480" w:lineRule="auto"/>
        <w:jc w:val="center"/>
        <w:rPr>
          <w:sz w:val="24"/>
          <w:szCs w:val="24"/>
        </w:rPr>
        <w:sectPr w:rsidR="00D85DDA" w:rsidRPr="00D85DDA" w:rsidSect="009F5E87">
          <w:pgSz w:w="16838" w:h="11906" w:orient="landscape"/>
          <w:pgMar w:top="1440" w:right="1440" w:bottom="1440" w:left="1440" w:header="706" w:footer="706" w:gutter="0"/>
          <w:cols w:space="708"/>
          <w:docGrid w:linePitch="360"/>
        </w:sectPr>
      </w:pPr>
    </w:p>
    <w:p w:rsidR="004A6CAE" w:rsidRPr="007020AB" w:rsidRDefault="004A6CAE" w:rsidP="004A6CAE">
      <w:pPr>
        <w:pStyle w:val="Heading2"/>
        <w:spacing w:line="240" w:lineRule="auto"/>
        <w:ind w:left="0"/>
        <w:rPr>
          <w:sz w:val="20"/>
          <w:u w:val="single"/>
        </w:rPr>
      </w:pPr>
      <w:r w:rsidRPr="007020AB">
        <w:rPr>
          <w:sz w:val="20"/>
          <w:u w:val="single"/>
        </w:rPr>
        <w:lastRenderedPageBreak/>
        <w:t>Discussions</w:t>
      </w:r>
    </w:p>
    <w:p w:rsidR="004A6CAE" w:rsidRPr="007020AB" w:rsidRDefault="004A6CAE" w:rsidP="004A6CAE"/>
    <w:p w:rsidR="00B125A5" w:rsidRPr="007020AB" w:rsidRDefault="004A6CAE" w:rsidP="00B125A5">
      <w:pPr>
        <w:spacing w:line="480" w:lineRule="auto"/>
      </w:pPr>
      <w:r w:rsidRPr="007020AB">
        <w:rPr>
          <w:color w:val="272525"/>
          <w:lang w:val="en-GB" w:eastAsia="en-GB"/>
        </w:rPr>
        <w:t xml:space="preserve">Malarial anaemia is reported to be complex as it involves red blood cell destruction either by the parasites or as a result of immune response or both </w:t>
      </w:r>
      <w:r w:rsidR="00B125A5" w:rsidRPr="007020AB">
        <w:rPr>
          <w:color w:val="000000" w:themeColor="text1"/>
          <w:lang w:val="en-GB" w:eastAsia="en-GB"/>
        </w:rPr>
        <w:t>(Mulenga</w:t>
      </w:r>
      <w:r w:rsidR="00B125A5" w:rsidRPr="007020AB">
        <w:rPr>
          <w:color w:val="000000" w:themeColor="text1"/>
          <w:lang w:eastAsia="en-GB"/>
        </w:rPr>
        <w:t xml:space="preserve"> </w:t>
      </w:r>
      <w:r w:rsidR="00B125A5" w:rsidRPr="007020AB">
        <w:rPr>
          <w:i/>
          <w:color w:val="000000" w:themeColor="text1"/>
          <w:lang w:eastAsia="en-GB"/>
        </w:rPr>
        <w:t>et al</w:t>
      </w:r>
      <w:r w:rsidR="00B125A5" w:rsidRPr="007020AB">
        <w:rPr>
          <w:color w:val="000000" w:themeColor="text1"/>
          <w:lang w:eastAsia="en-GB"/>
        </w:rPr>
        <w:t>.,</w:t>
      </w:r>
      <w:r w:rsidR="00B125A5" w:rsidRPr="007020AB">
        <w:rPr>
          <w:color w:val="000000" w:themeColor="text1"/>
          <w:lang w:val="en-GB" w:eastAsia="en-GB"/>
        </w:rPr>
        <w:t xml:space="preserve"> 2006).</w:t>
      </w:r>
    </w:p>
    <w:p w:rsidR="004A6CAE" w:rsidRPr="007020AB" w:rsidRDefault="004A6CAE" w:rsidP="0067079F">
      <w:pPr>
        <w:spacing w:line="480" w:lineRule="auto"/>
        <w:jc w:val="both"/>
      </w:pPr>
      <w:r w:rsidRPr="007020AB">
        <w:rPr>
          <w:color w:val="272525"/>
          <w:lang w:val="en-GB" w:eastAsia="en-GB"/>
        </w:rPr>
        <w:t xml:space="preserve">The reduced erythrocyte fragility, increased packed cell volume (PCV) and reduced bilirubin levels in parasitized mice group administered folic acid treatment in this study suggests positive influence of folic acid in parasitized mice haematological recovery. A previous report had indicated poor dietary intake of folic acid, rapid erythroid hyperplasia as factors that may deplete folate stores which may lead to delayed haematological recovery </w:t>
      </w:r>
      <w:r w:rsidR="00B125A5" w:rsidRPr="007020AB">
        <w:rPr>
          <w:color w:val="000000" w:themeColor="text1"/>
          <w:lang w:val="en-GB" w:eastAsia="en-GB"/>
        </w:rPr>
        <w:t>(Fleming</w:t>
      </w:r>
      <w:r w:rsidR="00B125A5" w:rsidRPr="007020AB">
        <w:rPr>
          <w:color w:val="000000" w:themeColor="text1"/>
          <w:lang w:eastAsia="en-GB"/>
        </w:rPr>
        <w:t>,</w:t>
      </w:r>
      <w:r w:rsidR="00B125A5" w:rsidRPr="007020AB">
        <w:rPr>
          <w:color w:val="000000" w:themeColor="text1"/>
          <w:lang w:val="en-GB" w:eastAsia="en-GB"/>
        </w:rPr>
        <w:t xml:space="preserve"> 1981)</w:t>
      </w:r>
      <w:r w:rsidRPr="007020AB">
        <w:rPr>
          <w:color w:val="272525"/>
          <w:lang w:val="en-GB" w:eastAsia="en-GB"/>
        </w:rPr>
        <w:t>. The reason for the observed effect of folic acid in this work may not be separated from the requirement of this molecule in</w:t>
      </w:r>
      <w:r w:rsidRPr="007020AB">
        <w:rPr>
          <w:color w:val="000000" w:themeColor="text1"/>
          <w:lang w:val="en-GB" w:eastAsia="en-GB"/>
        </w:rPr>
        <w:t xml:space="preserve"> biosynthetic reactions, cell replication and by extensions cell growth and maintenance. It would therefore appear that folic acid under the condition of parasitemia may either support blood forming factors or probably enhance the production of needed DNA required in the formation of red cells, within bone marrow to stimulate erythropoesis. </w:t>
      </w:r>
    </w:p>
    <w:p w:rsidR="00712A1D" w:rsidRPr="007020AB" w:rsidRDefault="004A6CAE" w:rsidP="00712A1D">
      <w:pPr>
        <w:autoSpaceDE w:val="0"/>
        <w:autoSpaceDN w:val="0"/>
        <w:adjustRightInd w:val="0"/>
        <w:spacing w:line="480" w:lineRule="auto"/>
        <w:jc w:val="both"/>
        <w:rPr>
          <w:iCs/>
        </w:rPr>
      </w:pPr>
      <w:r w:rsidRPr="007020AB">
        <w:rPr>
          <w:color w:val="000000" w:themeColor="text1"/>
          <w:lang w:val="en-GB" w:eastAsia="en-GB"/>
        </w:rPr>
        <w:t>The increases in total proteins and globulins in</w:t>
      </w:r>
      <w:r w:rsidRPr="007020AB">
        <w:rPr>
          <w:color w:val="FF0000"/>
          <w:lang w:val="en-GB" w:eastAsia="en-GB"/>
        </w:rPr>
        <w:t xml:space="preserve"> </w:t>
      </w:r>
      <w:r w:rsidRPr="007020AB">
        <w:rPr>
          <w:color w:val="000000" w:themeColor="text1"/>
          <w:lang w:val="en-GB" w:eastAsia="en-GB"/>
        </w:rPr>
        <w:t xml:space="preserve">PnT group in comparison to the other two groups could obviously be associated with the presence of malarial parasites in the animals. In a similar study, </w:t>
      </w:r>
      <w:r w:rsidRPr="007020AB">
        <w:rPr>
          <w:rFonts w:eastAsiaTheme="minorHAnsi"/>
          <w:bCs/>
          <w:lang w:val="en-GB"/>
        </w:rPr>
        <w:t xml:space="preserve">infection was reported to result in hyperproteinaemia and hyperglobulinaemia in mice and rabbits respectively </w:t>
      </w:r>
      <w:r w:rsidR="00712A1D" w:rsidRPr="007020AB">
        <w:rPr>
          <w:color w:val="000000" w:themeColor="text1"/>
        </w:rPr>
        <w:t>(</w:t>
      </w:r>
      <w:r w:rsidR="00712A1D" w:rsidRPr="007020AB">
        <w:rPr>
          <w:rStyle w:val="Emphasis"/>
          <w:i w:val="0"/>
          <w:color w:val="000000" w:themeColor="text1"/>
        </w:rPr>
        <w:t xml:space="preserve">Jack and Robert </w:t>
      </w:r>
      <w:r w:rsidR="00712A1D" w:rsidRPr="007020AB">
        <w:rPr>
          <w:color w:val="000000" w:themeColor="text1"/>
        </w:rPr>
        <w:t xml:space="preserve">1965; </w:t>
      </w:r>
      <w:r w:rsidR="00712A1D" w:rsidRPr="007020AB">
        <w:rPr>
          <w:rFonts w:eastAsiaTheme="minorHAnsi"/>
          <w:bCs/>
          <w:color w:val="000000" w:themeColor="text1"/>
          <w:lang w:val="en-GB"/>
        </w:rPr>
        <w:t xml:space="preserve">Orhue </w:t>
      </w:r>
      <w:r w:rsidR="00712A1D" w:rsidRPr="007020AB">
        <w:rPr>
          <w:rFonts w:eastAsiaTheme="minorHAnsi"/>
          <w:bCs/>
          <w:i/>
          <w:color w:val="000000" w:themeColor="text1"/>
          <w:lang w:val="en-GB"/>
        </w:rPr>
        <w:t>et al</w:t>
      </w:r>
      <w:r w:rsidR="00712A1D" w:rsidRPr="007020AB">
        <w:rPr>
          <w:rFonts w:eastAsiaTheme="minorHAnsi"/>
          <w:bCs/>
          <w:color w:val="000000" w:themeColor="text1"/>
          <w:lang w:val="en-GB"/>
        </w:rPr>
        <w:t>., 2005).</w:t>
      </w:r>
    </w:p>
    <w:p w:rsidR="004A6CAE" w:rsidRPr="007020AB" w:rsidRDefault="004A6CAE" w:rsidP="00712A1D">
      <w:pPr>
        <w:autoSpaceDE w:val="0"/>
        <w:autoSpaceDN w:val="0"/>
        <w:adjustRightInd w:val="0"/>
        <w:spacing w:line="480" w:lineRule="auto"/>
        <w:jc w:val="both"/>
        <w:rPr>
          <w:iCs/>
        </w:rPr>
      </w:pPr>
      <w:r w:rsidRPr="007020AB">
        <w:rPr>
          <w:rFonts w:ascii="Helvetica-Bold" w:eastAsiaTheme="minorHAnsi" w:hAnsi="Helvetica-Bold" w:cs="Helvetica-Bold"/>
          <w:lang w:val="en-GB"/>
        </w:rPr>
        <w:t xml:space="preserve"> </w:t>
      </w:r>
      <w:r w:rsidRPr="007020AB">
        <w:rPr>
          <w:color w:val="000000" w:themeColor="text1"/>
          <w:lang w:val="en-GB" w:eastAsia="en-GB"/>
        </w:rPr>
        <w:t xml:space="preserve">Interestingly, folic acid treated group had these same indicators reduced. It is important to note that in the works of </w:t>
      </w:r>
      <w:r w:rsidRPr="007020AB">
        <w:rPr>
          <w:rStyle w:val="Emphasis"/>
          <w:i w:val="0"/>
        </w:rPr>
        <w:t xml:space="preserve">Jack </w:t>
      </w:r>
      <w:r w:rsidR="00712A1D" w:rsidRPr="007020AB">
        <w:rPr>
          <w:color w:val="000000" w:themeColor="text1"/>
        </w:rPr>
        <w:t>(</w:t>
      </w:r>
      <w:r w:rsidR="00712A1D" w:rsidRPr="007020AB">
        <w:rPr>
          <w:rStyle w:val="Emphasis"/>
          <w:i w:val="0"/>
          <w:color w:val="000000" w:themeColor="text1"/>
        </w:rPr>
        <w:t xml:space="preserve">Jack and Robert </w:t>
      </w:r>
      <w:r w:rsidR="00712A1D" w:rsidRPr="007020AB">
        <w:rPr>
          <w:color w:val="000000" w:themeColor="text1"/>
        </w:rPr>
        <w:t xml:space="preserve">1965; </w:t>
      </w:r>
      <w:r w:rsidR="00712A1D" w:rsidRPr="007020AB">
        <w:rPr>
          <w:rFonts w:eastAsiaTheme="minorHAnsi"/>
          <w:bCs/>
          <w:color w:val="000000" w:themeColor="text1"/>
          <w:lang w:val="en-GB"/>
        </w:rPr>
        <w:t xml:space="preserve">Orhue </w:t>
      </w:r>
      <w:r w:rsidR="00712A1D" w:rsidRPr="007020AB">
        <w:rPr>
          <w:rFonts w:eastAsiaTheme="minorHAnsi"/>
          <w:bCs/>
          <w:i/>
          <w:color w:val="000000" w:themeColor="text1"/>
          <w:lang w:val="en-GB"/>
        </w:rPr>
        <w:t>et al</w:t>
      </w:r>
      <w:r w:rsidR="00712A1D" w:rsidRPr="007020AB">
        <w:rPr>
          <w:rFonts w:eastAsiaTheme="minorHAnsi"/>
          <w:bCs/>
          <w:color w:val="000000" w:themeColor="text1"/>
          <w:lang w:val="en-GB"/>
        </w:rPr>
        <w:t>., 2005)</w:t>
      </w:r>
      <w:r w:rsidRPr="007020AB">
        <w:rPr>
          <w:rFonts w:eastAsiaTheme="minorHAnsi"/>
          <w:bCs/>
          <w:lang w:val="en-GB"/>
        </w:rPr>
        <w:t xml:space="preserve">, folic acids were not administered. </w:t>
      </w:r>
      <w:r w:rsidRPr="007020AB">
        <w:rPr>
          <w:color w:val="000000" w:themeColor="text1"/>
          <w:lang w:val="en-GB" w:eastAsia="en-GB"/>
        </w:rPr>
        <w:t>We therefore rationalise from our observation that parasitemia could induce increased lymphocytes circulation and the activities of these cells by way of phagocytosis may cause reductions in parasite density and consequently a reduction in globulin secretion by lymphocytes. This may have translated to the observed decrease in total serum protein level.</w:t>
      </w:r>
    </w:p>
    <w:p w:rsidR="004A6CAE" w:rsidRPr="007020AB" w:rsidRDefault="004A6CAE" w:rsidP="00B54176">
      <w:pPr>
        <w:autoSpaceDE w:val="0"/>
        <w:autoSpaceDN w:val="0"/>
        <w:adjustRightInd w:val="0"/>
        <w:spacing w:line="480" w:lineRule="auto"/>
        <w:jc w:val="both"/>
        <w:rPr>
          <w:i/>
        </w:rPr>
      </w:pPr>
      <w:r w:rsidRPr="007020AB">
        <w:rPr>
          <w:color w:val="000000" w:themeColor="text1"/>
          <w:lang w:val="en-GB" w:eastAsia="en-GB"/>
        </w:rPr>
        <w:t xml:space="preserve">The increased activity in plasma SOD and CAT may be due to the metabolism of phagocytosized red cells by lymphocytes, through the cytochrome P450 pathway mediated by the cytochrome P450 reductase. This enzyme is known to produce superoxide anion that superoxide dismutase converts to hydrogen peroxide, that is utilized by catalase </w:t>
      </w:r>
      <w:r w:rsidR="00B54176" w:rsidRPr="007020AB">
        <w:rPr>
          <w:color w:val="000000" w:themeColor="text1"/>
          <w:lang w:val="en-GB" w:eastAsia="en-GB"/>
        </w:rPr>
        <w:t xml:space="preserve">(Richard and </w:t>
      </w:r>
      <w:r w:rsidR="000A5400" w:rsidRPr="007020AB">
        <w:rPr>
          <w:color w:val="000000" w:themeColor="text1"/>
          <w:lang w:val="en-GB" w:eastAsia="en-GB"/>
        </w:rPr>
        <w:t>Bettie 1997</w:t>
      </w:r>
      <w:r w:rsidR="00B54176" w:rsidRPr="007020AB">
        <w:rPr>
          <w:color w:val="000000" w:themeColor="text1"/>
          <w:lang w:val="en-GB" w:eastAsia="en-GB"/>
        </w:rPr>
        <w:t xml:space="preserve">; </w:t>
      </w:r>
      <w:r w:rsidR="00B54176" w:rsidRPr="007020AB">
        <w:rPr>
          <w:rStyle w:val="Emphasis"/>
          <w:i w:val="0"/>
        </w:rPr>
        <w:t xml:space="preserve">Jeremy </w:t>
      </w:r>
      <w:r w:rsidR="00B54176" w:rsidRPr="007020AB">
        <w:rPr>
          <w:rStyle w:val="Emphasis"/>
        </w:rPr>
        <w:t>et al</w:t>
      </w:r>
      <w:r w:rsidR="00B54176" w:rsidRPr="007020AB">
        <w:rPr>
          <w:rStyle w:val="Emphasis"/>
          <w:i w:val="0"/>
        </w:rPr>
        <w:t>., 2002</w:t>
      </w:r>
      <w:r w:rsidR="00B54176" w:rsidRPr="007020AB">
        <w:rPr>
          <w:color w:val="000000" w:themeColor="text1"/>
          <w:lang w:val="en-GB" w:eastAsia="en-GB"/>
        </w:rPr>
        <w:t>)</w:t>
      </w:r>
      <w:r w:rsidRPr="007020AB">
        <w:rPr>
          <w:color w:val="000000" w:themeColor="text1"/>
          <w:lang w:val="en-GB" w:eastAsia="en-GB"/>
        </w:rPr>
        <w:t>.</w:t>
      </w:r>
    </w:p>
    <w:p w:rsidR="004A6CAE" w:rsidRPr="007020AB" w:rsidRDefault="004A6CAE" w:rsidP="004A6CAE">
      <w:pPr>
        <w:autoSpaceDE w:val="0"/>
        <w:autoSpaceDN w:val="0"/>
        <w:adjustRightInd w:val="0"/>
        <w:spacing w:line="480" w:lineRule="auto"/>
        <w:jc w:val="both"/>
        <w:rPr>
          <w:color w:val="272525"/>
          <w:lang w:val="en-GB" w:eastAsia="en-GB"/>
        </w:rPr>
      </w:pPr>
      <w:r w:rsidRPr="007020AB">
        <w:rPr>
          <w:color w:val="272525"/>
          <w:lang w:val="en-GB" w:eastAsia="en-GB"/>
        </w:rPr>
        <w:t xml:space="preserve">Reduction of oxidative stress on parasitized mice treated with folic acid as observed is unique, in that folic acid is not known to act with the membrane bound α-tocopherol to scavenge free radicals within the membrane compartment of the cell. It does appear that this may be the very mechanism by which folic acid interact with the lipid bilayer to cause a reduction in membrane lipid peroxidation as compared to PnT mice. The basis for </w:t>
      </w:r>
      <w:r w:rsidRPr="007020AB">
        <w:rPr>
          <w:color w:val="272525"/>
          <w:lang w:val="en-GB" w:eastAsia="en-GB"/>
        </w:rPr>
        <w:lastRenderedPageBreak/>
        <w:t>this line of thought derived from the fact that folic acid is capable of sequential double reduction by folate reductase to H</w:t>
      </w:r>
      <w:r w:rsidRPr="007020AB">
        <w:rPr>
          <w:color w:val="272525"/>
          <w:vertAlign w:val="subscript"/>
          <w:lang w:val="en-GB" w:eastAsia="en-GB"/>
        </w:rPr>
        <w:t>2</w:t>
      </w:r>
      <w:r w:rsidRPr="007020AB">
        <w:rPr>
          <w:color w:val="272525"/>
          <w:lang w:val="en-GB" w:eastAsia="en-GB"/>
        </w:rPr>
        <w:t>F and H</w:t>
      </w:r>
      <w:r w:rsidRPr="007020AB">
        <w:rPr>
          <w:color w:val="272525"/>
          <w:vertAlign w:val="subscript"/>
          <w:lang w:val="en-GB" w:eastAsia="en-GB"/>
        </w:rPr>
        <w:t>4</w:t>
      </w:r>
      <w:r w:rsidRPr="007020AB">
        <w:rPr>
          <w:color w:val="272525"/>
          <w:lang w:val="en-GB" w:eastAsia="en-GB"/>
        </w:rPr>
        <w:t>F respectively making the molecule become rich in reducing equivalents that may have been used to trap free radicals that would have otherwise be hazardous to the membrane lipid.</w:t>
      </w:r>
    </w:p>
    <w:p w:rsidR="004A6CAE" w:rsidRPr="007020AB" w:rsidRDefault="004A6CAE" w:rsidP="004A6CAE">
      <w:pPr>
        <w:autoSpaceDE w:val="0"/>
        <w:autoSpaceDN w:val="0"/>
        <w:adjustRightInd w:val="0"/>
        <w:spacing w:line="480" w:lineRule="auto"/>
        <w:jc w:val="both"/>
        <w:rPr>
          <w:color w:val="272525"/>
          <w:lang w:val="en-GB" w:eastAsia="en-GB"/>
        </w:rPr>
      </w:pPr>
      <w:r w:rsidRPr="007020AB">
        <w:rPr>
          <w:color w:val="272525"/>
          <w:lang w:eastAsia="en-GB"/>
        </w:rPr>
        <w:t>The functionality of folic acid in liver and kidney of parasitized mice are seen to effectively control oxidative stress in these organs. The liver SOD and CAT activity respectively reduced compared to PnT and control groups. These reductions in primary antioxidant enzymes may be responsible for the observed non significant (p&gt;0.05) increases in MDA concentration in parasitized mice liver tissue. Folic acid treatment appears to be even more effective in kidney tissue as it significantly (p&lt;0.05) reduced oxidative stress compared to PnT. This observation draws attention to the possible interaction between kidney cell membrane α-tocopheryl radical and folic acid that may have supplied sufficient reducing equivalent to regenerate membrane α-tocopherol to maintain oxidative stress level to that of control animals.</w:t>
      </w:r>
    </w:p>
    <w:p w:rsidR="007020AB" w:rsidRDefault="007020AB">
      <w:pPr>
        <w:spacing w:after="200" w:line="276" w:lineRule="auto"/>
        <w:rPr>
          <w:b/>
          <w:u w:val="single"/>
        </w:rPr>
      </w:pPr>
      <w:r>
        <w:rPr>
          <w:b/>
          <w:u w:val="single"/>
        </w:rPr>
        <w:br w:type="page"/>
      </w:r>
    </w:p>
    <w:p w:rsidR="004A6CAE" w:rsidRPr="007020AB" w:rsidRDefault="004A6CAE" w:rsidP="004A6CAE">
      <w:pPr>
        <w:spacing w:line="360" w:lineRule="auto"/>
        <w:rPr>
          <w:b/>
          <w:u w:val="single"/>
        </w:rPr>
      </w:pPr>
      <w:r w:rsidRPr="007020AB">
        <w:rPr>
          <w:b/>
          <w:u w:val="single"/>
        </w:rPr>
        <w:lastRenderedPageBreak/>
        <w:t>References</w:t>
      </w:r>
    </w:p>
    <w:p w:rsidR="00F9229C" w:rsidRPr="007020AB" w:rsidRDefault="00F9229C" w:rsidP="002B403A">
      <w:pPr>
        <w:spacing w:after="200"/>
        <w:ind w:left="360"/>
        <w:jc w:val="both"/>
        <w:rPr>
          <w:color w:val="000000" w:themeColor="text1"/>
        </w:rPr>
      </w:pPr>
      <w:r w:rsidRPr="007020AB">
        <w:rPr>
          <w:color w:val="000000" w:themeColor="text1"/>
        </w:rPr>
        <w:t>Atamma, H. and Ginsburg, H. (1997). The malaria parasite supplies glutathione to its host cell-investigation of glutathione transport and metabolism in human erythrocytes infected with Plasmodium falciparum. Mol. Biochem. Parasitol. 61:231-242.</w:t>
      </w:r>
    </w:p>
    <w:p w:rsidR="00F9229C" w:rsidRPr="007020AB" w:rsidRDefault="00F9229C" w:rsidP="002B403A">
      <w:pPr>
        <w:autoSpaceDE w:val="0"/>
        <w:autoSpaceDN w:val="0"/>
        <w:adjustRightInd w:val="0"/>
        <w:ind w:left="360"/>
        <w:jc w:val="both"/>
        <w:rPr>
          <w:rFonts w:eastAsiaTheme="minorHAnsi"/>
          <w:color w:val="000000" w:themeColor="text1"/>
          <w:lang w:val="en-GB"/>
        </w:rPr>
      </w:pPr>
      <w:r w:rsidRPr="007020AB">
        <w:rPr>
          <w:rFonts w:eastAsiaTheme="minorHAnsi"/>
          <w:color w:val="000000" w:themeColor="text1"/>
          <w:lang w:val="en-GB"/>
        </w:rPr>
        <w:t xml:space="preserve">Behrman, H.R,  Kodaman, H.R, Preston,  S.L and Goa, S. (2001). Oxidative stress and the ovary. </w:t>
      </w:r>
      <w:r w:rsidRPr="007020AB">
        <w:rPr>
          <w:rFonts w:eastAsiaTheme="minorHAnsi"/>
          <w:iCs/>
          <w:color w:val="000000" w:themeColor="text1"/>
          <w:lang w:val="en-GB"/>
        </w:rPr>
        <w:t xml:space="preserve">Journal for the Society of Gynaecological Investigation </w:t>
      </w:r>
      <w:r w:rsidRPr="007020AB">
        <w:rPr>
          <w:rFonts w:eastAsiaTheme="minorHAnsi"/>
          <w:bCs/>
          <w:color w:val="000000" w:themeColor="text1"/>
          <w:lang w:val="en-GB"/>
        </w:rPr>
        <w:t xml:space="preserve">8 </w:t>
      </w:r>
      <w:r w:rsidRPr="007020AB">
        <w:rPr>
          <w:rFonts w:eastAsiaTheme="minorHAnsi"/>
          <w:color w:val="000000" w:themeColor="text1"/>
          <w:lang w:val="en-GB"/>
        </w:rPr>
        <w:t>S40-S42.</w:t>
      </w:r>
    </w:p>
    <w:p w:rsidR="00F9229C" w:rsidRPr="007020AB" w:rsidRDefault="00F9229C" w:rsidP="002B403A">
      <w:pPr>
        <w:spacing w:after="200"/>
        <w:ind w:left="360"/>
        <w:jc w:val="both"/>
        <w:rPr>
          <w:color w:val="000000" w:themeColor="text1"/>
        </w:rPr>
      </w:pPr>
    </w:p>
    <w:p w:rsidR="00F9229C" w:rsidRPr="007020AB" w:rsidRDefault="00F9229C" w:rsidP="002B403A">
      <w:pPr>
        <w:spacing w:after="200"/>
        <w:ind w:left="360"/>
        <w:jc w:val="both"/>
        <w:rPr>
          <w:color w:val="000000" w:themeColor="text1"/>
        </w:rPr>
      </w:pPr>
      <w:r w:rsidRPr="007020AB">
        <w:rPr>
          <w:color w:val="000000" w:themeColor="text1"/>
        </w:rPr>
        <w:t>Deslauriers, R.; Butler, K.; and Smith, I.C. (1987). Oxidative stress in Malaria as probed by stable nitroxide radicals in erythrocytes infected with Plasmodium berghei: The effects of Primaquine and chloroquine. Biochim, Biophys. Acta. 931: 267-275.</w:t>
      </w:r>
    </w:p>
    <w:p w:rsidR="00F9229C" w:rsidRPr="007020AB" w:rsidRDefault="00F9229C" w:rsidP="002B403A">
      <w:pPr>
        <w:autoSpaceDE w:val="0"/>
        <w:autoSpaceDN w:val="0"/>
        <w:adjustRightInd w:val="0"/>
        <w:ind w:left="360"/>
        <w:jc w:val="both"/>
        <w:rPr>
          <w:color w:val="000000" w:themeColor="text1"/>
          <w:lang w:val="en-GB" w:eastAsia="en-GB"/>
        </w:rPr>
      </w:pPr>
      <w:r w:rsidRPr="007020AB">
        <w:rPr>
          <w:color w:val="000000" w:themeColor="text1"/>
          <w:lang w:val="en-GB" w:eastAsia="en-GB"/>
        </w:rPr>
        <w:t xml:space="preserve">Fleming A.F, (1981). Haematological manifestations of malaria and other parasitic diseases. </w:t>
      </w:r>
      <w:r w:rsidRPr="007020AB">
        <w:rPr>
          <w:iCs/>
          <w:color w:val="000000" w:themeColor="text1"/>
          <w:lang w:val="en-GB" w:eastAsia="en-GB"/>
        </w:rPr>
        <w:t xml:space="preserve">Clin Haematol 10: </w:t>
      </w:r>
      <w:r w:rsidRPr="007020AB">
        <w:rPr>
          <w:color w:val="000000" w:themeColor="text1"/>
          <w:lang w:val="en-GB" w:eastAsia="en-GB"/>
        </w:rPr>
        <w:t>983–1011.</w:t>
      </w:r>
    </w:p>
    <w:p w:rsidR="00F9229C" w:rsidRPr="007020AB" w:rsidRDefault="00F9229C" w:rsidP="002B403A">
      <w:pPr>
        <w:autoSpaceDE w:val="0"/>
        <w:autoSpaceDN w:val="0"/>
        <w:adjustRightInd w:val="0"/>
        <w:ind w:left="360"/>
        <w:jc w:val="both"/>
        <w:rPr>
          <w:bCs/>
          <w:color w:val="000000" w:themeColor="text1"/>
          <w:lang w:val="en-GB" w:eastAsia="en-GB"/>
        </w:rPr>
      </w:pPr>
    </w:p>
    <w:p w:rsidR="00F9229C" w:rsidRPr="007020AB" w:rsidRDefault="00F9229C" w:rsidP="002B403A">
      <w:pPr>
        <w:autoSpaceDE w:val="0"/>
        <w:autoSpaceDN w:val="0"/>
        <w:adjustRightInd w:val="0"/>
        <w:ind w:left="360"/>
        <w:jc w:val="both"/>
        <w:rPr>
          <w:bCs/>
          <w:iCs/>
          <w:color w:val="000000" w:themeColor="text1"/>
          <w:lang w:val="en-GB" w:eastAsia="en-GB"/>
        </w:rPr>
      </w:pPr>
      <w:r w:rsidRPr="007020AB">
        <w:rPr>
          <w:bCs/>
          <w:color w:val="000000" w:themeColor="text1"/>
          <w:lang w:val="en-GB" w:eastAsia="en-GB"/>
        </w:rPr>
        <w:t>Gora, D; Sandhya, M; Shiv G, and Praveen, S. (2006).</w:t>
      </w:r>
      <w:r w:rsidRPr="007020AB">
        <w:rPr>
          <w:b/>
          <w:bCs/>
          <w:color w:val="000000" w:themeColor="text1"/>
          <w:lang w:val="en-GB" w:eastAsia="en-GB"/>
        </w:rPr>
        <w:t xml:space="preserve"> </w:t>
      </w:r>
      <w:r w:rsidRPr="007020AB">
        <w:rPr>
          <w:bCs/>
          <w:color w:val="000000" w:themeColor="text1"/>
          <w:lang w:val="en-GB" w:eastAsia="en-GB"/>
        </w:rPr>
        <w:t xml:space="preserve">Oxidative Stress, </w:t>
      </w:r>
      <w:r w:rsidRPr="007020AB">
        <w:rPr>
          <w:color w:val="000000" w:themeColor="text1"/>
          <w:lang w:val="en-GB" w:eastAsia="en-GB"/>
        </w:rPr>
        <w:t>α</w:t>
      </w:r>
      <w:r w:rsidRPr="007020AB">
        <w:rPr>
          <w:bCs/>
          <w:color w:val="000000" w:themeColor="text1"/>
          <w:lang w:val="en-GB" w:eastAsia="en-GB"/>
        </w:rPr>
        <w:t xml:space="preserve">-Tocopherol, Ascorbic Acid and Reduced Glutathione Status in Schizophrenics. </w:t>
      </w:r>
      <w:r w:rsidRPr="007020AB">
        <w:rPr>
          <w:bCs/>
          <w:iCs/>
          <w:color w:val="000000" w:themeColor="text1"/>
          <w:lang w:val="en-GB" w:eastAsia="en-GB"/>
        </w:rPr>
        <w:t>Indian Journal of Clinical Biochemistry. 21 (2) 34-38.</w:t>
      </w:r>
    </w:p>
    <w:p w:rsidR="00F9229C" w:rsidRPr="007020AB" w:rsidRDefault="00F9229C" w:rsidP="002B403A">
      <w:pPr>
        <w:ind w:left="360"/>
        <w:jc w:val="both"/>
        <w:rPr>
          <w:color w:val="000000" w:themeColor="text1"/>
        </w:rPr>
      </w:pPr>
    </w:p>
    <w:p w:rsidR="00F9229C" w:rsidRPr="007020AB" w:rsidRDefault="00F9229C" w:rsidP="002B403A">
      <w:pPr>
        <w:ind w:left="360"/>
        <w:jc w:val="both"/>
        <w:rPr>
          <w:color w:val="000000" w:themeColor="text1"/>
        </w:rPr>
      </w:pPr>
      <w:r w:rsidRPr="007020AB">
        <w:rPr>
          <w:color w:val="000000" w:themeColor="text1"/>
        </w:rPr>
        <w:t>Har-El, R.; Marva, E; Chevion, M.; and Golenser, J. (1993). Is hemin responsible for the susceptibility of plasmodia to oxidative stress?. Free Radic. Res. 17: 249- 262.</w:t>
      </w:r>
    </w:p>
    <w:p w:rsidR="00F9229C" w:rsidRPr="007020AB" w:rsidRDefault="00F9229C" w:rsidP="002B403A">
      <w:pPr>
        <w:pStyle w:val="BodyText"/>
        <w:ind w:left="360"/>
        <w:jc w:val="both"/>
        <w:rPr>
          <w:color w:val="000000" w:themeColor="text1"/>
        </w:rPr>
      </w:pPr>
    </w:p>
    <w:p w:rsidR="00F9229C" w:rsidRPr="007020AB" w:rsidRDefault="00F9229C" w:rsidP="002B403A">
      <w:pPr>
        <w:pStyle w:val="BodyText"/>
        <w:ind w:left="360"/>
        <w:jc w:val="both"/>
        <w:rPr>
          <w:color w:val="000000" w:themeColor="text1"/>
        </w:rPr>
      </w:pPr>
      <w:r w:rsidRPr="007020AB">
        <w:rPr>
          <w:color w:val="000000" w:themeColor="text1"/>
        </w:rPr>
        <w:t>Hunt, N.H. and Stocker, R. (1990).</w:t>
      </w:r>
      <w:r w:rsidRPr="007020AB">
        <w:rPr>
          <w:b/>
          <w:color w:val="000000" w:themeColor="text1"/>
        </w:rPr>
        <w:t xml:space="preserve"> </w:t>
      </w:r>
      <w:r w:rsidRPr="007020AB">
        <w:rPr>
          <w:color w:val="000000" w:themeColor="text1"/>
        </w:rPr>
        <w:t>Oxidative stress and the redox status of malaria infected erythrocytes. Blood Cells. 16: 499 – 526.</w:t>
      </w:r>
    </w:p>
    <w:p w:rsidR="00F9229C" w:rsidRPr="007020AB" w:rsidRDefault="00F9229C" w:rsidP="002B403A">
      <w:pPr>
        <w:ind w:left="360"/>
        <w:jc w:val="both"/>
        <w:rPr>
          <w:color w:val="000000" w:themeColor="text1"/>
        </w:rPr>
      </w:pPr>
      <w:r w:rsidRPr="007020AB">
        <w:rPr>
          <w:color w:val="000000" w:themeColor="text1"/>
        </w:rPr>
        <w:t>Iyawe, H.O.T and Onigbinde, A.O (2006). Effect of chloroquine and ascorbic acid interaction on the oxidative stress of Plasmodium berghei infected mice. Int. J. Pharmacol. 2 (1): 5-8.</w:t>
      </w:r>
    </w:p>
    <w:p w:rsidR="00F9229C" w:rsidRPr="007020AB" w:rsidRDefault="00F9229C" w:rsidP="002B403A">
      <w:pPr>
        <w:ind w:left="360"/>
        <w:jc w:val="both"/>
        <w:rPr>
          <w:color w:val="000000" w:themeColor="text1"/>
        </w:rPr>
      </w:pPr>
    </w:p>
    <w:p w:rsidR="00F9229C" w:rsidRPr="007020AB" w:rsidRDefault="00F9229C" w:rsidP="002B403A">
      <w:pPr>
        <w:ind w:left="360"/>
        <w:jc w:val="both"/>
        <w:rPr>
          <w:color w:val="000000" w:themeColor="text1"/>
        </w:rPr>
      </w:pPr>
      <w:r w:rsidRPr="007020AB">
        <w:rPr>
          <w:color w:val="000000" w:themeColor="text1"/>
        </w:rPr>
        <w:t>Iyawe, H.O.T and Onigbinde, A.O. (2009). Impact of Plasmodium berghei and chloroquine on haematological and antioxidants indices in mice. Asian J. Biochem., 4 (1): 30-35.</w:t>
      </w:r>
    </w:p>
    <w:p w:rsidR="00F9229C" w:rsidRPr="007020AB" w:rsidRDefault="00F9229C" w:rsidP="002B403A">
      <w:pPr>
        <w:ind w:left="360"/>
        <w:jc w:val="both"/>
        <w:rPr>
          <w:rStyle w:val="Emphasis"/>
          <w:i w:val="0"/>
          <w:color w:val="000000" w:themeColor="text1"/>
        </w:rPr>
      </w:pPr>
    </w:p>
    <w:p w:rsidR="00F9229C" w:rsidRPr="007020AB" w:rsidRDefault="00F9229C" w:rsidP="002B403A">
      <w:pPr>
        <w:ind w:left="360"/>
        <w:jc w:val="both"/>
        <w:rPr>
          <w:color w:val="000000" w:themeColor="text1"/>
        </w:rPr>
      </w:pPr>
      <w:r w:rsidRPr="007020AB">
        <w:rPr>
          <w:rStyle w:val="Emphasis"/>
          <w:i w:val="0"/>
          <w:color w:val="000000" w:themeColor="text1"/>
        </w:rPr>
        <w:t>Jack S. R. and Robert H.</w:t>
      </w:r>
      <w:r w:rsidRPr="007020AB">
        <w:rPr>
          <w:color w:val="000000" w:themeColor="text1"/>
        </w:rPr>
        <w:t xml:space="preserve"> (1965). Changes in Mouse Serum Proteins during Acute and Chronic Infection with an Intracellular Parasite (</w:t>
      </w:r>
      <w:r w:rsidRPr="007020AB">
        <w:rPr>
          <w:iCs/>
          <w:color w:val="000000" w:themeColor="text1"/>
        </w:rPr>
        <w:t>Toxoplasma Gondii</w:t>
      </w:r>
      <w:r w:rsidRPr="007020AB">
        <w:rPr>
          <w:color w:val="000000" w:themeColor="text1"/>
        </w:rPr>
        <w:t>)</w:t>
      </w:r>
      <w:bookmarkStart w:id="14" w:name="RFN1"/>
      <w:bookmarkEnd w:id="14"/>
      <w:r w:rsidRPr="007020AB">
        <w:rPr>
          <w:color w:val="000000" w:themeColor="text1"/>
        </w:rPr>
        <w:t>.</w:t>
      </w:r>
      <w:r w:rsidRPr="007020AB">
        <w:rPr>
          <w:iCs/>
          <w:color w:val="000000" w:themeColor="text1"/>
        </w:rPr>
        <w:t xml:space="preserve"> </w:t>
      </w:r>
      <w:r w:rsidRPr="007020AB">
        <w:rPr>
          <w:rStyle w:val="Emphasis"/>
          <w:i w:val="0"/>
          <w:color w:val="000000" w:themeColor="text1"/>
        </w:rPr>
        <w:t>The Journ. of Immunol.</w:t>
      </w:r>
      <w:r w:rsidRPr="007020AB">
        <w:rPr>
          <w:color w:val="000000" w:themeColor="text1"/>
        </w:rPr>
        <w:t xml:space="preserve"> 95: 1023-1033.</w:t>
      </w:r>
    </w:p>
    <w:p w:rsidR="00F9229C" w:rsidRPr="007020AB" w:rsidRDefault="00F9229C" w:rsidP="002B403A">
      <w:pPr>
        <w:autoSpaceDE w:val="0"/>
        <w:autoSpaceDN w:val="0"/>
        <w:adjustRightInd w:val="0"/>
        <w:ind w:left="360"/>
        <w:jc w:val="both"/>
        <w:rPr>
          <w:rStyle w:val="Emphasis"/>
          <w:i w:val="0"/>
        </w:rPr>
      </w:pPr>
    </w:p>
    <w:p w:rsidR="00F9229C" w:rsidRPr="007020AB" w:rsidRDefault="00F9229C" w:rsidP="002B403A">
      <w:pPr>
        <w:autoSpaceDE w:val="0"/>
        <w:autoSpaceDN w:val="0"/>
        <w:adjustRightInd w:val="0"/>
        <w:ind w:left="360"/>
        <w:jc w:val="both"/>
        <w:rPr>
          <w:rStyle w:val="Emphasis"/>
          <w:i w:val="0"/>
        </w:rPr>
      </w:pPr>
      <w:r w:rsidRPr="007020AB">
        <w:rPr>
          <w:rStyle w:val="Emphasis"/>
          <w:i w:val="0"/>
        </w:rPr>
        <w:t>Jeremy, B.M.; Tymoczko, J.L. and Stryer, L. (2002). Oxidative phosphorylation. In: Biochemistry (5</w:t>
      </w:r>
      <w:r w:rsidRPr="007020AB">
        <w:rPr>
          <w:rStyle w:val="Emphasis"/>
          <w:i w:val="0"/>
          <w:vertAlign w:val="superscript"/>
        </w:rPr>
        <w:t>th</w:t>
      </w:r>
      <w:r w:rsidRPr="007020AB">
        <w:rPr>
          <w:rStyle w:val="Emphasis"/>
          <w:i w:val="0"/>
        </w:rPr>
        <w:t xml:space="preserve"> edition). W.H. Freeman and Company. New York. Pp. 491-506.</w:t>
      </w:r>
    </w:p>
    <w:p w:rsidR="00F9229C" w:rsidRPr="007020AB" w:rsidRDefault="00F9229C" w:rsidP="002B403A">
      <w:pPr>
        <w:ind w:left="360"/>
        <w:jc w:val="both"/>
        <w:rPr>
          <w:color w:val="000000" w:themeColor="text1"/>
        </w:rPr>
      </w:pPr>
    </w:p>
    <w:p w:rsidR="00F9229C" w:rsidRPr="007020AB" w:rsidRDefault="00F9229C" w:rsidP="002B403A">
      <w:pPr>
        <w:ind w:left="360"/>
        <w:jc w:val="both"/>
        <w:rPr>
          <w:color w:val="000000" w:themeColor="text1"/>
        </w:rPr>
      </w:pPr>
      <w:r w:rsidRPr="007020AB">
        <w:rPr>
          <w:color w:val="000000" w:themeColor="text1"/>
        </w:rPr>
        <w:t>Morrison, H.I., Schaubel, D., Desmeules, M., Wigle, D.T., (1996). Serum folate and risk of coronary heart disease. JAMA. 275: 1893-1896.</w:t>
      </w:r>
    </w:p>
    <w:p w:rsidR="00F9229C" w:rsidRPr="007020AB" w:rsidRDefault="00F9229C" w:rsidP="002B403A">
      <w:pPr>
        <w:autoSpaceDE w:val="0"/>
        <w:autoSpaceDN w:val="0"/>
        <w:adjustRightInd w:val="0"/>
        <w:ind w:left="360"/>
        <w:jc w:val="both"/>
        <w:rPr>
          <w:color w:val="000000" w:themeColor="text1"/>
          <w:lang w:val="en-GB" w:eastAsia="en-GB"/>
        </w:rPr>
      </w:pPr>
    </w:p>
    <w:p w:rsidR="00F9229C" w:rsidRPr="007020AB" w:rsidRDefault="00F9229C" w:rsidP="002B403A">
      <w:pPr>
        <w:autoSpaceDE w:val="0"/>
        <w:autoSpaceDN w:val="0"/>
        <w:adjustRightInd w:val="0"/>
        <w:ind w:left="360"/>
        <w:jc w:val="both"/>
        <w:rPr>
          <w:color w:val="000000" w:themeColor="text1"/>
          <w:lang w:val="en-GB" w:eastAsia="en-GB"/>
        </w:rPr>
      </w:pPr>
      <w:r w:rsidRPr="007020AB">
        <w:rPr>
          <w:color w:val="000000" w:themeColor="text1"/>
          <w:lang w:val="en-GB" w:eastAsia="en-GB"/>
        </w:rPr>
        <w:t>Mulenga, M; Malunga, P ; Bennett, S ; Thuma, P ; Shulman, C;Fielding, K; and Greenwood, B. (2006). Folic acid treatment of Zambian children with moderate to severe malaria anaemia.</w:t>
      </w:r>
      <w:r w:rsidRPr="007020AB">
        <w:rPr>
          <w:iCs/>
          <w:color w:val="000000" w:themeColor="text1"/>
          <w:lang w:val="en-GB" w:eastAsia="en-GB"/>
        </w:rPr>
        <w:t xml:space="preserve"> Am. J. Trop. Med. Hyg., </w:t>
      </w:r>
      <w:r w:rsidRPr="007020AB">
        <w:rPr>
          <w:color w:val="000000" w:themeColor="text1"/>
          <w:lang w:val="en-GB" w:eastAsia="en-GB"/>
        </w:rPr>
        <w:t>74(6): 986–990.</w:t>
      </w:r>
    </w:p>
    <w:p w:rsidR="00F9229C" w:rsidRPr="007020AB" w:rsidRDefault="00F9229C" w:rsidP="002B403A">
      <w:pPr>
        <w:ind w:left="360"/>
        <w:jc w:val="both"/>
        <w:rPr>
          <w:color w:val="000000" w:themeColor="text1"/>
        </w:rPr>
      </w:pPr>
    </w:p>
    <w:p w:rsidR="00F9229C" w:rsidRPr="007020AB" w:rsidRDefault="00F9229C" w:rsidP="002B403A">
      <w:pPr>
        <w:ind w:left="360"/>
        <w:jc w:val="both"/>
        <w:rPr>
          <w:color w:val="000000" w:themeColor="text1"/>
        </w:rPr>
      </w:pPr>
      <w:r w:rsidRPr="007020AB">
        <w:rPr>
          <w:color w:val="000000" w:themeColor="text1"/>
        </w:rPr>
        <w:t>Nosten, F. and Brasseur, P (2000). Combination therapy for malaria: The way forward? Drug. 62: 1315-1329.</w:t>
      </w:r>
    </w:p>
    <w:p w:rsidR="00F9229C" w:rsidRPr="007020AB" w:rsidRDefault="00F9229C" w:rsidP="002B403A">
      <w:pPr>
        <w:ind w:left="360"/>
        <w:jc w:val="both"/>
        <w:rPr>
          <w:color w:val="000000" w:themeColor="text1"/>
        </w:rPr>
      </w:pPr>
      <w:r w:rsidRPr="007020AB">
        <w:rPr>
          <w:color w:val="000000" w:themeColor="text1"/>
        </w:rPr>
        <w:t>Olanrewaju,W.I. and Johnson, A.W.B.R. (2001). Chloroquine-resistance Plasmodium falciparum malaria in Ilorin, Nigeria: Prevalence and risk factors for treatment failure. Afr. J. Med. Sci.,30:165-169.</w:t>
      </w:r>
    </w:p>
    <w:p w:rsidR="00F9229C" w:rsidRPr="007020AB" w:rsidRDefault="00F9229C" w:rsidP="002B403A">
      <w:pPr>
        <w:autoSpaceDE w:val="0"/>
        <w:autoSpaceDN w:val="0"/>
        <w:adjustRightInd w:val="0"/>
        <w:ind w:left="360"/>
        <w:jc w:val="both"/>
        <w:rPr>
          <w:rFonts w:eastAsiaTheme="minorHAnsi"/>
          <w:bCs/>
          <w:color w:val="000000" w:themeColor="text1"/>
          <w:lang w:val="en-GB"/>
        </w:rPr>
      </w:pPr>
    </w:p>
    <w:p w:rsidR="00F9229C" w:rsidRPr="007020AB" w:rsidRDefault="00F9229C" w:rsidP="002B403A">
      <w:pPr>
        <w:autoSpaceDE w:val="0"/>
        <w:autoSpaceDN w:val="0"/>
        <w:adjustRightInd w:val="0"/>
        <w:ind w:left="360"/>
        <w:jc w:val="both"/>
        <w:rPr>
          <w:rFonts w:eastAsiaTheme="minorHAnsi"/>
          <w:color w:val="000000" w:themeColor="text1"/>
          <w:lang w:val="en-GB"/>
        </w:rPr>
      </w:pPr>
      <w:r w:rsidRPr="007020AB">
        <w:rPr>
          <w:rFonts w:eastAsiaTheme="minorHAnsi"/>
          <w:bCs/>
          <w:color w:val="000000" w:themeColor="text1"/>
          <w:lang w:val="en-GB"/>
        </w:rPr>
        <w:t xml:space="preserve">Orhue, N. E. J., Nwanze, E. A. C. and Okafor, A. (2005). Serum total protein, albumin and globulin levels in </w:t>
      </w:r>
      <w:r w:rsidRPr="007020AB">
        <w:rPr>
          <w:rFonts w:eastAsiaTheme="minorHAnsi"/>
          <w:bCs/>
          <w:iCs/>
          <w:color w:val="000000" w:themeColor="text1"/>
          <w:lang w:val="en-GB"/>
        </w:rPr>
        <w:t>Trypanosoma brucei</w:t>
      </w:r>
      <w:r w:rsidRPr="007020AB">
        <w:rPr>
          <w:rFonts w:eastAsiaTheme="minorHAnsi"/>
          <w:bCs/>
          <w:color w:val="000000" w:themeColor="text1"/>
          <w:lang w:val="en-GB"/>
        </w:rPr>
        <w:t xml:space="preserve">-infected rabbits: Effect of orally administered </w:t>
      </w:r>
      <w:r w:rsidRPr="007020AB">
        <w:rPr>
          <w:rFonts w:eastAsiaTheme="minorHAnsi"/>
          <w:bCs/>
          <w:iCs/>
          <w:color w:val="000000" w:themeColor="text1"/>
          <w:lang w:val="en-GB"/>
        </w:rPr>
        <w:t>Scoparia dulcis.</w:t>
      </w:r>
      <w:r w:rsidRPr="007020AB">
        <w:rPr>
          <w:rFonts w:eastAsiaTheme="minorHAnsi"/>
          <w:color w:val="000000" w:themeColor="text1"/>
          <w:lang w:val="en-GB"/>
        </w:rPr>
        <w:t xml:space="preserve"> Afri. J. of Biotechnol. Vol. 4 (10): 1152-1155.</w:t>
      </w:r>
    </w:p>
    <w:p w:rsidR="00F9229C" w:rsidRPr="007020AB" w:rsidRDefault="00F9229C" w:rsidP="002B403A">
      <w:pPr>
        <w:ind w:left="360"/>
        <w:jc w:val="both"/>
        <w:rPr>
          <w:color w:val="000000" w:themeColor="text1"/>
        </w:rPr>
      </w:pPr>
    </w:p>
    <w:p w:rsidR="00F9229C" w:rsidRPr="007020AB" w:rsidRDefault="00F9229C" w:rsidP="002B403A">
      <w:pPr>
        <w:ind w:left="360"/>
        <w:jc w:val="both"/>
        <w:rPr>
          <w:color w:val="000000" w:themeColor="text1"/>
        </w:rPr>
      </w:pPr>
      <w:r w:rsidRPr="007020AB">
        <w:rPr>
          <w:color w:val="000000" w:themeColor="text1"/>
        </w:rPr>
        <w:t>Potter, S.M; Mitchell, A.J; Cowden, W.B; Sanni, L.A; Dinauer,M; De Haan, J.B and Hunt, N.H (2005).</w:t>
      </w:r>
      <w:r w:rsidRPr="007020AB">
        <w:rPr>
          <w:b/>
          <w:color w:val="000000" w:themeColor="text1"/>
        </w:rPr>
        <w:t xml:space="preserve"> </w:t>
      </w:r>
      <w:r w:rsidRPr="007020AB">
        <w:rPr>
          <w:color w:val="000000" w:themeColor="text1"/>
        </w:rPr>
        <w:t>Phagocyte-derived reactive oxygen species do not influence the progression of murine blood-stage malaria infections. Infect. &amp; Immunity. 73 (8): 4941- 4947.</w:t>
      </w:r>
    </w:p>
    <w:p w:rsidR="00F9229C" w:rsidRPr="007020AB" w:rsidRDefault="00F9229C" w:rsidP="002B403A">
      <w:pPr>
        <w:autoSpaceDE w:val="0"/>
        <w:autoSpaceDN w:val="0"/>
        <w:adjustRightInd w:val="0"/>
        <w:ind w:left="360"/>
        <w:jc w:val="both"/>
        <w:rPr>
          <w:color w:val="000000" w:themeColor="text1"/>
          <w:lang w:val="en-GB" w:eastAsia="en-GB"/>
        </w:rPr>
      </w:pPr>
    </w:p>
    <w:p w:rsidR="00E27A2D" w:rsidRDefault="00F9229C" w:rsidP="007020AB">
      <w:pPr>
        <w:autoSpaceDE w:val="0"/>
        <w:autoSpaceDN w:val="0"/>
        <w:adjustRightInd w:val="0"/>
        <w:ind w:left="360"/>
        <w:jc w:val="both"/>
      </w:pPr>
      <w:r w:rsidRPr="007020AB">
        <w:rPr>
          <w:color w:val="000000" w:themeColor="text1"/>
          <w:lang w:val="en-GB" w:eastAsia="en-GB"/>
        </w:rPr>
        <w:t xml:space="preserve">Richard, T.O. and Bettie, S.S.M. (1997). Biotransformations: The Cytochromes P450. In: Textbook of Biochemistry with Clinical Correlations. Thomas M. Devlin (Editor). John Wiley &amp; Sons, Inc. New York. </w:t>
      </w:r>
      <w:r w:rsidRPr="007020AB">
        <w:rPr>
          <w:rStyle w:val="Emphasis"/>
          <w:i w:val="0"/>
          <w:color w:val="000000" w:themeColor="text1"/>
        </w:rPr>
        <w:t>Pp. 981-989.</w:t>
      </w:r>
    </w:p>
    <w:sectPr w:rsidR="00E27A2D" w:rsidSect="009F5E87">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89A" w:rsidRDefault="00F1789A" w:rsidP="00A841F0">
      <w:r>
        <w:separator/>
      </w:r>
    </w:p>
  </w:endnote>
  <w:endnote w:type="continuationSeparator" w:id="1">
    <w:p w:rsidR="00F1789A" w:rsidRDefault="00F1789A" w:rsidP="00A841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9157"/>
      <w:docPartObj>
        <w:docPartGallery w:val="Page Numbers (Bottom of Page)"/>
        <w:docPartUnique/>
      </w:docPartObj>
    </w:sdtPr>
    <w:sdtContent>
      <w:p w:rsidR="009F5E87" w:rsidRDefault="00A841F0">
        <w:pPr>
          <w:pStyle w:val="Footer"/>
          <w:jc w:val="right"/>
        </w:pPr>
        <w:r>
          <w:fldChar w:fldCharType="begin"/>
        </w:r>
        <w:r w:rsidR="00345245">
          <w:instrText xml:space="preserve"> PAGE   \* MERGEFORMAT </w:instrText>
        </w:r>
        <w:r>
          <w:fldChar w:fldCharType="separate"/>
        </w:r>
        <w:r w:rsidR="007020AB">
          <w:rPr>
            <w:noProof/>
          </w:rPr>
          <w:t>1</w:t>
        </w:r>
        <w:r>
          <w:fldChar w:fldCharType="end"/>
        </w:r>
      </w:p>
    </w:sdtContent>
  </w:sdt>
  <w:p w:rsidR="009F5E87" w:rsidRDefault="00F178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89A" w:rsidRDefault="00F1789A" w:rsidP="00A841F0">
      <w:r>
        <w:separator/>
      </w:r>
    </w:p>
  </w:footnote>
  <w:footnote w:type="continuationSeparator" w:id="1">
    <w:p w:rsidR="00F1789A" w:rsidRDefault="00F1789A" w:rsidP="00A84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525D2"/>
    <w:multiLevelType w:val="hybridMultilevel"/>
    <w:tmpl w:val="463CE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4A6CAE"/>
    <w:rsid w:val="000A5400"/>
    <w:rsid w:val="001442D2"/>
    <w:rsid w:val="0015550E"/>
    <w:rsid w:val="00175EDB"/>
    <w:rsid w:val="002507D5"/>
    <w:rsid w:val="002B403A"/>
    <w:rsid w:val="002C66D8"/>
    <w:rsid w:val="00345245"/>
    <w:rsid w:val="004A6CAE"/>
    <w:rsid w:val="00555B4D"/>
    <w:rsid w:val="0067079F"/>
    <w:rsid w:val="006B1C71"/>
    <w:rsid w:val="007020AB"/>
    <w:rsid w:val="00712A1D"/>
    <w:rsid w:val="007709B5"/>
    <w:rsid w:val="00844246"/>
    <w:rsid w:val="009377D3"/>
    <w:rsid w:val="00A841F0"/>
    <w:rsid w:val="00B125A5"/>
    <w:rsid w:val="00B5017D"/>
    <w:rsid w:val="00B54176"/>
    <w:rsid w:val="00BC0321"/>
    <w:rsid w:val="00C85BFA"/>
    <w:rsid w:val="00C9152C"/>
    <w:rsid w:val="00CA54BB"/>
    <w:rsid w:val="00CC1CF5"/>
    <w:rsid w:val="00D24003"/>
    <w:rsid w:val="00D62F06"/>
    <w:rsid w:val="00D85DDA"/>
    <w:rsid w:val="00DE6D94"/>
    <w:rsid w:val="00E27A2D"/>
    <w:rsid w:val="00E3077D"/>
    <w:rsid w:val="00F1789A"/>
    <w:rsid w:val="00F9229C"/>
    <w:rsid w:val="00FB3C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AE"/>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4A6CAE"/>
    <w:pPr>
      <w:keepNext/>
      <w:spacing w:line="480" w:lineRule="auto"/>
      <w:ind w:left="360"/>
      <w:jc w:val="both"/>
      <w:outlineLvl w:val="1"/>
    </w:pPr>
    <w:rPr>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6CAE"/>
    <w:rPr>
      <w:rFonts w:ascii="Times New Roman" w:eastAsia="Times New Roman" w:hAnsi="Times New Roman" w:cs="Times New Roman"/>
      <w:b/>
      <w:sz w:val="27"/>
      <w:szCs w:val="20"/>
      <w:lang w:val="en-US"/>
    </w:rPr>
  </w:style>
  <w:style w:type="table" w:styleId="TableGrid">
    <w:name w:val="Table Grid"/>
    <w:basedOn w:val="TableNormal"/>
    <w:uiPriority w:val="59"/>
    <w:rsid w:val="004A6CA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A6CAE"/>
    <w:pPr>
      <w:jc w:val="center"/>
    </w:pPr>
    <w:rPr>
      <w:b/>
      <w:sz w:val="32"/>
    </w:rPr>
  </w:style>
  <w:style w:type="character" w:customStyle="1" w:styleId="BodyText2Char">
    <w:name w:val="Body Text 2 Char"/>
    <w:basedOn w:val="DefaultParagraphFont"/>
    <w:link w:val="BodyText2"/>
    <w:rsid w:val="004A6CAE"/>
    <w:rPr>
      <w:rFonts w:ascii="Times New Roman" w:eastAsia="Times New Roman" w:hAnsi="Times New Roman" w:cs="Times New Roman"/>
      <w:b/>
      <w:sz w:val="32"/>
      <w:szCs w:val="20"/>
      <w:lang w:val="en-US"/>
    </w:rPr>
  </w:style>
  <w:style w:type="paragraph" w:styleId="BodyTextIndent2">
    <w:name w:val="Body Text Indent 2"/>
    <w:basedOn w:val="Normal"/>
    <w:link w:val="BodyTextIndent2Char"/>
    <w:uiPriority w:val="99"/>
    <w:unhideWhenUsed/>
    <w:rsid w:val="004A6CAE"/>
    <w:pPr>
      <w:spacing w:after="120" w:line="480" w:lineRule="auto"/>
      <w:ind w:left="283"/>
    </w:pPr>
    <w:rPr>
      <w:rFonts w:ascii="Calibri" w:eastAsia="Calibri" w:hAnsi="Calibri"/>
      <w:sz w:val="22"/>
      <w:szCs w:val="22"/>
      <w:lang w:val="en-GB"/>
    </w:rPr>
  </w:style>
  <w:style w:type="character" w:customStyle="1" w:styleId="BodyTextIndent2Char">
    <w:name w:val="Body Text Indent 2 Char"/>
    <w:basedOn w:val="DefaultParagraphFont"/>
    <w:link w:val="BodyTextIndent2"/>
    <w:uiPriority w:val="99"/>
    <w:rsid w:val="004A6CAE"/>
    <w:rPr>
      <w:rFonts w:ascii="Calibri" w:eastAsia="Calibri" w:hAnsi="Calibri" w:cs="Times New Roman"/>
    </w:rPr>
  </w:style>
  <w:style w:type="paragraph" w:styleId="Footer">
    <w:name w:val="footer"/>
    <w:basedOn w:val="Normal"/>
    <w:link w:val="FooterChar"/>
    <w:uiPriority w:val="99"/>
    <w:unhideWhenUsed/>
    <w:rsid w:val="004A6CAE"/>
    <w:pPr>
      <w:tabs>
        <w:tab w:val="center" w:pos="4513"/>
        <w:tab w:val="right" w:pos="9026"/>
      </w:tabs>
    </w:pPr>
  </w:style>
  <w:style w:type="character" w:customStyle="1" w:styleId="FooterChar">
    <w:name w:val="Footer Char"/>
    <w:basedOn w:val="DefaultParagraphFont"/>
    <w:link w:val="Footer"/>
    <w:uiPriority w:val="99"/>
    <w:rsid w:val="004A6CAE"/>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4A6CAE"/>
    <w:pPr>
      <w:spacing w:after="120"/>
    </w:pPr>
  </w:style>
  <w:style w:type="character" w:customStyle="1" w:styleId="BodyTextChar">
    <w:name w:val="Body Text Char"/>
    <w:basedOn w:val="DefaultParagraphFont"/>
    <w:link w:val="BodyText"/>
    <w:uiPriority w:val="99"/>
    <w:semiHidden/>
    <w:rsid w:val="004A6CAE"/>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4A6CAE"/>
    <w:rPr>
      <w:i/>
      <w:iCs/>
    </w:rPr>
  </w:style>
  <w:style w:type="paragraph" w:styleId="ListParagraph">
    <w:name w:val="List Paragraph"/>
    <w:basedOn w:val="Normal"/>
    <w:uiPriority w:val="34"/>
    <w:qFormat/>
    <w:rsid w:val="004A6C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1028-A760-4824-80CB-3F53EF1A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3</cp:revision>
  <dcterms:created xsi:type="dcterms:W3CDTF">2010-05-05T19:38:00Z</dcterms:created>
  <dcterms:modified xsi:type="dcterms:W3CDTF">2010-05-05T19:50:00Z</dcterms:modified>
</cp:coreProperties>
</file>