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B5" w:rsidRPr="008B521D" w:rsidRDefault="006634B5" w:rsidP="00FD4D6A">
      <w:pPr>
        <w:autoSpaceDE w:val="0"/>
        <w:autoSpaceDN w:val="0"/>
        <w:adjustRightInd w:val="0"/>
        <w:spacing w:after="0"/>
        <w:jc w:val="center"/>
        <w:rPr>
          <w:rFonts w:cs="Tahoma"/>
          <w:sz w:val="32"/>
          <w:szCs w:val="32"/>
          <w:lang w:val="en-GB" w:bidi="ar-EG"/>
        </w:rPr>
      </w:pPr>
      <w:r w:rsidRPr="008B521D">
        <w:rPr>
          <w:rFonts w:cs="Tahoma"/>
          <w:sz w:val="32"/>
          <w:szCs w:val="32"/>
        </w:rPr>
        <w:t>Irritable Bowel Syndrome</w:t>
      </w:r>
      <w:r w:rsidRPr="008B521D">
        <w:rPr>
          <w:rFonts w:cs="Tahoma"/>
          <w:color w:val="444444"/>
          <w:sz w:val="32"/>
          <w:szCs w:val="32"/>
        </w:rPr>
        <w:t xml:space="preserve">, and </w:t>
      </w:r>
      <w:r w:rsidRPr="008B521D">
        <w:rPr>
          <w:rFonts w:cs="Tahoma"/>
          <w:sz w:val="32"/>
          <w:szCs w:val="32"/>
          <w:lang w:val="en-GB" w:bidi="ar-EG"/>
        </w:rPr>
        <w:t>Inflammatory Bowel Disease: Is There a Link?</w:t>
      </w:r>
    </w:p>
    <w:p w:rsidR="006634B5" w:rsidRPr="00FD4D6A" w:rsidRDefault="006634B5" w:rsidP="00FD4D6A">
      <w:pPr>
        <w:jc w:val="both"/>
        <w:rPr>
          <w:rFonts w:cs="Tahoma"/>
          <w:sz w:val="32"/>
          <w:szCs w:val="32"/>
        </w:rPr>
      </w:pPr>
    </w:p>
    <w:p w:rsidR="006634B5" w:rsidRPr="00FD4D6A" w:rsidRDefault="006634B5" w:rsidP="00FD4D6A">
      <w:pPr>
        <w:jc w:val="both"/>
        <w:rPr>
          <w:rFonts w:cs="Tahoma"/>
          <w:sz w:val="24"/>
          <w:szCs w:val="24"/>
          <w:vertAlign w:val="superscript"/>
        </w:rPr>
      </w:pPr>
      <w:r w:rsidRPr="00FD4D6A">
        <w:rPr>
          <w:rFonts w:cs="Tahoma"/>
          <w:sz w:val="24"/>
          <w:szCs w:val="24"/>
        </w:rPr>
        <w:t xml:space="preserve">Amal Shawky Mohamed Bakir </w:t>
      </w:r>
      <w:r w:rsidRPr="00FD4D6A">
        <w:rPr>
          <w:rFonts w:cs="Tahoma"/>
          <w:sz w:val="24"/>
          <w:szCs w:val="24"/>
          <w:vertAlign w:val="superscript"/>
        </w:rPr>
        <w:t>a</w:t>
      </w:r>
      <w:r w:rsidRPr="00FD4D6A">
        <w:rPr>
          <w:rFonts w:cs="Tahoma"/>
          <w:color w:val="444444"/>
          <w:sz w:val="24"/>
          <w:szCs w:val="24"/>
        </w:rPr>
        <w:t>,</w:t>
      </w:r>
      <w:r w:rsidRPr="00FD4D6A">
        <w:rPr>
          <w:rFonts w:cs="Tahoma"/>
          <w:color w:val="2B3244"/>
          <w:sz w:val="24"/>
          <w:szCs w:val="24"/>
        </w:rPr>
        <w:t xml:space="preserve"> </w:t>
      </w:r>
      <w:r w:rsidRPr="00FD4D6A">
        <w:rPr>
          <w:rFonts w:cs="Tahoma"/>
          <w:sz w:val="24"/>
          <w:szCs w:val="24"/>
        </w:rPr>
        <w:t xml:space="preserve">Nadia Abdel Aaty Abdel Kader </w:t>
      </w:r>
      <w:r w:rsidRPr="00FD4D6A">
        <w:rPr>
          <w:rFonts w:cs="Tahoma"/>
          <w:sz w:val="24"/>
          <w:szCs w:val="24"/>
          <w:vertAlign w:val="superscript"/>
        </w:rPr>
        <w:t>b</w:t>
      </w:r>
      <w:r w:rsidRPr="00FD4D6A">
        <w:rPr>
          <w:rFonts w:cs="Tahoma"/>
          <w:color w:val="444444"/>
          <w:sz w:val="24"/>
          <w:szCs w:val="24"/>
        </w:rPr>
        <w:t xml:space="preserve">, </w:t>
      </w:r>
      <w:r w:rsidRPr="00FD4D6A">
        <w:rPr>
          <w:rFonts w:cs="Tahoma"/>
          <w:sz w:val="24"/>
          <w:szCs w:val="24"/>
        </w:rPr>
        <w:t xml:space="preserve">Sherif Sadek Shabana </w:t>
      </w:r>
      <w:r w:rsidRPr="00FD4D6A">
        <w:rPr>
          <w:rFonts w:cs="Tahoma"/>
          <w:sz w:val="24"/>
          <w:szCs w:val="24"/>
          <w:vertAlign w:val="superscript"/>
        </w:rPr>
        <w:t>c</w:t>
      </w:r>
    </w:p>
    <w:p w:rsidR="006634B5" w:rsidRPr="00FD4D6A" w:rsidRDefault="006634B5" w:rsidP="00F27A35">
      <w:pPr>
        <w:spacing w:line="240" w:lineRule="auto"/>
        <w:jc w:val="both"/>
        <w:rPr>
          <w:rFonts w:cs="Tahoma"/>
        </w:rPr>
      </w:pPr>
      <w:r w:rsidRPr="00FD4D6A">
        <w:rPr>
          <w:rFonts w:cs="Tahoma"/>
        </w:rPr>
        <w:t>a: Assistant Professor of Internal Medicine</w:t>
      </w:r>
      <w:r w:rsidRPr="00FD4D6A">
        <w:rPr>
          <w:rFonts w:cs="Tahoma"/>
          <w:color w:val="444444"/>
        </w:rPr>
        <w:t>,</w:t>
      </w:r>
      <w:r w:rsidRPr="00FD4D6A">
        <w:rPr>
          <w:rFonts w:cs="Tahoma"/>
          <w:color w:val="2B3244"/>
        </w:rPr>
        <w:t xml:space="preserve"> </w:t>
      </w:r>
      <w:r w:rsidRPr="00FD4D6A">
        <w:rPr>
          <w:rFonts w:cs="Tahoma"/>
        </w:rPr>
        <w:t>Faculty of Medicine</w:t>
      </w:r>
      <w:r w:rsidRPr="00FD4D6A">
        <w:rPr>
          <w:rFonts w:cs="Tahoma"/>
          <w:color w:val="444444"/>
        </w:rPr>
        <w:t xml:space="preserve">, </w:t>
      </w:r>
      <w:smartTag w:uri="urn:schemas-microsoft-com:office:smarttags" w:element="PlaceName">
        <w:r w:rsidRPr="00FD4D6A">
          <w:rPr>
            <w:rFonts w:cs="Tahoma"/>
          </w:rPr>
          <w:t>Ain</w:t>
        </w:r>
      </w:smartTag>
      <w:r w:rsidRPr="00FD4D6A">
        <w:rPr>
          <w:rFonts w:cs="Tahoma"/>
          <w:color w:val="444444"/>
        </w:rPr>
        <w:t xml:space="preserve"> </w:t>
      </w:r>
      <w:smartTag w:uri="urn:schemas-microsoft-com:office:smarttags" w:element="PlaceName">
        <w:r w:rsidRPr="00FD4D6A">
          <w:rPr>
            <w:rFonts w:cs="Tahoma"/>
          </w:rPr>
          <w:t>Shams</w:t>
        </w:r>
      </w:smartTag>
      <w:r w:rsidRPr="00FD4D6A">
        <w:rPr>
          <w:rFonts w:cs="Tahoma"/>
        </w:rPr>
        <w:t xml:space="preserve"> </w:t>
      </w:r>
      <w:smartTag w:uri="urn:schemas-microsoft-com:office:smarttags" w:element="PlaceType">
        <w:r w:rsidRPr="00FD4D6A">
          <w:rPr>
            <w:rFonts w:cs="Tahoma"/>
          </w:rPr>
          <w:t>University</w:t>
        </w:r>
      </w:smartTag>
      <w:r w:rsidRPr="00FD4D6A">
        <w:rPr>
          <w:rFonts w:cs="Tahoma"/>
          <w:color w:val="444444"/>
        </w:rPr>
        <w:t xml:space="preserve">, </w:t>
      </w:r>
      <w:smartTag w:uri="urn:schemas-microsoft-com:office:smarttags" w:element="place">
        <w:smartTag w:uri="urn:schemas-microsoft-com:office:smarttags" w:element="City">
          <w:r w:rsidRPr="00FD4D6A">
            <w:rPr>
              <w:rFonts w:cs="Tahoma"/>
            </w:rPr>
            <w:t>Cairo</w:t>
          </w:r>
        </w:smartTag>
        <w:r w:rsidRPr="00FD4D6A">
          <w:rPr>
            <w:rFonts w:cs="Tahoma"/>
            <w:color w:val="444444"/>
          </w:rPr>
          <w:t>,</w:t>
        </w:r>
        <w:r w:rsidRPr="00FD4D6A">
          <w:rPr>
            <w:rFonts w:cs="Tahoma"/>
          </w:rPr>
          <w:t xml:space="preserve"> </w:t>
        </w:r>
        <w:smartTag w:uri="urn:schemas-microsoft-com:office:smarttags" w:element="country-region">
          <w:r w:rsidRPr="00FD4D6A">
            <w:rPr>
              <w:rFonts w:cs="Tahoma"/>
            </w:rPr>
            <w:t>Egypt</w:t>
          </w:r>
        </w:smartTag>
      </w:smartTag>
      <w:r w:rsidRPr="00FD4D6A">
        <w:rPr>
          <w:rFonts w:cs="Tahoma"/>
        </w:rPr>
        <w:t>.</w:t>
      </w:r>
    </w:p>
    <w:p w:rsidR="006634B5" w:rsidRPr="00FD4D6A" w:rsidRDefault="006634B5" w:rsidP="00F27A35">
      <w:pPr>
        <w:spacing w:line="240" w:lineRule="auto"/>
        <w:jc w:val="both"/>
        <w:rPr>
          <w:rFonts w:cs="Tahoma"/>
        </w:rPr>
      </w:pPr>
      <w:r w:rsidRPr="00FD4D6A">
        <w:rPr>
          <w:rFonts w:cs="Tahoma"/>
        </w:rPr>
        <w:t>b: Lecturer of Tropical Medicine</w:t>
      </w:r>
      <w:r w:rsidRPr="00FD4D6A">
        <w:rPr>
          <w:rFonts w:cs="Tahoma"/>
          <w:color w:val="444444"/>
        </w:rPr>
        <w:t>,</w:t>
      </w:r>
      <w:r w:rsidRPr="00FD4D6A">
        <w:rPr>
          <w:rFonts w:cs="Tahoma"/>
        </w:rPr>
        <w:t xml:space="preserve"> Faculty of Medicine</w:t>
      </w:r>
      <w:r w:rsidRPr="00FD4D6A">
        <w:rPr>
          <w:rFonts w:cs="Tahoma"/>
          <w:color w:val="444444"/>
        </w:rPr>
        <w:t xml:space="preserve">, </w:t>
      </w:r>
      <w:smartTag w:uri="urn:schemas-microsoft-com:office:smarttags" w:element="PlaceName">
        <w:r w:rsidRPr="00FD4D6A">
          <w:rPr>
            <w:rFonts w:cs="Tahoma"/>
          </w:rPr>
          <w:t>Ain</w:t>
        </w:r>
      </w:smartTag>
      <w:r w:rsidRPr="00FD4D6A">
        <w:rPr>
          <w:rFonts w:cs="Tahoma"/>
        </w:rPr>
        <w:t xml:space="preserve"> </w:t>
      </w:r>
      <w:smartTag w:uri="urn:schemas-microsoft-com:office:smarttags" w:element="PlaceName">
        <w:r w:rsidRPr="00FD4D6A">
          <w:rPr>
            <w:rFonts w:cs="Tahoma"/>
          </w:rPr>
          <w:t>Shams</w:t>
        </w:r>
      </w:smartTag>
      <w:r w:rsidRPr="00FD4D6A">
        <w:rPr>
          <w:rFonts w:cs="Tahoma"/>
        </w:rPr>
        <w:t xml:space="preserve"> </w:t>
      </w:r>
      <w:smartTag w:uri="urn:schemas-microsoft-com:office:smarttags" w:element="PlaceType">
        <w:r w:rsidRPr="00FD4D6A">
          <w:rPr>
            <w:rFonts w:cs="Tahoma"/>
          </w:rPr>
          <w:t>University</w:t>
        </w:r>
      </w:smartTag>
      <w:r w:rsidRPr="00FD4D6A">
        <w:rPr>
          <w:rFonts w:cs="Tahoma"/>
          <w:color w:val="444444"/>
        </w:rPr>
        <w:t xml:space="preserve">, </w:t>
      </w:r>
      <w:smartTag w:uri="urn:schemas-microsoft-com:office:smarttags" w:element="place">
        <w:smartTag w:uri="urn:schemas-microsoft-com:office:smarttags" w:element="City">
          <w:r w:rsidRPr="00FD4D6A">
            <w:rPr>
              <w:rFonts w:cs="Tahoma"/>
            </w:rPr>
            <w:t>Cairo</w:t>
          </w:r>
        </w:smartTag>
        <w:r w:rsidRPr="00FD4D6A">
          <w:rPr>
            <w:rFonts w:cs="Tahoma"/>
            <w:color w:val="444444"/>
          </w:rPr>
          <w:t xml:space="preserve">, </w:t>
        </w:r>
        <w:smartTag w:uri="urn:schemas-microsoft-com:office:smarttags" w:element="country-region">
          <w:r w:rsidRPr="00FD4D6A">
            <w:rPr>
              <w:rFonts w:cs="Tahoma"/>
            </w:rPr>
            <w:t>Egypt</w:t>
          </w:r>
        </w:smartTag>
      </w:smartTag>
      <w:r w:rsidRPr="00FD4D6A">
        <w:rPr>
          <w:rFonts w:cs="Tahoma"/>
        </w:rPr>
        <w:t>.</w:t>
      </w:r>
    </w:p>
    <w:p w:rsidR="006634B5" w:rsidRDefault="006634B5" w:rsidP="00F27A35">
      <w:pPr>
        <w:autoSpaceDE w:val="0"/>
        <w:autoSpaceDN w:val="0"/>
        <w:adjustRightInd w:val="0"/>
        <w:spacing w:after="0" w:line="240" w:lineRule="auto"/>
        <w:jc w:val="both"/>
        <w:rPr>
          <w:rFonts w:cs="Tahoma"/>
        </w:rPr>
      </w:pPr>
      <w:r w:rsidRPr="00FD4D6A">
        <w:rPr>
          <w:rFonts w:cs="Tahoma"/>
        </w:rPr>
        <w:t>c: Lecturer of Internal Medicine</w:t>
      </w:r>
      <w:r w:rsidRPr="00FD4D6A">
        <w:rPr>
          <w:rFonts w:cs="Tahoma"/>
          <w:color w:val="444444"/>
        </w:rPr>
        <w:t>,</w:t>
      </w:r>
      <w:r w:rsidRPr="00FD4D6A">
        <w:rPr>
          <w:rFonts w:cs="Tahoma"/>
        </w:rPr>
        <w:t xml:space="preserve"> Faculty of Medicine</w:t>
      </w:r>
      <w:r w:rsidRPr="00FD4D6A">
        <w:rPr>
          <w:rFonts w:cs="Tahoma"/>
          <w:color w:val="444444"/>
        </w:rPr>
        <w:t xml:space="preserve">,  </w:t>
      </w:r>
      <w:smartTag w:uri="urn:schemas-microsoft-com:office:smarttags" w:element="PlaceName">
        <w:r w:rsidRPr="00FD4D6A">
          <w:rPr>
            <w:rFonts w:cs="Tahoma"/>
          </w:rPr>
          <w:t>Ain</w:t>
        </w:r>
      </w:smartTag>
      <w:r w:rsidRPr="00FD4D6A">
        <w:rPr>
          <w:rFonts w:cs="Tahoma"/>
        </w:rPr>
        <w:t xml:space="preserve"> </w:t>
      </w:r>
      <w:smartTag w:uri="urn:schemas-microsoft-com:office:smarttags" w:element="PlaceName">
        <w:r w:rsidRPr="00FD4D6A">
          <w:rPr>
            <w:rFonts w:cs="Tahoma"/>
          </w:rPr>
          <w:t>Shams</w:t>
        </w:r>
      </w:smartTag>
      <w:r w:rsidRPr="00FD4D6A">
        <w:rPr>
          <w:rFonts w:cs="Tahoma"/>
        </w:rPr>
        <w:t xml:space="preserve"> </w:t>
      </w:r>
      <w:smartTag w:uri="urn:schemas-microsoft-com:office:smarttags" w:element="PlaceType">
        <w:r w:rsidRPr="00FD4D6A">
          <w:rPr>
            <w:rFonts w:cs="Tahoma"/>
          </w:rPr>
          <w:t>University</w:t>
        </w:r>
      </w:smartTag>
      <w:r w:rsidRPr="00FD4D6A">
        <w:rPr>
          <w:rFonts w:cs="Tahoma"/>
          <w:color w:val="444444"/>
        </w:rPr>
        <w:t>,</w:t>
      </w:r>
      <w:r w:rsidRPr="00FD4D6A">
        <w:rPr>
          <w:rFonts w:cs="Tahoma"/>
        </w:rPr>
        <w:t xml:space="preserve"> </w:t>
      </w:r>
      <w:smartTag w:uri="urn:schemas-microsoft-com:office:smarttags" w:element="place">
        <w:smartTag w:uri="urn:schemas-microsoft-com:office:smarttags" w:element="City">
          <w:r w:rsidRPr="00FD4D6A">
            <w:rPr>
              <w:rFonts w:cs="Tahoma"/>
            </w:rPr>
            <w:t>Cairo</w:t>
          </w:r>
        </w:smartTag>
        <w:r w:rsidRPr="00FD4D6A">
          <w:rPr>
            <w:rFonts w:cs="Tahoma"/>
            <w:color w:val="444444"/>
          </w:rPr>
          <w:t xml:space="preserve">, </w:t>
        </w:r>
        <w:smartTag w:uri="urn:schemas-microsoft-com:office:smarttags" w:element="country-region">
          <w:r w:rsidRPr="00FD4D6A">
            <w:rPr>
              <w:rFonts w:cs="Tahoma"/>
            </w:rPr>
            <w:t>Egypt</w:t>
          </w:r>
        </w:smartTag>
      </w:smartTag>
      <w:r w:rsidRPr="00FD4D6A">
        <w:rPr>
          <w:rFonts w:cs="Tahoma"/>
        </w:rPr>
        <w:t>.</w:t>
      </w:r>
    </w:p>
    <w:p w:rsidR="006634B5" w:rsidRDefault="006634B5" w:rsidP="00F27A35">
      <w:pPr>
        <w:autoSpaceDE w:val="0"/>
        <w:autoSpaceDN w:val="0"/>
        <w:adjustRightInd w:val="0"/>
        <w:spacing w:after="0" w:line="240" w:lineRule="auto"/>
        <w:jc w:val="both"/>
        <w:rPr>
          <w:rFonts w:cs="Tahoma"/>
        </w:rPr>
      </w:pPr>
    </w:p>
    <w:p w:rsidR="006634B5" w:rsidRPr="00FD4D6A" w:rsidRDefault="006634B5" w:rsidP="00AB4A2B">
      <w:pPr>
        <w:autoSpaceDE w:val="0"/>
        <w:autoSpaceDN w:val="0"/>
        <w:adjustRightInd w:val="0"/>
        <w:spacing w:after="0" w:line="240" w:lineRule="auto"/>
        <w:jc w:val="both"/>
        <w:rPr>
          <w:rFonts w:cs="Tahoma"/>
          <w:color w:val="FF0000"/>
        </w:rPr>
      </w:pPr>
      <w:r>
        <w:rPr>
          <w:rFonts w:cs="Tahoma"/>
        </w:rPr>
        <w:t xml:space="preserve">Corresponding author: Sherif Sadek Shabana, lecturer of Internal Medicine, Faculty of Medicine, Ain shams University, </w:t>
      </w:r>
      <w:smartTag w:uri="urn:schemas-microsoft-com:office:smarttags" w:element="place">
        <w:smartTag w:uri="urn:schemas-microsoft-com:office:smarttags" w:element="City">
          <w:r>
            <w:rPr>
              <w:rFonts w:cs="Tahoma"/>
            </w:rPr>
            <w:t>Cairo</w:t>
          </w:r>
        </w:smartTag>
        <w:r>
          <w:rPr>
            <w:rFonts w:cs="Tahoma"/>
          </w:rPr>
          <w:t xml:space="preserve">, </w:t>
        </w:r>
        <w:smartTag w:uri="urn:schemas-microsoft-com:office:smarttags" w:element="country-region">
          <w:r>
            <w:rPr>
              <w:rFonts w:cs="Tahoma"/>
            </w:rPr>
            <w:t>Egypt</w:t>
          </w:r>
        </w:smartTag>
      </w:smartTag>
      <w:r>
        <w:rPr>
          <w:rFonts w:cs="Tahoma"/>
        </w:rPr>
        <w:t xml:space="preserve">. E-mail: </w:t>
      </w:r>
      <w:hyperlink r:id="rId5" w:history="1">
        <w:r w:rsidRPr="00902621">
          <w:rPr>
            <w:rStyle w:val="Hyperlink"/>
            <w:rFonts w:cs="Tahoma"/>
          </w:rPr>
          <w:t>sh_shabana@hotmail.com</w:t>
        </w:r>
      </w:hyperlink>
      <w:r>
        <w:rPr>
          <w:rFonts w:cs="Tahoma"/>
        </w:rPr>
        <w:t>. Tel: +20102551049</w:t>
      </w:r>
    </w:p>
    <w:p w:rsidR="006634B5" w:rsidRPr="00FD4D6A" w:rsidRDefault="006634B5" w:rsidP="00F27A35">
      <w:pPr>
        <w:autoSpaceDE w:val="0"/>
        <w:autoSpaceDN w:val="0"/>
        <w:adjustRightInd w:val="0"/>
        <w:spacing w:after="0" w:line="240" w:lineRule="auto"/>
        <w:jc w:val="both"/>
        <w:rPr>
          <w:rFonts w:cs="Tahoma"/>
          <w:b/>
          <w:bCs/>
          <w:color w:val="231F20"/>
          <w:sz w:val="24"/>
          <w:szCs w:val="24"/>
        </w:rPr>
      </w:pPr>
    </w:p>
    <w:p w:rsidR="006634B5" w:rsidRPr="00FD4D6A" w:rsidRDefault="006634B5" w:rsidP="00FD4D6A">
      <w:pPr>
        <w:autoSpaceDE w:val="0"/>
        <w:autoSpaceDN w:val="0"/>
        <w:adjustRightInd w:val="0"/>
        <w:spacing w:after="0"/>
        <w:jc w:val="both"/>
        <w:rPr>
          <w:rFonts w:cs="Tahoma"/>
          <w:b/>
          <w:bCs/>
          <w:color w:val="231F20"/>
          <w:sz w:val="28"/>
          <w:szCs w:val="28"/>
        </w:rPr>
      </w:pPr>
      <w:r w:rsidRPr="00FD4D6A">
        <w:rPr>
          <w:rFonts w:cs="Tahoma"/>
          <w:b/>
          <w:bCs/>
          <w:color w:val="231F20"/>
          <w:sz w:val="28"/>
          <w:szCs w:val="28"/>
        </w:rPr>
        <w:t>Abstract:</w:t>
      </w:r>
    </w:p>
    <w:p w:rsidR="006634B5" w:rsidRPr="00FD4D6A" w:rsidRDefault="006634B5" w:rsidP="00FD4D6A">
      <w:pPr>
        <w:autoSpaceDE w:val="0"/>
        <w:autoSpaceDN w:val="0"/>
        <w:adjustRightInd w:val="0"/>
        <w:spacing w:after="0"/>
        <w:jc w:val="both"/>
        <w:rPr>
          <w:rFonts w:cs="Tahoma"/>
          <w:sz w:val="24"/>
          <w:szCs w:val="24"/>
        </w:rPr>
      </w:pPr>
      <w:r w:rsidRPr="00FD4D6A">
        <w:rPr>
          <w:rFonts w:cs="Tahoma"/>
          <w:b/>
          <w:bCs/>
          <w:color w:val="231F20"/>
          <w:sz w:val="24"/>
          <w:szCs w:val="24"/>
        </w:rPr>
        <w:t>Background and Study Aim</w:t>
      </w:r>
      <w:r w:rsidRPr="00FD4D6A">
        <w:rPr>
          <w:rFonts w:cs="Tahoma"/>
          <w:color w:val="231F20"/>
          <w:sz w:val="24"/>
          <w:szCs w:val="24"/>
        </w:rPr>
        <w:t xml:space="preserve">: Symptoms of irritable bowel syndrome and inflammatory bowel disease can overlap. Whether irritable bowel syndrome can hide an organic disorder as inflammatory bowel disease still questionable. We aimed to estimate the frequency of detection of inflammatory bowel disease in </w:t>
      </w:r>
      <w:r w:rsidRPr="00FD4D6A">
        <w:rPr>
          <w:rFonts w:cs="Tahoma"/>
          <w:sz w:val="24"/>
          <w:szCs w:val="24"/>
        </w:rPr>
        <w:t xml:space="preserve">Egyptian patients with clinically diagnosed </w:t>
      </w:r>
      <w:r w:rsidRPr="00FD4D6A">
        <w:rPr>
          <w:rFonts w:cs="Tahoma"/>
          <w:color w:val="231F20"/>
          <w:sz w:val="24"/>
          <w:szCs w:val="24"/>
        </w:rPr>
        <w:t>irritable bowel syndrome</w:t>
      </w:r>
      <w:r w:rsidRPr="00FD4D6A">
        <w:rPr>
          <w:rFonts w:cs="Tahoma"/>
          <w:sz w:val="24"/>
          <w:szCs w:val="24"/>
        </w:rPr>
        <w:t>.</w:t>
      </w:r>
    </w:p>
    <w:p w:rsidR="006634B5" w:rsidRPr="00FD4D6A" w:rsidRDefault="006634B5" w:rsidP="00FD4D6A">
      <w:pPr>
        <w:autoSpaceDE w:val="0"/>
        <w:autoSpaceDN w:val="0"/>
        <w:adjustRightInd w:val="0"/>
        <w:spacing w:after="0"/>
        <w:jc w:val="both"/>
        <w:rPr>
          <w:rFonts w:cs="Tahoma"/>
          <w:sz w:val="24"/>
          <w:szCs w:val="24"/>
          <w:lang w:bidi="ar-EG"/>
        </w:rPr>
      </w:pPr>
      <w:r w:rsidRPr="00FD4D6A">
        <w:rPr>
          <w:rFonts w:cs="Tahoma"/>
          <w:b/>
          <w:bCs/>
          <w:color w:val="231F20"/>
          <w:sz w:val="24"/>
          <w:szCs w:val="24"/>
        </w:rPr>
        <w:t>Patients and Methods:</w:t>
      </w:r>
      <w:r w:rsidRPr="00FD4D6A">
        <w:rPr>
          <w:rFonts w:cs="Tahoma"/>
          <w:color w:val="231F20"/>
          <w:sz w:val="24"/>
          <w:szCs w:val="24"/>
        </w:rPr>
        <w:t xml:space="preserve"> We prospectively included 90 patients with </w:t>
      </w:r>
      <w:r w:rsidRPr="00FD4D6A">
        <w:rPr>
          <w:rFonts w:cs="Tahoma"/>
          <w:sz w:val="24"/>
          <w:szCs w:val="24"/>
        </w:rPr>
        <w:t xml:space="preserve">clinically diagnosed </w:t>
      </w:r>
      <w:r w:rsidRPr="00FD4D6A">
        <w:rPr>
          <w:rFonts w:cs="Tahoma"/>
          <w:color w:val="231F20"/>
          <w:sz w:val="24"/>
          <w:szCs w:val="24"/>
        </w:rPr>
        <w:t>irritable bowel syndrome according to Rome III criteria</w:t>
      </w:r>
      <w:r w:rsidRPr="00FD4D6A">
        <w:rPr>
          <w:rFonts w:cs="Tahoma"/>
          <w:sz w:val="24"/>
          <w:szCs w:val="24"/>
        </w:rPr>
        <w:t>.</w:t>
      </w:r>
      <w:r w:rsidRPr="00FD4D6A">
        <w:rPr>
          <w:rFonts w:cs="Tahoma"/>
          <w:color w:val="231F20"/>
          <w:sz w:val="24"/>
          <w:szCs w:val="24"/>
        </w:rPr>
        <w:t xml:space="preserve"> For all included patients</w:t>
      </w:r>
      <w:r w:rsidRPr="00FD4D6A">
        <w:rPr>
          <w:rFonts w:cs="Tahoma"/>
          <w:color w:val="444444"/>
          <w:sz w:val="24"/>
          <w:szCs w:val="24"/>
        </w:rPr>
        <w:t xml:space="preserve">, </w:t>
      </w:r>
      <w:r w:rsidRPr="00FD4D6A">
        <w:rPr>
          <w:rFonts w:cs="Tahoma"/>
          <w:sz w:val="24"/>
          <w:szCs w:val="24"/>
        </w:rPr>
        <w:t>complete blood count</w:t>
      </w:r>
      <w:r w:rsidRPr="00FD4D6A">
        <w:rPr>
          <w:rFonts w:cs="Tahoma"/>
          <w:color w:val="444444"/>
          <w:sz w:val="24"/>
          <w:szCs w:val="24"/>
        </w:rPr>
        <w:t xml:space="preserve">, </w:t>
      </w:r>
      <w:r w:rsidRPr="00FD4D6A">
        <w:rPr>
          <w:rFonts w:cs="Tahoma"/>
          <w:sz w:val="24"/>
          <w:szCs w:val="24"/>
        </w:rPr>
        <w:t>erythrocyte sedimentation rate</w:t>
      </w:r>
      <w:r w:rsidRPr="00FD4D6A">
        <w:rPr>
          <w:rFonts w:cs="Tahoma"/>
          <w:color w:val="444444"/>
          <w:sz w:val="24"/>
          <w:szCs w:val="24"/>
        </w:rPr>
        <w:t xml:space="preserve">, </w:t>
      </w:r>
      <w:r w:rsidRPr="00FD4D6A">
        <w:rPr>
          <w:rFonts w:cs="Tahoma"/>
          <w:sz w:val="24"/>
          <w:szCs w:val="24"/>
        </w:rPr>
        <w:t>C-reactive protein</w:t>
      </w:r>
      <w:r w:rsidRPr="00FD4D6A">
        <w:rPr>
          <w:rFonts w:cs="Tahoma"/>
          <w:color w:val="444444"/>
          <w:sz w:val="24"/>
          <w:szCs w:val="24"/>
        </w:rPr>
        <w:t>,</w:t>
      </w:r>
      <w:r w:rsidRPr="00FD4D6A">
        <w:rPr>
          <w:rFonts w:cs="Tahoma"/>
          <w:sz w:val="24"/>
          <w:szCs w:val="24"/>
        </w:rPr>
        <w:t xml:space="preserve"> stool analysis and stool culture were done.</w:t>
      </w:r>
      <w:r w:rsidRPr="00FD4D6A">
        <w:rPr>
          <w:rFonts w:cs="Tahoma"/>
          <w:color w:val="231F20"/>
          <w:sz w:val="24"/>
          <w:szCs w:val="24"/>
        </w:rPr>
        <w:t xml:space="preserve"> Besides</w:t>
      </w:r>
      <w:r w:rsidRPr="00FD4D6A">
        <w:rPr>
          <w:rFonts w:cs="Tahoma"/>
          <w:sz w:val="24"/>
          <w:szCs w:val="24"/>
        </w:rPr>
        <w:t xml:space="preserve"> these laboratory investigations</w:t>
      </w:r>
      <w:r w:rsidRPr="00FD4D6A">
        <w:rPr>
          <w:rFonts w:cs="Tahoma"/>
          <w:color w:val="444444"/>
          <w:sz w:val="24"/>
          <w:szCs w:val="24"/>
        </w:rPr>
        <w:t>,</w:t>
      </w:r>
      <w:r w:rsidRPr="00FD4D6A">
        <w:rPr>
          <w:rFonts w:cs="Tahoma"/>
          <w:color w:val="231F20"/>
          <w:sz w:val="24"/>
          <w:szCs w:val="24"/>
        </w:rPr>
        <w:t xml:space="preserve"> abdominal ultrasonography</w:t>
      </w:r>
      <w:r w:rsidRPr="00FD4D6A">
        <w:rPr>
          <w:rFonts w:cs="Tahoma"/>
          <w:color w:val="444444"/>
          <w:sz w:val="24"/>
          <w:szCs w:val="24"/>
        </w:rPr>
        <w:t xml:space="preserve"> and </w:t>
      </w:r>
      <w:r w:rsidRPr="00FD4D6A">
        <w:rPr>
          <w:rFonts w:cs="Tahoma"/>
          <w:color w:val="231F20"/>
          <w:sz w:val="24"/>
          <w:szCs w:val="24"/>
        </w:rPr>
        <w:t xml:space="preserve">colonoscopy with colonic biopsies were performed. </w:t>
      </w:r>
      <w:r w:rsidRPr="00FD4D6A">
        <w:rPr>
          <w:rFonts w:cs="Tahoma"/>
          <w:b/>
          <w:bCs/>
          <w:color w:val="231F20"/>
          <w:sz w:val="24"/>
          <w:szCs w:val="24"/>
        </w:rPr>
        <w:t>Results: I</w:t>
      </w:r>
      <w:r w:rsidRPr="00FD4D6A">
        <w:rPr>
          <w:rFonts w:cs="Tahoma"/>
          <w:sz w:val="24"/>
          <w:szCs w:val="24"/>
        </w:rPr>
        <w:t xml:space="preserve">nflammatory bowel disease was detected in 18.9% among the included patients. While </w:t>
      </w:r>
      <w:r w:rsidRPr="00FD4D6A">
        <w:rPr>
          <w:rFonts w:cs="Tahoma"/>
          <w:color w:val="231F20"/>
          <w:sz w:val="24"/>
          <w:szCs w:val="24"/>
        </w:rPr>
        <w:t>irritable bowel syndrome</w:t>
      </w:r>
      <w:r w:rsidRPr="00FD4D6A">
        <w:rPr>
          <w:rFonts w:cs="Tahoma"/>
          <w:sz w:val="24"/>
          <w:szCs w:val="24"/>
          <w:lang w:bidi="ar-EG"/>
        </w:rPr>
        <w:t xml:space="preserve"> was confirmed in 57.8%. No </w:t>
      </w:r>
      <w:r w:rsidRPr="00FD4D6A">
        <w:rPr>
          <w:rFonts w:cs="Tahoma"/>
          <w:sz w:val="24"/>
          <w:szCs w:val="24"/>
          <w:lang w:val="en-GB" w:bidi="ar-EG"/>
        </w:rPr>
        <w:t>significant difference between</w:t>
      </w:r>
      <w:r w:rsidRPr="00FD4D6A">
        <w:rPr>
          <w:rFonts w:cs="Tahoma"/>
          <w:sz w:val="24"/>
          <w:szCs w:val="24"/>
        </w:rPr>
        <w:t xml:space="preserve"> irritable bowel syndrome and</w:t>
      </w:r>
      <w:r w:rsidRPr="00FD4D6A">
        <w:rPr>
          <w:rFonts w:cs="Tahoma"/>
          <w:sz w:val="24"/>
          <w:szCs w:val="24"/>
          <w:lang w:bidi="ar-EG"/>
        </w:rPr>
        <w:t xml:space="preserve"> </w:t>
      </w:r>
      <w:r w:rsidRPr="00FD4D6A">
        <w:rPr>
          <w:rFonts w:cs="Tahoma"/>
          <w:sz w:val="24"/>
          <w:szCs w:val="24"/>
        </w:rPr>
        <w:t xml:space="preserve">inflammatory bowel disease </w:t>
      </w:r>
      <w:r w:rsidRPr="00FD4D6A">
        <w:rPr>
          <w:rFonts w:cs="Tahoma"/>
          <w:sz w:val="24"/>
          <w:szCs w:val="24"/>
          <w:lang w:bidi="ar-EG"/>
        </w:rPr>
        <w:t>patients as regard the age</w:t>
      </w:r>
      <w:r w:rsidRPr="00FD4D6A">
        <w:rPr>
          <w:rFonts w:cs="Tahoma"/>
          <w:color w:val="444444"/>
          <w:sz w:val="24"/>
          <w:szCs w:val="24"/>
        </w:rPr>
        <w:t xml:space="preserve">, </w:t>
      </w:r>
      <w:r w:rsidRPr="00FD4D6A">
        <w:rPr>
          <w:rFonts w:cs="Tahoma"/>
          <w:sz w:val="24"/>
          <w:szCs w:val="24"/>
          <w:lang w:bidi="ar-EG"/>
        </w:rPr>
        <w:t>gender and symptomatology such as abdominal pain</w:t>
      </w:r>
      <w:r w:rsidRPr="00FD4D6A">
        <w:rPr>
          <w:rFonts w:cs="Tahoma"/>
          <w:sz w:val="24"/>
          <w:szCs w:val="24"/>
        </w:rPr>
        <w:t xml:space="preserve">, </w:t>
      </w:r>
      <w:r w:rsidRPr="00FD4D6A">
        <w:rPr>
          <w:rFonts w:cs="Tahoma"/>
          <w:sz w:val="24"/>
          <w:szCs w:val="24"/>
          <w:lang w:bidi="ar-EG"/>
        </w:rPr>
        <w:t>bloating</w:t>
      </w:r>
      <w:r w:rsidRPr="00FD4D6A">
        <w:rPr>
          <w:rFonts w:cs="Tahoma"/>
          <w:sz w:val="24"/>
          <w:szCs w:val="24"/>
        </w:rPr>
        <w:t xml:space="preserve">, </w:t>
      </w:r>
      <w:r w:rsidRPr="00FD4D6A">
        <w:rPr>
          <w:rFonts w:cs="Tahoma"/>
          <w:sz w:val="24"/>
          <w:szCs w:val="24"/>
          <w:lang w:bidi="ar-EG"/>
        </w:rPr>
        <w:t>diarrhea and constipation. A highly significant difference was found regarding the used laboratory tests</w:t>
      </w:r>
      <w:r w:rsidRPr="00FD4D6A">
        <w:rPr>
          <w:rFonts w:cs="Tahoma"/>
          <w:color w:val="444444"/>
          <w:sz w:val="24"/>
          <w:szCs w:val="24"/>
        </w:rPr>
        <w:t xml:space="preserve">, </w:t>
      </w:r>
      <w:r w:rsidRPr="00FD4D6A">
        <w:rPr>
          <w:rFonts w:cs="Tahoma"/>
          <w:sz w:val="24"/>
          <w:szCs w:val="24"/>
          <w:lang w:bidi="ar-EG"/>
        </w:rPr>
        <w:t xml:space="preserve">ultrasonographic and colonic examinations between </w:t>
      </w:r>
      <w:r w:rsidRPr="00FD4D6A">
        <w:rPr>
          <w:rFonts w:cs="Tahoma"/>
          <w:sz w:val="24"/>
          <w:szCs w:val="24"/>
        </w:rPr>
        <w:t>irritable bowel syndrome and</w:t>
      </w:r>
      <w:r w:rsidRPr="00FD4D6A">
        <w:rPr>
          <w:rFonts w:cs="Tahoma"/>
          <w:sz w:val="24"/>
          <w:szCs w:val="24"/>
          <w:lang w:bidi="ar-EG"/>
        </w:rPr>
        <w:t xml:space="preserve"> </w:t>
      </w:r>
      <w:r w:rsidRPr="00FD4D6A">
        <w:rPr>
          <w:rFonts w:cs="Tahoma"/>
          <w:sz w:val="24"/>
          <w:szCs w:val="24"/>
        </w:rPr>
        <w:t xml:space="preserve">inflammatory bowel disease </w:t>
      </w:r>
      <w:r w:rsidRPr="00FD4D6A">
        <w:rPr>
          <w:rFonts w:cs="Tahoma"/>
          <w:sz w:val="24"/>
          <w:szCs w:val="24"/>
          <w:lang w:bidi="ar-EG"/>
        </w:rPr>
        <w:t>patients.</w:t>
      </w:r>
      <w:r w:rsidRPr="00FD4D6A">
        <w:rPr>
          <w:rFonts w:cs="Tahoma"/>
          <w:b/>
          <w:bCs/>
          <w:color w:val="231F20"/>
          <w:sz w:val="24"/>
          <w:szCs w:val="24"/>
        </w:rPr>
        <w:t xml:space="preserve"> Conclusion: </w:t>
      </w:r>
      <w:r w:rsidRPr="00FD4D6A">
        <w:rPr>
          <w:rFonts w:cs="Tahoma"/>
          <w:sz w:val="24"/>
          <w:szCs w:val="24"/>
        </w:rPr>
        <w:t xml:space="preserve">A considerable percentage of </w:t>
      </w:r>
      <w:r w:rsidRPr="00FD4D6A">
        <w:rPr>
          <w:rFonts w:cs="Tahoma"/>
          <w:sz w:val="24"/>
          <w:szCs w:val="24"/>
          <w:lang w:val="en-GB" w:bidi="ar-EG"/>
        </w:rPr>
        <w:t>i</w:t>
      </w:r>
      <w:r w:rsidRPr="00FD4D6A">
        <w:rPr>
          <w:rFonts w:cs="Tahoma"/>
          <w:sz w:val="24"/>
          <w:szCs w:val="24"/>
        </w:rPr>
        <w:t xml:space="preserve">nflammatory bowel disease patients </w:t>
      </w:r>
      <w:r w:rsidRPr="00FD4D6A">
        <w:rPr>
          <w:rFonts w:cs="Tahoma"/>
          <w:sz w:val="24"/>
          <w:szCs w:val="24"/>
          <w:lang w:val="en-GB" w:bidi="ar-EG"/>
        </w:rPr>
        <w:t>could be detected among patients with clinically diagnosed</w:t>
      </w:r>
      <w:r w:rsidRPr="00FD4D6A">
        <w:rPr>
          <w:rFonts w:cs="Tahoma"/>
          <w:sz w:val="24"/>
          <w:szCs w:val="24"/>
        </w:rPr>
        <w:t xml:space="preserve"> </w:t>
      </w:r>
      <w:r w:rsidRPr="00FD4D6A">
        <w:rPr>
          <w:rFonts w:cs="Tahoma"/>
          <w:color w:val="231F20"/>
          <w:sz w:val="24"/>
          <w:szCs w:val="24"/>
        </w:rPr>
        <w:t>irritable bowel syndrome</w:t>
      </w:r>
      <w:r w:rsidRPr="00FD4D6A">
        <w:rPr>
          <w:rFonts w:cs="Tahoma"/>
          <w:sz w:val="24"/>
          <w:szCs w:val="24"/>
        </w:rPr>
        <w:t xml:space="preserve">. Laboratory tests and </w:t>
      </w:r>
      <w:r w:rsidRPr="00FD4D6A">
        <w:rPr>
          <w:rFonts w:cs="Tahoma"/>
          <w:sz w:val="24"/>
          <w:szCs w:val="24"/>
          <w:lang w:bidi="ar-EG"/>
        </w:rPr>
        <w:t xml:space="preserve">ultrasonographic examination </w:t>
      </w:r>
      <w:r w:rsidRPr="00FD4D6A">
        <w:rPr>
          <w:rFonts w:cs="Tahoma"/>
          <w:sz w:val="24"/>
          <w:szCs w:val="24"/>
        </w:rPr>
        <w:t>can help primarily to discriminate the two conditions although colonoscopy with colonic biopsy remains the gold standard in diagnosis of inflammatory bowel disease.</w:t>
      </w:r>
    </w:p>
    <w:p w:rsidR="006634B5" w:rsidRPr="00FD4D6A" w:rsidRDefault="006634B5" w:rsidP="00FD4D6A">
      <w:pPr>
        <w:spacing w:after="0"/>
        <w:ind w:left="-187"/>
        <w:jc w:val="both"/>
        <w:rPr>
          <w:rFonts w:cs="Tahoma"/>
          <w:color w:val="231F20"/>
          <w:sz w:val="24"/>
          <w:szCs w:val="24"/>
        </w:rPr>
      </w:pPr>
    </w:p>
    <w:p w:rsidR="006634B5" w:rsidRPr="00FD4D6A" w:rsidRDefault="006634B5" w:rsidP="00FD4D6A">
      <w:pPr>
        <w:spacing w:after="0"/>
        <w:jc w:val="both"/>
        <w:rPr>
          <w:rFonts w:cs="Tahoma"/>
          <w:sz w:val="24"/>
          <w:szCs w:val="24"/>
          <w:lang w:bidi="ar-EG"/>
        </w:rPr>
      </w:pPr>
      <w:r w:rsidRPr="00FD4D6A">
        <w:rPr>
          <w:rFonts w:cs="Tahoma"/>
          <w:color w:val="231F20"/>
          <w:sz w:val="24"/>
          <w:szCs w:val="24"/>
        </w:rPr>
        <w:t xml:space="preserve">Key Words: </w:t>
      </w:r>
      <w:r w:rsidRPr="00FD4D6A">
        <w:rPr>
          <w:rFonts w:cs="Tahoma"/>
          <w:sz w:val="24"/>
          <w:szCs w:val="24"/>
        </w:rPr>
        <w:t>Irritable bowel syndrome (IBS)</w:t>
      </w:r>
      <w:r w:rsidRPr="00FD4D6A">
        <w:rPr>
          <w:rFonts w:cs="Tahoma"/>
          <w:color w:val="444444"/>
          <w:sz w:val="24"/>
          <w:szCs w:val="24"/>
        </w:rPr>
        <w:t>,</w:t>
      </w:r>
      <w:r w:rsidRPr="00FD4D6A">
        <w:rPr>
          <w:rFonts w:cs="Tahoma"/>
          <w:sz w:val="24"/>
          <w:szCs w:val="24"/>
        </w:rPr>
        <w:t xml:space="preserve"> Inflammatory bowel disease (IBD).</w:t>
      </w:r>
    </w:p>
    <w:p w:rsidR="006634B5" w:rsidRPr="00FD4D6A" w:rsidRDefault="006634B5" w:rsidP="00FD4D6A">
      <w:pPr>
        <w:spacing w:after="0"/>
        <w:jc w:val="both"/>
        <w:rPr>
          <w:rFonts w:cs="Tahoma"/>
          <w:b/>
          <w:bCs/>
          <w:sz w:val="24"/>
          <w:szCs w:val="24"/>
        </w:rPr>
      </w:pPr>
    </w:p>
    <w:p w:rsidR="006634B5" w:rsidRPr="00FD4D6A" w:rsidRDefault="006634B5" w:rsidP="00FD4D6A">
      <w:pPr>
        <w:jc w:val="both"/>
        <w:rPr>
          <w:rFonts w:cs="Tahoma"/>
          <w:b/>
          <w:bCs/>
          <w:sz w:val="24"/>
          <w:szCs w:val="24"/>
        </w:rPr>
      </w:pPr>
    </w:p>
    <w:p w:rsidR="006634B5" w:rsidRPr="00FD4D6A" w:rsidRDefault="006634B5" w:rsidP="00FD4D6A">
      <w:pPr>
        <w:jc w:val="both"/>
        <w:rPr>
          <w:rFonts w:cs="Tahoma"/>
          <w:b/>
          <w:bCs/>
          <w:sz w:val="28"/>
          <w:szCs w:val="28"/>
        </w:rPr>
      </w:pPr>
      <w:r w:rsidRPr="00FD4D6A">
        <w:rPr>
          <w:rFonts w:cs="Tahoma"/>
          <w:b/>
          <w:bCs/>
          <w:sz w:val="28"/>
          <w:szCs w:val="28"/>
        </w:rPr>
        <w:t>1.Introduction:</w:t>
      </w:r>
    </w:p>
    <w:p w:rsidR="006634B5" w:rsidRDefault="006634B5" w:rsidP="00FD4D6A">
      <w:pPr>
        <w:pStyle w:val="NormalWeb"/>
        <w:spacing w:line="276" w:lineRule="auto"/>
        <w:jc w:val="both"/>
        <w:rPr>
          <w:rFonts w:ascii="Calibri" w:hAnsi="Calibri" w:cs="Tahoma"/>
          <w:sz w:val="24"/>
          <w:szCs w:val="24"/>
        </w:rPr>
      </w:pPr>
      <w:r w:rsidRPr="00FD4D6A">
        <w:rPr>
          <w:rFonts w:ascii="Calibri" w:hAnsi="Calibri" w:cs="Tahoma"/>
          <w:sz w:val="24"/>
          <w:szCs w:val="24"/>
        </w:rPr>
        <w:t xml:space="preserve">Irritable bowel syndrome (IBS) is a </w:t>
      </w:r>
      <w:hyperlink r:id="rId6" w:tooltip="Functional bowel disorder" w:history="1">
        <w:r w:rsidRPr="00FD4D6A">
          <w:rPr>
            <w:rStyle w:val="Hyperlink"/>
            <w:rFonts w:ascii="Calibri" w:hAnsi="Calibri" w:cs="Tahoma"/>
            <w:color w:val="auto"/>
            <w:sz w:val="24"/>
            <w:szCs w:val="24"/>
            <w:u w:val="none"/>
          </w:rPr>
          <w:t>functional bowel disorder</w:t>
        </w:r>
      </w:hyperlink>
      <w:r w:rsidRPr="00FD4D6A">
        <w:rPr>
          <w:rFonts w:ascii="Calibri" w:hAnsi="Calibri" w:cs="Tahoma"/>
          <w:sz w:val="24"/>
          <w:szCs w:val="24"/>
        </w:rPr>
        <w:t xml:space="preserve"> characterized by chronic </w:t>
      </w:r>
      <w:hyperlink r:id="rId7" w:tooltip="Abdominal pain" w:history="1">
        <w:r w:rsidRPr="00FD4D6A">
          <w:rPr>
            <w:rStyle w:val="Hyperlink"/>
            <w:rFonts w:ascii="Calibri" w:hAnsi="Calibri" w:cs="Tahoma"/>
            <w:color w:val="auto"/>
            <w:sz w:val="24"/>
            <w:szCs w:val="24"/>
            <w:u w:val="none"/>
          </w:rPr>
          <w:t>abdominal pain</w:t>
        </w:r>
      </w:hyperlink>
      <w:r w:rsidRPr="00FD4D6A">
        <w:rPr>
          <w:rFonts w:ascii="Calibri" w:hAnsi="Calibri" w:cs="Tahoma"/>
          <w:sz w:val="24"/>
          <w:szCs w:val="24"/>
        </w:rPr>
        <w:t xml:space="preserve">, discomfort, bloating, and alteration of bowel habits in the absence of any organic cause. </w:t>
      </w:r>
      <w:hyperlink r:id="rId8" w:tooltip="Diarrhea" w:history="1">
        <w:r w:rsidRPr="00FD4D6A">
          <w:rPr>
            <w:rStyle w:val="Hyperlink"/>
            <w:rFonts w:ascii="Calibri" w:hAnsi="Calibri" w:cs="Tahoma"/>
            <w:color w:val="auto"/>
            <w:sz w:val="24"/>
            <w:szCs w:val="24"/>
            <w:u w:val="none"/>
          </w:rPr>
          <w:t>Diarrhea</w:t>
        </w:r>
      </w:hyperlink>
      <w:r w:rsidRPr="00FD4D6A">
        <w:rPr>
          <w:rFonts w:ascii="Calibri" w:hAnsi="Calibri" w:cs="Tahoma"/>
          <w:sz w:val="24"/>
          <w:szCs w:val="24"/>
        </w:rPr>
        <w:t xml:space="preserve"> or </w:t>
      </w:r>
      <w:hyperlink r:id="rId9" w:tooltip="Constipation" w:history="1">
        <w:r w:rsidRPr="00FD4D6A">
          <w:rPr>
            <w:rStyle w:val="Hyperlink"/>
            <w:rFonts w:ascii="Calibri" w:hAnsi="Calibri" w:cs="Tahoma"/>
            <w:color w:val="auto"/>
            <w:sz w:val="24"/>
            <w:szCs w:val="24"/>
            <w:u w:val="none"/>
          </w:rPr>
          <w:t>constipation</w:t>
        </w:r>
      </w:hyperlink>
      <w:r w:rsidRPr="00FD4D6A">
        <w:rPr>
          <w:rFonts w:ascii="Calibri" w:hAnsi="Calibri" w:cs="Tahoma"/>
          <w:sz w:val="24"/>
          <w:szCs w:val="24"/>
        </w:rPr>
        <w:t xml:space="preserve"> may predominate, or they may alternate (classified as IBS-D, IBS-C or IBS-A, respectively) </w:t>
      </w:r>
      <w:r w:rsidRPr="00FD4D6A">
        <w:rPr>
          <w:rFonts w:ascii="Calibri" w:hAnsi="Calibri" w:cs="Tahoma"/>
          <w:sz w:val="24"/>
          <w:szCs w:val="24"/>
          <w:vertAlign w:val="superscript"/>
        </w:rPr>
        <w:t>[1]</w:t>
      </w:r>
      <w:r w:rsidRPr="00FD4D6A">
        <w:rPr>
          <w:rFonts w:ascii="Calibri" w:hAnsi="Calibri" w:cs="Tahoma"/>
          <w:sz w:val="24"/>
          <w:szCs w:val="24"/>
        </w:rPr>
        <w:t>.IBS is not associated with any definitive biochemical, structural, or serologic abnormalities that define its presence. Because the symptoms of  IBS are common to a number of other gastrointestinal  conditions, IBS was long considered a “diagnosis of exclusion”</w:t>
      </w:r>
      <w:r w:rsidRPr="00FD4D6A">
        <w:rPr>
          <w:rFonts w:ascii="Calibri" w:hAnsi="Calibri" w:cs="Tahoma"/>
          <w:sz w:val="24"/>
          <w:szCs w:val="24"/>
          <w:vertAlign w:val="superscript"/>
        </w:rPr>
        <w:t>[2]</w:t>
      </w:r>
      <w:r w:rsidRPr="00FD4D6A">
        <w:rPr>
          <w:rFonts w:ascii="Calibri" w:hAnsi="Calibri" w:cs="Tahoma"/>
          <w:sz w:val="24"/>
          <w:szCs w:val="24"/>
        </w:rPr>
        <w:t xml:space="preserve">. </w:t>
      </w:r>
    </w:p>
    <w:p w:rsidR="006634B5" w:rsidRPr="00FD4D6A" w:rsidRDefault="006634B5" w:rsidP="00FD4D6A">
      <w:pPr>
        <w:pStyle w:val="NormalWeb"/>
        <w:spacing w:line="276" w:lineRule="auto"/>
        <w:jc w:val="both"/>
        <w:rPr>
          <w:rFonts w:ascii="Calibri" w:hAnsi="Calibri" w:cs="Tahoma"/>
          <w:sz w:val="24"/>
          <w:szCs w:val="24"/>
        </w:rPr>
      </w:pPr>
      <w:r w:rsidRPr="00FD4D6A">
        <w:rPr>
          <w:rFonts w:ascii="Calibri" w:hAnsi="Calibri" w:cs="Tahoma"/>
          <w:sz w:val="24"/>
          <w:szCs w:val="24"/>
        </w:rPr>
        <w:t xml:space="preserve">An international group of experts in functional GI motility disorders convened to develop symptom-based criteria, known as the </w:t>
      </w:r>
      <w:smartTag w:uri="urn:schemas-microsoft-com:office:smarttags" w:element="City">
        <w:r w:rsidRPr="00FD4D6A">
          <w:rPr>
            <w:rFonts w:ascii="Calibri" w:hAnsi="Calibri" w:cs="Tahoma"/>
            <w:sz w:val="24"/>
            <w:szCs w:val="24"/>
          </w:rPr>
          <w:t>Rome</w:t>
        </w:r>
      </w:smartTag>
      <w:r w:rsidRPr="00FD4D6A">
        <w:rPr>
          <w:rFonts w:ascii="Calibri" w:hAnsi="Calibri" w:cs="Tahoma"/>
          <w:sz w:val="24"/>
          <w:szCs w:val="24"/>
        </w:rPr>
        <w:t xml:space="preserve"> criteria. Overall, the </w:t>
      </w:r>
      <w:smartTag w:uri="urn:schemas-microsoft-com:office:smarttags" w:element="City">
        <w:r w:rsidRPr="00FD4D6A">
          <w:rPr>
            <w:rFonts w:ascii="Calibri" w:hAnsi="Calibri" w:cs="Tahoma"/>
            <w:sz w:val="24"/>
            <w:szCs w:val="24"/>
          </w:rPr>
          <w:t>Rome</w:t>
        </w:r>
      </w:smartTag>
      <w:r w:rsidRPr="00FD4D6A">
        <w:rPr>
          <w:rFonts w:ascii="Calibri" w:hAnsi="Calibri" w:cs="Tahoma"/>
          <w:sz w:val="24"/>
          <w:szCs w:val="24"/>
        </w:rPr>
        <w:t xml:space="preserve"> I and II criteria are considered useful for standardizing enrollment of patients into clinical trials. However, many clinicians believe that these criteria are too restrictive for use in clinical practice</w:t>
      </w:r>
      <w:r w:rsidRPr="00FD4D6A">
        <w:rPr>
          <w:rFonts w:ascii="Calibri" w:hAnsi="Calibri" w:cs="Tahoma"/>
          <w:sz w:val="24"/>
          <w:szCs w:val="24"/>
          <w:vertAlign w:val="superscript"/>
        </w:rPr>
        <w:t xml:space="preserve"> [3]</w:t>
      </w:r>
      <w:r w:rsidRPr="00FD4D6A">
        <w:rPr>
          <w:rFonts w:ascii="Calibri" w:hAnsi="Calibri" w:cs="Tahoma"/>
          <w:sz w:val="24"/>
          <w:szCs w:val="24"/>
        </w:rPr>
        <w:t xml:space="preserve"> The less restrictive symptom timeframe requirements of the Rome III guidelines make them more clinically practical than the previous iterations. Rome III criteria require symptoms to originate for 6 months prior to diagnosis, and be currently active for 3 months </w:t>
      </w:r>
      <w:r w:rsidRPr="00FD4D6A">
        <w:rPr>
          <w:rFonts w:ascii="Calibri" w:hAnsi="Calibri" w:cs="Tahoma"/>
          <w:sz w:val="24"/>
          <w:szCs w:val="24"/>
          <w:vertAlign w:val="superscript"/>
        </w:rPr>
        <w:t>[4]</w:t>
      </w:r>
      <w:r w:rsidRPr="00FD4D6A">
        <w:rPr>
          <w:rFonts w:ascii="Calibri" w:hAnsi="Calibri" w:cs="Tahoma"/>
          <w:sz w:val="24"/>
          <w:szCs w:val="24"/>
        </w:rPr>
        <w:t xml:space="preserve"> </w:t>
      </w:r>
    </w:p>
    <w:p w:rsidR="006634B5" w:rsidRPr="00E35383" w:rsidRDefault="006634B5" w:rsidP="00E35383">
      <w:pPr>
        <w:spacing w:before="240"/>
        <w:jc w:val="both"/>
        <w:rPr>
          <w:rFonts w:cs="Tahoma"/>
          <w:sz w:val="24"/>
          <w:szCs w:val="24"/>
        </w:rPr>
      </w:pPr>
      <w:r w:rsidRPr="00E35383">
        <w:rPr>
          <w:rFonts w:cs="Tahoma"/>
          <w:sz w:val="24"/>
          <w:szCs w:val="24"/>
          <w:lang w:val="en-GB" w:bidi="ar-EG"/>
        </w:rPr>
        <w:t xml:space="preserve">Inflammatory bowel disease (IBD) is a group of </w:t>
      </w:r>
      <w:r w:rsidRPr="00E35383">
        <w:rPr>
          <w:sz w:val="24"/>
          <w:szCs w:val="24"/>
        </w:rPr>
        <w:t>chronic, autoimmune and inflammatory disorder</w:t>
      </w:r>
      <w:r w:rsidRPr="00E35383">
        <w:rPr>
          <w:rFonts w:cs="Tahoma"/>
          <w:sz w:val="24"/>
          <w:szCs w:val="24"/>
          <w:lang w:val="en-GB" w:bidi="ar-EG"/>
        </w:rPr>
        <w:t xml:space="preserve"> of the large and small intestine. The major types of IBD are Ulcerative colitis (UC) and Crohn's disease (CD) </w:t>
      </w:r>
      <w:r w:rsidRPr="00E35383">
        <w:rPr>
          <w:rFonts w:cs="Tahoma"/>
          <w:sz w:val="24"/>
          <w:szCs w:val="24"/>
          <w:vertAlign w:val="superscript"/>
          <w:lang w:val="en-GB"/>
        </w:rPr>
        <w:t>[5]</w:t>
      </w:r>
      <w:r w:rsidRPr="00E35383">
        <w:rPr>
          <w:rStyle w:val="HTMLCite"/>
          <w:rFonts w:cs="Tahoma"/>
          <w:sz w:val="24"/>
          <w:szCs w:val="24"/>
        </w:rPr>
        <w:t xml:space="preserve">.  </w:t>
      </w:r>
      <w:r w:rsidRPr="00E35383">
        <w:rPr>
          <w:rFonts w:cs="Tahoma"/>
          <w:sz w:val="24"/>
          <w:szCs w:val="24"/>
        </w:rPr>
        <w:t xml:space="preserve"> </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 xml:space="preserve">There is a considerable overlap between symptoms in patients with IBS and IBD. Furthermore, IBS-like symptoms are frequently reported in patients before the diagnosis of IBD </w:t>
      </w:r>
      <w:r w:rsidRPr="00FD4D6A">
        <w:rPr>
          <w:rFonts w:cs="Tahoma"/>
          <w:sz w:val="24"/>
          <w:szCs w:val="24"/>
          <w:vertAlign w:val="superscript"/>
        </w:rPr>
        <w:t>[6]</w:t>
      </w:r>
      <w:r w:rsidRPr="00FD4D6A">
        <w:rPr>
          <w:rFonts w:cs="Tahoma"/>
          <w:sz w:val="24"/>
          <w:szCs w:val="24"/>
        </w:rPr>
        <w:t>.</w:t>
      </w:r>
      <w:r>
        <w:rPr>
          <w:rFonts w:cs="Tahoma"/>
          <w:sz w:val="24"/>
          <w:szCs w:val="24"/>
        </w:rPr>
        <w:t xml:space="preserve"> </w:t>
      </w:r>
      <w:r w:rsidRPr="00FD4D6A">
        <w:rPr>
          <w:rFonts w:cs="Tahoma"/>
          <w:color w:val="231F20"/>
          <w:sz w:val="24"/>
          <w:szCs w:val="24"/>
        </w:rPr>
        <w:t>Whether irritable bowel syndrome can hide an organic disorder as inflammatory bowel disease still questionable.</w:t>
      </w:r>
    </w:p>
    <w:p w:rsidR="006634B5" w:rsidRDefault="006634B5" w:rsidP="00460548">
      <w:pPr>
        <w:autoSpaceDE w:val="0"/>
        <w:autoSpaceDN w:val="0"/>
        <w:adjustRightInd w:val="0"/>
        <w:spacing w:after="0"/>
        <w:jc w:val="both"/>
        <w:rPr>
          <w:rFonts w:cs="Tahoma"/>
          <w:sz w:val="24"/>
          <w:szCs w:val="24"/>
        </w:rPr>
      </w:pPr>
      <w:r w:rsidRPr="00FD4D6A">
        <w:rPr>
          <w:rFonts w:cs="Tahoma"/>
          <w:sz w:val="24"/>
          <w:szCs w:val="24"/>
        </w:rPr>
        <w:t xml:space="preserve">We aimed in this study to estimate the frequency of detection of IBD in Egyptian patients with clinically diagnosed </w:t>
      </w:r>
      <w:r w:rsidRPr="00FD4D6A">
        <w:rPr>
          <w:rFonts w:cs="Tahoma"/>
          <w:color w:val="231F20"/>
          <w:sz w:val="24"/>
          <w:szCs w:val="24"/>
        </w:rPr>
        <w:t>irritable bowel syndrome</w:t>
      </w:r>
      <w:r w:rsidRPr="00FD4D6A">
        <w:rPr>
          <w:rFonts w:cs="Tahoma"/>
          <w:sz w:val="24"/>
          <w:szCs w:val="24"/>
        </w:rPr>
        <w:t>.</w:t>
      </w:r>
    </w:p>
    <w:p w:rsidR="006634B5" w:rsidRDefault="006634B5" w:rsidP="00460548">
      <w:pPr>
        <w:autoSpaceDE w:val="0"/>
        <w:autoSpaceDN w:val="0"/>
        <w:adjustRightInd w:val="0"/>
        <w:spacing w:after="0"/>
        <w:jc w:val="both"/>
        <w:rPr>
          <w:rFonts w:cs="Tahoma"/>
          <w:sz w:val="24"/>
          <w:szCs w:val="24"/>
        </w:rPr>
      </w:pPr>
    </w:p>
    <w:p w:rsidR="006634B5" w:rsidRDefault="006634B5" w:rsidP="00460548">
      <w:pPr>
        <w:autoSpaceDE w:val="0"/>
        <w:autoSpaceDN w:val="0"/>
        <w:adjustRightInd w:val="0"/>
        <w:spacing w:after="0"/>
        <w:jc w:val="both"/>
        <w:rPr>
          <w:rFonts w:cs="Tahoma"/>
          <w:sz w:val="28"/>
          <w:szCs w:val="28"/>
        </w:rPr>
      </w:pPr>
      <w:r w:rsidRPr="00FD4D6A">
        <w:rPr>
          <w:rFonts w:cs="Tahoma"/>
          <w:b/>
          <w:bCs/>
          <w:sz w:val="28"/>
          <w:szCs w:val="28"/>
          <w:lang w:val="en-GB"/>
        </w:rPr>
        <w:t xml:space="preserve"> 2. Patients and Methods:</w:t>
      </w:r>
    </w:p>
    <w:p w:rsidR="006634B5" w:rsidRDefault="006634B5" w:rsidP="00FE3C20">
      <w:pPr>
        <w:spacing w:before="48" w:after="168"/>
        <w:jc w:val="both"/>
        <w:rPr>
          <w:sz w:val="24"/>
          <w:szCs w:val="24"/>
        </w:rPr>
      </w:pPr>
      <w:r w:rsidRPr="00FE3C20">
        <w:rPr>
          <w:rFonts w:cs="Tahoma"/>
          <w:b/>
          <w:bCs/>
          <w:sz w:val="24"/>
          <w:szCs w:val="24"/>
          <w:lang w:val="en-GB"/>
        </w:rPr>
        <w:t xml:space="preserve">2.1. Patients: </w:t>
      </w:r>
      <w:r w:rsidRPr="00FE3C20">
        <w:rPr>
          <w:rFonts w:cs="Tahoma"/>
          <w:sz w:val="24"/>
          <w:szCs w:val="24"/>
          <w:lang w:val="en-GB"/>
        </w:rPr>
        <w:t>Ninty patients</w:t>
      </w:r>
      <w:r w:rsidRPr="00FE3C20">
        <w:rPr>
          <w:rFonts w:cs="Tahoma"/>
          <w:color w:val="444444"/>
          <w:sz w:val="24"/>
          <w:szCs w:val="24"/>
        </w:rPr>
        <w:t>,</w:t>
      </w:r>
      <w:r w:rsidRPr="00FE3C20">
        <w:rPr>
          <w:rFonts w:cs="Tahoma"/>
          <w:sz w:val="24"/>
          <w:szCs w:val="24"/>
          <w:lang w:val="en-GB"/>
        </w:rPr>
        <w:t xml:space="preserve"> clinically diagnosed to have IBS</w:t>
      </w:r>
      <w:r w:rsidRPr="00FE3C20">
        <w:rPr>
          <w:rFonts w:cs="Tahoma"/>
          <w:color w:val="444444"/>
          <w:sz w:val="24"/>
          <w:szCs w:val="24"/>
        </w:rPr>
        <w:t>,</w:t>
      </w:r>
      <w:r w:rsidRPr="00FE3C20">
        <w:rPr>
          <w:rFonts w:cs="Tahoma"/>
          <w:sz w:val="24"/>
          <w:szCs w:val="24"/>
          <w:lang w:val="en-GB"/>
        </w:rPr>
        <w:t xml:space="preserve"> were included in this prospective study.  </w:t>
      </w:r>
      <w:r w:rsidRPr="00FE3C20">
        <w:rPr>
          <w:rFonts w:cs="Tahoma"/>
          <w:sz w:val="24"/>
          <w:szCs w:val="24"/>
        </w:rPr>
        <w:t>Based on Rome III criteria for functional gastrointestinal disorders</w:t>
      </w:r>
      <w:r w:rsidRPr="00FE3C20">
        <w:rPr>
          <w:rFonts w:cs="Tahoma"/>
          <w:color w:val="444444"/>
          <w:sz w:val="24"/>
          <w:szCs w:val="24"/>
        </w:rPr>
        <w:t>,</w:t>
      </w:r>
      <w:r w:rsidRPr="00FE3C20">
        <w:rPr>
          <w:rFonts w:cs="Tahoma"/>
          <w:sz w:val="24"/>
          <w:szCs w:val="24"/>
        </w:rPr>
        <w:t xml:space="preserve"> (C1 of Rome III Functional Gastrointestinal Disorders)</w:t>
      </w:r>
      <w:r w:rsidRPr="00FE3C20">
        <w:rPr>
          <w:rFonts w:cs="Tahoma"/>
          <w:color w:val="444444"/>
          <w:sz w:val="24"/>
          <w:szCs w:val="24"/>
        </w:rPr>
        <w:t xml:space="preserve">, </w:t>
      </w:r>
      <w:r>
        <w:rPr>
          <w:rFonts w:cs="Tahoma"/>
          <w:sz w:val="24"/>
          <w:szCs w:val="24"/>
        </w:rPr>
        <w:t xml:space="preserve">IBS is </w:t>
      </w:r>
      <w:r w:rsidRPr="00FE3C20">
        <w:rPr>
          <w:rFonts w:cs="Tahoma"/>
          <w:sz w:val="24"/>
          <w:szCs w:val="24"/>
        </w:rPr>
        <w:t xml:space="preserve">defined as </w:t>
      </w:r>
      <w:r w:rsidRPr="00FE3C20">
        <w:rPr>
          <w:color w:val="131417"/>
          <w:sz w:val="24"/>
          <w:szCs w:val="24"/>
        </w:rPr>
        <w:t>abdominal discomfort or pain</w:t>
      </w:r>
      <w:r>
        <w:rPr>
          <w:rFonts w:cs="Tahoma"/>
          <w:sz w:val="24"/>
          <w:szCs w:val="24"/>
        </w:rPr>
        <w:t xml:space="preserve"> </w:t>
      </w:r>
      <w:r w:rsidRPr="00FE3C20">
        <w:rPr>
          <w:rFonts w:cs="Tahoma"/>
          <w:sz w:val="24"/>
          <w:szCs w:val="24"/>
        </w:rPr>
        <w:t xml:space="preserve"> that originate 6 months prior to diagnosis and</w:t>
      </w:r>
      <w:r w:rsidRPr="00FE3C20">
        <w:rPr>
          <w:rFonts w:cs="Tahoma"/>
          <w:b/>
          <w:bCs/>
          <w:sz w:val="24"/>
          <w:szCs w:val="24"/>
        </w:rPr>
        <w:t xml:space="preserve"> </w:t>
      </w:r>
      <w:r w:rsidRPr="00FE3C20">
        <w:rPr>
          <w:rFonts w:cs="Tahoma"/>
          <w:sz w:val="24"/>
          <w:szCs w:val="24"/>
        </w:rPr>
        <w:t>be currently active for</w:t>
      </w:r>
      <w:r w:rsidRPr="00FE3C20">
        <w:rPr>
          <w:rFonts w:cs="Tahoma"/>
          <w:b/>
          <w:bCs/>
          <w:sz w:val="24"/>
          <w:szCs w:val="24"/>
        </w:rPr>
        <w:t xml:space="preserve"> </w:t>
      </w:r>
      <w:r w:rsidRPr="00FE3C20">
        <w:rPr>
          <w:rFonts w:cs="Tahoma"/>
          <w:sz w:val="24"/>
          <w:szCs w:val="24"/>
        </w:rPr>
        <w:t xml:space="preserve">3 months </w:t>
      </w:r>
      <w:r w:rsidRPr="00FE3C20">
        <w:rPr>
          <w:rFonts w:cs="Tahoma"/>
          <w:sz w:val="24"/>
          <w:szCs w:val="24"/>
          <w:vertAlign w:val="superscript"/>
        </w:rPr>
        <w:t>[4]</w:t>
      </w:r>
      <w:r w:rsidRPr="00FE3C20">
        <w:rPr>
          <w:rFonts w:cs="Tahoma"/>
          <w:sz w:val="24"/>
          <w:szCs w:val="24"/>
        </w:rPr>
        <w:t>.</w:t>
      </w:r>
      <w:r w:rsidRPr="00FE3C20">
        <w:rPr>
          <w:color w:val="131417"/>
          <w:sz w:val="24"/>
          <w:szCs w:val="24"/>
        </w:rPr>
        <w:t xml:space="preserve"> This </w:t>
      </w:r>
      <w:r>
        <w:rPr>
          <w:color w:val="131417"/>
          <w:sz w:val="24"/>
          <w:szCs w:val="24"/>
        </w:rPr>
        <w:t xml:space="preserve">abdominal </w:t>
      </w:r>
      <w:r w:rsidRPr="00FE3C20">
        <w:rPr>
          <w:rFonts w:cs="Tahoma"/>
          <w:sz w:val="24"/>
          <w:szCs w:val="24"/>
        </w:rPr>
        <w:t xml:space="preserve">pain </w:t>
      </w:r>
      <w:r w:rsidRPr="00FE3C20">
        <w:rPr>
          <w:color w:val="131417"/>
          <w:sz w:val="24"/>
          <w:szCs w:val="24"/>
        </w:rPr>
        <w:t xml:space="preserve">had two out </w:t>
      </w:r>
      <w:r w:rsidRPr="00FE3C20">
        <w:rPr>
          <w:sz w:val="24"/>
          <w:szCs w:val="24"/>
        </w:rPr>
        <w:t xml:space="preserve">of three of these features: </w:t>
      </w:r>
    </w:p>
    <w:p w:rsidR="006634B5" w:rsidRPr="00FE3C20" w:rsidRDefault="006634B5" w:rsidP="00FE3C20">
      <w:pPr>
        <w:pStyle w:val="ListParagraph"/>
        <w:numPr>
          <w:ilvl w:val="0"/>
          <w:numId w:val="8"/>
        </w:numPr>
        <w:spacing w:before="48" w:after="168"/>
        <w:jc w:val="both"/>
        <w:rPr>
          <w:sz w:val="24"/>
          <w:szCs w:val="24"/>
        </w:rPr>
      </w:pPr>
      <w:r w:rsidRPr="00FE3C20">
        <w:rPr>
          <w:sz w:val="24"/>
          <w:szCs w:val="24"/>
        </w:rPr>
        <w:t xml:space="preserve">Relieved with defecation; and/or </w:t>
      </w:r>
    </w:p>
    <w:p w:rsidR="006634B5" w:rsidRPr="00FE3C20" w:rsidRDefault="006634B5" w:rsidP="00FE3C20">
      <w:pPr>
        <w:pStyle w:val="ListParagraph"/>
        <w:numPr>
          <w:ilvl w:val="0"/>
          <w:numId w:val="8"/>
        </w:numPr>
        <w:spacing w:before="48" w:after="168"/>
        <w:jc w:val="both"/>
        <w:rPr>
          <w:sz w:val="24"/>
          <w:szCs w:val="24"/>
        </w:rPr>
      </w:pPr>
      <w:r w:rsidRPr="00FE3C20">
        <w:rPr>
          <w:sz w:val="24"/>
          <w:szCs w:val="24"/>
        </w:rPr>
        <w:t xml:space="preserve">Onset associated with a change in frequency of stool; and/or </w:t>
      </w:r>
    </w:p>
    <w:p w:rsidR="006634B5" w:rsidRPr="00FE3C20" w:rsidRDefault="006634B5" w:rsidP="00FE3C20">
      <w:pPr>
        <w:pStyle w:val="ListParagraph"/>
        <w:numPr>
          <w:ilvl w:val="0"/>
          <w:numId w:val="8"/>
        </w:numPr>
        <w:spacing w:before="48" w:after="168"/>
        <w:jc w:val="both"/>
        <w:rPr>
          <w:sz w:val="24"/>
          <w:szCs w:val="24"/>
        </w:rPr>
      </w:pPr>
      <w:r w:rsidRPr="00FE3C20">
        <w:rPr>
          <w:sz w:val="24"/>
          <w:szCs w:val="24"/>
        </w:rPr>
        <w:t xml:space="preserve">Onset associated with a change in form (appearance) of stool. </w:t>
      </w:r>
    </w:p>
    <w:p w:rsidR="006634B5" w:rsidRPr="00FE3C20" w:rsidRDefault="006634B5" w:rsidP="00FE3C20">
      <w:pPr>
        <w:autoSpaceDE w:val="0"/>
        <w:autoSpaceDN w:val="0"/>
        <w:adjustRightInd w:val="0"/>
        <w:spacing w:after="0"/>
        <w:jc w:val="both"/>
        <w:rPr>
          <w:rFonts w:cs="Tahoma"/>
          <w:sz w:val="24"/>
          <w:szCs w:val="24"/>
        </w:rPr>
      </w:pPr>
      <w:r w:rsidRPr="00FE3C20">
        <w:rPr>
          <w:rFonts w:cs="Tahoma"/>
          <w:sz w:val="24"/>
          <w:szCs w:val="24"/>
        </w:rPr>
        <w:t xml:space="preserve">The patients were attended to Gastroenterology and Endoscopy Unit, </w:t>
      </w:r>
      <w:smartTag w:uri="urn:schemas-microsoft-com:office:smarttags" w:element="City">
        <w:smartTag w:uri="urn:schemas-microsoft-com:office:smarttags" w:element="City">
          <w:r w:rsidRPr="00FE3C20">
            <w:rPr>
              <w:rFonts w:cs="Tahoma"/>
              <w:sz w:val="24"/>
              <w:szCs w:val="24"/>
            </w:rPr>
            <w:t>Ain</w:t>
          </w:r>
        </w:smartTag>
        <w:r w:rsidRPr="00FE3C20">
          <w:rPr>
            <w:rFonts w:cs="Tahoma"/>
            <w:sz w:val="24"/>
            <w:szCs w:val="24"/>
          </w:rPr>
          <w:t xml:space="preserve"> </w:t>
        </w:r>
        <w:smartTag w:uri="urn:schemas-microsoft-com:office:smarttags" w:element="City">
          <w:r w:rsidRPr="00FE3C20">
            <w:rPr>
              <w:rFonts w:cs="Tahoma"/>
              <w:sz w:val="24"/>
              <w:szCs w:val="24"/>
            </w:rPr>
            <w:t>Shams</w:t>
          </w:r>
        </w:smartTag>
        <w:r w:rsidRPr="00FE3C20">
          <w:rPr>
            <w:rFonts w:cs="Tahoma"/>
            <w:sz w:val="24"/>
            <w:szCs w:val="24"/>
          </w:rPr>
          <w:t xml:space="preserve"> </w:t>
        </w:r>
        <w:smartTag w:uri="urn:schemas-microsoft-com:office:smarttags" w:element="City">
          <w:r w:rsidRPr="00FE3C20">
            <w:rPr>
              <w:rFonts w:cs="Tahoma"/>
              <w:sz w:val="24"/>
              <w:szCs w:val="24"/>
            </w:rPr>
            <w:t>University</w:t>
          </w:r>
        </w:smartTag>
        <w:r w:rsidRPr="00FE3C20">
          <w:rPr>
            <w:rFonts w:cs="Tahoma"/>
            <w:sz w:val="24"/>
            <w:szCs w:val="24"/>
          </w:rPr>
          <w:t xml:space="preserve"> </w:t>
        </w:r>
        <w:smartTag w:uri="urn:schemas-microsoft-com:office:smarttags" w:element="City">
          <w:r w:rsidRPr="00FE3C20">
            <w:rPr>
              <w:rFonts w:cs="Tahoma"/>
              <w:sz w:val="24"/>
              <w:szCs w:val="24"/>
            </w:rPr>
            <w:t>Hospitals</w:t>
          </w:r>
        </w:smartTag>
      </w:smartTag>
      <w:r w:rsidRPr="00FE3C20">
        <w:rPr>
          <w:rFonts w:cs="Tahoma"/>
          <w:sz w:val="24"/>
          <w:szCs w:val="24"/>
        </w:rPr>
        <w:t xml:space="preserve"> between November 2008 and October 2009.</w:t>
      </w:r>
    </w:p>
    <w:p w:rsidR="006634B5" w:rsidRPr="00FE3C20" w:rsidRDefault="006634B5" w:rsidP="00FE3C20">
      <w:pPr>
        <w:spacing w:before="48" w:after="168"/>
        <w:jc w:val="both"/>
        <w:rPr>
          <w:rFonts w:cs="Tahoma"/>
          <w:sz w:val="24"/>
          <w:szCs w:val="24"/>
        </w:rPr>
      </w:pPr>
      <w:r w:rsidRPr="00FE3C20">
        <w:rPr>
          <w:rFonts w:cs="Tahoma"/>
          <w:sz w:val="24"/>
          <w:szCs w:val="24"/>
        </w:rPr>
        <w:t xml:space="preserve">The Exclusion Criteria: </w:t>
      </w:r>
    </w:p>
    <w:p w:rsidR="006634B5" w:rsidRPr="00FE3C20" w:rsidRDefault="006634B5" w:rsidP="00FE3C20">
      <w:pPr>
        <w:pStyle w:val="ListParagraph"/>
        <w:numPr>
          <w:ilvl w:val="0"/>
          <w:numId w:val="2"/>
        </w:numPr>
        <w:spacing w:before="48" w:after="168"/>
        <w:jc w:val="both"/>
        <w:rPr>
          <w:rFonts w:cs="Tahoma"/>
          <w:sz w:val="24"/>
          <w:szCs w:val="24"/>
        </w:rPr>
      </w:pPr>
      <w:r w:rsidRPr="00FE3C20">
        <w:rPr>
          <w:rFonts w:cs="Tahoma"/>
          <w:sz w:val="24"/>
          <w:szCs w:val="24"/>
        </w:rPr>
        <w:t>Patients with known IBD.</w:t>
      </w:r>
    </w:p>
    <w:p w:rsidR="006634B5" w:rsidRPr="00FE3C20" w:rsidRDefault="006634B5" w:rsidP="00FE3C20">
      <w:pPr>
        <w:pStyle w:val="ListParagraph"/>
        <w:numPr>
          <w:ilvl w:val="0"/>
          <w:numId w:val="2"/>
        </w:numPr>
        <w:jc w:val="both"/>
        <w:rPr>
          <w:rFonts w:cs="Tahoma"/>
          <w:sz w:val="24"/>
          <w:szCs w:val="24"/>
        </w:rPr>
      </w:pPr>
      <w:r w:rsidRPr="00FE3C20">
        <w:rPr>
          <w:rFonts w:cs="Tahoma"/>
          <w:sz w:val="24"/>
          <w:szCs w:val="24"/>
        </w:rPr>
        <w:t>Patients presenting with symptoms suggestive of IBD.</w:t>
      </w:r>
    </w:p>
    <w:p w:rsidR="006634B5" w:rsidRPr="00FE3C20" w:rsidRDefault="006634B5" w:rsidP="00FE3C20">
      <w:pPr>
        <w:pStyle w:val="ListParagraph"/>
        <w:numPr>
          <w:ilvl w:val="0"/>
          <w:numId w:val="2"/>
        </w:numPr>
        <w:jc w:val="both"/>
        <w:rPr>
          <w:rFonts w:cs="Tahoma"/>
          <w:sz w:val="24"/>
          <w:szCs w:val="24"/>
        </w:rPr>
      </w:pPr>
      <w:r w:rsidRPr="00FE3C20">
        <w:rPr>
          <w:rFonts w:cs="Tahoma"/>
          <w:sz w:val="24"/>
          <w:szCs w:val="24"/>
        </w:rPr>
        <w:t>Patients with history or diagnosed colorectal cancer.</w:t>
      </w:r>
    </w:p>
    <w:p w:rsidR="006634B5" w:rsidRPr="00FD4D6A" w:rsidRDefault="006634B5" w:rsidP="005B4DD2">
      <w:pPr>
        <w:spacing w:line="240" w:lineRule="auto"/>
        <w:jc w:val="both"/>
        <w:rPr>
          <w:rFonts w:cs="Tahoma"/>
          <w:sz w:val="24"/>
          <w:szCs w:val="24"/>
        </w:rPr>
      </w:pPr>
      <w:r w:rsidRPr="00FD4D6A">
        <w:rPr>
          <w:rFonts w:cs="Tahoma"/>
          <w:sz w:val="24"/>
          <w:szCs w:val="24"/>
        </w:rPr>
        <w:t xml:space="preserve">     4- Patients refusing colonoscopy or refusing to participate in the study.</w:t>
      </w:r>
    </w:p>
    <w:p w:rsidR="006634B5" w:rsidRPr="00FD4D6A" w:rsidRDefault="006634B5" w:rsidP="00F27A35">
      <w:pPr>
        <w:spacing w:line="240" w:lineRule="auto"/>
        <w:jc w:val="both"/>
        <w:rPr>
          <w:rFonts w:cs="Tahoma"/>
          <w:sz w:val="24"/>
          <w:szCs w:val="24"/>
        </w:rPr>
      </w:pPr>
      <w:r w:rsidRPr="00FD4D6A">
        <w:rPr>
          <w:rFonts w:cs="Tahoma"/>
          <w:sz w:val="24"/>
          <w:szCs w:val="24"/>
        </w:rPr>
        <w:t xml:space="preserve">     5- Incomplete colonoscop</w:t>
      </w:r>
      <w:r>
        <w:rPr>
          <w:rFonts w:cs="Tahoma"/>
          <w:sz w:val="24"/>
          <w:szCs w:val="24"/>
        </w:rPr>
        <w:t>ic examination</w:t>
      </w:r>
      <w:r w:rsidRPr="00FD4D6A">
        <w:rPr>
          <w:rFonts w:cs="Tahoma"/>
          <w:sz w:val="24"/>
          <w:szCs w:val="24"/>
        </w:rPr>
        <w:t>.</w:t>
      </w:r>
    </w:p>
    <w:p w:rsidR="006634B5" w:rsidRPr="00FD4D6A" w:rsidRDefault="006634B5" w:rsidP="00FD4D6A">
      <w:pPr>
        <w:tabs>
          <w:tab w:val="num" w:pos="0"/>
          <w:tab w:val="right" w:pos="8280"/>
        </w:tabs>
        <w:jc w:val="both"/>
        <w:rPr>
          <w:rFonts w:cs="Tahoma"/>
          <w:sz w:val="24"/>
          <w:szCs w:val="24"/>
        </w:rPr>
      </w:pPr>
      <w:r w:rsidRPr="00FD4D6A">
        <w:rPr>
          <w:rFonts w:cs="Tahoma"/>
          <w:b/>
          <w:bCs/>
          <w:sz w:val="24"/>
          <w:szCs w:val="24"/>
        </w:rPr>
        <w:t>2.2. Ethical consideration:</w:t>
      </w:r>
      <w:r w:rsidRPr="00FD4D6A">
        <w:rPr>
          <w:rFonts w:cs="Tahoma"/>
          <w:sz w:val="24"/>
          <w:szCs w:val="24"/>
        </w:rPr>
        <w:t xml:space="preserve"> This study has been performed in accordance with the ethical standards</w:t>
      </w:r>
      <w:r w:rsidRPr="00FD4D6A">
        <w:rPr>
          <w:rFonts w:cs="Tahoma"/>
          <w:sz w:val="24"/>
          <w:szCs w:val="24"/>
          <w:lang w:bidi="ar-KW"/>
        </w:rPr>
        <w:t xml:space="preserve">. </w:t>
      </w:r>
      <w:r w:rsidRPr="00FD4D6A">
        <w:rPr>
          <w:rFonts w:cs="Tahoma"/>
          <w:sz w:val="24"/>
          <w:szCs w:val="24"/>
        </w:rPr>
        <w:t>Informed consents were obtained from all participants.</w:t>
      </w:r>
      <w:r w:rsidRPr="00FD4D6A">
        <w:rPr>
          <w:rFonts w:cs="Tahoma"/>
          <w:b/>
          <w:bCs/>
          <w:sz w:val="24"/>
          <w:szCs w:val="24"/>
        </w:rPr>
        <w:t xml:space="preserve"> </w:t>
      </w:r>
      <w:r w:rsidRPr="00FD4D6A">
        <w:rPr>
          <w:rFonts w:cs="Tahoma"/>
          <w:sz w:val="24"/>
          <w:szCs w:val="24"/>
        </w:rPr>
        <w:t xml:space="preserve">Voluntary participation and the right to refuse participation were emphasized. </w:t>
      </w:r>
    </w:p>
    <w:p w:rsidR="006634B5" w:rsidRPr="00FD4D6A" w:rsidRDefault="006634B5" w:rsidP="00FD4D6A">
      <w:pPr>
        <w:jc w:val="both"/>
        <w:rPr>
          <w:rFonts w:cs="Tahoma"/>
          <w:sz w:val="24"/>
          <w:szCs w:val="24"/>
        </w:rPr>
      </w:pPr>
      <w:r w:rsidRPr="00FD4D6A">
        <w:rPr>
          <w:rFonts w:cs="Tahoma"/>
          <w:b/>
          <w:bCs/>
          <w:sz w:val="24"/>
          <w:szCs w:val="24"/>
        </w:rPr>
        <w:t>2.3. Methodology:</w:t>
      </w:r>
      <w:r w:rsidRPr="00FD4D6A">
        <w:rPr>
          <w:rFonts w:cs="Tahoma"/>
          <w:sz w:val="24"/>
          <w:szCs w:val="24"/>
        </w:rPr>
        <w:t xml:space="preserve"> After informed consent, all patients were subjected to full history taking, clinical examination, laboratory investigations in the form of (complete blood count (CBC), erythrocyte sedimentation rate (ESR), C-reactive protein (CRP) and abdominal ultrasound (U/S). Colonoscopic examination was performed by </w:t>
      </w:r>
      <w:r>
        <w:rPr>
          <w:rFonts w:cs="Tahoma"/>
          <w:sz w:val="24"/>
          <w:szCs w:val="24"/>
        </w:rPr>
        <w:t>using</w:t>
      </w:r>
      <w:r w:rsidRPr="00FD4D6A">
        <w:rPr>
          <w:rFonts w:cs="Tahoma"/>
          <w:sz w:val="24"/>
          <w:szCs w:val="24"/>
        </w:rPr>
        <w:t xml:space="preserve"> Pentax Videocolonoscope. Multiple colonic biopsies were obtained and stained with Hematoxylin and Eosin stain for histopathological examination.</w:t>
      </w:r>
    </w:p>
    <w:p w:rsidR="006634B5" w:rsidRPr="00FD4D6A" w:rsidRDefault="006634B5" w:rsidP="00FD4D6A">
      <w:pPr>
        <w:suppressAutoHyphens/>
        <w:jc w:val="both"/>
        <w:rPr>
          <w:rFonts w:cs="Tahoma"/>
          <w:b/>
          <w:bCs/>
          <w:spacing w:val="-3"/>
          <w:sz w:val="24"/>
          <w:szCs w:val="24"/>
        </w:rPr>
      </w:pPr>
      <w:r w:rsidRPr="00FD4D6A">
        <w:rPr>
          <w:rFonts w:cs="Tahoma"/>
          <w:b/>
          <w:bCs/>
          <w:sz w:val="24"/>
          <w:szCs w:val="24"/>
        </w:rPr>
        <w:t xml:space="preserve">2.4. </w:t>
      </w:r>
      <w:r w:rsidRPr="00FD4D6A">
        <w:rPr>
          <w:rFonts w:cs="Tahoma"/>
          <w:b/>
          <w:bCs/>
          <w:spacing w:val="-3"/>
          <w:sz w:val="24"/>
          <w:szCs w:val="24"/>
        </w:rPr>
        <w:t>Statistical methods:</w:t>
      </w:r>
      <w:r w:rsidRPr="00FD4D6A">
        <w:rPr>
          <w:rFonts w:cs="Tahoma"/>
          <w:b/>
          <w:bCs/>
          <w:spacing w:val="-3"/>
          <w:sz w:val="24"/>
          <w:szCs w:val="24"/>
        </w:rPr>
        <w:fldChar w:fldCharType="begin"/>
      </w:r>
      <w:r w:rsidRPr="00FD4D6A">
        <w:rPr>
          <w:rFonts w:cs="Tahoma"/>
          <w:b/>
          <w:bCs/>
          <w:spacing w:val="-3"/>
          <w:sz w:val="24"/>
          <w:szCs w:val="24"/>
        </w:rPr>
        <w:instrText xml:space="preserve">PRIVATE </w:instrText>
      </w:r>
      <w:r w:rsidRPr="00FD4D6A">
        <w:rPr>
          <w:rFonts w:cs="Tahoma"/>
          <w:b/>
          <w:bCs/>
          <w:spacing w:val="-3"/>
          <w:sz w:val="24"/>
          <w:szCs w:val="24"/>
        </w:rPr>
        <w:fldChar w:fldCharType="end"/>
      </w:r>
    </w:p>
    <w:p w:rsidR="006634B5" w:rsidRPr="00FD4D6A" w:rsidRDefault="006634B5" w:rsidP="00FD4D6A">
      <w:pPr>
        <w:tabs>
          <w:tab w:val="left" w:pos="-720"/>
        </w:tabs>
        <w:suppressAutoHyphens/>
        <w:jc w:val="both"/>
        <w:rPr>
          <w:rFonts w:cs="Tahoma"/>
          <w:spacing w:val="-3"/>
          <w:sz w:val="24"/>
          <w:szCs w:val="24"/>
        </w:rPr>
      </w:pPr>
      <w:r w:rsidRPr="00FD4D6A">
        <w:rPr>
          <w:rFonts w:cs="Tahoma"/>
          <w:spacing w:val="-3"/>
          <w:sz w:val="24"/>
          <w:szCs w:val="24"/>
        </w:rPr>
        <w:t>SPSS statistical software package (V. 17.0, Echo</w:t>
      </w:r>
      <w:r>
        <w:rPr>
          <w:rFonts w:cs="Tahoma"/>
          <w:spacing w:val="-3"/>
          <w:sz w:val="24"/>
          <w:szCs w:val="24"/>
        </w:rPr>
        <w:t xml:space="preserve"> </w:t>
      </w:r>
      <w:r w:rsidRPr="00FD4D6A">
        <w:rPr>
          <w:rFonts w:cs="Tahoma"/>
          <w:spacing w:val="-3"/>
          <w:sz w:val="24"/>
          <w:szCs w:val="24"/>
        </w:rPr>
        <w:t xml:space="preserve">soft Corp., </w:t>
      </w:r>
      <w:smartTag w:uri="urn:schemas-microsoft-com:office:smarttags" w:element="City">
        <w:r w:rsidRPr="00FD4D6A">
          <w:rPr>
            <w:rFonts w:cs="Tahoma"/>
            <w:spacing w:val="-3"/>
            <w:sz w:val="24"/>
            <w:szCs w:val="24"/>
          </w:rPr>
          <w:t>USA</w:t>
        </w:r>
      </w:smartTag>
      <w:r w:rsidRPr="00FD4D6A">
        <w:rPr>
          <w:rFonts w:cs="Tahoma"/>
          <w:spacing w:val="-3"/>
          <w:sz w:val="24"/>
          <w:szCs w:val="24"/>
        </w:rPr>
        <w:t>, 2008) was used for data analysis. Data were expressed as Mean±SD for quantitative measures and both number and percentage for categorized data.</w:t>
      </w:r>
    </w:p>
    <w:p w:rsidR="006634B5" w:rsidRPr="00FD4D6A" w:rsidRDefault="006634B5" w:rsidP="00FD4D6A">
      <w:pPr>
        <w:tabs>
          <w:tab w:val="left" w:pos="-720"/>
        </w:tabs>
        <w:suppressAutoHyphens/>
        <w:jc w:val="both"/>
        <w:rPr>
          <w:rFonts w:cs="Tahoma"/>
          <w:spacing w:val="-3"/>
          <w:sz w:val="24"/>
          <w:szCs w:val="24"/>
        </w:rPr>
      </w:pPr>
      <w:r w:rsidRPr="00FD4D6A">
        <w:rPr>
          <w:rFonts w:cs="Tahoma"/>
          <w:spacing w:val="-3"/>
          <w:sz w:val="24"/>
          <w:szCs w:val="24"/>
        </w:rPr>
        <w:t>The following tests were done:</w:t>
      </w:r>
    </w:p>
    <w:p w:rsidR="006634B5" w:rsidRPr="00FD4D6A" w:rsidRDefault="006634B5" w:rsidP="00FD4D6A">
      <w:pPr>
        <w:tabs>
          <w:tab w:val="left" w:pos="-720"/>
        </w:tabs>
        <w:suppressAutoHyphens/>
        <w:jc w:val="both"/>
        <w:rPr>
          <w:rFonts w:cs="Tahoma"/>
          <w:spacing w:val="-3"/>
          <w:sz w:val="24"/>
          <w:szCs w:val="24"/>
        </w:rPr>
      </w:pPr>
      <w:r w:rsidRPr="00FD4D6A">
        <w:rPr>
          <w:rFonts w:cs="Tahoma"/>
          <w:spacing w:val="-3"/>
          <w:sz w:val="24"/>
          <w:szCs w:val="24"/>
        </w:rPr>
        <w:t>1. Comparison between two independent mean groups for parametric data using Student t test.</w:t>
      </w:r>
    </w:p>
    <w:p w:rsidR="006634B5" w:rsidRPr="00FD4D6A" w:rsidRDefault="006634B5" w:rsidP="00FD4D6A">
      <w:pPr>
        <w:tabs>
          <w:tab w:val="left" w:pos="-720"/>
        </w:tabs>
        <w:suppressAutoHyphens/>
        <w:jc w:val="both"/>
        <w:rPr>
          <w:rFonts w:cs="Tahoma"/>
          <w:spacing w:val="-3"/>
          <w:sz w:val="24"/>
          <w:szCs w:val="24"/>
        </w:rPr>
      </w:pPr>
      <w:r w:rsidRPr="00FD4D6A">
        <w:rPr>
          <w:rFonts w:cs="Tahoma"/>
          <w:spacing w:val="-3"/>
          <w:sz w:val="24"/>
          <w:szCs w:val="24"/>
        </w:rPr>
        <w:t>2. Comparison between two independent groups for non-parametric data using Wilcoxon Rank Sum test.</w:t>
      </w:r>
    </w:p>
    <w:p w:rsidR="006634B5" w:rsidRPr="00FD4D6A" w:rsidRDefault="006634B5" w:rsidP="00FD4D6A">
      <w:pPr>
        <w:tabs>
          <w:tab w:val="left" w:pos="-720"/>
        </w:tabs>
        <w:suppressAutoHyphens/>
        <w:jc w:val="both"/>
        <w:rPr>
          <w:rFonts w:cs="Tahoma"/>
          <w:spacing w:val="-3"/>
          <w:sz w:val="24"/>
          <w:szCs w:val="24"/>
        </w:rPr>
      </w:pPr>
      <w:r w:rsidRPr="00FD4D6A">
        <w:rPr>
          <w:rFonts w:cs="Tahoma"/>
          <w:spacing w:val="-3"/>
          <w:sz w:val="24"/>
          <w:szCs w:val="24"/>
        </w:rPr>
        <w:t>3. Chi-square test to study the association between each 2 variables or comparison between 2 independent groups as regards the categorized data.</w:t>
      </w:r>
    </w:p>
    <w:p w:rsidR="006634B5" w:rsidRPr="00FD4D6A" w:rsidRDefault="006634B5" w:rsidP="00FD4D6A">
      <w:pPr>
        <w:tabs>
          <w:tab w:val="left" w:pos="-720"/>
        </w:tabs>
        <w:suppressAutoHyphens/>
        <w:jc w:val="both"/>
        <w:rPr>
          <w:rFonts w:cs="Tahoma"/>
          <w:spacing w:val="-3"/>
          <w:sz w:val="24"/>
          <w:szCs w:val="24"/>
        </w:rPr>
      </w:pPr>
      <w:r w:rsidRPr="00FD4D6A">
        <w:rPr>
          <w:rFonts w:cs="Tahoma"/>
          <w:spacing w:val="-3"/>
          <w:sz w:val="24"/>
          <w:szCs w:val="24"/>
        </w:rPr>
        <w:t>The probability of error at 0.05 was considered significant while at 0.01 and 0.001 are highly significant.</w:t>
      </w:r>
    </w:p>
    <w:p w:rsidR="006634B5" w:rsidRDefault="006634B5" w:rsidP="00460548">
      <w:pPr>
        <w:tabs>
          <w:tab w:val="left" w:pos="-720"/>
        </w:tabs>
        <w:suppressAutoHyphens/>
        <w:jc w:val="both"/>
        <w:rPr>
          <w:rFonts w:cs="Tahoma"/>
          <w:spacing w:val="-3"/>
          <w:sz w:val="24"/>
          <w:szCs w:val="24"/>
        </w:rPr>
      </w:pPr>
      <w:r w:rsidRPr="00FD4D6A">
        <w:rPr>
          <w:rFonts w:cs="Tahoma"/>
          <w:spacing w:val="-2"/>
          <w:sz w:val="24"/>
          <w:szCs w:val="24"/>
        </w:rPr>
        <w:t>4.</w:t>
      </w:r>
      <w:r w:rsidRPr="00FD4D6A">
        <w:rPr>
          <w:rFonts w:cs="Tahoma"/>
          <w:spacing w:val="-3"/>
          <w:sz w:val="24"/>
          <w:szCs w:val="24"/>
        </w:rPr>
        <w:t xml:space="preserve"> Logistic Multi-Regression analysis was used to search for a panel (independent parameters) that can predict the target parameter (dependant variable). By using logistic stepwise multi-regression analysis, we can get the most sensitive ones that predict the dependant variable. They can be sorted according to their sensitivity to discriminate according to their p values.</w:t>
      </w:r>
    </w:p>
    <w:p w:rsidR="006634B5" w:rsidRDefault="006634B5" w:rsidP="00460548">
      <w:pPr>
        <w:tabs>
          <w:tab w:val="left" w:pos="-720"/>
        </w:tabs>
        <w:suppressAutoHyphens/>
        <w:jc w:val="both"/>
        <w:rPr>
          <w:rFonts w:cs="Tahoma"/>
          <w:sz w:val="24"/>
          <w:szCs w:val="24"/>
          <w:lang w:val="en-GB"/>
        </w:rPr>
      </w:pPr>
      <w:r w:rsidRPr="00FD4D6A">
        <w:rPr>
          <w:rFonts w:cs="Tahoma"/>
          <w:b/>
          <w:bCs/>
          <w:sz w:val="28"/>
          <w:szCs w:val="28"/>
        </w:rPr>
        <w:t>3. Results:</w:t>
      </w:r>
      <w:r w:rsidRPr="00FD4D6A">
        <w:rPr>
          <w:rFonts w:cs="Tahoma"/>
          <w:sz w:val="24"/>
          <w:szCs w:val="24"/>
          <w:lang w:val="en-GB"/>
        </w:rPr>
        <w:t xml:space="preserve"> </w:t>
      </w:r>
    </w:p>
    <w:p w:rsidR="006634B5" w:rsidRPr="00FD4D6A" w:rsidRDefault="006634B5" w:rsidP="00460548">
      <w:pPr>
        <w:tabs>
          <w:tab w:val="left" w:pos="-720"/>
        </w:tabs>
        <w:suppressAutoHyphens/>
        <w:jc w:val="both"/>
        <w:rPr>
          <w:rFonts w:cs="Tahoma"/>
          <w:sz w:val="24"/>
          <w:szCs w:val="24"/>
        </w:rPr>
      </w:pPr>
      <w:r w:rsidRPr="00FD4D6A">
        <w:rPr>
          <w:rFonts w:cs="Tahoma"/>
          <w:sz w:val="24"/>
          <w:szCs w:val="24"/>
          <w:lang w:val="en-GB"/>
        </w:rPr>
        <w:t>The included patients were 55 males and 35 females</w:t>
      </w:r>
      <w:r w:rsidRPr="00FD4D6A">
        <w:rPr>
          <w:rFonts w:cs="Tahoma"/>
          <w:sz w:val="24"/>
          <w:szCs w:val="24"/>
        </w:rPr>
        <w:t xml:space="preserve">, </w:t>
      </w:r>
      <w:r w:rsidRPr="00FD4D6A">
        <w:rPr>
          <w:rFonts w:cs="Tahoma"/>
          <w:sz w:val="24"/>
          <w:szCs w:val="24"/>
          <w:lang w:val="en-GB"/>
        </w:rPr>
        <w:t xml:space="preserve">their ages ranged between 19-65 years (Mean±SD=38.29±11.88). All of them were colonoscopic and colonic biopsies were obtained. </w:t>
      </w:r>
      <w:r w:rsidRPr="00FD4D6A">
        <w:rPr>
          <w:rFonts w:cs="Tahoma"/>
          <w:sz w:val="24"/>
          <w:szCs w:val="24"/>
          <w:lang w:val="en-GB" w:bidi="ar-EG"/>
        </w:rPr>
        <w:t>According to histopathological findings</w:t>
      </w:r>
      <w:r w:rsidRPr="00FD4D6A">
        <w:rPr>
          <w:rFonts w:cs="Tahoma"/>
          <w:sz w:val="24"/>
          <w:szCs w:val="24"/>
        </w:rPr>
        <w:t xml:space="preserve">, </w:t>
      </w:r>
      <w:r w:rsidRPr="00FD4D6A">
        <w:rPr>
          <w:rFonts w:cs="Tahoma"/>
          <w:sz w:val="24"/>
          <w:szCs w:val="24"/>
          <w:lang w:val="en-GB" w:bidi="ar-EG"/>
        </w:rPr>
        <w:t>the patients were categorized as shown in table (1).</w:t>
      </w:r>
      <w:r w:rsidRPr="00FD4D6A">
        <w:rPr>
          <w:rFonts w:cs="Tahoma"/>
          <w:b/>
          <w:bCs/>
          <w:sz w:val="24"/>
          <w:szCs w:val="24"/>
        </w:rPr>
        <w:t xml:space="preserve"> </w:t>
      </w:r>
    </w:p>
    <w:p w:rsidR="006634B5" w:rsidRPr="00FD4D6A" w:rsidRDefault="006634B5" w:rsidP="00FD4D6A">
      <w:pPr>
        <w:jc w:val="both"/>
        <w:rPr>
          <w:rFonts w:cs="Tahoma"/>
          <w:sz w:val="24"/>
          <w:szCs w:val="24"/>
        </w:rPr>
      </w:pPr>
      <w:r w:rsidRPr="00FD4D6A">
        <w:rPr>
          <w:rFonts w:cs="Tahoma"/>
          <w:b/>
          <w:bCs/>
          <w:sz w:val="24"/>
          <w:szCs w:val="24"/>
        </w:rPr>
        <w:t>Table (1):</w:t>
      </w:r>
      <w:r w:rsidRPr="00FD4D6A">
        <w:rPr>
          <w:rFonts w:cs="Tahoma"/>
          <w:sz w:val="24"/>
          <w:szCs w:val="24"/>
        </w:rPr>
        <w:t xml:space="preserve"> Distribution of the study cases according to histopathological findings: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8"/>
        <w:gridCol w:w="1267"/>
        <w:gridCol w:w="1134"/>
      </w:tblGrid>
      <w:tr w:rsidR="006634B5" w:rsidRPr="00FD4D6A" w:rsidTr="001B0449">
        <w:trPr>
          <w:trHeight w:val="862"/>
        </w:trPr>
        <w:tc>
          <w:tcPr>
            <w:tcW w:w="2418"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Histopathological Findings</w:t>
            </w:r>
          </w:p>
        </w:tc>
        <w:tc>
          <w:tcPr>
            <w:tcW w:w="1267"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no</w:t>
            </w:r>
          </w:p>
        </w:tc>
        <w:tc>
          <w:tcPr>
            <w:tcW w:w="1134"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w:t>
            </w:r>
          </w:p>
        </w:tc>
      </w:tr>
      <w:tr w:rsidR="006634B5" w:rsidRPr="00FD4D6A" w:rsidTr="001B0449">
        <w:tc>
          <w:tcPr>
            <w:tcW w:w="2418"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color w:val="000000"/>
              </w:rPr>
              <w:t>Normal</w:t>
            </w:r>
            <w:r w:rsidRPr="001B0449">
              <w:rPr>
                <w:rFonts w:ascii="Calibri" w:hAnsi="Calibri" w:cs="Tahoma"/>
              </w:rPr>
              <w:t xml:space="preserve">  Histopathology (IBS cases)</w:t>
            </w:r>
          </w:p>
        </w:tc>
        <w:tc>
          <w:tcPr>
            <w:tcW w:w="1267"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52</w:t>
            </w:r>
          </w:p>
        </w:tc>
        <w:tc>
          <w:tcPr>
            <w:tcW w:w="1134"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57.8</w:t>
            </w:r>
          </w:p>
        </w:tc>
      </w:tr>
      <w:tr w:rsidR="006634B5" w:rsidRPr="00FD4D6A" w:rsidTr="001B0449">
        <w:tc>
          <w:tcPr>
            <w:tcW w:w="2418"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color w:val="000000"/>
              </w:rPr>
              <w:t>Non Specific colitis</w:t>
            </w:r>
          </w:p>
        </w:tc>
        <w:tc>
          <w:tcPr>
            <w:tcW w:w="1267"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16</w:t>
            </w:r>
          </w:p>
        </w:tc>
        <w:tc>
          <w:tcPr>
            <w:tcW w:w="1134"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17.8</w:t>
            </w:r>
          </w:p>
        </w:tc>
      </w:tr>
      <w:tr w:rsidR="006634B5" w:rsidRPr="00FD4D6A" w:rsidTr="001B0449">
        <w:tc>
          <w:tcPr>
            <w:tcW w:w="2418"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color w:val="000000"/>
              </w:rPr>
              <w:t>Bilharzial colitis</w:t>
            </w:r>
          </w:p>
        </w:tc>
        <w:tc>
          <w:tcPr>
            <w:tcW w:w="1267"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3</w:t>
            </w:r>
          </w:p>
        </w:tc>
        <w:tc>
          <w:tcPr>
            <w:tcW w:w="1134"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3.3</w:t>
            </w:r>
          </w:p>
        </w:tc>
      </w:tr>
      <w:tr w:rsidR="006634B5" w:rsidRPr="00FD4D6A" w:rsidTr="001B0449">
        <w:trPr>
          <w:trHeight w:val="722"/>
        </w:trPr>
        <w:tc>
          <w:tcPr>
            <w:tcW w:w="2418"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IBD(</w:t>
            </w:r>
            <w:r w:rsidRPr="001B0449">
              <w:rPr>
                <w:rFonts w:ascii="Calibri" w:hAnsi="Calibri" w:cs="Tahoma"/>
                <w:lang w:val="en-GB"/>
              </w:rPr>
              <w:t>13 cases UC and 4 cases CD)</w:t>
            </w:r>
          </w:p>
        </w:tc>
        <w:tc>
          <w:tcPr>
            <w:tcW w:w="1267"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17</w:t>
            </w:r>
          </w:p>
        </w:tc>
        <w:tc>
          <w:tcPr>
            <w:tcW w:w="1134"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18.9</w:t>
            </w:r>
          </w:p>
        </w:tc>
      </w:tr>
      <w:tr w:rsidR="006634B5" w:rsidRPr="00FD4D6A" w:rsidTr="001B0449">
        <w:trPr>
          <w:trHeight w:val="722"/>
        </w:trPr>
        <w:tc>
          <w:tcPr>
            <w:tcW w:w="2418"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Cancer </w:t>
            </w:r>
            <w:smartTag w:uri="urn:schemas-microsoft-com:office:smarttags" w:element="City">
              <w:r w:rsidRPr="001B0449">
                <w:rPr>
                  <w:rFonts w:ascii="Calibri" w:hAnsi="Calibri" w:cs="Tahoma"/>
                </w:rPr>
                <w:t>Colon</w:t>
              </w:r>
            </w:smartTag>
          </w:p>
        </w:tc>
        <w:tc>
          <w:tcPr>
            <w:tcW w:w="1267"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2</w:t>
            </w:r>
          </w:p>
        </w:tc>
        <w:tc>
          <w:tcPr>
            <w:tcW w:w="1134" w:type="dxa"/>
          </w:tcPr>
          <w:p w:rsidR="006634B5" w:rsidRPr="001B0449" w:rsidRDefault="006634B5" w:rsidP="001B0449">
            <w:pPr>
              <w:pStyle w:val="authlist"/>
              <w:spacing w:before="0" w:beforeAutospacing="0" w:after="0" w:afterAutospacing="0" w:line="276" w:lineRule="auto"/>
              <w:jc w:val="both"/>
              <w:rPr>
                <w:rFonts w:ascii="Calibri" w:hAnsi="Calibri" w:cs="Tahoma"/>
              </w:rPr>
            </w:pPr>
            <w:r w:rsidRPr="001B0449">
              <w:rPr>
                <w:rFonts w:ascii="Calibri" w:hAnsi="Calibri" w:cs="Tahoma"/>
              </w:rPr>
              <w:t xml:space="preserve">   2.2</w:t>
            </w:r>
          </w:p>
        </w:tc>
      </w:tr>
    </w:tbl>
    <w:p w:rsidR="006634B5" w:rsidRPr="00FD4D6A" w:rsidRDefault="006634B5" w:rsidP="00FD4D6A">
      <w:pPr>
        <w:pStyle w:val="authlist"/>
        <w:shd w:val="clear" w:color="auto" w:fill="FFFFFF"/>
        <w:spacing w:before="0" w:beforeAutospacing="0" w:after="0" w:afterAutospacing="0" w:line="276" w:lineRule="auto"/>
        <w:jc w:val="both"/>
        <w:rPr>
          <w:rFonts w:ascii="Calibri" w:hAnsi="Calibri" w:cs="Tahoma"/>
          <w:sz w:val="22"/>
          <w:szCs w:val="22"/>
        </w:rPr>
      </w:pPr>
      <w:r>
        <w:rPr>
          <w:rFonts w:ascii="Calibri" w:hAnsi="Calibri" w:cs="Tahoma"/>
          <w:sz w:val="22"/>
          <w:szCs w:val="22"/>
        </w:rPr>
        <w:t xml:space="preserve">           </w:t>
      </w:r>
      <w:r w:rsidRPr="00FD4D6A">
        <w:rPr>
          <w:rFonts w:ascii="Calibri" w:hAnsi="Calibri" w:cs="Tahoma"/>
          <w:sz w:val="22"/>
          <w:szCs w:val="22"/>
        </w:rPr>
        <w:t>CD= Crohn's disease              UC=Ulcerative colitis</w:t>
      </w:r>
    </w:p>
    <w:p w:rsidR="006634B5" w:rsidRDefault="006634B5" w:rsidP="00FD4D6A">
      <w:pPr>
        <w:jc w:val="both"/>
        <w:rPr>
          <w:rFonts w:cs="Tahoma"/>
          <w:sz w:val="24"/>
          <w:szCs w:val="24"/>
          <w:lang w:bidi="ar-EG"/>
        </w:rPr>
      </w:pPr>
    </w:p>
    <w:p w:rsidR="006634B5" w:rsidRPr="00FD4D6A" w:rsidRDefault="006634B5" w:rsidP="00FD4D6A">
      <w:pPr>
        <w:jc w:val="both"/>
        <w:rPr>
          <w:rFonts w:cs="Tahoma"/>
          <w:sz w:val="24"/>
          <w:szCs w:val="24"/>
          <w:lang w:bidi="ar-EG"/>
        </w:rPr>
      </w:pPr>
      <w:r w:rsidRPr="00FD4D6A">
        <w:rPr>
          <w:rFonts w:cs="Tahoma"/>
          <w:sz w:val="24"/>
          <w:szCs w:val="24"/>
          <w:lang w:bidi="ar-EG"/>
        </w:rPr>
        <w:t xml:space="preserve">Patients with normal </w:t>
      </w:r>
      <w:r w:rsidRPr="00FD4D6A">
        <w:rPr>
          <w:rFonts w:cs="Tahoma"/>
          <w:sz w:val="24"/>
          <w:szCs w:val="24"/>
        </w:rPr>
        <w:t>histopathological findings represented the group of IBS.</w:t>
      </w:r>
      <w:r w:rsidRPr="00FD4D6A">
        <w:rPr>
          <w:rFonts w:cs="Tahoma"/>
          <w:sz w:val="24"/>
          <w:szCs w:val="24"/>
          <w:lang w:val="en-GB" w:bidi="ar-EG"/>
        </w:rPr>
        <w:t>The mean</w:t>
      </w:r>
      <w:r w:rsidRPr="00FD4D6A">
        <w:rPr>
          <w:rFonts w:cs="Tahoma"/>
          <w:sz w:val="24"/>
          <w:szCs w:val="24"/>
          <w:lang w:bidi="ar-EG"/>
        </w:rPr>
        <w:t>±</w:t>
      </w:r>
      <w:r w:rsidRPr="00FD4D6A">
        <w:rPr>
          <w:rFonts w:cs="Tahoma"/>
          <w:sz w:val="24"/>
          <w:szCs w:val="24"/>
          <w:lang w:val="en-GB" w:bidi="ar-EG"/>
        </w:rPr>
        <w:t>SD of ages showed no significant difference between IBS and IBD cases</w:t>
      </w:r>
      <w:r w:rsidRPr="00FD4D6A">
        <w:rPr>
          <w:rFonts w:cs="Tahoma"/>
          <w:sz w:val="24"/>
          <w:szCs w:val="24"/>
        </w:rPr>
        <w:t xml:space="preserve">, </w:t>
      </w:r>
      <w:r w:rsidRPr="00FD4D6A">
        <w:rPr>
          <w:rFonts w:cs="Tahoma"/>
          <w:sz w:val="24"/>
          <w:szCs w:val="24"/>
          <w:lang w:val="en-GB" w:bidi="ar-EG"/>
        </w:rPr>
        <w:t>(</w:t>
      </w:r>
      <w:r w:rsidRPr="00FD4D6A">
        <w:rPr>
          <w:rFonts w:cs="Tahoma"/>
          <w:sz w:val="24"/>
          <w:szCs w:val="24"/>
        </w:rPr>
        <w:t>38.4±12.54</w:t>
      </w:r>
      <w:r w:rsidRPr="00FD4D6A">
        <w:rPr>
          <w:rFonts w:cs="Tahoma"/>
          <w:sz w:val="24"/>
          <w:szCs w:val="24"/>
          <w:lang w:val="en-GB" w:bidi="ar-EG"/>
        </w:rPr>
        <w:t>) and (</w:t>
      </w:r>
      <w:r w:rsidRPr="00FD4D6A">
        <w:rPr>
          <w:rFonts w:cs="Tahoma"/>
          <w:sz w:val="24"/>
          <w:szCs w:val="24"/>
        </w:rPr>
        <w:t>37.2±8.5</w:t>
      </w:r>
      <w:r w:rsidRPr="00FD4D6A">
        <w:rPr>
          <w:rFonts w:cs="Tahoma"/>
          <w:sz w:val="24"/>
          <w:szCs w:val="24"/>
          <w:lang w:bidi="ar-EG"/>
        </w:rPr>
        <w:t xml:space="preserve">) years respectively. Also no </w:t>
      </w:r>
      <w:r w:rsidRPr="00FD4D6A">
        <w:rPr>
          <w:rFonts w:cs="Tahoma"/>
          <w:sz w:val="24"/>
          <w:szCs w:val="24"/>
          <w:lang w:val="en-GB" w:bidi="ar-EG"/>
        </w:rPr>
        <w:t>significant difference between</w:t>
      </w:r>
      <w:r w:rsidRPr="00FD4D6A">
        <w:rPr>
          <w:rFonts w:cs="Tahoma"/>
          <w:sz w:val="24"/>
          <w:szCs w:val="24"/>
          <w:lang w:bidi="ar-EG"/>
        </w:rPr>
        <w:t xml:space="preserve"> them as regard the gender and symptomatology such as abdominal pain</w:t>
      </w:r>
      <w:r w:rsidRPr="00FD4D6A">
        <w:rPr>
          <w:rFonts w:cs="Tahoma"/>
          <w:sz w:val="24"/>
          <w:szCs w:val="24"/>
        </w:rPr>
        <w:t xml:space="preserve">, </w:t>
      </w:r>
      <w:r w:rsidRPr="00FD4D6A">
        <w:rPr>
          <w:rFonts w:cs="Tahoma"/>
          <w:sz w:val="24"/>
          <w:szCs w:val="24"/>
          <w:lang w:bidi="ar-EG"/>
        </w:rPr>
        <w:t>bloating</w:t>
      </w:r>
      <w:r w:rsidRPr="00FD4D6A">
        <w:rPr>
          <w:rFonts w:cs="Tahoma"/>
          <w:sz w:val="24"/>
          <w:szCs w:val="24"/>
        </w:rPr>
        <w:t xml:space="preserve">, </w:t>
      </w:r>
      <w:r w:rsidRPr="00FD4D6A">
        <w:rPr>
          <w:rFonts w:cs="Tahoma"/>
          <w:sz w:val="24"/>
          <w:szCs w:val="24"/>
          <w:lang w:bidi="ar-EG"/>
        </w:rPr>
        <w:t xml:space="preserve">diarrhea and constipation. </w:t>
      </w:r>
    </w:p>
    <w:p w:rsidR="006634B5" w:rsidRPr="00FD4D6A" w:rsidRDefault="006634B5" w:rsidP="00FD4D6A">
      <w:pPr>
        <w:jc w:val="both"/>
        <w:rPr>
          <w:rFonts w:cs="Tahoma"/>
          <w:sz w:val="24"/>
          <w:szCs w:val="24"/>
          <w:lang w:bidi="ar-EG"/>
        </w:rPr>
      </w:pPr>
      <w:r w:rsidRPr="00FD4D6A">
        <w:rPr>
          <w:rFonts w:cs="Tahoma"/>
          <w:sz w:val="24"/>
          <w:szCs w:val="24"/>
          <w:lang w:bidi="ar-EG"/>
        </w:rPr>
        <w:t>A highly significant difference was found between IBS and IBD cases regarding the stool analysis (Table 2).</w:t>
      </w:r>
      <w:r>
        <w:rPr>
          <w:rFonts w:cs="Tahoma"/>
          <w:sz w:val="24"/>
          <w:szCs w:val="24"/>
          <w:lang w:bidi="ar-EG"/>
        </w:rPr>
        <w:t xml:space="preserve"> </w:t>
      </w:r>
      <w:r w:rsidRPr="00FD4D6A">
        <w:rPr>
          <w:rFonts w:cs="Tahoma"/>
          <w:sz w:val="24"/>
          <w:szCs w:val="24"/>
          <w:lang w:bidi="ar-EG"/>
        </w:rPr>
        <w:t>Occult blood was detected in 41.2% of IBD and none of IBS cases. Negative results were obtained for stool culture of all IBS and IBD cases.</w:t>
      </w:r>
    </w:p>
    <w:p w:rsidR="006634B5" w:rsidRDefault="006634B5" w:rsidP="00FD4D6A">
      <w:pPr>
        <w:jc w:val="both"/>
        <w:rPr>
          <w:rFonts w:cs="Tahoma"/>
          <w:b/>
          <w:bCs/>
          <w:sz w:val="24"/>
          <w:szCs w:val="24"/>
        </w:rPr>
      </w:pPr>
    </w:p>
    <w:p w:rsidR="006634B5" w:rsidRPr="00FD4D6A" w:rsidRDefault="006634B5" w:rsidP="00FD4D6A">
      <w:pPr>
        <w:jc w:val="both"/>
        <w:rPr>
          <w:rFonts w:cs="Tahoma"/>
          <w:sz w:val="24"/>
          <w:szCs w:val="24"/>
        </w:rPr>
      </w:pPr>
      <w:r w:rsidRPr="00FD4D6A">
        <w:rPr>
          <w:rFonts w:cs="Tahoma"/>
          <w:b/>
          <w:bCs/>
          <w:sz w:val="24"/>
          <w:szCs w:val="24"/>
        </w:rPr>
        <w:t>Table (2):</w:t>
      </w:r>
      <w:r w:rsidRPr="00FD4D6A">
        <w:rPr>
          <w:rFonts w:cs="Tahoma"/>
          <w:sz w:val="24"/>
          <w:szCs w:val="24"/>
        </w:rPr>
        <w:t xml:space="preserve"> Stool analysis in IBS and IBD groups:</w:t>
      </w:r>
    </w:p>
    <w:tbl>
      <w:tblPr>
        <w:tblpPr w:leftFromText="180" w:rightFromText="180" w:vertAnchor="text" w:horzAnchor="page" w:tblpX="2233"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9"/>
        <w:gridCol w:w="759"/>
        <w:gridCol w:w="851"/>
        <w:gridCol w:w="850"/>
        <w:gridCol w:w="851"/>
        <w:gridCol w:w="1275"/>
      </w:tblGrid>
      <w:tr w:rsidR="006634B5" w:rsidRPr="00FD4D6A" w:rsidTr="001B0449">
        <w:trPr>
          <w:trHeight w:val="728"/>
        </w:trPr>
        <w:tc>
          <w:tcPr>
            <w:tcW w:w="1759" w:type="dxa"/>
            <w:vMerge w:val="restart"/>
          </w:tcPr>
          <w:p w:rsidR="006634B5" w:rsidRPr="001B0449" w:rsidRDefault="006634B5" w:rsidP="001B0449">
            <w:pPr>
              <w:spacing w:after="0"/>
              <w:jc w:val="both"/>
              <w:rPr>
                <w:rFonts w:cs="Tahoma"/>
                <w:sz w:val="24"/>
                <w:szCs w:val="24"/>
              </w:rPr>
            </w:pPr>
            <w:r w:rsidRPr="001B0449">
              <w:rPr>
                <w:rFonts w:cs="Tahoma"/>
                <w:sz w:val="24"/>
                <w:szCs w:val="24"/>
              </w:rPr>
              <w:t>Stool Analysis</w:t>
            </w:r>
          </w:p>
        </w:tc>
        <w:tc>
          <w:tcPr>
            <w:tcW w:w="1610" w:type="dxa"/>
            <w:gridSpan w:val="2"/>
          </w:tcPr>
          <w:p w:rsidR="006634B5" w:rsidRPr="001B0449" w:rsidRDefault="006634B5" w:rsidP="001B0449">
            <w:pPr>
              <w:spacing w:after="0"/>
              <w:jc w:val="both"/>
              <w:rPr>
                <w:rFonts w:cs="Tahoma"/>
                <w:sz w:val="24"/>
                <w:szCs w:val="24"/>
              </w:rPr>
            </w:pPr>
            <w:r w:rsidRPr="001B0449">
              <w:rPr>
                <w:rFonts w:cs="Tahoma"/>
                <w:sz w:val="24"/>
                <w:szCs w:val="24"/>
              </w:rPr>
              <w:t xml:space="preserve">           IBS</w:t>
            </w:r>
          </w:p>
        </w:tc>
        <w:tc>
          <w:tcPr>
            <w:tcW w:w="1701" w:type="dxa"/>
            <w:gridSpan w:val="2"/>
          </w:tcPr>
          <w:p w:rsidR="006634B5" w:rsidRPr="001B0449" w:rsidRDefault="006634B5" w:rsidP="001B0449">
            <w:pPr>
              <w:spacing w:after="0"/>
              <w:jc w:val="both"/>
              <w:rPr>
                <w:rFonts w:cs="Tahoma"/>
                <w:sz w:val="24"/>
                <w:szCs w:val="24"/>
              </w:rPr>
            </w:pPr>
            <w:r w:rsidRPr="001B0449">
              <w:rPr>
                <w:rFonts w:cs="Tahoma"/>
                <w:sz w:val="24"/>
                <w:szCs w:val="24"/>
              </w:rPr>
              <w:t xml:space="preserve">        IBD</w:t>
            </w:r>
          </w:p>
        </w:tc>
        <w:tc>
          <w:tcPr>
            <w:tcW w:w="1275" w:type="dxa"/>
          </w:tcPr>
          <w:p w:rsidR="006634B5" w:rsidRPr="001B0449" w:rsidRDefault="006634B5" w:rsidP="001B0449">
            <w:pPr>
              <w:spacing w:after="0"/>
              <w:jc w:val="both"/>
              <w:rPr>
                <w:rFonts w:cs="Tahoma"/>
                <w:sz w:val="24"/>
                <w:szCs w:val="24"/>
                <w:lang w:bidi="ar-EG"/>
              </w:rPr>
            </w:pPr>
            <w:r w:rsidRPr="001B0449">
              <w:rPr>
                <w:rFonts w:cs="Tahoma"/>
                <w:sz w:val="24"/>
                <w:szCs w:val="24"/>
              </w:rPr>
              <w:t>P value</w:t>
            </w:r>
          </w:p>
        </w:tc>
      </w:tr>
      <w:tr w:rsidR="006634B5" w:rsidRPr="00FD4D6A" w:rsidTr="001B0449">
        <w:tc>
          <w:tcPr>
            <w:tcW w:w="1759" w:type="dxa"/>
            <w:vMerge/>
          </w:tcPr>
          <w:p w:rsidR="006634B5" w:rsidRPr="001B0449" w:rsidRDefault="006634B5" w:rsidP="001B0449">
            <w:pPr>
              <w:spacing w:after="0"/>
              <w:jc w:val="both"/>
              <w:rPr>
                <w:rFonts w:cs="Tahoma"/>
                <w:sz w:val="24"/>
                <w:szCs w:val="24"/>
              </w:rPr>
            </w:pPr>
          </w:p>
        </w:tc>
        <w:tc>
          <w:tcPr>
            <w:tcW w:w="759" w:type="dxa"/>
          </w:tcPr>
          <w:p w:rsidR="006634B5" w:rsidRPr="001B0449" w:rsidRDefault="006634B5" w:rsidP="001B0449">
            <w:pPr>
              <w:spacing w:after="0"/>
              <w:jc w:val="both"/>
              <w:rPr>
                <w:rFonts w:cs="Tahoma"/>
                <w:sz w:val="24"/>
                <w:szCs w:val="24"/>
              </w:rPr>
            </w:pPr>
            <w:r w:rsidRPr="001B0449">
              <w:rPr>
                <w:rFonts w:cs="Tahoma"/>
                <w:sz w:val="24"/>
                <w:szCs w:val="24"/>
              </w:rPr>
              <w:t>no</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no</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w:t>
            </w:r>
          </w:p>
        </w:tc>
        <w:tc>
          <w:tcPr>
            <w:tcW w:w="1275" w:type="dxa"/>
            <w:vMerge w:val="restart"/>
          </w:tcPr>
          <w:p w:rsidR="006634B5" w:rsidRPr="001B0449" w:rsidRDefault="006634B5" w:rsidP="001B0449">
            <w:pPr>
              <w:spacing w:after="0"/>
              <w:jc w:val="both"/>
              <w:rPr>
                <w:rFonts w:cs="Tahoma"/>
                <w:sz w:val="24"/>
                <w:szCs w:val="24"/>
              </w:rPr>
            </w:pPr>
          </w:p>
          <w:p w:rsidR="006634B5" w:rsidRPr="001B0449" w:rsidRDefault="006634B5" w:rsidP="001B0449">
            <w:pPr>
              <w:spacing w:after="0"/>
              <w:jc w:val="both"/>
              <w:rPr>
                <w:rFonts w:cs="Tahoma"/>
                <w:sz w:val="24"/>
                <w:szCs w:val="24"/>
              </w:rPr>
            </w:pPr>
            <w:r w:rsidRPr="001B0449">
              <w:rPr>
                <w:rFonts w:cs="Tahoma"/>
                <w:sz w:val="24"/>
                <w:szCs w:val="24"/>
              </w:rPr>
              <w:t xml:space="preserve"> </w:t>
            </w:r>
          </w:p>
          <w:p w:rsidR="006634B5" w:rsidRPr="001B0449" w:rsidRDefault="006634B5" w:rsidP="001B0449">
            <w:pPr>
              <w:spacing w:after="0"/>
              <w:jc w:val="both"/>
              <w:rPr>
                <w:rFonts w:cs="Tahoma"/>
                <w:sz w:val="24"/>
                <w:szCs w:val="24"/>
              </w:rPr>
            </w:pPr>
            <w:r w:rsidRPr="001B0449">
              <w:rPr>
                <w:rFonts w:cs="Tahoma"/>
                <w:sz w:val="24"/>
                <w:szCs w:val="24"/>
              </w:rPr>
              <w:t xml:space="preserve"> &lt;0.001</w:t>
            </w:r>
          </w:p>
        </w:tc>
      </w:tr>
      <w:tr w:rsidR="006634B5" w:rsidRPr="00FD4D6A" w:rsidTr="001B0449">
        <w:trPr>
          <w:trHeight w:val="610"/>
        </w:trPr>
        <w:tc>
          <w:tcPr>
            <w:tcW w:w="1759" w:type="dxa"/>
          </w:tcPr>
          <w:p w:rsidR="006634B5" w:rsidRPr="001B0449" w:rsidRDefault="006634B5" w:rsidP="001B0449">
            <w:pPr>
              <w:spacing w:after="0"/>
              <w:jc w:val="both"/>
              <w:rPr>
                <w:rFonts w:cs="Tahoma"/>
                <w:sz w:val="24"/>
                <w:szCs w:val="24"/>
              </w:rPr>
            </w:pPr>
            <w:r w:rsidRPr="001B0449">
              <w:rPr>
                <w:rFonts w:cs="Tahoma"/>
                <w:sz w:val="24"/>
                <w:szCs w:val="24"/>
              </w:rPr>
              <w:t xml:space="preserve">Negative </w:t>
            </w:r>
          </w:p>
        </w:tc>
        <w:tc>
          <w:tcPr>
            <w:tcW w:w="759" w:type="dxa"/>
          </w:tcPr>
          <w:p w:rsidR="006634B5" w:rsidRPr="001B0449" w:rsidRDefault="006634B5" w:rsidP="001B0449">
            <w:pPr>
              <w:spacing w:after="0"/>
              <w:jc w:val="both"/>
              <w:rPr>
                <w:rFonts w:cs="Tahoma"/>
                <w:sz w:val="24"/>
                <w:szCs w:val="24"/>
              </w:rPr>
            </w:pPr>
            <w:r w:rsidRPr="001B0449">
              <w:rPr>
                <w:rFonts w:cs="Tahoma"/>
                <w:sz w:val="24"/>
                <w:szCs w:val="24"/>
              </w:rPr>
              <w:t>45</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86.54</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6</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31.3</w:t>
            </w:r>
          </w:p>
        </w:tc>
        <w:tc>
          <w:tcPr>
            <w:tcW w:w="1275" w:type="dxa"/>
            <w:vMerge/>
          </w:tcPr>
          <w:p w:rsidR="006634B5" w:rsidRPr="001B0449" w:rsidRDefault="006634B5" w:rsidP="001B0449">
            <w:pPr>
              <w:spacing w:after="0"/>
              <w:jc w:val="both"/>
              <w:rPr>
                <w:rFonts w:cs="Tahoma"/>
                <w:b/>
                <w:bCs/>
                <w:sz w:val="24"/>
                <w:szCs w:val="24"/>
              </w:rPr>
            </w:pPr>
          </w:p>
        </w:tc>
      </w:tr>
      <w:tr w:rsidR="006634B5" w:rsidRPr="00FD4D6A" w:rsidTr="001B0449">
        <w:trPr>
          <w:trHeight w:val="420"/>
        </w:trPr>
        <w:tc>
          <w:tcPr>
            <w:tcW w:w="1759" w:type="dxa"/>
          </w:tcPr>
          <w:p w:rsidR="006634B5" w:rsidRPr="001B0449" w:rsidRDefault="006634B5" w:rsidP="001B0449">
            <w:pPr>
              <w:spacing w:after="0"/>
              <w:jc w:val="both"/>
              <w:rPr>
                <w:rFonts w:cs="Tahoma"/>
                <w:sz w:val="24"/>
                <w:szCs w:val="24"/>
              </w:rPr>
            </w:pPr>
            <w:r w:rsidRPr="001B0449">
              <w:rPr>
                <w:rFonts w:cs="Tahoma"/>
                <w:sz w:val="24"/>
                <w:szCs w:val="24"/>
              </w:rPr>
              <w:t xml:space="preserve"> Occult Blood</w:t>
            </w:r>
          </w:p>
        </w:tc>
        <w:tc>
          <w:tcPr>
            <w:tcW w:w="759" w:type="dxa"/>
          </w:tcPr>
          <w:p w:rsidR="006634B5" w:rsidRPr="001B0449" w:rsidRDefault="006634B5" w:rsidP="001B0449">
            <w:pPr>
              <w:spacing w:after="0"/>
              <w:jc w:val="both"/>
              <w:rPr>
                <w:rFonts w:cs="Tahoma"/>
                <w:sz w:val="24"/>
                <w:szCs w:val="24"/>
              </w:rPr>
            </w:pPr>
            <w:r w:rsidRPr="001B0449">
              <w:rPr>
                <w:rFonts w:cs="Tahoma"/>
                <w:sz w:val="24"/>
                <w:szCs w:val="24"/>
              </w:rPr>
              <w:t xml:space="preserve"> 0</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 xml:space="preserve"> </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 xml:space="preserve"> 7</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 xml:space="preserve"> 41.2</w:t>
            </w:r>
          </w:p>
        </w:tc>
        <w:tc>
          <w:tcPr>
            <w:tcW w:w="1275" w:type="dxa"/>
            <w:vMerge/>
          </w:tcPr>
          <w:p w:rsidR="006634B5" w:rsidRPr="001B0449" w:rsidRDefault="006634B5" w:rsidP="001B0449">
            <w:pPr>
              <w:spacing w:after="0"/>
              <w:jc w:val="both"/>
              <w:rPr>
                <w:rFonts w:cs="Tahoma"/>
                <w:b/>
                <w:bCs/>
                <w:sz w:val="24"/>
                <w:szCs w:val="24"/>
              </w:rPr>
            </w:pPr>
          </w:p>
        </w:tc>
      </w:tr>
      <w:tr w:rsidR="006634B5" w:rsidRPr="00FD4D6A" w:rsidTr="001B0449">
        <w:trPr>
          <w:trHeight w:val="995"/>
        </w:trPr>
        <w:tc>
          <w:tcPr>
            <w:tcW w:w="1759" w:type="dxa"/>
          </w:tcPr>
          <w:p w:rsidR="006634B5" w:rsidRPr="001B0449" w:rsidRDefault="006634B5" w:rsidP="001B0449">
            <w:pPr>
              <w:spacing w:after="0"/>
              <w:jc w:val="both"/>
              <w:rPr>
                <w:rFonts w:cs="Tahoma"/>
                <w:sz w:val="24"/>
                <w:szCs w:val="24"/>
              </w:rPr>
            </w:pPr>
            <w:r w:rsidRPr="001B0449">
              <w:rPr>
                <w:rFonts w:cs="Tahoma"/>
                <w:sz w:val="24"/>
                <w:szCs w:val="24"/>
              </w:rPr>
              <w:t>Entamaeba histolytica cysts</w:t>
            </w:r>
          </w:p>
        </w:tc>
        <w:tc>
          <w:tcPr>
            <w:tcW w:w="759" w:type="dxa"/>
          </w:tcPr>
          <w:p w:rsidR="006634B5" w:rsidRPr="001B0449" w:rsidRDefault="006634B5" w:rsidP="001B0449">
            <w:pPr>
              <w:spacing w:after="0"/>
              <w:jc w:val="both"/>
              <w:rPr>
                <w:rFonts w:cs="Tahoma"/>
                <w:sz w:val="24"/>
                <w:szCs w:val="24"/>
              </w:rPr>
            </w:pPr>
            <w:r w:rsidRPr="001B0449">
              <w:rPr>
                <w:rFonts w:cs="Tahoma"/>
                <w:sz w:val="24"/>
                <w:szCs w:val="24"/>
              </w:rPr>
              <w:t>7</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13.46</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2</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11.67</w:t>
            </w:r>
          </w:p>
        </w:tc>
        <w:tc>
          <w:tcPr>
            <w:tcW w:w="1275" w:type="dxa"/>
            <w:vMerge/>
          </w:tcPr>
          <w:p w:rsidR="006634B5" w:rsidRPr="001B0449" w:rsidRDefault="006634B5" w:rsidP="001B0449">
            <w:pPr>
              <w:spacing w:after="0"/>
              <w:jc w:val="both"/>
              <w:rPr>
                <w:rFonts w:cs="Tahoma"/>
                <w:b/>
                <w:bCs/>
                <w:sz w:val="24"/>
                <w:szCs w:val="24"/>
              </w:rPr>
            </w:pPr>
          </w:p>
        </w:tc>
      </w:tr>
      <w:tr w:rsidR="006634B5" w:rsidRPr="00FD4D6A" w:rsidTr="001B0449">
        <w:tc>
          <w:tcPr>
            <w:tcW w:w="1759" w:type="dxa"/>
          </w:tcPr>
          <w:p w:rsidR="006634B5" w:rsidRPr="001B0449" w:rsidRDefault="006634B5" w:rsidP="001B0449">
            <w:pPr>
              <w:spacing w:after="0"/>
              <w:jc w:val="both"/>
              <w:rPr>
                <w:rFonts w:cs="Tahoma"/>
                <w:sz w:val="24"/>
                <w:szCs w:val="24"/>
              </w:rPr>
            </w:pPr>
            <w:r w:rsidRPr="001B0449">
              <w:rPr>
                <w:rFonts w:cs="Tahoma"/>
                <w:sz w:val="24"/>
                <w:szCs w:val="24"/>
              </w:rPr>
              <w:t>Pus cells</w:t>
            </w:r>
          </w:p>
        </w:tc>
        <w:tc>
          <w:tcPr>
            <w:tcW w:w="759" w:type="dxa"/>
          </w:tcPr>
          <w:p w:rsidR="006634B5" w:rsidRPr="001B0449" w:rsidRDefault="006634B5" w:rsidP="001B0449">
            <w:pPr>
              <w:spacing w:after="0"/>
              <w:jc w:val="both"/>
              <w:rPr>
                <w:rFonts w:cs="Tahoma"/>
                <w:sz w:val="24"/>
                <w:szCs w:val="24"/>
              </w:rPr>
            </w:pPr>
            <w:r w:rsidRPr="001B0449">
              <w:rPr>
                <w:rFonts w:cs="Tahoma"/>
                <w:sz w:val="24"/>
                <w:szCs w:val="24"/>
              </w:rPr>
              <w:t>0</w:t>
            </w:r>
          </w:p>
        </w:tc>
        <w:tc>
          <w:tcPr>
            <w:tcW w:w="851" w:type="dxa"/>
          </w:tcPr>
          <w:p w:rsidR="006634B5" w:rsidRPr="001B0449" w:rsidRDefault="006634B5" w:rsidP="001B0449">
            <w:pPr>
              <w:spacing w:after="0"/>
              <w:jc w:val="both"/>
              <w:rPr>
                <w:rFonts w:cs="Tahoma"/>
                <w:sz w:val="24"/>
                <w:szCs w:val="24"/>
              </w:rPr>
            </w:pP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2</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11.67</w:t>
            </w:r>
          </w:p>
        </w:tc>
        <w:tc>
          <w:tcPr>
            <w:tcW w:w="1275" w:type="dxa"/>
            <w:vMerge/>
          </w:tcPr>
          <w:p w:rsidR="006634B5" w:rsidRPr="001B0449" w:rsidRDefault="006634B5" w:rsidP="001B0449">
            <w:pPr>
              <w:spacing w:after="0"/>
              <w:jc w:val="both"/>
              <w:rPr>
                <w:rFonts w:cs="Tahoma"/>
                <w:b/>
                <w:bCs/>
                <w:sz w:val="24"/>
                <w:szCs w:val="24"/>
              </w:rPr>
            </w:pPr>
          </w:p>
        </w:tc>
      </w:tr>
    </w:tbl>
    <w:p w:rsidR="006634B5" w:rsidRPr="00FD4D6A" w:rsidRDefault="006634B5" w:rsidP="00FD4D6A">
      <w:pPr>
        <w:jc w:val="both"/>
        <w:rPr>
          <w:rFonts w:cs="Tahoma"/>
          <w:color w:val="FF0000"/>
          <w:sz w:val="24"/>
          <w:szCs w:val="24"/>
        </w:rPr>
      </w:pPr>
    </w:p>
    <w:p w:rsidR="006634B5" w:rsidRPr="00FD4D6A" w:rsidRDefault="006634B5" w:rsidP="00FD4D6A">
      <w:pPr>
        <w:ind w:left="-187"/>
        <w:jc w:val="both"/>
        <w:rPr>
          <w:rFonts w:cs="Tahoma"/>
          <w:sz w:val="24"/>
          <w:szCs w:val="24"/>
          <w:lang w:bidi="ar-EG"/>
        </w:rPr>
      </w:pPr>
    </w:p>
    <w:p w:rsidR="006634B5" w:rsidRPr="00FD4D6A" w:rsidRDefault="006634B5" w:rsidP="00FD4D6A">
      <w:pPr>
        <w:ind w:left="-187"/>
        <w:jc w:val="both"/>
        <w:rPr>
          <w:rFonts w:cs="Tahoma"/>
          <w:sz w:val="24"/>
          <w:szCs w:val="24"/>
          <w:lang w:bidi="ar-EG"/>
        </w:rPr>
      </w:pPr>
    </w:p>
    <w:p w:rsidR="006634B5" w:rsidRPr="00FD4D6A" w:rsidRDefault="006634B5" w:rsidP="00FD4D6A">
      <w:pPr>
        <w:ind w:left="-187"/>
        <w:jc w:val="both"/>
        <w:rPr>
          <w:rFonts w:cs="Tahoma"/>
          <w:sz w:val="24"/>
          <w:szCs w:val="24"/>
          <w:lang w:bidi="ar-EG"/>
        </w:rPr>
      </w:pPr>
    </w:p>
    <w:p w:rsidR="006634B5" w:rsidRPr="00FD4D6A" w:rsidRDefault="006634B5" w:rsidP="00FD4D6A">
      <w:pPr>
        <w:ind w:left="-187"/>
        <w:jc w:val="both"/>
        <w:rPr>
          <w:rFonts w:cs="Tahoma"/>
          <w:sz w:val="24"/>
          <w:szCs w:val="24"/>
          <w:lang w:bidi="ar-EG"/>
        </w:rPr>
      </w:pPr>
    </w:p>
    <w:p w:rsidR="006634B5" w:rsidRPr="00FD4D6A" w:rsidRDefault="006634B5" w:rsidP="00FD4D6A">
      <w:pPr>
        <w:ind w:left="-187"/>
        <w:jc w:val="both"/>
        <w:rPr>
          <w:rFonts w:cs="Tahoma"/>
          <w:sz w:val="24"/>
          <w:szCs w:val="24"/>
          <w:lang w:bidi="ar-EG"/>
        </w:rPr>
      </w:pPr>
    </w:p>
    <w:p w:rsidR="006634B5" w:rsidRPr="00FD4D6A" w:rsidRDefault="006634B5" w:rsidP="00FD4D6A">
      <w:pPr>
        <w:ind w:left="-187"/>
        <w:jc w:val="both"/>
        <w:rPr>
          <w:rFonts w:cs="Tahoma"/>
          <w:sz w:val="24"/>
          <w:szCs w:val="24"/>
          <w:lang w:bidi="ar-EG"/>
        </w:rPr>
      </w:pPr>
    </w:p>
    <w:p w:rsidR="006634B5" w:rsidRPr="00FD4D6A" w:rsidRDefault="006634B5" w:rsidP="00FD4D6A">
      <w:pPr>
        <w:ind w:left="-187"/>
        <w:jc w:val="both"/>
        <w:rPr>
          <w:rFonts w:cs="Tahoma"/>
          <w:b/>
          <w:bCs/>
          <w:sz w:val="24"/>
          <w:szCs w:val="24"/>
        </w:rPr>
      </w:pPr>
      <w:r w:rsidRPr="00FD4D6A">
        <w:rPr>
          <w:rFonts w:cs="Tahoma"/>
          <w:sz w:val="24"/>
          <w:szCs w:val="24"/>
          <w:lang w:bidi="ar-EG"/>
        </w:rPr>
        <w:t>There was a highly significant difference between IBS and IBD cases regarding low HB concentration</w:t>
      </w:r>
      <w:r w:rsidRPr="00FD4D6A">
        <w:rPr>
          <w:rFonts w:cs="Tahoma"/>
          <w:sz w:val="24"/>
          <w:szCs w:val="24"/>
        </w:rPr>
        <w:t xml:space="preserve">, </w:t>
      </w:r>
      <w:r w:rsidRPr="00FD4D6A">
        <w:rPr>
          <w:rFonts w:cs="Tahoma"/>
          <w:sz w:val="24"/>
          <w:szCs w:val="24"/>
          <w:lang w:bidi="ar-EG"/>
        </w:rPr>
        <w:t>increased WBCs</w:t>
      </w:r>
      <w:r w:rsidRPr="00FD4D6A">
        <w:rPr>
          <w:rFonts w:cs="Tahoma"/>
          <w:sz w:val="24"/>
          <w:szCs w:val="24"/>
        </w:rPr>
        <w:t xml:space="preserve">, </w:t>
      </w:r>
      <w:r w:rsidRPr="00FD4D6A">
        <w:rPr>
          <w:rFonts w:cs="Tahoma"/>
          <w:sz w:val="24"/>
          <w:szCs w:val="24"/>
          <w:lang w:bidi="ar-EG"/>
        </w:rPr>
        <w:t xml:space="preserve">increased platelet counts and </w:t>
      </w:r>
      <w:r w:rsidRPr="00FD4D6A">
        <w:rPr>
          <w:rFonts w:cs="Tahoma"/>
          <w:sz w:val="24"/>
          <w:szCs w:val="24"/>
        </w:rPr>
        <w:t>elevated ESR</w:t>
      </w:r>
      <w:r w:rsidRPr="00FD4D6A">
        <w:rPr>
          <w:rFonts w:cs="Tahoma"/>
          <w:sz w:val="24"/>
          <w:szCs w:val="24"/>
          <w:lang w:bidi="ar-EG"/>
        </w:rPr>
        <w:t xml:space="preserve"> (Table 3).</w:t>
      </w:r>
      <w:r w:rsidRPr="00FD4D6A">
        <w:rPr>
          <w:rFonts w:cs="Tahoma"/>
          <w:b/>
          <w:bCs/>
          <w:sz w:val="24"/>
          <w:szCs w:val="24"/>
        </w:rPr>
        <w:t xml:space="preserve"> </w:t>
      </w:r>
    </w:p>
    <w:p w:rsidR="006634B5" w:rsidRPr="00FD4D6A" w:rsidRDefault="006634B5" w:rsidP="00FD4D6A">
      <w:pPr>
        <w:ind w:left="-187"/>
        <w:jc w:val="both"/>
        <w:rPr>
          <w:rFonts w:cs="Tahoma"/>
          <w:sz w:val="24"/>
          <w:szCs w:val="24"/>
          <w:lang w:bidi="ar-EG"/>
        </w:rPr>
      </w:pPr>
      <w:r w:rsidRPr="00FD4D6A">
        <w:rPr>
          <w:rFonts w:cs="Tahoma"/>
          <w:b/>
          <w:bCs/>
          <w:sz w:val="24"/>
          <w:szCs w:val="24"/>
        </w:rPr>
        <w:t>Table (3):</w:t>
      </w:r>
      <w:r w:rsidRPr="00FD4D6A">
        <w:rPr>
          <w:rFonts w:cs="Tahoma"/>
          <w:b/>
          <w:bCs/>
          <w:sz w:val="24"/>
          <w:szCs w:val="24"/>
          <w:lang w:bidi="ar-EG"/>
        </w:rPr>
        <w:t xml:space="preserve"> </w:t>
      </w:r>
      <w:r w:rsidRPr="00FD4D6A">
        <w:rPr>
          <w:rFonts w:cs="Tahoma"/>
          <w:sz w:val="24"/>
          <w:szCs w:val="24"/>
          <w:lang w:bidi="ar-EG"/>
        </w:rPr>
        <w:t xml:space="preserve">Comparison between IBS and IBD cases in relation to HB </w:t>
      </w:r>
    </w:p>
    <w:p w:rsidR="006634B5" w:rsidRPr="00FD4D6A" w:rsidRDefault="006634B5" w:rsidP="00FD4D6A">
      <w:pPr>
        <w:ind w:left="-187"/>
        <w:jc w:val="both"/>
        <w:rPr>
          <w:rFonts w:cs="Tahoma"/>
          <w:sz w:val="24"/>
          <w:szCs w:val="24"/>
          <w:lang w:bidi="ar-EG"/>
        </w:rPr>
      </w:pPr>
      <w:r w:rsidRPr="00FD4D6A">
        <w:rPr>
          <w:rFonts w:cs="Tahoma"/>
          <w:sz w:val="24"/>
          <w:szCs w:val="24"/>
          <w:lang w:bidi="ar-EG"/>
        </w:rPr>
        <w:t>Concentration</w:t>
      </w:r>
      <w:r w:rsidRPr="00FD4D6A">
        <w:rPr>
          <w:rFonts w:cs="Tahoma"/>
          <w:color w:val="444444"/>
          <w:sz w:val="24"/>
          <w:szCs w:val="24"/>
        </w:rPr>
        <w:t>,</w:t>
      </w:r>
      <w:r w:rsidRPr="00FD4D6A">
        <w:rPr>
          <w:rFonts w:cs="Tahoma"/>
          <w:sz w:val="24"/>
          <w:szCs w:val="24"/>
          <w:lang w:bidi="ar-EG"/>
        </w:rPr>
        <w:t xml:space="preserve"> WBCs</w:t>
      </w:r>
      <w:r w:rsidRPr="00FD4D6A">
        <w:rPr>
          <w:rFonts w:cs="Tahoma"/>
          <w:color w:val="444444"/>
          <w:sz w:val="24"/>
          <w:szCs w:val="24"/>
        </w:rPr>
        <w:t xml:space="preserve">, </w:t>
      </w:r>
      <w:r w:rsidRPr="00FD4D6A">
        <w:rPr>
          <w:rFonts w:cs="Tahoma"/>
          <w:sz w:val="24"/>
          <w:szCs w:val="24"/>
          <w:lang w:bidi="ar-EG"/>
        </w:rPr>
        <w:t>platelet counts and ESR: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843"/>
        <w:gridCol w:w="1843"/>
        <w:gridCol w:w="1134"/>
      </w:tblGrid>
      <w:tr w:rsidR="006634B5" w:rsidRPr="00FD4D6A" w:rsidTr="001B0449">
        <w:tc>
          <w:tcPr>
            <w:tcW w:w="1843" w:type="dxa"/>
          </w:tcPr>
          <w:p w:rsidR="006634B5" w:rsidRPr="001B0449" w:rsidRDefault="006634B5" w:rsidP="001B0449">
            <w:pPr>
              <w:spacing w:after="0"/>
              <w:jc w:val="both"/>
              <w:rPr>
                <w:rFonts w:cs="Tahoma"/>
                <w:sz w:val="24"/>
                <w:szCs w:val="24"/>
                <w:lang w:bidi="ar-EG"/>
              </w:rPr>
            </w:pPr>
          </w:p>
        </w:tc>
        <w:tc>
          <w:tcPr>
            <w:tcW w:w="1843"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IBS</w:t>
            </w:r>
          </w:p>
        </w:tc>
        <w:tc>
          <w:tcPr>
            <w:tcW w:w="1843"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IBD</w:t>
            </w:r>
          </w:p>
        </w:tc>
        <w:tc>
          <w:tcPr>
            <w:tcW w:w="1134" w:type="dxa"/>
          </w:tcPr>
          <w:p w:rsidR="006634B5" w:rsidRPr="001B0449" w:rsidRDefault="006634B5" w:rsidP="001B0449">
            <w:pPr>
              <w:spacing w:after="0"/>
              <w:jc w:val="both"/>
              <w:rPr>
                <w:rFonts w:cs="Tahoma"/>
                <w:sz w:val="24"/>
                <w:szCs w:val="24"/>
                <w:lang w:bidi="ar-EG"/>
              </w:rPr>
            </w:pPr>
            <w:r w:rsidRPr="001B0449">
              <w:rPr>
                <w:rFonts w:cs="Tahoma"/>
                <w:sz w:val="24"/>
                <w:szCs w:val="24"/>
              </w:rPr>
              <w:t>P value</w:t>
            </w:r>
          </w:p>
        </w:tc>
      </w:tr>
      <w:tr w:rsidR="006634B5" w:rsidRPr="00FD4D6A" w:rsidTr="001B0449">
        <w:trPr>
          <w:trHeight w:val="565"/>
        </w:trPr>
        <w:tc>
          <w:tcPr>
            <w:tcW w:w="1843" w:type="dxa"/>
          </w:tcPr>
          <w:p w:rsidR="006634B5" w:rsidRPr="001B0449" w:rsidRDefault="006634B5" w:rsidP="001B0449">
            <w:pPr>
              <w:spacing w:after="0"/>
              <w:jc w:val="both"/>
              <w:rPr>
                <w:rFonts w:cs="Tahoma"/>
                <w:sz w:val="24"/>
                <w:szCs w:val="24"/>
                <w:vertAlign w:val="superscript"/>
                <w:lang w:bidi="ar-EG"/>
              </w:rPr>
            </w:pPr>
            <w:r w:rsidRPr="001B0449">
              <w:rPr>
                <w:rFonts w:cs="Tahoma"/>
                <w:sz w:val="24"/>
                <w:szCs w:val="24"/>
                <w:lang w:bidi="ar-EG"/>
              </w:rPr>
              <w:t>HB</w:t>
            </w:r>
            <w:r w:rsidRPr="001B0449">
              <w:rPr>
                <w:rFonts w:cs="Tahoma"/>
                <w:sz w:val="24"/>
                <w:szCs w:val="24"/>
                <w:vertAlign w:val="superscript"/>
                <w:lang w:bidi="ar-EG"/>
              </w:rPr>
              <w:t>a</w:t>
            </w:r>
          </w:p>
        </w:tc>
        <w:tc>
          <w:tcPr>
            <w:tcW w:w="1843" w:type="dxa"/>
          </w:tcPr>
          <w:p w:rsidR="006634B5" w:rsidRPr="001B0449" w:rsidRDefault="006634B5" w:rsidP="001B0449">
            <w:pPr>
              <w:spacing w:after="0"/>
              <w:jc w:val="both"/>
              <w:rPr>
                <w:rFonts w:cs="Tahoma"/>
                <w:sz w:val="24"/>
                <w:szCs w:val="24"/>
              </w:rPr>
            </w:pPr>
            <w:r w:rsidRPr="001B0449">
              <w:rPr>
                <w:rFonts w:cs="Tahoma"/>
                <w:sz w:val="24"/>
                <w:szCs w:val="24"/>
              </w:rPr>
              <w:t>13.07±1.45</w:t>
            </w:r>
          </w:p>
        </w:tc>
        <w:tc>
          <w:tcPr>
            <w:tcW w:w="1843" w:type="dxa"/>
          </w:tcPr>
          <w:p w:rsidR="006634B5" w:rsidRPr="001B0449" w:rsidRDefault="006634B5" w:rsidP="001B0449">
            <w:pPr>
              <w:spacing w:after="0"/>
              <w:jc w:val="both"/>
              <w:rPr>
                <w:rFonts w:cs="Tahoma"/>
                <w:sz w:val="24"/>
                <w:szCs w:val="24"/>
                <w:lang w:bidi="ar-EG"/>
              </w:rPr>
            </w:pPr>
            <w:r w:rsidRPr="001B0449">
              <w:rPr>
                <w:rFonts w:cs="Tahoma"/>
                <w:sz w:val="24"/>
                <w:szCs w:val="24"/>
              </w:rPr>
              <w:t>11.2±1.8</w:t>
            </w:r>
          </w:p>
        </w:tc>
        <w:tc>
          <w:tcPr>
            <w:tcW w:w="1134" w:type="dxa"/>
          </w:tcPr>
          <w:p w:rsidR="006634B5" w:rsidRPr="001B0449" w:rsidRDefault="006634B5" w:rsidP="001B0449">
            <w:pPr>
              <w:spacing w:after="0"/>
              <w:jc w:val="both"/>
              <w:rPr>
                <w:rFonts w:cs="Tahoma"/>
                <w:sz w:val="24"/>
                <w:szCs w:val="24"/>
                <w:lang w:bidi="ar-EG"/>
              </w:rPr>
            </w:pPr>
            <w:r w:rsidRPr="001B0449">
              <w:rPr>
                <w:rFonts w:cs="Tahoma"/>
                <w:sz w:val="24"/>
                <w:szCs w:val="24"/>
              </w:rPr>
              <w:t>0.001</w:t>
            </w:r>
          </w:p>
        </w:tc>
      </w:tr>
      <w:tr w:rsidR="006634B5" w:rsidRPr="00FD4D6A" w:rsidTr="001B0449">
        <w:tc>
          <w:tcPr>
            <w:tcW w:w="1843" w:type="dxa"/>
          </w:tcPr>
          <w:p w:rsidR="006634B5" w:rsidRPr="001B0449" w:rsidRDefault="006634B5" w:rsidP="001B0449">
            <w:pPr>
              <w:spacing w:after="0"/>
              <w:jc w:val="both"/>
              <w:rPr>
                <w:rFonts w:cs="Tahoma"/>
                <w:sz w:val="24"/>
                <w:szCs w:val="24"/>
                <w:vertAlign w:val="superscript"/>
                <w:lang w:bidi="ar-EG"/>
              </w:rPr>
            </w:pPr>
            <w:r w:rsidRPr="001B0449">
              <w:rPr>
                <w:rFonts w:cs="Tahoma"/>
                <w:sz w:val="24"/>
                <w:szCs w:val="24"/>
                <w:lang w:bidi="ar-EG"/>
              </w:rPr>
              <w:t>WBCs count</w:t>
            </w:r>
            <w:r w:rsidRPr="001B0449">
              <w:rPr>
                <w:rFonts w:cs="Tahoma"/>
                <w:sz w:val="24"/>
                <w:szCs w:val="24"/>
                <w:vertAlign w:val="superscript"/>
                <w:lang w:bidi="ar-EG"/>
              </w:rPr>
              <w:t>b</w:t>
            </w:r>
          </w:p>
        </w:tc>
        <w:tc>
          <w:tcPr>
            <w:tcW w:w="1843"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6069.2±1456.2</w:t>
            </w:r>
          </w:p>
        </w:tc>
        <w:tc>
          <w:tcPr>
            <w:tcW w:w="1843"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8629.4±2766.7</w:t>
            </w:r>
          </w:p>
        </w:tc>
        <w:tc>
          <w:tcPr>
            <w:tcW w:w="1134" w:type="dxa"/>
          </w:tcPr>
          <w:p w:rsidR="006634B5" w:rsidRPr="001B0449" w:rsidRDefault="006634B5" w:rsidP="001B0449">
            <w:pPr>
              <w:spacing w:after="0"/>
              <w:jc w:val="both"/>
              <w:rPr>
                <w:rFonts w:cs="Tahoma"/>
                <w:sz w:val="24"/>
                <w:szCs w:val="24"/>
                <w:lang w:bidi="ar-EG"/>
              </w:rPr>
            </w:pPr>
            <w:r w:rsidRPr="001B0449">
              <w:rPr>
                <w:rFonts w:cs="Tahoma"/>
                <w:sz w:val="24"/>
                <w:szCs w:val="24"/>
              </w:rPr>
              <w:t>0.002</w:t>
            </w:r>
          </w:p>
        </w:tc>
      </w:tr>
      <w:tr w:rsidR="006634B5" w:rsidRPr="00FD4D6A" w:rsidTr="001B0449">
        <w:tc>
          <w:tcPr>
            <w:tcW w:w="1843"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 xml:space="preserve">Platelet count </w:t>
            </w:r>
          </w:p>
        </w:tc>
        <w:tc>
          <w:tcPr>
            <w:tcW w:w="1843"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276.4±55.2</w:t>
            </w:r>
          </w:p>
        </w:tc>
        <w:tc>
          <w:tcPr>
            <w:tcW w:w="1843"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444±69.4</w:t>
            </w:r>
          </w:p>
        </w:tc>
        <w:tc>
          <w:tcPr>
            <w:tcW w:w="1134"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0.000</w:t>
            </w:r>
          </w:p>
        </w:tc>
      </w:tr>
      <w:tr w:rsidR="006634B5" w:rsidRPr="00FD4D6A" w:rsidTr="001B0449">
        <w:tc>
          <w:tcPr>
            <w:tcW w:w="1843"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ESR</w:t>
            </w:r>
          </w:p>
        </w:tc>
        <w:tc>
          <w:tcPr>
            <w:tcW w:w="1843"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11.6±7.4</w:t>
            </w:r>
          </w:p>
        </w:tc>
        <w:tc>
          <w:tcPr>
            <w:tcW w:w="1843"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49.8±29.6</w:t>
            </w:r>
          </w:p>
        </w:tc>
        <w:tc>
          <w:tcPr>
            <w:tcW w:w="1134"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0.000</w:t>
            </w:r>
          </w:p>
        </w:tc>
      </w:tr>
    </w:tbl>
    <w:p w:rsidR="006634B5" w:rsidRPr="00FD4D6A" w:rsidRDefault="006634B5" w:rsidP="00FD4D6A">
      <w:pPr>
        <w:jc w:val="both"/>
        <w:rPr>
          <w:rFonts w:cs="Tahoma"/>
        </w:rPr>
      </w:pPr>
      <w:r w:rsidRPr="00FD4D6A">
        <w:rPr>
          <w:rFonts w:cs="Tahoma"/>
        </w:rPr>
        <w:t>a=haemoglobin concentration          b=white blood cell count</w:t>
      </w:r>
    </w:p>
    <w:p w:rsidR="006634B5" w:rsidRDefault="006634B5" w:rsidP="00FD4D6A">
      <w:pPr>
        <w:jc w:val="both"/>
        <w:rPr>
          <w:rFonts w:cs="Tahoma"/>
          <w:b/>
          <w:bCs/>
          <w:sz w:val="24"/>
          <w:szCs w:val="24"/>
        </w:rPr>
      </w:pPr>
      <w:r w:rsidRPr="00FD4D6A">
        <w:rPr>
          <w:rFonts w:cs="Tahoma"/>
          <w:sz w:val="24"/>
          <w:szCs w:val="24"/>
        </w:rPr>
        <w:t>A highly significant difference was detected between IBD cases in comparison to IBS cases as regard to positive CRP.</w:t>
      </w:r>
      <w:r w:rsidRPr="00FD4D6A">
        <w:rPr>
          <w:rFonts w:cs="Tahoma"/>
          <w:b/>
          <w:bCs/>
          <w:sz w:val="24"/>
          <w:szCs w:val="24"/>
        </w:rPr>
        <w:t xml:space="preserve"> </w:t>
      </w:r>
    </w:p>
    <w:p w:rsidR="006634B5" w:rsidRDefault="006634B5" w:rsidP="00FD4D6A">
      <w:pPr>
        <w:jc w:val="both"/>
        <w:rPr>
          <w:rFonts w:cs="Tahoma"/>
          <w:b/>
          <w:bCs/>
          <w:sz w:val="24"/>
          <w:szCs w:val="24"/>
        </w:rPr>
      </w:pPr>
    </w:p>
    <w:p w:rsidR="006634B5" w:rsidRDefault="006634B5" w:rsidP="00FD4D6A">
      <w:pPr>
        <w:jc w:val="both"/>
        <w:rPr>
          <w:rFonts w:cs="Tahoma"/>
          <w:b/>
          <w:bCs/>
          <w:sz w:val="24"/>
          <w:szCs w:val="24"/>
        </w:rPr>
      </w:pPr>
    </w:p>
    <w:p w:rsidR="006634B5" w:rsidRPr="00FD4D6A" w:rsidRDefault="006634B5" w:rsidP="00FD4D6A">
      <w:pPr>
        <w:jc w:val="both"/>
        <w:rPr>
          <w:rFonts w:cs="Tahoma"/>
          <w:b/>
          <w:bCs/>
          <w:sz w:val="24"/>
          <w:szCs w:val="24"/>
        </w:rPr>
      </w:pPr>
    </w:p>
    <w:p w:rsidR="006634B5" w:rsidRPr="00FD4D6A" w:rsidRDefault="006634B5" w:rsidP="00FD4D6A">
      <w:pPr>
        <w:jc w:val="both"/>
        <w:rPr>
          <w:rFonts w:cs="Tahoma"/>
          <w:sz w:val="24"/>
          <w:szCs w:val="24"/>
          <w:lang w:bidi="ar-EG"/>
        </w:rPr>
      </w:pPr>
      <w:r w:rsidRPr="00FD4D6A">
        <w:rPr>
          <w:rFonts w:cs="Tahoma"/>
          <w:b/>
          <w:bCs/>
          <w:sz w:val="24"/>
          <w:szCs w:val="24"/>
        </w:rPr>
        <w:t>Table (4):</w:t>
      </w:r>
      <w:r w:rsidRPr="00FD4D6A">
        <w:rPr>
          <w:rFonts w:cs="Tahoma"/>
          <w:sz w:val="24"/>
          <w:szCs w:val="24"/>
        </w:rPr>
        <w:t xml:space="preserve"> </w:t>
      </w:r>
      <w:r w:rsidRPr="00FD4D6A">
        <w:rPr>
          <w:rFonts w:cs="Tahoma"/>
          <w:sz w:val="24"/>
          <w:szCs w:val="24"/>
          <w:lang w:bidi="ar-EG"/>
        </w:rPr>
        <w:t>Comparison between IBS and IBD cases in relation to CRP: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6"/>
        <w:gridCol w:w="900"/>
        <w:gridCol w:w="993"/>
        <w:gridCol w:w="850"/>
        <w:gridCol w:w="851"/>
        <w:gridCol w:w="1275"/>
      </w:tblGrid>
      <w:tr w:rsidR="006634B5" w:rsidRPr="00FD4D6A" w:rsidTr="001B0449">
        <w:trPr>
          <w:trHeight w:val="728"/>
        </w:trPr>
        <w:tc>
          <w:tcPr>
            <w:tcW w:w="1476" w:type="dxa"/>
            <w:vMerge w:val="restart"/>
          </w:tcPr>
          <w:p w:rsidR="006634B5" w:rsidRPr="001B0449" w:rsidRDefault="006634B5" w:rsidP="001B0449">
            <w:pPr>
              <w:spacing w:after="0"/>
              <w:jc w:val="both"/>
              <w:rPr>
                <w:rFonts w:cs="Tahoma"/>
                <w:sz w:val="24"/>
                <w:szCs w:val="24"/>
              </w:rPr>
            </w:pPr>
            <w:r w:rsidRPr="001B0449">
              <w:rPr>
                <w:rFonts w:cs="Tahoma"/>
                <w:sz w:val="24"/>
                <w:szCs w:val="24"/>
              </w:rPr>
              <w:t>CRP</w:t>
            </w:r>
          </w:p>
        </w:tc>
        <w:tc>
          <w:tcPr>
            <w:tcW w:w="1893" w:type="dxa"/>
            <w:gridSpan w:val="2"/>
          </w:tcPr>
          <w:p w:rsidR="006634B5" w:rsidRPr="001B0449" w:rsidRDefault="006634B5" w:rsidP="001B0449">
            <w:pPr>
              <w:spacing w:after="0"/>
              <w:jc w:val="both"/>
              <w:rPr>
                <w:rFonts w:cs="Tahoma"/>
                <w:sz w:val="24"/>
                <w:szCs w:val="24"/>
              </w:rPr>
            </w:pPr>
            <w:r w:rsidRPr="001B0449">
              <w:rPr>
                <w:rFonts w:cs="Tahoma"/>
                <w:sz w:val="24"/>
                <w:szCs w:val="24"/>
              </w:rPr>
              <w:t xml:space="preserve">           IBS</w:t>
            </w:r>
          </w:p>
        </w:tc>
        <w:tc>
          <w:tcPr>
            <w:tcW w:w="1701" w:type="dxa"/>
            <w:gridSpan w:val="2"/>
          </w:tcPr>
          <w:p w:rsidR="006634B5" w:rsidRPr="001B0449" w:rsidRDefault="006634B5" w:rsidP="001B0449">
            <w:pPr>
              <w:spacing w:after="0"/>
              <w:jc w:val="both"/>
              <w:rPr>
                <w:rFonts w:cs="Tahoma"/>
                <w:sz w:val="24"/>
                <w:szCs w:val="24"/>
              </w:rPr>
            </w:pPr>
            <w:r w:rsidRPr="001B0449">
              <w:rPr>
                <w:rFonts w:cs="Tahoma"/>
                <w:sz w:val="24"/>
                <w:szCs w:val="24"/>
              </w:rPr>
              <w:t xml:space="preserve">        IBD</w:t>
            </w:r>
          </w:p>
        </w:tc>
        <w:tc>
          <w:tcPr>
            <w:tcW w:w="1275" w:type="dxa"/>
          </w:tcPr>
          <w:p w:rsidR="006634B5" w:rsidRPr="001B0449" w:rsidRDefault="006634B5" w:rsidP="001B0449">
            <w:pPr>
              <w:spacing w:after="0"/>
              <w:jc w:val="both"/>
              <w:rPr>
                <w:rFonts w:cs="Tahoma"/>
                <w:sz w:val="24"/>
                <w:szCs w:val="24"/>
                <w:lang w:bidi="ar-EG"/>
              </w:rPr>
            </w:pPr>
            <w:r w:rsidRPr="001B0449">
              <w:rPr>
                <w:rFonts w:cs="Tahoma"/>
                <w:sz w:val="24"/>
                <w:szCs w:val="24"/>
              </w:rPr>
              <w:t>P value</w:t>
            </w:r>
          </w:p>
        </w:tc>
      </w:tr>
      <w:tr w:rsidR="006634B5" w:rsidRPr="00FD4D6A" w:rsidTr="001B0449">
        <w:tc>
          <w:tcPr>
            <w:tcW w:w="1476" w:type="dxa"/>
            <w:vMerge/>
          </w:tcPr>
          <w:p w:rsidR="006634B5" w:rsidRPr="001B0449" w:rsidRDefault="006634B5" w:rsidP="001B0449">
            <w:pPr>
              <w:spacing w:after="0"/>
              <w:jc w:val="both"/>
              <w:rPr>
                <w:rFonts w:cs="Tahoma"/>
                <w:sz w:val="24"/>
                <w:szCs w:val="24"/>
              </w:rPr>
            </w:pPr>
          </w:p>
        </w:tc>
        <w:tc>
          <w:tcPr>
            <w:tcW w:w="900" w:type="dxa"/>
          </w:tcPr>
          <w:p w:rsidR="006634B5" w:rsidRPr="001B0449" w:rsidRDefault="006634B5" w:rsidP="001B0449">
            <w:pPr>
              <w:spacing w:after="0"/>
              <w:jc w:val="both"/>
              <w:rPr>
                <w:rFonts w:cs="Tahoma"/>
                <w:sz w:val="24"/>
                <w:szCs w:val="24"/>
              </w:rPr>
            </w:pPr>
            <w:r w:rsidRPr="001B0449">
              <w:rPr>
                <w:rFonts w:cs="Tahoma"/>
                <w:sz w:val="24"/>
                <w:szCs w:val="24"/>
              </w:rPr>
              <w:t>no</w:t>
            </w:r>
          </w:p>
        </w:tc>
        <w:tc>
          <w:tcPr>
            <w:tcW w:w="993" w:type="dxa"/>
          </w:tcPr>
          <w:p w:rsidR="006634B5" w:rsidRPr="001B0449" w:rsidRDefault="006634B5" w:rsidP="001B0449">
            <w:pPr>
              <w:spacing w:after="0"/>
              <w:jc w:val="both"/>
              <w:rPr>
                <w:rFonts w:cs="Tahoma"/>
                <w:sz w:val="24"/>
                <w:szCs w:val="24"/>
              </w:rPr>
            </w:pPr>
            <w:r w:rsidRPr="001B0449">
              <w:rPr>
                <w:rFonts w:cs="Tahoma"/>
                <w:sz w:val="24"/>
                <w:szCs w:val="24"/>
              </w:rPr>
              <w:t>%</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no</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w:t>
            </w:r>
          </w:p>
        </w:tc>
        <w:tc>
          <w:tcPr>
            <w:tcW w:w="1275" w:type="dxa"/>
            <w:vMerge w:val="restart"/>
          </w:tcPr>
          <w:p w:rsidR="006634B5" w:rsidRPr="001B0449" w:rsidRDefault="006634B5" w:rsidP="001B0449">
            <w:pPr>
              <w:spacing w:after="0"/>
              <w:jc w:val="both"/>
              <w:rPr>
                <w:rFonts w:cs="Tahoma"/>
                <w:sz w:val="24"/>
                <w:szCs w:val="24"/>
              </w:rPr>
            </w:pPr>
          </w:p>
          <w:p w:rsidR="006634B5" w:rsidRPr="001B0449" w:rsidRDefault="006634B5" w:rsidP="001B0449">
            <w:pPr>
              <w:spacing w:after="0"/>
              <w:jc w:val="both"/>
              <w:rPr>
                <w:rFonts w:cs="Tahoma"/>
                <w:sz w:val="24"/>
                <w:szCs w:val="24"/>
              </w:rPr>
            </w:pPr>
            <w:r w:rsidRPr="001B0449">
              <w:rPr>
                <w:rFonts w:cs="Tahoma"/>
                <w:sz w:val="24"/>
                <w:szCs w:val="24"/>
              </w:rPr>
              <w:t xml:space="preserve">    0.000</w:t>
            </w:r>
          </w:p>
        </w:tc>
      </w:tr>
      <w:tr w:rsidR="006634B5" w:rsidRPr="00FD4D6A" w:rsidTr="001B0449">
        <w:tc>
          <w:tcPr>
            <w:tcW w:w="1476" w:type="dxa"/>
          </w:tcPr>
          <w:p w:rsidR="006634B5" w:rsidRPr="001B0449" w:rsidRDefault="006634B5" w:rsidP="001B0449">
            <w:pPr>
              <w:spacing w:after="0"/>
              <w:jc w:val="both"/>
              <w:rPr>
                <w:rFonts w:cs="Tahoma"/>
                <w:sz w:val="24"/>
                <w:szCs w:val="24"/>
              </w:rPr>
            </w:pPr>
            <w:r w:rsidRPr="001B0449">
              <w:rPr>
                <w:rFonts w:cs="Tahoma"/>
                <w:sz w:val="24"/>
                <w:szCs w:val="24"/>
              </w:rPr>
              <w:t>+ve</w:t>
            </w:r>
          </w:p>
        </w:tc>
        <w:tc>
          <w:tcPr>
            <w:tcW w:w="900" w:type="dxa"/>
          </w:tcPr>
          <w:p w:rsidR="006634B5" w:rsidRPr="001B0449" w:rsidRDefault="006634B5" w:rsidP="001B0449">
            <w:pPr>
              <w:spacing w:after="0"/>
              <w:jc w:val="both"/>
              <w:rPr>
                <w:rFonts w:cs="Tahoma"/>
                <w:sz w:val="24"/>
                <w:szCs w:val="24"/>
              </w:rPr>
            </w:pPr>
            <w:r w:rsidRPr="001B0449">
              <w:rPr>
                <w:rFonts w:cs="Tahoma"/>
                <w:sz w:val="24"/>
                <w:szCs w:val="24"/>
              </w:rPr>
              <w:t>3</w:t>
            </w:r>
          </w:p>
        </w:tc>
        <w:tc>
          <w:tcPr>
            <w:tcW w:w="993" w:type="dxa"/>
          </w:tcPr>
          <w:p w:rsidR="006634B5" w:rsidRPr="001B0449" w:rsidRDefault="006634B5" w:rsidP="001B0449">
            <w:pPr>
              <w:spacing w:after="0"/>
              <w:jc w:val="both"/>
              <w:rPr>
                <w:rFonts w:cs="Tahoma"/>
                <w:sz w:val="24"/>
                <w:szCs w:val="24"/>
              </w:rPr>
            </w:pPr>
            <w:r w:rsidRPr="001B0449">
              <w:rPr>
                <w:rFonts w:cs="Tahoma"/>
                <w:sz w:val="24"/>
                <w:szCs w:val="24"/>
              </w:rPr>
              <w:t>5.8</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9</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52.9</w:t>
            </w:r>
          </w:p>
        </w:tc>
        <w:tc>
          <w:tcPr>
            <w:tcW w:w="1275" w:type="dxa"/>
            <w:vMerge/>
          </w:tcPr>
          <w:p w:rsidR="006634B5" w:rsidRPr="001B0449" w:rsidRDefault="006634B5" w:rsidP="001B0449">
            <w:pPr>
              <w:spacing w:after="0"/>
              <w:jc w:val="both"/>
              <w:rPr>
                <w:rFonts w:cs="Tahoma"/>
                <w:b/>
                <w:bCs/>
                <w:sz w:val="24"/>
                <w:szCs w:val="24"/>
              </w:rPr>
            </w:pPr>
          </w:p>
        </w:tc>
      </w:tr>
      <w:tr w:rsidR="006634B5" w:rsidRPr="00FD4D6A" w:rsidTr="001B0449">
        <w:tc>
          <w:tcPr>
            <w:tcW w:w="1476" w:type="dxa"/>
          </w:tcPr>
          <w:p w:rsidR="006634B5" w:rsidRPr="001B0449" w:rsidRDefault="006634B5" w:rsidP="001B0449">
            <w:pPr>
              <w:spacing w:after="0"/>
              <w:jc w:val="both"/>
              <w:rPr>
                <w:rFonts w:cs="Tahoma"/>
                <w:sz w:val="24"/>
                <w:szCs w:val="24"/>
              </w:rPr>
            </w:pPr>
            <w:r w:rsidRPr="001B0449">
              <w:rPr>
                <w:rFonts w:cs="Tahoma"/>
                <w:sz w:val="24"/>
                <w:szCs w:val="24"/>
              </w:rPr>
              <w:t>-ve</w:t>
            </w:r>
          </w:p>
        </w:tc>
        <w:tc>
          <w:tcPr>
            <w:tcW w:w="900" w:type="dxa"/>
          </w:tcPr>
          <w:p w:rsidR="006634B5" w:rsidRPr="001B0449" w:rsidRDefault="006634B5" w:rsidP="001B0449">
            <w:pPr>
              <w:spacing w:after="0"/>
              <w:jc w:val="both"/>
              <w:rPr>
                <w:rFonts w:cs="Tahoma"/>
                <w:sz w:val="24"/>
                <w:szCs w:val="24"/>
              </w:rPr>
            </w:pPr>
            <w:r w:rsidRPr="001B0449">
              <w:rPr>
                <w:rFonts w:cs="Tahoma"/>
                <w:sz w:val="24"/>
                <w:szCs w:val="24"/>
              </w:rPr>
              <w:t>49</w:t>
            </w:r>
          </w:p>
        </w:tc>
        <w:tc>
          <w:tcPr>
            <w:tcW w:w="993" w:type="dxa"/>
          </w:tcPr>
          <w:p w:rsidR="006634B5" w:rsidRPr="001B0449" w:rsidRDefault="006634B5" w:rsidP="001B0449">
            <w:pPr>
              <w:spacing w:after="0"/>
              <w:jc w:val="both"/>
              <w:rPr>
                <w:rFonts w:cs="Tahoma"/>
                <w:sz w:val="24"/>
                <w:szCs w:val="24"/>
              </w:rPr>
            </w:pPr>
            <w:r w:rsidRPr="001B0449">
              <w:rPr>
                <w:rFonts w:cs="Tahoma"/>
                <w:sz w:val="24"/>
                <w:szCs w:val="24"/>
              </w:rPr>
              <w:t>94.2</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8</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47.1</w:t>
            </w:r>
          </w:p>
        </w:tc>
        <w:tc>
          <w:tcPr>
            <w:tcW w:w="1275" w:type="dxa"/>
            <w:vMerge/>
          </w:tcPr>
          <w:p w:rsidR="006634B5" w:rsidRPr="001B0449" w:rsidRDefault="006634B5" w:rsidP="001B0449">
            <w:pPr>
              <w:spacing w:after="0"/>
              <w:jc w:val="both"/>
              <w:rPr>
                <w:rFonts w:cs="Tahoma"/>
                <w:b/>
                <w:bCs/>
                <w:sz w:val="24"/>
                <w:szCs w:val="24"/>
              </w:rPr>
            </w:pPr>
          </w:p>
        </w:tc>
      </w:tr>
    </w:tbl>
    <w:p w:rsidR="006634B5" w:rsidRPr="00FD4D6A" w:rsidRDefault="006634B5" w:rsidP="00FD4D6A">
      <w:pPr>
        <w:jc w:val="both"/>
        <w:rPr>
          <w:rFonts w:cs="Tahoma"/>
          <w:b/>
          <w:bCs/>
          <w:sz w:val="24"/>
          <w:szCs w:val="24"/>
        </w:rPr>
      </w:pPr>
    </w:p>
    <w:p w:rsidR="006634B5" w:rsidRPr="00FD4D6A" w:rsidRDefault="006634B5" w:rsidP="00FD4D6A">
      <w:pPr>
        <w:jc w:val="both"/>
        <w:rPr>
          <w:rFonts w:cs="Tahoma"/>
          <w:b/>
          <w:bCs/>
          <w:sz w:val="24"/>
          <w:szCs w:val="24"/>
        </w:rPr>
      </w:pPr>
      <w:r w:rsidRPr="00FD4D6A">
        <w:rPr>
          <w:rFonts w:cs="Tahoma"/>
          <w:sz w:val="24"/>
          <w:szCs w:val="24"/>
        </w:rPr>
        <w:t>There was a positive correlation between IBD and abnormal U/S findings with statistically significant difference between IBD and IBS cases.</w:t>
      </w:r>
      <w:r w:rsidRPr="00FD4D6A">
        <w:rPr>
          <w:rFonts w:cs="Tahoma"/>
          <w:b/>
          <w:bCs/>
          <w:sz w:val="24"/>
          <w:szCs w:val="24"/>
        </w:rPr>
        <w:t xml:space="preserve"> </w:t>
      </w:r>
    </w:p>
    <w:p w:rsidR="006634B5" w:rsidRPr="00FD4D6A" w:rsidRDefault="006634B5" w:rsidP="00FD4D6A">
      <w:pPr>
        <w:ind w:left="-187"/>
        <w:jc w:val="both"/>
        <w:rPr>
          <w:rFonts w:cs="Tahoma"/>
          <w:sz w:val="24"/>
          <w:szCs w:val="24"/>
          <w:lang w:bidi="ar-EG"/>
        </w:rPr>
      </w:pPr>
      <w:r w:rsidRPr="00FD4D6A">
        <w:rPr>
          <w:rFonts w:cs="Tahoma"/>
          <w:b/>
          <w:bCs/>
          <w:sz w:val="24"/>
          <w:szCs w:val="24"/>
        </w:rPr>
        <w:t>Table (5):</w:t>
      </w:r>
      <w:r w:rsidRPr="00FD4D6A">
        <w:rPr>
          <w:rFonts w:cs="Tahoma"/>
          <w:sz w:val="24"/>
          <w:szCs w:val="24"/>
          <w:lang w:bidi="ar-EG"/>
        </w:rPr>
        <w:t xml:space="preserve"> Comparison between IBD and IBS cases in relation to U/S findings: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6"/>
        <w:gridCol w:w="900"/>
        <w:gridCol w:w="993"/>
        <w:gridCol w:w="850"/>
        <w:gridCol w:w="851"/>
        <w:gridCol w:w="1134"/>
      </w:tblGrid>
      <w:tr w:rsidR="006634B5" w:rsidRPr="00FD4D6A" w:rsidTr="001B0449">
        <w:trPr>
          <w:trHeight w:val="728"/>
        </w:trPr>
        <w:tc>
          <w:tcPr>
            <w:tcW w:w="1476" w:type="dxa"/>
            <w:vMerge w:val="restart"/>
          </w:tcPr>
          <w:p w:rsidR="006634B5" w:rsidRPr="001B0449" w:rsidRDefault="006634B5" w:rsidP="001B0449">
            <w:pPr>
              <w:spacing w:after="0"/>
              <w:jc w:val="both"/>
              <w:rPr>
                <w:rFonts w:cs="Tahoma"/>
                <w:sz w:val="24"/>
                <w:szCs w:val="24"/>
              </w:rPr>
            </w:pPr>
            <w:r w:rsidRPr="001B0449">
              <w:rPr>
                <w:rFonts w:cs="Tahoma"/>
                <w:sz w:val="24"/>
                <w:szCs w:val="24"/>
              </w:rPr>
              <w:t xml:space="preserve"> U/S Findings</w:t>
            </w:r>
          </w:p>
        </w:tc>
        <w:tc>
          <w:tcPr>
            <w:tcW w:w="1893" w:type="dxa"/>
            <w:gridSpan w:val="2"/>
          </w:tcPr>
          <w:p w:rsidR="006634B5" w:rsidRPr="001B0449" w:rsidRDefault="006634B5" w:rsidP="001B0449">
            <w:pPr>
              <w:spacing w:after="0"/>
              <w:jc w:val="both"/>
              <w:rPr>
                <w:rFonts w:cs="Tahoma"/>
                <w:sz w:val="24"/>
                <w:szCs w:val="24"/>
              </w:rPr>
            </w:pPr>
            <w:r w:rsidRPr="001B0449">
              <w:rPr>
                <w:rFonts w:cs="Tahoma"/>
                <w:sz w:val="24"/>
                <w:szCs w:val="24"/>
              </w:rPr>
              <w:t xml:space="preserve">        IBS</w:t>
            </w:r>
          </w:p>
        </w:tc>
        <w:tc>
          <w:tcPr>
            <w:tcW w:w="1701" w:type="dxa"/>
            <w:gridSpan w:val="2"/>
          </w:tcPr>
          <w:p w:rsidR="006634B5" w:rsidRPr="001B0449" w:rsidRDefault="006634B5" w:rsidP="001B0449">
            <w:pPr>
              <w:spacing w:after="0"/>
              <w:jc w:val="both"/>
              <w:rPr>
                <w:rFonts w:cs="Tahoma"/>
                <w:sz w:val="24"/>
                <w:szCs w:val="24"/>
              </w:rPr>
            </w:pPr>
            <w:r w:rsidRPr="001B0449">
              <w:rPr>
                <w:rFonts w:cs="Tahoma"/>
                <w:sz w:val="24"/>
                <w:szCs w:val="24"/>
              </w:rPr>
              <w:t xml:space="preserve">       IBD</w:t>
            </w:r>
          </w:p>
        </w:tc>
        <w:tc>
          <w:tcPr>
            <w:tcW w:w="1134" w:type="dxa"/>
          </w:tcPr>
          <w:p w:rsidR="006634B5" w:rsidRPr="001B0449" w:rsidRDefault="006634B5" w:rsidP="001B0449">
            <w:pPr>
              <w:spacing w:after="0"/>
              <w:jc w:val="both"/>
              <w:rPr>
                <w:rFonts w:cs="Tahoma"/>
                <w:sz w:val="24"/>
                <w:szCs w:val="24"/>
                <w:lang w:bidi="ar-EG"/>
              </w:rPr>
            </w:pPr>
            <w:r w:rsidRPr="001B0449">
              <w:rPr>
                <w:rFonts w:cs="Tahoma"/>
                <w:sz w:val="24"/>
                <w:szCs w:val="24"/>
              </w:rPr>
              <w:t>P value</w:t>
            </w:r>
          </w:p>
        </w:tc>
      </w:tr>
      <w:tr w:rsidR="006634B5" w:rsidRPr="00FD4D6A" w:rsidTr="001B0449">
        <w:tc>
          <w:tcPr>
            <w:tcW w:w="1476" w:type="dxa"/>
            <w:vMerge/>
          </w:tcPr>
          <w:p w:rsidR="006634B5" w:rsidRPr="001B0449" w:rsidRDefault="006634B5" w:rsidP="001B0449">
            <w:pPr>
              <w:spacing w:after="0"/>
              <w:jc w:val="both"/>
              <w:rPr>
                <w:rFonts w:cs="Tahoma"/>
                <w:sz w:val="24"/>
                <w:szCs w:val="24"/>
              </w:rPr>
            </w:pPr>
          </w:p>
        </w:tc>
        <w:tc>
          <w:tcPr>
            <w:tcW w:w="900" w:type="dxa"/>
          </w:tcPr>
          <w:p w:rsidR="006634B5" w:rsidRPr="001B0449" w:rsidRDefault="006634B5" w:rsidP="001B0449">
            <w:pPr>
              <w:spacing w:after="0"/>
              <w:jc w:val="both"/>
              <w:rPr>
                <w:rFonts w:cs="Tahoma"/>
                <w:sz w:val="24"/>
                <w:szCs w:val="24"/>
              </w:rPr>
            </w:pPr>
            <w:r w:rsidRPr="001B0449">
              <w:rPr>
                <w:rFonts w:cs="Tahoma"/>
                <w:sz w:val="24"/>
                <w:szCs w:val="24"/>
              </w:rPr>
              <w:t>no</w:t>
            </w:r>
          </w:p>
        </w:tc>
        <w:tc>
          <w:tcPr>
            <w:tcW w:w="993" w:type="dxa"/>
          </w:tcPr>
          <w:p w:rsidR="006634B5" w:rsidRPr="001B0449" w:rsidRDefault="006634B5" w:rsidP="001B0449">
            <w:pPr>
              <w:spacing w:after="0"/>
              <w:jc w:val="both"/>
              <w:rPr>
                <w:rFonts w:cs="Tahoma"/>
                <w:sz w:val="24"/>
                <w:szCs w:val="24"/>
              </w:rPr>
            </w:pPr>
            <w:r w:rsidRPr="001B0449">
              <w:rPr>
                <w:rFonts w:cs="Tahoma"/>
                <w:sz w:val="24"/>
                <w:szCs w:val="24"/>
              </w:rPr>
              <w:t>%</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no</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w:t>
            </w:r>
          </w:p>
        </w:tc>
        <w:tc>
          <w:tcPr>
            <w:tcW w:w="1134" w:type="dxa"/>
            <w:vMerge w:val="restart"/>
          </w:tcPr>
          <w:p w:rsidR="006634B5" w:rsidRPr="001B0449" w:rsidRDefault="006634B5" w:rsidP="001B0449">
            <w:pPr>
              <w:spacing w:after="0"/>
              <w:jc w:val="both"/>
              <w:rPr>
                <w:rFonts w:cs="Tahoma"/>
                <w:sz w:val="24"/>
                <w:szCs w:val="24"/>
              </w:rPr>
            </w:pPr>
          </w:p>
          <w:p w:rsidR="006634B5" w:rsidRPr="001B0449" w:rsidRDefault="006634B5" w:rsidP="001B0449">
            <w:pPr>
              <w:spacing w:after="0"/>
              <w:jc w:val="both"/>
              <w:rPr>
                <w:rFonts w:cs="Tahoma"/>
                <w:sz w:val="24"/>
                <w:szCs w:val="24"/>
              </w:rPr>
            </w:pPr>
            <w:r w:rsidRPr="001B0449">
              <w:rPr>
                <w:rFonts w:cs="Tahoma"/>
                <w:sz w:val="24"/>
                <w:szCs w:val="24"/>
              </w:rPr>
              <w:t>0.000</w:t>
            </w:r>
          </w:p>
        </w:tc>
      </w:tr>
      <w:tr w:rsidR="006634B5" w:rsidRPr="00FD4D6A" w:rsidTr="001B0449">
        <w:tc>
          <w:tcPr>
            <w:tcW w:w="1476" w:type="dxa"/>
          </w:tcPr>
          <w:p w:rsidR="006634B5" w:rsidRPr="001B0449" w:rsidRDefault="006634B5" w:rsidP="001B0449">
            <w:pPr>
              <w:spacing w:after="0"/>
              <w:jc w:val="both"/>
              <w:rPr>
                <w:rFonts w:cs="Tahoma"/>
                <w:sz w:val="24"/>
                <w:szCs w:val="24"/>
                <w:lang w:bidi="ar-EG"/>
              </w:rPr>
            </w:pPr>
            <w:r w:rsidRPr="001B0449">
              <w:rPr>
                <w:rStyle w:val="Strong"/>
                <w:rFonts w:cs="Tahoma"/>
                <w:b w:val="0"/>
                <w:bCs w:val="0"/>
                <w:sz w:val="24"/>
                <w:szCs w:val="24"/>
              </w:rPr>
              <w:t>Bowel  wall thickening</w:t>
            </w:r>
            <w:r w:rsidRPr="001B0449">
              <w:rPr>
                <w:rFonts w:cs="Tahoma"/>
                <w:sz w:val="24"/>
                <w:szCs w:val="24"/>
              </w:rPr>
              <w:t xml:space="preserve"> </w:t>
            </w:r>
          </w:p>
        </w:tc>
        <w:tc>
          <w:tcPr>
            <w:tcW w:w="900" w:type="dxa"/>
          </w:tcPr>
          <w:p w:rsidR="006634B5" w:rsidRPr="001B0449" w:rsidRDefault="006634B5" w:rsidP="001B0449">
            <w:pPr>
              <w:spacing w:after="0"/>
              <w:jc w:val="both"/>
              <w:rPr>
                <w:rFonts w:cs="Tahoma"/>
                <w:sz w:val="24"/>
                <w:szCs w:val="24"/>
              </w:rPr>
            </w:pPr>
            <w:r w:rsidRPr="001B0449">
              <w:rPr>
                <w:rFonts w:cs="Tahoma"/>
                <w:sz w:val="24"/>
                <w:szCs w:val="24"/>
              </w:rPr>
              <w:t>0</w:t>
            </w:r>
          </w:p>
        </w:tc>
        <w:tc>
          <w:tcPr>
            <w:tcW w:w="993" w:type="dxa"/>
          </w:tcPr>
          <w:p w:rsidR="006634B5" w:rsidRPr="001B0449" w:rsidRDefault="006634B5" w:rsidP="001B0449">
            <w:pPr>
              <w:spacing w:after="0"/>
              <w:jc w:val="both"/>
              <w:rPr>
                <w:rFonts w:cs="Tahoma"/>
                <w:sz w:val="24"/>
                <w:szCs w:val="24"/>
              </w:rPr>
            </w:pP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13</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76.5</w:t>
            </w:r>
          </w:p>
        </w:tc>
        <w:tc>
          <w:tcPr>
            <w:tcW w:w="1134" w:type="dxa"/>
            <w:vMerge/>
          </w:tcPr>
          <w:p w:rsidR="006634B5" w:rsidRPr="001B0449" w:rsidRDefault="006634B5" w:rsidP="001B0449">
            <w:pPr>
              <w:spacing w:after="0"/>
              <w:jc w:val="both"/>
              <w:rPr>
                <w:rFonts w:cs="Tahoma"/>
                <w:b/>
                <w:bCs/>
                <w:sz w:val="24"/>
                <w:szCs w:val="24"/>
              </w:rPr>
            </w:pPr>
          </w:p>
        </w:tc>
      </w:tr>
      <w:tr w:rsidR="006634B5" w:rsidRPr="00FD4D6A" w:rsidTr="001B0449">
        <w:trPr>
          <w:trHeight w:val="1669"/>
        </w:trPr>
        <w:tc>
          <w:tcPr>
            <w:tcW w:w="1476" w:type="dxa"/>
          </w:tcPr>
          <w:p w:rsidR="006634B5" w:rsidRPr="001B0449" w:rsidRDefault="006634B5" w:rsidP="001B0449">
            <w:pPr>
              <w:spacing w:after="0"/>
              <w:jc w:val="both"/>
              <w:rPr>
                <w:rFonts w:cs="Tahoma"/>
                <w:sz w:val="24"/>
                <w:szCs w:val="24"/>
                <w:lang w:bidi="ar-EG"/>
              </w:rPr>
            </w:pPr>
            <w:r w:rsidRPr="001B0449">
              <w:rPr>
                <w:rStyle w:val="Strong"/>
                <w:rFonts w:cs="Tahoma"/>
                <w:b w:val="0"/>
                <w:bCs w:val="0"/>
                <w:sz w:val="24"/>
                <w:szCs w:val="24"/>
              </w:rPr>
              <w:t>No bowel wall thickening</w:t>
            </w:r>
          </w:p>
          <w:p w:rsidR="006634B5" w:rsidRPr="001B0449" w:rsidRDefault="006634B5" w:rsidP="001B0449">
            <w:pPr>
              <w:spacing w:after="0"/>
              <w:jc w:val="both"/>
              <w:rPr>
                <w:rFonts w:cs="Tahoma"/>
                <w:sz w:val="24"/>
                <w:szCs w:val="24"/>
                <w:lang w:bidi="ar-EG"/>
              </w:rPr>
            </w:pPr>
          </w:p>
        </w:tc>
        <w:tc>
          <w:tcPr>
            <w:tcW w:w="900" w:type="dxa"/>
          </w:tcPr>
          <w:p w:rsidR="006634B5" w:rsidRPr="001B0449" w:rsidRDefault="006634B5" w:rsidP="001B0449">
            <w:pPr>
              <w:spacing w:after="0"/>
              <w:jc w:val="both"/>
              <w:rPr>
                <w:rFonts w:cs="Tahoma"/>
                <w:sz w:val="24"/>
                <w:szCs w:val="24"/>
              </w:rPr>
            </w:pPr>
            <w:r w:rsidRPr="001B0449">
              <w:rPr>
                <w:rFonts w:cs="Tahoma"/>
                <w:sz w:val="24"/>
                <w:szCs w:val="24"/>
              </w:rPr>
              <w:t>52</w:t>
            </w:r>
          </w:p>
        </w:tc>
        <w:tc>
          <w:tcPr>
            <w:tcW w:w="993" w:type="dxa"/>
          </w:tcPr>
          <w:p w:rsidR="006634B5" w:rsidRPr="001B0449" w:rsidRDefault="006634B5" w:rsidP="001B0449">
            <w:pPr>
              <w:spacing w:after="0"/>
              <w:jc w:val="both"/>
              <w:rPr>
                <w:rFonts w:cs="Tahoma"/>
                <w:sz w:val="24"/>
                <w:szCs w:val="24"/>
              </w:rPr>
            </w:pPr>
            <w:r w:rsidRPr="001B0449">
              <w:rPr>
                <w:rFonts w:cs="Tahoma"/>
                <w:sz w:val="24"/>
                <w:szCs w:val="24"/>
              </w:rPr>
              <w:t>100</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4</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23.5</w:t>
            </w:r>
          </w:p>
        </w:tc>
        <w:tc>
          <w:tcPr>
            <w:tcW w:w="1134" w:type="dxa"/>
            <w:vMerge/>
          </w:tcPr>
          <w:p w:rsidR="006634B5" w:rsidRPr="001B0449" w:rsidRDefault="006634B5" w:rsidP="001B0449">
            <w:pPr>
              <w:spacing w:after="0"/>
              <w:jc w:val="both"/>
              <w:rPr>
                <w:rFonts w:cs="Tahoma"/>
                <w:b/>
                <w:bCs/>
                <w:sz w:val="24"/>
                <w:szCs w:val="24"/>
              </w:rPr>
            </w:pPr>
          </w:p>
        </w:tc>
      </w:tr>
    </w:tbl>
    <w:p w:rsidR="006634B5" w:rsidRDefault="006634B5" w:rsidP="00FD4D6A">
      <w:pPr>
        <w:spacing w:before="240"/>
        <w:jc w:val="both"/>
        <w:rPr>
          <w:rFonts w:cs="Tahoma"/>
          <w:sz w:val="24"/>
          <w:szCs w:val="24"/>
        </w:rPr>
      </w:pPr>
    </w:p>
    <w:p w:rsidR="006634B5" w:rsidRPr="00FD4D6A" w:rsidRDefault="006634B5" w:rsidP="00FD4D6A">
      <w:pPr>
        <w:spacing w:before="240"/>
        <w:jc w:val="both"/>
        <w:rPr>
          <w:rFonts w:cs="Tahoma"/>
          <w:b/>
          <w:bCs/>
          <w:sz w:val="24"/>
          <w:szCs w:val="24"/>
        </w:rPr>
      </w:pPr>
      <w:r w:rsidRPr="00FD4D6A">
        <w:rPr>
          <w:rFonts w:cs="Tahoma"/>
          <w:sz w:val="24"/>
          <w:szCs w:val="24"/>
        </w:rPr>
        <w:t>Abnormal colonscopic findings (as mucosal hyperaemia, erosions and ulcerations) were detected in all IBD cases with a highly significant difference than IBS cases</w:t>
      </w:r>
      <w:r w:rsidRPr="00FD4D6A">
        <w:rPr>
          <w:rFonts w:cs="Tahoma"/>
          <w:sz w:val="24"/>
          <w:szCs w:val="24"/>
          <w:lang w:bidi="ar-EG"/>
        </w:rPr>
        <w:t>.</w:t>
      </w:r>
      <w:r w:rsidRPr="00FD4D6A">
        <w:rPr>
          <w:rFonts w:cs="Tahoma"/>
          <w:b/>
          <w:bCs/>
          <w:sz w:val="24"/>
          <w:szCs w:val="24"/>
        </w:rPr>
        <w:t xml:space="preserve"> </w:t>
      </w:r>
    </w:p>
    <w:p w:rsidR="006634B5" w:rsidRDefault="006634B5" w:rsidP="00FD4D6A">
      <w:pPr>
        <w:spacing w:before="240"/>
        <w:jc w:val="both"/>
        <w:rPr>
          <w:rFonts w:cs="Tahoma"/>
          <w:b/>
          <w:bCs/>
          <w:sz w:val="24"/>
          <w:szCs w:val="24"/>
        </w:rPr>
      </w:pPr>
    </w:p>
    <w:p w:rsidR="006634B5" w:rsidRDefault="006634B5" w:rsidP="00FD4D6A">
      <w:pPr>
        <w:spacing w:before="240"/>
        <w:jc w:val="both"/>
        <w:rPr>
          <w:rFonts w:cs="Tahoma"/>
          <w:b/>
          <w:bCs/>
          <w:sz w:val="24"/>
          <w:szCs w:val="24"/>
        </w:rPr>
      </w:pPr>
    </w:p>
    <w:p w:rsidR="006634B5" w:rsidRDefault="006634B5" w:rsidP="00FD4D6A">
      <w:pPr>
        <w:spacing w:before="240"/>
        <w:jc w:val="both"/>
        <w:rPr>
          <w:rFonts w:cs="Tahoma"/>
          <w:b/>
          <w:bCs/>
          <w:sz w:val="24"/>
          <w:szCs w:val="24"/>
        </w:rPr>
      </w:pPr>
    </w:p>
    <w:p w:rsidR="006634B5" w:rsidRDefault="006634B5" w:rsidP="00FD4D6A">
      <w:pPr>
        <w:spacing w:before="240"/>
        <w:jc w:val="both"/>
        <w:rPr>
          <w:rFonts w:cs="Tahoma"/>
          <w:b/>
          <w:bCs/>
          <w:sz w:val="24"/>
          <w:szCs w:val="24"/>
        </w:rPr>
      </w:pPr>
    </w:p>
    <w:p w:rsidR="006634B5" w:rsidRDefault="006634B5" w:rsidP="00FD4D6A">
      <w:pPr>
        <w:spacing w:before="240"/>
        <w:jc w:val="both"/>
        <w:rPr>
          <w:rFonts w:cs="Tahoma"/>
          <w:b/>
          <w:bCs/>
          <w:sz w:val="24"/>
          <w:szCs w:val="24"/>
        </w:rPr>
      </w:pPr>
    </w:p>
    <w:p w:rsidR="006634B5" w:rsidRDefault="006634B5" w:rsidP="00FD4D6A">
      <w:pPr>
        <w:spacing w:before="240"/>
        <w:jc w:val="both"/>
        <w:rPr>
          <w:rFonts w:cs="Tahoma"/>
          <w:b/>
          <w:bCs/>
          <w:sz w:val="24"/>
          <w:szCs w:val="24"/>
        </w:rPr>
      </w:pPr>
    </w:p>
    <w:p w:rsidR="006634B5" w:rsidRPr="00FD4D6A" w:rsidRDefault="006634B5" w:rsidP="00FD4D6A">
      <w:pPr>
        <w:spacing w:before="240"/>
        <w:jc w:val="both"/>
        <w:rPr>
          <w:rFonts w:cs="Tahoma"/>
          <w:sz w:val="24"/>
          <w:szCs w:val="24"/>
          <w:lang w:bidi="ar-EG"/>
        </w:rPr>
      </w:pPr>
      <w:r w:rsidRPr="00FD4D6A">
        <w:rPr>
          <w:rFonts w:cs="Tahoma"/>
          <w:b/>
          <w:bCs/>
          <w:sz w:val="24"/>
          <w:szCs w:val="24"/>
        </w:rPr>
        <w:t>Table (6):</w:t>
      </w:r>
      <w:r w:rsidRPr="00FD4D6A">
        <w:rPr>
          <w:rFonts w:cs="Tahoma"/>
          <w:sz w:val="24"/>
          <w:szCs w:val="24"/>
          <w:lang w:bidi="ar-EG"/>
        </w:rPr>
        <w:t xml:space="preserve"> Comparison between IBD and IBS cases in relation to colonoscopic findings: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3"/>
        <w:gridCol w:w="999"/>
        <w:gridCol w:w="894"/>
        <w:gridCol w:w="850"/>
        <w:gridCol w:w="851"/>
        <w:gridCol w:w="1090"/>
      </w:tblGrid>
      <w:tr w:rsidR="006634B5" w:rsidRPr="00FD4D6A" w:rsidTr="001B0449">
        <w:trPr>
          <w:trHeight w:val="728"/>
        </w:trPr>
        <w:tc>
          <w:tcPr>
            <w:tcW w:w="1803" w:type="dxa"/>
            <w:vMerge w:val="restart"/>
          </w:tcPr>
          <w:p w:rsidR="006634B5" w:rsidRPr="001B0449" w:rsidRDefault="006634B5" w:rsidP="001B0449">
            <w:pPr>
              <w:spacing w:after="0"/>
              <w:jc w:val="both"/>
              <w:rPr>
                <w:rFonts w:cs="Tahoma"/>
                <w:sz w:val="24"/>
                <w:szCs w:val="24"/>
              </w:rPr>
            </w:pPr>
            <w:r w:rsidRPr="001B0449">
              <w:rPr>
                <w:rFonts w:cs="Tahoma"/>
                <w:sz w:val="24"/>
                <w:szCs w:val="24"/>
              </w:rPr>
              <w:t>Colonoscopic Findings</w:t>
            </w:r>
          </w:p>
        </w:tc>
        <w:tc>
          <w:tcPr>
            <w:tcW w:w="1893" w:type="dxa"/>
            <w:gridSpan w:val="2"/>
          </w:tcPr>
          <w:p w:rsidR="006634B5" w:rsidRPr="001B0449" w:rsidRDefault="006634B5" w:rsidP="001B0449">
            <w:pPr>
              <w:spacing w:after="0"/>
              <w:jc w:val="both"/>
              <w:rPr>
                <w:rFonts w:cs="Tahoma"/>
                <w:sz w:val="24"/>
                <w:szCs w:val="24"/>
              </w:rPr>
            </w:pPr>
            <w:r w:rsidRPr="001B0449">
              <w:rPr>
                <w:rFonts w:cs="Tahoma"/>
                <w:sz w:val="24"/>
                <w:szCs w:val="24"/>
              </w:rPr>
              <w:t xml:space="preserve">         IBS</w:t>
            </w:r>
          </w:p>
        </w:tc>
        <w:tc>
          <w:tcPr>
            <w:tcW w:w="1701" w:type="dxa"/>
            <w:gridSpan w:val="2"/>
          </w:tcPr>
          <w:p w:rsidR="006634B5" w:rsidRPr="001B0449" w:rsidRDefault="006634B5" w:rsidP="001B0449">
            <w:pPr>
              <w:spacing w:after="0"/>
              <w:jc w:val="both"/>
              <w:rPr>
                <w:rFonts w:cs="Tahoma"/>
                <w:sz w:val="24"/>
                <w:szCs w:val="24"/>
              </w:rPr>
            </w:pPr>
            <w:r w:rsidRPr="001B0449">
              <w:rPr>
                <w:rFonts w:cs="Tahoma"/>
                <w:sz w:val="24"/>
                <w:szCs w:val="24"/>
              </w:rPr>
              <w:t xml:space="preserve">       IBD</w:t>
            </w:r>
          </w:p>
        </w:tc>
        <w:tc>
          <w:tcPr>
            <w:tcW w:w="1090" w:type="dxa"/>
          </w:tcPr>
          <w:p w:rsidR="006634B5" w:rsidRPr="001B0449" w:rsidRDefault="006634B5" w:rsidP="001B0449">
            <w:pPr>
              <w:spacing w:after="0"/>
              <w:jc w:val="both"/>
              <w:rPr>
                <w:rFonts w:cs="Tahoma"/>
                <w:sz w:val="24"/>
                <w:szCs w:val="24"/>
                <w:lang w:bidi="ar-EG"/>
              </w:rPr>
            </w:pPr>
            <w:r w:rsidRPr="001B0449">
              <w:rPr>
                <w:rFonts w:cs="Tahoma"/>
                <w:sz w:val="24"/>
                <w:szCs w:val="24"/>
              </w:rPr>
              <w:t>P value</w:t>
            </w:r>
          </w:p>
        </w:tc>
      </w:tr>
      <w:tr w:rsidR="006634B5" w:rsidRPr="00FD4D6A" w:rsidTr="001B0449">
        <w:tc>
          <w:tcPr>
            <w:tcW w:w="1803" w:type="dxa"/>
            <w:vMerge/>
          </w:tcPr>
          <w:p w:rsidR="006634B5" w:rsidRPr="001B0449" w:rsidRDefault="006634B5" w:rsidP="001B0449">
            <w:pPr>
              <w:spacing w:after="0"/>
              <w:jc w:val="both"/>
              <w:rPr>
                <w:rFonts w:cs="Tahoma"/>
                <w:sz w:val="24"/>
                <w:szCs w:val="24"/>
              </w:rPr>
            </w:pPr>
          </w:p>
        </w:tc>
        <w:tc>
          <w:tcPr>
            <w:tcW w:w="999" w:type="dxa"/>
          </w:tcPr>
          <w:p w:rsidR="006634B5" w:rsidRPr="001B0449" w:rsidRDefault="006634B5" w:rsidP="001B0449">
            <w:pPr>
              <w:spacing w:after="0"/>
              <w:jc w:val="both"/>
              <w:rPr>
                <w:rFonts w:cs="Tahoma"/>
                <w:sz w:val="24"/>
                <w:szCs w:val="24"/>
              </w:rPr>
            </w:pPr>
            <w:r w:rsidRPr="001B0449">
              <w:rPr>
                <w:rFonts w:cs="Tahoma"/>
                <w:sz w:val="24"/>
                <w:szCs w:val="24"/>
              </w:rPr>
              <w:t>no</w:t>
            </w:r>
          </w:p>
        </w:tc>
        <w:tc>
          <w:tcPr>
            <w:tcW w:w="894" w:type="dxa"/>
          </w:tcPr>
          <w:p w:rsidR="006634B5" w:rsidRPr="001B0449" w:rsidRDefault="006634B5" w:rsidP="001B0449">
            <w:pPr>
              <w:spacing w:after="0"/>
              <w:jc w:val="both"/>
              <w:rPr>
                <w:rFonts w:cs="Tahoma"/>
                <w:sz w:val="24"/>
                <w:szCs w:val="24"/>
              </w:rPr>
            </w:pPr>
            <w:r w:rsidRPr="001B0449">
              <w:rPr>
                <w:rFonts w:cs="Tahoma"/>
                <w:sz w:val="24"/>
                <w:szCs w:val="24"/>
              </w:rPr>
              <w:t>%</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no</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w:t>
            </w:r>
          </w:p>
        </w:tc>
        <w:tc>
          <w:tcPr>
            <w:tcW w:w="1090" w:type="dxa"/>
            <w:vMerge w:val="restart"/>
          </w:tcPr>
          <w:p w:rsidR="006634B5" w:rsidRPr="001B0449" w:rsidRDefault="006634B5" w:rsidP="001B0449">
            <w:pPr>
              <w:spacing w:after="0"/>
              <w:jc w:val="both"/>
              <w:rPr>
                <w:rFonts w:cs="Tahoma"/>
                <w:sz w:val="24"/>
                <w:szCs w:val="24"/>
              </w:rPr>
            </w:pPr>
          </w:p>
          <w:p w:rsidR="006634B5" w:rsidRPr="001B0449" w:rsidRDefault="006634B5" w:rsidP="001B0449">
            <w:pPr>
              <w:spacing w:after="0"/>
              <w:jc w:val="both"/>
              <w:rPr>
                <w:rFonts w:cs="Tahoma"/>
                <w:sz w:val="24"/>
                <w:szCs w:val="24"/>
              </w:rPr>
            </w:pPr>
          </w:p>
          <w:p w:rsidR="006634B5" w:rsidRPr="001B0449" w:rsidRDefault="006634B5" w:rsidP="001B0449">
            <w:pPr>
              <w:spacing w:after="0"/>
              <w:jc w:val="both"/>
              <w:rPr>
                <w:rFonts w:cs="Tahoma"/>
                <w:sz w:val="24"/>
                <w:szCs w:val="24"/>
              </w:rPr>
            </w:pPr>
            <w:r w:rsidRPr="001B0449">
              <w:rPr>
                <w:rFonts w:cs="Tahoma"/>
                <w:sz w:val="24"/>
                <w:szCs w:val="24"/>
              </w:rPr>
              <w:t xml:space="preserve"> &lt;0.001</w:t>
            </w:r>
          </w:p>
        </w:tc>
      </w:tr>
      <w:tr w:rsidR="006634B5" w:rsidRPr="00FD4D6A" w:rsidTr="001B0449">
        <w:tc>
          <w:tcPr>
            <w:tcW w:w="1803" w:type="dxa"/>
          </w:tcPr>
          <w:p w:rsidR="006634B5" w:rsidRPr="001B0449" w:rsidRDefault="006634B5" w:rsidP="001B0449">
            <w:pPr>
              <w:spacing w:after="0"/>
              <w:jc w:val="both"/>
              <w:rPr>
                <w:rFonts w:cs="Tahoma"/>
                <w:sz w:val="24"/>
                <w:szCs w:val="24"/>
                <w:lang w:bidi="ar-EG"/>
              </w:rPr>
            </w:pPr>
            <w:r w:rsidRPr="001B0449">
              <w:rPr>
                <w:rStyle w:val="Strong"/>
                <w:rFonts w:cs="Tahoma"/>
                <w:b w:val="0"/>
                <w:bCs w:val="0"/>
                <w:sz w:val="24"/>
                <w:szCs w:val="24"/>
              </w:rPr>
              <w:t xml:space="preserve"> Normal </w:t>
            </w:r>
          </w:p>
        </w:tc>
        <w:tc>
          <w:tcPr>
            <w:tcW w:w="999" w:type="dxa"/>
          </w:tcPr>
          <w:p w:rsidR="006634B5" w:rsidRPr="001B0449" w:rsidRDefault="006634B5" w:rsidP="001B0449">
            <w:pPr>
              <w:spacing w:after="0"/>
              <w:jc w:val="both"/>
              <w:rPr>
                <w:rFonts w:cs="Tahoma"/>
                <w:sz w:val="24"/>
                <w:szCs w:val="24"/>
              </w:rPr>
            </w:pPr>
            <w:r w:rsidRPr="001B0449">
              <w:rPr>
                <w:rFonts w:cs="Tahoma"/>
                <w:sz w:val="24"/>
                <w:szCs w:val="24"/>
              </w:rPr>
              <w:t>46</w:t>
            </w:r>
          </w:p>
        </w:tc>
        <w:tc>
          <w:tcPr>
            <w:tcW w:w="894" w:type="dxa"/>
          </w:tcPr>
          <w:p w:rsidR="006634B5" w:rsidRPr="001B0449" w:rsidRDefault="006634B5" w:rsidP="001B0449">
            <w:pPr>
              <w:spacing w:after="0"/>
              <w:jc w:val="both"/>
              <w:rPr>
                <w:rFonts w:cs="Tahoma"/>
                <w:sz w:val="24"/>
                <w:szCs w:val="24"/>
              </w:rPr>
            </w:pPr>
            <w:r w:rsidRPr="001B0449">
              <w:rPr>
                <w:rFonts w:cs="Tahoma"/>
                <w:sz w:val="24"/>
                <w:szCs w:val="24"/>
              </w:rPr>
              <w:t>88.46</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0</w:t>
            </w:r>
          </w:p>
        </w:tc>
        <w:tc>
          <w:tcPr>
            <w:tcW w:w="851" w:type="dxa"/>
          </w:tcPr>
          <w:p w:rsidR="006634B5" w:rsidRPr="001B0449" w:rsidRDefault="006634B5" w:rsidP="001B0449">
            <w:pPr>
              <w:spacing w:after="0"/>
              <w:jc w:val="both"/>
              <w:rPr>
                <w:rFonts w:cs="Tahoma"/>
                <w:b/>
                <w:bCs/>
                <w:sz w:val="24"/>
                <w:szCs w:val="24"/>
              </w:rPr>
            </w:pPr>
          </w:p>
        </w:tc>
        <w:tc>
          <w:tcPr>
            <w:tcW w:w="1090" w:type="dxa"/>
            <w:vMerge/>
          </w:tcPr>
          <w:p w:rsidR="006634B5" w:rsidRPr="001B0449" w:rsidRDefault="006634B5" w:rsidP="001B0449">
            <w:pPr>
              <w:spacing w:after="0"/>
              <w:jc w:val="both"/>
              <w:rPr>
                <w:rFonts w:cs="Tahoma"/>
                <w:b/>
                <w:bCs/>
                <w:sz w:val="24"/>
                <w:szCs w:val="24"/>
              </w:rPr>
            </w:pPr>
          </w:p>
        </w:tc>
      </w:tr>
      <w:tr w:rsidR="006634B5" w:rsidRPr="00FD4D6A" w:rsidTr="001B0449">
        <w:tc>
          <w:tcPr>
            <w:tcW w:w="1803" w:type="dxa"/>
          </w:tcPr>
          <w:p w:rsidR="006634B5" w:rsidRPr="001B0449" w:rsidRDefault="006634B5" w:rsidP="001B0449">
            <w:pPr>
              <w:spacing w:after="0"/>
              <w:jc w:val="both"/>
              <w:rPr>
                <w:rFonts w:cs="Tahoma"/>
                <w:sz w:val="24"/>
                <w:szCs w:val="24"/>
                <w:lang w:bidi="ar-EG"/>
              </w:rPr>
            </w:pPr>
            <w:r w:rsidRPr="001B0449">
              <w:rPr>
                <w:rFonts w:cs="Tahoma"/>
                <w:sz w:val="24"/>
                <w:szCs w:val="24"/>
                <w:lang w:bidi="ar-EG"/>
              </w:rPr>
              <w:t>Spastic  Colon</w:t>
            </w:r>
          </w:p>
        </w:tc>
        <w:tc>
          <w:tcPr>
            <w:tcW w:w="999" w:type="dxa"/>
          </w:tcPr>
          <w:p w:rsidR="006634B5" w:rsidRPr="001B0449" w:rsidRDefault="006634B5" w:rsidP="001B0449">
            <w:pPr>
              <w:spacing w:after="0"/>
              <w:jc w:val="both"/>
              <w:rPr>
                <w:rFonts w:cs="Tahoma"/>
                <w:sz w:val="24"/>
                <w:szCs w:val="24"/>
              </w:rPr>
            </w:pPr>
            <w:r w:rsidRPr="001B0449">
              <w:rPr>
                <w:rFonts w:cs="Tahoma"/>
                <w:sz w:val="24"/>
                <w:szCs w:val="24"/>
              </w:rPr>
              <w:t>6</w:t>
            </w:r>
          </w:p>
        </w:tc>
        <w:tc>
          <w:tcPr>
            <w:tcW w:w="894" w:type="dxa"/>
          </w:tcPr>
          <w:p w:rsidR="006634B5" w:rsidRPr="001B0449" w:rsidRDefault="006634B5" w:rsidP="001B0449">
            <w:pPr>
              <w:spacing w:after="0"/>
              <w:jc w:val="both"/>
              <w:rPr>
                <w:rFonts w:cs="Tahoma"/>
                <w:sz w:val="24"/>
                <w:szCs w:val="24"/>
              </w:rPr>
            </w:pPr>
            <w:r w:rsidRPr="001B0449">
              <w:rPr>
                <w:rFonts w:cs="Tahoma"/>
                <w:sz w:val="24"/>
                <w:szCs w:val="24"/>
              </w:rPr>
              <w:t>11.54</w:t>
            </w: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0</w:t>
            </w:r>
          </w:p>
        </w:tc>
        <w:tc>
          <w:tcPr>
            <w:tcW w:w="851" w:type="dxa"/>
          </w:tcPr>
          <w:p w:rsidR="006634B5" w:rsidRPr="001B0449" w:rsidRDefault="006634B5" w:rsidP="001B0449">
            <w:pPr>
              <w:spacing w:after="0"/>
              <w:jc w:val="both"/>
              <w:rPr>
                <w:rFonts w:cs="Tahoma"/>
                <w:sz w:val="24"/>
                <w:szCs w:val="24"/>
              </w:rPr>
            </w:pPr>
          </w:p>
        </w:tc>
        <w:tc>
          <w:tcPr>
            <w:tcW w:w="1090" w:type="dxa"/>
            <w:vMerge/>
          </w:tcPr>
          <w:p w:rsidR="006634B5" w:rsidRPr="001B0449" w:rsidRDefault="006634B5" w:rsidP="001B0449">
            <w:pPr>
              <w:spacing w:after="0"/>
              <w:jc w:val="both"/>
              <w:rPr>
                <w:rFonts w:cs="Tahoma"/>
                <w:b/>
                <w:bCs/>
                <w:sz w:val="24"/>
                <w:szCs w:val="24"/>
              </w:rPr>
            </w:pPr>
          </w:p>
        </w:tc>
      </w:tr>
      <w:tr w:rsidR="006634B5" w:rsidRPr="00FD4D6A" w:rsidTr="001B0449">
        <w:tc>
          <w:tcPr>
            <w:tcW w:w="1803" w:type="dxa"/>
          </w:tcPr>
          <w:p w:rsidR="006634B5" w:rsidRPr="001B0449" w:rsidRDefault="006634B5" w:rsidP="001B0449">
            <w:pPr>
              <w:spacing w:after="0"/>
              <w:jc w:val="both"/>
              <w:rPr>
                <w:rFonts w:cs="Tahoma"/>
                <w:sz w:val="24"/>
                <w:szCs w:val="24"/>
                <w:lang w:bidi="ar-EG"/>
              </w:rPr>
            </w:pPr>
            <w:r w:rsidRPr="001B0449">
              <w:rPr>
                <w:rFonts w:cs="Tahoma"/>
                <w:color w:val="000000"/>
                <w:sz w:val="24"/>
                <w:szCs w:val="24"/>
              </w:rPr>
              <w:t>Hyperaemic mucosa</w:t>
            </w:r>
          </w:p>
        </w:tc>
        <w:tc>
          <w:tcPr>
            <w:tcW w:w="999" w:type="dxa"/>
          </w:tcPr>
          <w:p w:rsidR="006634B5" w:rsidRPr="001B0449" w:rsidRDefault="006634B5" w:rsidP="001B0449">
            <w:pPr>
              <w:spacing w:after="0"/>
              <w:jc w:val="both"/>
              <w:rPr>
                <w:rFonts w:cs="Tahoma"/>
                <w:sz w:val="24"/>
                <w:szCs w:val="24"/>
              </w:rPr>
            </w:pPr>
            <w:r w:rsidRPr="001B0449">
              <w:rPr>
                <w:rFonts w:cs="Tahoma"/>
                <w:sz w:val="24"/>
                <w:szCs w:val="24"/>
              </w:rPr>
              <w:t>0</w:t>
            </w:r>
          </w:p>
        </w:tc>
        <w:tc>
          <w:tcPr>
            <w:tcW w:w="894" w:type="dxa"/>
          </w:tcPr>
          <w:p w:rsidR="006634B5" w:rsidRPr="001B0449" w:rsidRDefault="006634B5" w:rsidP="001B0449">
            <w:pPr>
              <w:spacing w:after="0"/>
              <w:jc w:val="both"/>
              <w:rPr>
                <w:rFonts w:cs="Tahoma"/>
                <w:sz w:val="24"/>
                <w:szCs w:val="24"/>
              </w:rPr>
            </w:pP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4</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23.53</w:t>
            </w:r>
          </w:p>
        </w:tc>
        <w:tc>
          <w:tcPr>
            <w:tcW w:w="1090" w:type="dxa"/>
            <w:vMerge/>
          </w:tcPr>
          <w:p w:rsidR="006634B5" w:rsidRPr="001B0449" w:rsidRDefault="006634B5" w:rsidP="001B0449">
            <w:pPr>
              <w:spacing w:after="0"/>
              <w:jc w:val="both"/>
              <w:rPr>
                <w:rFonts w:cs="Tahoma"/>
                <w:b/>
                <w:bCs/>
                <w:sz w:val="24"/>
                <w:szCs w:val="24"/>
              </w:rPr>
            </w:pPr>
          </w:p>
        </w:tc>
      </w:tr>
      <w:tr w:rsidR="006634B5" w:rsidRPr="00FD4D6A" w:rsidTr="001B0449">
        <w:tc>
          <w:tcPr>
            <w:tcW w:w="1803" w:type="dxa"/>
          </w:tcPr>
          <w:p w:rsidR="006634B5" w:rsidRPr="001B0449" w:rsidRDefault="006634B5" w:rsidP="001B0449">
            <w:pPr>
              <w:spacing w:after="0"/>
              <w:jc w:val="both"/>
              <w:rPr>
                <w:rStyle w:val="Strong"/>
                <w:rFonts w:cs="Tahoma"/>
                <w:sz w:val="24"/>
                <w:szCs w:val="24"/>
              </w:rPr>
            </w:pPr>
            <w:r w:rsidRPr="001B0449">
              <w:rPr>
                <w:rFonts w:cs="Tahoma"/>
                <w:color w:val="000000"/>
                <w:sz w:val="24"/>
                <w:szCs w:val="24"/>
              </w:rPr>
              <w:t>Colonic Erosions</w:t>
            </w:r>
          </w:p>
        </w:tc>
        <w:tc>
          <w:tcPr>
            <w:tcW w:w="999" w:type="dxa"/>
          </w:tcPr>
          <w:p w:rsidR="006634B5" w:rsidRPr="001B0449" w:rsidRDefault="006634B5" w:rsidP="001B0449">
            <w:pPr>
              <w:spacing w:after="0"/>
              <w:jc w:val="both"/>
              <w:rPr>
                <w:rFonts w:cs="Tahoma"/>
                <w:sz w:val="24"/>
                <w:szCs w:val="24"/>
              </w:rPr>
            </w:pPr>
            <w:r w:rsidRPr="001B0449">
              <w:rPr>
                <w:rFonts w:cs="Tahoma"/>
                <w:sz w:val="24"/>
                <w:szCs w:val="24"/>
              </w:rPr>
              <w:t>0</w:t>
            </w:r>
          </w:p>
        </w:tc>
        <w:tc>
          <w:tcPr>
            <w:tcW w:w="894" w:type="dxa"/>
          </w:tcPr>
          <w:p w:rsidR="006634B5" w:rsidRPr="001B0449" w:rsidRDefault="006634B5" w:rsidP="001B0449">
            <w:pPr>
              <w:spacing w:after="0"/>
              <w:jc w:val="both"/>
              <w:rPr>
                <w:rFonts w:cs="Tahoma"/>
                <w:sz w:val="24"/>
                <w:szCs w:val="24"/>
              </w:rPr>
            </w:pP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2</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11.76</w:t>
            </w:r>
          </w:p>
        </w:tc>
        <w:tc>
          <w:tcPr>
            <w:tcW w:w="1090" w:type="dxa"/>
            <w:vMerge/>
          </w:tcPr>
          <w:p w:rsidR="006634B5" w:rsidRPr="001B0449" w:rsidRDefault="006634B5" w:rsidP="001B0449">
            <w:pPr>
              <w:spacing w:after="0"/>
              <w:jc w:val="both"/>
              <w:rPr>
                <w:rFonts w:cs="Tahoma"/>
                <w:b/>
                <w:bCs/>
                <w:sz w:val="24"/>
                <w:szCs w:val="24"/>
              </w:rPr>
            </w:pPr>
          </w:p>
        </w:tc>
      </w:tr>
      <w:tr w:rsidR="006634B5" w:rsidRPr="00FD4D6A" w:rsidTr="001B0449">
        <w:tc>
          <w:tcPr>
            <w:tcW w:w="1803" w:type="dxa"/>
          </w:tcPr>
          <w:p w:rsidR="006634B5" w:rsidRPr="001B0449" w:rsidRDefault="006634B5" w:rsidP="001B0449">
            <w:pPr>
              <w:spacing w:after="0"/>
              <w:jc w:val="both"/>
              <w:rPr>
                <w:rStyle w:val="Strong"/>
                <w:rFonts w:cs="Tahoma"/>
                <w:sz w:val="24"/>
                <w:szCs w:val="24"/>
              </w:rPr>
            </w:pPr>
            <w:r w:rsidRPr="001B0449">
              <w:rPr>
                <w:rFonts w:cs="Tahoma"/>
                <w:sz w:val="24"/>
                <w:szCs w:val="24"/>
                <w:lang w:bidi="ar-EG"/>
              </w:rPr>
              <w:t>Colonic Ulcerations</w:t>
            </w:r>
            <w:r w:rsidRPr="001B0449">
              <w:rPr>
                <w:rFonts w:cs="Tahoma"/>
                <w:color w:val="000000"/>
                <w:sz w:val="24"/>
                <w:szCs w:val="24"/>
              </w:rPr>
              <w:t xml:space="preserve"> </w:t>
            </w:r>
          </w:p>
        </w:tc>
        <w:tc>
          <w:tcPr>
            <w:tcW w:w="999" w:type="dxa"/>
          </w:tcPr>
          <w:p w:rsidR="006634B5" w:rsidRPr="001B0449" w:rsidRDefault="006634B5" w:rsidP="001B0449">
            <w:pPr>
              <w:spacing w:after="0"/>
              <w:jc w:val="both"/>
              <w:rPr>
                <w:rFonts w:cs="Tahoma"/>
                <w:sz w:val="24"/>
                <w:szCs w:val="24"/>
              </w:rPr>
            </w:pPr>
            <w:r w:rsidRPr="001B0449">
              <w:rPr>
                <w:rFonts w:cs="Tahoma"/>
                <w:sz w:val="24"/>
                <w:szCs w:val="24"/>
              </w:rPr>
              <w:t>0</w:t>
            </w:r>
          </w:p>
        </w:tc>
        <w:tc>
          <w:tcPr>
            <w:tcW w:w="894" w:type="dxa"/>
          </w:tcPr>
          <w:p w:rsidR="006634B5" w:rsidRPr="001B0449" w:rsidRDefault="006634B5" w:rsidP="001B0449">
            <w:pPr>
              <w:spacing w:after="0"/>
              <w:jc w:val="both"/>
              <w:rPr>
                <w:rFonts w:cs="Tahoma"/>
                <w:sz w:val="24"/>
                <w:szCs w:val="24"/>
              </w:rPr>
            </w:pPr>
          </w:p>
        </w:tc>
        <w:tc>
          <w:tcPr>
            <w:tcW w:w="850" w:type="dxa"/>
          </w:tcPr>
          <w:p w:rsidR="006634B5" w:rsidRPr="001B0449" w:rsidRDefault="006634B5" w:rsidP="001B0449">
            <w:pPr>
              <w:spacing w:after="0"/>
              <w:jc w:val="both"/>
              <w:rPr>
                <w:rFonts w:cs="Tahoma"/>
                <w:sz w:val="24"/>
                <w:szCs w:val="24"/>
              </w:rPr>
            </w:pPr>
            <w:r w:rsidRPr="001B0449">
              <w:rPr>
                <w:rFonts w:cs="Tahoma"/>
                <w:sz w:val="24"/>
                <w:szCs w:val="24"/>
              </w:rPr>
              <w:t>11</w:t>
            </w:r>
          </w:p>
        </w:tc>
        <w:tc>
          <w:tcPr>
            <w:tcW w:w="851" w:type="dxa"/>
          </w:tcPr>
          <w:p w:rsidR="006634B5" w:rsidRPr="001B0449" w:rsidRDefault="006634B5" w:rsidP="001B0449">
            <w:pPr>
              <w:spacing w:after="0"/>
              <w:jc w:val="both"/>
              <w:rPr>
                <w:rFonts w:cs="Tahoma"/>
                <w:sz w:val="24"/>
                <w:szCs w:val="24"/>
              </w:rPr>
            </w:pPr>
            <w:r w:rsidRPr="001B0449">
              <w:rPr>
                <w:rFonts w:cs="Tahoma"/>
                <w:sz w:val="24"/>
                <w:szCs w:val="24"/>
              </w:rPr>
              <w:t>64.71</w:t>
            </w:r>
          </w:p>
        </w:tc>
        <w:tc>
          <w:tcPr>
            <w:tcW w:w="1090" w:type="dxa"/>
            <w:vMerge/>
          </w:tcPr>
          <w:p w:rsidR="006634B5" w:rsidRPr="001B0449" w:rsidRDefault="006634B5" w:rsidP="001B0449">
            <w:pPr>
              <w:spacing w:after="0"/>
              <w:jc w:val="both"/>
              <w:rPr>
                <w:rFonts w:cs="Tahoma"/>
                <w:b/>
                <w:bCs/>
                <w:sz w:val="24"/>
                <w:szCs w:val="24"/>
              </w:rPr>
            </w:pPr>
          </w:p>
        </w:tc>
      </w:tr>
    </w:tbl>
    <w:p w:rsidR="006634B5" w:rsidRPr="00FD4D6A" w:rsidRDefault="006634B5" w:rsidP="00FD4D6A">
      <w:pPr>
        <w:jc w:val="both"/>
        <w:rPr>
          <w:rFonts w:cs="Tahoma"/>
          <w:sz w:val="24"/>
          <w:szCs w:val="24"/>
          <w:lang w:bidi="ar-EG"/>
        </w:rPr>
      </w:pPr>
    </w:p>
    <w:p w:rsidR="006634B5" w:rsidRDefault="006634B5" w:rsidP="00FD4D6A">
      <w:pPr>
        <w:tabs>
          <w:tab w:val="left" w:pos="-720"/>
        </w:tabs>
        <w:suppressAutoHyphens/>
        <w:jc w:val="both"/>
        <w:rPr>
          <w:rFonts w:cs="Tahoma"/>
          <w:b/>
          <w:bCs/>
          <w:spacing w:val="-3"/>
          <w:sz w:val="24"/>
          <w:szCs w:val="24"/>
        </w:rPr>
      </w:pPr>
    </w:p>
    <w:p w:rsidR="006634B5" w:rsidRDefault="006634B5" w:rsidP="00FD4D6A">
      <w:pPr>
        <w:tabs>
          <w:tab w:val="left" w:pos="-720"/>
        </w:tabs>
        <w:suppressAutoHyphens/>
        <w:jc w:val="both"/>
        <w:rPr>
          <w:rFonts w:cs="Tahoma"/>
          <w:b/>
          <w:bCs/>
          <w:spacing w:val="-3"/>
          <w:sz w:val="24"/>
          <w:szCs w:val="24"/>
        </w:rPr>
      </w:pPr>
    </w:p>
    <w:p w:rsidR="006634B5" w:rsidRPr="00FD4D6A" w:rsidRDefault="006634B5" w:rsidP="00FD4D6A">
      <w:pPr>
        <w:tabs>
          <w:tab w:val="left" w:pos="-720"/>
        </w:tabs>
        <w:suppressAutoHyphens/>
        <w:jc w:val="both"/>
        <w:rPr>
          <w:rFonts w:cs="Tahoma"/>
          <w:spacing w:val="-3"/>
          <w:sz w:val="24"/>
          <w:szCs w:val="24"/>
        </w:rPr>
      </w:pPr>
      <w:r w:rsidRPr="00FD4D6A">
        <w:rPr>
          <w:rFonts w:cs="Tahoma"/>
          <w:b/>
          <w:bCs/>
          <w:spacing w:val="-3"/>
          <w:sz w:val="24"/>
          <w:szCs w:val="24"/>
        </w:rPr>
        <w:t>Table (7):</w:t>
      </w:r>
      <w:r w:rsidRPr="00FD4D6A">
        <w:rPr>
          <w:rFonts w:cs="Tahoma"/>
          <w:spacing w:val="-3"/>
          <w:sz w:val="24"/>
          <w:szCs w:val="24"/>
        </w:rPr>
        <w:t xml:space="preserve"> Logistic Stepwise multi-regression analysis for discrimination between IBD and IBS: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0"/>
        <w:gridCol w:w="1833"/>
        <w:gridCol w:w="1581"/>
        <w:gridCol w:w="1467"/>
        <w:gridCol w:w="1755"/>
      </w:tblGrid>
      <w:tr w:rsidR="006634B5" w:rsidRPr="00FD4D6A" w:rsidTr="001B0449">
        <w:tc>
          <w:tcPr>
            <w:tcW w:w="2399" w:type="dxa"/>
          </w:tcPr>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Parameter</w:t>
            </w:r>
          </w:p>
        </w:tc>
        <w:tc>
          <w:tcPr>
            <w:tcW w:w="1939" w:type="dxa"/>
          </w:tcPr>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Regression coefficient</w:t>
            </w:r>
          </w:p>
        </w:tc>
        <w:tc>
          <w:tcPr>
            <w:tcW w:w="1710" w:type="dxa"/>
          </w:tcPr>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P</w:t>
            </w:r>
          </w:p>
        </w:tc>
        <w:tc>
          <w:tcPr>
            <w:tcW w:w="1612" w:type="dxa"/>
          </w:tcPr>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F-ratio</w:t>
            </w:r>
          </w:p>
        </w:tc>
        <w:tc>
          <w:tcPr>
            <w:tcW w:w="1916" w:type="dxa"/>
          </w:tcPr>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Sig.</w:t>
            </w:r>
          </w:p>
        </w:tc>
      </w:tr>
      <w:tr w:rsidR="006634B5" w:rsidRPr="00FD4D6A" w:rsidTr="001B0449">
        <w:tc>
          <w:tcPr>
            <w:tcW w:w="2399" w:type="dxa"/>
          </w:tcPr>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WBCs Count</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Platelet Count</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ESR</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CRP</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U/S findings</w:t>
            </w:r>
          </w:p>
        </w:tc>
        <w:tc>
          <w:tcPr>
            <w:tcW w:w="1939" w:type="dxa"/>
          </w:tcPr>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+0.0026</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+0.4017</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+0.0091</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+0.0089</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+0.5869</w:t>
            </w:r>
          </w:p>
        </w:tc>
        <w:tc>
          <w:tcPr>
            <w:tcW w:w="1710" w:type="dxa"/>
          </w:tcPr>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0.1102</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0.0000</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0.1799</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0.2212</w:t>
            </w: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0.0000</w:t>
            </w:r>
          </w:p>
        </w:tc>
        <w:tc>
          <w:tcPr>
            <w:tcW w:w="1612" w:type="dxa"/>
          </w:tcPr>
          <w:p w:rsidR="006634B5" w:rsidRPr="001B0449" w:rsidRDefault="006634B5" w:rsidP="001B0449">
            <w:pPr>
              <w:tabs>
                <w:tab w:val="left" w:pos="-720"/>
              </w:tabs>
              <w:suppressAutoHyphens/>
              <w:spacing w:after="0"/>
              <w:jc w:val="both"/>
              <w:rPr>
                <w:rFonts w:cs="Tahoma"/>
                <w:spacing w:val="-3"/>
                <w:sz w:val="24"/>
                <w:szCs w:val="24"/>
              </w:rPr>
            </w:pPr>
          </w:p>
          <w:p w:rsidR="006634B5" w:rsidRPr="001B0449" w:rsidRDefault="006634B5" w:rsidP="001B0449">
            <w:pPr>
              <w:tabs>
                <w:tab w:val="left" w:pos="-720"/>
              </w:tabs>
              <w:suppressAutoHyphens/>
              <w:spacing w:after="0"/>
              <w:jc w:val="both"/>
              <w:rPr>
                <w:rFonts w:cs="Tahoma"/>
                <w:spacing w:val="-3"/>
                <w:sz w:val="24"/>
                <w:szCs w:val="24"/>
              </w:rPr>
            </w:pPr>
          </w:p>
          <w:p w:rsidR="006634B5" w:rsidRPr="001B0449" w:rsidRDefault="006634B5" w:rsidP="001B0449">
            <w:pPr>
              <w:tabs>
                <w:tab w:val="left" w:pos="-720"/>
              </w:tabs>
              <w:suppressAutoHyphens/>
              <w:spacing w:after="0"/>
              <w:jc w:val="both"/>
              <w:rPr>
                <w:rFonts w:cs="Tahoma"/>
                <w:spacing w:val="-3"/>
                <w:sz w:val="24"/>
                <w:szCs w:val="24"/>
              </w:rPr>
            </w:pPr>
          </w:p>
          <w:p w:rsidR="006634B5" w:rsidRPr="001B0449" w:rsidRDefault="006634B5" w:rsidP="001B0449">
            <w:pPr>
              <w:tabs>
                <w:tab w:val="left" w:pos="-720"/>
              </w:tabs>
              <w:suppressAutoHyphens/>
              <w:spacing w:after="0"/>
              <w:jc w:val="both"/>
              <w:rPr>
                <w:rFonts w:cs="Tahoma"/>
                <w:spacing w:val="-3"/>
                <w:sz w:val="24"/>
                <w:szCs w:val="24"/>
              </w:rPr>
            </w:pPr>
          </w:p>
          <w:p w:rsidR="006634B5" w:rsidRPr="001B0449" w:rsidRDefault="006634B5" w:rsidP="001B0449">
            <w:pPr>
              <w:tabs>
                <w:tab w:val="left" w:pos="-720"/>
              </w:tabs>
              <w:suppressAutoHyphens/>
              <w:spacing w:after="0"/>
              <w:jc w:val="both"/>
              <w:rPr>
                <w:rFonts w:cs="Tahoma"/>
                <w:spacing w:val="-3"/>
                <w:sz w:val="24"/>
                <w:szCs w:val="24"/>
              </w:rPr>
            </w:pP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49.3</w:t>
            </w:r>
          </w:p>
        </w:tc>
        <w:tc>
          <w:tcPr>
            <w:tcW w:w="1916" w:type="dxa"/>
          </w:tcPr>
          <w:p w:rsidR="006634B5" w:rsidRPr="001B0449" w:rsidRDefault="006634B5" w:rsidP="001B0449">
            <w:pPr>
              <w:tabs>
                <w:tab w:val="left" w:pos="-720"/>
              </w:tabs>
              <w:suppressAutoHyphens/>
              <w:spacing w:after="0"/>
              <w:jc w:val="both"/>
              <w:rPr>
                <w:rFonts w:cs="Tahoma"/>
                <w:spacing w:val="-3"/>
                <w:sz w:val="24"/>
                <w:szCs w:val="24"/>
              </w:rPr>
            </w:pPr>
          </w:p>
          <w:p w:rsidR="006634B5" w:rsidRPr="001B0449" w:rsidRDefault="006634B5" w:rsidP="001B0449">
            <w:pPr>
              <w:tabs>
                <w:tab w:val="left" w:pos="-720"/>
              </w:tabs>
              <w:suppressAutoHyphens/>
              <w:spacing w:after="0"/>
              <w:jc w:val="both"/>
              <w:rPr>
                <w:rFonts w:cs="Tahoma"/>
                <w:spacing w:val="-3"/>
                <w:sz w:val="24"/>
                <w:szCs w:val="24"/>
              </w:rPr>
            </w:pPr>
          </w:p>
          <w:p w:rsidR="006634B5" w:rsidRPr="001B0449" w:rsidRDefault="006634B5" w:rsidP="001B0449">
            <w:pPr>
              <w:tabs>
                <w:tab w:val="left" w:pos="-720"/>
              </w:tabs>
              <w:suppressAutoHyphens/>
              <w:spacing w:after="0"/>
              <w:jc w:val="both"/>
              <w:rPr>
                <w:rFonts w:cs="Tahoma"/>
                <w:spacing w:val="-3"/>
                <w:sz w:val="24"/>
                <w:szCs w:val="24"/>
              </w:rPr>
            </w:pPr>
          </w:p>
          <w:p w:rsidR="006634B5" w:rsidRPr="001B0449" w:rsidRDefault="006634B5" w:rsidP="001B0449">
            <w:pPr>
              <w:tabs>
                <w:tab w:val="left" w:pos="-720"/>
              </w:tabs>
              <w:suppressAutoHyphens/>
              <w:spacing w:after="0"/>
              <w:jc w:val="both"/>
              <w:rPr>
                <w:rFonts w:cs="Tahoma"/>
                <w:spacing w:val="-3"/>
                <w:sz w:val="24"/>
                <w:szCs w:val="24"/>
              </w:rPr>
            </w:pPr>
          </w:p>
          <w:p w:rsidR="006634B5" w:rsidRPr="001B0449" w:rsidRDefault="006634B5" w:rsidP="001B0449">
            <w:pPr>
              <w:tabs>
                <w:tab w:val="left" w:pos="-720"/>
              </w:tabs>
              <w:suppressAutoHyphens/>
              <w:spacing w:after="0"/>
              <w:jc w:val="both"/>
              <w:rPr>
                <w:rFonts w:cs="Tahoma"/>
                <w:spacing w:val="-3"/>
                <w:sz w:val="24"/>
                <w:szCs w:val="24"/>
              </w:rPr>
            </w:pPr>
          </w:p>
          <w:p w:rsidR="006634B5" w:rsidRPr="001B0449" w:rsidRDefault="006634B5" w:rsidP="001B0449">
            <w:pPr>
              <w:tabs>
                <w:tab w:val="left" w:pos="-720"/>
              </w:tabs>
              <w:suppressAutoHyphens/>
              <w:spacing w:after="0"/>
              <w:jc w:val="both"/>
              <w:rPr>
                <w:rFonts w:cs="Tahoma"/>
                <w:spacing w:val="-3"/>
                <w:sz w:val="24"/>
                <w:szCs w:val="24"/>
              </w:rPr>
            </w:pPr>
            <w:r w:rsidRPr="001B0449">
              <w:rPr>
                <w:rFonts w:cs="Tahoma"/>
                <w:spacing w:val="-3"/>
                <w:sz w:val="24"/>
                <w:szCs w:val="24"/>
              </w:rPr>
              <w:t>&lt;0.001</w:t>
            </w:r>
          </w:p>
        </w:tc>
      </w:tr>
    </w:tbl>
    <w:p w:rsidR="006634B5" w:rsidRPr="00FD4D6A" w:rsidRDefault="006634B5" w:rsidP="00FD4D6A">
      <w:pPr>
        <w:tabs>
          <w:tab w:val="left" w:pos="-720"/>
        </w:tabs>
        <w:suppressAutoHyphens/>
        <w:jc w:val="both"/>
        <w:rPr>
          <w:rFonts w:cs="Tahoma"/>
          <w:spacing w:val="-3"/>
          <w:sz w:val="24"/>
          <w:szCs w:val="24"/>
        </w:rPr>
      </w:pPr>
    </w:p>
    <w:p w:rsidR="006634B5" w:rsidRDefault="006634B5" w:rsidP="00FD4D6A">
      <w:pPr>
        <w:jc w:val="both"/>
        <w:rPr>
          <w:rFonts w:cs="Tahoma"/>
          <w:sz w:val="24"/>
          <w:szCs w:val="24"/>
        </w:rPr>
      </w:pPr>
      <w:r w:rsidRPr="00FD4D6A">
        <w:rPr>
          <w:rFonts w:cs="Tahoma"/>
          <w:sz w:val="24"/>
          <w:szCs w:val="24"/>
        </w:rPr>
        <w:t xml:space="preserve">Logistic stepwise multi-regression analysis showed that WBCs (&gt;6700);   </w:t>
      </w:r>
      <w:r w:rsidRPr="00FD4D6A">
        <w:rPr>
          <w:rFonts w:cs="Tahoma"/>
          <w:spacing w:val="-3"/>
          <w:sz w:val="24"/>
          <w:szCs w:val="24"/>
        </w:rPr>
        <w:t>Platelets</w:t>
      </w:r>
      <w:r w:rsidRPr="00FD4D6A">
        <w:rPr>
          <w:rFonts w:cs="Tahoma"/>
          <w:sz w:val="24"/>
          <w:szCs w:val="24"/>
        </w:rPr>
        <w:t xml:space="preserve"> count (&gt;318 000); ESR (&gt;21); positive CRP; U/S findings (shifting from normal to bowel wall thickening) are the most sensitive predictors for IBD from those with IBS (F-ratio = 49.3, p&lt;0.001).</w:t>
      </w:r>
    </w:p>
    <w:p w:rsidR="006634B5" w:rsidRDefault="006634B5" w:rsidP="00FD4D6A">
      <w:pPr>
        <w:jc w:val="both"/>
        <w:rPr>
          <w:rFonts w:cs="Tahoma"/>
          <w:sz w:val="24"/>
          <w:szCs w:val="24"/>
        </w:rPr>
      </w:pPr>
    </w:p>
    <w:p w:rsidR="006634B5" w:rsidRPr="00FD4D6A" w:rsidRDefault="006634B5" w:rsidP="00FD4D6A">
      <w:pPr>
        <w:jc w:val="both"/>
        <w:rPr>
          <w:rFonts w:cs="Tahoma"/>
          <w:sz w:val="24"/>
          <w:szCs w:val="24"/>
        </w:rPr>
      </w:pPr>
    </w:p>
    <w:p w:rsidR="006634B5" w:rsidRPr="00FD4D6A" w:rsidRDefault="006634B5" w:rsidP="00FD4D6A">
      <w:pPr>
        <w:jc w:val="both"/>
        <w:rPr>
          <w:rFonts w:cs="Tahoma"/>
          <w:b/>
          <w:bCs/>
          <w:sz w:val="28"/>
          <w:szCs w:val="28"/>
          <w:lang w:bidi="ar-EG"/>
        </w:rPr>
      </w:pPr>
      <w:r w:rsidRPr="00FD4D6A">
        <w:rPr>
          <w:rFonts w:cs="Tahoma"/>
          <w:b/>
          <w:bCs/>
          <w:sz w:val="28"/>
          <w:szCs w:val="28"/>
          <w:lang w:bidi="ar-EG"/>
        </w:rPr>
        <w:t>4. Discussion:</w:t>
      </w:r>
    </w:p>
    <w:p w:rsidR="006634B5" w:rsidRPr="00FD4D6A" w:rsidRDefault="006634B5" w:rsidP="00FD4D6A">
      <w:pPr>
        <w:spacing w:before="240"/>
        <w:jc w:val="both"/>
        <w:rPr>
          <w:rFonts w:cs="Tahoma"/>
          <w:sz w:val="24"/>
          <w:szCs w:val="24"/>
        </w:rPr>
      </w:pPr>
      <w:r w:rsidRPr="00FD4D6A">
        <w:rPr>
          <w:rFonts w:cs="Tahoma"/>
          <w:sz w:val="24"/>
          <w:szCs w:val="24"/>
        </w:rPr>
        <w:t xml:space="preserve">Patients presented to gastroenterology clinics with symptoms suggestive of lower-bowel disorders often require extensive investigation to differentiate functional from organic disease </w:t>
      </w:r>
      <w:r w:rsidRPr="00FD4D6A">
        <w:rPr>
          <w:rFonts w:cs="Tahoma"/>
          <w:sz w:val="24"/>
          <w:szCs w:val="24"/>
          <w:vertAlign w:val="superscript"/>
        </w:rPr>
        <w:t>[7]</w:t>
      </w:r>
      <w:r w:rsidRPr="00FD4D6A">
        <w:rPr>
          <w:rFonts w:cs="Tahoma"/>
          <w:sz w:val="24"/>
          <w:szCs w:val="24"/>
        </w:rPr>
        <w:t xml:space="preserve">. Although they cause similar symptoms, IBS and IBD are different conditions, with different courses, different treatment options and different outcomes </w:t>
      </w:r>
      <w:r w:rsidRPr="00FD4D6A">
        <w:rPr>
          <w:rFonts w:cs="Tahoma"/>
          <w:sz w:val="24"/>
          <w:szCs w:val="24"/>
          <w:vertAlign w:val="superscript"/>
        </w:rPr>
        <w:t>[8]</w:t>
      </w:r>
      <w:r w:rsidRPr="00FD4D6A">
        <w:rPr>
          <w:rFonts w:cs="Tahoma"/>
          <w:sz w:val="24"/>
          <w:szCs w:val="24"/>
        </w:rPr>
        <w:t xml:space="preserve">. </w:t>
      </w:r>
    </w:p>
    <w:p w:rsidR="006634B5" w:rsidRPr="00FD4D6A" w:rsidRDefault="006634B5" w:rsidP="00F90C31">
      <w:pPr>
        <w:spacing w:before="240"/>
        <w:jc w:val="both"/>
        <w:rPr>
          <w:rFonts w:cs="Tahoma"/>
          <w:sz w:val="24"/>
          <w:szCs w:val="24"/>
          <w:lang w:val="en-GB" w:bidi="ar-EG"/>
        </w:rPr>
      </w:pPr>
      <w:r w:rsidRPr="00FD4D6A">
        <w:rPr>
          <w:rFonts w:cs="Tahoma"/>
          <w:sz w:val="24"/>
          <w:szCs w:val="24"/>
        </w:rPr>
        <w:t>Among our patients, IBS and IBD were detected in 57.8 and 18.9% respectively. Garcia et al.</w:t>
      </w:r>
      <w:r w:rsidRPr="00FD4D6A">
        <w:rPr>
          <w:rFonts w:cs="Tahoma"/>
          <w:sz w:val="24"/>
          <w:szCs w:val="24"/>
          <w:vertAlign w:val="superscript"/>
        </w:rPr>
        <w:t xml:space="preserve"> [9]</w:t>
      </w:r>
      <w:r w:rsidRPr="00FD4D6A">
        <w:rPr>
          <w:rFonts w:cs="Tahoma"/>
          <w:sz w:val="24"/>
          <w:szCs w:val="24"/>
        </w:rPr>
        <w:t xml:space="preserve"> reported a significant increased risk of detecting IBD in patients initially diagnosed with IBS (relative risk 16.3%) during a mean follow-up period of 3 years. In a recent case–control study, the association of the risk of developing IBD in subjects with symptoms of infectious gastroenteritis and IBS was elucidated. An approximately five-fold increase in IBD risk was noted for individuals with a previous diagnosis of IBS </w:t>
      </w:r>
      <w:r w:rsidRPr="00FD4D6A">
        <w:rPr>
          <w:rFonts w:cs="Tahoma"/>
          <w:sz w:val="24"/>
          <w:szCs w:val="24"/>
          <w:vertAlign w:val="superscript"/>
        </w:rPr>
        <w:t>[10]</w:t>
      </w:r>
      <w:r w:rsidRPr="00FD4D6A">
        <w:rPr>
          <w:rFonts w:cs="Tahoma"/>
          <w:sz w:val="24"/>
          <w:szCs w:val="24"/>
        </w:rPr>
        <w:t>. These results showed the relative risk in individuals with a previous episode of IBS symptoms for the development of IBD. Th</w:t>
      </w:r>
      <w:r>
        <w:rPr>
          <w:rFonts w:cs="Tahoma"/>
          <w:sz w:val="24"/>
          <w:szCs w:val="24"/>
        </w:rPr>
        <w:t xml:space="preserve">erefore </w:t>
      </w:r>
      <w:r w:rsidRPr="00FD4D6A">
        <w:rPr>
          <w:rFonts w:cs="Tahoma"/>
          <w:sz w:val="24"/>
          <w:szCs w:val="24"/>
          <w:lang w:val="en-GB" w:bidi="ar-EG"/>
        </w:rPr>
        <w:t xml:space="preserve">IBS may hide an organic disease and </w:t>
      </w:r>
      <w:r w:rsidRPr="00FD4D6A">
        <w:rPr>
          <w:rFonts w:cs="Tahoma"/>
          <w:sz w:val="24"/>
          <w:szCs w:val="24"/>
        </w:rPr>
        <w:t>an association between IBS and IBD could be found.</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 xml:space="preserve">It was found that; in a proportion of patients later diagnosed with IBD, however, initial symptoms may be attributed to a functional gut disorder </w:t>
      </w:r>
      <w:r w:rsidRPr="00FD4D6A">
        <w:rPr>
          <w:rFonts w:cs="Tahoma"/>
          <w:sz w:val="24"/>
          <w:szCs w:val="24"/>
          <w:vertAlign w:val="superscript"/>
        </w:rPr>
        <w:t>[11]</w:t>
      </w:r>
      <w:r w:rsidRPr="00FD4D6A">
        <w:rPr>
          <w:rFonts w:cs="Tahoma"/>
          <w:sz w:val="24"/>
          <w:szCs w:val="24"/>
        </w:rPr>
        <w:t>.It is well reported that patients with IBD often complain of IBS symptoms for several years before the diagnosis of IBD, and symptoms of IBS will occasionally occur in patients with IBD who are in remission</w:t>
      </w:r>
      <w:r w:rsidRPr="00FD4D6A">
        <w:rPr>
          <w:rFonts w:cs="Tahoma"/>
          <w:sz w:val="24"/>
          <w:szCs w:val="24"/>
          <w:vertAlign w:val="superscript"/>
        </w:rPr>
        <w:t xml:space="preserve"> [12-14]</w:t>
      </w:r>
      <w:r w:rsidRPr="00FD4D6A">
        <w:rPr>
          <w:rFonts w:cs="Tahoma"/>
          <w:sz w:val="24"/>
          <w:szCs w:val="24"/>
        </w:rPr>
        <w:t xml:space="preserve">. While Farrokhyar et al </w:t>
      </w:r>
      <w:r w:rsidRPr="00FD4D6A">
        <w:rPr>
          <w:rFonts w:cs="Tahoma"/>
          <w:sz w:val="24"/>
          <w:szCs w:val="24"/>
          <w:vertAlign w:val="superscript"/>
        </w:rPr>
        <w:t>[15]</w:t>
      </w:r>
      <w:r w:rsidRPr="00FD4D6A">
        <w:rPr>
          <w:rFonts w:cs="Tahoma"/>
          <w:sz w:val="24"/>
          <w:szCs w:val="24"/>
        </w:rPr>
        <w:t xml:space="preserve"> reported that; IBD in remission had a high rate of IBS-type symptoms</w:t>
      </w:r>
      <w:r w:rsidRPr="00FD4D6A">
        <w:rPr>
          <w:rFonts w:cs="Tahoma"/>
          <w:sz w:val="24"/>
          <w:szCs w:val="24"/>
          <w:vertAlign w:val="superscript"/>
        </w:rPr>
        <w:t xml:space="preserve"> </w:t>
      </w:r>
      <w:r w:rsidRPr="00FD4D6A">
        <w:rPr>
          <w:rFonts w:cs="Tahoma"/>
          <w:sz w:val="24"/>
          <w:szCs w:val="24"/>
        </w:rPr>
        <w:t xml:space="preserve">in up to 26% of the patients. </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 xml:space="preserve">Infectious gastroenteritis may be one of the important factors in the development of IBS,  with affected individuals often categorized as having post-infectious IBS (PI-IBS), and is linked to the onset of symptoms in approximately 10–20% of patients diagnosed with IBS </w:t>
      </w:r>
      <w:r w:rsidRPr="00FD4D6A">
        <w:rPr>
          <w:rFonts w:cs="Tahoma"/>
          <w:sz w:val="24"/>
          <w:szCs w:val="24"/>
          <w:vertAlign w:val="superscript"/>
        </w:rPr>
        <w:t>[16]</w:t>
      </w:r>
      <w:r w:rsidRPr="00FD4D6A">
        <w:rPr>
          <w:rFonts w:cs="Tahoma"/>
          <w:sz w:val="24"/>
          <w:szCs w:val="24"/>
        </w:rPr>
        <w:t xml:space="preserve">.Recently, infectious gastroenteritis has also been suggested to be associated with the development of IBD,  and various studies have suggested that individuals with IBS or IBS-like symptoms may be susceptible to initiation of IBD </w:t>
      </w:r>
      <w:r w:rsidRPr="00FD4D6A">
        <w:rPr>
          <w:rFonts w:cs="Tahoma"/>
          <w:sz w:val="24"/>
          <w:szCs w:val="24"/>
          <w:vertAlign w:val="superscript"/>
        </w:rPr>
        <w:t>[17]</w:t>
      </w:r>
      <w:r w:rsidRPr="00FD4D6A">
        <w:rPr>
          <w:rFonts w:cs="Tahoma"/>
          <w:sz w:val="24"/>
          <w:szCs w:val="24"/>
        </w:rPr>
        <w:t>.This adds a more support to the association between IBS and IBD.</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Minderhoud et al.</w:t>
      </w:r>
      <w:r w:rsidRPr="00FD4D6A">
        <w:rPr>
          <w:rFonts w:cs="Tahoma"/>
          <w:sz w:val="24"/>
          <w:szCs w:val="24"/>
          <w:vertAlign w:val="superscript"/>
        </w:rPr>
        <w:t xml:space="preserve"> [18]</w:t>
      </w:r>
      <w:r w:rsidRPr="00FD4D6A">
        <w:rPr>
          <w:rFonts w:cs="Tahoma"/>
          <w:sz w:val="24"/>
          <w:szCs w:val="24"/>
        </w:rPr>
        <w:t xml:space="preserve"> reported that IBS symptoms were present in 41.7% and 31.5% of patients with Crohn’s disease (CD) and ulcerative colitis (UC), respectively, but only in 7.6% of healthy controls. </w:t>
      </w:r>
    </w:p>
    <w:p w:rsidR="006634B5" w:rsidRDefault="006634B5" w:rsidP="00F90C31">
      <w:pPr>
        <w:autoSpaceDE w:val="0"/>
        <w:autoSpaceDN w:val="0"/>
        <w:adjustRightInd w:val="0"/>
        <w:spacing w:after="0"/>
        <w:jc w:val="both"/>
        <w:rPr>
          <w:rFonts w:cs="Tahoma"/>
          <w:sz w:val="24"/>
          <w:szCs w:val="24"/>
        </w:rPr>
      </w:pPr>
      <w:r w:rsidRPr="00FD4D6A">
        <w:rPr>
          <w:rFonts w:cs="Tahoma"/>
          <w:sz w:val="24"/>
          <w:szCs w:val="24"/>
        </w:rPr>
        <w:t>These findings are consistent with the hypotheses that subclinical inflammation and immune activation that precede the expression of IBD result in symptoms of IBS. This previous immune activation and inflammation are followed by gut dysfunction and the generation of IBS symptoms</w:t>
      </w:r>
      <w:r>
        <w:rPr>
          <w:rFonts w:cs="Tahoma"/>
          <w:sz w:val="24"/>
          <w:szCs w:val="24"/>
        </w:rPr>
        <w:t>.</w:t>
      </w:r>
    </w:p>
    <w:p w:rsidR="006634B5" w:rsidRDefault="006634B5" w:rsidP="00F90C31">
      <w:pPr>
        <w:autoSpaceDE w:val="0"/>
        <w:autoSpaceDN w:val="0"/>
        <w:adjustRightInd w:val="0"/>
        <w:spacing w:after="0"/>
        <w:jc w:val="both"/>
        <w:rPr>
          <w:rFonts w:cs="Tahoma"/>
          <w:sz w:val="24"/>
          <w:szCs w:val="24"/>
        </w:rPr>
      </w:pPr>
    </w:p>
    <w:p w:rsidR="006634B5" w:rsidRPr="002F1F2B" w:rsidRDefault="006634B5" w:rsidP="002F1F2B">
      <w:pPr>
        <w:autoSpaceDE w:val="0"/>
        <w:autoSpaceDN w:val="0"/>
        <w:adjustRightInd w:val="0"/>
        <w:spacing w:after="0"/>
        <w:jc w:val="both"/>
        <w:rPr>
          <w:rFonts w:cs="Tahoma"/>
          <w:sz w:val="24"/>
          <w:szCs w:val="24"/>
        </w:rPr>
      </w:pPr>
      <w:r w:rsidRPr="00FD4D6A">
        <w:rPr>
          <w:rFonts w:cs="Tahoma"/>
          <w:sz w:val="24"/>
          <w:szCs w:val="24"/>
        </w:rPr>
        <w:t xml:space="preserve">In accordance, our results showed no significant difference between both groups regarding the symptomatology as </w:t>
      </w:r>
      <w:r w:rsidRPr="00FD4D6A">
        <w:rPr>
          <w:rFonts w:cs="Tahoma"/>
          <w:sz w:val="24"/>
          <w:szCs w:val="24"/>
          <w:lang w:bidi="ar-EG"/>
        </w:rPr>
        <w:t>abdominal pain</w:t>
      </w:r>
      <w:r w:rsidRPr="00FD4D6A">
        <w:rPr>
          <w:rFonts w:cs="Tahoma"/>
          <w:sz w:val="24"/>
          <w:szCs w:val="24"/>
        </w:rPr>
        <w:t xml:space="preserve">, </w:t>
      </w:r>
      <w:r w:rsidRPr="00FD4D6A">
        <w:rPr>
          <w:rFonts w:cs="Tahoma"/>
          <w:sz w:val="24"/>
          <w:szCs w:val="24"/>
          <w:lang w:bidi="ar-EG"/>
        </w:rPr>
        <w:t>bloating</w:t>
      </w:r>
      <w:r w:rsidRPr="00FD4D6A">
        <w:rPr>
          <w:rFonts w:cs="Tahoma"/>
          <w:sz w:val="24"/>
          <w:szCs w:val="24"/>
        </w:rPr>
        <w:t>,</w:t>
      </w:r>
      <w:r w:rsidRPr="00FD4D6A">
        <w:rPr>
          <w:rFonts w:cs="Tahoma"/>
          <w:sz w:val="24"/>
          <w:szCs w:val="24"/>
          <w:lang w:bidi="ar-EG"/>
        </w:rPr>
        <w:t xml:space="preserve"> diarrhea and constipation.</w:t>
      </w:r>
      <w:r w:rsidRPr="00FD4D6A">
        <w:rPr>
          <w:rFonts w:cs="Tahoma"/>
          <w:sz w:val="24"/>
          <w:szCs w:val="24"/>
        </w:rPr>
        <w:t xml:space="preserve"> </w:t>
      </w:r>
      <w:r w:rsidRPr="00F90C31">
        <w:rPr>
          <w:sz w:val="24"/>
          <w:szCs w:val="24"/>
        </w:rPr>
        <w:t>The Rome III criteria, in conjunct</w:t>
      </w:r>
      <w:r>
        <w:rPr>
          <w:sz w:val="24"/>
          <w:szCs w:val="24"/>
        </w:rPr>
        <w:t xml:space="preserve">ion with careful history-taking </w:t>
      </w:r>
      <w:r w:rsidRPr="00F90C31">
        <w:rPr>
          <w:sz w:val="24"/>
          <w:szCs w:val="24"/>
        </w:rPr>
        <w:t>and thorough physical examination, can be applied as part of the stepwise, symptom-based approach to diagnosing IBS .</w:t>
      </w:r>
      <w:r w:rsidRPr="00F90C31">
        <w:rPr>
          <w:rFonts w:cs="Tahoma"/>
          <w:sz w:val="24"/>
          <w:szCs w:val="24"/>
        </w:rPr>
        <w:t xml:space="preserve"> </w:t>
      </w:r>
      <w:r w:rsidRPr="00FD4D6A">
        <w:rPr>
          <w:rFonts w:cs="Tahoma"/>
          <w:sz w:val="24"/>
          <w:szCs w:val="24"/>
        </w:rPr>
        <w:t xml:space="preserve">This raises the physicians’ attention to </w:t>
      </w:r>
      <w:r>
        <w:rPr>
          <w:sz w:val="24"/>
          <w:szCs w:val="24"/>
        </w:rPr>
        <w:t>t</w:t>
      </w:r>
      <w:r w:rsidRPr="00F90C31">
        <w:rPr>
          <w:sz w:val="24"/>
          <w:szCs w:val="24"/>
        </w:rPr>
        <w:t xml:space="preserve">he presence of alarm features (eg, </w:t>
      </w:r>
      <w:r>
        <w:rPr>
          <w:sz w:val="24"/>
          <w:szCs w:val="24"/>
        </w:rPr>
        <w:t xml:space="preserve">bloody stool, weight loss).It is </w:t>
      </w:r>
      <w:r w:rsidRPr="00F90C31">
        <w:rPr>
          <w:sz w:val="24"/>
          <w:szCs w:val="24"/>
        </w:rPr>
        <w:t xml:space="preserve">potentially indicative of organic disease </w:t>
      </w:r>
      <w:r>
        <w:rPr>
          <w:sz w:val="24"/>
          <w:szCs w:val="24"/>
        </w:rPr>
        <w:t xml:space="preserve">and </w:t>
      </w:r>
      <w:r w:rsidRPr="00F90C31">
        <w:rPr>
          <w:sz w:val="24"/>
          <w:szCs w:val="24"/>
        </w:rPr>
        <w:t>necessitates further evaluation</w:t>
      </w:r>
      <w:r>
        <w:rPr>
          <w:sz w:val="24"/>
          <w:szCs w:val="24"/>
          <w:vertAlign w:val="superscript"/>
        </w:rPr>
        <w:t xml:space="preserve"> </w:t>
      </w:r>
      <w:r>
        <w:rPr>
          <w:rFonts w:cs="Tahoma"/>
          <w:sz w:val="24"/>
          <w:szCs w:val="24"/>
          <w:vertAlign w:val="superscript"/>
        </w:rPr>
        <w:t>[2]</w:t>
      </w:r>
      <w:r>
        <w:rPr>
          <w:rFonts w:cs="Tahoma"/>
          <w:sz w:val="24"/>
          <w:szCs w:val="24"/>
        </w:rPr>
        <w:t>.</w:t>
      </w:r>
    </w:p>
    <w:p w:rsidR="006634B5" w:rsidRDefault="006634B5" w:rsidP="00F90C31">
      <w:pPr>
        <w:spacing w:before="240"/>
        <w:jc w:val="both"/>
        <w:rPr>
          <w:rFonts w:cs="Tahoma"/>
          <w:sz w:val="24"/>
          <w:szCs w:val="24"/>
        </w:rPr>
      </w:pPr>
      <w:r w:rsidRPr="00FD4D6A">
        <w:rPr>
          <w:rFonts w:cs="Tahoma"/>
          <w:sz w:val="24"/>
          <w:szCs w:val="24"/>
        </w:rPr>
        <w:t xml:space="preserve">Discriminating IBS from IBD, especially with mild disease activity, is a common clinical challenge </w:t>
      </w:r>
      <w:r w:rsidRPr="00FD4D6A">
        <w:rPr>
          <w:rFonts w:cs="Tahoma"/>
          <w:sz w:val="24"/>
          <w:szCs w:val="24"/>
          <w:vertAlign w:val="superscript"/>
        </w:rPr>
        <w:t>[19]</w:t>
      </w:r>
      <w:r w:rsidRPr="00FD4D6A">
        <w:rPr>
          <w:rFonts w:cs="Tahoma"/>
          <w:sz w:val="24"/>
          <w:szCs w:val="24"/>
        </w:rPr>
        <w:t xml:space="preserve">.The clinical Laboratory plays an important role in differentiating these disorders </w:t>
      </w:r>
      <w:r w:rsidRPr="00FD4D6A">
        <w:rPr>
          <w:rFonts w:cs="Tahoma"/>
          <w:sz w:val="24"/>
          <w:szCs w:val="24"/>
          <w:vertAlign w:val="superscript"/>
        </w:rPr>
        <w:t>[8]</w:t>
      </w:r>
      <w:r w:rsidRPr="00FD4D6A">
        <w:rPr>
          <w:rFonts w:cs="Tahoma"/>
          <w:sz w:val="24"/>
          <w:szCs w:val="24"/>
        </w:rPr>
        <w:t>.</w:t>
      </w:r>
    </w:p>
    <w:p w:rsidR="006634B5" w:rsidRPr="00FD4D6A" w:rsidRDefault="006634B5" w:rsidP="00F90C31">
      <w:pPr>
        <w:spacing w:before="240"/>
        <w:jc w:val="both"/>
        <w:rPr>
          <w:rFonts w:cs="Tahoma"/>
          <w:sz w:val="24"/>
          <w:szCs w:val="24"/>
        </w:rPr>
      </w:pPr>
      <w:r w:rsidRPr="00FD4D6A">
        <w:rPr>
          <w:rFonts w:cs="Tahoma"/>
          <w:sz w:val="24"/>
          <w:szCs w:val="24"/>
        </w:rPr>
        <w:t>Anaemia has been recognized as a key symptom of IBD. For a long time, the only laboratory parameter included in disease activity scores (such</w:t>
      </w:r>
      <w:r w:rsidRPr="00FD4D6A">
        <w:rPr>
          <w:rFonts w:cs="Tahoma"/>
          <w:sz w:val="24"/>
          <w:szCs w:val="24"/>
          <w:rtl/>
        </w:rPr>
        <w:t xml:space="preserve"> </w:t>
      </w:r>
      <w:r w:rsidRPr="00FD4D6A">
        <w:rPr>
          <w:rFonts w:cs="Tahoma"/>
          <w:sz w:val="24"/>
          <w:szCs w:val="24"/>
        </w:rPr>
        <w:t>as the Crohn's disease activity index) was the haematocrit /</w:t>
      </w:r>
      <w:r w:rsidRPr="00FD4D6A">
        <w:rPr>
          <w:rFonts w:cs="Tahoma"/>
          <w:sz w:val="24"/>
          <w:szCs w:val="24"/>
          <w:rtl/>
        </w:rPr>
        <w:t xml:space="preserve"> </w:t>
      </w:r>
      <w:r w:rsidRPr="00FD4D6A">
        <w:rPr>
          <w:rFonts w:cs="Tahoma"/>
          <w:sz w:val="24"/>
          <w:szCs w:val="24"/>
        </w:rPr>
        <w:t>haemoglobin ratio. Intestinal bleeding (either visible or occult blood) is a major symptom of the disease itself and anaemia is a consistent clinical feature of IBD</w:t>
      </w:r>
      <w:r w:rsidRPr="00FD4D6A">
        <w:rPr>
          <w:rFonts w:cs="Tahoma"/>
          <w:sz w:val="24"/>
          <w:szCs w:val="24"/>
          <w:vertAlign w:val="superscript"/>
        </w:rPr>
        <w:t xml:space="preserve"> [20]</w:t>
      </w:r>
      <w:r w:rsidRPr="00FD4D6A">
        <w:rPr>
          <w:rFonts w:cs="Tahoma"/>
          <w:sz w:val="24"/>
          <w:szCs w:val="24"/>
        </w:rPr>
        <w:t xml:space="preserve">. </w:t>
      </w:r>
    </w:p>
    <w:p w:rsidR="006634B5" w:rsidRPr="00FD4D6A" w:rsidRDefault="006634B5" w:rsidP="00FD4D6A">
      <w:pPr>
        <w:spacing w:after="0"/>
        <w:jc w:val="both"/>
        <w:rPr>
          <w:rFonts w:cs="Tahoma"/>
          <w:sz w:val="24"/>
          <w:szCs w:val="24"/>
          <w:lang w:bidi="ar-EG"/>
        </w:rPr>
      </w:pPr>
      <w:r w:rsidRPr="00FD4D6A">
        <w:rPr>
          <w:rFonts w:cs="Tahoma"/>
          <w:sz w:val="24"/>
          <w:szCs w:val="24"/>
          <w:lang w:bidi="ar-EG"/>
        </w:rPr>
        <w:t xml:space="preserve">This is in agreement with our study as </w:t>
      </w:r>
      <w:r w:rsidRPr="00FD4D6A">
        <w:rPr>
          <w:rFonts w:cs="Tahoma"/>
          <w:sz w:val="24"/>
          <w:szCs w:val="24"/>
          <w:lang w:val="en-GB" w:bidi="ar-EG"/>
        </w:rPr>
        <w:t>the mean</w:t>
      </w:r>
      <w:r w:rsidRPr="00FD4D6A">
        <w:rPr>
          <w:rFonts w:cs="Tahoma"/>
          <w:sz w:val="24"/>
          <w:szCs w:val="24"/>
          <w:lang w:bidi="ar-EG"/>
        </w:rPr>
        <w:t>±SD of HB concentration</w:t>
      </w:r>
      <w:r w:rsidRPr="00FD4D6A">
        <w:rPr>
          <w:rFonts w:cs="Tahoma"/>
          <w:sz w:val="24"/>
          <w:szCs w:val="24"/>
          <w:rtl/>
          <w:lang w:bidi="ar-EG"/>
        </w:rPr>
        <w:t xml:space="preserve"> </w:t>
      </w:r>
      <w:r w:rsidRPr="00FD4D6A">
        <w:rPr>
          <w:rFonts w:cs="Tahoma"/>
          <w:sz w:val="24"/>
          <w:szCs w:val="24"/>
          <w:lang w:bidi="ar-EG"/>
        </w:rPr>
        <w:t xml:space="preserve">showed significant reduction in the IBD than in IBS group (11.2±1.8) and (13.07±1.45) respectively. </w:t>
      </w:r>
    </w:p>
    <w:p w:rsidR="006634B5" w:rsidRPr="00FD4D6A" w:rsidRDefault="006634B5" w:rsidP="00FD4D6A">
      <w:pPr>
        <w:spacing w:before="240"/>
        <w:jc w:val="both"/>
        <w:rPr>
          <w:rFonts w:cs="Tahoma"/>
          <w:sz w:val="24"/>
          <w:szCs w:val="24"/>
        </w:rPr>
      </w:pPr>
      <w:r w:rsidRPr="00FD4D6A">
        <w:rPr>
          <w:rFonts w:cs="Tahoma"/>
          <w:sz w:val="24"/>
          <w:szCs w:val="24"/>
        </w:rPr>
        <w:t xml:space="preserve">Beside anemia, thrombocytosis and leukocytosis are common hematological abnormalities in IBD patients and can be seen in up to half of the patients with active disease. Thrombocytosis is postulated to result from circulating inflammatory cytokines that stimulate platelet production. Similarly, leukocytosis can occur as a result of generalized inflammation </w:t>
      </w:r>
      <w:r w:rsidRPr="00FD4D6A">
        <w:rPr>
          <w:rFonts w:cs="Tahoma"/>
          <w:sz w:val="24"/>
          <w:szCs w:val="24"/>
          <w:vertAlign w:val="superscript"/>
        </w:rPr>
        <w:t>[21]</w:t>
      </w:r>
      <w:r w:rsidRPr="00FD4D6A">
        <w:rPr>
          <w:rFonts w:cs="Tahoma"/>
          <w:sz w:val="24"/>
          <w:szCs w:val="24"/>
        </w:rPr>
        <w:t>.</w:t>
      </w:r>
    </w:p>
    <w:p w:rsidR="006634B5" w:rsidRPr="00FD4D6A" w:rsidRDefault="006634B5" w:rsidP="00FD4D6A">
      <w:pPr>
        <w:pStyle w:val="NormalWeb"/>
        <w:spacing w:line="276" w:lineRule="auto"/>
        <w:jc w:val="both"/>
        <w:rPr>
          <w:rFonts w:ascii="Calibri" w:hAnsi="Calibri" w:cs="Tahoma"/>
          <w:sz w:val="24"/>
          <w:szCs w:val="24"/>
        </w:rPr>
      </w:pPr>
      <w:r w:rsidRPr="00FD4D6A">
        <w:rPr>
          <w:rFonts w:ascii="Calibri" w:hAnsi="Calibri" w:cs="Tahoma"/>
          <w:sz w:val="24"/>
          <w:szCs w:val="24"/>
        </w:rPr>
        <w:t xml:space="preserve">Association between thrombocytosis and both CD and UC has been recognized for many years </w:t>
      </w:r>
      <w:r w:rsidRPr="00FD4D6A">
        <w:rPr>
          <w:rFonts w:ascii="Calibri" w:hAnsi="Calibri" w:cs="Tahoma"/>
          <w:sz w:val="24"/>
          <w:szCs w:val="24"/>
          <w:vertAlign w:val="superscript"/>
        </w:rPr>
        <w:t>[22]</w:t>
      </w:r>
      <w:r w:rsidRPr="00FD4D6A">
        <w:rPr>
          <w:rFonts w:ascii="Calibri" w:hAnsi="Calibri" w:cs="Tahoma"/>
          <w:sz w:val="24"/>
          <w:szCs w:val="24"/>
        </w:rPr>
        <w:t xml:space="preserve">. Beattie et al. </w:t>
      </w:r>
      <w:r w:rsidRPr="00FD4D6A">
        <w:rPr>
          <w:rFonts w:ascii="Calibri" w:hAnsi="Calibri" w:cs="Tahoma"/>
          <w:sz w:val="24"/>
          <w:szCs w:val="24"/>
          <w:vertAlign w:val="superscript"/>
        </w:rPr>
        <w:t>[23]</w:t>
      </w:r>
      <w:r w:rsidRPr="00FD4D6A">
        <w:rPr>
          <w:rFonts w:ascii="Calibri" w:hAnsi="Calibri" w:cs="Tahoma"/>
          <w:sz w:val="24"/>
          <w:szCs w:val="24"/>
        </w:rPr>
        <w:t xml:space="preserve"> found that the platelet count was increased in 88% of patients with CD and in 70% with UC. This is in keeping with our study as platelet count showed highly significant elevation in the IBD than in IBS cases.</w:t>
      </w:r>
    </w:p>
    <w:p w:rsidR="006634B5" w:rsidRPr="00FD4D6A" w:rsidRDefault="006634B5" w:rsidP="00FD4D6A">
      <w:pPr>
        <w:autoSpaceDE w:val="0"/>
        <w:autoSpaceDN w:val="0"/>
        <w:adjustRightInd w:val="0"/>
        <w:spacing w:before="240"/>
        <w:jc w:val="both"/>
        <w:rPr>
          <w:rFonts w:cs="Tahoma"/>
          <w:sz w:val="24"/>
          <w:szCs w:val="24"/>
        </w:rPr>
      </w:pPr>
      <w:r w:rsidRPr="00FD4D6A">
        <w:rPr>
          <w:rFonts w:cs="Tahoma"/>
          <w:sz w:val="24"/>
          <w:szCs w:val="24"/>
        </w:rPr>
        <w:t>In agreement with our study, Sabery</w:t>
      </w:r>
      <w:r w:rsidRPr="00FD4D6A">
        <w:rPr>
          <w:rFonts w:cs="Tahoma"/>
          <w:sz w:val="24"/>
          <w:szCs w:val="24"/>
          <w:lang w:val="en-GB"/>
        </w:rPr>
        <w:t xml:space="preserve"> and </w:t>
      </w:r>
      <w:r w:rsidRPr="00FD4D6A">
        <w:rPr>
          <w:rFonts w:cs="Tahoma"/>
          <w:sz w:val="24"/>
          <w:szCs w:val="24"/>
        </w:rPr>
        <w:t xml:space="preserve"> Bass </w:t>
      </w:r>
      <w:r w:rsidRPr="00FD4D6A">
        <w:rPr>
          <w:rFonts w:cs="Tahoma"/>
          <w:sz w:val="24"/>
          <w:szCs w:val="24"/>
          <w:vertAlign w:val="superscript"/>
        </w:rPr>
        <w:t>[24]</w:t>
      </w:r>
      <w:r w:rsidRPr="00FD4D6A">
        <w:rPr>
          <w:rFonts w:cs="Tahoma"/>
          <w:b/>
          <w:bCs/>
          <w:sz w:val="24"/>
          <w:szCs w:val="24"/>
        </w:rPr>
        <w:t xml:space="preserve"> </w:t>
      </w:r>
      <w:r w:rsidRPr="00FD4D6A">
        <w:rPr>
          <w:rFonts w:cs="Tahoma"/>
          <w:sz w:val="24"/>
          <w:szCs w:val="24"/>
        </w:rPr>
        <w:t xml:space="preserve">studied the use of ESR and HB concentration in comparison to serologic markers as screening test for IBD. They found that, serologic testing for IBD had 60% sensitivity and 92% specificity while  positive laboratory test for anemia or an elevated ESR had 83% sensitivity and the combination of anemia and elevated ESR had 96% specificity. </w:t>
      </w:r>
    </w:p>
    <w:p w:rsidR="006634B5" w:rsidRPr="00FD4D6A" w:rsidRDefault="006634B5" w:rsidP="00FD4D6A">
      <w:pPr>
        <w:jc w:val="both"/>
        <w:rPr>
          <w:rFonts w:cs="Tahoma"/>
          <w:sz w:val="24"/>
          <w:szCs w:val="24"/>
        </w:rPr>
      </w:pPr>
      <w:r w:rsidRPr="00FD4D6A">
        <w:rPr>
          <w:rFonts w:cs="Tahoma"/>
          <w:sz w:val="24"/>
          <w:szCs w:val="24"/>
        </w:rPr>
        <w:t xml:space="preserve">CRP is one of the most important proteins up-regulated during an acute-phase stimulus in humans </w:t>
      </w:r>
      <w:r w:rsidRPr="00FD4D6A">
        <w:rPr>
          <w:rFonts w:cs="Tahoma"/>
          <w:sz w:val="24"/>
          <w:szCs w:val="24"/>
          <w:vertAlign w:val="superscript"/>
        </w:rPr>
        <w:t>[25]</w:t>
      </w:r>
      <w:r w:rsidRPr="00FD4D6A">
        <w:rPr>
          <w:rFonts w:cs="Tahoma"/>
          <w:sz w:val="24"/>
          <w:szCs w:val="24"/>
        </w:rPr>
        <w:t>. Our study showed a highly significant positive correlation between IBD cases and positive CRP in comparison to IBS cases.</w:t>
      </w:r>
    </w:p>
    <w:p w:rsidR="006634B5" w:rsidRPr="00FD4D6A" w:rsidRDefault="006634B5" w:rsidP="00FD4D6A">
      <w:pPr>
        <w:autoSpaceDE w:val="0"/>
        <w:autoSpaceDN w:val="0"/>
        <w:adjustRightInd w:val="0"/>
        <w:spacing w:after="0"/>
        <w:jc w:val="both"/>
        <w:rPr>
          <w:rFonts w:cs="Tahoma"/>
          <w:sz w:val="24"/>
          <w:szCs w:val="24"/>
          <w:vertAlign w:val="superscript"/>
        </w:rPr>
      </w:pPr>
      <w:r w:rsidRPr="00FD4D6A">
        <w:rPr>
          <w:rFonts w:cs="Tahoma"/>
          <w:sz w:val="24"/>
          <w:szCs w:val="24"/>
        </w:rPr>
        <w:t>Matching with our results, Poullis et al</w:t>
      </w:r>
      <w:r w:rsidRPr="00FD4D6A">
        <w:rPr>
          <w:rFonts w:cs="Tahoma"/>
          <w:sz w:val="24"/>
          <w:szCs w:val="24"/>
          <w:vertAlign w:val="superscript"/>
        </w:rPr>
        <w:t xml:space="preserve"> [7]</w:t>
      </w:r>
      <w:r w:rsidRPr="00FD4D6A">
        <w:rPr>
          <w:rFonts w:cs="Tahoma"/>
          <w:sz w:val="24"/>
          <w:szCs w:val="24"/>
        </w:rPr>
        <w:t xml:space="preserve"> reported CRP to be a good marker in differentiating IBD from IBS among individuals referred for symptoms suggestive of lower bowel disease. In addition, ESR was proved to be the second best marker in such differentiation.</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 xml:space="preserve">The sensitivity of CRP for detection of IBD ranges between 50% and 60% for UC and between 70% and 100% for CD </w:t>
      </w:r>
      <w:r w:rsidRPr="00FD4D6A">
        <w:rPr>
          <w:rFonts w:cs="Tahoma"/>
          <w:sz w:val="24"/>
          <w:szCs w:val="24"/>
          <w:vertAlign w:val="superscript"/>
        </w:rPr>
        <w:t>[7-26]</w:t>
      </w:r>
      <w:r w:rsidRPr="00FD4D6A">
        <w:rPr>
          <w:rFonts w:cs="Tahoma"/>
          <w:sz w:val="24"/>
          <w:szCs w:val="24"/>
        </w:rPr>
        <w:t>. Also, Henriksen et al.</w:t>
      </w:r>
      <w:r w:rsidRPr="00FD4D6A">
        <w:rPr>
          <w:rFonts w:cs="Tahoma"/>
          <w:sz w:val="24"/>
          <w:szCs w:val="24"/>
          <w:vertAlign w:val="superscript"/>
        </w:rPr>
        <w:t>[27]</w:t>
      </w:r>
      <w:r w:rsidRPr="00FD4D6A">
        <w:rPr>
          <w:rFonts w:cs="Tahoma"/>
          <w:sz w:val="24"/>
          <w:szCs w:val="24"/>
        </w:rPr>
        <w:t xml:space="preserve"> reported that, CRP levels at diagnosis were related to the extent of disease in patients with UC.      </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 xml:space="preserve">However, other markers of inflammation such as ESR  give reliable information on IBD activity,  their longer half life and interference with other factors make them less useful in clinical practice compared with CRP </w:t>
      </w:r>
      <w:r w:rsidRPr="00FD4D6A">
        <w:rPr>
          <w:rFonts w:cs="Tahoma"/>
          <w:sz w:val="24"/>
          <w:szCs w:val="24"/>
          <w:vertAlign w:val="superscript"/>
        </w:rPr>
        <w:t>[28]</w:t>
      </w:r>
      <w:r w:rsidRPr="00FD4D6A">
        <w:rPr>
          <w:rFonts w:cs="Tahoma"/>
          <w:sz w:val="24"/>
          <w:szCs w:val="24"/>
        </w:rPr>
        <w:t>.</w:t>
      </w:r>
    </w:p>
    <w:p w:rsidR="006634B5" w:rsidRPr="00FD4D6A" w:rsidRDefault="006634B5" w:rsidP="00FD4D6A">
      <w:pPr>
        <w:pStyle w:val="NormalWeb"/>
        <w:spacing w:line="276" w:lineRule="auto"/>
        <w:jc w:val="both"/>
        <w:rPr>
          <w:rFonts w:ascii="Calibri" w:hAnsi="Calibri" w:cs="Tahoma"/>
          <w:sz w:val="24"/>
          <w:szCs w:val="24"/>
        </w:rPr>
      </w:pPr>
      <w:r w:rsidRPr="00FD4D6A">
        <w:rPr>
          <w:rFonts w:ascii="Calibri" w:hAnsi="Calibri" w:cs="Tahoma"/>
          <w:sz w:val="24"/>
          <w:szCs w:val="24"/>
        </w:rPr>
        <w:t xml:space="preserve"> Ileocolonoscopy represents the diagnostic standard in the work-up of patients with IBD. Because of the invasiveness and pain sensation during colonoscopy, patients are often reluctant to be colonoscoped </w:t>
      </w:r>
      <w:r w:rsidRPr="00FD4D6A">
        <w:rPr>
          <w:rFonts w:ascii="Calibri" w:hAnsi="Calibri" w:cs="Tahoma"/>
          <w:sz w:val="24"/>
          <w:szCs w:val="24"/>
          <w:vertAlign w:val="superscript"/>
        </w:rPr>
        <w:t>[29]</w:t>
      </w:r>
      <w:r w:rsidRPr="00FD4D6A">
        <w:rPr>
          <w:rFonts w:ascii="Calibri" w:hAnsi="Calibri" w:cs="Tahoma"/>
          <w:sz w:val="24"/>
          <w:szCs w:val="24"/>
        </w:rPr>
        <w:t xml:space="preserve">.It was found that, in the hands of an experienced radiologist,  U/S can be very accurate for the detection of IBD </w:t>
      </w:r>
      <w:r w:rsidRPr="00FD4D6A">
        <w:rPr>
          <w:rFonts w:ascii="Calibri" w:hAnsi="Calibri" w:cs="Tahoma"/>
          <w:sz w:val="24"/>
          <w:szCs w:val="24"/>
          <w:vertAlign w:val="superscript"/>
        </w:rPr>
        <w:t>[30]</w:t>
      </w:r>
      <w:r w:rsidRPr="00FD4D6A">
        <w:rPr>
          <w:rFonts w:ascii="Calibri" w:hAnsi="Calibri" w:cs="Tahoma"/>
          <w:sz w:val="24"/>
          <w:szCs w:val="24"/>
        </w:rPr>
        <w:t xml:space="preserve">. </w:t>
      </w:r>
    </w:p>
    <w:p w:rsidR="006634B5" w:rsidRPr="00FD4D6A" w:rsidRDefault="006634B5" w:rsidP="00FD4D6A">
      <w:pPr>
        <w:pStyle w:val="NormalWeb"/>
        <w:spacing w:line="276" w:lineRule="auto"/>
        <w:jc w:val="both"/>
        <w:rPr>
          <w:rFonts w:ascii="Calibri" w:hAnsi="Calibri" w:cs="Tahoma"/>
          <w:sz w:val="24"/>
          <w:szCs w:val="24"/>
        </w:rPr>
      </w:pPr>
      <w:r w:rsidRPr="00FD4D6A">
        <w:rPr>
          <w:rFonts w:ascii="Calibri" w:hAnsi="Calibri" w:cs="Tahoma"/>
          <w:sz w:val="24"/>
          <w:szCs w:val="24"/>
        </w:rPr>
        <w:t xml:space="preserve">Trans-abdominal U/S is clinically useful in the initial diagnosis of IBD by evaluating bowel wall thickness and surrounding structures including peri-intestinal inflammatory reaction, extent and localization of involved bowel segments and detection of extra-luminal complications such as fistula, abscesses,  carcinoma and ileus </w:t>
      </w:r>
      <w:r w:rsidRPr="00FD4D6A">
        <w:rPr>
          <w:rFonts w:ascii="Calibri" w:hAnsi="Calibri" w:cs="Tahoma"/>
          <w:sz w:val="24"/>
          <w:szCs w:val="24"/>
          <w:vertAlign w:val="superscript"/>
        </w:rPr>
        <w:t>[31]</w:t>
      </w:r>
      <w:r w:rsidRPr="00FD4D6A">
        <w:rPr>
          <w:rFonts w:ascii="Calibri" w:hAnsi="Calibri" w:cs="Tahoma"/>
          <w:sz w:val="24"/>
          <w:szCs w:val="24"/>
        </w:rPr>
        <w:t>.</w:t>
      </w:r>
    </w:p>
    <w:p w:rsidR="006634B5" w:rsidRPr="00FD4D6A" w:rsidRDefault="006634B5" w:rsidP="00FD4D6A">
      <w:pPr>
        <w:pStyle w:val="NormalWeb"/>
        <w:spacing w:line="276" w:lineRule="auto"/>
        <w:jc w:val="both"/>
        <w:rPr>
          <w:rFonts w:ascii="Calibri" w:hAnsi="Calibri" w:cs="Tahoma"/>
          <w:sz w:val="24"/>
          <w:szCs w:val="24"/>
        </w:rPr>
      </w:pPr>
      <w:r w:rsidRPr="00FD4D6A">
        <w:rPr>
          <w:rFonts w:ascii="Calibri" w:hAnsi="Calibri" w:cs="Tahoma"/>
          <w:sz w:val="24"/>
          <w:szCs w:val="24"/>
        </w:rPr>
        <w:t xml:space="preserve">The criterion that is most extensively used for the diagnosis of CD is bowel wall thickening. In most studies, the bowel wall is considered to be thickened when thickness exceeds 3 mm </w:t>
      </w:r>
      <w:r w:rsidRPr="00FD4D6A">
        <w:rPr>
          <w:rFonts w:ascii="Calibri" w:hAnsi="Calibri" w:cs="Tahoma"/>
          <w:sz w:val="24"/>
          <w:szCs w:val="24"/>
          <w:vertAlign w:val="superscript"/>
        </w:rPr>
        <w:t>[32]</w:t>
      </w:r>
      <w:r w:rsidRPr="00FD4D6A">
        <w:rPr>
          <w:rFonts w:ascii="Calibri" w:hAnsi="Calibri" w:cs="Tahoma"/>
          <w:sz w:val="24"/>
          <w:szCs w:val="24"/>
        </w:rPr>
        <w:t xml:space="preserve">. Bowel wall thickening is considered to be a characteristic feature of UC as well </w:t>
      </w:r>
      <w:r w:rsidRPr="00FD4D6A">
        <w:rPr>
          <w:rFonts w:ascii="Calibri" w:hAnsi="Calibri" w:cs="Tahoma"/>
          <w:sz w:val="24"/>
          <w:szCs w:val="24"/>
          <w:vertAlign w:val="superscript"/>
        </w:rPr>
        <w:t>[33]</w:t>
      </w:r>
      <w:r w:rsidRPr="00FD4D6A">
        <w:rPr>
          <w:rFonts w:ascii="Calibri" w:hAnsi="Calibri" w:cs="Tahoma"/>
          <w:sz w:val="24"/>
          <w:szCs w:val="24"/>
        </w:rPr>
        <w:t>.</w:t>
      </w:r>
    </w:p>
    <w:p w:rsidR="006634B5" w:rsidRPr="00FD4D6A" w:rsidRDefault="006634B5" w:rsidP="00FD4D6A">
      <w:pPr>
        <w:jc w:val="both"/>
        <w:rPr>
          <w:rFonts w:cs="Tahoma"/>
          <w:sz w:val="24"/>
          <w:szCs w:val="24"/>
        </w:rPr>
      </w:pPr>
      <w:r w:rsidRPr="00FD4D6A">
        <w:rPr>
          <w:rFonts w:cs="Tahoma"/>
          <w:sz w:val="24"/>
          <w:szCs w:val="24"/>
        </w:rPr>
        <w:t>Parente et al.</w:t>
      </w:r>
      <w:r w:rsidRPr="00FD4D6A">
        <w:rPr>
          <w:rFonts w:cs="Tahoma"/>
          <w:sz w:val="24"/>
          <w:szCs w:val="24"/>
          <w:vertAlign w:val="superscript"/>
        </w:rPr>
        <w:t xml:space="preserve">[34] </w:t>
      </w:r>
      <w:r w:rsidRPr="00FD4D6A">
        <w:rPr>
          <w:rFonts w:cs="Tahoma"/>
          <w:sz w:val="24"/>
          <w:szCs w:val="24"/>
        </w:rPr>
        <w:t>studied the role of early U/S in detecting inflammatory intestinal disorders. The main organic disorders found were CD (56%), ulcerative/indeterminate colitis (30%).</w:t>
      </w:r>
    </w:p>
    <w:p w:rsidR="006634B5" w:rsidRPr="00FD4D6A" w:rsidRDefault="006634B5" w:rsidP="00FD4D6A">
      <w:pPr>
        <w:spacing w:before="240"/>
        <w:jc w:val="both"/>
        <w:rPr>
          <w:rFonts w:cs="Tahoma"/>
          <w:sz w:val="24"/>
          <w:szCs w:val="24"/>
        </w:rPr>
      </w:pPr>
      <w:r w:rsidRPr="00FD4D6A">
        <w:rPr>
          <w:rFonts w:cs="Tahoma"/>
          <w:sz w:val="24"/>
          <w:szCs w:val="24"/>
        </w:rPr>
        <w:t>These results are in agreement with our study as bowel wall thickening by U/S was found in 13 out of 17 IBD patients (76.5%).</w:t>
      </w:r>
    </w:p>
    <w:p w:rsidR="006634B5" w:rsidRPr="00FD4D6A" w:rsidRDefault="006634B5" w:rsidP="00FD4D6A">
      <w:pPr>
        <w:pStyle w:val="NormalWeb"/>
        <w:spacing w:line="276" w:lineRule="auto"/>
        <w:jc w:val="both"/>
        <w:rPr>
          <w:rFonts w:ascii="Calibri" w:hAnsi="Calibri" w:cs="Tahoma"/>
          <w:sz w:val="24"/>
          <w:szCs w:val="24"/>
        </w:rPr>
      </w:pPr>
      <w:r w:rsidRPr="00FD4D6A">
        <w:rPr>
          <w:rFonts w:ascii="Calibri" w:hAnsi="Calibri" w:cs="Tahoma"/>
          <w:sz w:val="24"/>
          <w:szCs w:val="24"/>
        </w:rPr>
        <w:t xml:space="preserve">Among our patients, WBCs (&gt;6700);   </w:t>
      </w:r>
      <w:r w:rsidRPr="00FD4D6A">
        <w:rPr>
          <w:rFonts w:ascii="Calibri" w:hAnsi="Calibri" w:cs="Tahoma"/>
          <w:spacing w:val="-3"/>
          <w:sz w:val="24"/>
          <w:szCs w:val="24"/>
        </w:rPr>
        <w:t>Platelets</w:t>
      </w:r>
      <w:r w:rsidRPr="00FD4D6A">
        <w:rPr>
          <w:rFonts w:ascii="Calibri" w:hAnsi="Calibri" w:cs="Tahoma"/>
          <w:sz w:val="24"/>
          <w:szCs w:val="24"/>
        </w:rPr>
        <w:t xml:space="preserve"> count (&gt;318 000); ESR (&gt;21); positive  CRP and U/S findings (bowel wall thickening) were the most sensitive predictors for differentiation of IBD from IBS.</w:t>
      </w:r>
    </w:p>
    <w:p w:rsidR="006634B5" w:rsidRPr="00FD4D6A" w:rsidRDefault="006634B5" w:rsidP="00FD4D6A">
      <w:pPr>
        <w:ind w:right="-187"/>
        <w:jc w:val="both"/>
        <w:rPr>
          <w:rFonts w:cs="Tahoma"/>
          <w:sz w:val="24"/>
          <w:szCs w:val="24"/>
          <w:lang w:val="en-GB" w:bidi="ar-EG"/>
        </w:rPr>
      </w:pPr>
      <w:r w:rsidRPr="00FD4D6A">
        <w:rPr>
          <w:rFonts w:cs="Tahoma"/>
          <w:sz w:val="24"/>
          <w:szCs w:val="24"/>
          <w:lang w:val="en-GB" w:bidi="ar-EG"/>
        </w:rPr>
        <w:t>Accordingly</w:t>
      </w:r>
      <w:r w:rsidRPr="00FD4D6A">
        <w:rPr>
          <w:rFonts w:cs="Tahoma"/>
          <w:sz w:val="24"/>
          <w:szCs w:val="24"/>
        </w:rPr>
        <w:t xml:space="preserve">, </w:t>
      </w:r>
      <w:r w:rsidRPr="00FD4D6A">
        <w:rPr>
          <w:rFonts w:cs="Tahoma"/>
          <w:sz w:val="24"/>
          <w:szCs w:val="24"/>
          <w:lang w:val="en-GB" w:bidi="ar-EG"/>
        </w:rPr>
        <w:t>CBC</w:t>
      </w:r>
      <w:r w:rsidRPr="00FD4D6A">
        <w:rPr>
          <w:rFonts w:cs="Tahoma"/>
          <w:sz w:val="24"/>
          <w:szCs w:val="24"/>
        </w:rPr>
        <w:t xml:space="preserve">, </w:t>
      </w:r>
      <w:r w:rsidRPr="00FD4D6A">
        <w:rPr>
          <w:rFonts w:cs="Tahoma"/>
          <w:sz w:val="24"/>
          <w:szCs w:val="24"/>
          <w:lang w:val="en-GB" w:bidi="ar-EG"/>
        </w:rPr>
        <w:t>ESR</w:t>
      </w:r>
      <w:r w:rsidRPr="00FD4D6A">
        <w:rPr>
          <w:rFonts w:cs="Tahoma"/>
          <w:sz w:val="24"/>
          <w:szCs w:val="24"/>
        </w:rPr>
        <w:t xml:space="preserve">, </w:t>
      </w:r>
      <w:r w:rsidRPr="00FD4D6A">
        <w:rPr>
          <w:rFonts w:cs="Tahoma"/>
          <w:sz w:val="24"/>
          <w:szCs w:val="24"/>
          <w:lang w:val="en-GB" w:bidi="ar-EG"/>
        </w:rPr>
        <w:t>CRP and U/S can be used as non invasive screening tools when diagnosis of IBD was suspected.</w:t>
      </w:r>
    </w:p>
    <w:p w:rsidR="006634B5" w:rsidRPr="00FD4D6A" w:rsidRDefault="006634B5" w:rsidP="00FD4D6A">
      <w:pPr>
        <w:jc w:val="both"/>
        <w:rPr>
          <w:rFonts w:cs="Tahoma"/>
          <w:sz w:val="24"/>
          <w:szCs w:val="24"/>
        </w:rPr>
      </w:pPr>
      <w:r w:rsidRPr="00FD4D6A">
        <w:rPr>
          <w:rFonts w:cs="Tahoma"/>
          <w:sz w:val="24"/>
          <w:szCs w:val="24"/>
        </w:rPr>
        <w:t xml:space="preserve">Colonoscopy with multiple biopsy specimens is well established as the first line procedure for diagnosing colitis. It represents the diagnostic standard in the work-up of patients with inflammatory bowel diseases </w:t>
      </w:r>
      <w:r w:rsidRPr="00FD4D6A">
        <w:rPr>
          <w:rFonts w:cs="Tahoma"/>
          <w:sz w:val="24"/>
          <w:szCs w:val="24"/>
          <w:vertAlign w:val="superscript"/>
        </w:rPr>
        <w:t>[35]</w:t>
      </w:r>
      <w:r w:rsidRPr="00FD4D6A">
        <w:rPr>
          <w:rFonts w:cs="Tahoma"/>
          <w:sz w:val="24"/>
          <w:szCs w:val="24"/>
        </w:rPr>
        <w:t>.</w:t>
      </w:r>
    </w:p>
    <w:p w:rsidR="006634B5" w:rsidRPr="00FD4D6A" w:rsidRDefault="006634B5" w:rsidP="00FD4D6A">
      <w:pPr>
        <w:spacing w:before="240"/>
        <w:jc w:val="both"/>
        <w:rPr>
          <w:rFonts w:cs="Tahoma"/>
          <w:sz w:val="24"/>
          <w:szCs w:val="24"/>
        </w:rPr>
      </w:pPr>
      <w:r w:rsidRPr="00FD4D6A">
        <w:rPr>
          <w:rFonts w:cs="Tahoma"/>
          <w:sz w:val="24"/>
          <w:szCs w:val="24"/>
        </w:rPr>
        <w:t>In our study colonoscopy showed abnormal endoscopic findings in 100% of IBD cases with accuracy of 100% in diagnosing IBD in comparison to abnormal findings in only 11.54% of IBS patients.</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lang w:val="en-GB" w:bidi="ar-EG"/>
        </w:rPr>
        <w:t>In conclusion</w:t>
      </w:r>
      <w:r w:rsidRPr="00FD4D6A">
        <w:rPr>
          <w:rFonts w:cs="Tahoma"/>
          <w:sz w:val="24"/>
          <w:szCs w:val="24"/>
        </w:rPr>
        <w:t xml:space="preserve">, a considerable percentage of </w:t>
      </w:r>
      <w:r w:rsidRPr="00FD4D6A">
        <w:rPr>
          <w:rFonts w:cs="Tahoma"/>
          <w:sz w:val="24"/>
          <w:szCs w:val="24"/>
          <w:lang w:val="en-GB" w:bidi="ar-EG"/>
        </w:rPr>
        <w:t xml:space="preserve">IBD </w:t>
      </w:r>
      <w:r w:rsidRPr="00FD4D6A">
        <w:rPr>
          <w:rFonts w:cs="Tahoma"/>
          <w:sz w:val="24"/>
          <w:szCs w:val="24"/>
        </w:rPr>
        <w:t xml:space="preserve">patients </w:t>
      </w:r>
      <w:r w:rsidRPr="00FD4D6A">
        <w:rPr>
          <w:rFonts w:cs="Tahoma"/>
          <w:sz w:val="24"/>
          <w:szCs w:val="24"/>
          <w:lang w:val="en-GB" w:bidi="ar-EG"/>
        </w:rPr>
        <w:t xml:space="preserve">could be detected among patients with clinically diagnosed IBS. </w:t>
      </w:r>
      <w:r w:rsidRPr="00FD4D6A">
        <w:rPr>
          <w:rFonts w:cs="Tahoma"/>
          <w:sz w:val="24"/>
          <w:szCs w:val="24"/>
        </w:rPr>
        <w:t xml:space="preserve">Laboratory tests and </w:t>
      </w:r>
      <w:r w:rsidRPr="00FD4D6A">
        <w:rPr>
          <w:rFonts w:cs="Tahoma"/>
          <w:sz w:val="24"/>
          <w:szCs w:val="24"/>
          <w:lang w:bidi="ar-EG"/>
        </w:rPr>
        <w:t xml:space="preserve">ultrasonographic examination </w:t>
      </w:r>
      <w:r w:rsidRPr="00FD4D6A">
        <w:rPr>
          <w:rFonts w:cs="Tahoma"/>
          <w:sz w:val="24"/>
          <w:szCs w:val="24"/>
        </w:rPr>
        <w:t>can help primarily to discriminate the two conditions although colonoscopy remains the gold standard in diagnosing IBD.</w:t>
      </w:r>
    </w:p>
    <w:p w:rsidR="006634B5" w:rsidRPr="00FD4D6A" w:rsidRDefault="006634B5" w:rsidP="00FD4D6A">
      <w:pPr>
        <w:spacing w:before="240"/>
        <w:jc w:val="both"/>
        <w:rPr>
          <w:rFonts w:cs="Tahoma"/>
          <w:sz w:val="24"/>
          <w:szCs w:val="24"/>
        </w:rPr>
      </w:pPr>
      <w:r w:rsidRPr="00FD4D6A">
        <w:rPr>
          <w:rFonts w:cs="Tahoma"/>
          <w:sz w:val="24"/>
          <w:szCs w:val="24"/>
        </w:rPr>
        <w:t>Additional studies are necessary to understand the overlap among IBS and IBD, which may lead to the development of new therapeutic tools for patients with IBS and IBD.</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 xml:space="preserve">Funding: None  </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Competing interest: None declared</w:t>
      </w:r>
    </w:p>
    <w:p w:rsidR="006634B5" w:rsidRPr="00FD4D6A" w:rsidRDefault="006634B5" w:rsidP="00FD4D6A">
      <w:pPr>
        <w:pStyle w:val="N14pt"/>
        <w:bidi w:val="0"/>
        <w:spacing w:line="276" w:lineRule="auto"/>
        <w:jc w:val="both"/>
        <w:rPr>
          <w:rFonts w:ascii="Calibri" w:hAnsi="Calibri"/>
          <w:i w:val="0"/>
          <w:iCs w:val="0"/>
          <w:sz w:val="24"/>
          <w:szCs w:val="24"/>
        </w:rPr>
      </w:pPr>
    </w:p>
    <w:p w:rsidR="006634B5" w:rsidRDefault="006634B5" w:rsidP="00FD4D6A">
      <w:pPr>
        <w:pStyle w:val="N14pt"/>
        <w:bidi w:val="0"/>
        <w:spacing w:line="276" w:lineRule="auto"/>
        <w:jc w:val="both"/>
        <w:rPr>
          <w:rFonts w:ascii="Calibri" w:hAnsi="Calibri"/>
          <w:i w:val="0"/>
          <w:iCs w:val="0"/>
          <w:sz w:val="24"/>
          <w:szCs w:val="24"/>
        </w:rPr>
      </w:pPr>
    </w:p>
    <w:p w:rsidR="006634B5" w:rsidRDefault="006634B5" w:rsidP="00FD4D6A">
      <w:pPr>
        <w:pStyle w:val="N14pt"/>
        <w:bidi w:val="0"/>
        <w:spacing w:line="276" w:lineRule="auto"/>
        <w:jc w:val="both"/>
        <w:rPr>
          <w:rFonts w:ascii="Calibri" w:hAnsi="Calibri"/>
          <w:i w:val="0"/>
          <w:iCs w:val="0"/>
          <w:sz w:val="24"/>
          <w:szCs w:val="24"/>
        </w:rPr>
      </w:pPr>
    </w:p>
    <w:p w:rsidR="006634B5" w:rsidRDefault="006634B5" w:rsidP="00FD4D6A">
      <w:pPr>
        <w:pStyle w:val="N14pt"/>
        <w:bidi w:val="0"/>
        <w:spacing w:line="276" w:lineRule="auto"/>
        <w:jc w:val="both"/>
        <w:rPr>
          <w:rFonts w:ascii="Calibri" w:hAnsi="Calibri"/>
          <w:i w:val="0"/>
          <w:iCs w:val="0"/>
          <w:sz w:val="24"/>
          <w:szCs w:val="24"/>
        </w:rPr>
      </w:pPr>
    </w:p>
    <w:p w:rsidR="006634B5" w:rsidRPr="00FD4D6A" w:rsidRDefault="006634B5" w:rsidP="00FD4D6A">
      <w:pPr>
        <w:pStyle w:val="N14pt"/>
        <w:bidi w:val="0"/>
        <w:spacing w:line="276" w:lineRule="auto"/>
        <w:jc w:val="both"/>
        <w:rPr>
          <w:rFonts w:ascii="Calibri" w:hAnsi="Calibri"/>
          <w:i w:val="0"/>
          <w:iCs w:val="0"/>
        </w:rPr>
      </w:pPr>
      <w:r w:rsidRPr="00FD4D6A">
        <w:rPr>
          <w:rFonts w:ascii="Calibri" w:hAnsi="Calibri"/>
          <w:i w:val="0"/>
          <w:iCs w:val="0"/>
        </w:rPr>
        <w:t>References:</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1-Mayer EA. Clinical practice. Irritable bowel syndrome. N. Engel. J. Med 2008; 358(16): 1692-9.</w:t>
      </w:r>
    </w:p>
    <w:p w:rsidR="006634B5"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 xml:space="preserve">2-Brandt LJ, Bjorkman D,  Fennerty MB, </w:t>
      </w:r>
      <w:hyperlink r:id="rId10" w:history="1">
        <w:r w:rsidRPr="00FD4D6A">
          <w:rPr>
            <w:rStyle w:val="Hyperlink"/>
            <w:rFonts w:ascii="Calibri" w:hAnsi="Calibri" w:cs="Tahoma"/>
            <w:b w:val="0"/>
            <w:bCs w:val="0"/>
            <w:i w:val="0"/>
            <w:iCs w:val="0"/>
            <w:color w:val="auto"/>
            <w:sz w:val="24"/>
            <w:szCs w:val="24"/>
            <w:u w:val="none"/>
          </w:rPr>
          <w:t>Locke GR</w:t>
        </w:r>
      </w:hyperlink>
      <w:r w:rsidRPr="00FD4D6A">
        <w:rPr>
          <w:rFonts w:ascii="Calibri" w:hAnsi="Calibri"/>
          <w:b w:val="0"/>
          <w:bCs w:val="0"/>
          <w:i w:val="0"/>
          <w:iCs w:val="0"/>
          <w:sz w:val="24"/>
          <w:szCs w:val="24"/>
        </w:rPr>
        <w:t xml:space="preserve">, </w:t>
      </w:r>
      <w:hyperlink r:id="rId11" w:history="1">
        <w:r w:rsidRPr="00FD4D6A">
          <w:rPr>
            <w:rStyle w:val="Hyperlink"/>
            <w:rFonts w:ascii="Calibri" w:hAnsi="Calibri" w:cs="Tahoma"/>
            <w:b w:val="0"/>
            <w:bCs w:val="0"/>
            <w:i w:val="0"/>
            <w:iCs w:val="0"/>
            <w:color w:val="auto"/>
            <w:sz w:val="24"/>
            <w:szCs w:val="24"/>
            <w:u w:val="none"/>
          </w:rPr>
          <w:t>Olden K</w:t>
        </w:r>
      </w:hyperlink>
      <w:r w:rsidRPr="00FD4D6A">
        <w:rPr>
          <w:rFonts w:ascii="Calibri" w:hAnsi="Calibri"/>
          <w:b w:val="0"/>
          <w:bCs w:val="0"/>
          <w:i w:val="0"/>
          <w:iCs w:val="0"/>
          <w:sz w:val="24"/>
          <w:szCs w:val="24"/>
        </w:rPr>
        <w:t xml:space="preserve"> and </w:t>
      </w:r>
      <w:hyperlink r:id="rId12" w:history="1">
        <w:r w:rsidRPr="00FD4D6A">
          <w:rPr>
            <w:rStyle w:val="Hyperlink"/>
            <w:rFonts w:ascii="Calibri" w:hAnsi="Calibri" w:cs="Tahoma"/>
            <w:b w:val="0"/>
            <w:bCs w:val="0"/>
            <w:i w:val="0"/>
            <w:iCs w:val="0"/>
            <w:color w:val="auto"/>
            <w:sz w:val="24"/>
            <w:szCs w:val="24"/>
            <w:u w:val="none"/>
          </w:rPr>
          <w:t>Peterson W</w:t>
        </w:r>
      </w:hyperlink>
      <w:r w:rsidRPr="00FD4D6A">
        <w:rPr>
          <w:rFonts w:ascii="Calibri" w:hAnsi="Calibri"/>
          <w:b w:val="0"/>
          <w:bCs w:val="0"/>
          <w:i w:val="0"/>
          <w:iCs w:val="0"/>
          <w:sz w:val="24"/>
          <w:szCs w:val="24"/>
        </w:rPr>
        <w:t>.Systematic review on the management of irritable bowel syndrome in North America.</w:t>
      </w:r>
      <w:r w:rsidRPr="00FD4D6A">
        <w:rPr>
          <w:rStyle w:val="ref-journal"/>
          <w:rFonts w:ascii="Calibri" w:hAnsi="Calibri" w:cs="Tahoma"/>
          <w:b w:val="0"/>
          <w:bCs w:val="0"/>
          <w:i w:val="0"/>
          <w:iCs w:val="0"/>
          <w:sz w:val="24"/>
          <w:szCs w:val="24"/>
        </w:rPr>
        <w:t xml:space="preserve"> Am J Gastroenterol</w:t>
      </w:r>
      <w:r w:rsidRPr="00FD4D6A">
        <w:rPr>
          <w:rFonts w:ascii="Calibri" w:hAnsi="Calibri"/>
          <w:b w:val="0"/>
          <w:bCs w:val="0"/>
          <w:i w:val="0"/>
          <w:iCs w:val="0"/>
          <w:sz w:val="24"/>
          <w:szCs w:val="24"/>
        </w:rPr>
        <w:t xml:space="preserve"> 2002; </w:t>
      </w:r>
      <w:r w:rsidRPr="00FD4D6A">
        <w:rPr>
          <w:rStyle w:val="ref-vol"/>
          <w:rFonts w:ascii="Calibri" w:hAnsi="Calibri" w:cs="Tahoma"/>
          <w:b w:val="0"/>
          <w:bCs w:val="0"/>
          <w:i w:val="0"/>
          <w:iCs w:val="0"/>
          <w:sz w:val="24"/>
          <w:szCs w:val="24"/>
        </w:rPr>
        <w:t>97</w:t>
      </w:r>
      <w:r w:rsidRPr="00FD4D6A">
        <w:rPr>
          <w:rFonts w:ascii="Calibri" w:hAnsi="Calibri"/>
          <w:b w:val="0"/>
          <w:bCs w:val="0"/>
          <w:i w:val="0"/>
          <w:iCs w:val="0"/>
          <w:sz w:val="24"/>
          <w:szCs w:val="24"/>
        </w:rPr>
        <w:t>: 7–26.</w:t>
      </w:r>
    </w:p>
    <w:p w:rsidR="006634B5"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3-Thompson WG, Longstreth GF, Drossman DA, et al. Functional bowel disorders and functional abdominal pain.</w:t>
      </w:r>
      <w:r w:rsidRPr="00FD4D6A">
        <w:rPr>
          <w:rStyle w:val="ref-journal"/>
          <w:rFonts w:ascii="Calibri" w:hAnsi="Calibri" w:cs="Tahoma"/>
          <w:b w:val="0"/>
          <w:bCs w:val="0"/>
          <w:i w:val="0"/>
          <w:iCs w:val="0"/>
          <w:sz w:val="24"/>
          <w:szCs w:val="24"/>
        </w:rPr>
        <w:t xml:space="preserve"> Gut </w:t>
      </w:r>
      <w:r w:rsidRPr="00FD4D6A">
        <w:rPr>
          <w:rFonts w:ascii="Calibri" w:hAnsi="Calibri"/>
          <w:b w:val="0"/>
          <w:bCs w:val="0"/>
          <w:i w:val="0"/>
          <w:iCs w:val="0"/>
          <w:sz w:val="24"/>
          <w:szCs w:val="24"/>
        </w:rPr>
        <w:t>1999;</w:t>
      </w:r>
      <w:r w:rsidRPr="00FD4D6A">
        <w:rPr>
          <w:rStyle w:val="ref-vol"/>
          <w:rFonts w:ascii="Calibri" w:hAnsi="Calibri" w:cs="Tahoma"/>
          <w:b w:val="0"/>
          <w:bCs w:val="0"/>
          <w:i w:val="0"/>
          <w:iCs w:val="0"/>
          <w:sz w:val="24"/>
          <w:szCs w:val="24"/>
        </w:rPr>
        <w:t xml:space="preserve"> 45</w:t>
      </w:r>
      <w:r w:rsidRPr="00FD4D6A">
        <w:rPr>
          <w:rFonts w:ascii="Calibri" w:hAnsi="Calibri"/>
          <w:b w:val="0"/>
          <w:bCs w:val="0"/>
          <w:i w:val="0"/>
          <w:iCs w:val="0"/>
          <w:sz w:val="24"/>
          <w:szCs w:val="24"/>
        </w:rPr>
        <w:t xml:space="preserve">: 43–47. </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 xml:space="preserve">4-Drossman DA. The functional gastrointestinal disorders and the Rome III process. </w:t>
      </w:r>
      <w:r w:rsidRPr="00FD4D6A">
        <w:rPr>
          <w:rStyle w:val="ref-journal"/>
          <w:rFonts w:ascii="Calibri" w:hAnsi="Calibri" w:cs="Tahoma"/>
          <w:b w:val="0"/>
          <w:bCs w:val="0"/>
          <w:i w:val="0"/>
          <w:iCs w:val="0"/>
          <w:sz w:val="24"/>
          <w:szCs w:val="24"/>
        </w:rPr>
        <w:t>Gastroenterology</w:t>
      </w:r>
      <w:r w:rsidRPr="00FD4D6A">
        <w:rPr>
          <w:rFonts w:ascii="Calibri" w:hAnsi="Calibri"/>
          <w:b w:val="0"/>
          <w:bCs w:val="0"/>
          <w:i w:val="0"/>
          <w:iCs w:val="0"/>
          <w:sz w:val="24"/>
          <w:szCs w:val="24"/>
        </w:rPr>
        <w:t xml:space="preserve"> 2006;</w:t>
      </w:r>
      <w:r w:rsidRPr="00FD4D6A">
        <w:rPr>
          <w:rStyle w:val="ref-vol"/>
          <w:rFonts w:ascii="Calibri" w:hAnsi="Calibri" w:cs="Tahoma"/>
          <w:b w:val="0"/>
          <w:bCs w:val="0"/>
          <w:i w:val="0"/>
          <w:iCs w:val="0"/>
          <w:sz w:val="24"/>
          <w:szCs w:val="24"/>
        </w:rPr>
        <w:t xml:space="preserve"> 130:1377</w:t>
      </w:r>
      <w:r w:rsidRPr="00FD4D6A">
        <w:rPr>
          <w:rFonts w:ascii="Calibri" w:hAnsi="Calibri"/>
          <w:b w:val="0"/>
          <w:bCs w:val="0"/>
          <w:i w:val="0"/>
          <w:iCs w:val="0"/>
          <w:sz w:val="24"/>
          <w:szCs w:val="24"/>
        </w:rPr>
        <w:t>–1390.</w:t>
      </w:r>
    </w:p>
    <w:p w:rsidR="006634B5" w:rsidRPr="00FD4D6A" w:rsidRDefault="006634B5" w:rsidP="00FD4D6A">
      <w:pPr>
        <w:spacing w:after="0"/>
        <w:jc w:val="both"/>
        <w:rPr>
          <w:rFonts w:cs="Tahoma"/>
          <w:sz w:val="24"/>
          <w:szCs w:val="24"/>
          <w:lang w:val="en-GB" w:bidi="ar-EG"/>
        </w:rPr>
      </w:pPr>
      <w:r w:rsidRPr="00FD4D6A">
        <w:rPr>
          <w:rFonts w:cs="Tahoma"/>
          <w:sz w:val="24"/>
          <w:szCs w:val="24"/>
          <w:lang w:val="en-GB" w:bidi="ar-EG"/>
        </w:rPr>
        <w:t>5-Summers RW</w:t>
      </w:r>
      <w:r w:rsidRPr="00FD4D6A">
        <w:rPr>
          <w:rFonts w:cs="Tahoma"/>
          <w:sz w:val="24"/>
          <w:szCs w:val="24"/>
        </w:rPr>
        <w:t xml:space="preserve">, </w:t>
      </w:r>
      <w:r w:rsidRPr="00FD4D6A">
        <w:rPr>
          <w:rFonts w:cs="Tahoma"/>
          <w:sz w:val="24"/>
          <w:szCs w:val="24"/>
          <w:lang w:val="en-GB" w:bidi="ar-EG"/>
        </w:rPr>
        <w:t xml:space="preserve"> Elliott DE</w:t>
      </w:r>
      <w:r w:rsidRPr="00FD4D6A">
        <w:rPr>
          <w:rFonts w:cs="Tahoma"/>
          <w:sz w:val="24"/>
          <w:szCs w:val="24"/>
        </w:rPr>
        <w:t xml:space="preserve">, </w:t>
      </w:r>
      <w:r w:rsidRPr="00FD4D6A">
        <w:rPr>
          <w:rFonts w:cs="Tahoma"/>
          <w:sz w:val="24"/>
          <w:szCs w:val="24"/>
          <w:lang w:val="en-GB" w:bidi="ar-EG"/>
        </w:rPr>
        <w:t xml:space="preserve"> Qadir K</w:t>
      </w:r>
      <w:r w:rsidRPr="00FD4D6A">
        <w:rPr>
          <w:rFonts w:cs="Tahoma"/>
          <w:sz w:val="24"/>
          <w:szCs w:val="24"/>
        </w:rPr>
        <w:t xml:space="preserve">, </w:t>
      </w:r>
      <w:r w:rsidRPr="00FD4D6A">
        <w:rPr>
          <w:rFonts w:cs="Tahoma"/>
          <w:sz w:val="24"/>
          <w:szCs w:val="24"/>
          <w:lang w:val="en-GB" w:bidi="ar-EG"/>
        </w:rPr>
        <w:t xml:space="preserve"> </w:t>
      </w:r>
      <w:r w:rsidRPr="00FD4D6A">
        <w:rPr>
          <w:rFonts w:cs="Tahoma"/>
          <w:sz w:val="24"/>
          <w:szCs w:val="24"/>
        </w:rPr>
        <w:t>Urban JF Jr,  Thompson R and Weinstock JV.</w:t>
      </w:r>
      <w:r w:rsidRPr="00FD4D6A">
        <w:rPr>
          <w:rFonts w:cs="Tahoma"/>
          <w:sz w:val="24"/>
          <w:szCs w:val="24"/>
          <w:lang w:val="en-GB" w:bidi="ar-EG"/>
        </w:rPr>
        <w:t xml:space="preserve"> Trichuris suis seems to be safe and possibly effective in the treatment of inflammatory bowel disease.  Am. J. Gastroenterol  2003</w:t>
      </w:r>
      <w:r w:rsidRPr="00FD4D6A">
        <w:rPr>
          <w:rFonts w:cs="Tahoma"/>
          <w:sz w:val="24"/>
          <w:szCs w:val="24"/>
        </w:rPr>
        <w:t xml:space="preserve">; </w:t>
      </w:r>
      <w:r w:rsidRPr="00FD4D6A">
        <w:rPr>
          <w:rFonts w:cs="Tahoma"/>
          <w:sz w:val="24"/>
          <w:szCs w:val="24"/>
          <w:lang w:val="en-GB" w:bidi="ar-EG"/>
        </w:rPr>
        <w:t xml:space="preserve"> 98(9): 2034-41.   </w:t>
      </w:r>
    </w:p>
    <w:p w:rsidR="006634B5" w:rsidRPr="00FD4D6A" w:rsidRDefault="006634B5" w:rsidP="00FD4D6A">
      <w:pPr>
        <w:spacing w:after="0"/>
        <w:jc w:val="both"/>
        <w:rPr>
          <w:rFonts w:cs="Tahoma"/>
          <w:sz w:val="24"/>
          <w:szCs w:val="24"/>
          <w:lang w:val="en-GB" w:bidi="ar-EG"/>
        </w:rPr>
      </w:pPr>
      <w:r w:rsidRPr="00FD4D6A">
        <w:rPr>
          <w:rFonts w:cs="Tahoma"/>
          <w:sz w:val="24"/>
          <w:szCs w:val="24"/>
        </w:rPr>
        <w:t>6- Schoepfer AM,  Trummler M,  Seeholzer P,   Seibold-Schmid B,  MSc</w:t>
      </w:r>
      <w:r w:rsidRPr="00FD4D6A">
        <w:rPr>
          <w:rFonts w:cs="Tahoma"/>
          <w:sz w:val="24"/>
          <w:szCs w:val="24"/>
          <w:vertAlign w:val="superscript"/>
        </w:rPr>
        <w:t xml:space="preserve"> </w:t>
      </w:r>
      <w:r w:rsidRPr="00FD4D6A">
        <w:rPr>
          <w:rFonts w:cs="Tahoma"/>
          <w:sz w:val="24"/>
          <w:szCs w:val="24"/>
        </w:rPr>
        <w:t xml:space="preserve"> and Seibold F. Discriminating IBD from IBS: Comparison of the test performance of fecal markers,  blood leukocytes,  CRP,  and IBD antibodies. Inflamm Bowel Dis 2007; 14(1), 32:39.</w:t>
      </w:r>
    </w:p>
    <w:p w:rsidR="006634B5" w:rsidRPr="00FD4D6A" w:rsidRDefault="006634B5" w:rsidP="00FD4D6A">
      <w:pPr>
        <w:spacing w:after="0"/>
        <w:jc w:val="both"/>
        <w:rPr>
          <w:rFonts w:cs="Tahoma"/>
          <w:sz w:val="24"/>
          <w:szCs w:val="24"/>
        </w:rPr>
      </w:pPr>
      <w:r w:rsidRPr="00FD4D6A">
        <w:rPr>
          <w:rFonts w:cs="Tahoma"/>
          <w:sz w:val="24"/>
          <w:szCs w:val="24"/>
        </w:rPr>
        <w:t xml:space="preserve">7- Poullis AP,  Zar S, Sundaram KK,  </w:t>
      </w:r>
      <w:hyperlink r:id="rId13" w:history="1">
        <w:r w:rsidRPr="00FD4D6A">
          <w:rPr>
            <w:rStyle w:val="Hyperlink"/>
            <w:rFonts w:cs="Tahoma"/>
            <w:color w:val="auto"/>
            <w:sz w:val="24"/>
            <w:szCs w:val="24"/>
            <w:u w:val="none"/>
          </w:rPr>
          <w:t>Moodie SJ</w:t>
        </w:r>
      </w:hyperlink>
      <w:r w:rsidRPr="00FD4D6A">
        <w:rPr>
          <w:rFonts w:cs="Tahoma"/>
          <w:sz w:val="24"/>
          <w:szCs w:val="24"/>
        </w:rPr>
        <w:t xml:space="preserve">,  </w:t>
      </w:r>
      <w:hyperlink r:id="rId14" w:history="1">
        <w:r w:rsidRPr="00FD4D6A">
          <w:rPr>
            <w:rStyle w:val="Hyperlink"/>
            <w:rFonts w:cs="Tahoma"/>
            <w:color w:val="auto"/>
            <w:sz w:val="24"/>
            <w:szCs w:val="24"/>
            <w:u w:val="none"/>
          </w:rPr>
          <w:t>Risley P</w:t>
        </w:r>
      </w:hyperlink>
      <w:r w:rsidRPr="00FD4D6A">
        <w:rPr>
          <w:rFonts w:cs="Tahoma"/>
          <w:sz w:val="24"/>
          <w:szCs w:val="24"/>
        </w:rPr>
        <w:t xml:space="preserve">,  </w:t>
      </w:r>
      <w:hyperlink r:id="rId15" w:history="1">
        <w:r w:rsidRPr="00FD4D6A">
          <w:rPr>
            <w:rStyle w:val="Hyperlink"/>
            <w:rFonts w:cs="Tahoma"/>
            <w:color w:val="auto"/>
            <w:sz w:val="24"/>
            <w:szCs w:val="24"/>
            <w:u w:val="none"/>
          </w:rPr>
          <w:t>Theodossi A</w:t>
        </w:r>
      </w:hyperlink>
      <w:r w:rsidRPr="00FD4D6A">
        <w:rPr>
          <w:rFonts w:cs="Tahoma"/>
          <w:sz w:val="24"/>
          <w:szCs w:val="24"/>
        </w:rPr>
        <w:t xml:space="preserve">,  et al. A new, highly sensitive assay for CRP can aid the differentiation of inflammatory bowel disorders from constipation and diarrhea predominant functional bowel disorders. Eur J Gastroenterol Hepatol. 2002; 14:409-412. </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8-Moore E. IBS vs. IBD and other tummy aches,   MLO 2007; 13-18.</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9- Garcı´a Rodrı´guez LA, Ruigo´mez A, Wallander MA, Johansson S and Olbe L. Detection of colorectal tumor and inflammatory bowel disease during follow-up of patients with initial diagnosis of irritable bowel syndrome. Scand J Gastroenterol. 2000; 35:306–11.</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10- Porter CK,  Tribble DR,  Aliaga PA,  Halvorson HA and Riddle MS. Infectious gastroenteritis and risk of developing inflammatory bowel disease. Gastroenterology. 2008; 135:781–6.</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 xml:space="preserve">11- Isgar B, Harman M, Kaye MD and </w:t>
      </w:r>
      <w:hyperlink r:id="rId16" w:history="1">
        <w:r w:rsidRPr="00FD4D6A">
          <w:rPr>
            <w:rStyle w:val="Hyperlink"/>
            <w:rFonts w:cs="Tahoma"/>
            <w:color w:val="auto"/>
            <w:sz w:val="24"/>
            <w:szCs w:val="24"/>
            <w:u w:val="none"/>
          </w:rPr>
          <w:t>Whorwell PJ</w:t>
        </w:r>
      </w:hyperlink>
      <w:r w:rsidRPr="00FD4D6A">
        <w:rPr>
          <w:rFonts w:cs="Tahoma"/>
          <w:sz w:val="24"/>
          <w:szCs w:val="24"/>
        </w:rPr>
        <w:t>. Symptoms of irritable bowel syndrome in ulcerative colitis in remission. Gut 1983; 24(3):190–2.</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12- Talley NJ. Irritable bowel syndrome. Intern Med J. 2006; 36:724–8.</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13- Spiller R. Clinical update: irritable bowel syndrome. Lancet. 2007; 369:1586–8.</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14 -Spiller R,  Aziz Q,  Creed F,  Emmanuel A,  Houghton L,  Hungin P,  et al. Guidelines on the irritable bowel syndrome: mechanisms and practical management. Gut. 2007; 56:1770–98.</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 xml:space="preserve">15-Farrokhyar F, Marshall JK, Easterbrook B, Irvine EJ. Functional gastrointestinal disorders and mood disorders in patients with inactive inflammatory bowel disease: prevalence and impact on health. Inflamm Bow Dis 2006; 12:38–46. </w:t>
      </w:r>
    </w:p>
    <w:p w:rsidR="006634B5" w:rsidRPr="00FD4D6A" w:rsidRDefault="006634B5" w:rsidP="00FD4D6A">
      <w:pPr>
        <w:autoSpaceDE w:val="0"/>
        <w:autoSpaceDN w:val="0"/>
        <w:adjustRightInd w:val="0"/>
        <w:spacing w:after="0"/>
        <w:jc w:val="both"/>
        <w:rPr>
          <w:rStyle w:val="HTMLCite"/>
          <w:rFonts w:cs="Tahoma"/>
          <w:sz w:val="24"/>
          <w:szCs w:val="24"/>
        </w:rPr>
      </w:pPr>
      <w:r w:rsidRPr="00FD4D6A">
        <w:rPr>
          <w:rFonts w:cs="Tahoma"/>
          <w:sz w:val="24"/>
          <w:szCs w:val="24"/>
        </w:rPr>
        <w:t>16- Dupont AW. Post-infectious irritable bowel syndrome. Curr Gastroenterol Rep. 2007; 9:378–84.</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17- Ishihara S, Aziz M, Oshima N, Mishima Y, Imaoka H  Moriyama I,  et al. Irritable bowel syndrome and inflammatory bowel disease: infectious gastroenteritis-related disorders? Clin J Gastroenterol 2009; 2:9–16.</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 xml:space="preserve">18- Minderhoud IM, Oldenburg B, Wismeijer JA, </w:t>
      </w:r>
      <w:hyperlink r:id="rId17" w:history="1">
        <w:r w:rsidRPr="00FD4D6A">
          <w:rPr>
            <w:rStyle w:val="Hyperlink"/>
            <w:rFonts w:cs="Tahoma"/>
            <w:color w:val="auto"/>
            <w:sz w:val="24"/>
            <w:szCs w:val="24"/>
            <w:u w:val="none"/>
          </w:rPr>
          <w:t>van Berge Henegouwen GP</w:t>
        </w:r>
      </w:hyperlink>
      <w:r w:rsidRPr="00FD4D6A">
        <w:rPr>
          <w:rFonts w:cs="Tahoma"/>
          <w:sz w:val="24"/>
          <w:szCs w:val="24"/>
        </w:rPr>
        <w:t xml:space="preserve"> and </w:t>
      </w:r>
      <w:hyperlink r:id="rId18" w:history="1">
        <w:r w:rsidRPr="00FD4D6A">
          <w:rPr>
            <w:rStyle w:val="Hyperlink"/>
            <w:rFonts w:cs="Tahoma"/>
            <w:color w:val="auto"/>
            <w:sz w:val="24"/>
            <w:szCs w:val="24"/>
            <w:u w:val="none"/>
          </w:rPr>
          <w:t>Smout AJ</w:t>
        </w:r>
      </w:hyperlink>
      <w:r w:rsidRPr="00FD4D6A">
        <w:rPr>
          <w:rFonts w:cs="Tahoma"/>
          <w:sz w:val="24"/>
          <w:szCs w:val="24"/>
        </w:rPr>
        <w:t>. IBS-like symptoms in patients with inflammatory bowel disease in remission; relationships with quality of life and coping behavior. Dig Dis Sci 2004; 49(3):469–74.</w:t>
      </w:r>
    </w:p>
    <w:p w:rsidR="006634B5" w:rsidRPr="00FD4D6A" w:rsidRDefault="006634B5" w:rsidP="00FD4D6A">
      <w:pPr>
        <w:spacing w:after="0"/>
        <w:jc w:val="both"/>
        <w:rPr>
          <w:rFonts w:cs="Tahoma"/>
          <w:sz w:val="24"/>
          <w:szCs w:val="24"/>
        </w:rPr>
      </w:pPr>
      <w:r w:rsidRPr="00FD4D6A">
        <w:rPr>
          <w:rFonts w:cs="Tahoma"/>
          <w:sz w:val="24"/>
          <w:szCs w:val="24"/>
        </w:rPr>
        <w:t>19- Bercik P, Verdu EF, Collins SM. Is irritable bowel syndrome a low grade inflammatory bowel disease? Gastroenterol Clin North Am. 2005; 34:235–245.</w:t>
      </w:r>
    </w:p>
    <w:p w:rsidR="006634B5"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 xml:space="preserve">20- Gasche C, Lomer MC, Cavill I and </w:t>
      </w:r>
      <w:hyperlink r:id="rId19" w:history="1">
        <w:r w:rsidRPr="00FD4D6A">
          <w:rPr>
            <w:rStyle w:val="Hyperlink"/>
            <w:rFonts w:ascii="Calibri" w:hAnsi="Calibri" w:cs="Tahoma"/>
            <w:b w:val="0"/>
            <w:bCs w:val="0"/>
            <w:i w:val="0"/>
            <w:iCs w:val="0"/>
            <w:color w:val="auto"/>
            <w:sz w:val="24"/>
            <w:szCs w:val="24"/>
            <w:u w:val="none"/>
          </w:rPr>
          <w:t>Weiss G</w:t>
        </w:r>
      </w:hyperlink>
      <w:r w:rsidRPr="00FD4D6A">
        <w:rPr>
          <w:rFonts w:ascii="Calibri" w:hAnsi="Calibri"/>
          <w:b w:val="0"/>
          <w:bCs w:val="0"/>
          <w:i w:val="0"/>
          <w:iCs w:val="0"/>
          <w:sz w:val="24"/>
          <w:szCs w:val="24"/>
        </w:rPr>
        <w:t>. Iron anaemia and inflammatory bowel diseases. Gut 2004; 53(8): 1190-1197.</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 xml:space="preserve">21- </w:t>
      </w:r>
      <w:hyperlink r:id="rId20" w:history="1">
        <w:r w:rsidRPr="00FD4D6A">
          <w:rPr>
            <w:rStyle w:val="Hyperlink"/>
            <w:rFonts w:ascii="Calibri" w:hAnsi="Calibri" w:cs="Tahoma"/>
            <w:b w:val="0"/>
            <w:bCs w:val="0"/>
            <w:i w:val="0"/>
            <w:iCs w:val="0"/>
            <w:color w:val="auto"/>
            <w:sz w:val="24"/>
            <w:szCs w:val="24"/>
            <w:u w:val="none"/>
          </w:rPr>
          <w:t>Larsen TB</w:t>
        </w:r>
      </w:hyperlink>
      <w:r w:rsidRPr="00FD4D6A">
        <w:rPr>
          <w:rFonts w:ascii="Calibri" w:hAnsi="Calibri"/>
          <w:b w:val="0"/>
          <w:bCs w:val="0"/>
          <w:i w:val="0"/>
          <w:iCs w:val="0"/>
          <w:sz w:val="24"/>
          <w:szCs w:val="24"/>
        </w:rPr>
        <w:t xml:space="preserve">, </w:t>
      </w:r>
      <w:hyperlink r:id="rId21" w:history="1">
        <w:r w:rsidRPr="00FD4D6A">
          <w:rPr>
            <w:rStyle w:val="Hyperlink"/>
            <w:rFonts w:ascii="Calibri" w:hAnsi="Calibri" w:cs="Tahoma"/>
            <w:b w:val="0"/>
            <w:bCs w:val="0"/>
            <w:i w:val="0"/>
            <w:iCs w:val="0"/>
            <w:color w:val="auto"/>
            <w:sz w:val="24"/>
            <w:szCs w:val="24"/>
            <w:u w:val="none"/>
          </w:rPr>
          <w:t>Nielsen JN</w:t>
        </w:r>
      </w:hyperlink>
      <w:r w:rsidRPr="00FD4D6A">
        <w:rPr>
          <w:rFonts w:ascii="Calibri" w:hAnsi="Calibri"/>
          <w:b w:val="0"/>
          <w:bCs w:val="0"/>
          <w:i w:val="0"/>
          <w:iCs w:val="0"/>
          <w:sz w:val="24"/>
          <w:szCs w:val="24"/>
        </w:rPr>
        <w:t xml:space="preserve">, </w:t>
      </w:r>
      <w:hyperlink r:id="rId22" w:history="1">
        <w:r w:rsidRPr="00FD4D6A">
          <w:rPr>
            <w:rStyle w:val="Hyperlink"/>
            <w:rFonts w:ascii="Calibri" w:hAnsi="Calibri" w:cs="Tahoma"/>
            <w:b w:val="0"/>
            <w:bCs w:val="0"/>
            <w:i w:val="0"/>
            <w:iCs w:val="0"/>
            <w:color w:val="auto"/>
            <w:sz w:val="24"/>
            <w:szCs w:val="24"/>
            <w:u w:val="none"/>
          </w:rPr>
          <w:t>Fredholm L</w:t>
        </w:r>
      </w:hyperlink>
      <w:r w:rsidRPr="00FD4D6A">
        <w:rPr>
          <w:rFonts w:ascii="Calibri" w:hAnsi="Calibri"/>
          <w:b w:val="0"/>
          <w:bCs w:val="0"/>
          <w:i w:val="0"/>
          <w:iCs w:val="0"/>
          <w:sz w:val="24"/>
          <w:szCs w:val="24"/>
        </w:rPr>
        <w:t xml:space="preserve">, </w:t>
      </w:r>
      <w:hyperlink r:id="rId23" w:history="1">
        <w:r w:rsidRPr="00FD4D6A">
          <w:rPr>
            <w:rStyle w:val="Hyperlink"/>
            <w:rFonts w:ascii="Calibri" w:hAnsi="Calibri" w:cs="Tahoma"/>
            <w:b w:val="0"/>
            <w:bCs w:val="0"/>
            <w:i w:val="0"/>
            <w:iCs w:val="0"/>
            <w:color w:val="auto"/>
            <w:sz w:val="24"/>
            <w:szCs w:val="24"/>
            <w:u w:val="none"/>
          </w:rPr>
          <w:t>Lund ED</w:t>
        </w:r>
      </w:hyperlink>
      <w:r w:rsidRPr="00FD4D6A">
        <w:rPr>
          <w:rFonts w:ascii="Calibri" w:hAnsi="Calibri"/>
          <w:b w:val="0"/>
          <w:bCs w:val="0"/>
          <w:i w:val="0"/>
          <w:iCs w:val="0"/>
          <w:sz w:val="24"/>
          <w:szCs w:val="24"/>
        </w:rPr>
        <w:t xml:space="preserve">,  </w:t>
      </w:r>
      <w:hyperlink r:id="rId24" w:history="1">
        <w:r w:rsidRPr="00FD4D6A">
          <w:rPr>
            <w:rStyle w:val="Hyperlink"/>
            <w:rFonts w:ascii="Calibri" w:hAnsi="Calibri" w:cs="Tahoma"/>
            <w:b w:val="0"/>
            <w:bCs w:val="0"/>
            <w:i w:val="0"/>
            <w:iCs w:val="0"/>
            <w:color w:val="auto"/>
            <w:sz w:val="24"/>
            <w:szCs w:val="24"/>
            <w:u w:val="none"/>
          </w:rPr>
          <w:t>Brandslund I</w:t>
        </w:r>
      </w:hyperlink>
      <w:r w:rsidRPr="00FD4D6A">
        <w:rPr>
          <w:rFonts w:ascii="Calibri" w:hAnsi="Calibri"/>
          <w:b w:val="0"/>
          <w:bCs w:val="0"/>
          <w:i w:val="0"/>
          <w:iCs w:val="0"/>
          <w:sz w:val="24"/>
          <w:szCs w:val="24"/>
        </w:rPr>
        <w:t xml:space="preserve">, </w:t>
      </w:r>
      <w:hyperlink r:id="rId25" w:history="1">
        <w:r w:rsidRPr="00FD4D6A">
          <w:rPr>
            <w:rStyle w:val="Hyperlink"/>
            <w:rFonts w:ascii="Calibri" w:hAnsi="Calibri" w:cs="Tahoma"/>
            <w:b w:val="0"/>
            <w:bCs w:val="0"/>
            <w:i w:val="0"/>
            <w:iCs w:val="0"/>
            <w:color w:val="auto"/>
            <w:sz w:val="24"/>
            <w:szCs w:val="24"/>
            <w:u w:val="none"/>
          </w:rPr>
          <w:t>Munkholm P</w:t>
        </w:r>
      </w:hyperlink>
      <w:r w:rsidRPr="00FD4D6A">
        <w:rPr>
          <w:rFonts w:ascii="Calibri" w:hAnsi="Calibri"/>
          <w:b w:val="0"/>
          <w:bCs w:val="0"/>
          <w:i w:val="0"/>
          <w:iCs w:val="0"/>
          <w:sz w:val="24"/>
          <w:szCs w:val="24"/>
        </w:rPr>
        <w:t xml:space="preserve"> and </w:t>
      </w:r>
      <w:hyperlink r:id="rId26" w:history="1">
        <w:r w:rsidRPr="00FD4D6A">
          <w:rPr>
            <w:rStyle w:val="Hyperlink"/>
            <w:rFonts w:ascii="Calibri" w:hAnsi="Calibri" w:cs="Tahoma"/>
            <w:b w:val="0"/>
            <w:bCs w:val="0"/>
            <w:i w:val="0"/>
            <w:iCs w:val="0"/>
            <w:color w:val="auto"/>
            <w:sz w:val="24"/>
            <w:szCs w:val="24"/>
            <w:u w:val="none"/>
          </w:rPr>
          <w:t>Hey H</w:t>
        </w:r>
      </w:hyperlink>
      <w:r w:rsidRPr="00FD4D6A">
        <w:rPr>
          <w:rFonts w:ascii="Calibri" w:hAnsi="Calibri"/>
          <w:b w:val="0"/>
          <w:bCs w:val="0"/>
          <w:i w:val="0"/>
          <w:iCs w:val="0"/>
          <w:sz w:val="24"/>
          <w:szCs w:val="24"/>
        </w:rPr>
        <w:t xml:space="preserve">. Platelets and anticoagulant capacity in patients with inflammatory bowel disease. </w:t>
      </w:r>
      <w:hyperlink r:id="rId27" w:tooltip="Pathophysiology of haemostasis and thrombosis." w:history="1">
        <w:r w:rsidRPr="00FD4D6A">
          <w:rPr>
            <w:rStyle w:val="Hyperlink"/>
            <w:rFonts w:ascii="Calibri" w:hAnsi="Calibri" w:cs="Tahoma"/>
            <w:b w:val="0"/>
            <w:bCs w:val="0"/>
            <w:i w:val="0"/>
            <w:iCs w:val="0"/>
            <w:color w:val="auto"/>
            <w:sz w:val="24"/>
            <w:szCs w:val="24"/>
            <w:u w:val="none"/>
          </w:rPr>
          <w:t>Pathophysiol Haemost Thromb.</w:t>
        </w:r>
      </w:hyperlink>
      <w:r w:rsidRPr="00FD4D6A">
        <w:rPr>
          <w:rFonts w:ascii="Calibri" w:hAnsi="Calibri"/>
          <w:b w:val="0"/>
          <w:bCs w:val="0"/>
          <w:i w:val="0"/>
          <w:iCs w:val="0"/>
          <w:sz w:val="24"/>
          <w:szCs w:val="24"/>
        </w:rPr>
        <w:t xml:space="preserve"> 2002; 32(2):92-6.</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 xml:space="preserve">22- Harries AD, Beeching SJ, Rogerson SJ and </w:t>
      </w:r>
      <w:hyperlink r:id="rId28" w:history="1">
        <w:r w:rsidRPr="00FD4D6A">
          <w:rPr>
            <w:rStyle w:val="Hyperlink"/>
            <w:rFonts w:ascii="Calibri" w:hAnsi="Calibri" w:cs="Tahoma"/>
            <w:b w:val="0"/>
            <w:bCs w:val="0"/>
            <w:i w:val="0"/>
            <w:iCs w:val="0"/>
            <w:color w:val="auto"/>
            <w:sz w:val="24"/>
            <w:szCs w:val="24"/>
            <w:u w:val="none"/>
          </w:rPr>
          <w:t>Nye FJ</w:t>
        </w:r>
      </w:hyperlink>
      <w:r w:rsidRPr="00FD4D6A">
        <w:rPr>
          <w:rFonts w:ascii="Calibri" w:hAnsi="Calibri"/>
          <w:b w:val="0"/>
          <w:bCs w:val="0"/>
          <w:i w:val="0"/>
          <w:iCs w:val="0"/>
          <w:sz w:val="24"/>
          <w:szCs w:val="24"/>
        </w:rPr>
        <w:t>.The platelet count as a simple measure to distinguish inflammatory bowel disease from infective diarrhea. J Infect 1991; 22: 247-50.</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23- Beattie RM, Walker-Smith JA and Murch SH. Indications for investigation of chronic gastrointestinal symptoms. Arch Dis Child 1995; 73: 354-5.</w:t>
      </w:r>
    </w:p>
    <w:p w:rsidR="006634B5" w:rsidRPr="00FD4D6A" w:rsidRDefault="006634B5" w:rsidP="00FD4D6A">
      <w:pPr>
        <w:pStyle w:val="N14pt"/>
        <w:bidi w:val="0"/>
        <w:spacing w:line="276" w:lineRule="auto"/>
        <w:jc w:val="both"/>
        <w:rPr>
          <w:rFonts w:ascii="Calibri" w:hAnsi="Calibri"/>
          <w:b w:val="0"/>
          <w:bCs w:val="0"/>
          <w:i w:val="0"/>
          <w:iCs w:val="0"/>
          <w:spacing w:val="-3"/>
          <w:sz w:val="24"/>
          <w:szCs w:val="24"/>
        </w:rPr>
      </w:pPr>
      <w:r w:rsidRPr="00FD4D6A">
        <w:rPr>
          <w:rFonts w:ascii="Calibri" w:hAnsi="Calibri"/>
          <w:b w:val="0"/>
          <w:bCs w:val="0"/>
          <w:i w:val="0"/>
          <w:iCs w:val="0"/>
          <w:sz w:val="24"/>
          <w:szCs w:val="24"/>
        </w:rPr>
        <w:t>24- Sabery N and Bass D. Use of serologic markers as a screening tool in inflammatory bowel disease compared with elevated erythrocyte sedimentation rate and anemia. Pediatrics 2006; 119: 193-199.</w:t>
      </w:r>
    </w:p>
    <w:tbl>
      <w:tblPr>
        <w:tblW w:w="4987" w:type="pct"/>
        <w:tblCellSpacing w:w="0" w:type="dxa"/>
        <w:tblCellMar>
          <w:left w:w="0" w:type="dxa"/>
          <w:right w:w="0" w:type="dxa"/>
        </w:tblCellMar>
        <w:tblLook w:val="00A0"/>
      </w:tblPr>
      <w:tblGrid>
        <w:gridCol w:w="8618"/>
      </w:tblGrid>
      <w:tr w:rsidR="006634B5" w:rsidRPr="00FD4D6A" w:rsidTr="00CE76AB">
        <w:trPr>
          <w:trHeight w:val="3419"/>
          <w:tblCellSpacing w:w="0" w:type="dxa"/>
        </w:trPr>
        <w:tc>
          <w:tcPr>
            <w:tcW w:w="0" w:type="auto"/>
          </w:tcPr>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25- Vermeire S,  Assche GV and Rutgeerts P. C-Reactive protein as a marker for inflammatory bowel disease. Inflamm Bowel Dis 2004; 10: 661-665.</w:t>
            </w:r>
          </w:p>
          <w:p w:rsidR="006634B5" w:rsidRPr="00FD4D6A" w:rsidRDefault="006634B5" w:rsidP="00FD4D6A">
            <w:pPr>
              <w:autoSpaceDE w:val="0"/>
              <w:autoSpaceDN w:val="0"/>
              <w:adjustRightInd w:val="0"/>
              <w:spacing w:after="0"/>
              <w:jc w:val="both"/>
              <w:rPr>
                <w:rFonts w:cs="Tahoma"/>
                <w:sz w:val="24"/>
                <w:szCs w:val="24"/>
              </w:rPr>
            </w:pPr>
            <w:r w:rsidRPr="00FD4D6A">
              <w:rPr>
                <w:rFonts w:cs="Tahoma"/>
                <w:sz w:val="24"/>
                <w:szCs w:val="24"/>
              </w:rPr>
              <w:t>26- Shine B, Berghouse L, Jones JE, Landon J. C-reactive protein as an aid in the differentiation of functional and inflammatory bowel disorders. Clin Chim Acta. 1985; 148:105–109.</w:t>
            </w:r>
          </w:p>
          <w:p w:rsidR="006634B5" w:rsidRPr="00FD4D6A" w:rsidRDefault="006634B5" w:rsidP="00FD4D6A">
            <w:pPr>
              <w:pStyle w:val="authlist"/>
              <w:shd w:val="clear" w:color="auto" w:fill="FFFFFF"/>
              <w:spacing w:before="0" w:beforeAutospacing="0" w:after="0" w:afterAutospacing="0" w:line="276" w:lineRule="auto"/>
              <w:jc w:val="both"/>
              <w:rPr>
                <w:rFonts w:ascii="Calibri" w:hAnsi="Calibri" w:cs="Tahoma"/>
              </w:rPr>
            </w:pPr>
            <w:r w:rsidRPr="00FD4D6A">
              <w:rPr>
                <w:rFonts w:ascii="Calibri" w:hAnsi="Calibri" w:cs="Tahoma"/>
              </w:rPr>
              <w:t xml:space="preserve">27- </w:t>
            </w:r>
            <w:hyperlink r:id="rId29" w:history="1">
              <w:r w:rsidRPr="00FD4D6A">
                <w:rPr>
                  <w:rStyle w:val="Hyperlink"/>
                  <w:rFonts w:ascii="Calibri" w:hAnsi="Calibri" w:cs="Tahoma"/>
                  <w:color w:val="auto"/>
                  <w:u w:val="none"/>
                </w:rPr>
                <w:t>Henriksen M</w:t>
              </w:r>
            </w:hyperlink>
            <w:r w:rsidRPr="00FD4D6A">
              <w:rPr>
                <w:rFonts w:ascii="Calibri" w:hAnsi="Calibri" w:cs="Tahoma"/>
              </w:rPr>
              <w:t xml:space="preserve">,  </w:t>
            </w:r>
            <w:hyperlink r:id="rId30" w:history="1">
              <w:r w:rsidRPr="00FD4D6A">
                <w:rPr>
                  <w:rStyle w:val="Hyperlink"/>
                  <w:rFonts w:ascii="Calibri" w:hAnsi="Calibri" w:cs="Tahoma"/>
                  <w:color w:val="auto"/>
                  <w:u w:val="none"/>
                </w:rPr>
                <w:t>Jahnsen J</w:t>
              </w:r>
            </w:hyperlink>
            <w:r w:rsidRPr="00FD4D6A">
              <w:rPr>
                <w:rFonts w:ascii="Calibri" w:hAnsi="Calibri" w:cs="Tahoma"/>
              </w:rPr>
              <w:t xml:space="preserve">,  </w:t>
            </w:r>
            <w:hyperlink r:id="rId31" w:history="1">
              <w:r w:rsidRPr="00FD4D6A">
                <w:rPr>
                  <w:rStyle w:val="Hyperlink"/>
                  <w:rFonts w:ascii="Calibri" w:hAnsi="Calibri" w:cs="Tahoma"/>
                  <w:color w:val="auto"/>
                  <w:u w:val="none"/>
                </w:rPr>
                <w:t>Lygren I</w:t>
              </w:r>
            </w:hyperlink>
            <w:r w:rsidRPr="00FD4D6A">
              <w:rPr>
                <w:rFonts w:ascii="Calibri" w:hAnsi="Calibri" w:cs="Tahoma"/>
              </w:rPr>
              <w:t xml:space="preserve">,  </w:t>
            </w:r>
            <w:hyperlink r:id="rId32" w:history="1">
              <w:r w:rsidRPr="00FD4D6A">
                <w:rPr>
                  <w:rStyle w:val="Hyperlink"/>
                  <w:rFonts w:ascii="Calibri" w:hAnsi="Calibri" w:cs="Tahoma"/>
                  <w:color w:val="auto"/>
                  <w:u w:val="none"/>
                </w:rPr>
                <w:t>Stray N</w:t>
              </w:r>
            </w:hyperlink>
            <w:r w:rsidRPr="00FD4D6A">
              <w:rPr>
                <w:rFonts w:ascii="Calibri" w:hAnsi="Calibri" w:cs="Tahoma"/>
              </w:rPr>
              <w:t xml:space="preserve">,  </w:t>
            </w:r>
            <w:hyperlink r:id="rId33" w:history="1">
              <w:r w:rsidRPr="00FD4D6A">
                <w:rPr>
                  <w:rStyle w:val="Hyperlink"/>
                  <w:rFonts w:ascii="Calibri" w:hAnsi="Calibri" w:cs="Tahoma"/>
                  <w:color w:val="auto"/>
                  <w:u w:val="none"/>
                </w:rPr>
                <w:t>Sauar J</w:t>
              </w:r>
            </w:hyperlink>
            <w:r w:rsidRPr="00FD4D6A">
              <w:rPr>
                <w:rFonts w:ascii="Calibri" w:hAnsi="Calibri" w:cs="Tahoma"/>
              </w:rPr>
              <w:t xml:space="preserve">,  </w:t>
            </w:r>
            <w:hyperlink r:id="rId34" w:history="1">
              <w:r w:rsidRPr="00FD4D6A">
                <w:rPr>
                  <w:rStyle w:val="Hyperlink"/>
                  <w:rFonts w:ascii="Calibri" w:hAnsi="Calibri" w:cs="Tahoma"/>
                  <w:color w:val="auto"/>
                  <w:u w:val="none"/>
                </w:rPr>
                <w:t>Vatn MH</w:t>
              </w:r>
            </w:hyperlink>
            <w:r w:rsidRPr="00FD4D6A">
              <w:rPr>
                <w:rFonts w:ascii="Calibri" w:hAnsi="Calibri" w:cs="Tahoma"/>
              </w:rPr>
              <w:t xml:space="preserve">.C-reactive protein: a predictive factor and marker of inflammation in inflammatory bowel disease. Results from a prospective population-based study. Gut 2008; 57(11):1518-23. </w:t>
            </w:r>
          </w:p>
          <w:p w:rsidR="006634B5" w:rsidRPr="00FD4D6A" w:rsidRDefault="006634B5" w:rsidP="00FD4D6A">
            <w:pPr>
              <w:spacing w:after="0"/>
              <w:jc w:val="both"/>
              <w:rPr>
                <w:rFonts w:cs="Tahoma"/>
                <w:sz w:val="24"/>
                <w:szCs w:val="24"/>
              </w:rPr>
            </w:pPr>
            <w:r w:rsidRPr="00FD4D6A">
              <w:rPr>
                <w:rFonts w:cs="Tahoma"/>
                <w:sz w:val="24"/>
                <w:szCs w:val="24"/>
              </w:rPr>
              <w:t>28- Vermeire S, Assche GV and Rutgeerts P. Laboratory markers in IBD: useful, magic, or unnecessary toys?</w:t>
            </w:r>
            <w:r w:rsidRPr="00FD4D6A">
              <w:rPr>
                <w:rStyle w:val="citation-abbreviation2"/>
                <w:rFonts w:ascii="Calibri" w:hAnsi="Calibri" w:cs="Tahoma"/>
                <w:sz w:val="24"/>
                <w:szCs w:val="24"/>
              </w:rPr>
              <w:t xml:space="preserve"> .Gut. </w:t>
            </w:r>
            <w:r w:rsidRPr="00FD4D6A">
              <w:rPr>
                <w:rStyle w:val="citation-publication-date"/>
                <w:rFonts w:ascii="Calibri" w:hAnsi="Calibri" w:cs="Tahoma"/>
                <w:sz w:val="24"/>
                <w:szCs w:val="24"/>
              </w:rPr>
              <w:t xml:space="preserve">2006; </w:t>
            </w:r>
            <w:r w:rsidRPr="00FD4D6A">
              <w:rPr>
                <w:rStyle w:val="citation-volume"/>
                <w:rFonts w:ascii="Calibri" w:hAnsi="Calibri" w:cs="Tahoma"/>
                <w:sz w:val="24"/>
                <w:szCs w:val="24"/>
              </w:rPr>
              <w:t>55</w:t>
            </w:r>
            <w:r w:rsidRPr="00FD4D6A">
              <w:rPr>
                <w:rStyle w:val="citation-issue"/>
                <w:rFonts w:ascii="Calibri" w:hAnsi="Calibri" w:cs="Tahoma"/>
                <w:sz w:val="24"/>
                <w:szCs w:val="24"/>
              </w:rPr>
              <w:t>(3)</w:t>
            </w:r>
            <w:r w:rsidRPr="00FD4D6A">
              <w:rPr>
                <w:rStyle w:val="citation-flpages"/>
                <w:rFonts w:ascii="Calibri" w:hAnsi="Calibri" w:cs="Tahoma"/>
                <w:sz w:val="24"/>
                <w:szCs w:val="24"/>
              </w:rPr>
              <w:t xml:space="preserve">: 426–431. </w:t>
            </w:r>
          </w:p>
          <w:p w:rsidR="006634B5" w:rsidRPr="00FD4D6A" w:rsidRDefault="006634B5" w:rsidP="00FD4D6A">
            <w:pPr>
              <w:pStyle w:val="Heading1"/>
              <w:shd w:val="clear" w:color="auto" w:fill="FFFFFF"/>
              <w:spacing w:before="0" w:beforeAutospacing="0" w:after="0" w:afterAutospacing="0" w:line="276" w:lineRule="auto"/>
              <w:jc w:val="both"/>
              <w:rPr>
                <w:rFonts w:ascii="Calibri" w:hAnsi="Calibri" w:cs="Tahoma"/>
                <w:b w:val="0"/>
                <w:bCs w:val="0"/>
                <w:sz w:val="24"/>
                <w:szCs w:val="24"/>
              </w:rPr>
            </w:pPr>
            <w:r w:rsidRPr="00FD4D6A">
              <w:rPr>
                <w:rFonts w:ascii="Calibri" w:hAnsi="Calibri" w:cs="Tahoma"/>
                <w:b w:val="0"/>
                <w:bCs w:val="0"/>
                <w:sz w:val="24"/>
                <w:szCs w:val="24"/>
              </w:rPr>
              <w:t xml:space="preserve">29- Pascu M,  Roznowski AB,  Muller HP, </w:t>
            </w:r>
            <w:hyperlink r:id="rId35" w:history="1">
              <w:r w:rsidRPr="00FD4D6A">
                <w:rPr>
                  <w:rStyle w:val="Hyperlink"/>
                  <w:rFonts w:ascii="Calibri" w:hAnsi="Calibri" w:cs="Tahoma"/>
                  <w:b w:val="0"/>
                  <w:bCs w:val="0"/>
                  <w:color w:val="auto"/>
                  <w:sz w:val="24"/>
                  <w:szCs w:val="24"/>
                  <w:u w:val="none"/>
                </w:rPr>
                <w:t>Adler A</w:t>
              </w:r>
            </w:hyperlink>
            <w:r w:rsidRPr="00FD4D6A">
              <w:rPr>
                <w:rFonts w:ascii="Calibri" w:hAnsi="Calibri" w:cs="Tahoma"/>
                <w:b w:val="0"/>
                <w:bCs w:val="0"/>
                <w:sz w:val="24"/>
                <w:szCs w:val="24"/>
              </w:rPr>
              <w:t xml:space="preserve">,  </w:t>
            </w:r>
            <w:hyperlink r:id="rId36" w:history="1">
              <w:r w:rsidRPr="00FD4D6A">
                <w:rPr>
                  <w:rStyle w:val="Hyperlink"/>
                  <w:rFonts w:ascii="Calibri" w:hAnsi="Calibri" w:cs="Tahoma"/>
                  <w:b w:val="0"/>
                  <w:bCs w:val="0"/>
                  <w:color w:val="auto"/>
                  <w:sz w:val="24"/>
                  <w:szCs w:val="24"/>
                  <w:u w:val="none"/>
                </w:rPr>
                <w:t>Wiedenmann B</w:t>
              </w:r>
            </w:hyperlink>
            <w:r w:rsidRPr="00FD4D6A">
              <w:rPr>
                <w:rFonts w:ascii="Calibri" w:hAnsi="Calibri" w:cs="Tahoma"/>
                <w:b w:val="0"/>
                <w:bCs w:val="0"/>
                <w:sz w:val="24"/>
                <w:szCs w:val="24"/>
              </w:rPr>
              <w:t xml:space="preserve"> and </w:t>
            </w:r>
            <w:hyperlink r:id="rId37" w:history="1">
              <w:r w:rsidRPr="00FD4D6A">
                <w:rPr>
                  <w:rStyle w:val="Hyperlink"/>
                  <w:rFonts w:ascii="Calibri" w:hAnsi="Calibri" w:cs="Tahoma"/>
                  <w:b w:val="0"/>
                  <w:bCs w:val="0"/>
                  <w:color w:val="auto"/>
                  <w:sz w:val="24"/>
                  <w:szCs w:val="24"/>
                  <w:u w:val="none"/>
                </w:rPr>
                <w:t>Dignass AU</w:t>
              </w:r>
            </w:hyperlink>
            <w:r w:rsidRPr="00FD4D6A">
              <w:rPr>
                <w:rFonts w:ascii="Calibri" w:hAnsi="Calibri" w:cs="Tahoma"/>
                <w:b w:val="0"/>
                <w:bCs w:val="0"/>
                <w:sz w:val="24"/>
                <w:szCs w:val="24"/>
              </w:rPr>
              <w:t>. Clinical relevance of transabdominal ultrasonography and magnetic resonance imaging in patients with inflammatory bowel disease of the terminal i</w:t>
            </w:r>
            <w:r>
              <w:rPr>
                <w:rFonts w:ascii="Calibri" w:hAnsi="Calibri" w:cs="Tahoma"/>
                <w:b w:val="0"/>
                <w:bCs w:val="0"/>
                <w:sz w:val="24"/>
                <w:szCs w:val="24"/>
              </w:rPr>
              <w:t xml:space="preserve">leum and large bowel. Inflamm. </w:t>
            </w:r>
            <w:r w:rsidRPr="00FD4D6A">
              <w:rPr>
                <w:rFonts w:ascii="Calibri" w:hAnsi="Calibri" w:cs="Tahoma"/>
                <w:b w:val="0"/>
                <w:bCs w:val="0"/>
                <w:sz w:val="24"/>
                <w:szCs w:val="24"/>
              </w:rPr>
              <w:t>Bowel Dis 2004; 10(4): 373-82.</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 xml:space="preserve">30- Rispo A,  Imbriaco M,  Celentano L,  Cozzolino A,  Camera L and Mainenti PP . Noninvasive diagnosis of small bowel Crohn's disease: combined use of bowel sonography and Tc-99m-HMPAO leukocyte scintigraphy. Inflamm Bowel Dis 2005; 11: 376-382. </w:t>
            </w:r>
          </w:p>
          <w:p w:rsidR="006634B5" w:rsidRDefault="006634B5" w:rsidP="00FD4D6A">
            <w:pPr>
              <w:pStyle w:val="authlist"/>
              <w:spacing w:before="0" w:beforeAutospacing="0" w:after="0" w:afterAutospacing="0" w:line="276" w:lineRule="auto"/>
              <w:jc w:val="both"/>
              <w:rPr>
                <w:rFonts w:ascii="Calibri" w:hAnsi="Calibri" w:cs="Tahoma"/>
              </w:rPr>
            </w:pPr>
            <w:r w:rsidRPr="00FD4D6A">
              <w:rPr>
                <w:rFonts w:ascii="Calibri" w:hAnsi="Calibri" w:cs="Tahoma"/>
              </w:rPr>
              <w:t xml:space="preserve">31- </w:t>
            </w:r>
            <w:hyperlink r:id="rId38" w:history="1">
              <w:r w:rsidRPr="00FD4D6A">
                <w:rPr>
                  <w:rStyle w:val="Hyperlink"/>
                  <w:rFonts w:ascii="Calibri" w:hAnsi="Calibri" w:cs="Tahoma"/>
                  <w:color w:val="auto"/>
                  <w:u w:val="none"/>
                </w:rPr>
                <w:t>Dietrich CF</w:t>
              </w:r>
            </w:hyperlink>
            <w:r w:rsidRPr="00FD4D6A">
              <w:rPr>
                <w:rFonts w:ascii="Calibri" w:hAnsi="Calibri" w:cs="Tahoma"/>
              </w:rPr>
              <w:t xml:space="preserve">. Significance of abdominal ultrasound in inflammatory bowel disease. </w:t>
            </w:r>
            <w:hyperlink r:id="rId39" w:tooltip="Digestive diseases (Basel, Switzerland)." w:history="1">
              <w:r w:rsidRPr="00FD4D6A">
                <w:rPr>
                  <w:rStyle w:val="Hyperlink"/>
                  <w:rFonts w:ascii="Calibri" w:hAnsi="Calibri" w:cs="Tahoma"/>
                  <w:color w:val="auto"/>
                  <w:u w:val="none"/>
                </w:rPr>
                <w:t>Dig Dis.</w:t>
              </w:r>
            </w:hyperlink>
            <w:r w:rsidRPr="00FD4D6A">
              <w:rPr>
                <w:rFonts w:ascii="Calibri" w:hAnsi="Calibri" w:cs="Tahoma"/>
              </w:rPr>
              <w:t xml:space="preserve"> 2009; 27(4):482-93</w:t>
            </w:r>
            <w:r>
              <w:rPr>
                <w:rFonts w:ascii="Calibri" w:hAnsi="Calibri" w:cs="Tahoma"/>
              </w:rPr>
              <w:t>.</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 xml:space="preserve">32- Bru C,  Sans M,  Defelitto MM,  </w:t>
            </w:r>
            <w:hyperlink r:id="rId40" w:history="1">
              <w:r w:rsidRPr="00FD4D6A">
                <w:rPr>
                  <w:rStyle w:val="Hyperlink"/>
                  <w:rFonts w:ascii="Calibri" w:hAnsi="Calibri" w:cs="Tahoma"/>
                  <w:b w:val="0"/>
                  <w:bCs w:val="0"/>
                  <w:i w:val="0"/>
                  <w:iCs w:val="0"/>
                  <w:color w:val="auto"/>
                  <w:sz w:val="24"/>
                  <w:szCs w:val="24"/>
                  <w:u w:val="none"/>
                </w:rPr>
                <w:t>Gilabert R</w:t>
              </w:r>
            </w:hyperlink>
            <w:r w:rsidRPr="00FD4D6A">
              <w:rPr>
                <w:rFonts w:ascii="Calibri" w:hAnsi="Calibri"/>
                <w:b w:val="0"/>
                <w:bCs w:val="0"/>
                <w:i w:val="0"/>
                <w:iCs w:val="0"/>
                <w:sz w:val="24"/>
                <w:szCs w:val="24"/>
              </w:rPr>
              <w:t xml:space="preserve">,  Fuster D and  </w:t>
            </w:r>
            <w:hyperlink r:id="rId41" w:history="1">
              <w:r w:rsidRPr="00FD4D6A">
                <w:rPr>
                  <w:rStyle w:val="Hyperlink"/>
                  <w:rFonts w:ascii="Calibri" w:hAnsi="Calibri" w:cs="Tahoma"/>
                  <w:b w:val="0"/>
                  <w:bCs w:val="0"/>
                  <w:i w:val="0"/>
                  <w:iCs w:val="0"/>
                  <w:color w:val="auto"/>
                  <w:sz w:val="24"/>
                  <w:szCs w:val="24"/>
                  <w:u w:val="none"/>
                </w:rPr>
                <w:t>Liach J</w:t>
              </w:r>
            </w:hyperlink>
            <w:r w:rsidRPr="00FD4D6A">
              <w:rPr>
                <w:rFonts w:ascii="Calibri" w:hAnsi="Calibri"/>
                <w:b w:val="0"/>
                <w:bCs w:val="0"/>
                <w:i w:val="0"/>
                <w:iCs w:val="0"/>
                <w:sz w:val="24"/>
                <w:szCs w:val="24"/>
              </w:rPr>
              <w:t xml:space="preserve"> .Hydrocolonic sonography for evaluating inflammatory bowel disease. AJR 2001; 177: 99–105. </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33- Limberg B and Osswald B. Diagnosis and differential diagnosis of ulcerative colitis and Crohn’s disease by hydrocolonic sonography. Am J Gastroenterol 1994; 89: 1051–1057.</w:t>
            </w:r>
          </w:p>
          <w:p w:rsidR="006634B5" w:rsidRPr="00FD4D6A" w:rsidRDefault="006634B5" w:rsidP="00FD4D6A">
            <w:pPr>
              <w:pStyle w:val="N14pt"/>
              <w:bidi w:val="0"/>
              <w:spacing w:line="276" w:lineRule="auto"/>
              <w:jc w:val="both"/>
              <w:rPr>
                <w:rFonts w:ascii="Calibri" w:hAnsi="Calibri"/>
                <w:b w:val="0"/>
                <w:bCs w:val="0"/>
                <w:i w:val="0"/>
                <w:iCs w:val="0"/>
                <w:sz w:val="24"/>
                <w:szCs w:val="24"/>
              </w:rPr>
            </w:pPr>
            <w:r w:rsidRPr="00FD4D6A">
              <w:rPr>
                <w:rFonts w:ascii="Calibri" w:hAnsi="Calibri"/>
                <w:b w:val="0"/>
                <w:bCs w:val="0"/>
                <w:i w:val="0"/>
                <w:iCs w:val="0"/>
                <w:sz w:val="24"/>
                <w:szCs w:val="24"/>
              </w:rPr>
              <w:t xml:space="preserve">34- Parente F,  Greco S, Molteni M, Cucino C,  Maconi G and Sampietro GM. Role of early ultrasound in detecting inflammatory intestinal disorders and identifying their anatomical location within the bowel. Aliment Pharmacol Ther 2003; 18(10): 1009-1016. </w:t>
            </w:r>
          </w:p>
          <w:p w:rsidR="006634B5" w:rsidRPr="00FD4D6A" w:rsidRDefault="006634B5" w:rsidP="00FD4D6A">
            <w:pPr>
              <w:jc w:val="both"/>
              <w:rPr>
                <w:rFonts w:cs="Tahoma"/>
                <w:sz w:val="24"/>
                <w:szCs w:val="24"/>
              </w:rPr>
            </w:pPr>
            <w:r w:rsidRPr="00FD4D6A">
              <w:rPr>
                <w:rFonts w:cs="Tahoma"/>
                <w:sz w:val="24"/>
                <w:szCs w:val="24"/>
              </w:rPr>
              <w:t>35- Geboes K, Ectors N, D'Haens G. et al Is ileoscopy with biopsy worthwhile in patients presenting with symptoms of inflammatory bowel disease? Am J Gastroenterol 1998. 93201–206.</w:t>
            </w:r>
          </w:p>
          <w:p w:rsidR="006634B5" w:rsidRPr="00FD4D6A" w:rsidRDefault="006634B5" w:rsidP="00FD4D6A">
            <w:pPr>
              <w:pStyle w:val="authlist"/>
              <w:spacing w:before="0" w:beforeAutospacing="0" w:after="0" w:afterAutospacing="0" w:line="276" w:lineRule="auto"/>
              <w:jc w:val="both"/>
              <w:rPr>
                <w:rFonts w:ascii="Calibri" w:hAnsi="Calibri" w:cs="Tahoma"/>
              </w:rPr>
            </w:pPr>
          </w:p>
        </w:tc>
      </w:tr>
    </w:tbl>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ind w:left="360"/>
        <w:jc w:val="both"/>
        <w:rPr>
          <w:rFonts w:ascii="Calibri" w:hAnsi="Calibri"/>
          <w:b w:val="0"/>
          <w:bCs w:val="0"/>
          <w:i w:val="0"/>
          <w:iCs w:val="0"/>
          <w:sz w:val="24"/>
          <w:szCs w:val="24"/>
        </w:rPr>
      </w:pPr>
      <w:r w:rsidRPr="00FD4D6A">
        <w:rPr>
          <w:rFonts w:ascii="Calibri" w:hAnsi="Calibri"/>
          <w:b w:val="0"/>
          <w:bCs w:val="0"/>
          <w:i w:val="0"/>
          <w:iCs w:val="0"/>
          <w:sz w:val="24"/>
          <w:szCs w:val="24"/>
        </w:rPr>
        <w:t xml:space="preserve"> </w:t>
      </w: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spacing w:after="0"/>
        <w:jc w:val="both"/>
        <w:rPr>
          <w:rFonts w:cs="Tahoma"/>
          <w:sz w:val="24"/>
          <w:szCs w:val="24"/>
        </w:rPr>
      </w:pPr>
    </w:p>
    <w:p w:rsidR="006634B5" w:rsidRPr="00FD4D6A" w:rsidRDefault="006634B5" w:rsidP="00FD4D6A">
      <w:pPr>
        <w:jc w:val="both"/>
        <w:rPr>
          <w:rFonts w:cs="Tahoma"/>
          <w:sz w:val="24"/>
          <w:szCs w:val="24"/>
        </w:rPr>
      </w:pPr>
      <w:r w:rsidRPr="00FD4D6A">
        <w:rPr>
          <w:rFonts w:cs="Tahoma"/>
          <w:sz w:val="24"/>
          <w:szCs w:val="24"/>
        </w:rPr>
        <w:t xml:space="preserve"> </w:t>
      </w:r>
    </w:p>
    <w:p w:rsidR="006634B5" w:rsidRPr="00FD4D6A" w:rsidRDefault="006634B5" w:rsidP="00FD4D6A">
      <w:pPr>
        <w:jc w:val="both"/>
        <w:rPr>
          <w:rFonts w:cs="Tahoma"/>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b w:val="0"/>
          <w:bCs w:val="0"/>
          <w:i w:val="0"/>
          <w:iCs w:val="0"/>
          <w:sz w:val="24"/>
          <w:szCs w:val="24"/>
        </w:rPr>
      </w:pPr>
    </w:p>
    <w:p w:rsidR="006634B5" w:rsidRPr="00FD4D6A" w:rsidRDefault="006634B5" w:rsidP="00FD4D6A">
      <w:pPr>
        <w:pStyle w:val="N14pt"/>
        <w:bidi w:val="0"/>
        <w:spacing w:line="276" w:lineRule="auto"/>
        <w:jc w:val="both"/>
        <w:rPr>
          <w:rFonts w:ascii="Calibri" w:hAnsi="Calibri"/>
          <w:i w:val="0"/>
          <w:iCs w:val="0"/>
          <w:sz w:val="24"/>
          <w:szCs w:val="24"/>
        </w:rPr>
      </w:pPr>
    </w:p>
    <w:p w:rsidR="006634B5" w:rsidRPr="00FD4D6A" w:rsidRDefault="006634B5" w:rsidP="00FD4D6A">
      <w:pPr>
        <w:pStyle w:val="N14pt"/>
        <w:bidi w:val="0"/>
        <w:spacing w:line="276" w:lineRule="auto"/>
        <w:jc w:val="both"/>
        <w:rPr>
          <w:rFonts w:ascii="Calibri" w:hAnsi="Calibri"/>
          <w:i w:val="0"/>
          <w:iCs w:val="0"/>
          <w:sz w:val="24"/>
          <w:szCs w:val="24"/>
        </w:rPr>
      </w:pPr>
    </w:p>
    <w:p w:rsidR="006634B5" w:rsidRPr="00FD4D6A" w:rsidRDefault="006634B5" w:rsidP="00FD4D6A">
      <w:pPr>
        <w:pStyle w:val="N14pt"/>
        <w:bidi w:val="0"/>
        <w:spacing w:line="276" w:lineRule="auto"/>
        <w:jc w:val="both"/>
        <w:rPr>
          <w:rFonts w:ascii="Calibri" w:hAnsi="Calibri"/>
          <w:i w:val="0"/>
          <w:iCs w:val="0"/>
          <w:sz w:val="24"/>
          <w:szCs w:val="24"/>
        </w:rPr>
      </w:pPr>
    </w:p>
    <w:p w:rsidR="006634B5" w:rsidRPr="00FD4D6A" w:rsidRDefault="006634B5" w:rsidP="00FD4D6A">
      <w:pPr>
        <w:autoSpaceDE w:val="0"/>
        <w:autoSpaceDN w:val="0"/>
        <w:adjustRightInd w:val="0"/>
        <w:spacing w:after="0"/>
        <w:jc w:val="both"/>
        <w:rPr>
          <w:rFonts w:cs="Tahoma"/>
          <w:b/>
          <w:bCs/>
          <w:sz w:val="24"/>
          <w:szCs w:val="24"/>
        </w:rPr>
      </w:pPr>
    </w:p>
    <w:p w:rsidR="006634B5" w:rsidRPr="00FD4D6A" w:rsidRDefault="006634B5" w:rsidP="00FD4D6A">
      <w:pPr>
        <w:jc w:val="both"/>
        <w:rPr>
          <w:rFonts w:cs="Tahoma"/>
          <w:sz w:val="24"/>
          <w:szCs w:val="24"/>
        </w:rPr>
      </w:pPr>
      <w:r w:rsidRPr="00FD4D6A">
        <w:rPr>
          <w:rFonts w:cs="Tahoma"/>
          <w:sz w:val="24"/>
          <w:szCs w:val="24"/>
        </w:rPr>
        <w:t xml:space="preserve"> </w:t>
      </w:r>
    </w:p>
    <w:p w:rsidR="006634B5" w:rsidRPr="00FD4D6A" w:rsidRDefault="006634B5" w:rsidP="00FD4D6A">
      <w:pPr>
        <w:autoSpaceDE w:val="0"/>
        <w:autoSpaceDN w:val="0"/>
        <w:adjustRightInd w:val="0"/>
        <w:spacing w:after="0"/>
        <w:jc w:val="both"/>
        <w:rPr>
          <w:rFonts w:cs="Tahoma"/>
          <w:b/>
          <w:bCs/>
          <w:sz w:val="24"/>
          <w:szCs w:val="24"/>
        </w:rPr>
      </w:pPr>
    </w:p>
    <w:p w:rsidR="006634B5" w:rsidRPr="00FD4D6A" w:rsidRDefault="006634B5" w:rsidP="00FD4D6A">
      <w:pPr>
        <w:autoSpaceDE w:val="0"/>
        <w:autoSpaceDN w:val="0"/>
        <w:adjustRightInd w:val="0"/>
        <w:spacing w:after="0"/>
        <w:jc w:val="both"/>
        <w:rPr>
          <w:rFonts w:cs="Tahoma"/>
          <w:b/>
          <w:bCs/>
          <w:sz w:val="24"/>
          <w:szCs w:val="24"/>
        </w:rPr>
      </w:pPr>
    </w:p>
    <w:p w:rsidR="006634B5" w:rsidRPr="00FD4D6A" w:rsidRDefault="006634B5" w:rsidP="00FD4D6A">
      <w:pPr>
        <w:autoSpaceDE w:val="0"/>
        <w:autoSpaceDN w:val="0"/>
        <w:adjustRightInd w:val="0"/>
        <w:spacing w:after="0"/>
        <w:jc w:val="both"/>
        <w:rPr>
          <w:rFonts w:cs="Tahoma"/>
          <w:b/>
          <w:bCs/>
          <w:sz w:val="24"/>
          <w:szCs w:val="24"/>
        </w:rPr>
      </w:pPr>
      <w:r w:rsidRPr="00FD4D6A">
        <w:rPr>
          <w:rFonts w:cs="Tahoma"/>
          <w:b/>
          <w:bCs/>
          <w:sz w:val="24"/>
          <w:szCs w:val="24"/>
        </w:rPr>
        <w:t xml:space="preserve"> </w:t>
      </w:r>
    </w:p>
    <w:p w:rsidR="006634B5" w:rsidRPr="00FD4D6A" w:rsidRDefault="006634B5" w:rsidP="00FD4D6A">
      <w:pPr>
        <w:autoSpaceDE w:val="0"/>
        <w:autoSpaceDN w:val="0"/>
        <w:adjustRightInd w:val="0"/>
        <w:spacing w:after="0"/>
        <w:jc w:val="both"/>
        <w:rPr>
          <w:rFonts w:cs="Tahoma"/>
          <w:b/>
          <w:bCs/>
          <w:sz w:val="24"/>
          <w:szCs w:val="24"/>
        </w:rPr>
      </w:pPr>
      <w:r w:rsidRPr="00FD4D6A">
        <w:rPr>
          <w:rFonts w:cs="Tahoma"/>
          <w:sz w:val="24"/>
          <w:szCs w:val="24"/>
        </w:rPr>
        <w:t xml:space="preserve"> </w:t>
      </w:r>
    </w:p>
    <w:p w:rsidR="006634B5" w:rsidRPr="00FD4D6A" w:rsidRDefault="006634B5" w:rsidP="00FD4D6A">
      <w:pPr>
        <w:autoSpaceDE w:val="0"/>
        <w:autoSpaceDN w:val="0"/>
        <w:adjustRightInd w:val="0"/>
        <w:spacing w:after="0"/>
        <w:jc w:val="both"/>
        <w:rPr>
          <w:rFonts w:cs="Tahoma"/>
          <w:b/>
          <w:bCs/>
          <w:sz w:val="24"/>
          <w:szCs w:val="24"/>
          <w:lang w:bidi="ar-EG"/>
        </w:rPr>
      </w:pPr>
    </w:p>
    <w:p w:rsidR="006634B5" w:rsidRPr="00FD4D6A" w:rsidRDefault="006634B5" w:rsidP="00FD4D6A">
      <w:pPr>
        <w:autoSpaceDE w:val="0"/>
        <w:autoSpaceDN w:val="0"/>
        <w:adjustRightInd w:val="0"/>
        <w:spacing w:after="0"/>
        <w:jc w:val="both"/>
        <w:rPr>
          <w:rFonts w:cs="Tahoma"/>
          <w:b/>
          <w:bCs/>
          <w:sz w:val="24"/>
          <w:szCs w:val="24"/>
        </w:rPr>
      </w:pPr>
    </w:p>
    <w:p w:rsidR="006634B5" w:rsidRPr="00FD4D6A" w:rsidRDefault="006634B5" w:rsidP="00FD4D6A">
      <w:pPr>
        <w:autoSpaceDE w:val="0"/>
        <w:autoSpaceDN w:val="0"/>
        <w:adjustRightInd w:val="0"/>
        <w:spacing w:after="0"/>
        <w:jc w:val="both"/>
        <w:rPr>
          <w:rFonts w:cs="Tahoma"/>
          <w:b/>
          <w:bCs/>
          <w:sz w:val="24"/>
          <w:szCs w:val="24"/>
        </w:rPr>
      </w:pPr>
    </w:p>
    <w:p w:rsidR="006634B5" w:rsidRPr="00FD4D6A" w:rsidRDefault="006634B5" w:rsidP="00FD4D6A">
      <w:pPr>
        <w:jc w:val="both"/>
        <w:rPr>
          <w:rFonts w:cs="Tahoma"/>
          <w:sz w:val="24"/>
          <w:szCs w:val="24"/>
        </w:rPr>
      </w:pPr>
    </w:p>
    <w:p w:rsidR="006634B5" w:rsidRPr="00FD4D6A" w:rsidRDefault="006634B5" w:rsidP="00FD4D6A">
      <w:pPr>
        <w:jc w:val="both"/>
        <w:rPr>
          <w:rFonts w:cs="Tahoma"/>
          <w:sz w:val="24"/>
          <w:szCs w:val="24"/>
        </w:rPr>
      </w:pPr>
    </w:p>
    <w:sectPr w:rsidR="006634B5" w:rsidRPr="00FD4D6A" w:rsidSect="00A839D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47D"/>
    <w:multiLevelType w:val="hybridMultilevel"/>
    <w:tmpl w:val="D9C0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C604B"/>
    <w:multiLevelType w:val="multilevel"/>
    <w:tmpl w:val="E02A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767FD"/>
    <w:multiLevelType w:val="hybridMultilevel"/>
    <w:tmpl w:val="B3625B7C"/>
    <w:lvl w:ilvl="0" w:tplc="A2922D1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6A42325"/>
    <w:multiLevelType w:val="hybridMultilevel"/>
    <w:tmpl w:val="3F10CB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349290B"/>
    <w:multiLevelType w:val="hybridMultilevel"/>
    <w:tmpl w:val="A7FCF3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4E1C88"/>
    <w:multiLevelType w:val="hybridMultilevel"/>
    <w:tmpl w:val="279025D8"/>
    <w:lvl w:ilvl="0" w:tplc="902C8ED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nsid w:val="434E5081"/>
    <w:multiLevelType w:val="hybridMultilevel"/>
    <w:tmpl w:val="537E9F26"/>
    <w:lvl w:ilvl="0" w:tplc="0409000F">
      <w:start w:val="1"/>
      <w:numFmt w:val="decimal"/>
      <w:lvlText w:val="%1."/>
      <w:lvlJc w:val="left"/>
      <w:pPr>
        <w:tabs>
          <w:tab w:val="num" w:pos="2043"/>
        </w:tabs>
        <w:ind w:left="2043" w:hanging="360"/>
      </w:pPr>
      <w:rPr>
        <w:rFonts w:cs="Times New Roman"/>
      </w:rPr>
    </w:lvl>
    <w:lvl w:ilvl="1" w:tplc="04090019" w:tentative="1">
      <w:start w:val="1"/>
      <w:numFmt w:val="lowerLetter"/>
      <w:lvlText w:val="%2."/>
      <w:lvlJc w:val="left"/>
      <w:pPr>
        <w:tabs>
          <w:tab w:val="num" w:pos="2763"/>
        </w:tabs>
        <w:ind w:left="2763" w:hanging="360"/>
      </w:pPr>
      <w:rPr>
        <w:rFonts w:cs="Times New Roman"/>
      </w:rPr>
    </w:lvl>
    <w:lvl w:ilvl="2" w:tplc="0409001B" w:tentative="1">
      <w:start w:val="1"/>
      <w:numFmt w:val="lowerRoman"/>
      <w:lvlText w:val="%3."/>
      <w:lvlJc w:val="right"/>
      <w:pPr>
        <w:tabs>
          <w:tab w:val="num" w:pos="3483"/>
        </w:tabs>
        <w:ind w:left="3483" w:hanging="180"/>
      </w:pPr>
      <w:rPr>
        <w:rFonts w:cs="Times New Roman"/>
      </w:rPr>
    </w:lvl>
    <w:lvl w:ilvl="3" w:tplc="0409000F" w:tentative="1">
      <w:start w:val="1"/>
      <w:numFmt w:val="decimal"/>
      <w:lvlText w:val="%4."/>
      <w:lvlJc w:val="left"/>
      <w:pPr>
        <w:tabs>
          <w:tab w:val="num" w:pos="4203"/>
        </w:tabs>
        <w:ind w:left="4203" w:hanging="360"/>
      </w:pPr>
      <w:rPr>
        <w:rFonts w:cs="Times New Roman"/>
      </w:rPr>
    </w:lvl>
    <w:lvl w:ilvl="4" w:tplc="04090019" w:tentative="1">
      <w:start w:val="1"/>
      <w:numFmt w:val="lowerLetter"/>
      <w:lvlText w:val="%5."/>
      <w:lvlJc w:val="left"/>
      <w:pPr>
        <w:tabs>
          <w:tab w:val="num" w:pos="4923"/>
        </w:tabs>
        <w:ind w:left="4923" w:hanging="360"/>
      </w:pPr>
      <w:rPr>
        <w:rFonts w:cs="Times New Roman"/>
      </w:rPr>
    </w:lvl>
    <w:lvl w:ilvl="5" w:tplc="0409001B" w:tentative="1">
      <w:start w:val="1"/>
      <w:numFmt w:val="lowerRoman"/>
      <w:lvlText w:val="%6."/>
      <w:lvlJc w:val="right"/>
      <w:pPr>
        <w:tabs>
          <w:tab w:val="num" w:pos="5643"/>
        </w:tabs>
        <w:ind w:left="5643" w:hanging="180"/>
      </w:pPr>
      <w:rPr>
        <w:rFonts w:cs="Times New Roman"/>
      </w:rPr>
    </w:lvl>
    <w:lvl w:ilvl="6" w:tplc="0409000F" w:tentative="1">
      <w:start w:val="1"/>
      <w:numFmt w:val="decimal"/>
      <w:lvlText w:val="%7."/>
      <w:lvlJc w:val="left"/>
      <w:pPr>
        <w:tabs>
          <w:tab w:val="num" w:pos="6363"/>
        </w:tabs>
        <w:ind w:left="6363" w:hanging="360"/>
      </w:pPr>
      <w:rPr>
        <w:rFonts w:cs="Times New Roman"/>
      </w:rPr>
    </w:lvl>
    <w:lvl w:ilvl="7" w:tplc="04090019" w:tentative="1">
      <w:start w:val="1"/>
      <w:numFmt w:val="lowerLetter"/>
      <w:lvlText w:val="%8."/>
      <w:lvlJc w:val="left"/>
      <w:pPr>
        <w:tabs>
          <w:tab w:val="num" w:pos="7083"/>
        </w:tabs>
        <w:ind w:left="7083" w:hanging="360"/>
      </w:pPr>
      <w:rPr>
        <w:rFonts w:cs="Times New Roman"/>
      </w:rPr>
    </w:lvl>
    <w:lvl w:ilvl="8" w:tplc="0409001B" w:tentative="1">
      <w:start w:val="1"/>
      <w:numFmt w:val="lowerRoman"/>
      <w:lvlText w:val="%9."/>
      <w:lvlJc w:val="right"/>
      <w:pPr>
        <w:tabs>
          <w:tab w:val="num" w:pos="7803"/>
        </w:tabs>
        <w:ind w:left="7803" w:hanging="180"/>
      </w:pPr>
      <w:rPr>
        <w:rFonts w:cs="Times New Roman"/>
      </w:rPr>
    </w:lvl>
  </w:abstractNum>
  <w:abstractNum w:abstractNumId="7">
    <w:nsid w:val="7D2539DE"/>
    <w:multiLevelType w:val="hybridMultilevel"/>
    <w:tmpl w:val="CB8A1F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57C"/>
    <w:rsid w:val="00015208"/>
    <w:rsid w:val="00026D85"/>
    <w:rsid w:val="00032F50"/>
    <w:rsid w:val="000B279F"/>
    <w:rsid w:val="000C10C7"/>
    <w:rsid w:val="000D7C66"/>
    <w:rsid w:val="000E1E04"/>
    <w:rsid w:val="00105C25"/>
    <w:rsid w:val="001B0449"/>
    <w:rsid w:val="001F5C6E"/>
    <w:rsid w:val="00207DC0"/>
    <w:rsid w:val="0022677C"/>
    <w:rsid w:val="00227B79"/>
    <w:rsid w:val="00243BD5"/>
    <w:rsid w:val="00280DD8"/>
    <w:rsid w:val="00281576"/>
    <w:rsid w:val="002A0B7E"/>
    <w:rsid w:val="002B428E"/>
    <w:rsid w:val="002E0739"/>
    <w:rsid w:val="002E74D9"/>
    <w:rsid w:val="002F1F2B"/>
    <w:rsid w:val="00311B7E"/>
    <w:rsid w:val="00332121"/>
    <w:rsid w:val="003833F6"/>
    <w:rsid w:val="003F48E5"/>
    <w:rsid w:val="004301CC"/>
    <w:rsid w:val="00451B63"/>
    <w:rsid w:val="00460548"/>
    <w:rsid w:val="00466E6C"/>
    <w:rsid w:val="00485899"/>
    <w:rsid w:val="0049283C"/>
    <w:rsid w:val="004A34BD"/>
    <w:rsid w:val="00555D66"/>
    <w:rsid w:val="00585F5B"/>
    <w:rsid w:val="005B057C"/>
    <w:rsid w:val="005B4DD2"/>
    <w:rsid w:val="006059D8"/>
    <w:rsid w:val="00616675"/>
    <w:rsid w:val="00641EDB"/>
    <w:rsid w:val="006634B5"/>
    <w:rsid w:val="0067365A"/>
    <w:rsid w:val="0068112A"/>
    <w:rsid w:val="00695D1A"/>
    <w:rsid w:val="006E4ADB"/>
    <w:rsid w:val="006F4AC3"/>
    <w:rsid w:val="00745CCC"/>
    <w:rsid w:val="007B6880"/>
    <w:rsid w:val="00801854"/>
    <w:rsid w:val="00801C84"/>
    <w:rsid w:val="00836373"/>
    <w:rsid w:val="00861756"/>
    <w:rsid w:val="00877CE1"/>
    <w:rsid w:val="008B521D"/>
    <w:rsid w:val="008D5FB1"/>
    <w:rsid w:val="008F2986"/>
    <w:rsid w:val="00902621"/>
    <w:rsid w:val="00914394"/>
    <w:rsid w:val="00931B4F"/>
    <w:rsid w:val="009D0150"/>
    <w:rsid w:val="009E2286"/>
    <w:rsid w:val="00A45A98"/>
    <w:rsid w:val="00A47AC2"/>
    <w:rsid w:val="00A52084"/>
    <w:rsid w:val="00A523DE"/>
    <w:rsid w:val="00A5549F"/>
    <w:rsid w:val="00A6293B"/>
    <w:rsid w:val="00A839D1"/>
    <w:rsid w:val="00AB0306"/>
    <w:rsid w:val="00AB4A2B"/>
    <w:rsid w:val="00B43EBE"/>
    <w:rsid w:val="00B55F24"/>
    <w:rsid w:val="00B7010C"/>
    <w:rsid w:val="00BD3D67"/>
    <w:rsid w:val="00C45A30"/>
    <w:rsid w:val="00CC6667"/>
    <w:rsid w:val="00CE76AB"/>
    <w:rsid w:val="00D32D4A"/>
    <w:rsid w:val="00D628D5"/>
    <w:rsid w:val="00D64264"/>
    <w:rsid w:val="00D67F54"/>
    <w:rsid w:val="00D9099F"/>
    <w:rsid w:val="00DA41CE"/>
    <w:rsid w:val="00DE5C49"/>
    <w:rsid w:val="00E1149C"/>
    <w:rsid w:val="00E226E1"/>
    <w:rsid w:val="00E3373E"/>
    <w:rsid w:val="00E35383"/>
    <w:rsid w:val="00E62DCF"/>
    <w:rsid w:val="00E70361"/>
    <w:rsid w:val="00E73FF0"/>
    <w:rsid w:val="00E9106E"/>
    <w:rsid w:val="00F11DBA"/>
    <w:rsid w:val="00F27A35"/>
    <w:rsid w:val="00F343E3"/>
    <w:rsid w:val="00F70B2A"/>
    <w:rsid w:val="00F807AF"/>
    <w:rsid w:val="00F86382"/>
    <w:rsid w:val="00F90C31"/>
    <w:rsid w:val="00FB1CDC"/>
    <w:rsid w:val="00FD4D6A"/>
    <w:rsid w:val="00FE3C20"/>
    <w:rsid w:val="00FE5A23"/>
    <w:rsid w:val="00FE6F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7C"/>
    <w:pPr>
      <w:spacing w:after="200" w:line="276" w:lineRule="auto"/>
    </w:pPr>
  </w:style>
  <w:style w:type="paragraph" w:styleId="Heading1">
    <w:name w:val="heading 1"/>
    <w:basedOn w:val="Normal"/>
    <w:link w:val="Heading1Char"/>
    <w:uiPriority w:val="99"/>
    <w:qFormat/>
    <w:rsid w:val="005B0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57C"/>
    <w:rPr>
      <w:rFonts w:ascii="Times New Roman" w:hAnsi="Times New Roman" w:cs="Times New Roman"/>
      <w:b/>
      <w:bCs/>
      <w:kern w:val="36"/>
      <w:sz w:val="48"/>
      <w:szCs w:val="48"/>
    </w:rPr>
  </w:style>
  <w:style w:type="paragraph" w:styleId="NormalWeb">
    <w:name w:val="Normal (Web)"/>
    <w:basedOn w:val="Normal"/>
    <w:uiPriority w:val="99"/>
    <w:rsid w:val="005B057C"/>
    <w:pPr>
      <w:spacing w:before="100" w:beforeAutospacing="1" w:after="100" w:afterAutospacing="1" w:line="240" w:lineRule="auto"/>
    </w:pPr>
    <w:rPr>
      <w:rFonts w:ascii="Times New Roman" w:eastAsia="Times New Roman" w:hAnsi="Times New Roman" w:cs="Times New Roman"/>
      <w:sz w:val="21"/>
      <w:szCs w:val="21"/>
    </w:rPr>
  </w:style>
  <w:style w:type="character" w:styleId="Hyperlink">
    <w:name w:val="Hyperlink"/>
    <w:basedOn w:val="DefaultParagraphFont"/>
    <w:uiPriority w:val="99"/>
    <w:rsid w:val="005B057C"/>
    <w:rPr>
      <w:rFonts w:cs="Times New Roman"/>
      <w:color w:val="0000FF"/>
      <w:u w:val="single"/>
    </w:rPr>
  </w:style>
  <w:style w:type="character" w:styleId="HTMLCite">
    <w:name w:val="HTML Cite"/>
    <w:basedOn w:val="DefaultParagraphFont"/>
    <w:uiPriority w:val="99"/>
    <w:rsid w:val="005B057C"/>
    <w:rPr>
      <w:rFonts w:cs="Times New Roman"/>
    </w:rPr>
  </w:style>
  <w:style w:type="paragraph" w:customStyle="1" w:styleId="N14pt">
    <w:name w:val="N+14pt"/>
    <w:basedOn w:val="Normal"/>
    <w:link w:val="N14ptChar"/>
    <w:uiPriority w:val="99"/>
    <w:rsid w:val="005B057C"/>
    <w:pPr>
      <w:bidi/>
      <w:spacing w:after="0" w:line="240" w:lineRule="auto"/>
      <w:jc w:val="right"/>
    </w:pPr>
    <w:rPr>
      <w:rFonts w:ascii="Tahoma" w:eastAsia="Times New Roman" w:hAnsi="Tahoma" w:cs="Tahoma"/>
      <w:b/>
      <w:bCs/>
      <w:i/>
      <w:iCs/>
      <w:sz w:val="28"/>
      <w:szCs w:val="28"/>
    </w:rPr>
  </w:style>
  <w:style w:type="character" w:customStyle="1" w:styleId="N14ptChar">
    <w:name w:val="N+14pt Char"/>
    <w:basedOn w:val="DefaultParagraphFont"/>
    <w:link w:val="N14pt"/>
    <w:uiPriority w:val="99"/>
    <w:locked/>
    <w:rsid w:val="005B057C"/>
    <w:rPr>
      <w:rFonts w:ascii="Tahoma" w:hAnsi="Tahoma" w:cs="Tahoma"/>
      <w:b/>
      <w:bCs/>
      <w:i/>
      <w:iCs/>
      <w:sz w:val="28"/>
      <w:szCs w:val="28"/>
    </w:rPr>
  </w:style>
  <w:style w:type="paragraph" w:customStyle="1" w:styleId="authlist">
    <w:name w:val="auth_list"/>
    <w:basedOn w:val="Normal"/>
    <w:uiPriority w:val="99"/>
    <w:rsid w:val="005B0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5B057C"/>
    <w:rPr>
      <w:rFonts w:cs="Times New Roman"/>
      <w:b/>
      <w:bCs/>
    </w:rPr>
  </w:style>
  <w:style w:type="character" w:customStyle="1" w:styleId="ref-journal">
    <w:name w:val="ref-journal"/>
    <w:basedOn w:val="DefaultParagraphFont"/>
    <w:uiPriority w:val="99"/>
    <w:rsid w:val="005B057C"/>
    <w:rPr>
      <w:rFonts w:ascii="Times New Roman" w:hAnsi="Times New Roman" w:cs="Times New Roman"/>
    </w:rPr>
  </w:style>
  <w:style w:type="character" w:customStyle="1" w:styleId="ref-vol">
    <w:name w:val="ref-vol"/>
    <w:basedOn w:val="DefaultParagraphFont"/>
    <w:uiPriority w:val="99"/>
    <w:rsid w:val="005B057C"/>
    <w:rPr>
      <w:rFonts w:ascii="Times New Roman" w:hAnsi="Times New Roman" w:cs="Times New Roman"/>
    </w:rPr>
  </w:style>
  <w:style w:type="character" w:customStyle="1" w:styleId="citation-abbreviation2">
    <w:name w:val="citation-abbreviation2"/>
    <w:basedOn w:val="DefaultParagraphFont"/>
    <w:uiPriority w:val="99"/>
    <w:rsid w:val="005B057C"/>
    <w:rPr>
      <w:rFonts w:ascii="Times New Roman" w:hAnsi="Times New Roman" w:cs="Times New Roman"/>
    </w:rPr>
  </w:style>
  <w:style w:type="character" w:customStyle="1" w:styleId="citation-publication-date">
    <w:name w:val="citation-publication-date"/>
    <w:basedOn w:val="DefaultParagraphFont"/>
    <w:uiPriority w:val="99"/>
    <w:rsid w:val="005B057C"/>
    <w:rPr>
      <w:rFonts w:ascii="Times New Roman" w:hAnsi="Times New Roman" w:cs="Times New Roman"/>
    </w:rPr>
  </w:style>
  <w:style w:type="character" w:customStyle="1" w:styleId="citation-volume">
    <w:name w:val="citation-volume"/>
    <w:basedOn w:val="DefaultParagraphFont"/>
    <w:uiPriority w:val="99"/>
    <w:rsid w:val="005B057C"/>
    <w:rPr>
      <w:rFonts w:ascii="Times New Roman" w:hAnsi="Times New Roman" w:cs="Times New Roman"/>
    </w:rPr>
  </w:style>
  <w:style w:type="character" w:customStyle="1" w:styleId="citation-issue">
    <w:name w:val="citation-issue"/>
    <w:basedOn w:val="DefaultParagraphFont"/>
    <w:uiPriority w:val="99"/>
    <w:rsid w:val="005B057C"/>
    <w:rPr>
      <w:rFonts w:ascii="Times New Roman" w:hAnsi="Times New Roman" w:cs="Times New Roman"/>
    </w:rPr>
  </w:style>
  <w:style w:type="character" w:customStyle="1" w:styleId="citation-flpages">
    <w:name w:val="citation-flpages"/>
    <w:basedOn w:val="DefaultParagraphFont"/>
    <w:uiPriority w:val="99"/>
    <w:rsid w:val="005B057C"/>
    <w:rPr>
      <w:rFonts w:ascii="Times New Roman" w:hAnsi="Times New Roman" w:cs="Times New Roman"/>
    </w:rPr>
  </w:style>
  <w:style w:type="table" w:styleId="TableGrid">
    <w:name w:val="Table Grid"/>
    <w:basedOn w:val="TableNormal"/>
    <w:uiPriority w:val="99"/>
    <w:rsid w:val="00641E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27B79"/>
    <w:pPr>
      <w:ind w:left="720"/>
      <w:contextualSpacing/>
    </w:pPr>
  </w:style>
  <w:style w:type="character" w:styleId="Emphasis">
    <w:name w:val="Emphasis"/>
    <w:basedOn w:val="DefaultParagraphFont"/>
    <w:uiPriority w:val="99"/>
    <w:qFormat/>
    <w:rsid w:val="009E2286"/>
    <w:rPr>
      <w:rFonts w:cs="Times New Roman"/>
      <w:i/>
      <w:iCs/>
    </w:rPr>
  </w:style>
  <w:style w:type="character" w:customStyle="1" w:styleId="ref-label">
    <w:name w:val="ref-label"/>
    <w:basedOn w:val="DefaultParagraphFont"/>
    <w:uiPriority w:val="99"/>
    <w:rsid w:val="009E2286"/>
    <w:rPr>
      <w:rFonts w:cs="Times New Roman"/>
      <w:i/>
      <w:iCs/>
    </w:rPr>
  </w:style>
  <w:style w:type="character" w:customStyle="1" w:styleId="citation">
    <w:name w:val="citation"/>
    <w:basedOn w:val="DefaultParagraphFont"/>
    <w:uiPriority w:val="99"/>
    <w:rsid w:val="009E2286"/>
    <w:rPr>
      <w:rFonts w:cs="Times New Roman"/>
    </w:rPr>
  </w:style>
  <w:style w:type="character" w:customStyle="1" w:styleId="ref-journal1">
    <w:name w:val="ref-journal1"/>
    <w:basedOn w:val="DefaultParagraphFont"/>
    <w:uiPriority w:val="99"/>
    <w:rsid w:val="009E2286"/>
    <w:rPr>
      <w:rFonts w:cs="Times New Roman"/>
      <w:i/>
      <w:iCs/>
    </w:rPr>
  </w:style>
</w:styles>
</file>

<file path=word/webSettings.xml><?xml version="1.0" encoding="utf-8"?>
<w:webSettings xmlns:r="http://schemas.openxmlformats.org/officeDocument/2006/relationships" xmlns:w="http://schemas.openxmlformats.org/wordprocessingml/2006/main">
  <w:divs>
    <w:div w:id="654995326">
      <w:marLeft w:val="0"/>
      <w:marRight w:val="0"/>
      <w:marTop w:val="0"/>
      <w:marBottom w:val="0"/>
      <w:divBdr>
        <w:top w:val="none" w:sz="0" w:space="0" w:color="auto"/>
        <w:left w:val="none" w:sz="0" w:space="0" w:color="auto"/>
        <w:bottom w:val="none" w:sz="0" w:space="0" w:color="auto"/>
        <w:right w:val="none" w:sz="0" w:space="0" w:color="auto"/>
      </w:divBdr>
      <w:divsChild>
        <w:div w:id="654995323">
          <w:marLeft w:val="0"/>
          <w:marRight w:val="0"/>
          <w:marTop w:val="0"/>
          <w:marBottom w:val="0"/>
          <w:divBdr>
            <w:top w:val="none" w:sz="0" w:space="0" w:color="auto"/>
            <w:left w:val="none" w:sz="0" w:space="0" w:color="auto"/>
            <w:bottom w:val="none" w:sz="0" w:space="0" w:color="auto"/>
            <w:right w:val="none" w:sz="0" w:space="0" w:color="auto"/>
          </w:divBdr>
          <w:divsChild>
            <w:div w:id="654995325">
              <w:marLeft w:val="0"/>
              <w:marRight w:val="0"/>
              <w:marTop w:val="0"/>
              <w:marBottom w:val="0"/>
              <w:divBdr>
                <w:top w:val="none" w:sz="0" w:space="0" w:color="auto"/>
                <w:left w:val="none" w:sz="0" w:space="0" w:color="auto"/>
                <w:bottom w:val="none" w:sz="0" w:space="0" w:color="auto"/>
                <w:right w:val="none" w:sz="0" w:space="0" w:color="auto"/>
              </w:divBdr>
              <w:divsChild>
                <w:div w:id="654995322">
                  <w:marLeft w:val="2940"/>
                  <w:marRight w:val="150"/>
                  <w:marTop w:val="0"/>
                  <w:marBottom w:val="0"/>
                  <w:divBdr>
                    <w:top w:val="single" w:sz="2" w:space="0" w:color="334D57"/>
                    <w:left w:val="single" w:sz="2" w:space="12" w:color="334D57"/>
                    <w:bottom w:val="single" w:sz="2" w:space="12" w:color="334D57"/>
                    <w:right w:val="single" w:sz="2" w:space="12" w:color="334D57"/>
                  </w:divBdr>
                  <w:divsChild>
                    <w:div w:id="654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arrhea" TargetMode="External"/><Relationship Id="rId13" Type="http://schemas.openxmlformats.org/officeDocument/2006/relationships/hyperlink" Target="http://www.ncbi.nlm.nih.gov/sites/entrez?Db=pubmed&amp;Cmd=Search&amp;Term=%22Moodie%20SJ%22%5BAuthor%5D&amp;itool=EntrezSystem2.PEntrez.Pubmed.Pubmed_ResultsPanel.Pubmed_DiscoveryPanel.Pubmed_RVAbstractPlus" TargetMode="External"/><Relationship Id="rId18" Type="http://schemas.openxmlformats.org/officeDocument/2006/relationships/hyperlink" Target="http://www.ncbi.nlm.nih.gov/pubmed?term=%22Smout%20AJ%22%5BAuthor%5D&amp;itool=EntrezSystem2.PEntrez.Pubmed.Pubmed_ResultsPanel.Pubmed_RVAbstract" TargetMode="External"/><Relationship Id="rId26" Type="http://schemas.openxmlformats.org/officeDocument/2006/relationships/hyperlink" Target="http://www.ncbi.nlm.nih.gov/pubmed?term=%22Hey%20H%22%5BAuthor%5D&amp;itool=EntrezSystem2.PEntrez.Pubmed.Pubmed_ResultsPanel.Pubmed_RVAbstract" TargetMode="External"/><Relationship Id="rId39" Type="http://schemas.openxmlformats.org/officeDocument/2006/relationships/hyperlink" Target="javascript:AL_get(this,%20'jour',%20'Dig%20Dis.');" TargetMode="External"/><Relationship Id="rId3" Type="http://schemas.openxmlformats.org/officeDocument/2006/relationships/settings" Target="settings.xml"/><Relationship Id="rId21" Type="http://schemas.openxmlformats.org/officeDocument/2006/relationships/hyperlink" Target="http://www.ncbi.nlm.nih.gov/pubmed?term=%22Nielsen%20JN%22%5BAuthor%5D&amp;itool=EntrezSystem2.PEntrez.Pubmed.Pubmed_ResultsPanel.Pubmed_RVAbstract" TargetMode="External"/><Relationship Id="rId34" Type="http://schemas.openxmlformats.org/officeDocument/2006/relationships/hyperlink" Target="http://www.ncbi.nlm.nih.gov/pubmed?term=%22Vatn%20MH%22%5BAuthor%5D&amp;itool=EntrezSystem2.PEntrez.Pubmed.Pubmed_ResultsPanel.Pubmed_RVAbstract" TargetMode="External"/><Relationship Id="rId42" Type="http://schemas.openxmlformats.org/officeDocument/2006/relationships/fontTable" Target="fontTable.xml"/><Relationship Id="rId7" Type="http://schemas.openxmlformats.org/officeDocument/2006/relationships/hyperlink" Target="http://en.wikipedia.org/wiki/Abdominal_pain" TargetMode="External"/><Relationship Id="rId12" Type="http://schemas.openxmlformats.org/officeDocument/2006/relationships/hyperlink" Target="http://www.ncbi.nlm.nih.gov/pubmed?term=%22Peterson%20W%22%5BAuthor%5D&amp;itool=EntrezSystem2.PEntrez.Pubmed.Pubmed_ResultsPanel.Pubmed_RVAbstract" TargetMode="External"/><Relationship Id="rId17" Type="http://schemas.openxmlformats.org/officeDocument/2006/relationships/hyperlink" Target="http://www.ncbi.nlm.nih.gov/pubmed?term=%22van%20Berge%20Henegouwen%20GP%22%5BAuthor%5D&amp;itool=EntrezSystem2.PEntrez.Pubmed.Pubmed_ResultsPanel.Pubmed_RVAbstract" TargetMode="External"/><Relationship Id="rId25" Type="http://schemas.openxmlformats.org/officeDocument/2006/relationships/hyperlink" Target="http://www.ncbi.nlm.nih.gov/pubmed?term=%22Munkholm%20P%22%5BAuthor%5D&amp;itool=EntrezSystem2.PEntrez.Pubmed.Pubmed_ResultsPanel.Pubmed_RVAbstract" TargetMode="External"/><Relationship Id="rId33" Type="http://schemas.openxmlformats.org/officeDocument/2006/relationships/hyperlink" Target="http://www.ncbi.nlm.nih.gov/pubmed?term=%22Sauar%20J%22%5BAuthor%5D&amp;itool=EntrezSystem2.PEntrez.Pubmed.Pubmed_ResultsPanel.Pubmed_RVAbstract" TargetMode="External"/><Relationship Id="rId38" Type="http://schemas.openxmlformats.org/officeDocument/2006/relationships/hyperlink" Target="http://www.ncbi.nlm.nih.gov/pubmed?term=%22Dietrich%20CF%22%5BAuthor%5D&amp;itool=EntrezSystem2.PEntrez.Pubmed.Pubmed_ResultsPanel.Pubmed_RVAbstract" TargetMode="External"/><Relationship Id="rId2" Type="http://schemas.openxmlformats.org/officeDocument/2006/relationships/styles" Target="styles.xml"/><Relationship Id="rId16" Type="http://schemas.openxmlformats.org/officeDocument/2006/relationships/hyperlink" Target="http://www.ncbi.nlm.nih.gov/pubmed?term=%22Whorwell%20PJ%22%5BAuthor%5D&amp;itool=EntrezSystem2.PEntrez.Pubmed.Pubmed_ResultsPanel.Pubmed_RVAbstract" TargetMode="External"/><Relationship Id="rId20" Type="http://schemas.openxmlformats.org/officeDocument/2006/relationships/hyperlink" Target="http://www.ncbi.nlm.nih.gov/pubmed?term=%22Larsen%20TB%22%5BAuthor%5D&amp;itool=EntrezSystem2.PEntrez.Pubmed.Pubmed_ResultsPanel.Pubmed_RVAbstract" TargetMode="External"/><Relationship Id="rId29" Type="http://schemas.openxmlformats.org/officeDocument/2006/relationships/hyperlink" Target="http://www.ncbi.nlm.nih.gov/pubmed?term=%22Henriksen%20M%22%5BAuthor%5D&amp;itool=EntrezSystem2.PEntrez.Pubmed.Pubmed_ResultsPanel.Pubmed_RVAbstract" TargetMode="External"/><Relationship Id="rId41" Type="http://schemas.openxmlformats.org/officeDocument/2006/relationships/hyperlink" Target="http://www.ncbi.nlm.nih.gov/pubmed?term=%22Llach%20J%22%5BAuthor%5D&amp;itool=EntrezSystem2.PEntrez.Pubmed.Pubmed_ResultsPanel.Pubmed_RVAbstract" TargetMode="External"/><Relationship Id="rId1" Type="http://schemas.openxmlformats.org/officeDocument/2006/relationships/numbering" Target="numbering.xml"/><Relationship Id="rId6" Type="http://schemas.openxmlformats.org/officeDocument/2006/relationships/hyperlink" Target="http://en.wikipedia.org/wiki/Functional_bowel_disorder" TargetMode="External"/><Relationship Id="rId11" Type="http://schemas.openxmlformats.org/officeDocument/2006/relationships/hyperlink" Target="http://www.ncbi.nlm.nih.gov/pubmed?term=%22Olden%20K%22%5BAuthor%5D&amp;itool=EntrezSystem2.PEntrez.Pubmed.Pubmed_ResultsPanel.Pubmed_RVAbstract" TargetMode="External"/><Relationship Id="rId24" Type="http://schemas.openxmlformats.org/officeDocument/2006/relationships/hyperlink" Target="http://www.ncbi.nlm.nih.gov/pubmed?term=%22Brandslund%20I%22%5BAuthor%5D&amp;itool=EntrezSystem2.PEntrez.Pubmed.Pubmed_ResultsPanel.Pubmed_RVAbstract" TargetMode="External"/><Relationship Id="rId32" Type="http://schemas.openxmlformats.org/officeDocument/2006/relationships/hyperlink" Target="http://www.ncbi.nlm.nih.gov/pubmed?term=%22Stray%20N%22%5BAuthor%5D&amp;itool=EntrezSystem2.PEntrez.Pubmed.Pubmed_ResultsPanel.Pubmed_RVAbstract" TargetMode="External"/><Relationship Id="rId37" Type="http://schemas.openxmlformats.org/officeDocument/2006/relationships/hyperlink" Target="http://www.ncbi.nlm.nih.gov/pubmed?term=%22Dignass%20AU%22%5BAuthor%5D&amp;itool=EntrezSystem2.PEntrez.Pubmed.Pubmed_ResultsPanel.Pubmed_RVAbstract" TargetMode="External"/><Relationship Id="rId40" Type="http://schemas.openxmlformats.org/officeDocument/2006/relationships/hyperlink" Target="http://www.ncbi.nlm.nih.gov/pubmed?term=%22Gilabert%20R%22%5BAuthor%5D&amp;itool=EntrezSystem2.PEntrez.Pubmed.Pubmed_ResultsPanel.Pubmed_RVAbstract" TargetMode="External"/><Relationship Id="rId5" Type="http://schemas.openxmlformats.org/officeDocument/2006/relationships/hyperlink" Target="mailto:sh_shabana@hotmail.com" TargetMode="External"/><Relationship Id="rId15" Type="http://schemas.openxmlformats.org/officeDocument/2006/relationships/hyperlink" Target="http://www.ncbi.nlm.nih.gov/sites/entrez?Db=pubmed&amp;Cmd=Search&amp;Term=%22Theodossi%20A%22%5BAuthor%5D&amp;itool=EntrezSystem2.PEntrez.Pubmed.Pubmed_ResultsPanel.Pubmed_DiscoveryPanel.Pubmed_RVAbstractPlus" TargetMode="External"/><Relationship Id="rId23" Type="http://schemas.openxmlformats.org/officeDocument/2006/relationships/hyperlink" Target="http://www.ncbi.nlm.nih.gov/pubmed?term=%22Lund%20ED%22%5BAuthor%5D&amp;itool=EntrezSystem2.PEntrez.Pubmed.Pubmed_ResultsPanel.Pubmed_RVAbstract" TargetMode="External"/><Relationship Id="rId28" Type="http://schemas.openxmlformats.org/officeDocument/2006/relationships/hyperlink" Target="http://www.ncbi.nlm.nih.gov/pubmed?term=%22Nye%20FJ%22%5BAuthor%5D&amp;itool=EntrezSystem2.PEntrez.Pubmed.Pubmed_ResultsPanel.Pubmed_RVAbstract" TargetMode="External"/><Relationship Id="rId36" Type="http://schemas.openxmlformats.org/officeDocument/2006/relationships/hyperlink" Target="http://www.ncbi.nlm.nih.gov/pubmed?term=%22Wiedenmann%20B%22%5BAuthor%5D&amp;itool=EntrezSystem2.PEntrez.Pubmed.Pubmed_ResultsPanel.Pubmed_RVAbstract" TargetMode="External"/><Relationship Id="rId10" Type="http://schemas.openxmlformats.org/officeDocument/2006/relationships/hyperlink" Target="http://www.ncbi.nlm.nih.gov/pubmed?term=%22Locke%20GR%22%5BAuthor%5D&amp;itool=EntrezSystem2.PEntrez.Pubmed.Pubmed_ResultsPanel.Pubmed_RVAbstract" TargetMode="External"/><Relationship Id="rId19" Type="http://schemas.openxmlformats.org/officeDocument/2006/relationships/hyperlink" Target="http://www.ncbi.nlm.nih.gov/pubmed?term=%22Weiss%20G%22%5BAuthor%5D&amp;itool=EntrezSystem2.PEntrez.Pubmed.Pubmed_ResultsPanel.Pubmed_RVAbstract" TargetMode="External"/><Relationship Id="rId31" Type="http://schemas.openxmlformats.org/officeDocument/2006/relationships/hyperlink" Target="http://www.ncbi.nlm.nih.gov/pubmed?term=%22Lygren%20I%22%5BAuthor%5D&amp;itool=EntrezSystem2.PEntrez.Pubmed.Pubmed_ResultsPanel.Pubmed_RVAbstract" TargetMode="External"/><Relationship Id="rId4" Type="http://schemas.openxmlformats.org/officeDocument/2006/relationships/webSettings" Target="webSettings.xml"/><Relationship Id="rId9" Type="http://schemas.openxmlformats.org/officeDocument/2006/relationships/hyperlink" Target="http://en.wikipedia.org/wiki/Constipation" TargetMode="External"/><Relationship Id="rId14" Type="http://schemas.openxmlformats.org/officeDocument/2006/relationships/hyperlink" Target="http://www.ncbi.nlm.nih.gov/sites/entrez?Db=pubmed&amp;Cmd=Search&amp;Term=%22Risley%20P%22%5BAuthor%5D&amp;itool=EntrezSystem2.PEntrez.Pubmed.Pubmed_ResultsPanel.Pubmed_DiscoveryPanel.Pubmed_RVAbstractPlus" TargetMode="External"/><Relationship Id="rId22" Type="http://schemas.openxmlformats.org/officeDocument/2006/relationships/hyperlink" Target="http://www.ncbi.nlm.nih.gov/pubmed?term=%22Fredholm%20L%22%5BAuthor%5D&amp;itool=EntrezSystem2.PEntrez.Pubmed.Pubmed_ResultsPanel.Pubmed_RVAbstract" TargetMode="External"/><Relationship Id="rId27" Type="http://schemas.openxmlformats.org/officeDocument/2006/relationships/hyperlink" Target="javascript:AL_get(this,%20'jour',%20'Pathophysiol%20Haemost%20Thromb.');" TargetMode="External"/><Relationship Id="rId30" Type="http://schemas.openxmlformats.org/officeDocument/2006/relationships/hyperlink" Target="http://www.ncbi.nlm.nih.gov/pubmed?term=%22Jahnsen%20J%22%5BAuthor%5D&amp;itool=EntrezSystem2.PEntrez.Pubmed.Pubmed_ResultsPanel.Pubmed_RVAbstract" TargetMode="External"/><Relationship Id="rId35" Type="http://schemas.openxmlformats.org/officeDocument/2006/relationships/hyperlink" Target="http://www.ncbi.nlm.nih.gov/pubmed?term=%22Adler%20A%22%5BAuthor%5D&amp;itool=EntrezSystem2.PEntrez.Pubmed.Pubmed_ResultsPanel.Pubmed_RVAbstrac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796</TotalTime>
  <Pages>15</Pages>
  <Words>4656</Words>
  <Characters>26542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dc:creator>
  <cp:keywords/>
  <dc:description/>
  <cp:lastModifiedBy>User</cp:lastModifiedBy>
  <cp:revision>39</cp:revision>
  <dcterms:created xsi:type="dcterms:W3CDTF">2010-01-11T10:55:00Z</dcterms:created>
  <dcterms:modified xsi:type="dcterms:W3CDTF">2010-02-24T20:09:00Z</dcterms:modified>
</cp:coreProperties>
</file>