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56" w:rsidRDefault="00C15A1B" w:rsidP="00137CDE">
      <w:pPr>
        <w:jc w:val="center"/>
        <w:rPr>
          <w:rFonts w:ascii="Times New Roman" w:hAnsi="Times New Roman" w:cs="Times New Roman"/>
          <w:b/>
          <w:sz w:val="24"/>
          <w:szCs w:val="24"/>
        </w:rPr>
      </w:pPr>
      <w:r>
        <w:rPr>
          <w:rFonts w:ascii="Times New Roman" w:hAnsi="Times New Roman" w:cs="Times New Roman"/>
          <w:b/>
          <w:sz w:val="24"/>
          <w:szCs w:val="24"/>
        </w:rPr>
        <w:t>ASSESSMENT OF AQUIFER C</w:t>
      </w:r>
      <w:r w:rsidR="00CE4AA4" w:rsidRPr="00CE4AA4">
        <w:rPr>
          <w:rFonts w:ascii="Times New Roman" w:hAnsi="Times New Roman" w:cs="Times New Roman"/>
          <w:b/>
          <w:sz w:val="24"/>
          <w:szCs w:val="24"/>
        </w:rPr>
        <w:t xml:space="preserve">HARACTERISTICS </w:t>
      </w:r>
      <w:r w:rsidR="00AE291A">
        <w:rPr>
          <w:rFonts w:ascii="Times New Roman" w:hAnsi="Times New Roman" w:cs="Times New Roman"/>
          <w:b/>
          <w:sz w:val="24"/>
          <w:szCs w:val="24"/>
        </w:rPr>
        <w:t>IN RELATION TO RURAL WATER SUPPLY</w:t>
      </w:r>
      <w:r w:rsidR="00CE4AA4" w:rsidRPr="00CE4AA4">
        <w:rPr>
          <w:rFonts w:ascii="Times New Roman" w:hAnsi="Times New Roman" w:cs="Times New Roman"/>
          <w:b/>
          <w:sz w:val="24"/>
          <w:szCs w:val="24"/>
        </w:rPr>
        <w:t xml:space="preserve"> IN </w:t>
      </w:r>
      <w:r w:rsidR="005B7EEF">
        <w:rPr>
          <w:rFonts w:ascii="Times New Roman" w:hAnsi="Times New Roman" w:cs="Times New Roman"/>
          <w:b/>
          <w:sz w:val="24"/>
          <w:szCs w:val="24"/>
        </w:rPr>
        <w:t xml:space="preserve">PART OF </w:t>
      </w:r>
      <w:r w:rsidR="00CE4AA4" w:rsidRPr="00CE4AA4">
        <w:rPr>
          <w:rFonts w:ascii="Times New Roman" w:hAnsi="Times New Roman" w:cs="Times New Roman"/>
          <w:b/>
          <w:sz w:val="24"/>
          <w:szCs w:val="24"/>
        </w:rPr>
        <w:t>NORTHERN NIGERIA</w:t>
      </w:r>
      <w:r w:rsidR="0018325C">
        <w:rPr>
          <w:rFonts w:ascii="Times New Roman" w:hAnsi="Times New Roman" w:cs="Times New Roman"/>
          <w:b/>
          <w:sz w:val="24"/>
          <w:szCs w:val="24"/>
        </w:rPr>
        <w:t xml:space="preserve"> </w:t>
      </w:r>
    </w:p>
    <w:p w:rsidR="00137CDE" w:rsidRDefault="00137CDE" w:rsidP="00137CDE">
      <w:pPr>
        <w:jc w:val="center"/>
        <w:rPr>
          <w:rFonts w:ascii="Times New Roman" w:hAnsi="Times New Roman" w:cs="Times New Roman"/>
          <w:b/>
          <w:sz w:val="24"/>
          <w:szCs w:val="24"/>
        </w:rPr>
      </w:pPr>
    </w:p>
    <w:p w:rsidR="001B7E1B" w:rsidRDefault="00CE4AA4" w:rsidP="001B7E1B">
      <w:pPr>
        <w:spacing w:after="0"/>
        <w:jc w:val="center"/>
        <w:rPr>
          <w:rFonts w:ascii="Times New Roman" w:hAnsi="Times New Roman" w:cs="Times New Roman"/>
          <w:b/>
          <w:sz w:val="24"/>
          <w:szCs w:val="24"/>
        </w:rPr>
      </w:pPr>
      <w:r w:rsidRPr="00027BF9">
        <w:rPr>
          <w:rFonts w:ascii="Times New Roman" w:hAnsi="Times New Roman" w:cs="Times New Roman"/>
          <w:b/>
          <w:sz w:val="24"/>
          <w:szCs w:val="24"/>
        </w:rPr>
        <w:t>I</w:t>
      </w:r>
      <w:r w:rsidR="001B7E1B">
        <w:rPr>
          <w:rFonts w:ascii="Times New Roman" w:hAnsi="Times New Roman" w:cs="Times New Roman"/>
          <w:b/>
          <w:sz w:val="24"/>
          <w:szCs w:val="24"/>
        </w:rPr>
        <w:t xml:space="preserve">saac </w:t>
      </w:r>
      <w:proofErr w:type="spellStart"/>
      <w:r w:rsidRPr="00027BF9">
        <w:rPr>
          <w:rFonts w:ascii="Times New Roman" w:hAnsi="Times New Roman" w:cs="Times New Roman"/>
          <w:b/>
          <w:sz w:val="24"/>
          <w:szCs w:val="24"/>
        </w:rPr>
        <w:t>O</w:t>
      </w:r>
      <w:r w:rsidR="001B7E1B">
        <w:rPr>
          <w:rFonts w:ascii="Times New Roman" w:hAnsi="Times New Roman" w:cs="Times New Roman"/>
          <w:b/>
          <w:sz w:val="24"/>
          <w:szCs w:val="24"/>
        </w:rPr>
        <w:t>ladejo</w:t>
      </w:r>
      <w:proofErr w:type="spellEnd"/>
      <w:r w:rsidRPr="00027BF9">
        <w:rPr>
          <w:rFonts w:ascii="Times New Roman" w:hAnsi="Times New Roman" w:cs="Times New Roman"/>
          <w:b/>
          <w:sz w:val="24"/>
          <w:szCs w:val="24"/>
        </w:rPr>
        <w:t xml:space="preserve"> </w:t>
      </w:r>
      <w:proofErr w:type="spellStart"/>
      <w:r w:rsidR="001B7E1B" w:rsidRPr="00027BF9">
        <w:rPr>
          <w:rFonts w:ascii="Times New Roman" w:hAnsi="Times New Roman" w:cs="Times New Roman"/>
          <w:b/>
          <w:sz w:val="24"/>
          <w:szCs w:val="24"/>
        </w:rPr>
        <w:t>Olaniyan</w:t>
      </w:r>
      <w:proofErr w:type="spellEnd"/>
      <w:r w:rsidRPr="00027BF9">
        <w:rPr>
          <w:rFonts w:ascii="Times New Roman" w:hAnsi="Times New Roman" w:cs="Times New Roman"/>
          <w:b/>
          <w:sz w:val="24"/>
          <w:szCs w:val="24"/>
        </w:rPr>
        <w:t>, J</w:t>
      </w:r>
      <w:r w:rsidR="001B7E1B">
        <w:rPr>
          <w:rFonts w:ascii="Times New Roman" w:hAnsi="Times New Roman" w:cs="Times New Roman"/>
          <w:b/>
          <w:sz w:val="24"/>
          <w:szCs w:val="24"/>
        </w:rPr>
        <w:t xml:space="preserve">onah </w:t>
      </w:r>
      <w:proofErr w:type="spellStart"/>
      <w:r w:rsidRPr="00027BF9">
        <w:rPr>
          <w:rFonts w:ascii="Times New Roman" w:hAnsi="Times New Roman" w:cs="Times New Roman"/>
          <w:b/>
          <w:sz w:val="24"/>
          <w:szCs w:val="24"/>
        </w:rPr>
        <w:t>C</w:t>
      </w:r>
      <w:r w:rsidR="001B7E1B">
        <w:rPr>
          <w:rFonts w:ascii="Times New Roman" w:hAnsi="Times New Roman" w:cs="Times New Roman"/>
          <w:b/>
          <w:sz w:val="24"/>
          <w:szCs w:val="24"/>
        </w:rPr>
        <w:t>hukwuemeka</w:t>
      </w:r>
      <w:proofErr w:type="spellEnd"/>
      <w:r w:rsidRPr="00027BF9">
        <w:rPr>
          <w:rFonts w:ascii="Times New Roman" w:hAnsi="Times New Roman" w:cs="Times New Roman"/>
          <w:b/>
          <w:sz w:val="24"/>
          <w:szCs w:val="24"/>
        </w:rPr>
        <w:t xml:space="preserve"> </w:t>
      </w:r>
      <w:proofErr w:type="spellStart"/>
      <w:r w:rsidRPr="00027BF9">
        <w:rPr>
          <w:rFonts w:ascii="Times New Roman" w:hAnsi="Times New Roman" w:cs="Times New Roman"/>
          <w:b/>
          <w:sz w:val="24"/>
          <w:szCs w:val="24"/>
        </w:rPr>
        <w:t>A</w:t>
      </w:r>
      <w:r w:rsidR="001B7E1B" w:rsidRPr="00027BF9">
        <w:rPr>
          <w:rFonts w:ascii="Times New Roman" w:hAnsi="Times New Roman" w:cs="Times New Roman"/>
          <w:b/>
          <w:sz w:val="24"/>
          <w:szCs w:val="24"/>
        </w:rPr>
        <w:t>gunwamba</w:t>
      </w:r>
      <w:proofErr w:type="spellEnd"/>
      <w:r w:rsidRPr="00027BF9">
        <w:rPr>
          <w:rFonts w:ascii="Times New Roman" w:hAnsi="Times New Roman" w:cs="Times New Roman"/>
          <w:b/>
          <w:sz w:val="24"/>
          <w:szCs w:val="24"/>
          <w:vertAlign w:val="superscript"/>
        </w:rPr>
        <w:t>*</w:t>
      </w:r>
      <w:r w:rsidRPr="00027BF9">
        <w:rPr>
          <w:rFonts w:ascii="Times New Roman" w:hAnsi="Times New Roman" w:cs="Times New Roman"/>
          <w:b/>
          <w:sz w:val="24"/>
          <w:szCs w:val="24"/>
        </w:rPr>
        <w:t xml:space="preserve"> </w:t>
      </w:r>
      <w:r w:rsidR="00AE291A" w:rsidRPr="00027BF9">
        <w:rPr>
          <w:rFonts w:ascii="Times New Roman" w:hAnsi="Times New Roman" w:cs="Times New Roman"/>
          <w:b/>
          <w:sz w:val="24"/>
          <w:szCs w:val="24"/>
        </w:rPr>
        <w:t>and</w:t>
      </w:r>
      <w:r w:rsidRPr="00027BF9">
        <w:rPr>
          <w:rFonts w:ascii="Times New Roman" w:hAnsi="Times New Roman" w:cs="Times New Roman"/>
          <w:b/>
          <w:sz w:val="24"/>
          <w:szCs w:val="24"/>
        </w:rPr>
        <w:t xml:space="preserve"> J</w:t>
      </w:r>
      <w:r w:rsidR="001B7E1B">
        <w:rPr>
          <w:rFonts w:ascii="Times New Roman" w:hAnsi="Times New Roman" w:cs="Times New Roman"/>
          <w:b/>
          <w:sz w:val="24"/>
          <w:szCs w:val="24"/>
        </w:rPr>
        <w:t xml:space="preserve">oel </w:t>
      </w:r>
      <w:r w:rsidRPr="00027BF9">
        <w:rPr>
          <w:rFonts w:ascii="Times New Roman" w:hAnsi="Times New Roman" w:cs="Times New Roman"/>
          <w:b/>
          <w:sz w:val="24"/>
          <w:szCs w:val="24"/>
        </w:rPr>
        <w:t xml:space="preserve">O. </w:t>
      </w:r>
      <w:proofErr w:type="spellStart"/>
      <w:r w:rsidR="001B7E1B" w:rsidRPr="00027BF9">
        <w:rPr>
          <w:rFonts w:ascii="Times New Roman" w:hAnsi="Times New Roman" w:cs="Times New Roman"/>
          <w:b/>
          <w:sz w:val="24"/>
          <w:szCs w:val="24"/>
        </w:rPr>
        <w:t>Ademiluyi</w:t>
      </w:r>
      <w:proofErr w:type="spellEnd"/>
      <w:r w:rsidRPr="00027BF9">
        <w:rPr>
          <w:rFonts w:ascii="Times New Roman" w:hAnsi="Times New Roman" w:cs="Times New Roman"/>
          <w:b/>
          <w:sz w:val="24"/>
          <w:szCs w:val="24"/>
          <w:vertAlign w:val="superscript"/>
        </w:rPr>
        <w:t>**</w:t>
      </w:r>
      <w:r w:rsidRPr="00027BF9">
        <w:rPr>
          <w:rFonts w:ascii="Times New Roman" w:hAnsi="Times New Roman" w:cs="Times New Roman"/>
          <w:b/>
          <w:sz w:val="24"/>
          <w:szCs w:val="24"/>
        </w:rPr>
        <w:t xml:space="preserve">  </w:t>
      </w:r>
    </w:p>
    <w:p w:rsidR="001B7E1B" w:rsidRDefault="001B7E1B" w:rsidP="001B7E1B">
      <w:pPr>
        <w:spacing w:after="0"/>
        <w:jc w:val="center"/>
        <w:rPr>
          <w:rFonts w:ascii="Times New Roman" w:hAnsi="Times New Roman" w:cs="Times New Roman"/>
          <w:b/>
          <w:sz w:val="24"/>
          <w:szCs w:val="24"/>
        </w:rPr>
      </w:pPr>
    </w:p>
    <w:p w:rsidR="00CE4AA4" w:rsidRPr="001B7E1B" w:rsidRDefault="00CE4AA4" w:rsidP="001B7E1B">
      <w:pPr>
        <w:spacing w:after="0"/>
        <w:jc w:val="center"/>
        <w:rPr>
          <w:rFonts w:ascii="Times New Roman" w:hAnsi="Times New Roman" w:cs="Times New Roman"/>
        </w:rPr>
      </w:pPr>
      <w:r w:rsidRPr="001B7E1B">
        <w:rPr>
          <w:rFonts w:ascii="Times New Roman" w:hAnsi="Times New Roman" w:cs="Times New Roman"/>
        </w:rPr>
        <w:t xml:space="preserve">Department of Agricultural Engineering, Kaduna Polytechnic, Nigeria </w:t>
      </w:r>
      <w:hyperlink r:id="rId4" w:history="1">
        <w:r w:rsidRPr="001B7E1B">
          <w:rPr>
            <w:rStyle w:val="Hyperlink"/>
            <w:rFonts w:ascii="Times New Roman" w:hAnsi="Times New Roman" w:cs="Times New Roman"/>
          </w:rPr>
          <w:t>dejoolaniyan@yahoo.com</w:t>
        </w:r>
      </w:hyperlink>
      <w:r w:rsidRPr="001B7E1B">
        <w:rPr>
          <w:rFonts w:ascii="Times New Roman" w:hAnsi="Times New Roman" w:cs="Times New Roman"/>
        </w:rPr>
        <w:t xml:space="preserve"> </w:t>
      </w:r>
    </w:p>
    <w:p w:rsidR="00CE4AA4" w:rsidRPr="001B7E1B" w:rsidRDefault="00CE4AA4" w:rsidP="001B7E1B">
      <w:pPr>
        <w:spacing w:after="0"/>
        <w:jc w:val="center"/>
        <w:rPr>
          <w:rFonts w:ascii="Times New Roman" w:hAnsi="Times New Roman" w:cs="Times New Roman"/>
        </w:rPr>
      </w:pPr>
      <w:r w:rsidRPr="001B7E1B">
        <w:rPr>
          <w:rFonts w:ascii="Times New Roman" w:hAnsi="Times New Roman" w:cs="Times New Roman"/>
          <w:vertAlign w:val="superscript"/>
        </w:rPr>
        <w:t>*</w:t>
      </w:r>
      <w:r w:rsidRPr="001B7E1B">
        <w:rPr>
          <w:rFonts w:ascii="Times New Roman" w:hAnsi="Times New Roman" w:cs="Times New Roman"/>
        </w:rPr>
        <w:t xml:space="preserve">Department of Civil Engineering, University of Nigeria, </w:t>
      </w:r>
      <w:proofErr w:type="spellStart"/>
      <w:r w:rsidRPr="001B7E1B">
        <w:rPr>
          <w:rFonts w:ascii="Times New Roman" w:hAnsi="Times New Roman" w:cs="Times New Roman"/>
        </w:rPr>
        <w:t>Nsukka</w:t>
      </w:r>
      <w:proofErr w:type="spellEnd"/>
      <w:r w:rsidRPr="001B7E1B">
        <w:rPr>
          <w:rFonts w:ascii="Times New Roman" w:hAnsi="Times New Roman" w:cs="Times New Roman"/>
        </w:rPr>
        <w:t xml:space="preserve"> </w:t>
      </w:r>
      <w:hyperlink r:id="rId5" w:history="1">
        <w:r w:rsidRPr="001B7E1B">
          <w:rPr>
            <w:rStyle w:val="Hyperlink"/>
            <w:rFonts w:ascii="Times New Roman" w:hAnsi="Times New Roman" w:cs="Times New Roman"/>
          </w:rPr>
          <w:t>jcagunwamba@yahoo.com</w:t>
        </w:r>
      </w:hyperlink>
      <w:r w:rsidRPr="001B7E1B">
        <w:rPr>
          <w:rFonts w:ascii="Times New Roman" w:hAnsi="Times New Roman" w:cs="Times New Roman"/>
        </w:rPr>
        <w:t xml:space="preserve"> </w:t>
      </w:r>
    </w:p>
    <w:p w:rsidR="00CE4AA4" w:rsidRPr="001B7E1B" w:rsidRDefault="00CE4AA4" w:rsidP="00CE4AA4">
      <w:pPr>
        <w:pBdr>
          <w:bottom w:val="single" w:sz="4" w:space="1" w:color="auto"/>
        </w:pBdr>
        <w:spacing w:after="120"/>
        <w:jc w:val="center"/>
        <w:rPr>
          <w:rFonts w:ascii="Times New Roman" w:hAnsi="Times New Roman" w:cs="Times New Roman"/>
        </w:rPr>
      </w:pPr>
      <w:r w:rsidRPr="001B7E1B">
        <w:rPr>
          <w:rFonts w:ascii="Times New Roman" w:hAnsi="Times New Roman" w:cs="Times New Roman"/>
          <w:vertAlign w:val="superscript"/>
        </w:rPr>
        <w:t>**</w:t>
      </w:r>
      <w:r w:rsidRPr="001B7E1B">
        <w:rPr>
          <w:rFonts w:ascii="Times New Roman" w:hAnsi="Times New Roman" w:cs="Times New Roman"/>
        </w:rPr>
        <w:t xml:space="preserve">Department of Civil Engineering, University of Nigeria, </w:t>
      </w:r>
      <w:proofErr w:type="spellStart"/>
      <w:r w:rsidRPr="001B7E1B">
        <w:rPr>
          <w:rFonts w:ascii="Times New Roman" w:hAnsi="Times New Roman" w:cs="Times New Roman"/>
        </w:rPr>
        <w:t>Nsukka</w:t>
      </w:r>
      <w:proofErr w:type="spellEnd"/>
      <w:r w:rsidRPr="001B7E1B">
        <w:rPr>
          <w:rFonts w:ascii="Times New Roman" w:hAnsi="Times New Roman" w:cs="Times New Roman"/>
        </w:rPr>
        <w:t xml:space="preserve"> </w:t>
      </w:r>
      <w:hyperlink r:id="rId6" w:history="1">
        <w:r w:rsidRPr="001B7E1B">
          <w:rPr>
            <w:rStyle w:val="Hyperlink"/>
            <w:rFonts w:ascii="Times New Roman" w:hAnsi="Times New Roman" w:cs="Times New Roman"/>
          </w:rPr>
          <w:t>doyenacademy@yahoo.com</w:t>
        </w:r>
      </w:hyperlink>
      <w:r w:rsidRPr="001B7E1B">
        <w:rPr>
          <w:rFonts w:ascii="Times New Roman" w:hAnsi="Times New Roman" w:cs="Times New Roman"/>
        </w:rPr>
        <w:t xml:space="preserve"> </w:t>
      </w:r>
    </w:p>
    <w:p w:rsidR="00CE4AA4" w:rsidRDefault="00CE4AA4" w:rsidP="00137CDE">
      <w:pPr>
        <w:spacing w:after="120"/>
        <w:rPr>
          <w:rFonts w:ascii="Times New Roman" w:hAnsi="Times New Roman" w:cs="Times New Roman"/>
          <w:b/>
          <w:sz w:val="24"/>
          <w:szCs w:val="24"/>
        </w:rPr>
      </w:pPr>
      <w:r w:rsidRPr="00027BF9">
        <w:rPr>
          <w:rFonts w:ascii="Times New Roman" w:hAnsi="Times New Roman" w:cs="Times New Roman"/>
          <w:b/>
          <w:sz w:val="24"/>
          <w:szCs w:val="24"/>
        </w:rPr>
        <w:t>Abstract</w:t>
      </w:r>
    </w:p>
    <w:p w:rsidR="00137CDE" w:rsidRPr="00B716A6" w:rsidRDefault="00CE20DD" w:rsidP="00CE20DD">
      <w:pPr>
        <w:spacing w:after="120"/>
        <w:rPr>
          <w:rFonts w:ascii="Times New Roman" w:hAnsi="Times New Roman" w:cs="Times New Roman"/>
          <w:i/>
          <w:sz w:val="24"/>
          <w:szCs w:val="24"/>
        </w:rPr>
      </w:pPr>
      <w:r>
        <w:rPr>
          <w:rFonts w:ascii="Times New Roman" w:hAnsi="Times New Roman" w:cs="Times New Roman"/>
          <w:i/>
          <w:sz w:val="24"/>
          <w:szCs w:val="24"/>
        </w:rPr>
        <w:t>Data obtained from 91</w:t>
      </w:r>
      <w:r w:rsidR="003E7E44">
        <w:rPr>
          <w:rFonts w:ascii="Times New Roman" w:hAnsi="Times New Roman" w:cs="Times New Roman"/>
          <w:i/>
          <w:sz w:val="24"/>
          <w:szCs w:val="24"/>
        </w:rPr>
        <w:t xml:space="preserve"> </w:t>
      </w:r>
      <w:r>
        <w:rPr>
          <w:rFonts w:ascii="Times New Roman" w:hAnsi="Times New Roman" w:cs="Times New Roman"/>
          <w:i/>
          <w:sz w:val="24"/>
          <w:szCs w:val="24"/>
        </w:rPr>
        <w:t>successfully drilled and producing boreholes in the crystalline basement complex area of northern Nigeria were outlined and assessed statistically</w:t>
      </w:r>
      <w:r w:rsidR="005F7F8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F7F81" w:rsidRPr="00B716A6">
        <w:rPr>
          <w:rFonts w:ascii="Times New Roman" w:hAnsi="Times New Roman" w:cs="Times New Roman"/>
          <w:i/>
          <w:sz w:val="24"/>
          <w:szCs w:val="24"/>
        </w:rPr>
        <w:t xml:space="preserve">Groundwater in exploitable quantities sufficient for rural water supply were found to occur in the study area in three forms: the river alluvium, the Newer basalts, and the weathered zone of the Basement Complex which is the most extensive, and </w:t>
      </w:r>
      <w:proofErr w:type="spellStart"/>
      <w:r w:rsidR="005F7F81" w:rsidRPr="00B716A6">
        <w:rPr>
          <w:rFonts w:ascii="Times New Roman" w:hAnsi="Times New Roman" w:cs="Times New Roman"/>
          <w:i/>
          <w:sz w:val="24"/>
          <w:szCs w:val="24"/>
        </w:rPr>
        <w:t>oftentime</w:t>
      </w:r>
      <w:proofErr w:type="spellEnd"/>
      <w:r w:rsidR="005F7F81" w:rsidRPr="00B716A6">
        <w:rPr>
          <w:rFonts w:ascii="Times New Roman" w:hAnsi="Times New Roman" w:cs="Times New Roman"/>
          <w:i/>
          <w:sz w:val="24"/>
          <w:szCs w:val="24"/>
        </w:rPr>
        <w:t xml:space="preserve"> poorly </w:t>
      </w:r>
      <w:proofErr w:type="spellStart"/>
      <w:r w:rsidR="005F7F81" w:rsidRPr="00B716A6">
        <w:rPr>
          <w:rFonts w:ascii="Times New Roman" w:hAnsi="Times New Roman" w:cs="Times New Roman"/>
          <w:i/>
          <w:sz w:val="24"/>
          <w:szCs w:val="24"/>
        </w:rPr>
        <w:t>aquiferous</w:t>
      </w:r>
      <w:proofErr w:type="spellEnd"/>
      <w:r w:rsidR="005F7F81" w:rsidRPr="00B716A6">
        <w:rPr>
          <w:rFonts w:ascii="Times New Roman" w:hAnsi="Times New Roman" w:cs="Times New Roman"/>
          <w:i/>
          <w:sz w:val="24"/>
          <w:szCs w:val="24"/>
        </w:rPr>
        <w:t xml:space="preserve">. </w:t>
      </w:r>
      <w:r w:rsidR="005F7F81" w:rsidRPr="00B716A6">
        <w:rPr>
          <w:rFonts w:ascii="Times New Roman" w:eastAsia="Calibri" w:hAnsi="Times New Roman" w:cs="Times New Roman"/>
          <w:i/>
          <w:color w:val="000000"/>
          <w:sz w:val="24"/>
          <w:szCs w:val="24"/>
        </w:rPr>
        <w:t>The aquifer generally has low yield with an average yield of 45.77 l/min (or 65.91m</w:t>
      </w:r>
      <w:r w:rsidR="005F7F81" w:rsidRPr="00B716A6">
        <w:rPr>
          <w:rFonts w:ascii="Times New Roman" w:eastAsia="Calibri" w:hAnsi="Times New Roman" w:cs="Times New Roman"/>
          <w:i/>
          <w:color w:val="000000"/>
          <w:sz w:val="24"/>
          <w:szCs w:val="24"/>
          <w:vertAlign w:val="superscript"/>
        </w:rPr>
        <w:t>3</w:t>
      </w:r>
      <w:r w:rsidR="005F7F81" w:rsidRPr="00B716A6">
        <w:rPr>
          <w:rFonts w:ascii="Times New Roman" w:eastAsia="Calibri" w:hAnsi="Times New Roman" w:cs="Times New Roman"/>
          <w:i/>
          <w:color w:val="000000"/>
          <w:sz w:val="24"/>
          <w:szCs w:val="24"/>
        </w:rPr>
        <w:t xml:space="preserve">/day) of water, while higher yields only occur in fractured zones. </w:t>
      </w:r>
      <w:r w:rsidR="00DC022A" w:rsidRPr="00B716A6">
        <w:rPr>
          <w:rFonts w:ascii="Times New Roman" w:eastAsia="Calibri" w:hAnsi="Times New Roman" w:cs="Times New Roman"/>
          <w:i/>
          <w:color w:val="000000"/>
          <w:sz w:val="24"/>
          <w:szCs w:val="24"/>
        </w:rPr>
        <w:t>From statistical evaluation, it was inferred that yield and specific capacity (or productivity) of aquifers are not related to regolith thickness and saturated thickness at the borehole points. Poor negative correlation coefficients and weak negative linear relationships were consistently obtained between pairs of parameters. The study suggest</w:t>
      </w:r>
      <w:r w:rsidR="00B716A6" w:rsidRPr="00B716A6">
        <w:rPr>
          <w:rFonts w:ascii="Times New Roman" w:eastAsia="Calibri" w:hAnsi="Times New Roman" w:cs="Times New Roman"/>
          <w:i/>
          <w:color w:val="000000"/>
          <w:sz w:val="24"/>
          <w:szCs w:val="24"/>
        </w:rPr>
        <w:t>s</w:t>
      </w:r>
      <w:r w:rsidR="00DC022A" w:rsidRPr="00B716A6">
        <w:rPr>
          <w:rFonts w:ascii="Times New Roman" w:eastAsia="Calibri" w:hAnsi="Times New Roman" w:cs="Times New Roman"/>
          <w:i/>
          <w:color w:val="000000"/>
          <w:sz w:val="24"/>
          <w:szCs w:val="24"/>
        </w:rPr>
        <w:t xml:space="preserve"> that </w:t>
      </w:r>
      <w:r w:rsidR="00B716A6" w:rsidRPr="00B716A6">
        <w:rPr>
          <w:rFonts w:ascii="Times New Roman" w:eastAsia="Calibri" w:hAnsi="Times New Roman" w:cs="Times New Roman"/>
          <w:i/>
          <w:color w:val="000000"/>
          <w:sz w:val="24"/>
          <w:szCs w:val="24"/>
        </w:rPr>
        <w:t>regolith and saturated thicknesses</w:t>
      </w:r>
      <w:r w:rsidR="00DC022A" w:rsidRPr="00B716A6">
        <w:rPr>
          <w:rFonts w:ascii="Times New Roman" w:eastAsia="Calibri" w:hAnsi="Times New Roman" w:cs="Times New Roman"/>
          <w:i/>
          <w:color w:val="000000"/>
          <w:sz w:val="24"/>
          <w:szCs w:val="24"/>
        </w:rPr>
        <w:t xml:space="preserve"> </w:t>
      </w:r>
      <w:r w:rsidR="00B716A6" w:rsidRPr="00B716A6">
        <w:rPr>
          <w:rFonts w:ascii="Times New Roman" w:eastAsia="Calibri" w:hAnsi="Times New Roman" w:cs="Times New Roman"/>
          <w:i/>
          <w:color w:val="000000"/>
          <w:sz w:val="24"/>
          <w:szCs w:val="24"/>
        </w:rPr>
        <w:t>do not play significant role as much as hydraulic characteristics of weathered zone in aquifer productivity.</w:t>
      </w:r>
      <w:r w:rsidR="00DC022A" w:rsidRPr="00B716A6">
        <w:rPr>
          <w:rFonts w:ascii="Times New Roman" w:eastAsia="Calibri" w:hAnsi="Times New Roman" w:cs="Times New Roman"/>
          <w:i/>
          <w:color w:val="000000"/>
          <w:sz w:val="24"/>
          <w:szCs w:val="24"/>
        </w:rPr>
        <w:t xml:space="preserve"> </w:t>
      </w:r>
    </w:p>
    <w:p w:rsidR="00CE4AA4" w:rsidRDefault="00101E9E" w:rsidP="00137CDE">
      <w:pPr>
        <w:spacing w:after="120" w:line="360" w:lineRule="auto"/>
        <w:rPr>
          <w:rFonts w:ascii="Times New Roman" w:hAnsi="Times New Roman" w:cs="Times New Roman"/>
          <w:b/>
          <w:sz w:val="24"/>
          <w:szCs w:val="24"/>
        </w:rPr>
      </w:pPr>
      <w:r w:rsidRPr="00101E9E">
        <w:rPr>
          <w:rFonts w:ascii="Times New Roman" w:hAnsi="Times New Roman" w:cs="Times New Roman"/>
          <w:b/>
          <w:sz w:val="24"/>
          <w:szCs w:val="24"/>
        </w:rPr>
        <w:t>Intr</w:t>
      </w:r>
      <w:r w:rsidR="007855F6">
        <w:rPr>
          <w:rFonts w:ascii="Times New Roman" w:hAnsi="Times New Roman" w:cs="Times New Roman"/>
          <w:b/>
          <w:sz w:val="24"/>
          <w:szCs w:val="24"/>
        </w:rPr>
        <w:t>oduction</w:t>
      </w:r>
    </w:p>
    <w:p w:rsidR="007855F6" w:rsidRDefault="00EA0DAD" w:rsidP="00137CDE">
      <w:pPr>
        <w:spacing w:after="120" w:line="360" w:lineRule="auto"/>
        <w:rPr>
          <w:rFonts w:ascii="Times New Roman" w:hAnsi="Times New Roman" w:cs="Times New Roman"/>
          <w:sz w:val="24"/>
          <w:szCs w:val="24"/>
        </w:rPr>
      </w:pPr>
      <w:r>
        <w:rPr>
          <w:rFonts w:ascii="Times New Roman" w:hAnsi="Times New Roman" w:cs="Times New Roman"/>
          <w:sz w:val="24"/>
          <w:szCs w:val="24"/>
        </w:rPr>
        <w:t>The increase in demand for water has stimulated devel</w:t>
      </w:r>
      <w:r w:rsidR="00065376">
        <w:rPr>
          <w:rFonts w:ascii="Times New Roman" w:hAnsi="Times New Roman" w:cs="Times New Roman"/>
          <w:sz w:val="24"/>
          <w:szCs w:val="24"/>
        </w:rPr>
        <w:t>opment of groundwater, especially for individual and rural supplies</w:t>
      </w:r>
      <w:r w:rsidR="00A4506C">
        <w:rPr>
          <w:rFonts w:ascii="Times New Roman" w:hAnsi="Times New Roman" w:cs="Times New Roman"/>
          <w:sz w:val="24"/>
          <w:szCs w:val="24"/>
        </w:rPr>
        <w:t>, leading</w:t>
      </w:r>
      <w:r w:rsidR="00065376">
        <w:rPr>
          <w:rFonts w:ascii="Times New Roman" w:hAnsi="Times New Roman" w:cs="Times New Roman"/>
          <w:sz w:val="24"/>
          <w:szCs w:val="24"/>
        </w:rPr>
        <w:t xml:space="preserve"> to the rapid expansion of knowledge of groundwater hydrology and better means of extracting groundwater.</w:t>
      </w:r>
      <w:r w:rsidR="00C17EB8">
        <w:rPr>
          <w:rFonts w:ascii="Times New Roman" w:hAnsi="Times New Roman" w:cs="Times New Roman"/>
          <w:sz w:val="24"/>
          <w:szCs w:val="24"/>
        </w:rPr>
        <w:t xml:space="preserve"> </w:t>
      </w:r>
      <w:r w:rsidR="00242C33">
        <w:rPr>
          <w:rFonts w:ascii="Times New Roman" w:hAnsi="Times New Roman" w:cs="Times New Roman"/>
          <w:sz w:val="24"/>
          <w:szCs w:val="24"/>
        </w:rPr>
        <w:t xml:space="preserve">Despite this, groundwater potential in the Basement </w:t>
      </w:r>
      <w:r w:rsidR="00A4506C">
        <w:rPr>
          <w:rFonts w:ascii="Times New Roman" w:hAnsi="Times New Roman" w:cs="Times New Roman"/>
          <w:sz w:val="24"/>
          <w:szCs w:val="24"/>
        </w:rPr>
        <w:t>rocks</w:t>
      </w:r>
      <w:r w:rsidR="00242C33">
        <w:rPr>
          <w:rFonts w:ascii="Times New Roman" w:hAnsi="Times New Roman" w:cs="Times New Roman"/>
          <w:sz w:val="24"/>
          <w:szCs w:val="24"/>
        </w:rPr>
        <w:t xml:space="preserve"> is not well defined as it occurs in a complex manner. Thus, borehole productivity is often associated with </w:t>
      </w:r>
      <w:r w:rsidR="00A544D7">
        <w:rPr>
          <w:rFonts w:ascii="Times New Roman" w:hAnsi="Times New Roman" w:cs="Times New Roman"/>
          <w:sz w:val="24"/>
          <w:szCs w:val="24"/>
        </w:rPr>
        <w:t>certain characteristics of the aquifer such as regolith thickness, bedrock type and structure, saturated thickness</w:t>
      </w:r>
      <w:r w:rsidR="001D15FC">
        <w:rPr>
          <w:rFonts w:ascii="Times New Roman" w:hAnsi="Times New Roman" w:cs="Times New Roman"/>
          <w:sz w:val="24"/>
          <w:szCs w:val="24"/>
        </w:rPr>
        <w:t xml:space="preserve"> and measured hydraulic parameters like hydraulic conductivity, specific capacity, drawdown, </w:t>
      </w:r>
      <w:proofErr w:type="spellStart"/>
      <w:r w:rsidR="001D15FC">
        <w:rPr>
          <w:rFonts w:ascii="Times New Roman" w:hAnsi="Times New Roman" w:cs="Times New Roman"/>
          <w:sz w:val="24"/>
          <w:szCs w:val="24"/>
        </w:rPr>
        <w:t>transmissivity</w:t>
      </w:r>
      <w:proofErr w:type="spellEnd"/>
      <w:r w:rsidR="001D15FC">
        <w:rPr>
          <w:rFonts w:ascii="Times New Roman" w:hAnsi="Times New Roman" w:cs="Times New Roman"/>
          <w:sz w:val="24"/>
          <w:szCs w:val="24"/>
        </w:rPr>
        <w:t xml:space="preserve"> </w:t>
      </w:r>
      <w:r w:rsidR="00A4506C">
        <w:rPr>
          <w:rFonts w:ascii="Times New Roman" w:hAnsi="Times New Roman" w:cs="Times New Roman"/>
          <w:sz w:val="24"/>
          <w:szCs w:val="24"/>
        </w:rPr>
        <w:t xml:space="preserve">and </w:t>
      </w:r>
      <w:proofErr w:type="spellStart"/>
      <w:r w:rsidR="00A4506C">
        <w:rPr>
          <w:rFonts w:ascii="Times New Roman" w:hAnsi="Times New Roman" w:cs="Times New Roman"/>
          <w:sz w:val="24"/>
          <w:szCs w:val="24"/>
        </w:rPr>
        <w:t>storativity</w:t>
      </w:r>
      <w:proofErr w:type="spellEnd"/>
      <w:r w:rsidR="001D15FC">
        <w:rPr>
          <w:rFonts w:ascii="Times New Roman" w:hAnsi="Times New Roman" w:cs="Times New Roman"/>
          <w:sz w:val="24"/>
          <w:szCs w:val="24"/>
        </w:rPr>
        <w:t>, among others</w:t>
      </w:r>
      <w:r w:rsidR="00A4506C">
        <w:rPr>
          <w:rFonts w:ascii="Times New Roman" w:hAnsi="Times New Roman" w:cs="Times New Roman"/>
          <w:sz w:val="24"/>
          <w:szCs w:val="24"/>
        </w:rPr>
        <w:t xml:space="preserve"> (</w:t>
      </w:r>
      <w:r w:rsidR="006569B5">
        <w:rPr>
          <w:rFonts w:ascii="Times New Roman" w:hAnsi="Times New Roman" w:cs="Times New Roman"/>
          <w:sz w:val="24"/>
          <w:szCs w:val="24"/>
        </w:rPr>
        <w:t>Chilton and Smith-</w:t>
      </w:r>
      <w:proofErr w:type="spellStart"/>
      <w:r w:rsidR="006569B5">
        <w:rPr>
          <w:rFonts w:ascii="Times New Roman" w:hAnsi="Times New Roman" w:cs="Times New Roman"/>
          <w:sz w:val="24"/>
          <w:szCs w:val="24"/>
        </w:rPr>
        <w:t>C</w:t>
      </w:r>
      <w:r w:rsidR="00EE1FFB">
        <w:rPr>
          <w:rFonts w:ascii="Times New Roman" w:hAnsi="Times New Roman" w:cs="Times New Roman"/>
          <w:sz w:val="24"/>
          <w:szCs w:val="24"/>
        </w:rPr>
        <w:t>arington</w:t>
      </w:r>
      <w:proofErr w:type="spellEnd"/>
      <w:r w:rsidR="00EE1FFB">
        <w:rPr>
          <w:rFonts w:ascii="Times New Roman" w:hAnsi="Times New Roman" w:cs="Times New Roman"/>
          <w:sz w:val="24"/>
          <w:szCs w:val="24"/>
        </w:rPr>
        <w:t xml:space="preserve">, 1984; </w:t>
      </w:r>
      <w:proofErr w:type="spellStart"/>
      <w:r w:rsidR="00EE1FFB">
        <w:rPr>
          <w:rFonts w:ascii="Times New Roman" w:hAnsi="Times New Roman" w:cs="Times New Roman"/>
          <w:sz w:val="24"/>
          <w:szCs w:val="24"/>
        </w:rPr>
        <w:t>Omorim</w:t>
      </w:r>
      <w:r w:rsidR="007005D0">
        <w:rPr>
          <w:rFonts w:ascii="Times New Roman" w:hAnsi="Times New Roman" w:cs="Times New Roman"/>
          <w:sz w:val="24"/>
          <w:szCs w:val="24"/>
        </w:rPr>
        <w:t>bola</w:t>
      </w:r>
      <w:proofErr w:type="spellEnd"/>
      <w:r w:rsidR="007005D0">
        <w:rPr>
          <w:rFonts w:ascii="Times New Roman" w:hAnsi="Times New Roman" w:cs="Times New Roman"/>
          <w:sz w:val="24"/>
          <w:szCs w:val="24"/>
        </w:rPr>
        <w:t xml:space="preserve">, 1984 and McCann, 1991).   </w:t>
      </w:r>
    </w:p>
    <w:p w:rsidR="00DF29E9" w:rsidRDefault="00DF29E9" w:rsidP="00137CD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main purpose of this paper is to assess the aquifer characteristics of the Galma River basin in </w:t>
      </w:r>
      <w:r w:rsidR="005F7F81">
        <w:rPr>
          <w:rFonts w:ascii="Times New Roman" w:hAnsi="Times New Roman" w:cs="Times New Roman"/>
          <w:sz w:val="24"/>
          <w:szCs w:val="24"/>
        </w:rPr>
        <w:t xml:space="preserve">Northern Nigeria in </w:t>
      </w:r>
      <w:r>
        <w:rPr>
          <w:rFonts w:ascii="Times New Roman" w:hAnsi="Times New Roman" w:cs="Times New Roman"/>
          <w:sz w:val="24"/>
          <w:szCs w:val="24"/>
        </w:rPr>
        <w:t>relation to rural water supply by outlining</w:t>
      </w:r>
      <w:r w:rsidR="0018325C">
        <w:rPr>
          <w:rFonts w:ascii="Times New Roman" w:hAnsi="Times New Roman" w:cs="Times New Roman"/>
          <w:sz w:val="24"/>
          <w:szCs w:val="24"/>
        </w:rPr>
        <w:t>, evaluating and comparing</w:t>
      </w:r>
      <w:r>
        <w:rPr>
          <w:rFonts w:ascii="Times New Roman" w:hAnsi="Times New Roman" w:cs="Times New Roman"/>
          <w:sz w:val="24"/>
          <w:szCs w:val="24"/>
        </w:rPr>
        <w:t xml:space="preserve"> the hydraulic</w:t>
      </w:r>
      <w:r w:rsidR="0018325C">
        <w:rPr>
          <w:rFonts w:ascii="Times New Roman" w:hAnsi="Times New Roman" w:cs="Times New Roman"/>
          <w:sz w:val="24"/>
          <w:szCs w:val="24"/>
        </w:rPr>
        <w:t xml:space="preserve"> and</w:t>
      </w:r>
      <w:r>
        <w:rPr>
          <w:rFonts w:ascii="Times New Roman" w:hAnsi="Times New Roman" w:cs="Times New Roman"/>
          <w:sz w:val="24"/>
          <w:szCs w:val="24"/>
        </w:rPr>
        <w:t>/</w:t>
      </w:r>
      <w:r w:rsidR="0018325C">
        <w:rPr>
          <w:rFonts w:ascii="Times New Roman" w:hAnsi="Times New Roman" w:cs="Times New Roman"/>
          <w:sz w:val="24"/>
          <w:szCs w:val="24"/>
        </w:rPr>
        <w:t xml:space="preserve">or </w:t>
      </w:r>
      <w:r>
        <w:rPr>
          <w:rFonts w:ascii="Times New Roman" w:hAnsi="Times New Roman" w:cs="Times New Roman"/>
          <w:sz w:val="24"/>
          <w:szCs w:val="24"/>
        </w:rPr>
        <w:t xml:space="preserve">hydrogeologic properties obtained from production data of 91 </w:t>
      </w:r>
      <w:r w:rsidR="00CE20DD">
        <w:rPr>
          <w:rFonts w:ascii="Times New Roman" w:hAnsi="Times New Roman" w:cs="Times New Roman"/>
          <w:sz w:val="24"/>
          <w:szCs w:val="24"/>
        </w:rPr>
        <w:t xml:space="preserve">successful </w:t>
      </w:r>
      <w:r>
        <w:rPr>
          <w:rFonts w:ascii="Times New Roman" w:hAnsi="Times New Roman" w:cs="Times New Roman"/>
          <w:sz w:val="24"/>
          <w:szCs w:val="24"/>
        </w:rPr>
        <w:t xml:space="preserve">wells drilled </w:t>
      </w:r>
      <w:r w:rsidR="0018325C">
        <w:rPr>
          <w:rFonts w:ascii="Times New Roman" w:hAnsi="Times New Roman" w:cs="Times New Roman"/>
          <w:sz w:val="24"/>
          <w:szCs w:val="24"/>
        </w:rPr>
        <w:t xml:space="preserve">through </w:t>
      </w:r>
      <w:r w:rsidR="005F7F81">
        <w:rPr>
          <w:rFonts w:ascii="Times New Roman" w:hAnsi="Times New Roman" w:cs="Times New Roman"/>
          <w:sz w:val="24"/>
          <w:szCs w:val="24"/>
        </w:rPr>
        <w:t>t</w:t>
      </w:r>
      <w:r w:rsidR="0018325C">
        <w:rPr>
          <w:rFonts w:ascii="Times New Roman" w:hAnsi="Times New Roman" w:cs="Times New Roman"/>
          <w:sz w:val="24"/>
          <w:szCs w:val="24"/>
        </w:rPr>
        <w:t>he Basement rocks within the basin.</w:t>
      </w:r>
      <w:r>
        <w:rPr>
          <w:rFonts w:ascii="Times New Roman" w:hAnsi="Times New Roman" w:cs="Times New Roman"/>
          <w:sz w:val="24"/>
          <w:szCs w:val="24"/>
        </w:rPr>
        <w:t xml:space="preserve"> </w:t>
      </w:r>
    </w:p>
    <w:p w:rsidR="00B716A6" w:rsidRDefault="00B716A6" w:rsidP="00137CDE">
      <w:pPr>
        <w:spacing w:after="120" w:line="360" w:lineRule="auto"/>
        <w:rPr>
          <w:rFonts w:ascii="Times New Roman" w:hAnsi="Times New Roman" w:cs="Times New Roman"/>
          <w:b/>
          <w:sz w:val="24"/>
          <w:szCs w:val="24"/>
        </w:rPr>
      </w:pPr>
    </w:p>
    <w:p w:rsidR="00B716A6" w:rsidRDefault="00B716A6" w:rsidP="00137CDE">
      <w:pPr>
        <w:spacing w:after="120" w:line="360" w:lineRule="auto"/>
        <w:rPr>
          <w:rFonts w:ascii="Times New Roman" w:hAnsi="Times New Roman" w:cs="Times New Roman"/>
          <w:b/>
          <w:sz w:val="24"/>
          <w:szCs w:val="24"/>
        </w:rPr>
      </w:pPr>
    </w:p>
    <w:p w:rsidR="00486A4F" w:rsidRDefault="00486A4F" w:rsidP="00137CDE">
      <w:pPr>
        <w:spacing w:after="120" w:line="360" w:lineRule="auto"/>
        <w:rPr>
          <w:rFonts w:ascii="Times New Roman" w:hAnsi="Times New Roman" w:cs="Times New Roman"/>
          <w:b/>
          <w:sz w:val="24"/>
          <w:szCs w:val="24"/>
        </w:rPr>
      </w:pPr>
      <w:proofErr w:type="spellStart"/>
      <w:r w:rsidRPr="00486A4F">
        <w:rPr>
          <w:rFonts w:ascii="Times New Roman" w:hAnsi="Times New Roman" w:cs="Times New Roman"/>
          <w:b/>
          <w:sz w:val="24"/>
          <w:szCs w:val="24"/>
        </w:rPr>
        <w:lastRenderedPageBreak/>
        <w:t>P</w:t>
      </w:r>
      <w:r>
        <w:rPr>
          <w:rFonts w:ascii="Times New Roman" w:hAnsi="Times New Roman" w:cs="Times New Roman"/>
          <w:b/>
          <w:sz w:val="24"/>
          <w:szCs w:val="24"/>
        </w:rPr>
        <w:t>hysiography</w:t>
      </w:r>
      <w:proofErr w:type="spellEnd"/>
      <w:r>
        <w:rPr>
          <w:rFonts w:ascii="Times New Roman" w:hAnsi="Times New Roman" w:cs="Times New Roman"/>
          <w:b/>
          <w:sz w:val="24"/>
          <w:szCs w:val="24"/>
        </w:rPr>
        <w:t>, Geology and Hydrogeology</w:t>
      </w:r>
    </w:p>
    <w:p w:rsidR="002E5F93" w:rsidRDefault="003A7DC9" w:rsidP="00137CDE">
      <w:pPr>
        <w:spacing w:after="120" w:line="360" w:lineRule="auto"/>
        <w:rPr>
          <w:rFonts w:ascii="Times New Roman" w:hAnsi="Times New Roman" w:cs="Times New Roman"/>
          <w:color w:val="000000"/>
          <w:sz w:val="24"/>
          <w:szCs w:val="24"/>
        </w:rPr>
      </w:pPr>
      <w:r w:rsidRPr="002E5F93">
        <w:rPr>
          <w:rFonts w:ascii="Times New Roman" w:hAnsi="Times New Roman" w:cs="Times New Roman"/>
          <w:color w:val="000000"/>
          <w:sz w:val="24"/>
          <w:szCs w:val="24"/>
        </w:rPr>
        <w:t xml:space="preserve">The Galma river basin is situated mainly in Kaduna State with a small portion of it extending to Kano and </w:t>
      </w:r>
      <w:proofErr w:type="spellStart"/>
      <w:r w:rsidRPr="002E5F93">
        <w:rPr>
          <w:rFonts w:ascii="Times New Roman" w:hAnsi="Times New Roman" w:cs="Times New Roman"/>
          <w:color w:val="000000"/>
          <w:sz w:val="24"/>
          <w:szCs w:val="24"/>
        </w:rPr>
        <w:t>Katsina</w:t>
      </w:r>
      <w:proofErr w:type="spellEnd"/>
      <w:r w:rsidRPr="002E5F93">
        <w:rPr>
          <w:rFonts w:ascii="Times New Roman" w:hAnsi="Times New Roman" w:cs="Times New Roman"/>
          <w:color w:val="000000"/>
          <w:sz w:val="24"/>
          <w:szCs w:val="24"/>
        </w:rPr>
        <w:t xml:space="preserve"> States. The basin is geographically located on Sheets 102, 103, 124 and 125 on a scale of 1:100,000 of Nigeria Surveys topographical maps. It is </w:t>
      </w:r>
      <w:r w:rsidR="00316280" w:rsidRPr="002E5F93">
        <w:rPr>
          <w:rFonts w:ascii="Times New Roman" w:hAnsi="Times New Roman" w:cs="Times New Roman"/>
          <w:color w:val="000000"/>
          <w:sz w:val="24"/>
          <w:szCs w:val="24"/>
        </w:rPr>
        <w:t>situated</w:t>
      </w:r>
      <w:r w:rsidRPr="002E5F93">
        <w:rPr>
          <w:rFonts w:ascii="Times New Roman" w:hAnsi="Times New Roman" w:cs="Times New Roman"/>
          <w:color w:val="000000"/>
          <w:sz w:val="24"/>
          <w:szCs w:val="24"/>
        </w:rPr>
        <w:t xml:space="preserve"> between latitudes 10</w:t>
      </w:r>
      <w:r w:rsidRPr="002E5F93">
        <w:rPr>
          <w:rFonts w:ascii="Times New Roman" w:hAnsi="Times New Roman" w:cs="Times New Roman"/>
          <w:color w:val="000000"/>
          <w:sz w:val="24"/>
          <w:szCs w:val="24"/>
          <w:vertAlign w:val="superscript"/>
        </w:rPr>
        <w:t>o</w:t>
      </w:r>
      <w:r w:rsidRPr="002E5F93">
        <w:rPr>
          <w:rFonts w:ascii="Times New Roman" w:hAnsi="Times New Roman" w:cs="Times New Roman"/>
          <w:color w:val="000000"/>
          <w:sz w:val="24"/>
          <w:szCs w:val="24"/>
        </w:rPr>
        <w:t xml:space="preserve"> 27’N and 11</w:t>
      </w:r>
      <w:r w:rsidRPr="002E5F93">
        <w:rPr>
          <w:rFonts w:ascii="Times New Roman" w:hAnsi="Times New Roman" w:cs="Times New Roman"/>
          <w:color w:val="000000"/>
          <w:sz w:val="24"/>
          <w:szCs w:val="24"/>
          <w:vertAlign w:val="superscript"/>
        </w:rPr>
        <w:t>o</w:t>
      </w:r>
      <w:r w:rsidRPr="002E5F93">
        <w:rPr>
          <w:rFonts w:ascii="Times New Roman" w:hAnsi="Times New Roman" w:cs="Times New Roman"/>
          <w:color w:val="000000"/>
          <w:sz w:val="24"/>
          <w:szCs w:val="24"/>
        </w:rPr>
        <w:t xml:space="preserve"> 24’N, and longitudes 7</w:t>
      </w:r>
      <w:r w:rsidRPr="002E5F93">
        <w:rPr>
          <w:rFonts w:ascii="Times New Roman" w:hAnsi="Times New Roman" w:cs="Times New Roman"/>
          <w:color w:val="000000"/>
          <w:sz w:val="24"/>
          <w:szCs w:val="24"/>
          <w:vertAlign w:val="superscript"/>
        </w:rPr>
        <w:t>o</w:t>
      </w:r>
      <w:r w:rsidRPr="002E5F93">
        <w:rPr>
          <w:rFonts w:ascii="Times New Roman" w:hAnsi="Times New Roman" w:cs="Times New Roman"/>
          <w:color w:val="000000"/>
          <w:sz w:val="24"/>
          <w:szCs w:val="24"/>
        </w:rPr>
        <w:t xml:space="preserve"> 23’E and 8</w:t>
      </w:r>
      <w:r w:rsidRPr="002E5F93">
        <w:rPr>
          <w:rFonts w:ascii="Times New Roman" w:hAnsi="Times New Roman" w:cs="Times New Roman"/>
          <w:color w:val="000000"/>
          <w:sz w:val="24"/>
          <w:szCs w:val="24"/>
          <w:vertAlign w:val="superscript"/>
        </w:rPr>
        <w:t>o</w:t>
      </w:r>
      <w:r w:rsidRPr="002E5F93">
        <w:rPr>
          <w:rFonts w:ascii="Times New Roman" w:hAnsi="Times New Roman" w:cs="Times New Roman"/>
          <w:color w:val="000000"/>
          <w:sz w:val="24"/>
          <w:szCs w:val="24"/>
        </w:rPr>
        <w:t xml:space="preserve"> 45’E. Its total catchment area covers approximately 6,940 km</w:t>
      </w:r>
      <w:r w:rsidRPr="002E5F93">
        <w:rPr>
          <w:rFonts w:ascii="Times New Roman" w:hAnsi="Times New Roman" w:cs="Times New Roman"/>
          <w:color w:val="000000"/>
          <w:sz w:val="24"/>
          <w:szCs w:val="24"/>
          <w:vertAlign w:val="superscript"/>
        </w:rPr>
        <w:t>2</w:t>
      </w:r>
      <w:r w:rsidRPr="002E5F93">
        <w:rPr>
          <w:rFonts w:ascii="Times New Roman" w:hAnsi="Times New Roman" w:cs="Times New Roman"/>
          <w:color w:val="000000"/>
          <w:sz w:val="24"/>
          <w:szCs w:val="24"/>
        </w:rPr>
        <w:t xml:space="preserve"> at its mouth. The Galma Basin lies on an extensive </w:t>
      </w:r>
      <w:proofErr w:type="spellStart"/>
      <w:r w:rsidRPr="002E5F93">
        <w:rPr>
          <w:rFonts w:ascii="Times New Roman" w:hAnsi="Times New Roman" w:cs="Times New Roman"/>
          <w:color w:val="000000"/>
          <w:sz w:val="24"/>
          <w:szCs w:val="24"/>
        </w:rPr>
        <w:t>peneplain</w:t>
      </w:r>
      <w:proofErr w:type="spellEnd"/>
      <w:r w:rsidRPr="002E5F93">
        <w:rPr>
          <w:rFonts w:ascii="Times New Roman" w:hAnsi="Times New Roman" w:cs="Times New Roman"/>
          <w:color w:val="000000"/>
          <w:sz w:val="24"/>
          <w:szCs w:val="24"/>
        </w:rPr>
        <w:t xml:space="preserve"> developed on crystalline Basement rocks, which extends continuously over most parts of northern Nigeria.</w:t>
      </w:r>
      <w:r w:rsidR="00316280" w:rsidRPr="002E5F93">
        <w:rPr>
          <w:rFonts w:ascii="Times New Roman" w:hAnsi="Times New Roman" w:cs="Times New Roman"/>
          <w:color w:val="000000"/>
          <w:sz w:val="24"/>
          <w:szCs w:val="24"/>
        </w:rPr>
        <w:t xml:space="preserve"> It</w:t>
      </w:r>
      <w:r w:rsidRPr="002E5F93">
        <w:rPr>
          <w:rFonts w:ascii="Times New Roman" w:hAnsi="Times New Roman" w:cs="Times New Roman"/>
          <w:color w:val="000000"/>
          <w:sz w:val="24"/>
          <w:szCs w:val="24"/>
        </w:rPr>
        <w:t xml:space="preserve"> is located in a transition zone between the tropical hinterland and the tropical continental north. The mean monthly temperature varies between 20 </w:t>
      </w:r>
      <w:r w:rsidRPr="002E5F93">
        <w:rPr>
          <w:rFonts w:ascii="Times New Roman" w:hAnsi="Times New Roman" w:cs="Times New Roman"/>
          <w:color w:val="000000"/>
          <w:sz w:val="24"/>
          <w:szCs w:val="24"/>
          <w:vertAlign w:val="superscript"/>
        </w:rPr>
        <w:t>0</w:t>
      </w:r>
      <w:r w:rsidRPr="002E5F93">
        <w:rPr>
          <w:rFonts w:ascii="Times New Roman" w:hAnsi="Times New Roman" w:cs="Times New Roman"/>
          <w:color w:val="000000"/>
          <w:sz w:val="24"/>
          <w:szCs w:val="24"/>
        </w:rPr>
        <w:t xml:space="preserve">C and 29 </w:t>
      </w:r>
      <w:r w:rsidRPr="002E5F93">
        <w:rPr>
          <w:rFonts w:ascii="Times New Roman" w:hAnsi="Times New Roman" w:cs="Times New Roman"/>
          <w:color w:val="000000"/>
          <w:sz w:val="24"/>
          <w:szCs w:val="24"/>
          <w:vertAlign w:val="superscript"/>
        </w:rPr>
        <w:t>0</w:t>
      </w:r>
      <w:r w:rsidRPr="002E5F93">
        <w:rPr>
          <w:rFonts w:ascii="Times New Roman" w:hAnsi="Times New Roman" w:cs="Times New Roman"/>
          <w:color w:val="000000"/>
          <w:sz w:val="24"/>
          <w:szCs w:val="24"/>
        </w:rPr>
        <w:t xml:space="preserve">C, depending on the season, but may increase up to 35 </w:t>
      </w:r>
      <w:r w:rsidRPr="002E5F93">
        <w:rPr>
          <w:rFonts w:ascii="Times New Roman" w:hAnsi="Times New Roman" w:cs="Times New Roman"/>
          <w:color w:val="000000"/>
          <w:sz w:val="24"/>
          <w:szCs w:val="24"/>
          <w:vertAlign w:val="superscript"/>
        </w:rPr>
        <w:t>0</w:t>
      </w:r>
      <w:r w:rsidRPr="002E5F93">
        <w:rPr>
          <w:rFonts w:ascii="Times New Roman" w:hAnsi="Times New Roman" w:cs="Times New Roman"/>
          <w:color w:val="000000"/>
          <w:sz w:val="24"/>
          <w:szCs w:val="24"/>
        </w:rPr>
        <w:t>C at the end of the dry season (</w:t>
      </w:r>
      <w:proofErr w:type="spellStart"/>
      <w:r w:rsidRPr="002E5F93">
        <w:rPr>
          <w:rFonts w:ascii="Times New Roman" w:hAnsi="Times New Roman" w:cs="Times New Roman"/>
          <w:color w:val="000000"/>
          <w:sz w:val="24"/>
          <w:szCs w:val="24"/>
        </w:rPr>
        <w:t>Nassef</w:t>
      </w:r>
      <w:proofErr w:type="spellEnd"/>
      <w:r w:rsidRPr="002E5F93">
        <w:rPr>
          <w:rFonts w:ascii="Times New Roman" w:hAnsi="Times New Roman" w:cs="Times New Roman"/>
          <w:color w:val="000000"/>
          <w:sz w:val="24"/>
          <w:szCs w:val="24"/>
        </w:rPr>
        <w:t xml:space="preserve"> and </w:t>
      </w:r>
      <w:proofErr w:type="spellStart"/>
      <w:r w:rsidRPr="002E5F93">
        <w:rPr>
          <w:rFonts w:ascii="Times New Roman" w:hAnsi="Times New Roman" w:cs="Times New Roman"/>
          <w:color w:val="000000"/>
          <w:sz w:val="24"/>
          <w:szCs w:val="24"/>
        </w:rPr>
        <w:t>Olugboye</w:t>
      </w:r>
      <w:proofErr w:type="spellEnd"/>
      <w:r w:rsidRPr="002E5F93">
        <w:rPr>
          <w:rFonts w:ascii="Times New Roman" w:hAnsi="Times New Roman" w:cs="Times New Roman"/>
          <w:color w:val="000000"/>
          <w:sz w:val="24"/>
          <w:szCs w:val="24"/>
        </w:rPr>
        <w:t>, 1979).</w:t>
      </w:r>
      <w:r w:rsidR="00316280" w:rsidRPr="002E5F93">
        <w:rPr>
          <w:rFonts w:ascii="Times New Roman" w:hAnsi="Times New Roman" w:cs="Times New Roman"/>
          <w:color w:val="000000"/>
          <w:sz w:val="24"/>
          <w:szCs w:val="24"/>
        </w:rPr>
        <w:t xml:space="preserve"> The vegetation of the Galma basin is of the northern Guinea Savanna type, characterized by patches of woodland, herbs and grasses with few widely scattered deciduous trees, although continuous cultivation, bush burning and grazing activities have greatly modified the natural vegetation cover and composition. Large settlements in the basin include Zaria, </w:t>
      </w:r>
      <w:proofErr w:type="spellStart"/>
      <w:r w:rsidR="00316280" w:rsidRPr="002E5F93">
        <w:rPr>
          <w:rFonts w:ascii="Times New Roman" w:hAnsi="Times New Roman" w:cs="Times New Roman"/>
          <w:color w:val="000000"/>
          <w:sz w:val="24"/>
          <w:szCs w:val="24"/>
        </w:rPr>
        <w:t>Dutsen</w:t>
      </w:r>
      <w:proofErr w:type="spellEnd"/>
      <w:r w:rsidR="00316280" w:rsidRPr="002E5F93">
        <w:rPr>
          <w:rFonts w:ascii="Times New Roman" w:hAnsi="Times New Roman" w:cs="Times New Roman"/>
          <w:color w:val="000000"/>
          <w:sz w:val="24"/>
          <w:szCs w:val="24"/>
        </w:rPr>
        <w:t xml:space="preserve"> </w:t>
      </w:r>
      <w:proofErr w:type="spellStart"/>
      <w:r w:rsidR="00316280" w:rsidRPr="002E5F93">
        <w:rPr>
          <w:rFonts w:ascii="Times New Roman" w:hAnsi="Times New Roman" w:cs="Times New Roman"/>
          <w:color w:val="000000"/>
          <w:sz w:val="24"/>
          <w:szCs w:val="24"/>
        </w:rPr>
        <w:t>Wai</w:t>
      </w:r>
      <w:proofErr w:type="spellEnd"/>
      <w:r w:rsidR="00316280" w:rsidRPr="002E5F93">
        <w:rPr>
          <w:rFonts w:ascii="Times New Roman" w:hAnsi="Times New Roman" w:cs="Times New Roman"/>
          <w:color w:val="000000"/>
          <w:sz w:val="24"/>
          <w:szCs w:val="24"/>
        </w:rPr>
        <w:t xml:space="preserve">, Soba, </w:t>
      </w:r>
      <w:proofErr w:type="spellStart"/>
      <w:r w:rsidR="00316280" w:rsidRPr="002E5F93">
        <w:rPr>
          <w:rFonts w:ascii="Times New Roman" w:hAnsi="Times New Roman" w:cs="Times New Roman"/>
          <w:color w:val="000000"/>
          <w:sz w:val="24"/>
          <w:szCs w:val="24"/>
        </w:rPr>
        <w:t>Damau</w:t>
      </w:r>
      <w:proofErr w:type="spellEnd"/>
      <w:r w:rsidR="00316280" w:rsidRPr="002E5F93">
        <w:rPr>
          <w:rFonts w:ascii="Times New Roman" w:hAnsi="Times New Roman" w:cs="Times New Roman"/>
          <w:color w:val="000000"/>
          <w:sz w:val="24"/>
          <w:szCs w:val="24"/>
        </w:rPr>
        <w:t xml:space="preserve"> and </w:t>
      </w:r>
      <w:proofErr w:type="spellStart"/>
      <w:r w:rsidR="00316280" w:rsidRPr="002E5F93">
        <w:rPr>
          <w:rFonts w:ascii="Times New Roman" w:hAnsi="Times New Roman" w:cs="Times New Roman"/>
          <w:color w:val="000000"/>
          <w:sz w:val="24"/>
          <w:szCs w:val="24"/>
        </w:rPr>
        <w:t>Anchau</w:t>
      </w:r>
      <w:proofErr w:type="spellEnd"/>
      <w:r w:rsidR="00316280" w:rsidRPr="002E5F93">
        <w:rPr>
          <w:rFonts w:ascii="Times New Roman" w:hAnsi="Times New Roman" w:cs="Times New Roman"/>
          <w:color w:val="000000"/>
          <w:sz w:val="24"/>
          <w:szCs w:val="24"/>
        </w:rPr>
        <w:t xml:space="preserve"> among others. Drainage pattern is dendritic and the streams are all subject to seasonal water level fluctuations (FMI, 2000).</w:t>
      </w:r>
      <w:r w:rsidR="00A51DBB" w:rsidRPr="00A51DBB">
        <w:rPr>
          <w:rFonts w:ascii="Times New Roman" w:hAnsi="Times New Roman" w:cs="Times New Roman"/>
          <w:color w:val="000000"/>
          <w:sz w:val="24"/>
          <w:szCs w:val="24"/>
        </w:rPr>
        <w:t xml:space="preserve"> </w:t>
      </w:r>
      <w:r w:rsidR="00A51DBB" w:rsidRPr="002E5F93">
        <w:rPr>
          <w:rFonts w:ascii="Times New Roman" w:hAnsi="Times New Roman" w:cs="Times New Roman"/>
          <w:color w:val="000000"/>
          <w:sz w:val="24"/>
          <w:szCs w:val="24"/>
        </w:rPr>
        <w:t xml:space="preserve">Figure </w:t>
      </w:r>
      <w:r w:rsidR="00A51DBB">
        <w:rPr>
          <w:rFonts w:ascii="Times New Roman" w:hAnsi="Times New Roman" w:cs="Times New Roman"/>
          <w:color w:val="000000"/>
          <w:sz w:val="24"/>
          <w:szCs w:val="24"/>
        </w:rPr>
        <w:t>1</w:t>
      </w:r>
      <w:r w:rsidR="00A51DBB" w:rsidRPr="002E5F93">
        <w:rPr>
          <w:rFonts w:ascii="Times New Roman" w:eastAsia="Calibri" w:hAnsi="Times New Roman" w:cs="Times New Roman"/>
          <w:color w:val="000000"/>
          <w:sz w:val="24"/>
          <w:szCs w:val="24"/>
        </w:rPr>
        <w:t xml:space="preserve"> shows the entire catchment of Galma River with the drainage pattern and borehole locations.</w:t>
      </w:r>
    </w:p>
    <w:p w:rsidR="00484E2B" w:rsidRDefault="002E5F93" w:rsidP="00137CDE">
      <w:p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Kaduna State is </w:t>
      </w:r>
      <w:r w:rsidR="003F31D6">
        <w:rPr>
          <w:rFonts w:ascii="Times New Roman" w:hAnsi="Times New Roman" w:cs="Times New Roman"/>
          <w:color w:val="000000"/>
          <w:sz w:val="24"/>
          <w:szCs w:val="24"/>
        </w:rPr>
        <w:t>geologically</w:t>
      </w:r>
      <w:r>
        <w:rPr>
          <w:rFonts w:ascii="Times New Roman" w:hAnsi="Times New Roman" w:cs="Times New Roman"/>
          <w:color w:val="000000"/>
          <w:sz w:val="24"/>
          <w:szCs w:val="24"/>
        </w:rPr>
        <w:t xml:space="preserve"> underlain by the Precambrian </w:t>
      </w:r>
      <w:proofErr w:type="spellStart"/>
      <w:r w:rsidRPr="000D7E07">
        <w:rPr>
          <w:rFonts w:ascii="Times New Roman" w:hAnsi="Times New Roman" w:cs="Times New Roman"/>
          <w:color w:val="000000"/>
          <w:sz w:val="24"/>
          <w:szCs w:val="24"/>
        </w:rPr>
        <w:t>migmatites</w:t>
      </w:r>
      <w:proofErr w:type="spellEnd"/>
      <w:r w:rsidRPr="000D7E07">
        <w:rPr>
          <w:rFonts w:ascii="Times New Roman" w:hAnsi="Times New Roman" w:cs="Times New Roman"/>
          <w:color w:val="000000"/>
          <w:sz w:val="24"/>
          <w:szCs w:val="24"/>
        </w:rPr>
        <w:t xml:space="preserve"> and gneisses, the </w:t>
      </w:r>
      <w:proofErr w:type="spellStart"/>
      <w:r w:rsidRPr="000D7E07">
        <w:rPr>
          <w:rFonts w:ascii="Times New Roman" w:hAnsi="Times New Roman" w:cs="Times New Roman"/>
          <w:color w:val="000000"/>
          <w:sz w:val="24"/>
          <w:szCs w:val="24"/>
        </w:rPr>
        <w:t>metasediments</w:t>
      </w:r>
      <w:proofErr w:type="spellEnd"/>
      <w:r w:rsidRPr="000D7E07">
        <w:rPr>
          <w:rFonts w:ascii="Times New Roman" w:hAnsi="Times New Roman" w:cs="Times New Roman"/>
          <w:color w:val="000000"/>
          <w:sz w:val="24"/>
          <w:szCs w:val="24"/>
        </w:rPr>
        <w:t>/</w:t>
      </w:r>
      <w:proofErr w:type="spellStart"/>
      <w:r w:rsidRPr="000D7E07">
        <w:rPr>
          <w:rFonts w:ascii="Times New Roman" w:hAnsi="Times New Roman" w:cs="Times New Roman"/>
          <w:color w:val="000000"/>
          <w:sz w:val="24"/>
          <w:szCs w:val="24"/>
        </w:rPr>
        <w:t>metavolcanics</w:t>
      </w:r>
      <w:proofErr w:type="spellEnd"/>
      <w:r w:rsidRPr="000D7E07">
        <w:rPr>
          <w:rFonts w:ascii="Times New Roman" w:hAnsi="Times New Roman" w:cs="Times New Roman"/>
          <w:color w:val="000000"/>
          <w:sz w:val="24"/>
          <w:szCs w:val="24"/>
        </w:rPr>
        <w:t xml:space="preserve"> and the Older Granites. The </w:t>
      </w:r>
      <w:proofErr w:type="spellStart"/>
      <w:r w:rsidRPr="000D7E07">
        <w:rPr>
          <w:rFonts w:ascii="Times New Roman" w:hAnsi="Times New Roman" w:cs="Times New Roman"/>
          <w:color w:val="000000"/>
          <w:sz w:val="24"/>
          <w:szCs w:val="24"/>
        </w:rPr>
        <w:t>migmatites</w:t>
      </w:r>
      <w:proofErr w:type="spellEnd"/>
      <w:r w:rsidRPr="000D7E07">
        <w:rPr>
          <w:rFonts w:ascii="Times New Roman" w:hAnsi="Times New Roman" w:cs="Times New Roman"/>
          <w:color w:val="000000"/>
          <w:sz w:val="24"/>
          <w:szCs w:val="24"/>
        </w:rPr>
        <w:t xml:space="preserve"> (mixed rocks, generally consisting of a metamorphic host invaded by granitic material), </w:t>
      </w:r>
      <w:proofErr w:type="spellStart"/>
      <w:r w:rsidRPr="000D7E07">
        <w:rPr>
          <w:rFonts w:ascii="Times New Roman" w:hAnsi="Times New Roman" w:cs="Times New Roman"/>
          <w:color w:val="000000"/>
          <w:sz w:val="24"/>
          <w:szCs w:val="24"/>
        </w:rPr>
        <w:t>biotite</w:t>
      </w:r>
      <w:proofErr w:type="spellEnd"/>
      <w:r w:rsidRPr="000D7E07">
        <w:rPr>
          <w:rFonts w:ascii="Times New Roman" w:hAnsi="Times New Roman" w:cs="Times New Roman"/>
          <w:color w:val="000000"/>
          <w:sz w:val="24"/>
          <w:szCs w:val="24"/>
        </w:rPr>
        <w:t xml:space="preserve"> and granitic gneisses are the largest group of rocks</w:t>
      </w:r>
      <w:r w:rsidR="000D7E07" w:rsidRPr="000D7E07">
        <w:rPr>
          <w:rFonts w:ascii="Times New Roman" w:hAnsi="Times New Roman" w:cs="Times New Roman"/>
          <w:color w:val="000000"/>
          <w:sz w:val="24"/>
          <w:szCs w:val="24"/>
        </w:rPr>
        <w:t xml:space="preserve">, extending from </w:t>
      </w:r>
      <w:proofErr w:type="spellStart"/>
      <w:r w:rsidR="000D7E07" w:rsidRPr="000D7E07">
        <w:rPr>
          <w:rFonts w:ascii="Times New Roman" w:hAnsi="Times New Roman" w:cs="Times New Roman"/>
          <w:color w:val="000000"/>
          <w:sz w:val="24"/>
          <w:szCs w:val="24"/>
        </w:rPr>
        <w:t>Birnin-Gwari</w:t>
      </w:r>
      <w:proofErr w:type="spellEnd"/>
      <w:r w:rsidR="000D7E07" w:rsidRPr="000D7E07">
        <w:rPr>
          <w:rFonts w:ascii="Times New Roman" w:hAnsi="Times New Roman" w:cs="Times New Roman"/>
          <w:color w:val="000000"/>
          <w:sz w:val="24"/>
          <w:szCs w:val="24"/>
        </w:rPr>
        <w:t xml:space="preserve"> area to </w:t>
      </w:r>
      <w:proofErr w:type="spellStart"/>
      <w:r w:rsidR="000D7E07" w:rsidRPr="000D7E07">
        <w:rPr>
          <w:rFonts w:ascii="Times New Roman" w:hAnsi="Times New Roman" w:cs="Times New Roman"/>
          <w:color w:val="000000"/>
          <w:sz w:val="24"/>
          <w:szCs w:val="24"/>
        </w:rPr>
        <w:t>Jema’a-Ikara</w:t>
      </w:r>
      <w:proofErr w:type="spellEnd"/>
      <w:r w:rsidR="000D7E07" w:rsidRPr="000D7E07">
        <w:rPr>
          <w:rFonts w:ascii="Times New Roman" w:hAnsi="Times New Roman" w:cs="Times New Roman"/>
          <w:color w:val="000000"/>
          <w:sz w:val="24"/>
          <w:szCs w:val="24"/>
        </w:rPr>
        <w:t xml:space="preserve"> areas. </w:t>
      </w:r>
      <w:r w:rsidRPr="000D7E07">
        <w:rPr>
          <w:rFonts w:ascii="Times New Roman" w:hAnsi="Times New Roman" w:cs="Times New Roman"/>
          <w:color w:val="000000"/>
          <w:sz w:val="24"/>
          <w:szCs w:val="24"/>
        </w:rPr>
        <w:t xml:space="preserve">They are characterized by a variety of structures and textures, and they represent reactivated older </w:t>
      </w:r>
      <w:proofErr w:type="spellStart"/>
      <w:r w:rsidRPr="000D7E07">
        <w:rPr>
          <w:rFonts w:ascii="Times New Roman" w:hAnsi="Times New Roman" w:cs="Times New Roman"/>
          <w:color w:val="000000"/>
          <w:sz w:val="24"/>
          <w:szCs w:val="24"/>
        </w:rPr>
        <w:t>metasediments</w:t>
      </w:r>
      <w:proofErr w:type="spellEnd"/>
      <w:r w:rsidRPr="000D7E07">
        <w:rPr>
          <w:rFonts w:ascii="Times New Roman" w:hAnsi="Times New Roman" w:cs="Times New Roman"/>
          <w:color w:val="000000"/>
          <w:sz w:val="24"/>
          <w:szCs w:val="24"/>
        </w:rPr>
        <w:t xml:space="preserve">. The </w:t>
      </w:r>
      <w:proofErr w:type="spellStart"/>
      <w:r w:rsidRPr="000D7E07">
        <w:rPr>
          <w:rFonts w:ascii="Times New Roman" w:hAnsi="Times New Roman" w:cs="Times New Roman"/>
          <w:color w:val="000000"/>
          <w:sz w:val="24"/>
          <w:szCs w:val="24"/>
        </w:rPr>
        <w:t>metasediments</w:t>
      </w:r>
      <w:proofErr w:type="spellEnd"/>
      <w:r w:rsidRPr="000D7E07">
        <w:rPr>
          <w:rFonts w:ascii="Times New Roman" w:hAnsi="Times New Roman" w:cs="Times New Roman"/>
          <w:color w:val="000000"/>
          <w:sz w:val="24"/>
          <w:szCs w:val="24"/>
        </w:rPr>
        <w:t>/</w:t>
      </w:r>
      <w:proofErr w:type="spellStart"/>
      <w:r w:rsidRPr="000D7E07">
        <w:rPr>
          <w:rFonts w:ascii="Times New Roman" w:hAnsi="Times New Roman" w:cs="Times New Roman"/>
          <w:color w:val="000000"/>
          <w:sz w:val="24"/>
          <w:szCs w:val="24"/>
        </w:rPr>
        <w:t>metavolcanics</w:t>
      </w:r>
      <w:proofErr w:type="spellEnd"/>
      <w:r w:rsidRPr="000D7E07">
        <w:rPr>
          <w:rFonts w:ascii="Times New Roman" w:hAnsi="Times New Roman" w:cs="Times New Roman"/>
          <w:color w:val="000000"/>
          <w:sz w:val="24"/>
          <w:szCs w:val="24"/>
        </w:rPr>
        <w:t xml:space="preserve"> are metamorphosed sedimentary and </w:t>
      </w:r>
      <w:proofErr w:type="spellStart"/>
      <w:r w:rsidRPr="000D7E07">
        <w:rPr>
          <w:rFonts w:ascii="Times New Roman" w:hAnsi="Times New Roman" w:cs="Times New Roman"/>
          <w:color w:val="000000"/>
          <w:sz w:val="24"/>
          <w:szCs w:val="24"/>
        </w:rPr>
        <w:t>metavolcanic</w:t>
      </w:r>
      <w:proofErr w:type="spellEnd"/>
      <w:r w:rsidRPr="000D7E07">
        <w:rPr>
          <w:rFonts w:ascii="Times New Roman" w:hAnsi="Times New Roman" w:cs="Times New Roman"/>
          <w:color w:val="000000"/>
          <w:sz w:val="24"/>
          <w:szCs w:val="24"/>
        </w:rPr>
        <w:t xml:space="preserve"> rock group which consists of ferruginous </w:t>
      </w:r>
      <w:proofErr w:type="spellStart"/>
      <w:r w:rsidRPr="000D7E07">
        <w:rPr>
          <w:rFonts w:ascii="Times New Roman" w:hAnsi="Times New Roman" w:cs="Times New Roman"/>
          <w:color w:val="000000"/>
          <w:sz w:val="24"/>
          <w:szCs w:val="24"/>
        </w:rPr>
        <w:t>quartzites</w:t>
      </w:r>
      <w:proofErr w:type="spellEnd"/>
      <w:r w:rsidRPr="000D7E07">
        <w:rPr>
          <w:rFonts w:ascii="Times New Roman" w:hAnsi="Times New Roman" w:cs="Times New Roman"/>
          <w:color w:val="000000"/>
          <w:sz w:val="24"/>
          <w:szCs w:val="24"/>
        </w:rPr>
        <w:t xml:space="preserve">, (Banded Iron Formation), amphibolites and </w:t>
      </w:r>
      <w:proofErr w:type="spellStart"/>
      <w:r w:rsidRPr="000D7E07">
        <w:rPr>
          <w:rFonts w:ascii="Times New Roman" w:hAnsi="Times New Roman" w:cs="Times New Roman"/>
          <w:color w:val="000000"/>
          <w:sz w:val="24"/>
          <w:szCs w:val="24"/>
        </w:rPr>
        <w:t>pelitic</w:t>
      </w:r>
      <w:proofErr w:type="spellEnd"/>
      <w:r w:rsidRPr="000D7E07">
        <w:rPr>
          <w:rFonts w:ascii="Times New Roman" w:hAnsi="Times New Roman" w:cs="Times New Roman"/>
          <w:color w:val="000000"/>
          <w:sz w:val="24"/>
          <w:szCs w:val="24"/>
        </w:rPr>
        <w:t xml:space="preserve"> slightly </w:t>
      </w:r>
      <w:proofErr w:type="spellStart"/>
      <w:r w:rsidRPr="000D7E07">
        <w:rPr>
          <w:rFonts w:ascii="Times New Roman" w:hAnsi="Times New Roman" w:cs="Times New Roman"/>
          <w:color w:val="000000"/>
          <w:sz w:val="24"/>
          <w:szCs w:val="24"/>
        </w:rPr>
        <w:t>migmatized</w:t>
      </w:r>
      <w:proofErr w:type="spellEnd"/>
      <w:r w:rsidRPr="000D7E07">
        <w:rPr>
          <w:rFonts w:ascii="Times New Roman" w:hAnsi="Times New Roman" w:cs="Times New Roman"/>
          <w:color w:val="000000"/>
          <w:sz w:val="24"/>
          <w:szCs w:val="24"/>
        </w:rPr>
        <w:t xml:space="preserve"> </w:t>
      </w:r>
      <w:proofErr w:type="spellStart"/>
      <w:r w:rsidRPr="000D7E07">
        <w:rPr>
          <w:rFonts w:ascii="Times New Roman" w:hAnsi="Times New Roman" w:cs="Times New Roman"/>
          <w:color w:val="000000"/>
          <w:sz w:val="24"/>
          <w:szCs w:val="24"/>
        </w:rPr>
        <w:t>schists</w:t>
      </w:r>
      <w:proofErr w:type="spellEnd"/>
      <w:r w:rsidRPr="000D7E07">
        <w:rPr>
          <w:rFonts w:ascii="Times New Roman" w:hAnsi="Times New Roman" w:cs="Times New Roman"/>
          <w:color w:val="000000"/>
          <w:sz w:val="24"/>
          <w:szCs w:val="24"/>
        </w:rPr>
        <w:t xml:space="preserve">. The Older (Pan African) granites are characterized by lofty topography and </w:t>
      </w:r>
      <w:proofErr w:type="spellStart"/>
      <w:r w:rsidRPr="000D7E07">
        <w:rPr>
          <w:rFonts w:ascii="Times New Roman" w:hAnsi="Times New Roman" w:cs="Times New Roman"/>
          <w:color w:val="000000"/>
          <w:sz w:val="24"/>
          <w:szCs w:val="24"/>
        </w:rPr>
        <w:t>inselbergs</w:t>
      </w:r>
      <w:proofErr w:type="spellEnd"/>
      <w:r w:rsidRPr="000D7E07">
        <w:rPr>
          <w:rFonts w:ascii="Times New Roman" w:hAnsi="Times New Roman" w:cs="Times New Roman"/>
          <w:color w:val="000000"/>
          <w:sz w:val="24"/>
          <w:szCs w:val="24"/>
        </w:rPr>
        <w:t xml:space="preserve"> with </w:t>
      </w:r>
      <w:proofErr w:type="spellStart"/>
      <w:r w:rsidRPr="000D7E07">
        <w:rPr>
          <w:rFonts w:ascii="Times New Roman" w:hAnsi="Times New Roman" w:cs="Times New Roman"/>
          <w:color w:val="000000"/>
          <w:sz w:val="24"/>
          <w:szCs w:val="24"/>
        </w:rPr>
        <w:t>lithological</w:t>
      </w:r>
      <w:proofErr w:type="spellEnd"/>
      <w:r w:rsidRPr="000D7E07">
        <w:rPr>
          <w:rFonts w:ascii="Times New Roman" w:hAnsi="Times New Roman" w:cs="Times New Roman"/>
          <w:color w:val="000000"/>
          <w:sz w:val="24"/>
          <w:szCs w:val="24"/>
        </w:rPr>
        <w:t xml:space="preserve"> varieties of rock formation believed to have been emplaced during the Late </w:t>
      </w:r>
      <w:proofErr w:type="spellStart"/>
      <w:r w:rsidRPr="000D7E07">
        <w:rPr>
          <w:rFonts w:ascii="Times New Roman" w:hAnsi="Times New Roman" w:cs="Times New Roman"/>
          <w:color w:val="000000"/>
          <w:sz w:val="24"/>
          <w:szCs w:val="24"/>
        </w:rPr>
        <w:t>Palaeozoic</w:t>
      </w:r>
      <w:proofErr w:type="spellEnd"/>
      <w:r w:rsidRPr="000D7E07">
        <w:rPr>
          <w:rFonts w:ascii="Times New Roman" w:hAnsi="Times New Roman" w:cs="Times New Roman"/>
          <w:color w:val="000000"/>
          <w:sz w:val="24"/>
          <w:szCs w:val="24"/>
        </w:rPr>
        <w:t xml:space="preserve"> era (550±100 my). They consist of coarse-grained </w:t>
      </w:r>
      <w:proofErr w:type="spellStart"/>
      <w:r w:rsidRPr="000D7E07">
        <w:rPr>
          <w:rFonts w:ascii="Times New Roman" w:hAnsi="Times New Roman" w:cs="Times New Roman"/>
          <w:color w:val="000000"/>
          <w:sz w:val="24"/>
          <w:szCs w:val="24"/>
        </w:rPr>
        <w:t>porphyritic</w:t>
      </w:r>
      <w:proofErr w:type="spellEnd"/>
      <w:r w:rsidRPr="000D7E07">
        <w:rPr>
          <w:rFonts w:ascii="Times New Roman" w:hAnsi="Times New Roman" w:cs="Times New Roman"/>
          <w:color w:val="000000"/>
          <w:sz w:val="24"/>
          <w:szCs w:val="24"/>
        </w:rPr>
        <w:t xml:space="preserve"> granite, </w:t>
      </w:r>
      <w:proofErr w:type="spellStart"/>
      <w:r w:rsidRPr="000D7E07">
        <w:rPr>
          <w:rFonts w:ascii="Times New Roman" w:hAnsi="Times New Roman" w:cs="Times New Roman"/>
          <w:color w:val="000000"/>
          <w:sz w:val="24"/>
          <w:szCs w:val="24"/>
        </w:rPr>
        <w:t>biotite</w:t>
      </w:r>
      <w:proofErr w:type="spellEnd"/>
      <w:r w:rsidRPr="000D7E07">
        <w:rPr>
          <w:rFonts w:ascii="Times New Roman" w:hAnsi="Times New Roman" w:cs="Times New Roman"/>
          <w:color w:val="000000"/>
          <w:sz w:val="24"/>
          <w:szCs w:val="24"/>
        </w:rPr>
        <w:t xml:space="preserve"> hornblende granite and fine-grained granites, and </w:t>
      </w:r>
      <w:proofErr w:type="spellStart"/>
      <w:r w:rsidRPr="000D7E07">
        <w:rPr>
          <w:rFonts w:ascii="Times New Roman" w:hAnsi="Times New Roman" w:cs="Times New Roman"/>
          <w:color w:val="000000"/>
          <w:sz w:val="24"/>
          <w:szCs w:val="24"/>
        </w:rPr>
        <w:t>fayalite</w:t>
      </w:r>
      <w:proofErr w:type="spellEnd"/>
      <w:r w:rsidRPr="000D7E07">
        <w:rPr>
          <w:rFonts w:ascii="Times New Roman" w:hAnsi="Times New Roman" w:cs="Times New Roman"/>
          <w:color w:val="000000"/>
          <w:sz w:val="24"/>
          <w:szCs w:val="24"/>
        </w:rPr>
        <w:t xml:space="preserve">-quartz </w:t>
      </w:r>
      <w:proofErr w:type="spellStart"/>
      <w:r w:rsidRPr="000D7E07">
        <w:rPr>
          <w:rFonts w:ascii="Times New Roman" w:hAnsi="Times New Roman" w:cs="Times New Roman"/>
          <w:color w:val="000000"/>
          <w:sz w:val="24"/>
          <w:szCs w:val="24"/>
        </w:rPr>
        <w:t>monzonite</w:t>
      </w:r>
      <w:proofErr w:type="spellEnd"/>
      <w:r w:rsidRPr="000D7E07">
        <w:rPr>
          <w:rFonts w:ascii="Times New Roman" w:hAnsi="Times New Roman" w:cs="Times New Roman"/>
          <w:color w:val="000000"/>
          <w:sz w:val="24"/>
          <w:szCs w:val="24"/>
        </w:rPr>
        <w:t xml:space="preserve"> (</w:t>
      </w:r>
      <w:proofErr w:type="spellStart"/>
      <w:r w:rsidRPr="000D7E07">
        <w:rPr>
          <w:rFonts w:ascii="Times New Roman" w:hAnsi="Times New Roman" w:cs="Times New Roman"/>
          <w:color w:val="000000"/>
          <w:sz w:val="24"/>
          <w:szCs w:val="24"/>
        </w:rPr>
        <w:t>Ajibade</w:t>
      </w:r>
      <w:proofErr w:type="spellEnd"/>
      <w:r w:rsidRPr="000D7E07">
        <w:rPr>
          <w:rFonts w:ascii="Times New Roman" w:hAnsi="Times New Roman" w:cs="Times New Roman"/>
          <w:color w:val="000000"/>
          <w:sz w:val="24"/>
          <w:szCs w:val="24"/>
        </w:rPr>
        <w:t xml:space="preserve"> and Wright, 1988; </w:t>
      </w:r>
      <w:proofErr w:type="spellStart"/>
      <w:r w:rsidRPr="000D7E07">
        <w:rPr>
          <w:rFonts w:ascii="Times New Roman" w:hAnsi="Times New Roman" w:cs="Times New Roman"/>
          <w:color w:val="000000"/>
          <w:sz w:val="24"/>
          <w:szCs w:val="24"/>
        </w:rPr>
        <w:t>Oluyide</w:t>
      </w:r>
      <w:proofErr w:type="spellEnd"/>
      <w:r w:rsidRPr="000D7E07">
        <w:rPr>
          <w:rFonts w:ascii="Times New Roman" w:hAnsi="Times New Roman" w:cs="Times New Roman"/>
          <w:color w:val="000000"/>
          <w:sz w:val="24"/>
          <w:szCs w:val="24"/>
        </w:rPr>
        <w:t>, 1995).</w:t>
      </w:r>
    </w:p>
    <w:p w:rsidR="00AF7B09" w:rsidRDefault="000D7E07" w:rsidP="00137CDE">
      <w:pPr>
        <w:spacing w:after="120" w:line="360" w:lineRule="auto"/>
        <w:rPr>
          <w:rFonts w:ascii="Times New Roman" w:eastAsia="Calibri" w:hAnsi="Times New Roman" w:cs="Times New Roman"/>
          <w:color w:val="000000"/>
          <w:sz w:val="24"/>
          <w:szCs w:val="24"/>
        </w:rPr>
      </w:pPr>
      <w:r>
        <w:rPr>
          <w:rFonts w:ascii="Times New Roman" w:hAnsi="Times New Roman" w:cs="Times New Roman"/>
          <w:sz w:val="24"/>
          <w:szCs w:val="24"/>
        </w:rPr>
        <w:lastRenderedPageBreak/>
        <w:t>Groundwater in exploitable quantities sufficient for rural water supply occurs in the basin in three forms. The river alluv</w:t>
      </w:r>
      <w:r w:rsidR="004C1BEB">
        <w:rPr>
          <w:rFonts w:ascii="Times New Roman" w:hAnsi="Times New Roman" w:cs="Times New Roman"/>
          <w:sz w:val="24"/>
          <w:szCs w:val="24"/>
        </w:rPr>
        <w:t xml:space="preserve">ium which is irregularly distributed throughout the state, the Newer basalts with associated alluvial deposits which are limited to </w:t>
      </w:r>
      <w:proofErr w:type="spellStart"/>
      <w:r w:rsidR="004C1BEB">
        <w:rPr>
          <w:rFonts w:ascii="Times New Roman" w:hAnsi="Times New Roman" w:cs="Times New Roman"/>
          <w:sz w:val="24"/>
          <w:szCs w:val="24"/>
        </w:rPr>
        <w:t>Kafanchan</w:t>
      </w:r>
      <w:proofErr w:type="spellEnd"/>
      <w:r w:rsidR="004C1BEB">
        <w:rPr>
          <w:rFonts w:ascii="Times New Roman" w:hAnsi="Times New Roman" w:cs="Times New Roman"/>
          <w:sz w:val="24"/>
          <w:szCs w:val="24"/>
        </w:rPr>
        <w:t xml:space="preserve"> and </w:t>
      </w:r>
      <w:proofErr w:type="spellStart"/>
      <w:r w:rsidR="004C1BEB">
        <w:rPr>
          <w:rFonts w:ascii="Times New Roman" w:hAnsi="Times New Roman" w:cs="Times New Roman"/>
          <w:sz w:val="24"/>
          <w:szCs w:val="24"/>
        </w:rPr>
        <w:t>Manchok</w:t>
      </w:r>
      <w:proofErr w:type="spellEnd"/>
      <w:r w:rsidR="004C1BEB">
        <w:rPr>
          <w:rFonts w:ascii="Times New Roman" w:hAnsi="Times New Roman" w:cs="Times New Roman"/>
          <w:sz w:val="24"/>
          <w:szCs w:val="24"/>
        </w:rPr>
        <w:t xml:space="preserve"> areas in the south, and the weathered zone of the Basement Complex which is the most extensive, and often time poorly </w:t>
      </w:r>
      <w:proofErr w:type="spellStart"/>
      <w:r w:rsidR="004C1BEB">
        <w:rPr>
          <w:rFonts w:ascii="Times New Roman" w:hAnsi="Times New Roman" w:cs="Times New Roman"/>
          <w:sz w:val="24"/>
          <w:szCs w:val="24"/>
        </w:rPr>
        <w:t>aquiferous</w:t>
      </w:r>
      <w:proofErr w:type="spellEnd"/>
      <w:r w:rsidR="00484E2B">
        <w:rPr>
          <w:rFonts w:ascii="Times New Roman" w:hAnsi="Times New Roman" w:cs="Times New Roman"/>
          <w:sz w:val="24"/>
          <w:szCs w:val="24"/>
        </w:rPr>
        <w:t xml:space="preserve"> </w:t>
      </w:r>
      <w:r w:rsidR="00484E2B" w:rsidRPr="00484E2B">
        <w:rPr>
          <w:rFonts w:ascii="Times New Roman" w:hAnsi="Times New Roman" w:cs="Times New Roman"/>
          <w:sz w:val="24"/>
          <w:szCs w:val="24"/>
        </w:rPr>
        <w:t>(</w:t>
      </w:r>
      <w:r w:rsidR="00484E2B" w:rsidRPr="00484E2B">
        <w:rPr>
          <w:rFonts w:ascii="Times New Roman" w:hAnsi="Times New Roman" w:cs="Times New Roman"/>
          <w:color w:val="000000"/>
          <w:sz w:val="24"/>
          <w:szCs w:val="24"/>
        </w:rPr>
        <w:t xml:space="preserve">WAPDECO, 1991; </w:t>
      </w:r>
      <w:proofErr w:type="spellStart"/>
      <w:r w:rsidR="00484E2B" w:rsidRPr="00484E2B">
        <w:rPr>
          <w:rFonts w:ascii="Times New Roman" w:hAnsi="Times New Roman" w:cs="Times New Roman"/>
          <w:color w:val="000000"/>
          <w:sz w:val="24"/>
          <w:szCs w:val="24"/>
        </w:rPr>
        <w:t>Eduvie</w:t>
      </w:r>
      <w:proofErr w:type="spellEnd"/>
      <w:r w:rsidR="00484E2B" w:rsidRPr="00484E2B">
        <w:rPr>
          <w:rFonts w:ascii="Times New Roman" w:hAnsi="Times New Roman" w:cs="Times New Roman"/>
          <w:color w:val="000000"/>
          <w:sz w:val="24"/>
          <w:szCs w:val="24"/>
        </w:rPr>
        <w:t xml:space="preserve"> and </w:t>
      </w:r>
      <w:proofErr w:type="spellStart"/>
      <w:r w:rsidR="00484E2B" w:rsidRPr="00484E2B">
        <w:rPr>
          <w:rFonts w:ascii="Times New Roman" w:hAnsi="Times New Roman" w:cs="Times New Roman"/>
          <w:color w:val="000000"/>
          <w:sz w:val="24"/>
          <w:szCs w:val="24"/>
        </w:rPr>
        <w:t>Olaniyan</w:t>
      </w:r>
      <w:proofErr w:type="spellEnd"/>
      <w:r w:rsidR="00484E2B" w:rsidRPr="00484E2B">
        <w:rPr>
          <w:rFonts w:ascii="Times New Roman" w:hAnsi="Times New Roman" w:cs="Times New Roman"/>
          <w:color w:val="000000"/>
          <w:sz w:val="24"/>
          <w:szCs w:val="24"/>
        </w:rPr>
        <w:t>, 2006)</w:t>
      </w:r>
      <w:r w:rsidR="00484E2B">
        <w:rPr>
          <w:rFonts w:ascii="Times New Roman" w:hAnsi="Times New Roman" w:cs="Times New Roman"/>
          <w:color w:val="000000"/>
          <w:sz w:val="24"/>
          <w:szCs w:val="24"/>
        </w:rPr>
        <w:t>.</w:t>
      </w:r>
      <w:r w:rsidR="000F48D0">
        <w:rPr>
          <w:rFonts w:ascii="Times New Roman" w:hAnsi="Times New Roman" w:cs="Times New Roman"/>
          <w:color w:val="000000"/>
          <w:sz w:val="24"/>
          <w:szCs w:val="24"/>
        </w:rPr>
        <w:t xml:space="preserve"> </w:t>
      </w:r>
    </w:p>
    <w:p w:rsidR="000F48D0" w:rsidRDefault="000F48D0" w:rsidP="007242FB">
      <w:pPr>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Methodology</w:t>
      </w:r>
    </w:p>
    <w:p w:rsidR="008077DF" w:rsidRDefault="00073E91" w:rsidP="001241CF">
      <w:pPr>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order to provide potable water for the rural communities, the Kaduna State Government of Nigeria embarked on the construction of 400 boreholes under the auspices of the Kaduna </w:t>
      </w:r>
      <w:r w:rsidR="00F87F30">
        <w:rPr>
          <w:rFonts w:ascii="Times New Roman" w:eastAsia="Calibri" w:hAnsi="Times New Roman" w:cs="Times New Roman"/>
          <w:color w:val="000000"/>
          <w:sz w:val="24"/>
          <w:szCs w:val="24"/>
        </w:rPr>
        <w:t xml:space="preserve">State </w:t>
      </w:r>
      <w:r>
        <w:rPr>
          <w:rFonts w:ascii="Times New Roman" w:eastAsia="Calibri" w:hAnsi="Times New Roman" w:cs="Times New Roman"/>
          <w:color w:val="000000"/>
          <w:sz w:val="24"/>
          <w:szCs w:val="24"/>
        </w:rPr>
        <w:t>Agricultural Development P</w:t>
      </w:r>
      <w:r w:rsidR="00F87F30">
        <w:rPr>
          <w:rFonts w:ascii="Times New Roman" w:eastAsia="Calibri" w:hAnsi="Times New Roman" w:cs="Times New Roman"/>
          <w:color w:val="000000"/>
          <w:sz w:val="24"/>
          <w:szCs w:val="24"/>
        </w:rPr>
        <w:t xml:space="preserve">roject. The boreholes were drilled into the Basement complex, and while some of them were abortive, at least 91 out of the successful ones </w:t>
      </w:r>
      <w:r w:rsidR="00A4709D">
        <w:rPr>
          <w:rFonts w:ascii="Times New Roman" w:eastAsia="Calibri" w:hAnsi="Times New Roman" w:cs="Times New Roman"/>
          <w:color w:val="000000"/>
          <w:sz w:val="24"/>
          <w:szCs w:val="24"/>
        </w:rPr>
        <w:t>we</w:t>
      </w:r>
      <w:r w:rsidR="00F87F30">
        <w:rPr>
          <w:rFonts w:ascii="Times New Roman" w:eastAsia="Calibri" w:hAnsi="Times New Roman" w:cs="Times New Roman"/>
          <w:color w:val="000000"/>
          <w:sz w:val="24"/>
          <w:szCs w:val="24"/>
        </w:rPr>
        <w:t xml:space="preserve">re located within the Galma </w:t>
      </w:r>
      <w:r w:rsidR="00A4709D">
        <w:rPr>
          <w:rFonts w:ascii="Times New Roman" w:eastAsia="Calibri" w:hAnsi="Times New Roman" w:cs="Times New Roman"/>
          <w:color w:val="000000"/>
          <w:sz w:val="24"/>
          <w:szCs w:val="24"/>
        </w:rPr>
        <w:t>b</w:t>
      </w:r>
      <w:r w:rsidR="00F87F30">
        <w:rPr>
          <w:rFonts w:ascii="Times New Roman" w:eastAsia="Calibri" w:hAnsi="Times New Roman" w:cs="Times New Roman"/>
          <w:color w:val="000000"/>
          <w:sz w:val="24"/>
          <w:szCs w:val="24"/>
        </w:rPr>
        <w:t>asin</w:t>
      </w:r>
      <w:r w:rsidR="00A4709D">
        <w:rPr>
          <w:rFonts w:ascii="Times New Roman" w:eastAsia="Calibri" w:hAnsi="Times New Roman" w:cs="Times New Roman"/>
          <w:color w:val="000000"/>
          <w:sz w:val="24"/>
          <w:szCs w:val="24"/>
        </w:rPr>
        <w:t>. The summary of the borehole logs</w:t>
      </w:r>
      <w:r>
        <w:rPr>
          <w:rFonts w:ascii="Times New Roman" w:eastAsia="Calibri" w:hAnsi="Times New Roman" w:cs="Times New Roman"/>
          <w:color w:val="000000"/>
          <w:sz w:val="24"/>
          <w:szCs w:val="24"/>
        </w:rPr>
        <w:t xml:space="preserve"> </w:t>
      </w:r>
      <w:r w:rsidR="00A4709D">
        <w:rPr>
          <w:rFonts w:ascii="Times New Roman" w:eastAsia="Calibri" w:hAnsi="Times New Roman" w:cs="Times New Roman"/>
          <w:color w:val="000000"/>
          <w:sz w:val="24"/>
          <w:szCs w:val="24"/>
        </w:rPr>
        <w:t xml:space="preserve">were submitted in a report in 1994. A recent field investigation by the lead author in 2008 showed that many of the wells </w:t>
      </w:r>
      <w:r w:rsidR="00CE63F1">
        <w:rPr>
          <w:rFonts w:ascii="Times New Roman" w:eastAsia="Calibri" w:hAnsi="Times New Roman" w:cs="Times New Roman"/>
          <w:color w:val="000000"/>
          <w:sz w:val="24"/>
          <w:szCs w:val="24"/>
        </w:rPr>
        <w:t xml:space="preserve">identified were still producing. Relevant data such as depth to basement, static water level, screen length, test </w:t>
      </w:r>
      <w:r w:rsidR="00B54AC5">
        <w:rPr>
          <w:rFonts w:ascii="Times New Roman" w:eastAsia="Calibri" w:hAnsi="Times New Roman" w:cs="Times New Roman"/>
          <w:color w:val="000000"/>
          <w:sz w:val="24"/>
          <w:szCs w:val="24"/>
        </w:rPr>
        <w:t>pumping rate</w:t>
      </w:r>
      <w:r w:rsidR="00CE63F1">
        <w:rPr>
          <w:rFonts w:ascii="Times New Roman" w:eastAsia="Calibri" w:hAnsi="Times New Roman" w:cs="Times New Roman"/>
          <w:color w:val="000000"/>
          <w:sz w:val="24"/>
          <w:szCs w:val="24"/>
        </w:rPr>
        <w:t>,</w:t>
      </w:r>
      <w:r w:rsidR="00B54AC5">
        <w:rPr>
          <w:rFonts w:ascii="Times New Roman" w:eastAsia="Calibri" w:hAnsi="Times New Roman" w:cs="Times New Roman"/>
          <w:color w:val="000000"/>
          <w:sz w:val="24"/>
          <w:szCs w:val="24"/>
        </w:rPr>
        <w:t xml:space="preserve"> drawdown, yield and </w:t>
      </w:r>
      <w:r w:rsidR="00CE63F1">
        <w:rPr>
          <w:rFonts w:ascii="Times New Roman" w:eastAsia="Calibri" w:hAnsi="Times New Roman" w:cs="Times New Roman"/>
          <w:color w:val="000000"/>
          <w:sz w:val="24"/>
          <w:szCs w:val="24"/>
        </w:rPr>
        <w:t>saturated thickness</w:t>
      </w:r>
      <w:r w:rsidR="00B54AC5">
        <w:rPr>
          <w:rFonts w:ascii="Times New Roman" w:eastAsia="Calibri" w:hAnsi="Times New Roman" w:cs="Times New Roman"/>
          <w:color w:val="000000"/>
          <w:sz w:val="24"/>
          <w:szCs w:val="24"/>
        </w:rPr>
        <w:t xml:space="preserve"> were obtained from these sources, and were used to determine secondary data such as specific capacity, hydraulic conductivity and </w:t>
      </w:r>
      <w:proofErr w:type="spellStart"/>
      <w:r w:rsidR="00B54AC5">
        <w:rPr>
          <w:rFonts w:ascii="Times New Roman" w:eastAsia="Calibri" w:hAnsi="Times New Roman" w:cs="Times New Roman"/>
          <w:color w:val="000000"/>
          <w:sz w:val="24"/>
          <w:szCs w:val="24"/>
        </w:rPr>
        <w:t>transmissivity</w:t>
      </w:r>
      <w:proofErr w:type="spellEnd"/>
      <w:r w:rsidR="00B54AC5">
        <w:rPr>
          <w:rFonts w:ascii="Times New Roman" w:eastAsia="Calibri" w:hAnsi="Times New Roman" w:cs="Times New Roman"/>
          <w:color w:val="000000"/>
          <w:sz w:val="24"/>
          <w:szCs w:val="24"/>
        </w:rPr>
        <w:t>. All these data were compiled for further analysis and interpretation toward</w:t>
      </w:r>
      <w:r w:rsidR="00AB3D18">
        <w:rPr>
          <w:rFonts w:ascii="Times New Roman" w:eastAsia="Calibri" w:hAnsi="Times New Roman" w:cs="Times New Roman"/>
          <w:color w:val="000000"/>
          <w:sz w:val="24"/>
          <w:szCs w:val="24"/>
        </w:rPr>
        <w:t xml:space="preserve"> the assessment of aquifer characteristics of the basin</w:t>
      </w:r>
      <w:r w:rsidR="001241CF">
        <w:rPr>
          <w:rFonts w:ascii="Times New Roman" w:eastAsia="Calibri" w:hAnsi="Times New Roman" w:cs="Times New Roman"/>
          <w:color w:val="000000"/>
          <w:sz w:val="24"/>
          <w:szCs w:val="24"/>
        </w:rPr>
        <w:t>.</w:t>
      </w:r>
    </w:p>
    <w:p w:rsidR="001241CF" w:rsidRDefault="001241CF" w:rsidP="0079426D">
      <w:pPr>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Results</w:t>
      </w:r>
      <w:r w:rsidR="009973FF">
        <w:rPr>
          <w:rFonts w:ascii="Times New Roman" w:eastAsia="Calibri" w:hAnsi="Times New Roman" w:cs="Times New Roman"/>
          <w:b/>
          <w:color w:val="000000"/>
          <w:sz w:val="24"/>
          <w:szCs w:val="24"/>
        </w:rPr>
        <w:t xml:space="preserve"> and Discussion</w:t>
      </w:r>
    </w:p>
    <w:p w:rsidR="00FB6622" w:rsidRPr="00FB6622" w:rsidRDefault="009973FF" w:rsidP="00FB6622">
      <w:pPr>
        <w:spacing w:after="120" w:line="360" w:lineRule="auto"/>
        <w:rPr>
          <w:rFonts w:ascii="Times New Roman" w:hAnsi="Times New Roman" w:cs="Times New Roman"/>
          <w:sz w:val="24"/>
          <w:szCs w:val="24"/>
        </w:rPr>
      </w:pPr>
      <w:r w:rsidRPr="00FB6622">
        <w:rPr>
          <w:rFonts w:ascii="Times New Roman" w:eastAsia="Calibri" w:hAnsi="Times New Roman" w:cs="Times New Roman"/>
          <w:sz w:val="24"/>
          <w:szCs w:val="24"/>
        </w:rPr>
        <w:t xml:space="preserve">The </w:t>
      </w:r>
      <w:r w:rsidRPr="00FB6622">
        <w:rPr>
          <w:rFonts w:ascii="Times New Roman" w:hAnsi="Times New Roman" w:cs="Times New Roman"/>
          <w:sz w:val="24"/>
          <w:szCs w:val="24"/>
        </w:rPr>
        <w:t xml:space="preserve">depths to water table at the well points </w:t>
      </w:r>
      <w:r w:rsidRPr="00FB6622">
        <w:rPr>
          <w:rFonts w:ascii="Times New Roman" w:eastAsia="Calibri" w:hAnsi="Times New Roman" w:cs="Times New Roman"/>
          <w:sz w:val="24"/>
          <w:szCs w:val="24"/>
        </w:rPr>
        <w:t>w</w:t>
      </w:r>
      <w:r w:rsidRPr="00FB6622">
        <w:rPr>
          <w:rFonts w:ascii="Times New Roman" w:hAnsi="Times New Roman" w:cs="Times New Roman"/>
          <w:sz w:val="24"/>
          <w:szCs w:val="24"/>
        </w:rPr>
        <w:t>ere</w:t>
      </w:r>
      <w:r w:rsidRPr="00FB6622">
        <w:rPr>
          <w:rFonts w:ascii="Times New Roman" w:eastAsia="Calibri" w:hAnsi="Times New Roman" w:cs="Times New Roman"/>
          <w:sz w:val="24"/>
          <w:szCs w:val="24"/>
        </w:rPr>
        <w:t xml:space="preserve"> used to prepare the piezometric surface contour map of the Galma Basin presented as Figure </w:t>
      </w:r>
      <w:r w:rsidR="00FB6622" w:rsidRPr="00FB6622">
        <w:rPr>
          <w:rFonts w:ascii="Times New Roman" w:hAnsi="Times New Roman" w:cs="Times New Roman"/>
          <w:sz w:val="24"/>
          <w:szCs w:val="24"/>
        </w:rPr>
        <w:t>2</w:t>
      </w:r>
      <w:r w:rsidRPr="00FB6622">
        <w:rPr>
          <w:rFonts w:ascii="Times New Roman" w:eastAsia="Calibri" w:hAnsi="Times New Roman" w:cs="Times New Roman"/>
          <w:sz w:val="24"/>
          <w:szCs w:val="24"/>
        </w:rPr>
        <w:t>. This figure shows the variation in water table depths across the basin</w:t>
      </w:r>
      <w:r w:rsidR="00FB6622" w:rsidRPr="00FB6622">
        <w:rPr>
          <w:rFonts w:ascii="Times New Roman" w:hAnsi="Times New Roman" w:cs="Times New Roman"/>
          <w:sz w:val="24"/>
          <w:szCs w:val="24"/>
        </w:rPr>
        <w:t xml:space="preserve"> at the western, central and south-east parts</w:t>
      </w:r>
      <w:r w:rsidRPr="00FB6622">
        <w:rPr>
          <w:rFonts w:ascii="Times New Roman" w:eastAsia="Calibri" w:hAnsi="Times New Roman" w:cs="Times New Roman"/>
          <w:sz w:val="24"/>
          <w:szCs w:val="24"/>
        </w:rPr>
        <w:t xml:space="preserve">. The depths to water table vary, in the </w:t>
      </w:r>
      <w:r w:rsidR="00FB6622" w:rsidRPr="00FB6622">
        <w:rPr>
          <w:rFonts w:ascii="Times New Roman" w:hAnsi="Times New Roman" w:cs="Times New Roman"/>
          <w:sz w:val="24"/>
          <w:szCs w:val="24"/>
        </w:rPr>
        <w:t xml:space="preserve">western </w:t>
      </w:r>
      <w:r w:rsidRPr="00FB6622">
        <w:rPr>
          <w:rFonts w:ascii="Times New Roman" w:eastAsia="Calibri" w:hAnsi="Times New Roman" w:cs="Times New Roman"/>
          <w:sz w:val="24"/>
          <w:szCs w:val="24"/>
        </w:rPr>
        <w:t xml:space="preserve">part of the basin from 3.0m at </w:t>
      </w:r>
      <w:proofErr w:type="spellStart"/>
      <w:r w:rsidRPr="00FB6622">
        <w:rPr>
          <w:rFonts w:ascii="Times New Roman" w:eastAsia="Calibri" w:hAnsi="Times New Roman" w:cs="Times New Roman"/>
          <w:sz w:val="24"/>
          <w:szCs w:val="24"/>
        </w:rPr>
        <w:t>Panmadina</w:t>
      </w:r>
      <w:proofErr w:type="spellEnd"/>
      <w:r w:rsidRPr="00FB6622">
        <w:rPr>
          <w:rFonts w:ascii="Times New Roman" w:eastAsia="Calibri" w:hAnsi="Times New Roman" w:cs="Times New Roman"/>
          <w:sz w:val="24"/>
          <w:szCs w:val="24"/>
        </w:rPr>
        <w:t xml:space="preserve">-C to 10.3m at </w:t>
      </w:r>
      <w:proofErr w:type="spellStart"/>
      <w:r w:rsidRPr="00FB6622">
        <w:rPr>
          <w:rFonts w:ascii="Times New Roman" w:eastAsia="Calibri" w:hAnsi="Times New Roman" w:cs="Times New Roman"/>
          <w:sz w:val="24"/>
          <w:szCs w:val="24"/>
        </w:rPr>
        <w:t>Tankarau</w:t>
      </w:r>
      <w:proofErr w:type="spellEnd"/>
      <w:r w:rsidRPr="00FB6622">
        <w:rPr>
          <w:rFonts w:ascii="Times New Roman" w:eastAsia="Calibri" w:hAnsi="Times New Roman" w:cs="Times New Roman"/>
          <w:sz w:val="24"/>
          <w:szCs w:val="24"/>
        </w:rPr>
        <w:t xml:space="preserve">-B, in the </w:t>
      </w:r>
      <w:r w:rsidR="00FB6622" w:rsidRPr="00FB6622">
        <w:rPr>
          <w:rFonts w:ascii="Times New Roman" w:hAnsi="Times New Roman" w:cs="Times New Roman"/>
          <w:sz w:val="24"/>
          <w:szCs w:val="24"/>
        </w:rPr>
        <w:t xml:space="preserve">central </w:t>
      </w:r>
      <w:r w:rsidRPr="00FB6622">
        <w:rPr>
          <w:rFonts w:ascii="Times New Roman" w:eastAsia="Calibri" w:hAnsi="Times New Roman" w:cs="Times New Roman"/>
          <w:sz w:val="24"/>
          <w:szCs w:val="24"/>
        </w:rPr>
        <w:t xml:space="preserve">part from 2.1m at Kuli-2 to 14.7m at </w:t>
      </w:r>
      <w:proofErr w:type="spellStart"/>
      <w:r w:rsidRPr="00FB6622">
        <w:rPr>
          <w:rFonts w:ascii="Times New Roman" w:eastAsia="Calibri" w:hAnsi="Times New Roman" w:cs="Times New Roman"/>
          <w:sz w:val="24"/>
          <w:szCs w:val="24"/>
        </w:rPr>
        <w:t>Rangi</w:t>
      </w:r>
      <w:proofErr w:type="spellEnd"/>
      <w:r w:rsidRPr="00FB6622">
        <w:rPr>
          <w:rFonts w:ascii="Times New Roman" w:eastAsia="Calibri" w:hAnsi="Times New Roman" w:cs="Times New Roman"/>
          <w:sz w:val="24"/>
          <w:szCs w:val="24"/>
        </w:rPr>
        <w:t xml:space="preserve"> and </w:t>
      </w:r>
      <w:proofErr w:type="spellStart"/>
      <w:r w:rsidRPr="00FB6622">
        <w:rPr>
          <w:rFonts w:ascii="Times New Roman" w:eastAsia="Calibri" w:hAnsi="Times New Roman" w:cs="Times New Roman"/>
          <w:sz w:val="24"/>
          <w:szCs w:val="24"/>
        </w:rPr>
        <w:t>Ungwan</w:t>
      </w:r>
      <w:proofErr w:type="spellEnd"/>
      <w:r w:rsidRPr="00FB6622">
        <w:rPr>
          <w:rFonts w:ascii="Times New Roman" w:eastAsia="Calibri" w:hAnsi="Times New Roman" w:cs="Times New Roman"/>
          <w:sz w:val="24"/>
          <w:szCs w:val="24"/>
        </w:rPr>
        <w:t xml:space="preserve"> </w:t>
      </w:r>
      <w:proofErr w:type="spellStart"/>
      <w:r w:rsidRPr="00FB6622">
        <w:rPr>
          <w:rFonts w:ascii="Times New Roman" w:eastAsia="Calibri" w:hAnsi="Times New Roman" w:cs="Times New Roman"/>
          <w:sz w:val="24"/>
          <w:szCs w:val="24"/>
        </w:rPr>
        <w:t>Sarki</w:t>
      </w:r>
      <w:proofErr w:type="spellEnd"/>
      <w:r w:rsidRPr="00FB6622">
        <w:rPr>
          <w:rFonts w:ascii="Times New Roman" w:eastAsia="Calibri" w:hAnsi="Times New Roman" w:cs="Times New Roman"/>
          <w:sz w:val="24"/>
          <w:szCs w:val="24"/>
        </w:rPr>
        <w:t xml:space="preserve">-B, and in the </w:t>
      </w:r>
      <w:r w:rsidR="00FB6622" w:rsidRPr="00FB6622">
        <w:rPr>
          <w:rFonts w:ascii="Times New Roman" w:hAnsi="Times New Roman" w:cs="Times New Roman"/>
          <w:sz w:val="24"/>
          <w:szCs w:val="24"/>
        </w:rPr>
        <w:t>south</w:t>
      </w:r>
      <w:r w:rsidRPr="00FB6622">
        <w:rPr>
          <w:rFonts w:ascii="Times New Roman" w:eastAsia="Calibri" w:hAnsi="Times New Roman" w:cs="Times New Roman"/>
          <w:sz w:val="24"/>
          <w:szCs w:val="24"/>
        </w:rPr>
        <w:t xml:space="preserve">-eastern tip from 1.3m at </w:t>
      </w:r>
      <w:proofErr w:type="spellStart"/>
      <w:r w:rsidRPr="00FB6622">
        <w:rPr>
          <w:rFonts w:ascii="Times New Roman" w:eastAsia="Calibri" w:hAnsi="Times New Roman" w:cs="Times New Roman"/>
          <w:sz w:val="24"/>
          <w:szCs w:val="24"/>
        </w:rPr>
        <w:t>Alwalo</w:t>
      </w:r>
      <w:proofErr w:type="spellEnd"/>
      <w:r w:rsidRPr="00FB6622">
        <w:rPr>
          <w:rFonts w:ascii="Times New Roman" w:eastAsia="Calibri" w:hAnsi="Times New Roman" w:cs="Times New Roman"/>
          <w:sz w:val="24"/>
          <w:szCs w:val="24"/>
        </w:rPr>
        <w:t xml:space="preserve"> to 4.6m at </w:t>
      </w:r>
      <w:proofErr w:type="spellStart"/>
      <w:r w:rsidRPr="00FB6622">
        <w:rPr>
          <w:rFonts w:ascii="Times New Roman" w:eastAsia="Calibri" w:hAnsi="Times New Roman" w:cs="Times New Roman"/>
          <w:sz w:val="24"/>
          <w:szCs w:val="24"/>
        </w:rPr>
        <w:t>Ungwan</w:t>
      </w:r>
      <w:proofErr w:type="spellEnd"/>
      <w:r w:rsidRPr="00FB6622">
        <w:rPr>
          <w:rFonts w:ascii="Times New Roman" w:eastAsia="Calibri" w:hAnsi="Times New Roman" w:cs="Times New Roman"/>
          <w:sz w:val="24"/>
          <w:szCs w:val="24"/>
        </w:rPr>
        <w:t xml:space="preserve"> </w:t>
      </w:r>
      <w:proofErr w:type="spellStart"/>
      <w:r w:rsidRPr="00FB6622">
        <w:rPr>
          <w:rFonts w:ascii="Times New Roman" w:eastAsia="Calibri" w:hAnsi="Times New Roman" w:cs="Times New Roman"/>
          <w:sz w:val="24"/>
          <w:szCs w:val="24"/>
        </w:rPr>
        <w:t>Goje</w:t>
      </w:r>
      <w:proofErr w:type="spellEnd"/>
      <w:r w:rsidRPr="00FB6622">
        <w:rPr>
          <w:rFonts w:ascii="Times New Roman" w:eastAsia="Calibri" w:hAnsi="Times New Roman" w:cs="Times New Roman"/>
          <w:sz w:val="24"/>
          <w:szCs w:val="24"/>
        </w:rPr>
        <w:t>. The contours are closer around the western and the central part of the Basin than at the south-eastern part. This indicates that the wells are deeper in the western and central parts and are shallower toward the south east of the Basin.</w:t>
      </w:r>
    </w:p>
    <w:p w:rsidR="00FB6622" w:rsidRDefault="00D75F6B" w:rsidP="0079426D">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aquifer hydraulic parameters obtained from boreholes within the basin are summarized in Table</w:t>
      </w:r>
      <w:r w:rsidR="00FB6622">
        <w:rPr>
          <w:rFonts w:ascii="Times New Roman" w:eastAsia="Calibri" w:hAnsi="Times New Roman" w:cs="Times New Roman"/>
          <w:color w:val="000000"/>
          <w:sz w:val="24"/>
          <w:szCs w:val="24"/>
        </w:rPr>
        <w:t xml:space="preserve"> 1. </w:t>
      </w:r>
    </w:p>
    <w:p w:rsidR="00B716A6" w:rsidRDefault="00B716A6" w:rsidP="0079426D">
      <w:pPr>
        <w:spacing w:after="0" w:line="360" w:lineRule="auto"/>
        <w:rPr>
          <w:rFonts w:ascii="Times New Roman" w:eastAsia="Calibri" w:hAnsi="Times New Roman" w:cs="Times New Roman"/>
          <w:b/>
          <w:color w:val="000000"/>
          <w:sz w:val="24"/>
          <w:szCs w:val="24"/>
        </w:rPr>
      </w:pPr>
    </w:p>
    <w:p w:rsidR="00C66605" w:rsidRDefault="00C66605" w:rsidP="00C66605">
      <w:pPr>
        <w:spacing w:after="0" w:line="360" w:lineRule="auto"/>
        <w:rPr>
          <w:rFonts w:ascii="Times New Roman" w:eastAsia="Calibri" w:hAnsi="Times New Roman" w:cs="Times New Roman"/>
          <w:b/>
          <w:color w:val="000000"/>
          <w:sz w:val="24"/>
          <w:szCs w:val="24"/>
        </w:rPr>
      </w:pPr>
    </w:p>
    <w:p w:rsidR="00C66605" w:rsidRPr="000C5C2C" w:rsidRDefault="00C66605" w:rsidP="00C6660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ab/>
        <w:t>Table 1: Summary of Aquifer Hydraulic Parameters for Galma Basin</w:t>
      </w:r>
    </w:p>
    <w:tbl>
      <w:tblPr>
        <w:tblStyle w:val="TableGrid"/>
        <w:tblpPr w:leftFromText="180" w:rightFromText="180" w:vertAnchor="text" w:horzAnchor="margin" w:tblpY="213"/>
        <w:tblW w:w="9738" w:type="dxa"/>
        <w:tblLayout w:type="fixed"/>
        <w:tblLook w:val="04A0"/>
      </w:tblPr>
      <w:tblGrid>
        <w:gridCol w:w="2088"/>
        <w:gridCol w:w="1080"/>
        <w:gridCol w:w="3060"/>
        <w:gridCol w:w="2421"/>
        <w:gridCol w:w="1089"/>
      </w:tblGrid>
      <w:tr w:rsidR="00C66605" w:rsidRPr="00134787" w:rsidTr="00C66605">
        <w:tc>
          <w:tcPr>
            <w:tcW w:w="2088" w:type="dxa"/>
          </w:tcPr>
          <w:p w:rsidR="00C66605" w:rsidRPr="00134787" w:rsidRDefault="00C66605" w:rsidP="00C66605">
            <w:pPr>
              <w:spacing w:line="360" w:lineRule="auto"/>
              <w:jc w:val="center"/>
              <w:rPr>
                <w:rFonts w:ascii="Times New Roman" w:eastAsia="Calibri" w:hAnsi="Times New Roman" w:cs="Times New Roman"/>
                <w:b/>
                <w:color w:val="000000"/>
                <w:sz w:val="24"/>
                <w:szCs w:val="24"/>
              </w:rPr>
            </w:pPr>
            <w:r w:rsidRPr="00134787">
              <w:rPr>
                <w:rFonts w:ascii="Times New Roman" w:eastAsia="Calibri" w:hAnsi="Times New Roman" w:cs="Times New Roman"/>
                <w:b/>
                <w:color w:val="000000"/>
                <w:sz w:val="24"/>
                <w:szCs w:val="24"/>
              </w:rPr>
              <w:t>Parameter</w:t>
            </w:r>
          </w:p>
        </w:tc>
        <w:tc>
          <w:tcPr>
            <w:tcW w:w="1080" w:type="dxa"/>
          </w:tcPr>
          <w:p w:rsidR="00C66605" w:rsidRPr="00134787" w:rsidRDefault="00C66605" w:rsidP="00C66605">
            <w:pPr>
              <w:spacing w:line="360" w:lineRule="auto"/>
              <w:jc w:val="center"/>
              <w:rPr>
                <w:rFonts w:ascii="Times New Roman" w:eastAsia="Calibri" w:hAnsi="Times New Roman" w:cs="Times New Roman"/>
                <w:b/>
                <w:color w:val="000000"/>
                <w:sz w:val="24"/>
                <w:szCs w:val="24"/>
              </w:rPr>
            </w:pPr>
            <w:r w:rsidRPr="00134787">
              <w:rPr>
                <w:rFonts w:ascii="Times New Roman" w:eastAsia="Calibri" w:hAnsi="Times New Roman" w:cs="Times New Roman"/>
                <w:b/>
                <w:color w:val="000000"/>
                <w:sz w:val="24"/>
                <w:szCs w:val="24"/>
              </w:rPr>
              <w:t>Unit</w:t>
            </w:r>
          </w:p>
        </w:tc>
        <w:tc>
          <w:tcPr>
            <w:tcW w:w="6570" w:type="dxa"/>
            <w:gridSpan w:val="3"/>
          </w:tcPr>
          <w:p w:rsidR="00C66605" w:rsidRPr="00134787" w:rsidRDefault="00C66605" w:rsidP="00C66605">
            <w:pPr>
              <w:spacing w:line="360" w:lineRule="auto"/>
              <w:jc w:val="center"/>
              <w:rPr>
                <w:rFonts w:ascii="Times New Roman" w:eastAsia="Calibri" w:hAnsi="Times New Roman" w:cs="Times New Roman"/>
                <w:b/>
                <w:color w:val="000000"/>
                <w:sz w:val="24"/>
                <w:szCs w:val="24"/>
              </w:rPr>
            </w:pPr>
            <w:r w:rsidRPr="00134787">
              <w:rPr>
                <w:rFonts w:ascii="Times New Roman" w:eastAsia="Calibri" w:hAnsi="Times New Roman" w:cs="Times New Roman"/>
                <w:b/>
                <w:color w:val="000000"/>
                <w:sz w:val="24"/>
                <w:szCs w:val="24"/>
              </w:rPr>
              <w:t>Range of values and locations</w:t>
            </w:r>
          </w:p>
        </w:tc>
      </w:tr>
      <w:tr w:rsidR="00C66605" w:rsidRPr="00134787" w:rsidTr="00C66605">
        <w:tc>
          <w:tcPr>
            <w:tcW w:w="2088" w:type="dxa"/>
          </w:tcPr>
          <w:p w:rsidR="00C66605" w:rsidRPr="00134787" w:rsidRDefault="00C66605" w:rsidP="00C66605">
            <w:pPr>
              <w:jc w:val="center"/>
              <w:rPr>
                <w:rFonts w:ascii="Times New Roman" w:eastAsia="Calibri" w:hAnsi="Times New Roman" w:cs="Times New Roman"/>
                <w:b/>
                <w:color w:val="000000"/>
                <w:sz w:val="24"/>
                <w:szCs w:val="24"/>
              </w:rPr>
            </w:pPr>
          </w:p>
        </w:tc>
        <w:tc>
          <w:tcPr>
            <w:tcW w:w="1080" w:type="dxa"/>
          </w:tcPr>
          <w:p w:rsidR="00C66605" w:rsidRPr="00134787" w:rsidRDefault="00C66605" w:rsidP="00C66605">
            <w:pPr>
              <w:jc w:val="center"/>
              <w:rPr>
                <w:rFonts w:ascii="Times New Roman" w:eastAsia="Calibri" w:hAnsi="Times New Roman" w:cs="Times New Roman"/>
                <w:b/>
                <w:color w:val="000000"/>
                <w:sz w:val="24"/>
                <w:szCs w:val="24"/>
              </w:rPr>
            </w:pPr>
          </w:p>
        </w:tc>
        <w:tc>
          <w:tcPr>
            <w:tcW w:w="3060" w:type="dxa"/>
          </w:tcPr>
          <w:p w:rsidR="00C66605" w:rsidRDefault="00C66605" w:rsidP="00C66605">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Minimum</w:t>
            </w:r>
            <w:r w:rsidRPr="00134787">
              <w:rPr>
                <w:rFonts w:ascii="Times New Roman" w:eastAsia="Calibri" w:hAnsi="Times New Roman" w:cs="Times New Roman"/>
                <w:b/>
                <w:color w:val="000000"/>
                <w:sz w:val="24"/>
                <w:szCs w:val="24"/>
              </w:rPr>
              <w:t xml:space="preserve"> values </w:t>
            </w:r>
          </w:p>
          <w:p w:rsidR="00C66605" w:rsidRPr="00134787" w:rsidRDefault="00531E82" w:rsidP="00C66605">
            <w:pPr>
              <w:jc w:val="center"/>
              <w:rPr>
                <w:rFonts w:ascii="Times New Roman" w:eastAsia="Calibri" w:hAnsi="Times New Roman" w:cs="Times New Roman"/>
                <w:b/>
                <w:color w:val="000000"/>
                <w:sz w:val="24"/>
                <w:szCs w:val="24"/>
              </w:rPr>
            </w:pPr>
            <w:r w:rsidRPr="00134787">
              <w:rPr>
                <w:rFonts w:ascii="Times New Roman" w:eastAsia="Calibri" w:hAnsi="Times New Roman" w:cs="Times New Roman"/>
                <w:b/>
                <w:color w:val="000000"/>
                <w:sz w:val="24"/>
                <w:szCs w:val="24"/>
              </w:rPr>
              <w:t>O</w:t>
            </w:r>
            <w:r w:rsidR="00C66605" w:rsidRPr="00134787">
              <w:rPr>
                <w:rFonts w:ascii="Times New Roman" w:eastAsia="Calibri" w:hAnsi="Times New Roman" w:cs="Times New Roman"/>
                <w:b/>
                <w:color w:val="000000"/>
                <w:sz w:val="24"/>
                <w:szCs w:val="24"/>
              </w:rPr>
              <w:t>btained</w:t>
            </w:r>
          </w:p>
        </w:tc>
        <w:tc>
          <w:tcPr>
            <w:tcW w:w="2421" w:type="dxa"/>
          </w:tcPr>
          <w:p w:rsidR="00C66605" w:rsidRPr="00134787" w:rsidRDefault="00C66605" w:rsidP="00C66605">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Maximum</w:t>
            </w:r>
            <w:r w:rsidRPr="00134787">
              <w:rPr>
                <w:rFonts w:ascii="Times New Roman" w:eastAsia="Calibri" w:hAnsi="Times New Roman" w:cs="Times New Roman"/>
                <w:b/>
                <w:color w:val="000000"/>
                <w:sz w:val="24"/>
                <w:szCs w:val="24"/>
              </w:rPr>
              <w:t xml:space="preserve"> values obtained</w:t>
            </w:r>
          </w:p>
        </w:tc>
        <w:tc>
          <w:tcPr>
            <w:tcW w:w="1089" w:type="dxa"/>
          </w:tcPr>
          <w:p w:rsidR="00C66605" w:rsidRDefault="00C66605" w:rsidP="00C66605">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Average</w:t>
            </w:r>
          </w:p>
        </w:tc>
      </w:tr>
      <w:tr w:rsidR="00C66605" w:rsidTr="00C66605">
        <w:tc>
          <w:tcPr>
            <w:tcW w:w="2088" w:type="dxa"/>
          </w:tcPr>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Depth to basement</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Static water level</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Screen length</w:t>
            </w:r>
          </w:p>
          <w:p w:rsidR="00C66605" w:rsidRDefault="00C66605" w:rsidP="00C66605">
            <w:pPr>
              <w:spacing w:line="360" w:lineRule="auto"/>
              <w:rPr>
                <w:rFonts w:ascii="Times New Roman" w:eastAsia="Calibri" w:hAnsi="Times New Roman" w:cs="Times New Roman"/>
                <w:color w:val="000000"/>
                <w:sz w:val="24"/>
                <w:szCs w:val="24"/>
              </w:rPr>
            </w:pP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Pumping rate</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Drawdown</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Yield</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Regolith thickness</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Saturated thickness</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Specific capacity</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Hydraulic cond.</w:t>
            </w:r>
          </w:p>
          <w:p w:rsidR="00C66605" w:rsidRDefault="00C66605" w:rsidP="00C66605">
            <w:pPr>
              <w:spacing w:line="36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Transmissivity</w:t>
            </w:r>
            <w:proofErr w:type="spellEnd"/>
          </w:p>
        </w:tc>
        <w:tc>
          <w:tcPr>
            <w:tcW w:w="1080" w:type="dxa"/>
          </w:tcPr>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l/min</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l/min</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l/min/m</w:t>
            </w:r>
          </w:p>
          <w:p w:rsidR="00C66605"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m/day</w:t>
            </w:r>
          </w:p>
          <w:p w:rsidR="00C66605" w:rsidRPr="0035267F" w:rsidRDefault="00C66605" w:rsidP="00C66605">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day</w:t>
            </w:r>
          </w:p>
        </w:tc>
        <w:tc>
          <w:tcPr>
            <w:tcW w:w="3060" w:type="dxa"/>
          </w:tcPr>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3.0 at </w:t>
            </w:r>
            <w:proofErr w:type="spellStart"/>
            <w:r>
              <w:rPr>
                <w:rFonts w:ascii="Times New Roman" w:eastAsia="Calibri" w:hAnsi="Times New Roman" w:cs="Times New Roman"/>
                <w:color w:val="000000"/>
                <w:sz w:val="24"/>
                <w:szCs w:val="24"/>
              </w:rPr>
              <w:t>Panmadina</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17.2 at Amana </w:t>
            </w:r>
            <w:proofErr w:type="spellStart"/>
            <w:r>
              <w:rPr>
                <w:rFonts w:ascii="Times New Roman" w:eastAsia="Calibri" w:hAnsi="Times New Roman" w:cs="Times New Roman"/>
                <w:color w:val="000000"/>
                <w:sz w:val="24"/>
                <w:szCs w:val="24"/>
              </w:rPr>
              <w:t>Gari</w:t>
            </w:r>
            <w:proofErr w:type="spellEnd"/>
            <w:r>
              <w:rPr>
                <w:rFonts w:ascii="Times New Roman" w:eastAsia="Calibri" w:hAnsi="Times New Roman" w:cs="Times New Roman"/>
                <w:color w:val="000000"/>
                <w:sz w:val="24"/>
                <w:szCs w:val="24"/>
              </w:rPr>
              <w:t xml:space="preserve"> </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6.0 at </w:t>
            </w:r>
            <w:proofErr w:type="spellStart"/>
            <w:r>
              <w:rPr>
                <w:rFonts w:ascii="Times New Roman" w:eastAsia="Calibri" w:hAnsi="Times New Roman" w:cs="Times New Roman"/>
                <w:color w:val="000000"/>
                <w:sz w:val="24"/>
                <w:szCs w:val="24"/>
              </w:rPr>
              <w:t>Ashehu</w:t>
            </w:r>
            <w:proofErr w:type="spellEnd"/>
            <w:r>
              <w:rPr>
                <w:rFonts w:ascii="Times New Roman" w:eastAsia="Calibri" w:hAnsi="Times New Roman" w:cs="Times New Roman"/>
                <w:color w:val="000000"/>
                <w:sz w:val="24"/>
                <w:szCs w:val="24"/>
              </w:rPr>
              <w:t>, U/</w:t>
            </w:r>
            <w:proofErr w:type="spellStart"/>
            <w:r>
              <w:rPr>
                <w:rFonts w:ascii="Times New Roman" w:eastAsia="Calibri" w:hAnsi="Times New Roman" w:cs="Times New Roman"/>
                <w:color w:val="000000"/>
                <w:sz w:val="24"/>
                <w:szCs w:val="24"/>
              </w:rPr>
              <w:t>Marhaba</w:t>
            </w:r>
            <w:proofErr w:type="spellEnd"/>
            <w:r>
              <w:rPr>
                <w:rFonts w:ascii="Times New Roman" w:eastAsia="Calibri" w:hAnsi="Times New Roman" w:cs="Times New Roman"/>
                <w:color w:val="000000"/>
                <w:sz w:val="24"/>
                <w:szCs w:val="24"/>
              </w:rPr>
              <w:t>, U/</w:t>
            </w:r>
            <w:proofErr w:type="spellStart"/>
            <w:r>
              <w:rPr>
                <w:rFonts w:ascii="Times New Roman" w:eastAsia="Calibri" w:hAnsi="Times New Roman" w:cs="Times New Roman"/>
                <w:color w:val="000000"/>
                <w:sz w:val="24"/>
                <w:szCs w:val="24"/>
              </w:rPr>
              <w:t>Sarki</w:t>
            </w:r>
            <w:proofErr w:type="spellEnd"/>
            <w:r>
              <w:rPr>
                <w:rFonts w:ascii="Times New Roman" w:eastAsia="Calibri" w:hAnsi="Times New Roman" w:cs="Times New Roman"/>
                <w:color w:val="000000"/>
                <w:sz w:val="24"/>
                <w:szCs w:val="24"/>
              </w:rPr>
              <w:t>, U/</w:t>
            </w:r>
            <w:proofErr w:type="spellStart"/>
            <w:r>
              <w:rPr>
                <w:rFonts w:ascii="Times New Roman" w:eastAsia="Calibri" w:hAnsi="Times New Roman" w:cs="Times New Roman"/>
                <w:color w:val="000000"/>
                <w:sz w:val="24"/>
                <w:szCs w:val="24"/>
              </w:rPr>
              <w:t>Tsoho</w:t>
            </w:r>
            <w:proofErr w:type="spellEnd"/>
            <w:r>
              <w:rPr>
                <w:rFonts w:ascii="Times New Roman" w:eastAsia="Calibri" w:hAnsi="Times New Roman" w:cs="Times New Roman"/>
                <w:color w:val="000000"/>
                <w:sz w:val="24"/>
                <w:szCs w:val="24"/>
              </w:rPr>
              <w:t xml:space="preserve"> &amp; </w:t>
            </w:r>
            <w:proofErr w:type="spellStart"/>
            <w:r>
              <w:rPr>
                <w:rFonts w:ascii="Times New Roman" w:eastAsia="Calibri" w:hAnsi="Times New Roman" w:cs="Times New Roman"/>
                <w:color w:val="000000"/>
                <w:sz w:val="24"/>
                <w:szCs w:val="24"/>
              </w:rPr>
              <w:t>Turunku</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15.0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-II</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 at U/Dankande</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10.0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-II</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at 4 locations</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21.1 at </w:t>
            </w:r>
            <w:proofErr w:type="spellStart"/>
            <w:r>
              <w:rPr>
                <w:rFonts w:ascii="Times New Roman" w:eastAsia="Calibri" w:hAnsi="Times New Roman" w:cs="Times New Roman"/>
                <w:color w:val="000000"/>
                <w:sz w:val="24"/>
                <w:szCs w:val="24"/>
              </w:rPr>
              <w:t>Kafin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Kubau</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0.75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-II</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0.30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-II</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1.38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-II</w:t>
            </w:r>
          </w:p>
        </w:tc>
        <w:tc>
          <w:tcPr>
            <w:tcW w:w="2421" w:type="dxa"/>
          </w:tcPr>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14.7 at U/</w:t>
            </w:r>
            <w:proofErr w:type="spellStart"/>
            <w:r>
              <w:rPr>
                <w:rFonts w:ascii="Times New Roman" w:eastAsia="Calibri" w:hAnsi="Times New Roman" w:cs="Times New Roman"/>
                <w:color w:val="000000"/>
                <w:sz w:val="24"/>
                <w:szCs w:val="24"/>
              </w:rPr>
              <w:t>Sarki</w:t>
            </w:r>
            <w:proofErr w:type="spellEnd"/>
            <w:r>
              <w:rPr>
                <w:rFonts w:ascii="Times New Roman" w:eastAsia="Calibri" w:hAnsi="Times New Roman" w:cs="Times New Roman"/>
                <w:color w:val="000000"/>
                <w:sz w:val="24"/>
                <w:szCs w:val="24"/>
              </w:rPr>
              <w:t>-B</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67.0 at U/</w:t>
            </w:r>
            <w:proofErr w:type="spellStart"/>
            <w:r>
              <w:rPr>
                <w:rFonts w:ascii="Times New Roman" w:eastAsia="Calibri" w:hAnsi="Times New Roman" w:cs="Times New Roman"/>
                <w:color w:val="000000"/>
                <w:sz w:val="24"/>
                <w:szCs w:val="24"/>
              </w:rPr>
              <w:t>Barau</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45.0 at </w:t>
            </w:r>
            <w:proofErr w:type="spellStart"/>
            <w:r>
              <w:rPr>
                <w:rFonts w:ascii="Times New Roman" w:eastAsia="Calibri" w:hAnsi="Times New Roman" w:cs="Times New Roman"/>
                <w:color w:val="000000"/>
                <w:sz w:val="24"/>
                <w:szCs w:val="24"/>
              </w:rPr>
              <w:t>Zuntu</w:t>
            </w:r>
            <w:proofErr w:type="spellEnd"/>
            <w:r>
              <w:rPr>
                <w:rFonts w:ascii="Times New Roman" w:eastAsia="Calibri" w:hAnsi="Times New Roman" w:cs="Times New Roman"/>
                <w:color w:val="000000"/>
                <w:sz w:val="24"/>
                <w:szCs w:val="24"/>
              </w:rPr>
              <w:t>-A</w:t>
            </w:r>
          </w:p>
          <w:p w:rsidR="00C66605" w:rsidRDefault="00C66605" w:rsidP="00C66605">
            <w:pPr>
              <w:spacing w:line="360" w:lineRule="auto"/>
              <w:rPr>
                <w:rFonts w:ascii="Times New Roman" w:eastAsia="Calibri" w:hAnsi="Times New Roman" w:cs="Times New Roman"/>
                <w:color w:val="000000"/>
                <w:sz w:val="24"/>
                <w:szCs w:val="24"/>
              </w:rPr>
            </w:pP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132.0 at </w:t>
            </w:r>
            <w:proofErr w:type="spellStart"/>
            <w:r>
              <w:rPr>
                <w:rFonts w:ascii="Times New Roman" w:eastAsia="Calibri" w:hAnsi="Times New Roman" w:cs="Times New Roman"/>
                <w:color w:val="000000"/>
                <w:sz w:val="24"/>
                <w:szCs w:val="24"/>
              </w:rPr>
              <w:t>Fagachi</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20.8 at </w:t>
            </w:r>
            <w:proofErr w:type="spellStart"/>
            <w:r>
              <w:rPr>
                <w:rFonts w:ascii="Times New Roman" w:eastAsia="Calibri" w:hAnsi="Times New Roman" w:cs="Times New Roman"/>
                <w:color w:val="000000"/>
                <w:sz w:val="24"/>
                <w:szCs w:val="24"/>
              </w:rPr>
              <w:t>Yarkasuwa</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190.0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Gida</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36.0 at U/</w:t>
            </w:r>
            <w:proofErr w:type="spellStart"/>
            <w:r>
              <w:rPr>
                <w:rFonts w:ascii="Times New Roman" w:eastAsia="Calibri" w:hAnsi="Times New Roman" w:cs="Times New Roman"/>
                <w:color w:val="000000"/>
                <w:sz w:val="24"/>
                <w:szCs w:val="24"/>
              </w:rPr>
              <w:t>Sarki</w:t>
            </w:r>
            <w:proofErr w:type="spellEnd"/>
            <w:r>
              <w:rPr>
                <w:rFonts w:ascii="Times New Roman" w:eastAsia="Calibri" w:hAnsi="Times New Roman" w:cs="Times New Roman"/>
                <w:color w:val="000000"/>
                <w:sz w:val="24"/>
                <w:szCs w:val="24"/>
              </w:rPr>
              <w:t>-B</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55.3 at </w:t>
            </w:r>
            <w:proofErr w:type="spellStart"/>
            <w:r>
              <w:rPr>
                <w:rFonts w:ascii="Times New Roman" w:eastAsia="Calibri" w:hAnsi="Times New Roman" w:cs="Times New Roman"/>
                <w:color w:val="000000"/>
                <w:sz w:val="24"/>
                <w:szCs w:val="24"/>
              </w:rPr>
              <w:t>Jenau</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19.18 at U/Dankande</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9.36 at </w:t>
            </w:r>
            <w:proofErr w:type="spellStart"/>
            <w:r>
              <w:rPr>
                <w:rFonts w:ascii="Times New Roman" w:eastAsia="Calibri" w:hAnsi="Times New Roman" w:cs="Times New Roman"/>
                <w:color w:val="000000"/>
                <w:sz w:val="24"/>
                <w:szCs w:val="24"/>
              </w:rPr>
              <w:t>Karofi</w:t>
            </w:r>
            <w:proofErr w:type="spellEnd"/>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34.7 at U/Dankande</w:t>
            </w:r>
          </w:p>
        </w:tc>
        <w:tc>
          <w:tcPr>
            <w:tcW w:w="1089" w:type="dxa"/>
          </w:tcPr>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38.16</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6.56</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16.16</w:t>
            </w:r>
          </w:p>
          <w:p w:rsidR="00C66605" w:rsidRDefault="00C66605" w:rsidP="00C66605">
            <w:pPr>
              <w:spacing w:line="360" w:lineRule="auto"/>
              <w:rPr>
                <w:rFonts w:ascii="Times New Roman" w:eastAsia="Calibri" w:hAnsi="Times New Roman" w:cs="Times New Roman"/>
                <w:color w:val="000000"/>
                <w:sz w:val="24"/>
                <w:szCs w:val="24"/>
              </w:rPr>
            </w:pP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40.13</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11.22</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45.77</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16.17</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34.68</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4.45</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2.13</w:t>
            </w:r>
          </w:p>
          <w:p w:rsidR="00C66605" w:rsidRDefault="00C66605" w:rsidP="00C66605">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8.24  </w:t>
            </w:r>
          </w:p>
        </w:tc>
      </w:tr>
    </w:tbl>
    <w:p w:rsidR="002F60A9" w:rsidRPr="003E7E44" w:rsidRDefault="003E7E44" w:rsidP="003E7E44">
      <w:pPr>
        <w:spacing w:after="0" w:line="360" w:lineRule="auto"/>
        <w:jc w:val="left"/>
        <w:rPr>
          <w:rFonts w:ascii="Times New Roman" w:eastAsia="Calibri" w:hAnsi="Times New Roman" w:cs="Times New Roman"/>
          <w:i/>
          <w:color w:val="000000"/>
          <w:sz w:val="24"/>
          <w:szCs w:val="24"/>
        </w:rPr>
      </w:pPr>
      <w:r w:rsidRPr="003E7E44">
        <w:rPr>
          <w:rFonts w:ascii="Times New Roman" w:eastAsia="Calibri" w:hAnsi="Times New Roman" w:cs="Times New Roman"/>
          <w:i/>
          <w:color w:val="000000"/>
          <w:sz w:val="24"/>
          <w:szCs w:val="24"/>
        </w:rPr>
        <w:t xml:space="preserve">Source: </w:t>
      </w:r>
      <w:proofErr w:type="spellStart"/>
      <w:r w:rsidRPr="003E7E44">
        <w:rPr>
          <w:rFonts w:ascii="Times New Roman" w:eastAsia="Calibri" w:hAnsi="Times New Roman" w:cs="Times New Roman"/>
          <w:i/>
          <w:color w:val="000000"/>
          <w:sz w:val="24"/>
          <w:szCs w:val="24"/>
        </w:rPr>
        <w:t>Olaniyan</w:t>
      </w:r>
      <w:proofErr w:type="spellEnd"/>
      <w:r w:rsidRPr="003E7E44">
        <w:rPr>
          <w:rFonts w:ascii="Times New Roman" w:eastAsia="Calibri" w:hAnsi="Times New Roman" w:cs="Times New Roman"/>
          <w:i/>
          <w:color w:val="000000"/>
          <w:sz w:val="24"/>
          <w:szCs w:val="24"/>
        </w:rPr>
        <w:t>, 2010</w:t>
      </w:r>
    </w:p>
    <w:p w:rsidR="002F60A9" w:rsidRDefault="002F60A9" w:rsidP="002F60A9">
      <w:pPr>
        <w:spacing w:after="0" w:line="360" w:lineRule="auto"/>
        <w:rPr>
          <w:rFonts w:ascii="Times New Roman" w:eastAsia="Calibri" w:hAnsi="Times New Roman" w:cs="Times New Roman"/>
          <w:color w:val="000000"/>
          <w:sz w:val="24"/>
          <w:szCs w:val="24"/>
        </w:rPr>
      </w:pPr>
      <w:r w:rsidRPr="00CB70AB">
        <w:rPr>
          <w:rFonts w:ascii="Times New Roman" w:eastAsia="Calibri" w:hAnsi="Times New Roman" w:cs="Times New Roman"/>
          <w:b/>
          <w:color w:val="000000"/>
          <w:sz w:val="24"/>
          <w:szCs w:val="24"/>
        </w:rPr>
        <w:t>Yields</w:t>
      </w:r>
      <w:r>
        <w:rPr>
          <w:rFonts w:ascii="Times New Roman" w:eastAsia="Calibri" w:hAnsi="Times New Roman" w:cs="Times New Roman"/>
          <w:color w:val="000000"/>
          <w:sz w:val="24"/>
          <w:szCs w:val="24"/>
        </w:rPr>
        <w:t xml:space="preserve">: The yields of the boreholes in the basin range from 10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 xml:space="preserve">-II to 190 l/min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Gida</w:t>
      </w:r>
      <w:proofErr w:type="spellEnd"/>
      <w:r>
        <w:rPr>
          <w:rFonts w:ascii="Times New Roman" w:eastAsia="Calibri" w:hAnsi="Times New Roman" w:cs="Times New Roman"/>
          <w:color w:val="000000"/>
          <w:sz w:val="24"/>
          <w:szCs w:val="24"/>
        </w:rPr>
        <w:t xml:space="preserve">, with an average of 45.77 l/min. The low values are typical of Basement rocks which are naturally poor aquifers, while the high values are believed to reflect the degree of fracturing of the parent bedrock. </w:t>
      </w:r>
    </w:p>
    <w:p w:rsidR="002F60A9" w:rsidRDefault="002F60A9" w:rsidP="002F60A9">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Specific Capacity:</w:t>
      </w:r>
      <w:r>
        <w:rPr>
          <w:rFonts w:ascii="Times New Roman" w:eastAsia="Calibri" w:hAnsi="Times New Roman" w:cs="Times New Roman"/>
          <w:color w:val="000000"/>
          <w:sz w:val="24"/>
          <w:szCs w:val="24"/>
        </w:rPr>
        <w:t xml:space="preserve"> Specific capacity generally gives a better indication of aquifer performance than yield since it also reflects aquifer </w:t>
      </w:r>
      <w:proofErr w:type="spellStart"/>
      <w:r>
        <w:rPr>
          <w:rFonts w:ascii="Times New Roman" w:eastAsia="Calibri" w:hAnsi="Times New Roman" w:cs="Times New Roman"/>
          <w:color w:val="000000"/>
          <w:sz w:val="24"/>
          <w:szCs w:val="24"/>
        </w:rPr>
        <w:t>transmissivity</w:t>
      </w:r>
      <w:proofErr w:type="spellEnd"/>
      <w:r>
        <w:rPr>
          <w:rFonts w:ascii="Times New Roman" w:eastAsia="Calibri" w:hAnsi="Times New Roman" w:cs="Times New Roman"/>
          <w:color w:val="000000"/>
          <w:sz w:val="24"/>
          <w:szCs w:val="24"/>
        </w:rPr>
        <w:t xml:space="preserve"> and thickness (</w:t>
      </w:r>
      <w:proofErr w:type="spellStart"/>
      <w:r>
        <w:rPr>
          <w:rFonts w:ascii="Times New Roman" w:eastAsia="Calibri" w:hAnsi="Times New Roman" w:cs="Times New Roman"/>
          <w:color w:val="000000"/>
          <w:sz w:val="24"/>
          <w:szCs w:val="24"/>
        </w:rPr>
        <w:t>Uma</w:t>
      </w:r>
      <w:proofErr w:type="spellEnd"/>
      <w:r>
        <w:rPr>
          <w:rFonts w:ascii="Times New Roman" w:eastAsia="Calibri" w:hAnsi="Times New Roman" w:cs="Times New Roman"/>
          <w:color w:val="000000"/>
          <w:sz w:val="24"/>
          <w:szCs w:val="24"/>
        </w:rPr>
        <w:t xml:space="preserve"> and </w:t>
      </w:r>
      <w:proofErr w:type="spellStart"/>
      <w:r>
        <w:rPr>
          <w:rFonts w:ascii="Times New Roman" w:eastAsia="Calibri" w:hAnsi="Times New Roman" w:cs="Times New Roman"/>
          <w:color w:val="000000"/>
          <w:sz w:val="24"/>
          <w:szCs w:val="24"/>
        </w:rPr>
        <w:t>Kehinde</w:t>
      </w:r>
      <w:proofErr w:type="spellEnd"/>
      <w:r>
        <w:rPr>
          <w:rFonts w:ascii="Times New Roman" w:eastAsia="Calibri" w:hAnsi="Times New Roman" w:cs="Times New Roman"/>
          <w:color w:val="000000"/>
          <w:sz w:val="24"/>
          <w:szCs w:val="24"/>
        </w:rPr>
        <w:t xml:space="preserve">, 1994). The range of calculated values for the basin is from 0.75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 xml:space="preserve">-II to 19.18 l/min/m at </w:t>
      </w:r>
      <w:proofErr w:type="spellStart"/>
      <w:r>
        <w:rPr>
          <w:rFonts w:ascii="Times New Roman" w:eastAsia="Calibri" w:hAnsi="Times New Roman" w:cs="Times New Roman"/>
          <w:color w:val="000000"/>
          <w:sz w:val="24"/>
          <w:szCs w:val="24"/>
        </w:rPr>
        <w:t>Ungwan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Dankande</w:t>
      </w:r>
      <w:proofErr w:type="spellEnd"/>
      <w:r>
        <w:rPr>
          <w:rFonts w:ascii="Times New Roman" w:eastAsia="Calibri" w:hAnsi="Times New Roman" w:cs="Times New Roman"/>
          <w:color w:val="000000"/>
          <w:sz w:val="24"/>
          <w:szCs w:val="24"/>
        </w:rPr>
        <w:t>, with an average value of 4.45 l/min/m. These values could also be attributed probably to the variations in degrees of fracturing, grain-size and texture of the bedrocks and of the regolith.</w:t>
      </w:r>
    </w:p>
    <w:p w:rsidR="002F60A9" w:rsidRDefault="002F60A9" w:rsidP="002F60A9">
      <w:pPr>
        <w:spacing w:line="36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b/>
          <w:color w:val="000000"/>
          <w:sz w:val="24"/>
          <w:szCs w:val="24"/>
        </w:rPr>
        <w:t>Transmissivity</w:t>
      </w:r>
      <w:proofErr w:type="spellEnd"/>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The calculated </w:t>
      </w:r>
      <w:proofErr w:type="spellStart"/>
      <w:r>
        <w:rPr>
          <w:rFonts w:ascii="Times New Roman" w:eastAsia="Calibri" w:hAnsi="Times New Roman" w:cs="Times New Roman"/>
          <w:color w:val="000000"/>
          <w:sz w:val="24"/>
          <w:szCs w:val="24"/>
        </w:rPr>
        <w:t>transmissivity</w:t>
      </w:r>
      <w:proofErr w:type="spellEnd"/>
      <w:r>
        <w:rPr>
          <w:rFonts w:ascii="Times New Roman" w:eastAsia="Calibri" w:hAnsi="Times New Roman" w:cs="Times New Roman"/>
          <w:color w:val="000000"/>
          <w:sz w:val="24"/>
          <w:szCs w:val="24"/>
        </w:rPr>
        <w:t xml:space="preserve">, T, values of the aquifers range from 1.38 at </w:t>
      </w:r>
      <w:proofErr w:type="spellStart"/>
      <w:r>
        <w:rPr>
          <w:rFonts w:ascii="Times New Roman" w:eastAsia="Calibri" w:hAnsi="Times New Roman" w:cs="Times New Roman"/>
          <w:color w:val="000000"/>
          <w:sz w:val="24"/>
          <w:szCs w:val="24"/>
        </w:rPr>
        <w:t>Sabon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Layi</w:t>
      </w:r>
      <w:proofErr w:type="spellEnd"/>
      <w:r>
        <w:rPr>
          <w:rFonts w:ascii="Times New Roman" w:eastAsia="Calibri" w:hAnsi="Times New Roman" w:cs="Times New Roman"/>
          <w:color w:val="000000"/>
          <w:sz w:val="24"/>
          <w:szCs w:val="24"/>
        </w:rPr>
        <w:t xml:space="preserve">-II </w:t>
      </w:r>
      <w:proofErr w:type="gramStart"/>
      <w:r>
        <w:rPr>
          <w:rFonts w:ascii="Times New Roman" w:eastAsia="Calibri" w:hAnsi="Times New Roman" w:cs="Times New Roman"/>
          <w:color w:val="000000"/>
          <w:sz w:val="24"/>
          <w:szCs w:val="24"/>
        </w:rPr>
        <w:t>to 34.7 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/day at </w:t>
      </w:r>
      <w:proofErr w:type="spellStart"/>
      <w:r>
        <w:rPr>
          <w:rFonts w:ascii="Times New Roman" w:eastAsia="Calibri" w:hAnsi="Times New Roman" w:cs="Times New Roman"/>
          <w:color w:val="000000"/>
          <w:sz w:val="24"/>
          <w:szCs w:val="24"/>
        </w:rPr>
        <w:t>Ungwan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Dankande</w:t>
      </w:r>
      <w:proofErr w:type="spellEnd"/>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with an average value of 8.24 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/day. While low values are characteristic of crystalline aquifers, high values may be ascribed to the occurrence of prominent and cross-cutting fractures in the Basement rocks.</w:t>
      </w:r>
    </w:p>
    <w:p w:rsidR="00396E13" w:rsidRPr="00396E13" w:rsidRDefault="00396E13" w:rsidP="00396E13">
      <w:pPr>
        <w:spacing w:after="0" w:line="480" w:lineRule="auto"/>
        <w:rPr>
          <w:rFonts w:ascii="Times New Roman" w:eastAsia="Calibri" w:hAnsi="Times New Roman" w:cs="Times New Roman"/>
          <w:b/>
          <w:sz w:val="24"/>
          <w:szCs w:val="24"/>
        </w:rPr>
      </w:pPr>
      <w:r w:rsidRPr="00396E13">
        <w:rPr>
          <w:rFonts w:ascii="Times New Roman" w:eastAsia="Calibri" w:hAnsi="Times New Roman" w:cs="Times New Roman"/>
          <w:b/>
          <w:sz w:val="24"/>
          <w:szCs w:val="24"/>
        </w:rPr>
        <w:lastRenderedPageBreak/>
        <w:t>Cross-sections through Piezometric and Basement Rock Surfaces</w:t>
      </w:r>
    </w:p>
    <w:p w:rsidR="00396E13" w:rsidRDefault="00396E13" w:rsidP="00396E13">
      <w:pPr>
        <w:spacing w:after="0" w:line="360" w:lineRule="auto"/>
        <w:rPr>
          <w:rFonts w:ascii="Times New Roman" w:hAnsi="Times New Roman" w:cs="Times New Roman"/>
          <w:sz w:val="24"/>
          <w:szCs w:val="24"/>
        </w:rPr>
      </w:pPr>
      <w:r w:rsidRPr="00396E13">
        <w:rPr>
          <w:rFonts w:ascii="Times New Roman" w:eastAsia="Calibri" w:hAnsi="Times New Roman" w:cs="Times New Roman"/>
          <w:sz w:val="24"/>
          <w:szCs w:val="24"/>
        </w:rPr>
        <w:t xml:space="preserve">Cross-sections were taken through the water table surface as well as the Basement complex rock surface to compare pictorially the relative positions of the water table with respect to the underlying Basement rocks. Figure </w:t>
      </w:r>
      <w:r>
        <w:rPr>
          <w:rFonts w:ascii="Times New Roman" w:hAnsi="Times New Roman" w:cs="Times New Roman"/>
          <w:sz w:val="24"/>
          <w:szCs w:val="24"/>
        </w:rPr>
        <w:t>3</w:t>
      </w:r>
      <w:r w:rsidRPr="00396E13">
        <w:rPr>
          <w:rFonts w:ascii="Times New Roman" w:eastAsia="Calibri" w:hAnsi="Times New Roman" w:cs="Times New Roman"/>
          <w:sz w:val="24"/>
          <w:szCs w:val="24"/>
        </w:rPr>
        <w:t xml:space="preserve"> was taken in the north west–south east direction within the basin, while Figure </w:t>
      </w:r>
      <w:r>
        <w:rPr>
          <w:rFonts w:ascii="Times New Roman" w:hAnsi="Times New Roman" w:cs="Times New Roman"/>
          <w:sz w:val="24"/>
          <w:szCs w:val="24"/>
        </w:rPr>
        <w:t>4</w:t>
      </w:r>
      <w:r w:rsidRPr="00396E13">
        <w:rPr>
          <w:rFonts w:ascii="Times New Roman" w:eastAsia="Calibri" w:hAnsi="Times New Roman" w:cs="Times New Roman"/>
          <w:sz w:val="24"/>
          <w:szCs w:val="24"/>
        </w:rPr>
        <w:t xml:space="preserve"> shows similar cross-section in the west–east direction in the basin as can be measured from Figure </w:t>
      </w:r>
      <w:r>
        <w:rPr>
          <w:rFonts w:ascii="Times New Roman" w:hAnsi="Times New Roman" w:cs="Times New Roman"/>
          <w:sz w:val="24"/>
          <w:szCs w:val="24"/>
        </w:rPr>
        <w:t>1.</w:t>
      </w:r>
      <w:r w:rsidRPr="00396E13">
        <w:rPr>
          <w:rFonts w:ascii="Times New Roman" w:eastAsia="Calibri" w:hAnsi="Times New Roman" w:cs="Times New Roman"/>
          <w:sz w:val="24"/>
          <w:szCs w:val="24"/>
        </w:rPr>
        <w:t xml:space="preserve"> Both figures </w:t>
      </w:r>
      <w:r>
        <w:rPr>
          <w:rFonts w:ascii="Times New Roman" w:hAnsi="Times New Roman" w:cs="Times New Roman"/>
          <w:sz w:val="24"/>
          <w:szCs w:val="24"/>
        </w:rPr>
        <w:t>3</w:t>
      </w:r>
      <w:r w:rsidRPr="00396E13">
        <w:rPr>
          <w:rFonts w:ascii="Times New Roman" w:eastAsia="Calibri" w:hAnsi="Times New Roman" w:cs="Times New Roman"/>
          <w:sz w:val="24"/>
          <w:szCs w:val="24"/>
        </w:rPr>
        <w:t xml:space="preserve"> and </w:t>
      </w:r>
      <w:r>
        <w:rPr>
          <w:rFonts w:ascii="Times New Roman" w:hAnsi="Times New Roman" w:cs="Times New Roman"/>
          <w:sz w:val="24"/>
          <w:szCs w:val="24"/>
        </w:rPr>
        <w:t>4</w:t>
      </w:r>
      <w:r w:rsidRPr="00396E13">
        <w:rPr>
          <w:rFonts w:ascii="Times New Roman" w:eastAsia="Calibri" w:hAnsi="Times New Roman" w:cs="Times New Roman"/>
          <w:sz w:val="24"/>
          <w:szCs w:val="24"/>
        </w:rPr>
        <w:t xml:space="preserve"> showed that there is a non-parallel relationship between the water table surface and the Basement rock surface in the Galma Basin.</w:t>
      </w:r>
    </w:p>
    <w:p w:rsidR="00C66605" w:rsidRDefault="00C97550" w:rsidP="00396E13">
      <w:pPr>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Statistical Evaluation of</w:t>
      </w:r>
      <w:r w:rsidR="00C66605">
        <w:rPr>
          <w:rFonts w:ascii="Times New Roman" w:eastAsia="Calibri" w:hAnsi="Times New Roman" w:cs="Times New Roman"/>
          <w:b/>
          <w:color w:val="000000"/>
          <w:sz w:val="24"/>
          <w:szCs w:val="24"/>
        </w:rPr>
        <w:t xml:space="preserve"> Parameters</w:t>
      </w:r>
    </w:p>
    <w:p w:rsidR="00D0429D" w:rsidRDefault="00D0429D" w:rsidP="00C97550">
      <w:pPr>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w:t>
      </w:r>
      <w:r w:rsidR="00913D3C">
        <w:rPr>
          <w:rFonts w:ascii="Times New Roman" w:eastAsia="Calibri" w:hAnsi="Times New Roman" w:cs="Times New Roman"/>
          <w:color w:val="000000"/>
          <w:sz w:val="24"/>
          <w:szCs w:val="24"/>
        </w:rPr>
        <w:t xml:space="preserve"> Pearson Product Moment Correlation analysis was used to investigate the degree and nature of interrelationship among major parameters of interest which are yield and </w:t>
      </w:r>
      <w:r w:rsidR="008B2ACE">
        <w:rPr>
          <w:rFonts w:ascii="Times New Roman" w:eastAsia="Calibri" w:hAnsi="Times New Roman" w:cs="Times New Roman"/>
          <w:color w:val="000000"/>
          <w:sz w:val="24"/>
          <w:szCs w:val="24"/>
        </w:rPr>
        <w:t>regolith thickness</w:t>
      </w:r>
      <w:r w:rsidR="00913D3C">
        <w:rPr>
          <w:rFonts w:ascii="Times New Roman" w:eastAsia="Calibri" w:hAnsi="Times New Roman" w:cs="Times New Roman"/>
          <w:color w:val="000000"/>
          <w:sz w:val="24"/>
          <w:szCs w:val="24"/>
        </w:rPr>
        <w:t xml:space="preserve"> on one hand, and </w:t>
      </w:r>
      <w:proofErr w:type="spellStart"/>
      <w:r w:rsidR="008B2ACE">
        <w:rPr>
          <w:rFonts w:ascii="Times New Roman" w:eastAsia="Calibri" w:hAnsi="Times New Roman" w:cs="Times New Roman"/>
          <w:color w:val="000000"/>
          <w:sz w:val="24"/>
          <w:szCs w:val="24"/>
        </w:rPr>
        <w:t>transmissivity</w:t>
      </w:r>
      <w:proofErr w:type="spellEnd"/>
      <w:r w:rsidR="008B2ACE">
        <w:rPr>
          <w:rFonts w:ascii="Times New Roman" w:eastAsia="Calibri" w:hAnsi="Times New Roman" w:cs="Times New Roman"/>
          <w:color w:val="000000"/>
          <w:sz w:val="24"/>
          <w:szCs w:val="24"/>
        </w:rPr>
        <w:t xml:space="preserve"> and length of screen on the other hand. </w:t>
      </w:r>
      <w:r w:rsidR="001D3C96">
        <w:rPr>
          <w:rFonts w:ascii="Times New Roman" w:eastAsia="Calibri" w:hAnsi="Times New Roman" w:cs="Times New Roman"/>
          <w:color w:val="000000"/>
          <w:sz w:val="24"/>
          <w:szCs w:val="24"/>
        </w:rPr>
        <w:t xml:space="preserve">The result showed that there is a poor negative correlation with a value of -0.175 between yield and regolith thickness, and also a similar correlation with a value of -0.0579 between </w:t>
      </w:r>
      <w:proofErr w:type="spellStart"/>
      <w:r w:rsidR="001D3C96">
        <w:rPr>
          <w:rFonts w:ascii="Times New Roman" w:eastAsia="Calibri" w:hAnsi="Times New Roman" w:cs="Times New Roman"/>
          <w:color w:val="000000"/>
          <w:sz w:val="24"/>
          <w:szCs w:val="24"/>
        </w:rPr>
        <w:t>transmissivity</w:t>
      </w:r>
      <w:proofErr w:type="spellEnd"/>
      <w:r w:rsidR="001D3C96">
        <w:rPr>
          <w:rFonts w:ascii="Times New Roman" w:eastAsia="Calibri" w:hAnsi="Times New Roman" w:cs="Times New Roman"/>
          <w:color w:val="000000"/>
          <w:sz w:val="24"/>
          <w:szCs w:val="24"/>
        </w:rPr>
        <w:t xml:space="preserve"> and screen length.</w:t>
      </w:r>
      <w:r w:rsidR="00C97550">
        <w:rPr>
          <w:rFonts w:ascii="Times New Roman" w:eastAsia="Calibri" w:hAnsi="Times New Roman" w:cs="Times New Roman"/>
          <w:color w:val="000000"/>
          <w:sz w:val="24"/>
          <w:szCs w:val="24"/>
        </w:rPr>
        <w:t xml:space="preserve"> The deduction that can be made is that regolith thickness and screen length </w:t>
      </w:r>
      <w:r w:rsidR="00F236E4">
        <w:rPr>
          <w:rFonts w:ascii="Times New Roman" w:eastAsia="Calibri" w:hAnsi="Times New Roman" w:cs="Times New Roman"/>
          <w:color w:val="000000"/>
          <w:sz w:val="24"/>
          <w:szCs w:val="24"/>
        </w:rPr>
        <w:t>are not the major determinants of the</w:t>
      </w:r>
      <w:r w:rsidR="00C97550">
        <w:rPr>
          <w:rFonts w:ascii="Times New Roman" w:eastAsia="Calibri" w:hAnsi="Times New Roman" w:cs="Times New Roman"/>
          <w:color w:val="000000"/>
          <w:sz w:val="24"/>
          <w:szCs w:val="24"/>
        </w:rPr>
        <w:t xml:space="preserve"> </w:t>
      </w:r>
      <w:r w:rsidR="00A95D11">
        <w:rPr>
          <w:rFonts w:ascii="Times New Roman" w:eastAsia="Calibri" w:hAnsi="Times New Roman" w:cs="Times New Roman"/>
          <w:color w:val="000000"/>
          <w:sz w:val="24"/>
          <w:szCs w:val="24"/>
        </w:rPr>
        <w:t>yield of a borehole in crystalline Basement terrains</w:t>
      </w:r>
      <w:r w:rsidR="00F236E4">
        <w:rPr>
          <w:rFonts w:ascii="Times New Roman" w:eastAsia="Calibri" w:hAnsi="Times New Roman" w:cs="Times New Roman"/>
          <w:color w:val="000000"/>
          <w:sz w:val="24"/>
          <w:szCs w:val="24"/>
        </w:rPr>
        <w:t>, there are other factors that play more significant role.</w:t>
      </w:r>
    </w:p>
    <w:p w:rsidR="00CD41B7" w:rsidRDefault="00C97550" w:rsidP="00C97550">
      <w:pPr>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statistical evaluation was carried further by considering the linear relationship between parameters of interest using Regression Analysis. The regression line of specific capacity on regolith thickness</w:t>
      </w:r>
      <w:r w:rsidR="00A95D11">
        <w:rPr>
          <w:rFonts w:ascii="Times New Roman" w:eastAsia="Calibri" w:hAnsi="Times New Roman" w:cs="Times New Roman"/>
          <w:color w:val="000000"/>
          <w:sz w:val="24"/>
          <w:szCs w:val="24"/>
        </w:rPr>
        <w:t xml:space="preserve"> gave a coefficient of -0.071 (figure 5); specific capacity on saturated thickness has a coefficient of -0.114 (figure 6); yield on regolith thickness has a coefficient of -0.173 (figure 7), while </w:t>
      </w:r>
      <w:proofErr w:type="spellStart"/>
      <w:r w:rsidR="00F236E4">
        <w:rPr>
          <w:rFonts w:ascii="Times New Roman" w:eastAsia="Calibri" w:hAnsi="Times New Roman" w:cs="Times New Roman"/>
          <w:color w:val="000000"/>
          <w:sz w:val="24"/>
          <w:szCs w:val="24"/>
        </w:rPr>
        <w:t>transmissivity</w:t>
      </w:r>
      <w:proofErr w:type="spellEnd"/>
      <w:r w:rsidR="00F236E4">
        <w:rPr>
          <w:rFonts w:ascii="Times New Roman" w:eastAsia="Calibri" w:hAnsi="Times New Roman" w:cs="Times New Roman"/>
          <w:color w:val="000000"/>
          <w:sz w:val="24"/>
          <w:szCs w:val="24"/>
        </w:rPr>
        <w:t xml:space="preserve"> on screen length gave a coefficient of -0.071 (figure 8). The regression coefficient showed low and negative values in all cases considered. The </w:t>
      </w:r>
      <w:r w:rsidR="003E0C2A">
        <w:rPr>
          <w:rFonts w:ascii="Times New Roman" w:eastAsia="Calibri" w:hAnsi="Times New Roman" w:cs="Times New Roman"/>
          <w:color w:val="000000"/>
          <w:sz w:val="24"/>
          <w:szCs w:val="24"/>
        </w:rPr>
        <w:t xml:space="preserve">low values are indicative of weak relationship while the negativity suggested that as one parameter increases, the other is decreasing. This may not be probable in reality. The deduction that could be made from these is that the </w:t>
      </w:r>
      <w:r w:rsidR="00E00907">
        <w:rPr>
          <w:rFonts w:ascii="Times New Roman" w:eastAsia="Calibri" w:hAnsi="Times New Roman" w:cs="Times New Roman"/>
          <w:color w:val="000000"/>
          <w:sz w:val="24"/>
          <w:szCs w:val="24"/>
        </w:rPr>
        <w:t xml:space="preserve">regolith and saturated thicknesses play minor roles in determining borehole yield in crystalline areas, although the </w:t>
      </w:r>
      <w:r w:rsidR="003E0C2A">
        <w:rPr>
          <w:rFonts w:ascii="Times New Roman" w:eastAsia="Calibri" w:hAnsi="Times New Roman" w:cs="Times New Roman"/>
          <w:color w:val="000000"/>
          <w:sz w:val="24"/>
          <w:szCs w:val="24"/>
        </w:rPr>
        <w:t xml:space="preserve">true relationship between these parameters </w:t>
      </w:r>
      <w:r w:rsidR="00E00907">
        <w:rPr>
          <w:rFonts w:ascii="Times New Roman" w:eastAsia="Calibri" w:hAnsi="Times New Roman" w:cs="Times New Roman"/>
          <w:color w:val="000000"/>
          <w:sz w:val="24"/>
          <w:szCs w:val="24"/>
        </w:rPr>
        <w:t>may require</w:t>
      </w:r>
      <w:r w:rsidR="003E0C2A">
        <w:rPr>
          <w:rFonts w:ascii="Times New Roman" w:eastAsia="Calibri" w:hAnsi="Times New Roman" w:cs="Times New Roman"/>
          <w:color w:val="000000"/>
          <w:sz w:val="24"/>
          <w:szCs w:val="24"/>
        </w:rPr>
        <w:t xml:space="preserve"> </w:t>
      </w:r>
      <w:r w:rsidR="00E00907">
        <w:rPr>
          <w:rFonts w:ascii="Times New Roman" w:eastAsia="Calibri" w:hAnsi="Times New Roman" w:cs="Times New Roman"/>
          <w:color w:val="000000"/>
          <w:sz w:val="24"/>
          <w:szCs w:val="24"/>
        </w:rPr>
        <w:t xml:space="preserve">more than </w:t>
      </w:r>
      <w:r w:rsidR="00CD41B7">
        <w:rPr>
          <w:rFonts w:ascii="Times New Roman" w:eastAsia="Calibri" w:hAnsi="Times New Roman" w:cs="Times New Roman"/>
          <w:color w:val="000000"/>
          <w:sz w:val="24"/>
          <w:szCs w:val="24"/>
        </w:rPr>
        <w:t xml:space="preserve">such </w:t>
      </w:r>
      <w:r w:rsidR="00E00907">
        <w:rPr>
          <w:rFonts w:ascii="Times New Roman" w:eastAsia="Calibri" w:hAnsi="Times New Roman" w:cs="Times New Roman"/>
          <w:color w:val="000000"/>
          <w:sz w:val="24"/>
          <w:szCs w:val="24"/>
        </w:rPr>
        <w:t xml:space="preserve">a </w:t>
      </w:r>
      <w:r w:rsidR="00CD41B7">
        <w:rPr>
          <w:rFonts w:ascii="Times New Roman" w:eastAsia="Calibri" w:hAnsi="Times New Roman" w:cs="Times New Roman"/>
          <w:color w:val="000000"/>
          <w:sz w:val="24"/>
          <w:szCs w:val="24"/>
        </w:rPr>
        <w:t>simplified linear model</w:t>
      </w:r>
      <w:r w:rsidR="00E00907">
        <w:rPr>
          <w:rFonts w:ascii="Times New Roman" w:eastAsia="Calibri" w:hAnsi="Times New Roman" w:cs="Times New Roman"/>
          <w:color w:val="000000"/>
          <w:sz w:val="24"/>
          <w:szCs w:val="24"/>
        </w:rPr>
        <w:t xml:space="preserve"> for more satisfactory results</w:t>
      </w:r>
      <w:r w:rsidR="00CD41B7">
        <w:rPr>
          <w:rFonts w:ascii="Times New Roman" w:eastAsia="Calibri" w:hAnsi="Times New Roman" w:cs="Times New Roman"/>
          <w:color w:val="000000"/>
          <w:sz w:val="24"/>
          <w:szCs w:val="24"/>
        </w:rPr>
        <w:t xml:space="preserve">. </w:t>
      </w:r>
    </w:p>
    <w:p w:rsidR="00CD41B7" w:rsidRDefault="00CD41B7" w:rsidP="00C97550">
      <w:pPr>
        <w:spacing w:after="12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Conclusion</w:t>
      </w:r>
    </w:p>
    <w:p w:rsidR="00855EFD" w:rsidRDefault="00CD41B7" w:rsidP="00C97550">
      <w:pPr>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w:t>
      </w:r>
      <w:r w:rsidR="006E7F26">
        <w:rPr>
          <w:rFonts w:ascii="Times New Roman" w:eastAsia="Calibri" w:hAnsi="Times New Roman" w:cs="Times New Roman"/>
          <w:color w:val="000000"/>
          <w:sz w:val="24"/>
          <w:szCs w:val="24"/>
        </w:rPr>
        <w:t>data obtained from 91 successfully completed boreholes in the basin showed that the aquifer has an average yield of 45.77 l/min (or 65.91m</w:t>
      </w:r>
      <w:r w:rsidR="006E7F26">
        <w:rPr>
          <w:rFonts w:ascii="Times New Roman" w:eastAsia="Calibri" w:hAnsi="Times New Roman" w:cs="Times New Roman"/>
          <w:color w:val="000000"/>
          <w:sz w:val="24"/>
          <w:szCs w:val="24"/>
          <w:vertAlign w:val="superscript"/>
        </w:rPr>
        <w:t>3</w:t>
      </w:r>
      <w:r w:rsidR="006E7F26">
        <w:rPr>
          <w:rFonts w:ascii="Times New Roman" w:eastAsia="Calibri" w:hAnsi="Times New Roman" w:cs="Times New Roman"/>
          <w:color w:val="000000"/>
          <w:sz w:val="24"/>
          <w:szCs w:val="24"/>
        </w:rPr>
        <w:t xml:space="preserve">/day) of water while higher yields only occur in </w:t>
      </w:r>
      <w:r w:rsidR="006E7F26">
        <w:rPr>
          <w:rFonts w:ascii="Times New Roman" w:eastAsia="Calibri" w:hAnsi="Times New Roman" w:cs="Times New Roman"/>
          <w:color w:val="000000"/>
          <w:sz w:val="24"/>
          <w:szCs w:val="24"/>
        </w:rPr>
        <w:lastRenderedPageBreak/>
        <w:t>fractured zones. This is typical of Basement complex rocks. Contrary to prevailing opinion (</w:t>
      </w:r>
      <w:proofErr w:type="spellStart"/>
      <w:r w:rsidR="006E7F26">
        <w:rPr>
          <w:rFonts w:ascii="Times New Roman" w:eastAsia="Calibri" w:hAnsi="Times New Roman" w:cs="Times New Roman"/>
          <w:color w:val="000000"/>
          <w:sz w:val="24"/>
          <w:szCs w:val="24"/>
        </w:rPr>
        <w:t>Uma</w:t>
      </w:r>
      <w:proofErr w:type="spellEnd"/>
      <w:r w:rsidR="006E7F26">
        <w:rPr>
          <w:rFonts w:ascii="Times New Roman" w:eastAsia="Calibri" w:hAnsi="Times New Roman" w:cs="Times New Roman"/>
          <w:color w:val="000000"/>
          <w:sz w:val="24"/>
          <w:szCs w:val="24"/>
        </w:rPr>
        <w:t xml:space="preserve"> and </w:t>
      </w:r>
      <w:proofErr w:type="spellStart"/>
      <w:r w:rsidR="006E7F26">
        <w:rPr>
          <w:rFonts w:ascii="Times New Roman" w:eastAsia="Calibri" w:hAnsi="Times New Roman" w:cs="Times New Roman"/>
          <w:color w:val="000000"/>
          <w:sz w:val="24"/>
          <w:szCs w:val="24"/>
        </w:rPr>
        <w:t>Kehinde</w:t>
      </w:r>
      <w:proofErr w:type="spellEnd"/>
      <w:r w:rsidR="006E7F26">
        <w:rPr>
          <w:rFonts w:ascii="Times New Roman" w:eastAsia="Calibri" w:hAnsi="Times New Roman" w:cs="Times New Roman"/>
          <w:color w:val="000000"/>
          <w:sz w:val="24"/>
          <w:szCs w:val="24"/>
        </w:rPr>
        <w:t xml:space="preserve">, 1994), there </w:t>
      </w:r>
      <w:r w:rsidR="00C10DA2">
        <w:rPr>
          <w:rFonts w:ascii="Times New Roman" w:eastAsia="Calibri" w:hAnsi="Times New Roman" w:cs="Times New Roman"/>
          <w:color w:val="000000"/>
          <w:sz w:val="24"/>
          <w:szCs w:val="24"/>
        </w:rPr>
        <w:t>was no positive correlation between yield and regolith thickness, and there was no strong linear relationship between specific capacity and regolith thickness on one hand, and specific capacity and saturated thickness on the other hand. The results, therefore</w:t>
      </w:r>
      <w:r w:rsidR="00E00907">
        <w:rPr>
          <w:rFonts w:ascii="Times New Roman" w:eastAsia="Calibri" w:hAnsi="Times New Roman" w:cs="Times New Roman"/>
          <w:color w:val="000000"/>
          <w:sz w:val="24"/>
          <w:szCs w:val="24"/>
        </w:rPr>
        <w:t>, suggested</w:t>
      </w:r>
      <w:r w:rsidR="00C10DA2">
        <w:rPr>
          <w:rFonts w:ascii="Times New Roman" w:eastAsia="Calibri" w:hAnsi="Times New Roman" w:cs="Times New Roman"/>
          <w:color w:val="000000"/>
          <w:sz w:val="24"/>
          <w:szCs w:val="24"/>
        </w:rPr>
        <w:t xml:space="preserve"> that regolith thickness and saturated thickness </w:t>
      </w:r>
      <w:r w:rsidR="00E00907">
        <w:rPr>
          <w:rFonts w:ascii="Times New Roman" w:eastAsia="Calibri" w:hAnsi="Times New Roman" w:cs="Times New Roman"/>
          <w:color w:val="000000"/>
          <w:sz w:val="24"/>
          <w:szCs w:val="24"/>
        </w:rPr>
        <w:t xml:space="preserve">do not significantly affect the yield and </w:t>
      </w:r>
      <w:r w:rsidR="00DD49CF">
        <w:rPr>
          <w:rFonts w:ascii="Times New Roman" w:eastAsia="Calibri" w:hAnsi="Times New Roman" w:cs="Times New Roman"/>
          <w:color w:val="000000"/>
          <w:sz w:val="24"/>
          <w:szCs w:val="24"/>
        </w:rPr>
        <w:t>specific capacity (or productivity) of regolith aquifers. Other factors such as the hydraulic properties of the weathered basement should be considered in selecting drilling points in crystalline basement areas.</w:t>
      </w:r>
    </w:p>
    <w:p w:rsidR="002F60A9" w:rsidRDefault="002F60A9" w:rsidP="003928F3">
      <w:pPr>
        <w:spacing w:after="120" w:line="276" w:lineRule="auto"/>
        <w:rPr>
          <w:rFonts w:ascii="Times New Roman" w:eastAsia="Calibri" w:hAnsi="Times New Roman" w:cs="Times New Roman"/>
          <w:b/>
          <w:color w:val="000000"/>
          <w:sz w:val="24"/>
          <w:szCs w:val="24"/>
        </w:rPr>
      </w:pPr>
    </w:p>
    <w:p w:rsidR="00855EFD" w:rsidRDefault="00855EFD" w:rsidP="00FA75BE">
      <w:pPr>
        <w:spacing w:after="12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References</w:t>
      </w:r>
    </w:p>
    <w:p w:rsidR="00DD3809" w:rsidRDefault="002F412F" w:rsidP="00FA75BE">
      <w:pPr>
        <w:pStyle w:val="BodyTextIndent"/>
        <w:spacing w:line="240" w:lineRule="auto"/>
        <w:ind w:left="0"/>
        <w:jc w:val="both"/>
        <w:rPr>
          <w:sz w:val="24"/>
        </w:rPr>
      </w:pPr>
      <w:proofErr w:type="spellStart"/>
      <w:proofErr w:type="gramStart"/>
      <w:r w:rsidRPr="002F412F">
        <w:rPr>
          <w:b/>
          <w:bCs/>
          <w:sz w:val="24"/>
        </w:rPr>
        <w:t>Ajibade</w:t>
      </w:r>
      <w:proofErr w:type="spellEnd"/>
      <w:r w:rsidRPr="002F412F">
        <w:rPr>
          <w:b/>
          <w:bCs/>
          <w:sz w:val="24"/>
        </w:rPr>
        <w:t>, A.C. and Wright, J.B. (1988).</w:t>
      </w:r>
      <w:proofErr w:type="gramEnd"/>
      <w:r w:rsidRPr="002F412F">
        <w:rPr>
          <w:sz w:val="24"/>
        </w:rPr>
        <w:t xml:space="preserve"> Structural relationship in the schist belts of north-</w:t>
      </w:r>
      <w:r>
        <w:rPr>
          <w:sz w:val="24"/>
        </w:rPr>
        <w:tab/>
      </w:r>
      <w:r w:rsidRPr="002F412F">
        <w:rPr>
          <w:sz w:val="24"/>
        </w:rPr>
        <w:t xml:space="preserve">western Nigeria. In: </w:t>
      </w:r>
      <w:r w:rsidRPr="002F412F">
        <w:rPr>
          <w:i/>
          <w:iCs/>
          <w:sz w:val="24"/>
        </w:rPr>
        <w:t>Precambrian Geology of Nigeria</w:t>
      </w:r>
      <w:r w:rsidR="00DD3809">
        <w:rPr>
          <w:sz w:val="24"/>
        </w:rPr>
        <w:t xml:space="preserve">. </w:t>
      </w:r>
      <w:proofErr w:type="gramStart"/>
      <w:r w:rsidR="00DD3809">
        <w:rPr>
          <w:sz w:val="24"/>
        </w:rPr>
        <w:t>Geological Survey of Nigeria.</w:t>
      </w:r>
      <w:proofErr w:type="gramEnd"/>
    </w:p>
    <w:p w:rsidR="002F412F" w:rsidRDefault="00DD3809" w:rsidP="00FA75BE">
      <w:pPr>
        <w:pStyle w:val="BodyTextIndent"/>
        <w:spacing w:line="240" w:lineRule="auto"/>
        <w:ind w:left="0"/>
        <w:jc w:val="both"/>
        <w:rPr>
          <w:sz w:val="24"/>
        </w:rPr>
      </w:pPr>
      <w:r>
        <w:rPr>
          <w:sz w:val="24"/>
        </w:rPr>
        <w:tab/>
      </w:r>
      <w:r w:rsidR="002F412F" w:rsidRPr="002F412F">
        <w:rPr>
          <w:sz w:val="24"/>
        </w:rPr>
        <w:t xml:space="preserve"> pp. 103-109.</w:t>
      </w:r>
    </w:p>
    <w:p w:rsidR="00F1189D" w:rsidRPr="00F1189D" w:rsidRDefault="00F1189D" w:rsidP="00FA75BE">
      <w:pPr>
        <w:pStyle w:val="BodyTextIndent"/>
        <w:spacing w:line="240" w:lineRule="auto"/>
        <w:ind w:left="0"/>
        <w:jc w:val="both"/>
        <w:rPr>
          <w:sz w:val="24"/>
        </w:rPr>
      </w:pPr>
      <w:proofErr w:type="gramStart"/>
      <w:r>
        <w:rPr>
          <w:b/>
          <w:sz w:val="24"/>
        </w:rPr>
        <w:t>Chilton, J.P. and Smith-</w:t>
      </w:r>
      <w:proofErr w:type="spellStart"/>
      <w:r>
        <w:rPr>
          <w:b/>
          <w:sz w:val="24"/>
        </w:rPr>
        <w:t>Carington</w:t>
      </w:r>
      <w:proofErr w:type="spellEnd"/>
      <w:r>
        <w:rPr>
          <w:b/>
          <w:sz w:val="24"/>
        </w:rPr>
        <w:t>, A.K. (1984).</w:t>
      </w:r>
      <w:proofErr w:type="gramEnd"/>
      <w:r>
        <w:rPr>
          <w:b/>
          <w:sz w:val="24"/>
        </w:rPr>
        <w:t xml:space="preserve"> </w:t>
      </w:r>
      <w:proofErr w:type="gramStart"/>
      <w:r>
        <w:rPr>
          <w:sz w:val="24"/>
        </w:rPr>
        <w:t xml:space="preserve">Characteristics of the weathered basement </w:t>
      </w:r>
      <w:r>
        <w:rPr>
          <w:sz w:val="24"/>
        </w:rPr>
        <w:tab/>
        <w:t>aquifer in Malawi in relation to rural water supplies.</w:t>
      </w:r>
      <w:proofErr w:type="gramEnd"/>
      <w:r>
        <w:rPr>
          <w:sz w:val="24"/>
        </w:rPr>
        <w:t xml:space="preserve"> </w:t>
      </w:r>
      <w:proofErr w:type="gramStart"/>
      <w:r>
        <w:rPr>
          <w:sz w:val="24"/>
        </w:rPr>
        <w:t xml:space="preserve">Challenges in African Hydrology </w:t>
      </w:r>
      <w:r>
        <w:rPr>
          <w:sz w:val="24"/>
        </w:rPr>
        <w:tab/>
        <w:t>and Water resources.</w:t>
      </w:r>
      <w:proofErr w:type="gramEnd"/>
      <w:r>
        <w:rPr>
          <w:sz w:val="24"/>
        </w:rPr>
        <w:t xml:space="preserve"> </w:t>
      </w:r>
      <w:proofErr w:type="gramStart"/>
      <w:r w:rsidRPr="00F1189D">
        <w:rPr>
          <w:i/>
          <w:sz w:val="24"/>
        </w:rPr>
        <w:t>IAHS Publ. No.144</w:t>
      </w:r>
      <w:r>
        <w:rPr>
          <w:sz w:val="24"/>
        </w:rPr>
        <w:t>, pp.57-72.</w:t>
      </w:r>
      <w:proofErr w:type="gramEnd"/>
    </w:p>
    <w:p w:rsidR="002F412F" w:rsidRPr="002F412F" w:rsidRDefault="002F412F" w:rsidP="00FA75BE">
      <w:pPr>
        <w:autoSpaceDE w:val="0"/>
        <w:autoSpaceDN w:val="0"/>
        <w:adjustRightInd w:val="0"/>
        <w:rPr>
          <w:rFonts w:ascii="Times New Roman" w:hAnsi="Times New Roman" w:cs="Times New Roman"/>
          <w:sz w:val="24"/>
          <w:szCs w:val="24"/>
        </w:rPr>
      </w:pPr>
      <w:proofErr w:type="spellStart"/>
      <w:proofErr w:type="gramStart"/>
      <w:r w:rsidRPr="002F412F">
        <w:rPr>
          <w:rFonts w:ascii="Times New Roman" w:hAnsi="Times New Roman" w:cs="Times New Roman"/>
          <w:b/>
          <w:sz w:val="24"/>
          <w:szCs w:val="24"/>
        </w:rPr>
        <w:t>Eduvie</w:t>
      </w:r>
      <w:proofErr w:type="spellEnd"/>
      <w:r w:rsidRPr="002F412F">
        <w:rPr>
          <w:rFonts w:ascii="Times New Roman" w:hAnsi="Times New Roman" w:cs="Times New Roman"/>
          <w:b/>
          <w:sz w:val="24"/>
          <w:szCs w:val="24"/>
        </w:rPr>
        <w:t xml:space="preserve">, M.O. and </w:t>
      </w:r>
      <w:proofErr w:type="spellStart"/>
      <w:r w:rsidRPr="002F412F">
        <w:rPr>
          <w:rFonts w:ascii="Times New Roman" w:hAnsi="Times New Roman" w:cs="Times New Roman"/>
          <w:b/>
          <w:sz w:val="24"/>
          <w:szCs w:val="24"/>
        </w:rPr>
        <w:t>Olaniyan</w:t>
      </w:r>
      <w:proofErr w:type="spellEnd"/>
      <w:r w:rsidRPr="002F412F">
        <w:rPr>
          <w:rFonts w:ascii="Times New Roman" w:hAnsi="Times New Roman" w:cs="Times New Roman"/>
          <w:b/>
          <w:sz w:val="24"/>
          <w:szCs w:val="24"/>
        </w:rPr>
        <w:t>, I.O. (2006).</w:t>
      </w:r>
      <w:proofErr w:type="gramEnd"/>
      <w:r w:rsidRPr="002F412F">
        <w:rPr>
          <w:rFonts w:ascii="Times New Roman" w:hAnsi="Times New Roman" w:cs="Times New Roman"/>
          <w:sz w:val="24"/>
          <w:szCs w:val="24"/>
        </w:rPr>
        <w:t xml:space="preserve"> </w:t>
      </w:r>
      <w:proofErr w:type="gramStart"/>
      <w:r w:rsidRPr="002F412F">
        <w:rPr>
          <w:rFonts w:ascii="Times New Roman" w:hAnsi="Times New Roman" w:cs="Times New Roman"/>
          <w:sz w:val="24"/>
          <w:szCs w:val="24"/>
        </w:rPr>
        <w:t xml:space="preserve">Groundwater quality assessment in southern </w:t>
      </w:r>
      <w:r w:rsidRPr="002F412F">
        <w:rPr>
          <w:rFonts w:ascii="Times New Roman" w:hAnsi="Times New Roman" w:cs="Times New Roman"/>
          <w:sz w:val="24"/>
          <w:szCs w:val="24"/>
        </w:rPr>
        <w:tab/>
        <w:t xml:space="preserve">part of </w:t>
      </w:r>
      <w:r>
        <w:rPr>
          <w:rFonts w:ascii="Times New Roman" w:hAnsi="Times New Roman" w:cs="Times New Roman"/>
          <w:sz w:val="24"/>
          <w:szCs w:val="24"/>
        </w:rPr>
        <w:tab/>
      </w:r>
      <w:r w:rsidRPr="002F412F">
        <w:rPr>
          <w:rFonts w:ascii="Times New Roman" w:hAnsi="Times New Roman" w:cs="Times New Roman"/>
          <w:sz w:val="24"/>
          <w:szCs w:val="24"/>
        </w:rPr>
        <w:t>Kaduna State, Nigeria.</w:t>
      </w:r>
      <w:proofErr w:type="gramEnd"/>
      <w:r w:rsidRPr="002F412F">
        <w:rPr>
          <w:rFonts w:ascii="Times New Roman" w:hAnsi="Times New Roman" w:cs="Times New Roman"/>
          <w:sz w:val="24"/>
          <w:szCs w:val="24"/>
        </w:rPr>
        <w:t xml:space="preserve"> </w:t>
      </w:r>
      <w:r w:rsidRPr="002F412F">
        <w:rPr>
          <w:rFonts w:ascii="Times New Roman" w:hAnsi="Times New Roman" w:cs="Times New Roman"/>
          <w:i/>
          <w:sz w:val="24"/>
          <w:szCs w:val="24"/>
        </w:rPr>
        <w:t>Journal of Engin</w:t>
      </w:r>
      <w:r w:rsidR="00DD3809">
        <w:rPr>
          <w:rFonts w:ascii="Times New Roman" w:hAnsi="Times New Roman" w:cs="Times New Roman"/>
          <w:i/>
          <w:sz w:val="24"/>
          <w:szCs w:val="24"/>
        </w:rPr>
        <w:t xml:space="preserve">eering Technology &amp; Industrial </w:t>
      </w:r>
      <w:r w:rsidRPr="002F412F">
        <w:rPr>
          <w:rFonts w:ascii="Times New Roman" w:hAnsi="Times New Roman" w:cs="Times New Roman"/>
          <w:i/>
          <w:sz w:val="24"/>
          <w:szCs w:val="24"/>
        </w:rPr>
        <w:t>Applications</w:t>
      </w:r>
      <w:r w:rsidRPr="002F412F">
        <w:rPr>
          <w:rFonts w:ascii="Times New Roman" w:hAnsi="Times New Roman" w:cs="Times New Roman"/>
          <w:sz w:val="24"/>
          <w:szCs w:val="24"/>
        </w:rPr>
        <w:t xml:space="preserve"> </w:t>
      </w:r>
      <w:r>
        <w:rPr>
          <w:rFonts w:ascii="Times New Roman" w:hAnsi="Times New Roman" w:cs="Times New Roman"/>
          <w:sz w:val="24"/>
          <w:szCs w:val="24"/>
        </w:rPr>
        <w:tab/>
      </w:r>
      <w:r w:rsidRPr="002F412F">
        <w:rPr>
          <w:rFonts w:ascii="Times New Roman" w:hAnsi="Times New Roman" w:cs="Times New Roman"/>
          <w:b/>
          <w:sz w:val="24"/>
          <w:szCs w:val="24"/>
        </w:rPr>
        <w:t>2</w:t>
      </w:r>
      <w:r w:rsidRPr="002F412F">
        <w:rPr>
          <w:rFonts w:ascii="Times New Roman" w:hAnsi="Times New Roman" w:cs="Times New Roman"/>
          <w:sz w:val="24"/>
          <w:szCs w:val="24"/>
        </w:rPr>
        <w:t>(2): 49-57, Engineering Technology Series, Kaduna, Nigeria.</w:t>
      </w:r>
    </w:p>
    <w:p w:rsidR="002F412F" w:rsidRPr="002F412F" w:rsidRDefault="002F412F" w:rsidP="00FA75BE">
      <w:pPr>
        <w:pStyle w:val="BodyTextIndent"/>
        <w:spacing w:line="240" w:lineRule="auto"/>
        <w:ind w:left="0"/>
        <w:jc w:val="both"/>
        <w:rPr>
          <w:sz w:val="24"/>
        </w:rPr>
      </w:pPr>
      <w:proofErr w:type="gramStart"/>
      <w:r w:rsidRPr="002F412F">
        <w:rPr>
          <w:b/>
          <w:bCs/>
          <w:sz w:val="24"/>
        </w:rPr>
        <w:t>Federal Ministry of Information (2000).</w:t>
      </w:r>
      <w:proofErr w:type="gramEnd"/>
      <w:r w:rsidRPr="002F412F">
        <w:rPr>
          <w:i/>
          <w:iCs/>
          <w:sz w:val="24"/>
        </w:rPr>
        <w:t xml:space="preserve"> NIGERIA: A people united, a future assured</w:t>
      </w:r>
      <w:r w:rsidRPr="002F412F">
        <w:rPr>
          <w:sz w:val="24"/>
        </w:rPr>
        <w:t xml:space="preserve">. </w:t>
      </w:r>
      <w:proofErr w:type="gramStart"/>
      <w:r w:rsidR="00F1189D">
        <w:rPr>
          <w:sz w:val="24"/>
        </w:rPr>
        <w:t xml:space="preserve">Vol. 2, </w:t>
      </w:r>
      <w:r w:rsidR="00DD3809">
        <w:rPr>
          <w:sz w:val="24"/>
        </w:rPr>
        <w:tab/>
      </w:r>
      <w:r w:rsidR="00F1189D">
        <w:rPr>
          <w:sz w:val="24"/>
        </w:rPr>
        <w:t>Survey of states.</w:t>
      </w:r>
      <w:proofErr w:type="gramEnd"/>
    </w:p>
    <w:p w:rsidR="00F1189D" w:rsidRPr="00F1189D" w:rsidRDefault="00F1189D" w:rsidP="00FA75BE">
      <w:pPr>
        <w:pStyle w:val="BodyTextIndent"/>
        <w:spacing w:line="240" w:lineRule="auto"/>
        <w:ind w:left="0"/>
        <w:jc w:val="both"/>
        <w:rPr>
          <w:bCs/>
          <w:sz w:val="24"/>
        </w:rPr>
      </w:pPr>
      <w:r>
        <w:rPr>
          <w:b/>
          <w:bCs/>
          <w:sz w:val="24"/>
        </w:rPr>
        <w:t xml:space="preserve">McCann, B. (1991). </w:t>
      </w:r>
      <w:r>
        <w:rPr>
          <w:bCs/>
          <w:sz w:val="24"/>
        </w:rPr>
        <w:t xml:space="preserve">Pump solution to North Nigeria water shortage. </w:t>
      </w:r>
      <w:proofErr w:type="gramStart"/>
      <w:r w:rsidRPr="00F1189D">
        <w:rPr>
          <w:bCs/>
          <w:i/>
          <w:sz w:val="24"/>
        </w:rPr>
        <w:t xml:space="preserve">World Water and </w:t>
      </w:r>
      <w:r w:rsidRPr="00F1189D">
        <w:rPr>
          <w:bCs/>
          <w:i/>
          <w:sz w:val="24"/>
        </w:rPr>
        <w:tab/>
        <w:t>Environmental Engineer.</w:t>
      </w:r>
      <w:proofErr w:type="gramEnd"/>
      <w:r>
        <w:rPr>
          <w:bCs/>
          <w:sz w:val="24"/>
        </w:rPr>
        <w:t xml:space="preserve"> Jan/Feb 1991:29-30.</w:t>
      </w:r>
    </w:p>
    <w:p w:rsidR="002F412F" w:rsidRPr="002F412F" w:rsidRDefault="002F412F" w:rsidP="00FA75BE">
      <w:pPr>
        <w:pStyle w:val="BodyTextIndent"/>
        <w:spacing w:line="240" w:lineRule="auto"/>
        <w:ind w:left="0"/>
        <w:jc w:val="both"/>
        <w:rPr>
          <w:bCs/>
          <w:sz w:val="24"/>
        </w:rPr>
      </w:pPr>
      <w:proofErr w:type="spellStart"/>
      <w:proofErr w:type="gramStart"/>
      <w:r w:rsidRPr="002F412F">
        <w:rPr>
          <w:b/>
          <w:bCs/>
          <w:sz w:val="24"/>
        </w:rPr>
        <w:t>Nassef</w:t>
      </w:r>
      <w:proofErr w:type="spellEnd"/>
      <w:r w:rsidRPr="002F412F">
        <w:rPr>
          <w:b/>
          <w:bCs/>
          <w:sz w:val="24"/>
        </w:rPr>
        <w:t xml:space="preserve">, M.O. and </w:t>
      </w:r>
      <w:proofErr w:type="spellStart"/>
      <w:r w:rsidRPr="002F412F">
        <w:rPr>
          <w:b/>
          <w:bCs/>
          <w:sz w:val="24"/>
        </w:rPr>
        <w:t>Olugboye</w:t>
      </w:r>
      <w:proofErr w:type="spellEnd"/>
      <w:r w:rsidRPr="002F412F">
        <w:rPr>
          <w:b/>
          <w:bCs/>
          <w:sz w:val="24"/>
        </w:rPr>
        <w:t>, M.O. (1979).</w:t>
      </w:r>
      <w:proofErr w:type="gramEnd"/>
      <w:r w:rsidRPr="002F412F">
        <w:rPr>
          <w:b/>
          <w:bCs/>
          <w:sz w:val="24"/>
        </w:rPr>
        <w:t xml:space="preserve"> </w:t>
      </w:r>
      <w:proofErr w:type="gramStart"/>
      <w:r w:rsidRPr="002F412F">
        <w:rPr>
          <w:bCs/>
          <w:sz w:val="24"/>
        </w:rPr>
        <w:t>The hydro</w:t>
      </w:r>
      <w:r w:rsidR="00FA75BE">
        <w:rPr>
          <w:bCs/>
          <w:sz w:val="24"/>
        </w:rPr>
        <w:t xml:space="preserve">logy and hydrogeology of Galma </w:t>
      </w:r>
      <w:r w:rsidRPr="002F412F">
        <w:rPr>
          <w:bCs/>
          <w:sz w:val="24"/>
        </w:rPr>
        <w:t>Basin.</w:t>
      </w:r>
      <w:proofErr w:type="gramEnd"/>
      <w:r w:rsidRPr="002F412F">
        <w:rPr>
          <w:bCs/>
          <w:sz w:val="24"/>
        </w:rPr>
        <w:t xml:space="preserve"> </w:t>
      </w:r>
      <w:r>
        <w:rPr>
          <w:bCs/>
          <w:sz w:val="24"/>
        </w:rPr>
        <w:tab/>
      </w:r>
      <w:proofErr w:type="spellStart"/>
      <w:proofErr w:type="gramStart"/>
      <w:r w:rsidRPr="002F412F">
        <w:rPr>
          <w:bCs/>
          <w:sz w:val="24"/>
        </w:rPr>
        <w:t>Unpub</w:t>
      </w:r>
      <w:proofErr w:type="spellEnd"/>
      <w:r w:rsidRPr="002F412F">
        <w:rPr>
          <w:bCs/>
          <w:sz w:val="24"/>
        </w:rPr>
        <w:t>, File Report, Federal Department of Water Resources, Nigeria.</w:t>
      </w:r>
      <w:proofErr w:type="gramEnd"/>
    </w:p>
    <w:p w:rsidR="003E7E44" w:rsidRPr="00FA75BE" w:rsidRDefault="003E7E44" w:rsidP="00FA75BE">
      <w:pPr>
        <w:pStyle w:val="BodyTextIndent"/>
        <w:spacing w:line="240" w:lineRule="auto"/>
        <w:ind w:left="0"/>
        <w:jc w:val="both"/>
        <w:rPr>
          <w:bCs/>
          <w:sz w:val="24"/>
        </w:rPr>
      </w:pPr>
      <w:proofErr w:type="spellStart"/>
      <w:r>
        <w:rPr>
          <w:b/>
          <w:bCs/>
          <w:sz w:val="24"/>
        </w:rPr>
        <w:t>Olaniyan</w:t>
      </w:r>
      <w:proofErr w:type="spellEnd"/>
      <w:r>
        <w:rPr>
          <w:b/>
          <w:bCs/>
          <w:sz w:val="24"/>
        </w:rPr>
        <w:t xml:space="preserve">, I.O. (2010). </w:t>
      </w:r>
      <w:proofErr w:type="gramStart"/>
      <w:r w:rsidR="00FA75BE">
        <w:rPr>
          <w:bCs/>
          <w:sz w:val="24"/>
        </w:rPr>
        <w:t xml:space="preserve">Groundwater flow </w:t>
      </w:r>
      <w:proofErr w:type="spellStart"/>
      <w:r w:rsidR="00FA75BE">
        <w:rPr>
          <w:bCs/>
          <w:sz w:val="24"/>
        </w:rPr>
        <w:t>modelling</w:t>
      </w:r>
      <w:proofErr w:type="spellEnd"/>
      <w:r w:rsidR="00FA75BE">
        <w:rPr>
          <w:bCs/>
          <w:sz w:val="24"/>
        </w:rPr>
        <w:t xml:space="preserve"> using finite element method.</w:t>
      </w:r>
      <w:proofErr w:type="gramEnd"/>
      <w:r w:rsidR="00FA75BE">
        <w:rPr>
          <w:bCs/>
          <w:sz w:val="24"/>
        </w:rPr>
        <w:t xml:space="preserve"> </w:t>
      </w:r>
      <w:proofErr w:type="spellStart"/>
      <w:proofErr w:type="gramStart"/>
      <w:r w:rsidR="00FA75BE" w:rsidRPr="00FA75BE">
        <w:rPr>
          <w:bCs/>
          <w:i/>
          <w:sz w:val="24"/>
        </w:rPr>
        <w:t>Ph.D</w:t>
      </w:r>
      <w:proofErr w:type="spellEnd"/>
      <w:r w:rsidR="00FA75BE" w:rsidRPr="00FA75BE">
        <w:rPr>
          <w:bCs/>
          <w:i/>
          <w:sz w:val="24"/>
        </w:rPr>
        <w:t xml:space="preserve"> Thesis</w:t>
      </w:r>
      <w:r w:rsidR="00FA75BE">
        <w:rPr>
          <w:bCs/>
          <w:sz w:val="24"/>
        </w:rPr>
        <w:t xml:space="preserve">, </w:t>
      </w:r>
      <w:r w:rsidR="00FA75BE">
        <w:rPr>
          <w:bCs/>
          <w:sz w:val="24"/>
        </w:rPr>
        <w:tab/>
        <w:t xml:space="preserve">Department of Civil Engineering, University of Nigeria, </w:t>
      </w:r>
      <w:proofErr w:type="spellStart"/>
      <w:r w:rsidR="00FA75BE">
        <w:rPr>
          <w:bCs/>
          <w:sz w:val="24"/>
        </w:rPr>
        <w:t>Nsukka</w:t>
      </w:r>
      <w:proofErr w:type="spellEnd"/>
      <w:r w:rsidR="00FA75BE">
        <w:rPr>
          <w:bCs/>
          <w:sz w:val="24"/>
        </w:rPr>
        <w:t>.</w:t>
      </w:r>
      <w:proofErr w:type="gramEnd"/>
    </w:p>
    <w:p w:rsidR="002F412F" w:rsidRPr="002F412F" w:rsidRDefault="002F412F" w:rsidP="00FA75BE">
      <w:pPr>
        <w:pStyle w:val="BodyTextIndent"/>
        <w:spacing w:line="240" w:lineRule="auto"/>
        <w:ind w:left="0"/>
        <w:jc w:val="both"/>
        <w:rPr>
          <w:sz w:val="24"/>
        </w:rPr>
      </w:pPr>
      <w:proofErr w:type="spellStart"/>
      <w:r w:rsidRPr="002F412F">
        <w:rPr>
          <w:b/>
          <w:bCs/>
          <w:sz w:val="24"/>
        </w:rPr>
        <w:t>Oluyide</w:t>
      </w:r>
      <w:proofErr w:type="spellEnd"/>
      <w:r w:rsidRPr="002F412F">
        <w:rPr>
          <w:b/>
          <w:bCs/>
          <w:sz w:val="24"/>
        </w:rPr>
        <w:t>, P.O</w:t>
      </w:r>
      <w:proofErr w:type="gramStart"/>
      <w:r w:rsidRPr="002F412F">
        <w:rPr>
          <w:b/>
          <w:bCs/>
          <w:sz w:val="24"/>
        </w:rPr>
        <w:t>.(</w:t>
      </w:r>
      <w:proofErr w:type="gramEnd"/>
      <w:r w:rsidRPr="002F412F">
        <w:rPr>
          <w:b/>
          <w:bCs/>
          <w:sz w:val="24"/>
        </w:rPr>
        <w:t xml:space="preserve">1995). </w:t>
      </w:r>
      <w:r w:rsidRPr="002F412F">
        <w:rPr>
          <w:sz w:val="24"/>
        </w:rPr>
        <w:t xml:space="preserve">Mineral occurrences in Kaduna state and their geological </w:t>
      </w:r>
      <w:r w:rsidRPr="002F412F">
        <w:rPr>
          <w:sz w:val="24"/>
        </w:rPr>
        <w:tab/>
        <w:t xml:space="preserve">environments </w:t>
      </w:r>
      <w:r>
        <w:rPr>
          <w:sz w:val="24"/>
        </w:rPr>
        <w:tab/>
      </w:r>
      <w:r w:rsidRPr="002F412F">
        <w:rPr>
          <w:i/>
          <w:iCs/>
          <w:sz w:val="24"/>
        </w:rPr>
        <w:t>Proc</w:t>
      </w:r>
      <w:r w:rsidR="007077DA">
        <w:rPr>
          <w:i/>
          <w:iCs/>
          <w:sz w:val="24"/>
        </w:rPr>
        <w:t>eedings</w:t>
      </w:r>
      <w:r w:rsidRPr="002F412F">
        <w:rPr>
          <w:i/>
          <w:iCs/>
          <w:sz w:val="24"/>
        </w:rPr>
        <w:t xml:space="preserve"> of workshop h</w:t>
      </w:r>
      <w:r>
        <w:rPr>
          <w:i/>
          <w:iCs/>
          <w:sz w:val="24"/>
        </w:rPr>
        <w:t xml:space="preserve">eld by NMGS, Kaduna Chapter in </w:t>
      </w:r>
      <w:r w:rsidRPr="002F412F">
        <w:rPr>
          <w:i/>
          <w:iCs/>
          <w:sz w:val="24"/>
        </w:rPr>
        <w:t xml:space="preserve">collaboration with Kaduna </w:t>
      </w:r>
      <w:r w:rsidR="007077DA">
        <w:rPr>
          <w:i/>
          <w:iCs/>
          <w:sz w:val="24"/>
        </w:rPr>
        <w:tab/>
      </w:r>
      <w:r w:rsidRPr="002F412F">
        <w:rPr>
          <w:i/>
          <w:iCs/>
          <w:sz w:val="24"/>
        </w:rPr>
        <w:t>state Government</w:t>
      </w:r>
      <w:r w:rsidRPr="002F412F">
        <w:rPr>
          <w:sz w:val="24"/>
        </w:rPr>
        <w:t xml:space="preserve">, 15 December, pp. 13-27. </w:t>
      </w:r>
    </w:p>
    <w:p w:rsidR="00EE1FFB" w:rsidRPr="00F1189D" w:rsidRDefault="00EE1FFB" w:rsidP="00FA75BE">
      <w:pPr>
        <w:pStyle w:val="BodyTextIndent"/>
        <w:spacing w:line="240" w:lineRule="auto"/>
        <w:ind w:left="0"/>
        <w:jc w:val="both"/>
        <w:rPr>
          <w:sz w:val="24"/>
        </w:rPr>
      </w:pPr>
      <w:proofErr w:type="spellStart"/>
      <w:r>
        <w:rPr>
          <w:b/>
          <w:sz w:val="24"/>
        </w:rPr>
        <w:t>Omorimbola</w:t>
      </w:r>
      <w:proofErr w:type="spellEnd"/>
      <w:r>
        <w:rPr>
          <w:b/>
          <w:sz w:val="24"/>
        </w:rPr>
        <w:t xml:space="preserve">, E.O. (1984). </w:t>
      </w:r>
      <w:proofErr w:type="gramStart"/>
      <w:r>
        <w:rPr>
          <w:sz w:val="24"/>
        </w:rPr>
        <w:t>Groundwater resources in tropical African Regolith.</w:t>
      </w:r>
      <w:proofErr w:type="gramEnd"/>
      <w:r>
        <w:rPr>
          <w:sz w:val="24"/>
        </w:rPr>
        <w:t xml:space="preserve"> </w:t>
      </w:r>
      <w:proofErr w:type="gramStart"/>
      <w:r>
        <w:rPr>
          <w:sz w:val="24"/>
        </w:rPr>
        <w:t xml:space="preserve">Challenges in </w:t>
      </w:r>
      <w:r>
        <w:rPr>
          <w:sz w:val="24"/>
        </w:rPr>
        <w:tab/>
        <w:t>African Hydrology and Water resources.</w:t>
      </w:r>
      <w:proofErr w:type="gramEnd"/>
      <w:r>
        <w:rPr>
          <w:sz w:val="24"/>
        </w:rPr>
        <w:t xml:space="preserve"> </w:t>
      </w:r>
      <w:proofErr w:type="gramStart"/>
      <w:r w:rsidRPr="00F1189D">
        <w:rPr>
          <w:i/>
          <w:sz w:val="24"/>
        </w:rPr>
        <w:t>IAHS Publ. No.144</w:t>
      </w:r>
      <w:r>
        <w:rPr>
          <w:sz w:val="24"/>
        </w:rPr>
        <w:t>, pp.15-23.</w:t>
      </w:r>
      <w:proofErr w:type="gramEnd"/>
    </w:p>
    <w:p w:rsidR="005531B1" w:rsidRPr="005531B1" w:rsidRDefault="005531B1" w:rsidP="00FA75BE">
      <w:pPr>
        <w:pStyle w:val="BodyTextIndent"/>
        <w:spacing w:line="240" w:lineRule="auto"/>
        <w:ind w:left="0"/>
        <w:jc w:val="both"/>
        <w:rPr>
          <w:b/>
          <w:sz w:val="24"/>
        </w:rPr>
      </w:pPr>
      <w:proofErr w:type="spellStart"/>
      <w:proofErr w:type="gramStart"/>
      <w:r>
        <w:rPr>
          <w:b/>
          <w:sz w:val="24"/>
        </w:rPr>
        <w:t>Uma</w:t>
      </w:r>
      <w:proofErr w:type="spellEnd"/>
      <w:r>
        <w:rPr>
          <w:b/>
          <w:sz w:val="24"/>
        </w:rPr>
        <w:t xml:space="preserve">, K.O. and </w:t>
      </w:r>
      <w:proofErr w:type="spellStart"/>
      <w:r>
        <w:rPr>
          <w:b/>
          <w:sz w:val="24"/>
        </w:rPr>
        <w:t>Kehinde</w:t>
      </w:r>
      <w:proofErr w:type="spellEnd"/>
      <w:r>
        <w:rPr>
          <w:b/>
          <w:sz w:val="24"/>
        </w:rPr>
        <w:t>, M.O. (1994).</w:t>
      </w:r>
      <w:proofErr w:type="gramEnd"/>
      <w:r>
        <w:rPr>
          <w:b/>
          <w:sz w:val="24"/>
        </w:rPr>
        <w:t xml:space="preserve"> </w:t>
      </w:r>
      <w:r>
        <w:rPr>
          <w:sz w:val="24"/>
        </w:rPr>
        <w:t xml:space="preserve">Potentials of regolith aquifers in relation to water </w:t>
      </w:r>
      <w:r>
        <w:rPr>
          <w:sz w:val="24"/>
        </w:rPr>
        <w:tab/>
        <w:t xml:space="preserve">supplies to rural communities: A case study from parts of Northern Nigeria. </w:t>
      </w:r>
      <w:r>
        <w:rPr>
          <w:i/>
          <w:sz w:val="24"/>
        </w:rPr>
        <w:t xml:space="preserve">Journal of </w:t>
      </w:r>
      <w:r>
        <w:rPr>
          <w:i/>
          <w:sz w:val="24"/>
        </w:rPr>
        <w:tab/>
        <w:t>Mining and Geology,</w:t>
      </w:r>
      <w:r>
        <w:rPr>
          <w:sz w:val="24"/>
        </w:rPr>
        <w:t xml:space="preserve"> </w:t>
      </w:r>
      <w:r>
        <w:rPr>
          <w:b/>
          <w:sz w:val="24"/>
        </w:rPr>
        <w:t xml:space="preserve">30 </w:t>
      </w:r>
      <w:r w:rsidRPr="005531B1">
        <w:rPr>
          <w:sz w:val="24"/>
        </w:rPr>
        <w:t>(1)</w:t>
      </w:r>
      <w:r>
        <w:rPr>
          <w:sz w:val="24"/>
        </w:rPr>
        <w:t>: 97-109.</w:t>
      </w:r>
    </w:p>
    <w:p w:rsidR="002F412F" w:rsidRPr="002F412F" w:rsidRDefault="002F412F" w:rsidP="00FA75BE">
      <w:pPr>
        <w:pStyle w:val="BodyTextIndent"/>
        <w:spacing w:line="240" w:lineRule="auto"/>
        <w:ind w:left="0"/>
        <w:jc w:val="both"/>
        <w:rPr>
          <w:sz w:val="24"/>
        </w:rPr>
      </w:pPr>
      <w:proofErr w:type="gramStart"/>
      <w:r w:rsidRPr="002F412F">
        <w:rPr>
          <w:b/>
          <w:sz w:val="24"/>
        </w:rPr>
        <w:t>WAPDECO (1991).</w:t>
      </w:r>
      <w:proofErr w:type="gramEnd"/>
      <w:r w:rsidRPr="002F412F">
        <w:rPr>
          <w:b/>
          <w:sz w:val="24"/>
        </w:rPr>
        <w:t xml:space="preserve"> </w:t>
      </w:r>
      <w:proofErr w:type="gramStart"/>
      <w:r w:rsidRPr="002F412F">
        <w:rPr>
          <w:sz w:val="24"/>
        </w:rPr>
        <w:t xml:space="preserve">Kaduna State Water Board rehabilitation study, Zaria water supply </w:t>
      </w:r>
      <w:r w:rsidRPr="002F412F">
        <w:rPr>
          <w:sz w:val="24"/>
        </w:rPr>
        <w:tab/>
        <w:t>scheme.</w:t>
      </w:r>
      <w:proofErr w:type="gramEnd"/>
      <w:r w:rsidRPr="002F412F">
        <w:rPr>
          <w:sz w:val="24"/>
        </w:rPr>
        <w:t xml:space="preserve"> </w:t>
      </w:r>
      <w:proofErr w:type="gramStart"/>
      <w:r w:rsidRPr="002F412F">
        <w:rPr>
          <w:sz w:val="24"/>
        </w:rPr>
        <w:t>Final report of Water and Power Devel</w:t>
      </w:r>
      <w:r>
        <w:rPr>
          <w:sz w:val="24"/>
        </w:rPr>
        <w:t xml:space="preserve">opment Company Ltd. </w:t>
      </w:r>
      <w:r w:rsidRPr="002F412F">
        <w:rPr>
          <w:sz w:val="24"/>
        </w:rPr>
        <w:t xml:space="preserve">(WAPDECO)  </w:t>
      </w:r>
      <w:r>
        <w:rPr>
          <w:sz w:val="24"/>
        </w:rPr>
        <w:tab/>
      </w:r>
      <w:r w:rsidRPr="002F412F">
        <w:rPr>
          <w:sz w:val="24"/>
        </w:rPr>
        <w:t>Part 1, 427pp.</w:t>
      </w:r>
      <w:proofErr w:type="gramEnd"/>
    </w:p>
    <w:p w:rsidR="0054761C" w:rsidRDefault="00D24BED" w:rsidP="00D24BED">
      <w:pPr>
        <w:tabs>
          <w:tab w:val="right" w:pos="9360"/>
        </w:tabs>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6A3453" w:rsidRDefault="006A3453">
      <w:pPr>
        <w:rPr>
          <w:rFonts w:ascii="Times New Roman" w:eastAsia="Calibri" w:hAnsi="Times New Roman" w:cs="Times New Roman"/>
          <w:color w:val="000000"/>
          <w:sz w:val="24"/>
          <w:szCs w:val="24"/>
        </w:rPr>
      </w:pPr>
    </w:p>
    <w:p w:rsidR="00C97550" w:rsidRDefault="00B14790" w:rsidP="00C97550">
      <w:pPr>
        <w:spacing w:after="120" w:line="360" w:lineRule="auto"/>
        <w:rPr>
          <w:rFonts w:ascii="Times New Roman" w:eastAsia="Calibri" w:hAnsi="Times New Roman" w:cs="Times New Roman"/>
          <w:color w:val="000000"/>
          <w:sz w:val="24"/>
          <w:szCs w:val="24"/>
        </w:rPr>
      </w:pPr>
      <w:r>
        <w:rPr>
          <w:b/>
          <w:noProof/>
          <w:sz w:val="28"/>
          <w:szCs w:val="28"/>
        </w:rPr>
        <w:lastRenderedPageBreak/>
        <w:drawing>
          <wp:inline distT="0" distB="0" distL="0" distR="0">
            <wp:extent cx="2921490" cy="2762250"/>
            <wp:effectExtent l="19050" t="0" r="0" b="0"/>
            <wp:docPr id="6" name="Picture 1" descr="C:\Users\OLANIYAN\Documents\My Scans\2010-02 (Feb)\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NIYAN\Documents\My Scans\2010-02 (Feb)\scan0001.jpg"/>
                    <pic:cNvPicPr>
                      <a:picLocks noChangeAspect="1" noChangeArrowheads="1"/>
                    </pic:cNvPicPr>
                  </pic:nvPicPr>
                  <pic:blipFill>
                    <a:blip r:embed="rId7" cstate="print"/>
                    <a:srcRect/>
                    <a:stretch>
                      <a:fillRect/>
                    </a:stretch>
                  </pic:blipFill>
                  <pic:spPr bwMode="auto">
                    <a:xfrm>
                      <a:off x="0" y="0"/>
                      <a:ext cx="2921490" cy="2762250"/>
                    </a:xfrm>
                    <a:prstGeom prst="rect">
                      <a:avLst/>
                    </a:prstGeom>
                    <a:noFill/>
                    <a:ln w="9525">
                      <a:noFill/>
                      <a:miter lim="800000"/>
                      <a:headEnd/>
                      <a:tailEnd/>
                    </a:ln>
                  </pic:spPr>
                </pic:pic>
              </a:graphicData>
            </a:graphic>
          </wp:inline>
        </w:drawing>
      </w:r>
      <w:r w:rsidR="003E0C2A">
        <w:rPr>
          <w:rFonts w:ascii="Times New Roman" w:eastAsia="Calibri" w:hAnsi="Times New Roman" w:cs="Times New Roman"/>
          <w:color w:val="000000"/>
          <w:sz w:val="24"/>
          <w:szCs w:val="24"/>
        </w:rPr>
        <w:t xml:space="preserve"> </w:t>
      </w:r>
      <w:r w:rsidR="00F236E4">
        <w:rPr>
          <w:rFonts w:ascii="Times New Roman" w:eastAsia="Calibri" w:hAnsi="Times New Roman" w:cs="Times New Roman"/>
          <w:color w:val="000000"/>
          <w:sz w:val="24"/>
          <w:szCs w:val="24"/>
        </w:rPr>
        <w:t xml:space="preserve"> </w:t>
      </w:r>
      <w:r w:rsidR="00A95D11">
        <w:rPr>
          <w:rFonts w:ascii="Times New Roman" w:eastAsia="Calibri" w:hAnsi="Times New Roman" w:cs="Times New Roman"/>
          <w:color w:val="000000"/>
          <w:sz w:val="24"/>
          <w:szCs w:val="24"/>
        </w:rPr>
        <w:t xml:space="preserve"> </w:t>
      </w:r>
      <w:r w:rsidR="0054761C">
        <w:rPr>
          <w:noProof/>
        </w:rPr>
        <w:drawing>
          <wp:inline distT="0" distB="0" distL="0" distR="0">
            <wp:extent cx="2847974" cy="2724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49099" cy="2725226"/>
                    </a:xfrm>
                    <a:prstGeom prst="rect">
                      <a:avLst/>
                    </a:prstGeom>
                    <a:noFill/>
                    <a:ln w="9525">
                      <a:noFill/>
                      <a:miter lim="800000"/>
                      <a:headEnd/>
                      <a:tailEnd/>
                    </a:ln>
                  </pic:spPr>
                </pic:pic>
              </a:graphicData>
            </a:graphic>
          </wp:inline>
        </w:drawing>
      </w:r>
    </w:p>
    <w:p w:rsidR="00C97550" w:rsidRPr="00525B2F" w:rsidRDefault="0054761C" w:rsidP="0079426D">
      <w:pPr>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4"/>
          <w:szCs w:val="24"/>
        </w:rPr>
        <w:t xml:space="preserve">   </w:t>
      </w:r>
      <w:r w:rsidRPr="00525B2F">
        <w:rPr>
          <w:rFonts w:ascii="Times New Roman" w:eastAsia="Calibri" w:hAnsi="Times New Roman" w:cs="Times New Roman"/>
          <w:b/>
          <w:color w:val="000000"/>
          <w:sz w:val="20"/>
          <w:szCs w:val="20"/>
        </w:rPr>
        <w:t>Figure 1: Drainage Map showing borehole locations</w:t>
      </w:r>
      <w:r w:rsidRPr="00525B2F">
        <w:rPr>
          <w:rFonts w:ascii="Times New Roman" w:eastAsia="Calibri" w:hAnsi="Times New Roman" w:cs="Times New Roman"/>
          <w:b/>
          <w:color w:val="000000"/>
          <w:sz w:val="20"/>
          <w:szCs w:val="20"/>
        </w:rPr>
        <w:tab/>
        <w:t>Figure 2: Piezometric Surface Map of the basin</w:t>
      </w:r>
    </w:p>
    <w:p w:rsidR="006E0DAE" w:rsidRDefault="006E0DAE" w:rsidP="0079426D">
      <w:pPr>
        <w:spacing w:after="0" w:line="360" w:lineRule="auto"/>
        <w:rPr>
          <w:rFonts w:ascii="Times New Roman" w:eastAsia="Calibri" w:hAnsi="Times New Roman" w:cs="Times New Roman"/>
          <w:color w:val="000000"/>
          <w:sz w:val="20"/>
          <w:szCs w:val="20"/>
        </w:rPr>
      </w:pPr>
    </w:p>
    <w:p w:rsidR="00525B2F" w:rsidRDefault="00525B2F" w:rsidP="0079426D">
      <w:pPr>
        <w:spacing w:after="0" w:line="360" w:lineRule="auto"/>
        <w:rPr>
          <w:rFonts w:ascii="Times New Roman" w:eastAsia="Calibri" w:hAnsi="Times New Roman" w:cs="Times New Roman"/>
          <w:color w:val="000000"/>
          <w:sz w:val="20"/>
          <w:szCs w:val="20"/>
        </w:rPr>
      </w:pPr>
    </w:p>
    <w:p w:rsidR="00525B2F" w:rsidRDefault="00525B2F" w:rsidP="0079426D">
      <w:pPr>
        <w:spacing w:after="0" w:line="360" w:lineRule="auto"/>
        <w:rPr>
          <w:rFonts w:ascii="Times New Roman" w:eastAsia="Calibri" w:hAnsi="Times New Roman" w:cs="Times New Roman"/>
          <w:color w:val="000000"/>
          <w:sz w:val="20"/>
          <w:szCs w:val="20"/>
        </w:rPr>
      </w:pPr>
    </w:p>
    <w:p w:rsidR="006E0DAE" w:rsidRDefault="006E0DAE" w:rsidP="0079426D">
      <w:pPr>
        <w:spacing w:after="0" w:line="360" w:lineRule="auto"/>
        <w:rPr>
          <w:rFonts w:ascii="Times New Roman" w:eastAsia="Calibri" w:hAnsi="Times New Roman" w:cs="Times New Roman"/>
          <w:color w:val="000000"/>
          <w:sz w:val="20"/>
          <w:szCs w:val="20"/>
        </w:rPr>
      </w:pPr>
    </w:p>
    <w:p w:rsidR="006A3453" w:rsidRDefault="006A3453" w:rsidP="0079426D">
      <w:pPr>
        <w:spacing w:after="0" w:line="360" w:lineRule="auto"/>
        <w:rPr>
          <w:rFonts w:ascii="Times New Roman" w:eastAsia="Calibri" w:hAnsi="Times New Roman" w:cs="Times New Roman"/>
          <w:color w:val="000000"/>
          <w:sz w:val="20"/>
          <w:szCs w:val="20"/>
        </w:rPr>
      </w:pPr>
    </w:p>
    <w:p w:rsidR="0054761C" w:rsidRDefault="00565D99" w:rsidP="0079426D">
      <w:pPr>
        <w:spacing w:after="0" w:line="360" w:lineRule="auto"/>
        <w:rPr>
          <w:rFonts w:ascii="Times New Roman" w:eastAsia="Calibri" w:hAnsi="Times New Roman" w:cs="Times New Roman"/>
          <w:color w:val="000000"/>
          <w:sz w:val="20"/>
          <w:szCs w:val="20"/>
        </w:rPr>
      </w:pPr>
      <w:r w:rsidRPr="00565D99">
        <w:rPr>
          <w:rFonts w:ascii="Times New Roman" w:eastAsia="Calibri" w:hAnsi="Times New Roman" w:cs="Times New Roman"/>
          <w:noProof/>
          <w:color w:val="000000"/>
          <w:sz w:val="20"/>
          <w:szCs w:val="20"/>
        </w:rPr>
        <w:drawing>
          <wp:inline distT="0" distB="0" distL="0" distR="0">
            <wp:extent cx="2924175" cy="26289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E0DAE">
        <w:rPr>
          <w:rFonts w:ascii="Times New Roman" w:eastAsia="Calibri" w:hAnsi="Times New Roman" w:cs="Times New Roman"/>
          <w:color w:val="000000"/>
          <w:sz w:val="20"/>
          <w:szCs w:val="20"/>
        </w:rPr>
        <w:t xml:space="preserve">    </w:t>
      </w:r>
      <w:r w:rsidR="006E0DAE" w:rsidRPr="006E0DAE">
        <w:rPr>
          <w:rFonts w:ascii="Times New Roman" w:eastAsia="Calibri" w:hAnsi="Times New Roman" w:cs="Times New Roman"/>
          <w:noProof/>
          <w:color w:val="000000"/>
          <w:sz w:val="20"/>
          <w:szCs w:val="20"/>
        </w:rPr>
        <w:drawing>
          <wp:inline distT="0" distB="0" distL="0" distR="0">
            <wp:extent cx="2762250" cy="26289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1C9F" w:rsidRDefault="00F91C9F"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6E0DAE" w:rsidRDefault="003E318B" w:rsidP="0079426D">
      <w:pPr>
        <w:spacing w:after="0" w:line="360" w:lineRule="auto"/>
        <w:rPr>
          <w:rFonts w:ascii="Times New Roman" w:eastAsia="Calibri" w:hAnsi="Times New Roman" w:cs="Times New Roman"/>
          <w:color w:val="000000"/>
          <w:sz w:val="20"/>
          <w:szCs w:val="20"/>
        </w:rPr>
      </w:pPr>
      <w:r w:rsidRPr="003E318B">
        <w:rPr>
          <w:rFonts w:ascii="Times New Roman" w:eastAsia="Calibri" w:hAnsi="Times New Roman" w:cs="Times New Roman"/>
          <w:noProof/>
          <w:color w:val="000000"/>
          <w:sz w:val="20"/>
          <w:szCs w:val="20"/>
        </w:rPr>
        <w:drawing>
          <wp:inline distT="0" distB="0" distL="0" distR="0">
            <wp:extent cx="2714625" cy="2800350"/>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03240">
        <w:rPr>
          <w:rFonts w:ascii="Times New Roman" w:eastAsia="Calibri" w:hAnsi="Times New Roman" w:cs="Times New Roman"/>
          <w:color w:val="000000"/>
          <w:sz w:val="20"/>
          <w:szCs w:val="20"/>
        </w:rPr>
        <w:t xml:space="preserve">        </w:t>
      </w:r>
      <w:r w:rsidR="00D03240" w:rsidRPr="00D03240">
        <w:rPr>
          <w:rFonts w:ascii="Times New Roman" w:eastAsia="Calibri" w:hAnsi="Times New Roman" w:cs="Times New Roman"/>
          <w:noProof/>
          <w:color w:val="000000"/>
          <w:sz w:val="20"/>
          <w:szCs w:val="20"/>
        </w:rPr>
        <w:drawing>
          <wp:inline distT="0" distB="0" distL="0" distR="0">
            <wp:extent cx="2857500" cy="280035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03240">
        <w:rPr>
          <w:rFonts w:ascii="Times New Roman" w:eastAsia="Calibri" w:hAnsi="Times New Roman" w:cs="Times New Roman"/>
          <w:color w:val="000000"/>
          <w:sz w:val="20"/>
          <w:szCs w:val="20"/>
        </w:rPr>
        <w:t xml:space="preserve"> </w:t>
      </w:r>
    </w:p>
    <w:p w:rsidR="00D03240" w:rsidRDefault="00D03240"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F14236" w:rsidRDefault="00F14236" w:rsidP="0079426D">
      <w:pPr>
        <w:spacing w:after="0" w:line="360" w:lineRule="auto"/>
        <w:rPr>
          <w:rFonts w:ascii="Times New Roman" w:eastAsia="Calibri" w:hAnsi="Times New Roman" w:cs="Times New Roman"/>
          <w:color w:val="000000"/>
          <w:sz w:val="20"/>
          <w:szCs w:val="20"/>
        </w:rPr>
      </w:pPr>
    </w:p>
    <w:p w:rsidR="00D03240" w:rsidRDefault="00F14236" w:rsidP="0079426D">
      <w:pPr>
        <w:spacing w:after="0" w:line="360" w:lineRule="auto"/>
        <w:rPr>
          <w:rFonts w:ascii="Times New Roman" w:eastAsia="Calibri" w:hAnsi="Times New Roman" w:cs="Times New Roman"/>
          <w:color w:val="000000"/>
          <w:sz w:val="20"/>
          <w:szCs w:val="20"/>
        </w:rPr>
      </w:pPr>
      <w:r w:rsidRPr="00F14236">
        <w:rPr>
          <w:rFonts w:ascii="Times New Roman" w:eastAsia="Calibri" w:hAnsi="Times New Roman" w:cs="Times New Roman"/>
          <w:noProof/>
          <w:color w:val="000000"/>
          <w:sz w:val="20"/>
          <w:szCs w:val="20"/>
        </w:rPr>
        <w:drawing>
          <wp:inline distT="0" distB="0" distL="0" distR="0">
            <wp:extent cx="2714625" cy="2743200"/>
            <wp:effectExtent l="19050" t="0" r="952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Calibri" w:hAnsi="Times New Roman" w:cs="Times New Roman"/>
          <w:color w:val="000000"/>
          <w:sz w:val="20"/>
          <w:szCs w:val="20"/>
        </w:rPr>
        <w:t xml:space="preserve">          </w:t>
      </w:r>
      <w:r w:rsidRPr="00F14236">
        <w:rPr>
          <w:rFonts w:ascii="Times New Roman" w:eastAsia="Calibri" w:hAnsi="Times New Roman" w:cs="Times New Roman"/>
          <w:noProof/>
          <w:color w:val="000000"/>
          <w:sz w:val="20"/>
          <w:szCs w:val="20"/>
        </w:rPr>
        <w:drawing>
          <wp:inline distT="0" distB="0" distL="0" distR="0">
            <wp:extent cx="2800350" cy="27432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13CE" w:rsidRDefault="001213CE" w:rsidP="0079426D">
      <w:pPr>
        <w:spacing w:after="0" w:line="360" w:lineRule="auto"/>
        <w:rPr>
          <w:rFonts w:ascii="Times New Roman" w:eastAsia="Calibri" w:hAnsi="Times New Roman" w:cs="Times New Roman"/>
          <w:color w:val="000000"/>
          <w:sz w:val="20"/>
          <w:szCs w:val="20"/>
        </w:rPr>
      </w:pPr>
    </w:p>
    <w:p w:rsidR="001213CE" w:rsidRPr="0054761C" w:rsidRDefault="001213CE" w:rsidP="0079426D">
      <w:pPr>
        <w:spacing w:after="0" w:line="360" w:lineRule="auto"/>
        <w:rPr>
          <w:rFonts w:ascii="Times New Roman" w:eastAsia="Calibri" w:hAnsi="Times New Roman" w:cs="Times New Roman"/>
          <w:color w:val="000000"/>
          <w:sz w:val="20"/>
          <w:szCs w:val="20"/>
        </w:rPr>
      </w:pPr>
    </w:p>
    <w:sectPr w:rsidR="001213CE" w:rsidRPr="0054761C" w:rsidSect="0005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AA4"/>
    <w:rsid w:val="00005D90"/>
    <w:rsid w:val="00005F5D"/>
    <w:rsid w:val="00006A19"/>
    <w:rsid w:val="000139D3"/>
    <w:rsid w:val="000213D0"/>
    <w:rsid w:val="00032FEA"/>
    <w:rsid w:val="0004609E"/>
    <w:rsid w:val="00046351"/>
    <w:rsid w:val="00051201"/>
    <w:rsid w:val="000538F7"/>
    <w:rsid w:val="00056156"/>
    <w:rsid w:val="00061C3D"/>
    <w:rsid w:val="00065376"/>
    <w:rsid w:val="000736CB"/>
    <w:rsid w:val="00073E91"/>
    <w:rsid w:val="0008136D"/>
    <w:rsid w:val="0008337C"/>
    <w:rsid w:val="000865AA"/>
    <w:rsid w:val="000A0902"/>
    <w:rsid w:val="000B3620"/>
    <w:rsid w:val="000C5C2C"/>
    <w:rsid w:val="000C7B40"/>
    <w:rsid w:val="000D0C7C"/>
    <w:rsid w:val="000D7E07"/>
    <w:rsid w:val="000E10AF"/>
    <w:rsid w:val="000F48D0"/>
    <w:rsid w:val="001006F2"/>
    <w:rsid w:val="00100C6A"/>
    <w:rsid w:val="00101E9E"/>
    <w:rsid w:val="00106B64"/>
    <w:rsid w:val="00112918"/>
    <w:rsid w:val="0011718C"/>
    <w:rsid w:val="001213CE"/>
    <w:rsid w:val="001241CF"/>
    <w:rsid w:val="00133601"/>
    <w:rsid w:val="00134787"/>
    <w:rsid w:val="00137CDE"/>
    <w:rsid w:val="001454CB"/>
    <w:rsid w:val="0014631A"/>
    <w:rsid w:val="00150173"/>
    <w:rsid w:val="00157284"/>
    <w:rsid w:val="00157977"/>
    <w:rsid w:val="00174998"/>
    <w:rsid w:val="0017577A"/>
    <w:rsid w:val="00175891"/>
    <w:rsid w:val="00176037"/>
    <w:rsid w:val="00180C52"/>
    <w:rsid w:val="0018325C"/>
    <w:rsid w:val="0018563E"/>
    <w:rsid w:val="00190913"/>
    <w:rsid w:val="001933C6"/>
    <w:rsid w:val="00195624"/>
    <w:rsid w:val="001B4DF4"/>
    <w:rsid w:val="001B5314"/>
    <w:rsid w:val="001B7E1B"/>
    <w:rsid w:val="001D15FC"/>
    <w:rsid w:val="001D3C96"/>
    <w:rsid w:val="001E67CD"/>
    <w:rsid w:val="002003D8"/>
    <w:rsid w:val="00203FF5"/>
    <w:rsid w:val="00211155"/>
    <w:rsid w:val="002347B8"/>
    <w:rsid w:val="00242C33"/>
    <w:rsid w:val="00243671"/>
    <w:rsid w:val="002543F0"/>
    <w:rsid w:val="00267BF9"/>
    <w:rsid w:val="00274EB5"/>
    <w:rsid w:val="00274F75"/>
    <w:rsid w:val="00276596"/>
    <w:rsid w:val="00287F50"/>
    <w:rsid w:val="00292CB4"/>
    <w:rsid w:val="00296560"/>
    <w:rsid w:val="00297C66"/>
    <w:rsid w:val="002A77C8"/>
    <w:rsid w:val="002B1E8A"/>
    <w:rsid w:val="002B3350"/>
    <w:rsid w:val="002B5C67"/>
    <w:rsid w:val="002C1BF6"/>
    <w:rsid w:val="002C2493"/>
    <w:rsid w:val="002C54F8"/>
    <w:rsid w:val="002D6C75"/>
    <w:rsid w:val="002D7CC7"/>
    <w:rsid w:val="002E5411"/>
    <w:rsid w:val="002E5F93"/>
    <w:rsid w:val="002F412F"/>
    <w:rsid w:val="002F60A9"/>
    <w:rsid w:val="002F7905"/>
    <w:rsid w:val="0030038B"/>
    <w:rsid w:val="0030361F"/>
    <w:rsid w:val="00310A32"/>
    <w:rsid w:val="00316280"/>
    <w:rsid w:val="00321363"/>
    <w:rsid w:val="00345C81"/>
    <w:rsid w:val="0035267F"/>
    <w:rsid w:val="003617E0"/>
    <w:rsid w:val="00364519"/>
    <w:rsid w:val="00364A86"/>
    <w:rsid w:val="00366D0F"/>
    <w:rsid w:val="00381CDD"/>
    <w:rsid w:val="003928F3"/>
    <w:rsid w:val="00396E13"/>
    <w:rsid w:val="003A1056"/>
    <w:rsid w:val="003A3CDF"/>
    <w:rsid w:val="003A7DC9"/>
    <w:rsid w:val="003B3A82"/>
    <w:rsid w:val="003B4A8B"/>
    <w:rsid w:val="003B590C"/>
    <w:rsid w:val="003E0C2A"/>
    <w:rsid w:val="003E10D0"/>
    <w:rsid w:val="003E191A"/>
    <w:rsid w:val="003E318B"/>
    <w:rsid w:val="003E4D57"/>
    <w:rsid w:val="003E551C"/>
    <w:rsid w:val="003E746F"/>
    <w:rsid w:val="003E7E44"/>
    <w:rsid w:val="003F31D6"/>
    <w:rsid w:val="0040142D"/>
    <w:rsid w:val="00402C83"/>
    <w:rsid w:val="00404CF9"/>
    <w:rsid w:val="00406212"/>
    <w:rsid w:val="00425BED"/>
    <w:rsid w:val="00441623"/>
    <w:rsid w:val="004477A9"/>
    <w:rsid w:val="00451B1E"/>
    <w:rsid w:val="00453641"/>
    <w:rsid w:val="0045715B"/>
    <w:rsid w:val="004605D1"/>
    <w:rsid w:val="00471F05"/>
    <w:rsid w:val="00483807"/>
    <w:rsid w:val="00484E2B"/>
    <w:rsid w:val="00485E99"/>
    <w:rsid w:val="00486A4F"/>
    <w:rsid w:val="004A4431"/>
    <w:rsid w:val="004A470E"/>
    <w:rsid w:val="004A6A37"/>
    <w:rsid w:val="004C1BEB"/>
    <w:rsid w:val="004D7D2A"/>
    <w:rsid w:val="004E70DC"/>
    <w:rsid w:val="004F67C4"/>
    <w:rsid w:val="005006E5"/>
    <w:rsid w:val="00501772"/>
    <w:rsid w:val="005042DD"/>
    <w:rsid w:val="005059BF"/>
    <w:rsid w:val="0050661D"/>
    <w:rsid w:val="00514491"/>
    <w:rsid w:val="0052086F"/>
    <w:rsid w:val="00521B93"/>
    <w:rsid w:val="00522DB9"/>
    <w:rsid w:val="0052490A"/>
    <w:rsid w:val="00525B2F"/>
    <w:rsid w:val="00531E82"/>
    <w:rsid w:val="005406C2"/>
    <w:rsid w:val="00541391"/>
    <w:rsid w:val="00542DE6"/>
    <w:rsid w:val="0054713D"/>
    <w:rsid w:val="0054761C"/>
    <w:rsid w:val="00551167"/>
    <w:rsid w:val="005531B1"/>
    <w:rsid w:val="00554F42"/>
    <w:rsid w:val="005562F4"/>
    <w:rsid w:val="00565D99"/>
    <w:rsid w:val="00580196"/>
    <w:rsid w:val="00580468"/>
    <w:rsid w:val="005876CF"/>
    <w:rsid w:val="00591358"/>
    <w:rsid w:val="00593155"/>
    <w:rsid w:val="00595136"/>
    <w:rsid w:val="005B4BF5"/>
    <w:rsid w:val="005B777E"/>
    <w:rsid w:val="005B7DAA"/>
    <w:rsid w:val="005B7EEF"/>
    <w:rsid w:val="005C3752"/>
    <w:rsid w:val="005D05A5"/>
    <w:rsid w:val="005F7F81"/>
    <w:rsid w:val="005F7F94"/>
    <w:rsid w:val="006026CF"/>
    <w:rsid w:val="0060640C"/>
    <w:rsid w:val="00626E54"/>
    <w:rsid w:val="006428FC"/>
    <w:rsid w:val="00654845"/>
    <w:rsid w:val="006569B5"/>
    <w:rsid w:val="0067278B"/>
    <w:rsid w:val="00672B62"/>
    <w:rsid w:val="0068507D"/>
    <w:rsid w:val="0069248D"/>
    <w:rsid w:val="0069276D"/>
    <w:rsid w:val="00692A9F"/>
    <w:rsid w:val="006963FB"/>
    <w:rsid w:val="006979CB"/>
    <w:rsid w:val="006A05D4"/>
    <w:rsid w:val="006A2380"/>
    <w:rsid w:val="006A3453"/>
    <w:rsid w:val="006A6A76"/>
    <w:rsid w:val="006B236C"/>
    <w:rsid w:val="006C1BD1"/>
    <w:rsid w:val="006E0DAE"/>
    <w:rsid w:val="006E1737"/>
    <w:rsid w:val="006E7F26"/>
    <w:rsid w:val="007005D0"/>
    <w:rsid w:val="00702B14"/>
    <w:rsid w:val="007077DA"/>
    <w:rsid w:val="00710447"/>
    <w:rsid w:val="00712B92"/>
    <w:rsid w:val="00713DBB"/>
    <w:rsid w:val="0071787F"/>
    <w:rsid w:val="007242FB"/>
    <w:rsid w:val="00727EC7"/>
    <w:rsid w:val="00727EEF"/>
    <w:rsid w:val="007302EA"/>
    <w:rsid w:val="00731737"/>
    <w:rsid w:val="00733388"/>
    <w:rsid w:val="007378A0"/>
    <w:rsid w:val="007402F3"/>
    <w:rsid w:val="00750321"/>
    <w:rsid w:val="007548A9"/>
    <w:rsid w:val="00767E8C"/>
    <w:rsid w:val="00785111"/>
    <w:rsid w:val="007855F6"/>
    <w:rsid w:val="00787C0F"/>
    <w:rsid w:val="0079426D"/>
    <w:rsid w:val="007A23F8"/>
    <w:rsid w:val="007D566D"/>
    <w:rsid w:val="007D7958"/>
    <w:rsid w:val="007F47FA"/>
    <w:rsid w:val="00802379"/>
    <w:rsid w:val="008077DF"/>
    <w:rsid w:val="0081421B"/>
    <w:rsid w:val="008204D4"/>
    <w:rsid w:val="00833950"/>
    <w:rsid w:val="00844A0C"/>
    <w:rsid w:val="00852EAB"/>
    <w:rsid w:val="00855EFD"/>
    <w:rsid w:val="00866C84"/>
    <w:rsid w:val="00871504"/>
    <w:rsid w:val="00871C30"/>
    <w:rsid w:val="008821F0"/>
    <w:rsid w:val="00884A1E"/>
    <w:rsid w:val="00894FA7"/>
    <w:rsid w:val="00896ACF"/>
    <w:rsid w:val="008B2ACE"/>
    <w:rsid w:val="008B74CB"/>
    <w:rsid w:val="008C6467"/>
    <w:rsid w:val="008D757E"/>
    <w:rsid w:val="008E061A"/>
    <w:rsid w:val="008E5788"/>
    <w:rsid w:val="008F489F"/>
    <w:rsid w:val="00900B34"/>
    <w:rsid w:val="00901B28"/>
    <w:rsid w:val="009028CC"/>
    <w:rsid w:val="009029D7"/>
    <w:rsid w:val="00905628"/>
    <w:rsid w:val="00912E6C"/>
    <w:rsid w:val="00913D3C"/>
    <w:rsid w:val="00914CB2"/>
    <w:rsid w:val="00922430"/>
    <w:rsid w:val="009255E3"/>
    <w:rsid w:val="00935056"/>
    <w:rsid w:val="009472C4"/>
    <w:rsid w:val="009561CF"/>
    <w:rsid w:val="00956475"/>
    <w:rsid w:val="0096310F"/>
    <w:rsid w:val="009803DC"/>
    <w:rsid w:val="00985865"/>
    <w:rsid w:val="00991EBE"/>
    <w:rsid w:val="00992C73"/>
    <w:rsid w:val="0099316D"/>
    <w:rsid w:val="009973FF"/>
    <w:rsid w:val="009B63C7"/>
    <w:rsid w:val="009C658D"/>
    <w:rsid w:val="009D6B9F"/>
    <w:rsid w:val="009D786E"/>
    <w:rsid w:val="009F43EF"/>
    <w:rsid w:val="00A11C98"/>
    <w:rsid w:val="00A16A27"/>
    <w:rsid w:val="00A248F8"/>
    <w:rsid w:val="00A26E7D"/>
    <w:rsid w:val="00A32932"/>
    <w:rsid w:val="00A4506C"/>
    <w:rsid w:val="00A4709D"/>
    <w:rsid w:val="00A51DBB"/>
    <w:rsid w:val="00A542D2"/>
    <w:rsid w:val="00A544D7"/>
    <w:rsid w:val="00A5778E"/>
    <w:rsid w:val="00A62F51"/>
    <w:rsid w:val="00A75485"/>
    <w:rsid w:val="00A81613"/>
    <w:rsid w:val="00A874E0"/>
    <w:rsid w:val="00A95D11"/>
    <w:rsid w:val="00AA27A2"/>
    <w:rsid w:val="00AA41DF"/>
    <w:rsid w:val="00AA4AA3"/>
    <w:rsid w:val="00AB3D18"/>
    <w:rsid w:val="00AB7971"/>
    <w:rsid w:val="00AC0BFF"/>
    <w:rsid w:val="00AC3513"/>
    <w:rsid w:val="00AD147E"/>
    <w:rsid w:val="00AD7CFC"/>
    <w:rsid w:val="00AE1E90"/>
    <w:rsid w:val="00AE291A"/>
    <w:rsid w:val="00AE3E3F"/>
    <w:rsid w:val="00AE4C2C"/>
    <w:rsid w:val="00AF1BED"/>
    <w:rsid w:val="00AF30AE"/>
    <w:rsid w:val="00AF6EED"/>
    <w:rsid w:val="00AF7B09"/>
    <w:rsid w:val="00B02D2D"/>
    <w:rsid w:val="00B07DF4"/>
    <w:rsid w:val="00B13CA1"/>
    <w:rsid w:val="00B14790"/>
    <w:rsid w:val="00B200F4"/>
    <w:rsid w:val="00B3110C"/>
    <w:rsid w:val="00B324DB"/>
    <w:rsid w:val="00B352CA"/>
    <w:rsid w:val="00B44B5F"/>
    <w:rsid w:val="00B54AC5"/>
    <w:rsid w:val="00B63A14"/>
    <w:rsid w:val="00B716A6"/>
    <w:rsid w:val="00B77840"/>
    <w:rsid w:val="00B80D73"/>
    <w:rsid w:val="00B865B0"/>
    <w:rsid w:val="00B8683F"/>
    <w:rsid w:val="00B94FE8"/>
    <w:rsid w:val="00B96E2E"/>
    <w:rsid w:val="00BA49FB"/>
    <w:rsid w:val="00BC5F77"/>
    <w:rsid w:val="00BD11CE"/>
    <w:rsid w:val="00BD23E5"/>
    <w:rsid w:val="00BD30CA"/>
    <w:rsid w:val="00BE2A6F"/>
    <w:rsid w:val="00C02CCB"/>
    <w:rsid w:val="00C03EA5"/>
    <w:rsid w:val="00C05794"/>
    <w:rsid w:val="00C07E8A"/>
    <w:rsid w:val="00C10DA2"/>
    <w:rsid w:val="00C15249"/>
    <w:rsid w:val="00C15A1B"/>
    <w:rsid w:val="00C17EB8"/>
    <w:rsid w:val="00C20672"/>
    <w:rsid w:val="00C2463B"/>
    <w:rsid w:val="00C42F28"/>
    <w:rsid w:val="00C57700"/>
    <w:rsid w:val="00C643C2"/>
    <w:rsid w:val="00C64C61"/>
    <w:rsid w:val="00C66605"/>
    <w:rsid w:val="00C7444B"/>
    <w:rsid w:val="00C81BDA"/>
    <w:rsid w:val="00C82069"/>
    <w:rsid w:val="00C87DC4"/>
    <w:rsid w:val="00C947C2"/>
    <w:rsid w:val="00C94CE8"/>
    <w:rsid w:val="00C97550"/>
    <w:rsid w:val="00CA00D8"/>
    <w:rsid w:val="00CA2E8D"/>
    <w:rsid w:val="00CA640F"/>
    <w:rsid w:val="00CB666F"/>
    <w:rsid w:val="00CB70AB"/>
    <w:rsid w:val="00CB75FC"/>
    <w:rsid w:val="00CD0040"/>
    <w:rsid w:val="00CD20C6"/>
    <w:rsid w:val="00CD41B7"/>
    <w:rsid w:val="00CE20DD"/>
    <w:rsid w:val="00CE4AA4"/>
    <w:rsid w:val="00CE63F1"/>
    <w:rsid w:val="00CF4316"/>
    <w:rsid w:val="00D03240"/>
    <w:rsid w:val="00D0429D"/>
    <w:rsid w:val="00D12A40"/>
    <w:rsid w:val="00D15EE0"/>
    <w:rsid w:val="00D24BED"/>
    <w:rsid w:val="00D30A13"/>
    <w:rsid w:val="00D46A6B"/>
    <w:rsid w:val="00D46DC1"/>
    <w:rsid w:val="00D5097D"/>
    <w:rsid w:val="00D512F0"/>
    <w:rsid w:val="00D561CE"/>
    <w:rsid w:val="00D6043B"/>
    <w:rsid w:val="00D62D2B"/>
    <w:rsid w:val="00D678DB"/>
    <w:rsid w:val="00D7197D"/>
    <w:rsid w:val="00D75F6B"/>
    <w:rsid w:val="00D9122A"/>
    <w:rsid w:val="00DA1FC7"/>
    <w:rsid w:val="00DC022A"/>
    <w:rsid w:val="00DC4205"/>
    <w:rsid w:val="00DD0B23"/>
    <w:rsid w:val="00DD0C4F"/>
    <w:rsid w:val="00DD0F4B"/>
    <w:rsid w:val="00DD3809"/>
    <w:rsid w:val="00DD479A"/>
    <w:rsid w:val="00DD49CF"/>
    <w:rsid w:val="00DE14E9"/>
    <w:rsid w:val="00DE240F"/>
    <w:rsid w:val="00DE7180"/>
    <w:rsid w:val="00DF29E9"/>
    <w:rsid w:val="00E00907"/>
    <w:rsid w:val="00E06718"/>
    <w:rsid w:val="00E07616"/>
    <w:rsid w:val="00E16BDF"/>
    <w:rsid w:val="00E236AA"/>
    <w:rsid w:val="00E312B6"/>
    <w:rsid w:val="00E316FF"/>
    <w:rsid w:val="00E4261C"/>
    <w:rsid w:val="00E55164"/>
    <w:rsid w:val="00E926EC"/>
    <w:rsid w:val="00EA0DAD"/>
    <w:rsid w:val="00EA2E7D"/>
    <w:rsid w:val="00EB3C27"/>
    <w:rsid w:val="00EB457B"/>
    <w:rsid w:val="00EC26E3"/>
    <w:rsid w:val="00EC5EB2"/>
    <w:rsid w:val="00ED1D0D"/>
    <w:rsid w:val="00ED42DE"/>
    <w:rsid w:val="00ED70DC"/>
    <w:rsid w:val="00EE1FFB"/>
    <w:rsid w:val="00EF1433"/>
    <w:rsid w:val="00EF1C9E"/>
    <w:rsid w:val="00EF6E88"/>
    <w:rsid w:val="00F071DC"/>
    <w:rsid w:val="00F076FD"/>
    <w:rsid w:val="00F1189D"/>
    <w:rsid w:val="00F14236"/>
    <w:rsid w:val="00F236E4"/>
    <w:rsid w:val="00F46EC7"/>
    <w:rsid w:val="00F62A16"/>
    <w:rsid w:val="00F65D52"/>
    <w:rsid w:val="00F67CC9"/>
    <w:rsid w:val="00F700F9"/>
    <w:rsid w:val="00F748F6"/>
    <w:rsid w:val="00F80F73"/>
    <w:rsid w:val="00F840AD"/>
    <w:rsid w:val="00F87F30"/>
    <w:rsid w:val="00F91C9F"/>
    <w:rsid w:val="00FA1EE0"/>
    <w:rsid w:val="00FA3944"/>
    <w:rsid w:val="00FA75BE"/>
    <w:rsid w:val="00FB2C51"/>
    <w:rsid w:val="00FB6622"/>
    <w:rsid w:val="00FB7FF5"/>
    <w:rsid w:val="00FC7568"/>
    <w:rsid w:val="00FD1CC3"/>
    <w:rsid w:val="00FD2EE7"/>
    <w:rsid w:val="00FE4741"/>
    <w:rsid w:val="00FF0B37"/>
    <w:rsid w:val="00FF49C2"/>
    <w:rsid w:val="00FF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A4"/>
    <w:rPr>
      <w:color w:val="0000FF" w:themeColor="hyperlink"/>
      <w:u w:val="single"/>
    </w:rPr>
  </w:style>
  <w:style w:type="table" w:styleId="TableGrid">
    <w:name w:val="Table Grid"/>
    <w:basedOn w:val="TableNormal"/>
    <w:uiPriority w:val="59"/>
    <w:rsid w:val="006A05D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9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D7"/>
    <w:rPr>
      <w:rFonts w:ascii="Tahoma" w:hAnsi="Tahoma" w:cs="Tahoma"/>
      <w:sz w:val="16"/>
      <w:szCs w:val="16"/>
    </w:rPr>
  </w:style>
  <w:style w:type="paragraph" w:styleId="BodyTextIndent">
    <w:name w:val="Body Text Indent"/>
    <w:basedOn w:val="Normal"/>
    <w:link w:val="BodyTextIndentChar"/>
    <w:rsid w:val="002F412F"/>
    <w:pPr>
      <w:spacing w:after="0" w:line="480" w:lineRule="auto"/>
      <w:ind w:left="720"/>
      <w:jc w:val="left"/>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F412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1327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oyenacademy@yahoo.com" TargetMode="External"/><Relationship Id="rId11" Type="http://schemas.openxmlformats.org/officeDocument/2006/relationships/chart" Target="charts/chart3.xml"/><Relationship Id="rId5" Type="http://schemas.openxmlformats.org/officeDocument/2006/relationships/hyperlink" Target="mailto:jcagunwamba@yahoo.com"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hyperlink" Target="mailto:dejoolaniyan@yahoo.com" TargetMode="Externa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ANIYAN\Documents\Galma%20cross-sec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ANIYAN\Documents\Galma%20cross-sec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ANIYAN\Documents\Comparison%20of%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ANIYAN\Documents\Comparison%20of%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ANIYAN\Documents\Comparison%20of%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ANIYAN\Documents\Comparison%20of%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000"/>
              <a:t>Figure 3: Cross-sections through Water table and Basement rock surfaces NW-SE direction</a:t>
            </a:r>
          </a:p>
        </c:rich>
      </c:tx>
      <c:layout>
        <c:manualLayout>
          <c:xMode val="edge"/>
          <c:yMode val="edge"/>
          <c:x val="0.10094127415437661"/>
          <c:y val="0.84497237356333088"/>
        </c:manualLayout>
      </c:layout>
    </c:title>
    <c:plotArea>
      <c:layout>
        <c:manualLayout>
          <c:layoutTarget val="inner"/>
          <c:xMode val="edge"/>
          <c:yMode val="edge"/>
          <c:x val="0.17456615968606573"/>
          <c:y val="7.3546350184487796E-2"/>
          <c:w val="0.78171518462472322"/>
          <c:h val="0.55882916809312011"/>
        </c:manualLayout>
      </c:layout>
      <c:lineChart>
        <c:grouping val="standard"/>
        <c:ser>
          <c:idx val="0"/>
          <c:order val="0"/>
          <c:tx>
            <c:strRef>
              <c:f>Sheet1!$C$3:$C$4</c:f>
              <c:strCache>
                <c:ptCount val="1"/>
                <c:pt idx="0">
                  <c:v>Depth to Water table (m)</c:v>
                </c:pt>
              </c:strCache>
            </c:strRef>
          </c:tx>
          <c:cat>
            <c:strRef>
              <c:f>Sheet1!$A$5:$A$12</c:f>
              <c:strCache>
                <c:ptCount val="8"/>
                <c:pt idx="0">
                  <c:v>Likara Tasha</c:v>
                </c:pt>
                <c:pt idx="1">
                  <c:v>U/Tsoho</c:v>
                </c:pt>
                <c:pt idx="2">
                  <c:v>Rangi</c:v>
                </c:pt>
                <c:pt idx="3">
                  <c:v>Chidau</c:v>
                </c:pt>
                <c:pt idx="4">
                  <c:v>Ribako</c:v>
                </c:pt>
                <c:pt idx="5">
                  <c:v>S/K Bele</c:v>
                </c:pt>
                <c:pt idx="6">
                  <c:v>K/Kabau</c:v>
                </c:pt>
                <c:pt idx="7">
                  <c:v>GSS Zuntu</c:v>
                </c:pt>
              </c:strCache>
            </c:strRef>
          </c:cat>
          <c:val>
            <c:numRef>
              <c:f>Sheet1!$C$5:$C$12</c:f>
              <c:numCache>
                <c:formatCode>General</c:formatCode>
                <c:ptCount val="8"/>
                <c:pt idx="0">
                  <c:v>-6.2</c:v>
                </c:pt>
                <c:pt idx="1">
                  <c:v>-6.9</c:v>
                </c:pt>
                <c:pt idx="2">
                  <c:v>-14.7</c:v>
                </c:pt>
                <c:pt idx="3">
                  <c:v>-11.3</c:v>
                </c:pt>
                <c:pt idx="4">
                  <c:v>-7.8</c:v>
                </c:pt>
                <c:pt idx="5">
                  <c:v>-7.5</c:v>
                </c:pt>
                <c:pt idx="6">
                  <c:v>-3.4</c:v>
                </c:pt>
                <c:pt idx="7">
                  <c:v>-9.3000000000000007</c:v>
                </c:pt>
              </c:numCache>
            </c:numRef>
          </c:val>
        </c:ser>
        <c:ser>
          <c:idx val="1"/>
          <c:order val="1"/>
          <c:tx>
            <c:strRef>
              <c:f>Sheet1!$D$3:$D$4</c:f>
              <c:strCache>
                <c:ptCount val="1"/>
                <c:pt idx="0">
                  <c:v>Depth to Basement (m)</c:v>
                </c:pt>
              </c:strCache>
            </c:strRef>
          </c:tx>
          <c:cat>
            <c:strRef>
              <c:f>Sheet1!$A$5:$A$12</c:f>
              <c:strCache>
                <c:ptCount val="8"/>
                <c:pt idx="0">
                  <c:v>Likara Tasha</c:v>
                </c:pt>
                <c:pt idx="1">
                  <c:v>U/Tsoho</c:v>
                </c:pt>
                <c:pt idx="2">
                  <c:v>Rangi</c:v>
                </c:pt>
                <c:pt idx="3">
                  <c:v>Chidau</c:v>
                </c:pt>
                <c:pt idx="4">
                  <c:v>Ribako</c:v>
                </c:pt>
                <c:pt idx="5">
                  <c:v>S/K Bele</c:v>
                </c:pt>
                <c:pt idx="6">
                  <c:v>K/Kabau</c:v>
                </c:pt>
                <c:pt idx="7">
                  <c:v>GSS Zuntu</c:v>
                </c:pt>
              </c:strCache>
            </c:strRef>
          </c:cat>
          <c:val>
            <c:numRef>
              <c:f>Sheet1!$D$5:$D$12</c:f>
              <c:numCache>
                <c:formatCode>General</c:formatCode>
                <c:ptCount val="8"/>
                <c:pt idx="0">
                  <c:v>-36.300000000000004</c:v>
                </c:pt>
                <c:pt idx="1">
                  <c:v>-32</c:v>
                </c:pt>
                <c:pt idx="2">
                  <c:v>-23.6</c:v>
                </c:pt>
                <c:pt idx="3">
                  <c:v>-46</c:v>
                </c:pt>
                <c:pt idx="4">
                  <c:v>-57</c:v>
                </c:pt>
                <c:pt idx="5">
                  <c:v>-36.6</c:v>
                </c:pt>
                <c:pt idx="6">
                  <c:v>-30.7</c:v>
                </c:pt>
                <c:pt idx="7">
                  <c:v>-40</c:v>
                </c:pt>
              </c:numCache>
            </c:numRef>
          </c:val>
        </c:ser>
        <c:marker val="1"/>
        <c:axId val="147710720"/>
        <c:axId val="147712256"/>
      </c:lineChart>
      <c:catAx>
        <c:axId val="147710720"/>
        <c:scaling>
          <c:orientation val="minMax"/>
        </c:scaling>
        <c:axPos val="b"/>
        <c:majorTickMark val="none"/>
        <c:tickLblPos val="nextTo"/>
        <c:crossAx val="147712256"/>
        <c:crosses val="autoZero"/>
        <c:auto val="1"/>
        <c:lblAlgn val="ctr"/>
        <c:lblOffset val="100"/>
      </c:catAx>
      <c:valAx>
        <c:axId val="147712256"/>
        <c:scaling>
          <c:orientation val="minMax"/>
        </c:scaling>
        <c:axPos val="l"/>
        <c:title>
          <c:tx>
            <c:rich>
              <a:bodyPr/>
              <a:lstStyle/>
              <a:p>
                <a:pPr>
                  <a:defRPr/>
                </a:pPr>
                <a:r>
                  <a:rPr lang="en-US"/>
                  <a:t>Depth from surface (m)</a:t>
                </a:r>
              </a:p>
            </c:rich>
          </c:tx>
        </c:title>
        <c:numFmt formatCode="General" sourceLinked="1"/>
        <c:majorTickMark val="none"/>
        <c:tickLblPos val="nextTo"/>
        <c:crossAx val="147710720"/>
        <c:crosses val="autoZero"/>
        <c:crossBetween val="between"/>
      </c:valAx>
    </c:plotArea>
    <c:legend>
      <c:legendPos val="r"/>
      <c:layout>
        <c:manualLayout>
          <c:xMode val="edge"/>
          <c:yMode val="edge"/>
          <c:x val="0.43366829960587305"/>
          <c:y val="0.67161093993685572"/>
          <c:w val="0.56068087580257764"/>
          <c:h val="0.1148244512914146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900"/>
              <a:t>Figure 4: Cross-sections through water table and Basement rock surfaces W-E direction</a:t>
            </a:r>
          </a:p>
        </c:rich>
      </c:tx>
      <c:layout>
        <c:manualLayout>
          <c:xMode val="edge"/>
          <c:yMode val="edge"/>
          <c:x val="0.10254940166377505"/>
          <c:y val="0.87509604777663652"/>
        </c:manualLayout>
      </c:layout>
    </c:title>
    <c:plotArea>
      <c:layout>
        <c:manualLayout>
          <c:layoutTarget val="inner"/>
          <c:xMode val="edge"/>
          <c:yMode val="edge"/>
          <c:x val="0.1784218159170782"/>
          <c:y val="3.3278773224213222E-2"/>
          <c:w val="0.78546910449753049"/>
          <c:h val="0.5919589942561525"/>
        </c:manualLayout>
      </c:layout>
      <c:lineChart>
        <c:grouping val="standard"/>
        <c:ser>
          <c:idx val="0"/>
          <c:order val="0"/>
          <c:tx>
            <c:strRef>
              <c:f>Sheet2!$C$4:$C$5</c:f>
              <c:strCache>
                <c:ptCount val="1"/>
                <c:pt idx="0">
                  <c:v>Depth to Water table (m)</c:v>
                </c:pt>
              </c:strCache>
            </c:strRef>
          </c:tx>
          <c:cat>
            <c:strRef>
              <c:f>Sheet2!$A$6:$A$12</c:f>
              <c:strCache>
                <c:ptCount val="7"/>
                <c:pt idx="0">
                  <c:v>Baushe</c:v>
                </c:pt>
                <c:pt idx="1">
                  <c:v>Matari</c:v>
                </c:pt>
                <c:pt idx="2">
                  <c:v>Fagachi</c:v>
                </c:pt>
                <c:pt idx="3">
                  <c:v>Bakura</c:v>
                </c:pt>
                <c:pt idx="4">
                  <c:v>Ribako</c:v>
                </c:pt>
                <c:pt idx="5">
                  <c:v>Dan Wata II</c:v>
                </c:pt>
                <c:pt idx="6">
                  <c:v>Kajirogo</c:v>
                </c:pt>
              </c:strCache>
            </c:strRef>
          </c:cat>
          <c:val>
            <c:numRef>
              <c:f>Sheet2!$C$6:$C$12</c:f>
              <c:numCache>
                <c:formatCode>General</c:formatCode>
                <c:ptCount val="7"/>
                <c:pt idx="0">
                  <c:v>-7.8</c:v>
                </c:pt>
                <c:pt idx="1">
                  <c:v>-4.5999999999999996</c:v>
                </c:pt>
                <c:pt idx="2">
                  <c:v>-3.9</c:v>
                </c:pt>
                <c:pt idx="3">
                  <c:v>-5.7</c:v>
                </c:pt>
                <c:pt idx="4">
                  <c:v>-7.8</c:v>
                </c:pt>
                <c:pt idx="5">
                  <c:v>-6.2</c:v>
                </c:pt>
                <c:pt idx="6">
                  <c:v>-5.9</c:v>
                </c:pt>
              </c:numCache>
            </c:numRef>
          </c:val>
        </c:ser>
        <c:ser>
          <c:idx val="1"/>
          <c:order val="1"/>
          <c:tx>
            <c:strRef>
              <c:f>Sheet2!$D$4:$D$5</c:f>
              <c:strCache>
                <c:ptCount val="1"/>
                <c:pt idx="0">
                  <c:v>Depth to Basement (m)</c:v>
                </c:pt>
              </c:strCache>
            </c:strRef>
          </c:tx>
          <c:cat>
            <c:strRef>
              <c:f>Sheet2!$A$6:$A$12</c:f>
              <c:strCache>
                <c:ptCount val="7"/>
                <c:pt idx="0">
                  <c:v>Baushe</c:v>
                </c:pt>
                <c:pt idx="1">
                  <c:v>Matari</c:v>
                </c:pt>
                <c:pt idx="2">
                  <c:v>Fagachi</c:v>
                </c:pt>
                <c:pt idx="3">
                  <c:v>Bakura</c:v>
                </c:pt>
                <c:pt idx="4">
                  <c:v>Ribako</c:v>
                </c:pt>
                <c:pt idx="5">
                  <c:v>Dan Wata II</c:v>
                </c:pt>
                <c:pt idx="6">
                  <c:v>Kajirogo</c:v>
                </c:pt>
              </c:strCache>
            </c:strRef>
          </c:cat>
          <c:val>
            <c:numRef>
              <c:f>Sheet2!$D$6:$D$12</c:f>
              <c:numCache>
                <c:formatCode>General</c:formatCode>
                <c:ptCount val="7"/>
                <c:pt idx="0">
                  <c:v>-40</c:v>
                </c:pt>
                <c:pt idx="1">
                  <c:v>-50.1</c:v>
                </c:pt>
                <c:pt idx="2">
                  <c:v>-30.4</c:v>
                </c:pt>
                <c:pt idx="3">
                  <c:v>-70</c:v>
                </c:pt>
                <c:pt idx="4">
                  <c:v>-57</c:v>
                </c:pt>
                <c:pt idx="5">
                  <c:v>-40</c:v>
                </c:pt>
                <c:pt idx="6">
                  <c:v>-28.3</c:v>
                </c:pt>
              </c:numCache>
            </c:numRef>
          </c:val>
        </c:ser>
        <c:marker val="1"/>
        <c:axId val="148135296"/>
        <c:axId val="148157568"/>
      </c:lineChart>
      <c:catAx>
        <c:axId val="148135296"/>
        <c:scaling>
          <c:orientation val="minMax"/>
        </c:scaling>
        <c:axPos val="b"/>
        <c:majorTickMark val="none"/>
        <c:tickLblPos val="nextTo"/>
        <c:crossAx val="148157568"/>
        <c:crosses val="autoZero"/>
        <c:auto val="1"/>
        <c:lblAlgn val="ctr"/>
        <c:lblOffset val="100"/>
      </c:catAx>
      <c:valAx>
        <c:axId val="148157568"/>
        <c:scaling>
          <c:orientation val="minMax"/>
        </c:scaling>
        <c:axPos val="l"/>
        <c:title>
          <c:tx>
            <c:rich>
              <a:bodyPr/>
              <a:lstStyle/>
              <a:p>
                <a:pPr>
                  <a:defRPr/>
                </a:pPr>
                <a:r>
                  <a:rPr lang="en-US"/>
                  <a:t>Depth from surface (m)</a:t>
                </a:r>
              </a:p>
            </c:rich>
          </c:tx>
        </c:title>
        <c:numFmt formatCode="General" sourceLinked="1"/>
        <c:majorTickMark val="none"/>
        <c:tickLblPos val="nextTo"/>
        <c:crossAx val="148135296"/>
        <c:crosses val="autoZero"/>
        <c:crossBetween val="between"/>
      </c:valAx>
    </c:plotArea>
    <c:legend>
      <c:legendPos val="r"/>
      <c:layout>
        <c:manualLayout>
          <c:xMode val="edge"/>
          <c:yMode val="edge"/>
          <c:x val="0.39827358868277146"/>
          <c:y val="0.69219635589029627"/>
          <c:w val="0.59720663730592949"/>
          <c:h val="0.1313956407622964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100"/>
              <a:t>Figure 5: Regression of Specific Capacity on Regolith Thickness</a:t>
            </a:r>
          </a:p>
        </c:rich>
      </c:tx>
      <c:layout>
        <c:manualLayout>
          <c:xMode val="edge"/>
          <c:yMode val="edge"/>
          <c:x val="0.15662863194732293"/>
          <c:y val="0.8379627546556675"/>
        </c:manualLayout>
      </c:layout>
    </c:title>
    <c:plotArea>
      <c:layout>
        <c:manualLayout>
          <c:layoutTarget val="inner"/>
          <c:xMode val="edge"/>
          <c:yMode val="edge"/>
          <c:x val="0.17367223833862869"/>
          <c:y val="4.6655365995916978E-2"/>
          <c:w val="0.77455007597734449"/>
          <c:h val="0.61295971455525489"/>
        </c:manualLayout>
      </c:layout>
      <c:scatterChart>
        <c:scatterStyle val="lineMarker"/>
        <c:ser>
          <c:idx val="0"/>
          <c:order val="0"/>
          <c:spPr>
            <a:ln w="28575">
              <a:noFill/>
            </a:ln>
          </c:spPr>
          <c:marker>
            <c:symbol val="circle"/>
            <c:size val="2"/>
          </c:marker>
          <c:trendline>
            <c:trendlineType val="linear"/>
            <c:dispRSqr val="1"/>
            <c:dispEq val="1"/>
            <c:trendlineLbl>
              <c:layout>
                <c:manualLayout>
                  <c:x val="0.13177559055118121"/>
                  <c:y val="-0.48820319335083212"/>
                </c:manualLayout>
              </c:layout>
              <c:tx>
                <c:rich>
                  <a:bodyPr/>
                  <a:lstStyle/>
                  <a:p>
                    <a:pPr>
                      <a:defRPr/>
                    </a:pPr>
                    <a:r>
                      <a:rPr lang="en-US" sz="800"/>
                      <a:t>y = -0.087x + 5.867
R² = 0.030</a:t>
                    </a:r>
                  </a:p>
                  <a:p>
                    <a:pPr>
                      <a:defRPr/>
                    </a:pPr>
                    <a:r>
                      <a:rPr lang="en-US" sz="800"/>
                      <a:t>R = -0.173</a:t>
                    </a:r>
                  </a:p>
                </c:rich>
              </c:tx>
              <c:numFmt formatCode="General" sourceLinked="0"/>
            </c:trendlineLbl>
          </c:trendline>
          <c:xVal>
            <c:numRef>
              <c:f>Sheet2!$P$206:$P$296</c:f>
              <c:numCache>
                <c:formatCode>General</c:formatCode>
                <c:ptCount val="91"/>
                <c:pt idx="0">
                  <c:v>7</c:v>
                </c:pt>
                <c:pt idx="1">
                  <c:v>18</c:v>
                </c:pt>
                <c:pt idx="2">
                  <c:v>9</c:v>
                </c:pt>
                <c:pt idx="3">
                  <c:v>10</c:v>
                </c:pt>
                <c:pt idx="4">
                  <c:v>11</c:v>
                </c:pt>
                <c:pt idx="5">
                  <c:v>13</c:v>
                </c:pt>
                <c:pt idx="6">
                  <c:v>24</c:v>
                </c:pt>
                <c:pt idx="7">
                  <c:v>14</c:v>
                </c:pt>
                <c:pt idx="8">
                  <c:v>5</c:v>
                </c:pt>
                <c:pt idx="9">
                  <c:v>5</c:v>
                </c:pt>
                <c:pt idx="10">
                  <c:v>13</c:v>
                </c:pt>
                <c:pt idx="11">
                  <c:v>5</c:v>
                </c:pt>
                <c:pt idx="12">
                  <c:v>17</c:v>
                </c:pt>
                <c:pt idx="13">
                  <c:v>18</c:v>
                </c:pt>
                <c:pt idx="14">
                  <c:v>12</c:v>
                </c:pt>
                <c:pt idx="15">
                  <c:v>12</c:v>
                </c:pt>
                <c:pt idx="16">
                  <c:v>18</c:v>
                </c:pt>
                <c:pt idx="17">
                  <c:v>17</c:v>
                </c:pt>
                <c:pt idx="18">
                  <c:v>30</c:v>
                </c:pt>
                <c:pt idx="19">
                  <c:v>12</c:v>
                </c:pt>
                <c:pt idx="20">
                  <c:v>13</c:v>
                </c:pt>
                <c:pt idx="21">
                  <c:v>18</c:v>
                </c:pt>
                <c:pt idx="22">
                  <c:v>7</c:v>
                </c:pt>
                <c:pt idx="23">
                  <c:v>11</c:v>
                </c:pt>
                <c:pt idx="24">
                  <c:v>17</c:v>
                </c:pt>
                <c:pt idx="25">
                  <c:v>24</c:v>
                </c:pt>
                <c:pt idx="26">
                  <c:v>12</c:v>
                </c:pt>
                <c:pt idx="27">
                  <c:v>12</c:v>
                </c:pt>
                <c:pt idx="28">
                  <c:v>31</c:v>
                </c:pt>
                <c:pt idx="29">
                  <c:v>34</c:v>
                </c:pt>
                <c:pt idx="30">
                  <c:v>30</c:v>
                </c:pt>
                <c:pt idx="31">
                  <c:v>16</c:v>
                </c:pt>
                <c:pt idx="32">
                  <c:v>18</c:v>
                </c:pt>
                <c:pt idx="33">
                  <c:v>18</c:v>
                </c:pt>
                <c:pt idx="34">
                  <c:v>16</c:v>
                </c:pt>
                <c:pt idx="35">
                  <c:v>12</c:v>
                </c:pt>
                <c:pt idx="36">
                  <c:v>34</c:v>
                </c:pt>
                <c:pt idx="37">
                  <c:v>9</c:v>
                </c:pt>
                <c:pt idx="38">
                  <c:v>15</c:v>
                </c:pt>
                <c:pt idx="39">
                  <c:v>5</c:v>
                </c:pt>
                <c:pt idx="40">
                  <c:v>14</c:v>
                </c:pt>
                <c:pt idx="41">
                  <c:v>18</c:v>
                </c:pt>
                <c:pt idx="42">
                  <c:v>30</c:v>
                </c:pt>
                <c:pt idx="43">
                  <c:v>23</c:v>
                </c:pt>
                <c:pt idx="44">
                  <c:v>18</c:v>
                </c:pt>
                <c:pt idx="45">
                  <c:v>20</c:v>
                </c:pt>
                <c:pt idx="46">
                  <c:v>18</c:v>
                </c:pt>
                <c:pt idx="47">
                  <c:v>12</c:v>
                </c:pt>
                <c:pt idx="48">
                  <c:v>18</c:v>
                </c:pt>
                <c:pt idx="49">
                  <c:v>33</c:v>
                </c:pt>
                <c:pt idx="50">
                  <c:v>14</c:v>
                </c:pt>
                <c:pt idx="51">
                  <c:v>8</c:v>
                </c:pt>
                <c:pt idx="52">
                  <c:v>18</c:v>
                </c:pt>
                <c:pt idx="53">
                  <c:v>26</c:v>
                </c:pt>
                <c:pt idx="54">
                  <c:v>11</c:v>
                </c:pt>
                <c:pt idx="55">
                  <c:v>11</c:v>
                </c:pt>
                <c:pt idx="56">
                  <c:v>10</c:v>
                </c:pt>
                <c:pt idx="57">
                  <c:v>12</c:v>
                </c:pt>
                <c:pt idx="58">
                  <c:v>24</c:v>
                </c:pt>
                <c:pt idx="59">
                  <c:v>8</c:v>
                </c:pt>
                <c:pt idx="60">
                  <c:v>18</c:v>
                </c:pt>
                <c:pt idx="61">
                  <c:v>18</c:v>
                </c:pt>
                <c:pt idx="62">
                  <c:v>16</c:v>
                </c:pt>
                <c:pt idx="63">
                  <c:v>8</c:v>
                </c:pt>
                <c:pt idx="64">
                  <c:v>16</c:v>
                </c:pt>
                <c:pt idx="65">
                  <c:v>25</c:v>
                </c:pt>
                <c:pt idx="66">
                  <c:v>18</c:v>
                </c:pt>
                <c:pt idx="67">
                  <c:v>11</c:v>
                </c:pt>
                <c:pt idx="68">
                  <c:v>12</c:v>
                </c:pt>
                <c:pt idx="69">
                  <c:v>30</c:v>
                </c:pt>
                <c:pt idx="70">
                  <c:v>14</c:v>
                </c:pt>
                <c:pt idx="71">
                  <c:v>12</c:v>
                </c:pt>
                <c:pt idx="72">
                  <c:v>6</c:v>
                </c:pt>
                <c:pt idx="73">
                  <c:v>9</c:v>
                </c:pt>
                <c:pt idx="74">
                  <c:v>18</c:v>
                </c:pt>
                <c:pt idx="75">
                  <c:v>21</c:v>
                </c:pt>
                <c:pt idx="76">
                  <c:v>24</c:v>
                </c:pt>
                <c:pt idx="77">
                  <c:v>23</c:v>
                </c:pt>
                <c:pt idx="78">
                  <c:v>16</c:v>
                </c:pt>
                <c:pt idx="79">
                  <c:v>24</c:v>
                </c:pt>
                <c:pt idx="80">
                  <c:v>8.5</c:v>
                </c:pt>
                <c:pt idx="81">
                  <c:v>17</c:v>
                </c:pt>
                <c:pt idx="82">
                  <c:v>17</c:v>
                </c:pt>
                <c:pt idx="83">
                  <c:v>8</c:v>
                </c:pt>
                <c:pt idx="84">
                  <c:v>7</c:v>
                </c:pt>
                <c:pt idx="85">
                  <c:v>31</c:v>
                </c:pt>
                <c:pt idx="86">
                  <c:v>9</c:v>
                </c:pt>
                <c:pt idx="87">
                  <c:v>16</c:v>
                </c:pt>
                <c:pt idx="88">
                  <c:v>19</c:v>
                </c:pt>
                <c:pt idx="89">
                  <c:v>12</c:v>
                </c:pt>
                <c:pt idx="90">
                  <c:v>18</c:v>
                </c:pt>
              </c:numCache>
            </c:numRef>
          </c:xVal>
          <c:yVal>
            <c:numRef>
              <c:f>Sheet2!$Q$206:$Q$296</c:f>
              <c:numCache>
                <c:formatCode>General</c:formatCode>
                <c:ptCount val="91"/>
                <c:pt idx="0">
                  <c:v>4.53</c:v>
                </c:pt>
                <c:pt idx="1">
                  <c:v>1.51</c:v>
                </c:pt>
                <c:pt idx="2">
                  <c:v>2.25</c:v>
                </c:pt>
                <c:pt idx="3">
                  <c:v>8.120000000000001</c:v>
                </c:pt>
                <c:pt idx="4">
                  <c:v>2.0299999999999998</c:v>
                </c:pt>
                <c:pt idx="5">
                  <c:v>4.3499999999999996</c:v>
                </c:pt>
                <c:pt idx="6">
                  <c:v>3.11</c:v>
                </c:pt>
                <c:pt idx="7">
                  <c:v>5.64</c:v>
                </c:pt>
                <c:pt idx="8">
                  <c:v>12.1</c:v>
                </c:pt>
                <c:pt idx="9">
                  <c:v>4.34</c:v>
                </c:pt>
                <c:pt idx="10">
                  <c:v>0.9</c:v>
                </c:pt>
                <c:pt idx="11">
                  <c:v>7.46</c:v>
                </c:pt>
                <c:pt idx="12">
                  <c:v>2.27</c:v>
                </c:pt>
                <c:pt idx="13">
                  <c:v>1.62</c:v>
                </c:pt>
                <c:pt idx="14">
                  <c:v>8.11</c:v>
                </c:pt>
                <c:pt idx="15">
                  <c:v>8.9700000000000006</c:v>
                </c:pt>
                <c:pt idx="16">
                  <c:v>3.11</c:v>
                </c:pt>
                <c:pt idx="17">
                  <c:v>1.22</c:v>
                </c:pt>
                <c:pt idx="18">
                  <c:v>1.1000000000000001</c:v>
                </c:pt>
                <c:pt idx="19">
                  <c:v>10.19</c:v>
                </c:pt>
                <c:pt idx="20">
                  <c:v>2.77</c:v>
                </c:pt>
                <c:pt idx="21">
                  <c:v>4.88</c:v>
                </c:pt>
                <c:pt idx="22">
                  <c:v>4.09</c:v>
                </c:pt>
                <c:pt idx="23">
                  <c:v>8.18</c:v>
                </c:pt>
                <c:pt idx="24">
                  <c:v>2.2200000000000002</c:v>
                </c:pt>
                <c:pt idx="25">
                  <c:v>3.25</c:v>
                </c:pt>
                <c:pt idx="26">
                  <c:v>5.22</c:v>
                </c:pt>
                <c:pt idx="27">
                  <c:v>2.54</c:v>
                </c:pt>
                <c:pt idx="28">
                  <c:v>4.1599999999999975</c:v>
                </c:pt>
                <c:pt idx="29">
                  <c:v>1.56</c:v>
                </c:pt>
                <c:pt idx="30">
                  <c:v>17.39</c:v>
                </c:pt>
                <c:pt idx="31">
                  <c:v>1.9100000000000001</c:v>
                </c:pt>
                <c:pt idx="32">
                  <c:v>1.9100000000000001</c:v>
                </c:pt>
                <c:pt idx="33">
                  <c:v>8.4</c:v>
                </c:pt>
                <c:pt idx="34">
                  <c:v>1.01</c:v>
                </c:pt>
                <c:pt idx="35">
                  <c:v>19.18</c:v>
                </c:pt>
                <c:pt idx="36">
                  <c:v>1.6400000000000001</c:v>
                </c:pt>
                <c:pt idx="37">
                  <c:v>5.22</c:v>
                </c:pt>
                <c:pt idx="38">
                  <c:v>4.51</c:v>
                </c:pt>
                <c:pt idx="39">
                  <c:v>1.47</c:v>
                </c:pt>
                <c:pt idx="40">
                  <c:v>6.8199999999999985</c:v>
                </c:pt>
                <c:pt idx="41">
                  <c:v>6.2700000000000014</c:v>
                </c:pt>
                <c:pt idx="42">
                  <c:v>5.48</c:v>
                </c:pt>
                <c:pt idx="43">
                  <c:v>3.1</c:v>
                </c:pt>
                <c:pt idx="44">
                  <c:v>8.02</c:v>
                </c:pt>
                <c:pt idx="45">
                  <c:v>2.34</c:v>
                </c:pt>
                <c:pt idx="46">
                  <c:v>2.67</c:v>
                </c:pt>
                <c:pt idx="47">
                  <c:v>1.46</c:v>
                </c:pt>
                <c:pt idx="48">
                  <c:v>3.55</c:v>
                </c:pt>
                <c:pt idx="49">
                  <c:v>6.13</c:v>
                </c:pt>
                <c:pt idx="50">
                  <c:v>7.2</c:v>
                </c:pt>
                <c:pt idx="51">
                  <c:v>6.75</c:v>
                </c:pt>
                <c:pt idx="52">
                  <c:v>0.9</c:v>
                </c:pt>
                <c:pt idx="53">
                  <c:v>6.87</c:v>
                </c:pt>
                <c:pt idx="54">
                  <c:v>2.9899999999999998</c:v>
                </c:pt>
                <c:pt idx="55">
                  <c:v>5.6499999999999995</c:v>
                </c:pt>
                <c:pt idx="56">
                  <c:v>2.62</c:v>
                </c:pt>
                <c:pt idx="57">
                  <c:v>1.8</c:v>
                </c:pt>
                <c:pt idx="58">
                  <c:v>1.7</c:v>
                </c:pt>
                <c:pt idx="59">
                  <c:v>0.75000000000000144</c:v>
                </c:pt>
                <c:pt idx="60">
                  <c:v>4.3</c:v>
                </c:pt>
                <c:pt idx="61">
                  <c:v>2.64</c:v>
                </c:pt>
                <c:pt idx="62">
                  <c:v>4.8</c:v>
                </c:pt>
                <c:pt idx="63">
                  <c:v>2.65</c:v>
                </c:pt>
                <c:pt idx="64">
                  <c:v>1.42</c:v>
                </c:pt>
                <c:pt idx="65">
                  <c:v>1.22</c:v>
                </c:pt>
                <c:pt idx="66">
                  <c:v>1.3900000000000001</c:v>
                </c:pt>
                <c:pt idx="67">
                  <c:v>3.2</c:v>
                </c:pt>
                <c:pt idx="68">
                  <c:v>2.34</c:v>
                </c:pt>
                <c:pt idx="69">
                  <c:v>1.6700000000000021</c:v>
                </c:pt>
                <c:pt idx="70">
                  <c:v>1.8</c:v>
                </c:pt>
                <c:pt idx="71">
                  <c:v>15.19</c:v>
                </c:pt>
                <c:pt idx="72">
                  <c:v>3.12</c:v>
                </c:pt>
                <c:pt idx="73">
                  <c:v>10.220000000000001</c:v>
                </c:pt>
                <c:pt idx="74">
                  <c:v>4.24</c:v>
                </c:pt>
                <c:pt idx="75">
                  <c:v>1.44</c:v>
                </c:pt>
                <c:pt idx="76">
                  <c:v>5.68</c:v>
                </c:pt>
                <c:pt idx="77">
                  <c:v>1.87</c:v>
                </c:pt>
                <c:pt idx="78">
                  <c:v>4.07</c:v>
                </c:pt>
                <c:pt idx="79">
                  <c:v>0.95000000000000062</c:v>
                </c:pt>
                <c:pt idx="80">
                  <c:v>2.1800000000000002</c:v>
                </c:pt>
                <c:pt idx="81">
                  <c:v>1.61</c:v>
                </c:pt>
                <c:pt idx="82">
                  <c:v>11.06</c:v>
                </c:pt>
                <c:pt idx="83">
                  <c:v>2.14</c:v>
                </c:pt>
                <c:pt idx="84">
                  <c:v>11.5</c:v>
                </c:pt>
                <c:pt idx="85">
                  <c:v>2.5</c:v>
                </c:pt>
                <c:pt idx="86">
                  <c:v>7.98</c:v>
                </c:pt>
                <c:pt idx="87">
                  <c:v>5.2</c:v>
                </c:pt>
                <c:pt idx="88">
                  <c:v>1.9000000000000001</c:v>
                </c:pt>
                <c:pt idx="89">
                  <c:v>5.63</c:v>
                </c:pt>
                <c:pt idx="90">
                  <c:v>1.4</c:v>
                </c:pt>
              </c:numCache>
            </c:numRef>
          </c:yVal>
        </c:ser>
        <c:axId val="151464576"/>
        <c:axId val="151479040"/>
      </c:scatterChart>
      <c:valAx>
        <c:axId val="151464576"/>
        <c:scaling>
          <c:orientation val="minMax"/>
        </c:scaling>
        <c:axPos val="b"/>
        <c:title>
          <c:tx>
            <c:rich>
              <a:bodyPr/>
              <a:lstStyle/>
              <a:p>
                <a:pPr>
                  <a:defRPr/>
                </a:pPr>
                <a:r>
                  <a:rPr lang="en-US" sz="900"/>
                  <a:t>Regolith Thickness (m)</a:t>
                </a:r>
              </a:p>
            </c:rich>
          </c:tx>
          <c:layout>
            <c:manualLayout>
              <c:xMode val="edge"/>
              <c:yMode val="edge"/>
              <c:x val="0.30074945894921035"/>
              <c:y val="0.75794061329522699"/>
            </c:manualLayout>
          </c:layout>
        </c:title>
        <c:numFmt formatCode="General" sourceLinked="1"/>
        <c:tickLblPos val="nextTo"/>
        <c:crossAx val="151479040"/>
        <c:crosses val="autoZero"/>
        <c:crossBetween val="midCat"/>
      </c:valAx>
      <c:valAx>
        <c:axId val="151479040"/>
        <c:scaling>
          <c:orientation val="minMax"/>
        </c:scaling>
        <c:axPos val="l"/>
        <c:title>
          <c:tx>
            <c:rich>
              <a:bodyPr/>
              <a:lstStyle/>
              <a:p>
                <a:pPr>
                  <a:defRPr/>
                </a:pPr>
                <a:r>
                  <a:rPr lang="en-US" sz="900" b="1"/>
                  <a:t>Specific Capacity (l/min/m)</a:t>
                </a:r>
              </a:p>
            </c:rich>
          </c:tx>
        </c:title>
        <c:numFmt formatCode="General" sourceLinked="1"/>
        <c:tickLblPos val="nextTo"/>
        <c:crossAx val="151464576"/>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100"/>
              <a:t>Figure 6: Regression of Specific Capacity on Saturated Thickness</a:t>
            </a:r>
          </a:p>
        </c:rich>
      </c:tx>
      <c:layout>
        <c:manualLayout>
          <c:xMode val="edge"/>
          <c:yMode val="edge"/>
          <c:x val="0.20301377952755906"/>
          <c:y val="0.83916666666666651"/>
        </c:manualLayout>
      </c:layout>
    </c:title>
    <c:plotArea>
      <c:layout>
        <c:manualLayout>
          <c:layoutTarget val="inner"/>
          <c:xMode val="edge"/>
          <c:yMode val="edge"/>
          <c:x val="0.15772318460192541"/>
          <c:y val="6.0544254884806123E-2"/>
          <c:w val="0.79308801399825024"/>
          <c:h val="0.61683581219014683"/>
        </c:manualLayout>
      </c:layout>
      <c:scatterChart>
        <c:scatterStyle val="lineMarker"/>
        <c:ser>
          <c:idx val="0"/>
          <c:order val="0"/>
          <c:spPr>
            <a:ln w="28575">
              <a:noFill/>
            </a:ln>
          </c:spPr>
          <c:marker>
            <c:symbol val="circle"/>
            <c:size val="2"/>
          </c:marker>
          <c:trendline>
            <c:trendlineType val="linear"/>
            <c:dispRSqr val="1"/>
            <c:dispEq val="1"/>
            <c:trendlineLbl>
              <c:layout>
                <c:manualLayout>
                  <c:x val="8.8778215223097243E-2"/>
                  <c:y val="-0.45971128608923884"/>
                </c:manualLayout>
              </c:layout>
              <c:tx>
                <c:rich>
                  <a:bodyPr/>
                  <a:lstStyle/>
                  <a:p>
                    <a:pPr>
                      <a:defRPr/>
                    </a:pPr>
                    <a:r>
                      <a:rPr lang="en-US"/>
                      <a:t>y = -0.058x + 6.467
R² = 0.013</a:t>
                    </a:r>
                  </a:p>
                  <a:p>
                    <a:pPr>
                      <a:defRPr/>
                    </a:pPr>
                    <a:r>
                      <a:rPr lang="en-US"/>
                      <a:t>R =- 0.114</a:t>
                    </a:r>
                  </a:p>
                </c:rich>
              </c:tx>
              <c:numFmt formatCode="General" sourceLinked="0"/>
            </c:trendlineLbl>
          </c:trendline>
          <c:xVal>
            <c:numRef>
              <c:f>Sheet2!$R$206:$R$296</c:f>
              <c:numCache>
                <c:formatCode>General</c:formatCode>
                <c:ptCount val="91"/>
                <c:pt idx="0">
                  <c:v>32.9</c:v>
                </c:pt>
                <c:pt idx="1">
                  <c:v>36.700000000000003</c:v>
                </c:pt>
                <c:pt idx="2">
                  <c:v>30.4</c:v>
                </c:pt>
                <c:pt idx="3">
                  <c:v>52.5</c:v>
                </c:pt>
                <c:pt idx="4">
                  <c:v>31</c:v>
                </c:pt>
                <c:pt idx="5">
                  <c:v>25.5</c:v>
                </c:pt>
                <c:pt idx="6">
                  <c:v>24.2</c:v>
                </c:pt>
                <c:pt idx="7">
                  <c:v>26.4</c:v>
                </c:pt>
                <c:pt idx="8">
                  <c:v>25</c:v>
                </c:pt>
                <c:pt idx="9">
                  <c:v>40.4</c:v>
                </c:pt>
                <c:pt idx="10">
                  <c:v>37.700000000000003</c:v>
                </c:pt>
                <c:pt idx="11">
                  <c:v>36.1</c:v>
                </c:pt>
                <c:pt idx="12">
                  <c:v>30.2</c:v>
                </c:pt>
                <c:pt idx="13">
                  <c:v>35</c:v>
                </c:pt>
                <c:pt idx="14">
                  <c:v>30.9</c:v>
                </c:pt>
                <c:pt idx="15">
                  <c:v>26</c:v>
                </c:pt>
                <c:pt idx="16">
                  <c:v>39.1</c:v>
                </c:pt>
                <c:pt idx="17">
                  <c:v>31.3</c:v>
                </c:pt>
                <c:pt idx="18">
                  <c:v>48</c:v>
                </c:pt>
                <c:pt idx="19">
                  <c:v>30.7</c:v>
                </c:pt>
                <c:pt idx="20">
                  <c:v>34.300000000000004</c:v>
                </c:pt>
                <c:pt idx="21">
                  <c:v>37.200000000000003</c:v>
                </c:pt>
                <c:pt idx="22">
                  <c:v>22.1</c:v>
                </c:pt>
                <c:pt idx="23">
                  <c:v>32.300000000000004</c:v>
                </c:pt>
                <c:pt idx="24">
                  <c:v>31.3</c:v>
                </c:pt>
                <c:pt idx="25">
                  <c:v>36.1</c:v>
                </c:pt>
                <c:pt idx="26">
                  <c:v>23.3</c:v>
                </c:pt>
                <c:pt idx="27">
                  <c:v>28.7</c:v>
                </c:pt>
                <c:pt idx="28">
                  <c:v>41.3</c:v>
                </c:pt>
                <c:pt idx="29">
                  <c:v>28.3</c:v>
                </c:pt>
                <c:pt idx="30">
                  <c:v>42.5</c:v>
                </c:pt>
                <c:pt idx="31">
                  <c:v>43.2</c:v>
                </c:pt>
                <c:pt idx="32">
                  <c:v>29</c:v>
                </c:pt>
                <c:pt idx="33">
                  <c:v>43.7</c:v>
                </c:pt>
                <c:pt idx="34">
                  <c:v>35.300000000000004</c:v>
                </c:pt>
                <c:pt idx="35">
                  <c:v>24.3</c:v>
                </c:pt>
                <c:pt idx="36">
                  <c:v>37.800000000000004</c:v>
                </c:pt>
                <c:pt idx="37">
                  <c:v>31</c:v>
                </c:pt>
                <c:pt idx="38">
                  <c:v>35.200000000000003</c:v>
                </c:pt>
                <c:pt idx="39">
                  <c:v>35.6</c:v>
                </c:pt>
                <c:pt idx="40">
                  <c:v>21.1</c:v>
                </c:pt>
                <c:pt idx="41">
                  <c:v>40.700000000000003</c:v>
                </c:pt>
                <c:pt idx="42">
                  <c:v>39.300000000000004</c:v>
                </c:pt>
                <c:pt idx="43">
                  <c:v>37.9</c:v>
                </c:pt>
                <c:pt idx="44">
                  <c:v>39.6</c:v>
                </c:pt>
                <c:pt idx="45">
                  <c:v>55.3</c:v>
                </c:pt>
                <c:pt idx="46">
                  <c:v>37.6</c:v>
                </c:pt>
                <c:pt idx="47">
                  <c:v>25.7</c:v>
                </c:pt>
                <c:pt idx="48">
                  <c:v>29.6</c:v>
                </c:pt>
                <c:pt idx="49">
                  <c:v>43.8</c:v>
                </c:pt>
                <c:pt idx="50">
                  <c:v>32</c:v>
                </c:pt>
                <c:pt idx="51">
                  <c:v>38.1</c:v>
                </c:pt>
                <c:pt idx="52">
                  <c:v>38.6</c:v>
                </c:pt>
                <c:pt idx="53">
                  <c:v>42.9</c:v>
                </c:pt>
                <c:pt idx="54">
                  <c:v>23</c:v>
                </c:pt>
                <c:pt idx="55">
                  <c:v>44.3</c:v>
                </c:pt>
                <c:pt idx="56">
                  <c:v>47.3</c:v>
                </c:pt>
                <c:pt idx="57">
                  <c:v>41.5</c:v>
                </c:pt>
                <c:pt idx="58">
                  <c:v>44.7</c:v>
                </c:pt>
                <c:pt idx="59">
                  <c:v>30</c:v>
                </c:pt>
                <c:pt idx="60">
                  <c:v>42.8</c:v>
                </c:pt>
                <c:pt idx="61">
                  <c:v>29.4</c:v>
                </c:pt>
                <c:pt idx="62">
                  <c:v>37.4</c:v>
                </c:pt>
                <c:pt idx="63">
                  <c:v>44.6</c:v>
                </c:pt>
                <c:pt idx="64">
                  <c:v>44.4</c:v>
                </c:pt>
                <c:pt idx="65">
                  <c:v>32.9</c:v>
                </c:pt>
                <c:pt idx="66">
                  <c:v>28.5</c:v>
                </c:pt>
                <c:pt idx="67">
                  <c:v>34</c:v>
                </c:pt>
                <c:pt idx="68">
                  <c:v>31</c:v>
                </c:pt>
                <c:pt idx="69">
                  <c:v>38.4</c:v>
                </c:pt>
                <c:pt idx="70">
                  <c:v>28.8</c:v>
                </c:pt>
                <c:pt idx="71">
                  <c:v>36.1</c:v>
                </c:pt>
                <c:pt idx="72">
                  <c:v>31.8</c:v>
                </c:pt>
                <c:pt idx="73">
                  <c:v>31.4</c:v>
                </c:pt>
                <c:pt idx="74">
                  <c:v>29.3</c:v>
                </c:pt>
                <c:pt idx="75">
                  <c:v>38.1</c:v>
                </c:pt>
                <c:pt idx="76">
                  <c:v>33.200000000000003</c:v>
                </c:pt>
                <c:pt idx="77">
                  <c:v>26.2</c:v>
                </c:pt>
                <c:pt idx="78">
                  <c:v>27.8</c:v>
                </c:pt>
                <c:pt idx="79">
                  <c:v>41</c:v>
                </c:pt>
                <c:pt idx="80">
                  <c:v>40.800000000000004</c:v>
                </c:pt>
                <c:pt idx="81">
                  <c:v>28.7</c:v>
                </c:pt>
                <c:pt idx="82">
                  <c:v>24.5</c:v>
                </c:pt>
                <c:pt idx="83">
                  <c:v>23.9</c:v>
                </c:pt>
                <c:pt idx="84">
                  <c:v>29.9</c:v>
                </c:pt>
                <c:pt idx="85">
                  <c:v>42.4</c:v>
                </c:pt>
                <c:pt idx="86">
                  <c:v>25.7</c:v>
                </c:pt>
                <c:pt idx="87">
                  <c:v>45.4</c:v>
                </c:pt>
                <c:pt idx="88">
                  <c:v>36.200000000000003</c:v>
                </c:pt>
                <c:pt idx="89">
                  <c:v>38.300000000000004</c:v>
                </c:pt>
                <c:pt idx="90">
                  <c:v>37.700000000000003</c:v>
                </c:pt>
              </c:numCache>
            </c:numRef>
          </c:xVal>
          <c:yVal>
            <c:numRef>
              <c:f>Sheet2!$S$206:$S$296</c:f>
              <c:numCache>
                <c:formatCode>General</c:formatCode>
                <c:ptCount val="91"/>
                <c:pt idx="0">
                  <c:v>4.53</c:v>
                </c:pt>
                <c:pt idx="1">
                  <c:v>1.51</c:v>
                </c:pt>
                <c:pt idx="2">
                  <c:v>2.25</c:v>
                </c:pt>
                <c:pt idx="3">
                  <c:v>8.120000000000001</c:v>
                </c:pt>
                <c:pt idx="4">
                  <c:v>2.0299999999999998</c:v>
                </c:pt>
                <c:pt idx="5">
                  <c:v>4.3499999999999996</c:v>
                </c:pt>
                <c:pt idx="6">
                  <c:v>3.11</c:v>
                </c:pt>
                <c:pt idx="7">
                  <c:v>5.64</c:v>
                </c:pt>
                <c:pt idx="8">
                  <c:v>12.1</c:v>
                </c:pt>
                <c:pt idx="9">
                  <c:v>4.34</c:v>
                </c:pt>
                <c:pt idx="10">
                  <c:v>0.9</c:v>
                </c:pt>
                <c:pt idx="11">
                  <c:v>7.46</c:v>
                </c:pt>
                <c:pt idx="12">
                  <c:v>2.27</c:v>
                </c:pt>
                <c:pt idx="13">
                  <c:v>1.62</c:v>
                </c:pt>
                <c:pt idx="14">
                  <c:v>8.11</c:v>
                </c:pt>
                <c:pt idx="15">
                  <c:v>8.9700000000000006</c:v>
                </c:pt>
                <c:pt idx="16">
                  <c:v>3.11</c:v>
                </c:pt>
                <c:pt idx="17">
                  <c:v>1.22</c:v>
                </c:pt>
                <c:pt idx="18">
                  <c:v>1.1000000000000001</c:v>
                </c:pt>
                <c:pt idx="19">
                  <c:v>10.19</c:v>
                </c:pt>
                <c:pt idx="20">
                  <c:v>2.77</c:v>
                </c:pt>
                <c:pt idx="21">
                  <c:v>4.88</c:v>
                </c:pt>
                <c:pt idx="22">
                  <c:v>4.09</c:v>
                </c:pt>
                <c:pt idx="23">
                  <c:v>8.18</c:v>
                </c:pt>
                <c:pt idx="24">
                  <c:v>2.2200000000000002</c:v>
                </c:pt>
                <c:pt idx="25">
                  <c:v>3.25</c:v>
                </c:pt>
                <c:pt idx="26">
                  <c:v>5.22</c:v>
                </c:pt>
                <c:pt idx="27">
                  <c:v>2.54</c:v>
                </c:pt>
                <c:pt idx="28">
                  <c:v>4.1599999999999975</c:v>
                </c:pt>
                <c:pt idx="29">
                  <c:v>1.56</c:v>
                </c:pt>
                <c:pt idx="30">
                  <c:v>17.39</c:v>
                </c:pt>
                <c:pt idx="31">
                  <c:v>1.9100000000000001</c:v>
                </c:pt>
                <c:pt idx="32">
                  <c:v>1.9100000000000001</c:v>
                </c:pt>
                <c:pt idx="33">
                  <c:v>8.4</c:v>
                </c:pt>
                <c:pt idx="34">
                  <c:v>1.01</c:v>
                </c:pt>
                <c:pt idx="35">
                  <c:v>19.18</c:v>
                </c:pt>
                <c:pt idx="36">
                  <c:v>1.6400000000000001</c:v>
                </c:pt>
                <c:pt idx="37">
                  <c:v>5.22</c:v>
                </c:pt>
                <c:pt idx="38">
                  <c:v>4.51</c:v>
                </c:pt>
                <c:pt idx="39">
                  <c:v>1.47</c:v>
                </c:pt>
                <c:pt idx="40">
                  <c:v>6.8199999999999985</c:v>
                </c:pt>
                <c:pt idx="41">
                  <c:v>6.2700000000000014</c:v>
                </c:pt>
                <c:pt idx="42">
                  <c:v>5.48</c:v>
                </c:pt>
                <c:pt idx="43">
                  <c:v>3.1</c:v>
                </c:pt>
                <c:pt idx="44">
                  <c:v>8.02</c:v>
                </c:pt>
                <c:pt idx="45">
                  <c:v>2.34</c:v>
                </c:pt>
                <c:pt idx="46">
                  <c:v>2.67</c:v>
                </c:pt>
                <c:pt idx="47">
                  <c:v>1.46</c:v>
                </c:pt>
                <c:pt idx="48">
                  <c:v>3.55</c:v>
                </c:pt>
                <c:pt idx="49">
                  <c:v>6.13</c:v>
                </c:pt>
                <c:pt idx="50">
                  <c:v>7.2</c:v>
                </c:pt>
                <c:pt idx="51">
                  <c:v>6.75</c:v>
                </c:pt>
                <c:pt idx="52">
                  <c:v>0.9</c:v>
                </c:pt>
                <c:pt idx="53">
                  <c:v>6.87</c:v>
                </c:pt>
                <c:pt idx="54">
                  <c:v>2.9899999999999998</c:v>
                </c:pt>
                <c:pt idx="55">
                  <c:v>5.6499999999999995</c:v>
                </c:pt>
                <c:pt idx="56">
                  <c:v>2.62</c:v>
                </c:pt>
                <c:pt idx="57">
                  <c:v>1.8</c:v>
                </c:pt>
                <c:pt idx="58">
                  <c:v>1.7</c:v>
                </c:pt>
                <c:pt idx="59">
                  <c:v>0.75000000000000144</c:v>
                </c:pt>
                <c:pt idx="60">
                  <c:v>4.3</c:v>
                </c:pt>
                <c:pt idx="61">
                  <c:v>2.64</c:v>
                </c:pt>
                <c:pt idx="62">
                  <c:v>4.8</c:v>
                </c:pt>
                <c:pt idx="63">
                  <c:v>2.65</c:v>
                </c:pt>
                <c:pt idx="64">
                  <c:v>1.42</c:v>
                </c:pt>
                <c:pt idx="65">
                  <c:v>1.22</c:v>
                </c:pt>
                <c:pt idx="66">
                  <c:v>1.3900000000000001</c:v>
                </c:pt>
                <c:pt idx="67">
                  <c:v>3.2</c:v>
                </c:pt>
                <c:pt idx="68">
                  <c:v>2.34</c:v>
                </c:pt>
                <c:pt idx="69">
                  <c:v>1.6700000000000021</c:v>
                </c:pt>
                <c:pt idx="70">
                  <c:v>1.8</c:v>
                </c:pt>
                <c:pt idx="71">
                  <c:v>15.19</c:v>
                </c:pt>
                <c:pt idx="72">
                  <c:v>3.12</c:v>
                </c:pt>
                <c:pt idx="73">
                  <c:v>10.220000000000001</c:v>
                </c:pt>
                <c:pt idx="74">
                  <c:v>4.24</c:v>
                </c:pt>
                <c:pt idx="75">
                  <c:v>1.44</c:v>
                </c:pt>
                <c:pt idx="76">
                  <c:v>5.68</c:v>
                </c:pt>
                <c:pt idx="77">
                  <c:v>1.87</c:v>
                </c:pt>
                <c:pt idx="78">
                  <c:v>4.07</c:v>
                </c:pt>
                <c:pt idx="79">
                  <c:v>0.95000000000000062</c:v>
                </c:pt>
                <c:pt idx="80">
                  <c:v>2.1800000000000002</c:v>
                </c:pt>
                <c:pt idx="81">
                  <c:v>1.61</c:v>
                </c:pt>
                <c:pt idx="82">
                  <c:v>11.06</c:v>
                </c:pt>
                <c:pt idx="83">
                  <c:v>2.14</c:v>
                </c:pt>
                <c:pt idx="84">
                  <c:v>11.5</c:v>
                </c:pt>
                <c:pt idx="85">
                  <c:v>2.5</c:v>
                </c:pt>
                <c:pt idx="86">
                  <c:v>7.98</c:v>
                </c:pt>
                <c:pt idx="87">
                  <c:v>5.2</c:v>
                </c:pt>
                <c:pt idx="88">
                  <c:v>1.9000000000000001</c:v>
                </c:pt>
                <c:pt idx="89">
                  <c:v>5.63</c:v>
                </c:pt>
                <c:pt idx="90">
                  <c:v>1.4</c:v>
                </c:pt>
              </c:numCache>
            </c:numRef>
          </c:yVal>
        </c:ser>
        <c:axId val="151500672"/>
        <c:axId val="151396352"/>
      </c:scatterChart>
      <c:valAx>
        <c:axId val="151500672"/>
        <c:scaling>
          <c:orientation val="minMax"/>
        </c:scaling>
        <c:axPos val="b"/>
        <c:title>
          <c:tx>
            <c:rich>
              <a:bodyPr/>
              <a:lstStyle/>
              <a:p>
                <a:pPr>
                  <a:defRPr/>
                </a:pPr>
                <a:r>
                  <a:rPr lang="en-US" sz="900"/>
                  <a:t>Saturated  Thickness (m)</a:t>
                </a:r>
              </a:p>
            </c:rich>
          </c:tx>
          <c:layout>
            <c:manualLayout>
              <c:xMode val="edge"/>
              <c:yMode val="edge"/>
              <c:x val="0.36921303587051618"/>
              <c:y val="0.77219889180519397"/>
            </c:manualLayout>
          </c:layout>
        </c:title>
        <c:numFmt formatCode="General" sourceLinked="1"/>
        <c:tickLblPos val="nextTo"/>
        <c:crossAx val="151396352"/>
        <c:crosses val="autoZero"/>
        <c:crossBetween val="midCat"/>
      </c:valAx>
      <c:valAx>
        <c:axId val="151396352"/>
        <c:scaling>
          <c:orientation val="minMax"/>
        </c:scaling>
        <c:axPos val="l"/>
        <c:title>
          <c:tx>
            <c:rich>
              <a:bodyPr/>
              <a:lstStyle/>
              <a:p>
                <a:pPr>
                  <a:defRPr/>
                </a:pPr>
                <a:r>
                  <a:rPr lang="en-US" sz="900"/>
                  <a:t>Specific Capacity (l/min/m)</a:t>
                </a:r>
              </a:p>
            </c:rich>
          </c:tx>
        </c:title>
        <c:numFmt formatCode="General" sourceLinked="1"/>
        <c:tickLblPos val="nextTo"/>
        <c:crossAx val="151500672"/>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100"/>
              <a:t>Figure 7: Regression of Yield on Regolith  Thickness</a:t>
            </a:r>
          </a:p>
        </c:rich>
      </c:tx>
      <c:layout>
        <c:manualLayout>
          <c:xMode val="edge"/>
          <c:yMode val="edge"/>
          <c:x val="0.13973622047244175"/>
          <c:y val="0.88888888888888884"/>
        </c:manualLayout>
      </c:layout>
    </c:title>
    <c:plotArea>
      <c:layout>
        <c:manualLayout>
          <c:layoutTarget val="inner"/>
          <c:xMode val="edge"/>
          <c:yMode val="edge"/>
          <c:x val="0.1971123083298798"/>
          <c:y val="5.5914625255176674E-2"/>
          <c:w val="0.7511100059860939"/>
          <c:h val="0.64461358996791829"/>
        </c:manualLayout>
      </c:layout>
      <c:scatterChart>
        <c:scatterStyle val="lineMarker"/>
        <c:ser>
          <c:idx val="0"/>
          <c:order val="0"/>
          <c:spPr>
            <a:ln w="28575">
              <a:noFill/>
            </a:ln>
          </c:spPr>
          <c:marker>
            <c:symbol val="circle"/>
            <c:size val="2"/>
          </c:marker>
          <c:trendline>
            <c:trendlineType val="linear"/>
            <c:dispRSqr val="1"/>
            <c:dispEq val="1"/>
            <c:trendlineLbl>
              <c:layout>
                <c:manualLayout>
                  <c:x val="0.13799628171478617"/>
                  <c:y val="-0.48599518810148734"/>
                </c:manualLayout>
              </c:layout>
              <c:tx>
                <c:rich>
                  <a:bodyPr/>
                  <a:lstStyle/>
                  <a:p>
                    <a:pPr>
                      <a:defRPr/>
                    </a:pPr>
                    <a:r>
                      <a:rPr lang="en-US" sz="800"/>
                      <a:t>y = -0.903x + 60.36
R² = 0.030</a:t>
                    </a:r>
                  </a:p>
                  <a:p>
                    <a:pPr>
                      <a:defRPr/>
                    </a:pPr>
                    <a:r>
                      <a:rPr lang="en-US" sz="800"/>
                      <a:t>R = -0.173</a:t>
                    </a:r>
                  </a:p>
                </c:rich>
              </c:tx>
              <c:numFmt formatCode="General" sourceLinked="0"/>
            </c:trendlineLbl>
          </c:trendline>
          <c:xVal>
            <c:numRef>
              <c:f>Sheet2!$T$206:$T$296</c:f>
              <c:numCache>
                <c:formatCode>General</c:formatCode>
                <c:ptCount val="91"/>
                <c:pt idx="0">
                  <c:v>7</c:v>
                </c:pt>
                <c:pt idx="1">
                  <c:v>18</c:v>
                </c:pt>
                <c:pt idx="2">
                  <c:v>9</c:v>
                </c:pt>
                <c:pt idx="3">
                  <c:v>10</c:v>
                </c:pt>
                <c:pt idx="4">
                  <c:v>11</c:v>
                </c:pt>
                <c:pt idx="5">
                  <c:v>13</c:v>
                </c:pt>
                <c:pt idx="6">
                  <c:v>24</c:v>
                </c:pt>
                <c:pt idx="7">
                  <c:v>14</c:v>
                </c:pt>
                <c:pt idx="8">
                  <c:v>5</c:v>
                </c:pt>
                <c:pt idx="9">
                  <c:v>5</c:v>
                </c:pt>
                <c:pt idx="10">
                  <c:v>13</c:v>
                </c:pt>
                <c:pt idx="11">
                  <c:v>5</c:v>
                </c:pt>
                <c:pt idx="12">
                  <c:v>17</c:v>
                </c:pt>
                <c:pt idx="13">
                  <c:v>18</c:v>
                </c:pt>
                <c:pt idx="14">
                  <c:v>12</c:v>
                </c:pt>
                <c:pt idx="15">
                  <c:v>12</c:v>
                </c:pt>
                <c:pt idx="16">
                  <c:v>18</c:v>
                </c:pt>
                <c:pt idx="17">
                  <c:v>17</c:v>
                </c:pt>
                <c:pt idx="18">
                  <c:v>30</c:v>
                </c:pt>
                <c:pt idx="19">
                  <c:v>12</c:v>
                </c:pt>
                <c:pt idx="20">
                  <c:v>13</c:v>
                </c:pt>
                <c:pt idx="21">
                  <c:v>18</c:v>
                </c:pt>
                <c:pt idx="22">
                  <c:v>7</c:v>
                </c:pt>
                <c:pt idx="23">
                  <c:v>11</c:v>
                </c:pt>
                <c:pt idx="24">
                  <c:v>17</c:v>
                </c:pt>
                <c:pt idx="25">
                  <c:v>24</c:v>
                </c:pt>
                <c:pt idx="26">
                  <c:v>12</c:v>
                </c:pt>
                <c:pt idx="27">
                  <c:v>12</c:v>
                </c:pt>
                <c:pt idx="28">
                  <c:v>31</c:v>
                </c:pt>
                <c:pt idx="29">
                  <c:v>34</c:v>
                </c:pt>
                <c:pt idx="30">
                  <c:v>30</c:v>
                </c:pt>
                <c:pt idx="31">
                  <c:v>16</c:v>
                </c:pt>
                <c:pt idx="32">
                  <c:v>18</c:v>
                </c:pt>
                <c:pt idx="33">
                  <c:v>18</c:v>
                </c:pt>
                <c:pt idx="34">
                  <c:v>16</c:v>
                </c:pt>
                <c:pt idx="35">
                  <c:v>12</c:v>
                </c:pt>
                <c:pt idx="36">
                  <c:v>34</c:v>
                </c:pt>
                <c:pt idx="37">
                  <c:v>9</c:v>
                </c:pt>
                <c:pt idx="38">
                  <c:v>15</c:v>
                </c:pt>
                <c:pt idx="39">
                  <c:v>5</c:v>
                </c:pt>
                <c:pt idx="40">
                  <c:v>14</c:v>
                </c:pt>
                <c:pt idx="41">
                  <c:v>18</c:v>
                </c:pt>
                <c:pt idx="42">
                  <c:v>30</c:v>
                </c:pt>
                <c:pt idx="43">
                  <c:v>23</c:v>
                </c:pt>
                <c:pt idx="44">
                  <c:v>18</c:v>
                </c:pt>
                <c:pt idx="45">
                  <c:v>20</c:v>
                </c:pt>
                <c:pt idx="46">
                  <c:v>18</c:v>
                </c:pt>
                <c:pt idx="47">
                  <c:v>12</c:v>
                </c:pt>
                <c:pt idx="48">
                  <c:v>18</c:v>
                </c:pt>
                <c:pt idx="49">
                  <c:v>33</c:v>
                </c:pt>
                <c:pt idx="50">
                  <c:v>14</c:v>
                </c:pt>
                <c:pt idx="51">
                  <c:v>8</c:v>
                </c:pt>
                <c:pt idx="52">
                  <c:v>18</c:v>
                </c:pt>
                <c:pt idx="53">
                  <c:v>26</c:v>
                </c:pt>
                <c:pt idx="54">
                  <c:v>11</c:v>
                </c:pt>
                <c:pt idx="55">
                  <c:v>11</c:v>
                </c:pt>
                <c:pt idx="56">
                  <c:v>10</c:v>
                </c:pt>
                <c:pt idx="57">
                  <c:v>12</c:v>
                </c:pt>
                <c:pt idx="58">
                  <c:v>24</c:v>
                </c:pt>
                <c:pt idx="59">
                  <c:v>8</c:v>
                </c:pt>
                <c:pt idx="60">
                  <c:v>18</c:v>
                </c:pt>
                <c:pt idx="61">
                  <c:v>18</c:v>
                </c:pt>
                <c:pt idx="62">
                  <c:v>16</c:v>
                </c:pt>
                <c:pt idx="63">
                  <c:v>8</c:v>
                </c:pt>
                <c:pt idx="64">
                  <c:v>16</c:v>
                </c:pt>
                <c:pt idx="65">
                  <c:v>25</c:v>
                </c:pt>
                <c:pt idx="66">
                  <c:v>18</c:v>
                </c:pt>
                <c:pt idx="67">
                  <c:v>11</c:v>
                </c:pt>
                <c:pt idx="68">
                  <c:v>12</c:v>
                </c:pt>
                <c:pt idx="69">
                  <c:v>30</c:v>
                </c:pt>
                <c:pt idx="70">
                  <c:v>14</c:v>
                </c:pt>
                <c:pt idx="71">
                  <c:v>12</c:v>
                </c:pt>
                <c:pt idx="72">
                  <c:v>6</c:v>
                </c:pt>
                <c:pt idx="73">
                  <c:v>9</c:v>
                </c:pt>
                <c:pt idx="74">
                  <c:v>18</c:v>
                </c:pt>
                <c:pt idx="75">
                  <c:v>21</c:v>
                </c:pt>
                <c:pt idx="76">
                  <c:v>24</c:v>
                </c:pt>
                <c:pt idx="77">
                  <c:v>23</c:v>
                </c:pt>
                <c:pt idx="78">
                  <c:v>16</c:v>
                </c:pt>
                <c:pt idx="79">
                  <c:v>24</c:v>
                </c:pt>
                <c:pt idx="80">
                  <c:v>8.5</c:v>
                </c:pt>
                <c:pt idx="81">
                  <c:v>17</c:v>
                </c:pt>
                <c:pt idx="82">
                  <c:v>17</c:v>
                </c:pt>
                <c:pt idx="83">
                  <c:v>8</c:v>
                </c:pt>
                <c:pt idx="84">
                  <c:v>7</c:v>
                </c:pt>
                <c:pt idx="85">
                  <c:v>31</c:v>
                </c:pt>
                <c:pt idx="86">
                  <c:v>9</c:v>
                </c:pt>
                <c:pt idx="87">
                  <c:v>16</c:v>
                </c:pt>
                <c:pt idx="88">
                  <c:v>19</c:v>
                </c:pt>
                <c:pt idx="89">
                  <c:v>12</c:v>
                </c:pt>
                <c:pt idx="90">
                  <c:v>18</c:v>
                </c:pt>
              </c:numCache>
            </c:numRef>
          </c:xVal>
          <c:yVal>
            <c:numRef>
              <c:f>Sheet2!$U$206:$U$296</c:f>
              <c:numCache>
                <c:formatCode>General</c:formatCode>
                <c:ptCount val="91"/>
                <c:pt idx="0">
                  <c:v>24</c:v>
                </c:pt>
                <c:pt idx="1">
                  <c:v>22</c:v>
                </c:pt>
                <c:pt idx="2">
                  <c:v>15</c:v>
                </c:pt>
                <c:pt idx="3">
                  <c:v>150</c:v>
                </c:pt>
                <c:pt idx="4">
                  <c:v>24</c:v>
                </c:pt>
                <c:pt idx="5">
                  <c:v>48</c:v>
                </c:pt>
                <c:pt idx="6">
                  <c:v>18</c:v>
                </c:pt>
                <c:pt idx="7">
                  <c:v>60</c:v>
                </c:pt>
                <c:pt idx="8">
                  <c:v>45</c:v>
                </c:pt>
                <c:pt idx="9">
                  <c:v>75</c:v>
                </c:pt>
                <c:pt idx="10">
                  <c:v>15</c:v>
                </c:pt>
                <c:pt idx="11">
                  <c:v>180</c:v>
                </c:pt>
                <c:pt idx="12">
                  <c:v>17</c:v>
                </c:pt>
                <c:pt idx="13">
                  <c:v>18</c:v>
                </c:pt>
                <c:pt idx="14">
                  <c:v>45</c:v>
                </c:pt>
                <c:pt idx="15">
                  <c:v>60</c:v>
                </c:pt>
                <c:pt idx="16">
                  <c:v>45</c:v>
                </c:pt>
                <c:pt idx="17">
                  <c:v>20</c:v>
                </c:pt>
                <c:pt idx="18">
                  <c:v>15</c:v>
                </c:pt>
                <c:pt idx="19">
                  <c:v>30</c:v>
                </c:pt>
                <c:pt idx="20">
                  <c:v>19</c:v>
                </c:pt>
                <c:pt idx="21">
                  <c:v>28</c:v>
                </c:pt>
                <c:pt idx="22">
                  <c:v>40</c:v>
                </c:pt>
                <c:pt idx="23">
                  <c:v>128</c:v>
                </c:pt>
                <c:pt idx="24">
                  <c:v>32</c:v>
                </c:pt>
                <c:pt idx="25">
                  <c:v>60</c:v>
                </c:pt>
                <c:pt idx="26">
                  <c:v>27</c:v>
                </c:pt>
                <c:pt idx="27">
                  <c:v>17</c:v>
                </c:pt>
                <c:pt idx="28">
                  <c:v>75</c:v>
                </c:pt>
                <c:pt idx="29">
                  <c:v>24</c:v>
                </c:pt>
                <c:pt idx="30">
                  <c:v>30</c:v>
                </c:pt>
                <c:pt idx="31">
                  <c:v>27</c:v>
                </c:pt>
                <c:pt idx="32">
                  <c:v>30</c:v>
                </c:pt>
                <c:pt idx="33">
                  <c:v>120</c:v>
                </c:pt>
                <c:pt idx="34">
                  <c:v>22</c:v>
                </c:pt>
                <c:pt idx="35">
                  <c:v>60</c:v>
                </c:pt>
                <c:pt idx="36">
                  <c:v>25</c:v>
                </c:pt>
                <c:pt idx="37">
                  <c:v>45</c:v>
                </c:pt>
                <c:pt idx="38">
                  <c:v>60</c:v>
                </c:pt>
                <c:pt idx="39">
                  <c:v>22</c:v>
                </c:pt>
                <c:pt idx="40">
                  <c:v>60</c:v>
                </c:pt>
                <c:pt idx="41">
                  <c:v>35</c:v>
                </c:pt>
                <c:pt idx="42">
                  <c:v>40</c:v>
                </c:pt>
                <c:pt idx="43">
                  <c:v>25</c:v>
                </c:pt>
                <c:pt idx="44">
                  <c:v>190</c:v>
                </c:pt>
                <c:pt idx="45">
                  <c:v>43</c:v>
                </c:pt>
                <c:pt idx="46">
                  <c:v>45</c:v>
                </c:pt>
                <c:pt idx="47">
                  <c:v>14</c:v>
                </c:pt>
                <c:pt idx="48">
                  <c:v>40</c:v>
                </c:pt>
                <c:pt idx="49">
                  <c:v>60</c:v>
                </c:pt>
                <c:pt idx="50">
                  <c:v>34</c:v>
                </c:pt>
                <c:pt idx="51">
                  <c:v>90</c:v>
                </c:pt>
                <c:pt idx="52">
                  <c:v>36</c:v>
                </c:pt>
                <c:pt idx="53">
                  <c:v>65</c:v>
                </c:pt>
                <c:pt idx="54">
                  <c:v>22</c:v>
                </c:pt>
                <c:pt idx="55">
                  <c:v>45</c:v>
                </c:pt>
                <c:pt idx="56">
                  <c:v>60</c:v>
                </c:pt>
                <c:pt idx="57">
                  <c:v>20</c:v>
                </c:pt>
                <c:pt idx="58">
                  <c:v>27</c:v>
                </c:pt>
                <c:pt idx="59">
                  <c:v>10</c:v>
                </c:pt>
                <c:pt idx="60">
                  <c:v>67</c:v>
                </c:pt>
                <c:pt idx="61">
                  <c:v>45</c:v>
                </c:pt>
                <c:pt idx="62">
                  <c:v>60</c:v>
                </c:pt>
                <c:pt idx="63">
                  <c:v>22</c:v>
                </c:pt>
                <c:pt idx="64">
                  <c:v>24</c:v>
                </c:pt>
                <c:pt idx="65">
                  <c:v>36</c:v>
                </c:pt>
                <c:pt idx="66">
                  <c:v>18</c:v>
                </c:pt>
                <c:pt idx="67">
                  <c:v>30</c:v>
                </c:pt>
                <c:pt idx="68">
                  <c:v>48</c:v>
                </c:pt>
                <c:pt idx="69">
                  <c:v>34</c:v>
                </c:pt>
                <c:pt idx="70">
                  <c:v>30</c:v>
                </c:pt>
                <c:pt idx="71">
                  <c:v>180</c:v>
                </c:pt>
                <c:pt idx="72">
                  <c:v>32</c:v>
                </c:pt>
                <c:pt idx="73">
                  <c:v>110</c:v>
                </c:pt>
                <c:pt idx="74">
                  <c:v>30</c:v>
                </c:pt>
                <c:pt idx="75">
                  <c:v>20</c:v>
                </c:pt>
                <c:pt idx="76">
                  <c:v>43</c:v>
                </c:pt>
                <c:pt idx="77">
                  <c:v>12</c:v>
                </c:pt>
                <c:pt idx="78">
                  <c:v>17</c:v>
                </c:pt>
                <c:pt idx="79">
                  <c:v>15</c:v>
                </c:pt>
                <c:pt idx="80">
                  <c:v>20</c:v>
                </c:pt>
                <c:pt idx="81">
                  <c:v>15</c:v>
                </c:pt>
                <c:pt idx="82">
                  <c:v>90</c:v>
                </c:pt>
                <c:pt idx="83">
                  <c:v>12</c:v>
                </c:pt>
                <c:pt idx="84">
                  <c:v>75</c:v>
                </c:pt>
                <c:pt idx="85">
                  <c:v>36</c:v>
                </c:pt>
                <c:pt idx="86">
                  <c:v>57</c:v>
                </c:pt>
                <c:pt idx="87">
                  <c:v>67</c:v>
                </c:pt>
                <c:pt idx="88">
                  <c:v>35</c:v>
                </c:pt>
                <c:pt idx="89">
                  <c:v>90</c:v>
                </c:pt>
                <c:pt idx="90">
                  <c:v>17</c:v>
                </c:pt>
              </c:numCache>
            </c:numRef>
          </c:yVal>
        </c:ser>
        <c:axId val="151422080"/>
        <c:axId val="151424000"/>
      </c:scatterChart>
      <c:valAx>
        <c:axId val="151422080"/>
        <c:scaling>
          <c:orientation val="minMax"/>
        </c:scaling>
        <c:axPos val="b"/>
        <c:title>
          <c:tx>
            <c:rich>
              <a:bodyPr/>
              <a:lstStyle/>
              <a:p>
                <a:pPr>
                  <a:defRPr/>
                </a:pPr>
                <a:r>
                  <a:rPr lang="en-US"/>
                  <a:t>Regolith Thickness (m)</a:t>
                </a:r>
              </a:p>
            </c:rich>
          </c:tx>
          <c:layout>
            <c:manualLayout>
              <c:xMode val="edge"/>
              <c:yMode val="edge"/>
              <c:x val="0.34053985357093519"/>
              <c:y val="0.79071741032371112"/>
            </c:manualLayout>
          </c:layout>
        </c:title>
        <c:numFmt formatCode="General" sourceLinked="1"/>
        <c:tickLblPos val="nextTo"/>
        <c:crossAx val="151424000"/>
        <c:crosses val="autoZero"/>
        <c:crossBetween val="midCat"/>
      </c:valAx>
      <c:valAx>
        <c:axId val="151424000"/>
        <c:scaling>
          <c:orientation val="minMax"/>
        </c:scaling>
        <c:axPos val="l"/>
        <c:title>
          <c:tx>
            <c:rich>
              <a:bodyPr/>
              <a:lstStyle/>
              <a:p>
                <a:pPr>
                  <a:defRPr/>
                </a:pPr>
                <a:r>
                  <a:rPr lang="en-US"/>
                  <a:t>Yield (l/min) </a:t>
                </a:r>
              </a:p>
            </c:rich>
          </c:tx>
        </c:title>
        <c:numFmt formatCode="General" sourceLinked="1"/>
        <c:tickLblPos val="nextTo"/>
        <c:crossAx val="151422080"/>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100"/>
              <a:t>Figure 8: Regression</a:t>
            </a:r>
            <a:r>
              <a:rPr lang="en-US" sz="1100" baseline="0"/>
              <a:t> of Transmissivity on Screen Length</a:t>
            </a:r>
            <a:endParaRPr lang="en-US" sz="1100"/>
          </a:p>
        </c:rich>
      </c:tx>
      <c:layout>
        <c:manualLayout>
          <c:xMode val="edge"/>
          <c:yMode val="edge"/>
          <c:x val="0.17294451986605144"/>
          <c:y val="0.85768518518518655"/>
        </c:manualLayout>
      </c:layout>
    </c:title>
    <c:plotArea>
      <c:layout>
        <c:manualLayout>
          <c:layoutTarget val="inner"/>
          <c:xMode val="edge"/>
          <c:yMode val="edge"/>
          <c:x val="0.19231061634537061"/>
          <c:y val="3.2766477107028291E-2"/>
          <c:w val="0.7568044166892971"/>
          <c:h val="0.63535433070866132"/>
        </c:manualLayout>
      </c:layout>
      <c:scatterChart>
        <c:scatterStyle val="lineMarker"/>
        <c:ser>
          <c:idx val="0"/>
          <c:order val="0"/>
          <c:spPr>
            <a:ln w="28575">
              <a:noFill/>
            </a:ln>
          </c:spPr>
          <c:marker>
            <c:symbol val="circle"/>
            <c:size val="2"/>
          </c:marker>
          <c:trendline>
            <c:trendlineType val="linear"/>
            <c:dispRSqr val="1"/>
            <c:dispEq val="1"/>
            <c:trendlineLbl>
              <c:layout>
                <c:manualLayout>
                  <c:x val="0.19718960991944967"/>
                  <c:y val="-0.46155694079906751"/>
                </c:manualLayout>
              </c:layout>
              <c:tx>
                <c:rich>
                  <a:bodyPr/>
                  <a:lstStyle/>
                  <a:p>
                    <a:pPr>
                      <a:defRPr/>
                    </a:pPr>
                    <a:r>
                      <a:rPr lang="en-US" sz="800" baseline="0"/>
                      <a:t>y = -0.068x + 9.36
R² = 0.005</a:t>
                    </a:r>
                  </a:p>
                  <a:p>
                    <a:pPr>
                      <a:defRPr/>
                    </a:pPr>
                    <a:r>
                      <a:rPr lang="en-US" sz="800" baseline="0"/>
                      <a:t>R = -0.071</a:t>
                    </a:r>
                    <a:endParaRPr lang="en-US" sz="800"/>
                  </a:p>
                </c:rich>
              </c:tx>
              <c:numFmt formatCode="General" sourceLinked="0"/>
            </c:trendlineLbl>
          </c:trendline>
          <c:xVal>
            <c:numRef>
              <c:f>Sheet2!$V$206:$V$296</c:f>
              <c:numCache>
                <c:formatCode>General</c:formatCode>
                <c:ptCount val="91"/>
                <c:pt idx="0">
                  <c:v>18</c:v>
                </c:pt>
                <c:pt idx="1">
                  <c:v>12</c:v>
                </c:pt>
                <c:pt idx="2">
                  <c:v>15</c:v>
                </c:pt>
                <c:pt idx="3">
                  <c:v>24</c:v>
                </c:pt>
                <c:pt idx="4">
                  <c:v>9</c:v>
                </c:pt>
                <c:pt idx="5">
                  <c:v>6</c:v>
                </c:pt>
                <c:pt idx="6">
                  <c:v>15</c:v>
                </c:pt>
                <c:pt idx="7">
                  <c:v>16</c:v>
                </c:pt>
                <c:pt idx="8">
                  <c:v>18</c:v>
                </c:pt>
                <c:pt idx="9">
                  <c:v>18</c:v>
                </c:pt>
                <c:pt idx="10">
                  <c:v>24</c:v>
                </c:pt>
                <c:pt idx="11">
                  <c:v>14</c:v>
                </c:pt>
                <c:pt idx="12">
                  <c:v>18</c:v>
                </c:pt>
                <c:pt idx="13">
                  <c:v>24</c:v>
                </c:pt>
                <c:pt idx="14">
                  <c:v>18</c:v>
                </c:pt>
                <c:pt idx="15">
                  <c:v>12</c:v>
                </c:pt>
                <c:pt idx="16">
                  <c:v>21</c:v>
                </c:pt>
                <c:pt idx="17">
                  <c:v>12</c:v>
                </c:pt>
                <c:pt idx="18">
                  <c:v>24</c:v>
                </c:pt>
                <c:pt idx="19">
                  <c:v>21</c:v>
                </c:pt>
                <c:pt idx="20">
                  <c:v>18</c:v>
                </c:pt>
                <c:pt idx="21">
                  <c:v>21</c:v>
                </c:pt>
                <c:pt idx="22">
                  <c:v>12</c:v>
                </c:pt>
                <c:pt idx="23">
                  <c:v>12</c:v>
                </c:pt>
                <c:pt idx="24">
                  <c:v>9</c:v>
                </c:pt>
                <c:pt idx="25">
                  <c:v>6</c:v>
                </c:pt>
                <c:pt idx="26">
                  <c:v>12</c:v>
                </c:pt>
                <c:pt idx="27">
                  <c:v>20</c:v>
                </c:pt>
                <c:pt idx="28">
                  <c:v>15</c:v>
                </c:pt>
                <c:pt idx="29">
                  <c:v>6</c:v>
                </c:pt>
                <c:pt idx="30">
                  <c:v>12</c:v>
                </c:pt>
                <c:pt idx="31">
                  <c:v>14</c:v>
                </c:pt>
                <c:pt idx="32">
                  <c:v>18</c:v>
                </c:pt>
                <c:pt idx="33">
                  <c:v>18</c:v>
                </c:pt>
                <c:pt idx="34">
                  <c:v>23</c:v>
                </c:pt>
                <c:pt idx="35">
                  <c:v>15</c:v>
                </c:pt>
                <c:pt idx="36">
                  <c:v>12</c:v>
                </c:pt>
                <c:pt idx="37">
                  <c:v>15</c:v>
                </c:pt>
                <c:pt idx="38">
                  <c:v>24</c:v>
                </c:pt>
                <c:pt idx="39">
                  <c:v>15</c:v>
                </c:pt>
                <c:pt idx="40">
                  <c:v>7</c:v>
                </c:pt>
                <c:pt idx="41">
                  <c:v>12</c:v>
                </c:pt>
                <c:pt idx="42">
                  <c:v>18</c:v>
                </c:pt>
                <c:pt idx="43">
                  <c:v>30</c:v>
                </c:pt>
                <c:pt idx="44">
                  <c:v>12</c:v>
                </c:pt>
                <c:pt idx="45">
                  <c:v>33</c:v>
                </c:pt>
                <c:pt idx="46">
                  <c:v>18</c:v>
                </c:pt>
                <c:pt idx="47">
                  <c:v>9</c:v>
                </c:pt>
                <c:pt idx="48">
                  <c:v>12</c:v>
                </c:pt>
                <c:pt idx="49">
                  <c:v>45</c:v>
                </c:pt>
                <c:pt idx="50">
                  <c:v>21</c:v>
                </c:pt>
                <c:pt idx="51">
                  <c:v>18</c:v>
                </c:pt>
                <c:pt idx="52">
                  <c:v>12</c:v>
                </c:pt>
                <c:pt idx="53">
                  <c:v>12</c:v>
                </c:pt>
                <c:pt idx="54">
                  <c:v>6</c:v>
                </c:pt>
                <c:pt idx="55">
                  <c:v>24</c:v>
                </c:pt>
                <c:pt idx="56">
                  <c:v>12</c:v>
                </c:pt>
                <c:pt idx="57">
                  <c:v>36</c:v>
                </c:pt>
                <c:pt idx="58">
                  <c:v>30</c:v>
                </c:pt>
                <c:pt idx="59">
                  <c:v>18</c:v>
                </c:pt>
                <c:pt idx="60">
                  <c:v>24</c:v>
                </c:pt>
                <c:pt idx="61">
                  <c:v>18</c:v>
                </c:pt>
                <c:pt idx="62">
                  <c:v>24</c:v>
                </c:pt>
                <c:pt idx="63">
                  <c:v>18</c:v>
                </c:pt>
                <c:pt idx="64">
                  <c:v>14</c:v>
                </c:pt>
                <c:pt idx="65">
                  <c:v>12</c:v>
                </c:pt>
                <c:pt idx="66">
                  <c:v>12</c:v>
                </c:pt>
                <c:pt idx="67">
                  <c:v>12</c:v>
                </c:pt>
                <c:pt idx="68">
                  <c:v>9</c:v>
                </c:pt>
                <c:pt idx="69">
                  <c:v>12</c:v>
                </c:pt>
                <c:pt idx="70">
                  <c:v>15</c:v>
                </c:pt>
                <c:pt idx="71">
                  <c:v>15</c:v>
                </c:pt>
                <c:pt idx="72">
                  <c:v>18</c:v>
                </c:pt>
                <c:pt idx="73">
                  <c:v>12</c:v>
                </c:pt>
                <c:pt idx="74">
                  <c:v>15</c:v>
                </c:pt>
                <c:pt idx="75">
                  <c:v>18</c:v>
                </c:pt>
                <c:pt idx="76">
                  <c:v>6</c:v>
                </c:pt>
                <c:pt idx="77">
                  <c:v>12</c:v>
                </c:pt>
                <c:pt idx="78">
                  <c:v>18</c:v>
                </c:pt>
                <c:pt idx="79">
                  <c:v>13</c:v>
                </c:pt>
                <c:pt idx="80">
                  <c:v>6</c:v>
                </c:pt>
                <c:pt idx="81">
                  <c:v>12</c:v>
                </c:pt>
                <c:pt idx="82">
                  <c:v>11.5</c:v>
                </c:pt>
                <c:pt idx="83">
                  <c:v>12</c:v>
                </c:pt>
                <c:pt idx="84">
                  <c:v>8</c:v>
                </c:pt>
                <c:pt idx="85">
                  <c:v>21</c:v>
                </c:pt>
                <c:pt idx="86">
                  <c:v>9</c:v>
                </c:pt>
                <c:pt idx="87">
                  <c:v>30</c:v>
                </c:pt>
                <c:pt idx="88">
                  <c:v>18</c:v>
                </c:pt>
                <c:pt idx="89">
                  <c:v>7</c:v>
                </c:pt>
                <c:pt idx="90">
                  <c:v>18</c:v>
                </c:pt>
              </c:numCache>
            </c:numRef>
          </c:xVal>
          <c:yVal>
            <c:numRef>
              <c:f>Sheet2!$W$206:$W$296</c:f>
              <c:numCache>
                <c:formatCode>General</c:formatCode>
                <c:ptCount val="91"/>
                <c:pt idx="0">
                  <c:v>8.3600000000000048</c:v>
                </c:pt>
                <c:pt idx="1">
                  <c:v>2.7800000000000002</c:v>
                </c:pt>
                <c:pt idx="2">
                  <c:v>4.13</c:v>
                </c:pt>
                <c:pt idx="3">
                  <c:v>14.99</c:v>
                </c:pt>
                <c:pt idx="4">
                  <c:v>3.7600000000000002</c:v>
                </c:pt>
                <c:pt idx="5">
                  <c:v>8.0500000000000007</c:v>
                </c:pt>
                <c:pt idx="6">
                  <c:v>5.6899999999999995</c:v>
                </c:pt>
                <c:pt idx="7">
                  <c:v>10.46</c:v>
                </c:pt>
                <c:pt idx="8">
                  <c:v>22.12</c:v>
                </c:pt>
                <c:pt idx="9">
                  <c:v>7.98</c:v>
                </c:pt>
                <c:pt idx="10">
                  <c:v>1.6600000000000001</c:v>
                </c:pt>
                <c:pt idx="11">
                  <c:v>13.76</c:v>
                </c:pt>
                <c:pt idx="12">
                  <c:v>4.2</c:v>
                </c:pt>
                <c:pt idx="13">
                  <c:v>2.9899999999999998</c:v>
                </c:pt>
                <c:pt idx="14">
                  <c:v>14.98</c:v>
                </c:pt>
                <c:pt idx="15">
                  <c:v>16.510000000000005</c:v>
                </c:pt>
                <c:pt idx="16">
                  <c:v>5.76</c:v>
                </c:pt>
                <c:pt idx="17">
                  <c:v>2.25</c:v>
                </c:pt>
                <c:pt idx="18">
                  <c:v>2.0299999999999998</c:v>
                </c:pt>
                <c:pt idx="19">
                  <c:v>18.82</c:v>
                </c:pt>
                <c:pt idx="20">
                  <c:v>5.1199999999999966</c:v>
                </c:pt>
                <c:pt idx="21">
                  <c:v>8.9600000000000026</c:v>
                </c:pt>
                <c:pt idx="22">
                  <c:v>7.51</c:v>
                </c:pt>
                <c:pt idx="23">
                  <c:v>15.04</c:v>
                </c:pt>
                <c:pt idx="24">
                  <c:v>4.1099999999999985</c:v>
                </c:pt>
                <c:pt idx="25">
                  <c:v>6</c:v>
                </c:pt>
                <c:pt idx="26">
                  <c:v>9.5300000000000011</c:v>
                </c:pt>
                <c:pt idx="27">
                  <c:v>4.68</c:v>
                </c:pt>
                <c:pt idx="28">
                  <c:v>7.63</c:v>
                </c:pt>
                <c:pt idx="29">
                  <c:v>2.8899999999999997</c:v>
                </c:pt>
                <c:pt idx="30">
                  <c:v>32.770000000000003</c:v>
                </c:pt>
                <c:pt idx="31">
                  <c:v>8.0300000000000011</c:v>
                </c:pt>
                <c:pt idx="32">
                  <c:v>3.51</c:v>
                </c:pt>
                <c:pt idx="33">
                  <c:v>15.49</c:v>
                </c:pt>
                <c:pt idx="34">
                  <c:v>1.86</c:v>
                </c:pt>
                <c:pt idx="35">
                  <c:v>34.700000000000003</c:v>
                </c:pt>
                <c:pt idx="36">
                  <c:v>3.03</c:v>
                </c:pt>
                <c:pt idx="37">
                  <c:v>9.58</c:v>
                </c:pt>
                <c:pt idx="38">
                  <c:v>8.3000000000000007</c:v>
                </c:pt>
                <c:pt idx="39">
                  <c:v>2.71</c:v>
                </c:pt>
                <c:pt idx="40">
                  <c:v>12.57</c:v>
                </c:pt>
                <c:pt idx="41">
                  <c:v>11.52</c:v>
                </c:pt>
                <c:pt idx="42">
                  <c:v>10.1</c:v>
                </c:pt>
                <c:pt idx="43">
                  <c:v>5.8</c:v>
                </c:pt>
                <c:pt idx="44">
                  <c:v>14.75</c:v>
                </c:pt>
                <c:pt idx="45">
                  <c:v>4.3099999999999996</c:v>
                </c:pt>
                <c:pt idx="46">
                  <c:v>4.92</c:v>
                </c:pt>
                <c:pt idx="47">
                  <c:v>2.69</c:v>
                </c:pt>
                <c:pt idx="48">
                  <c:v>6.57</c:v>
                </c:pt>
                <c:pt idx="49">
                  <c:v>11.31</c:v>
                </c:pt>
                <c:pt idx="50">
                  <c:v>13.31</c:v>
                </c:pt>
                <c:pt idx="51">
                  <c:v>12.42</c:v>
                </c:pt>
                <c:pt idx="52">
                  <c:v>1.75</c:v>
                </c:pt>
                <c:pt idx="53">
                  <c:v>12.67</c:v>
                </c:pt>
                <c:pt idx="54">
                  <c:v>5.48</c:v>
                </c:pt>
                <c:pt idx="55">
                  <c:v>10.44</c:v>
                </c:pt>
                <c:pt idx="56">
                  <c:v>4.83</c:v>
                </c:pt>
                <c:pt idx="57">
                  <c:v>3.4099999999999997</c:v>
                </c:pt>
                <c:pt idx="58">
                  <c:v>3.07</c:v>
                </c:pt>
                <c:pt idx="59">
                  <c:v>1.3800000000000001</c:v>
                </c:pt>
                <c:pt idx="60">
                  <c:v>7.9</c:v>
                </c:pt>
                <c:pt idx="61">
                  <c:v>4.87</c:v>
                </c:pt>
                <c:pt idx="62">
                  <c:v>8.76</c:v>
                </c:pt>
                <c:pt idx="63">
                  <c:v>4.8899999999999997</c:v>
                </c:pt>
                <c:pt idx="64">
                  <c:v>2.62</c:v>
                </c:pt>
                <c:pt idx="65">
                  <c:v>2.25</c:v>
                </c:pt>
                <c:pt idx="66">
                  <c:v>2.57</c:v>
                </c:pt>
                <c:pt idx="67">
                  <c:v>5.9</c:v>
                </c:pt>
                <c:pt idx="68">
                  <c:v>4.33</c:v>
                </c:pt>
                <c:pt idx="69">
                  <c:v>3.07</c:v>
                </c:pt>
                <c:pt idx="70">
                  <c:v>3.24</c:v>
                </c:pt>
                <c:pt idx="71">
                  <c:v>27.97</c:v>
                </c:pt>
                <c:pt idx="72">
                  <c:v>5.75</c:v>
                </c:pt>
                <c:pt idx="73">
                  <c:v>18.89</c:v>
                </c:pt>
                <c:pt idx="74">
                  <c:v>7.8</c:v>
                </c:pt>
                <c:pt idx="75">
                  <c:v>2.65</c:v>
                </c:pt>
                <c:pt idx="76">
                  <c:v>10.43</c:v>
                </c:pt>
                <c:pt idx="77">
                  <c:v>3.46</c:v>
                </c:pt>
                <c:pt idx="78">
                  <c:v>7.52</c:v>
                </c:pt>
                <c:pt idx="79">
                  <c:v>1.75</c:v>
                </c:pt>
                <c:pt idx="80">
                  <c:v>4.0199999999999996</c:v>
                </c:pt>
                <c:pt idx="81">
                  <c:v>2.96</c:v>
                </c:pt>
                <c:pt idx="82">
                  <c:v>20.279999999999987</c:v>
                </c:pt>
                <c:pt idx="83">
                  <c:v>3.9499999999999997</c:v>
                </c:pt>
                <c:pt idx="84">
                  <c:v>21.12</c:v>
                </c:pt>
                <c:pt idx="85">
                  <c:v>4.6099999999999985</c:v>
                </c:pt>
                <c:pt idx="86">
                  <c:v>14.75</c:v>
                </c:pt>
                <c:pt idx="87">
                  <c:v>9.5300000000000011</c:v>
                </c:pt>
                <c:pt idx="88">
                  <c:v>3.54</c:v>
                </c:pt>
                <c:pt idx="89">
                  <c:v>10.4</c:v>
                </c:pt>
                <c:pt idx="90">
                  <c:v>2.58</c:v>
                </c:pt>
              </c:numCache>
            </c:numRef>
          </c:yVal>
        </c:ser>
        <c:axId val="152502656"/>
        <c:axId val="152504576"/>
      </c:scatterChart>
      <c:valAx>
        <c:axId val="152502656"/>
        <c:scaling>
          <c:orientation val="minMax"/>
        </c:scaling>
        <c:axPos val="b"/>
        <c:title>
          <c:tx>
            <c:rich>
              <a:bodyPr/>
              <a:lstStyle/>
              <a:p>
                <a:pPr>
                  <a:defRPr/>
                </a:pPr>
                <a:r>
                  <a:rPr lang="en-US"/>
                  <a:t>Screen</a:t>
                </a:r>
                <a:r>
                  <a:rPr lang="en-US" baseline="0"/>
                  <a:t> Length (m)</a:t>
                </a:r>
                <a:endParaRPr lang="en-US"/>
              </a:p>
            </c:rich>
          </c:tx>
          <c:layout>
            <c:manualLayout>
              <c:xMode val="edge"/>
              <c:yMode val="edge"/>
              <c:x val="0.38626301022716986"/>
              <c:y val="0.76756926217556165"/>
            </c:manualLayout>
          </c:layout>
        </c:title>
        <c:numFmt formatCode="General" sourceLinked="1"/>
        <c:tickLblPos val="nextTo"/>
        <c:crossAx val="152504576"/>
        <c:crosses val="autoZero"/>
        <c:crossBetween val="midCat"/>
      </c:valAx>
      <c:valAx>
        <c:axId val="152504576"/>
        <c:scaling>
          <c:orientation val="minMax"/>
        </c:scaling>
        <c:axPos val="l"/>
        <c:title>
          <c:tx>
            <c:rich>
              <a:bodyPr/>
              <a:lstStyle/>
              <a:p>
                <a:pPr>
                  <a:defRPr/>
                </a:pPr>
                <a:r>
                  <a:rPr lang="en-US"/>
                  <a:t>Transmissivity </a:t>
                </a:r>
                <a:r>
                  <a:rPr lang="en-US" sz="1000" b="1" i="0" u="none" strike="noStrike" baseline="0"/>
                  <a:t>(m²/day) </a:t>
                </a:r>
                <a:endParaRPr lang="en-US"/>
              </a:p>
            </c:rich>
          </c:tx>
        </c:title>
        <c:numFmt formatCode="General" sourceLinked="1"/>
        <c:tickLblPos val="nextTo"/>
        <c:crossAx val="152502656"/>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OLANIYAN</dc:creator>
  <cp:lastModifiedBy>OLANIYAN</cp:lastModifiedBy>
  <cp:revision>2</cp:revision>
  <dcterms:created xsi:type="dcterms:W3CDTF">2010-02-22T14:19:00Z</dcterms:created>
  <dcterms:modified xsi:type="dcterms:W3CDTF">2010-02-22T14:19:00Z</dcterms:modified>
</cp:coreProperties>
</file>