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30" w:rsidRPr="00AD7EF1" w:rsidRDefault="00E77C30" w:rsidP="00AD7EF1">
      <w:pPr>
        <w:autoSpaceDE w:val="0"/>
        <w:autoSpaceDN w:val="0"/>
        <w:adjustRightInd w:val="0"/>
        <w:jc w:val="center"/>
        <w:rPr>
          <w:b/>
          <w:bCs/>
          <w:lang w:val="en-US"/>
        </w:rPr>
      </w:pPr>
      <w:r w:rsidRPr="00AD7EF1">
        <w:rPr>
          <w:b/>
          <w:bCs/>
          <w:lang w:val="en-US"/>
        </w:rPr>
        <w:t xml:space="preserve">Correlation between gene expression patterns and clinical origin of </w:t>
      </w:r>
      <w:r w:rsidRPr="00AD7EF1">
        <w:rPr>
          <w:b/>
          <w:bCs/>
          <w:i/>
          <w:iCs/>
          <w:lang w:val="en-US"/>
        </w:rPr>
        <w:t>Leishmania infantum</w:t>
      </w:r>
      <w:r w:rsidRPr="00AD7EF1">
        <w:rPr>
          <w:b/>
          <w:bCs/>
          <w:lang w:val="en-US"/>
        </w:rPr>
        <w:t xml:space="preserve"> infectious promastigote forms</w:t>
      </w:r>
    </w:p>
    <w:p w:rsidR="00E77C30" w:rsidRPr="00702E3C" w:rsidRDefault="00E77C30" w:rsidP="00AD7EF1">
      <w:pPr>
        <w:spacing w:before="240" w:after="120"/>
        <w:jc w:val="center"/>
        <w:rPr>
          <w:sz w:val="20"/>
          <w:szCs w:val="20"/>
          <w:lang w:val="en-US"/>
        </w:rPr>
      </w:pPr>
      <w:r w:rsidRPr="00702E3C">
        <w:rPr>
          <w:sz w:val="20"/>
          <w:szCs w:val="20"/>
          <w:lang w:val="en-US"/>
        </w:rPr>
        <w:t>Lynda Turki-Mannoubi</w:t>
      </w:r>
      <w:r w:rsidRPr="00702E3C">
        <w:rPr>
          <w:sz w:val="20"/>
          <w:szCs w:val="20"/>
          <w:vertAlign w:val="superscript"/>
          <w:lang w:val="en-US"/>
        </w:rPr>
        <w:t>1</w:t>
      </w:r>
      <w:r w:rsidRPr="00702E3C">
        <w:rPr>
          <w:sz w:val="20"/>
          <w:szCs w:val="20"/>
          <w:lang w:val="en-US"/>
        </w:rPr>
        <w:t>*, Mourad Barhoumi</w:t>
      </w:r>
      <w:r w:rsidRPr="00702E3C">
        <w:rPr>
          <w:sz w:val="20"/>
          <w:szCs w:val="20"/>
          <w:vertAlign w:val="superscript"/>
          <w:lang w:val="en-US"/>
        </w:rPr>
        <w:t>1</w:t>
      </w:r>
      <w:r w:rsidRPr="00702E3C">
        <w:rPr>
          <w:sz w:val="20"/>
          <w:szCs w:val="20"/>
          <w:lang w:val="en-US"/>
        </w:rPr>
        <w:t>, Atef Sahli</w:t>
      </w:r>
      <w:r w:rsidRPr="00702E3C">
        <w:rPr>
          <w:sz w:val="20"/>
          <w:szCs w:val="20"/>
          <w:vertAlign w:val="superscript"/>
          <w:lang w:val="en-US"/>
        </w:rPr>
        <w:t>1</w:t>
      </w:r>
      <w:r w:rsidRPr="00702E3C">
        <w:rPr>
          <w:sz w:val="20"/>
          <w:szCs w:val="20"/>
          <w:lang w:val="en-US"/>
        </w:rPr>
        <w:t>, Houaida Kbaier-Hachemi</w:t>
      </w:r>
      <w:r w:rsidRPr="00702E3C">
        <w:rPr>
          <w:sz w:val="20"/>
          <w:szCs w:val="20"/>
          <w:vertAlign w:val="superscript"/>
          <w:lang w:val="en-US"/>
        </w:rPr>
        <w:t>1</w:t>
      </w:r>
      <w:r w:rsidRPr="00702E3C">
        <w:rPr>
          <w:sz w:val="20"/>
          <w:szCs w:val="20"/>
          <w:lang w:val="en-US"/>
        </w:rPr>
        <w:t>, Ahmed S. Chakroun</w:t>
      </w:r>
      <w:r w:rsidRPr="00702E3C">
        <w:rPr>
          <w:sz w:val="20"/>
          <w:szCs w:val="20"/>
          <w:vertAlign w:val="superscript"/>
          <w:lang w:val="en-US"/>
        </w:rPr>
        <w:t>1</w:t>
      </w:r>
      <w:r w:rsidRPr="00702E3C">
        <w:rPr>
          <w:sz w:val="20"/>
          <w:szCs w:val="20"/>
          <w:lang w:val="en-US"/>
        </w:rPr>
        <w:t>, Belhassen Kaabi</w:t>
      </w:r>
      <w:r w:rsidRPr="00702E3C">
        <w:rPr>
          <w:sz w:val="20"/>
          <w:szCs w:val="20"/>
          <w:vertAlign w:val="superscript"/>
          <w:lang w:val="en-US"/>
        </w:rPr>
        <w:t>1</w:t>
      </w:r>
      <w:r w:rsidRPr="00702E3C">
        <w:rPr>
          <w:sz w:val="20"/>
          <w:szCs w:val="20"/>
          <w:lang w:val="en-US"/>
        </w:rPr>
        <w:t>, Casmir I.C Ifeanyi</w:t>
      </w:r>
      <w:r w:rsidRPr="00702E3C">
        <w:rPr>
          <w:sz w:val="20"/>
          <w:szCs w:val="20"/>
          <w:vertAlign w:val="superscript"/>
          <w:lang w:val="en-US"/>
        </w:rPr>
        <w:t>2</w:t>
      </w:r>
      <w:r w:rsidRPr="00702E3C">
        <w:rPr>
          <w:sz w:val="20"/>
          <w:szCs w:val="20"/>
          <w:lang w:val="en-US"/>
        </w:rPr>
        <w:t xml:space="preserve"> and Ikram Guizani</w:t>
      </w:r>
      <w:r w:rsidRPr="00702E3C">
        <w:rPr>
          <w:sz w:val="20"/>
          <w:szCs w:val="20"/>
          <w:vertAlign w:val="superscript"/>
          <w:lang w:val="en-US"/>
        </w:rPr>
        <w:t>1</w:t>
      </w:r>
      <w:r w:rsidRPr="00702E3C">
        <w:rPr>
          <w:sz w:val="20"/>
          <w:szCs w:val="20"/>
          <w:lang w:val="en-US"/>
        </w:rPr>
        <w:t>.</w:t>
      </w:r>
    </w:p>
    <w:p w:rsidR="00E77C30" w:rsidRPr="00702E3C" w:rsidRDefault="00E77C30" w:rsidP="00AD7EF1">
      <w:pPr>
        <w:jc w:val="center"/>
        <w:rPr>
          <w:sz w:val="20"/>
          <w:szCs w:val="20"/>
        </w:rPr>
      </w:pPr>
      <w:r w:rsidRPr="00702E3C">
        <w:rPr>
          <w:sz w:val="20"/>
          <w:szCs w:val="20"/>
          <w:vertAlign w:val="superscript"/>
          <w:lang w:val="en-US"/>
        </w:rPr>
        <w:t>1</w:t>
      </w:r>
      <w:r w:rsidRPr="00702E3C">
        <w:rPr>
          <w:sz w:val="20"/>
          <w:szCs w:val="20"/>
        </w:rPr>
        <w:t>Laboratoire d’Epidémiologie et d’Ecologie Parasitaire, Institut Pasteur de Tunis, 13 place Pasteur, BP 74, 1002 Tunis-Belvédère, Tunisia.</w:t>
      </w:r>
    </w:p>
    <w:p w:rsidR="00E77C30" w:rsidRDefault="00E77C30" w:rsidP="00AD7EF1">
      <w:pPr>
        <w:rPr>
          <w:color w:val="000000"/>
          <w:sz w:val="20"/>
          <w:szCs w:val="20"/>
          <w:lang w:val="en-GB" w:eastAsia="en-US"/>
        </w:rPr>
      </w:pPr>
      <w:r w:rsidRPr="00702E3C">
        <w:rPr>
          <w:vertAlign w:val="superscript"/>
          <w:lang w:val="en-GB" w:eastAsia="en-US"/>
        </w:rPr>
        <w:t>2</w:t>
      </w:r>
      <w:r w:rsidRPr="00702E3C">
        <w:rPr>
          <w:color w:val="000000"/>
          <w:sz w:val="20"/>
          <w:szCs w:val="20"/>
          <w:lang w:val="en-GB" w:eastAsia="en-US"/>
        </w:rPr>
        <w:t xml:space="preserve">Department of Biological Science, Faculty of Science, </w:t>
      </w:r>
      <w:smartTag w:uri="urn:schemas-microsoft-com:office:smarttags" w:element="place">
        <w:smartTag w:uri="urn:schemas-microsoft-com:office:smarttags" w:element="PlaceType">
          <w:r w:rsidRPr="00702E3C">
            <w:rPr>
              <w:color w:val="000000"/>
              <w:sz w:val="20"/>
              <w:szCs w:val="20"/>
              <w:lang w:val="en-GB" w:eastAsia="en-US"/>
            </w:rPr>
            <w:t>University</w:t>
          </w:r>
        </w:smartTag>
        <w:r w:rsidRPr="00702E3C">
          <w:rPr>
            <w:color w:val="000000"/>
            <w:sz w:val="20"/>
            <w:szCs w:val="20"/>
            <w:lang w:val="en-GB" w:eastAsia="en-US"/>
          </w:rPr>
          <w:t xml:space="preserve"> of </w:t>
        </w:r>
        <w:smartTag w:uri="urn:schemas-microsoft-com:office:smarttags" w:element="PlaceName">
          <w:r w:rsidRPr="00702E3C">
            <w:rPr>
              <w:color w:val="000000"/>
              <w:sz w:val="20"/>
              <w:szCs w:val="20"/>
              <w:lang w:val="en-GB" w:eastAsia="en-US"/>
            </w:rPr>
            <w:t>Abuja</w:t>
          </w:r>
        </w:smartTag>
      </w:smartTag>
      <w:r w:rsidRPr="00702E3C">
        <w:rPr>
          <w:color w:val="000000"/>
          <w:sz w:val="20"/>
          <w:szCs w:val="20"/>
          <w:lang w:val="en-GB" w:eastAsia="en-US"/>
        </w:rPr>
        <w:t xml:space="preserve">, P.M.B 117, </w:t>
      </w:r>
      <w:smartTag w:uri="urn:schemas-microsoft-com:office:smarttags" w:element="place">
        <w:smartTag w:uri="urn:schemas-microsoft-com:office:smarttags" w:element="City">
          <w:r w:rsidRPr="00702E3C">
            <w:rPr>
              <w:color w:val="000000"/>
              <w:sz w:val="20"/>
              <w:szCs w:val="20"/>
              <w:lang w:val="en-GB" w:eastAsia="en-US"/>
            </w:rPr>
            <w:t>Abuja</w:t>
          </w:r>
        </w:smartTag>
        <w:r w:rsidRPr="00702E3C">
          <w:rPr>
            <w:color w:val="000000"/>
            <w:sz w:val="20"/>
            <w:szCs w:val="20"/>
            <w:lang w:val="en-GB" w:eastAsia="en-US"/>
          </w:rPr>
          <w:t xml:space="preserve">, </w:t>
        </w:r>
        <w:smartTag w:uri="urn:schemas-microsoft-com:office:smarttags" w:element="country-region">
          <w:r w:rsidRPr="00702E3C">
            <w:rPr>
              <w:color w:val="000000"/>
              <w:sz w:val="20"/>
              <w:szCs w:val="20"/>
              <w:lang w:val="en-GB" w:eastAsia="en-US"/>
            </w:rPr>
            <w:t>Nigeria</w:t>
          </w:r>
        </w:smartTag>
      </w:smartTag>
    </w:p>
    <w:p w:rsidR="00E77C30" w:rsidRPr="00917374" w:rsidRDefault="00E77C30" w:rsidP="00AD7EF1">
      <w:hyperlink r:id="rId6" w:history="1">
        <w:r w:rsidRPr="009D6F52">
          <w:rPr>
            <w:rStyle w:val="Hyperlink"/>
          </w:rPr>
          <w:t>elyonlab@yahoo.com</w:t>
        </w:r>
      </w:hyperlink>
      <w:r>
        <w:t xml:space="preserve"> </w:t>
      </w:r>
    </w:p>
    <w:p w:rsidR="00E77C30" w:rsidRDefault="00E77C30" w:rsidP="00AD7EF1">
      <w:pPr>
        <w:spacing w:before="240"/>
        <w:jc w:val="both"/>
        <w:rPr>
          <w:b/>
          <w:bCs/>
          <w:lang w:val="en-US"/>
        </w:rPr>
      </w:pPr>
      <w:r>
        <w:rPr>
          <w:b/>
          <w:bCs/>
          <w:lang w:val="en-US"/>
        </w:rPr>
        <w:t xml:space="preserve">Abstract </w:t>
      </w:r>
    </w:p>
    <w:p w:rsidR="00E77C30" w:rsidRPr="00AD7EF1" w:rsidRDefault="00E77C30" w:rsidP="00AD7EF1">
      <w:pPr>
        <w:spacing w:before="240"/>
        <w:jc w:val="both"/>
        <w:rPr>
          <w:b/>
          <w:bCs/>
          <w:lang w:val="en-US"/>
        </w:rPr>
      </w:pPr>
      <w:r>
        <w:rPr>
          <w:sz w:val="18"/>
          <w:szCs w:val="18"/>
        </w:rPr>
        <w:t xml:space="preserve"> </w:t>
      </w:r>
      <w:r w:rsidRPr="00367140">
        <w:rPr>
          <w:lang w:val="en-US"/>
        </w:rPr>
        <w:t xml:space="preserve">Differential expression of genes between cutaneous and visceral </w:t>
      </w:r>
      <w:r w:rsidRPr="00367140">
        <w:rPr>
          <w:i/>
          <w:iCs/>
          <w:lang w:val="en-US"/>
        </w:rPr>
        <w:t>L. infantum</w:t>
      </w:r>
      <w:r w:rsidRPr="00367140">
        <w:rPr>
          <w:lang w:val="en-US"/>
        </w:rPr>
        <w:t xml:space="preserve"> parasites is hypothesized to be among the mechani</w:t>
      </w:r>
      <w:r>
        <w:rPr>
          <w:lang w:val="en-US"/>
        </w:rPr>
        <w:t>sms potentially involved in the</w:t>
      </w:r>
      <w:r w:rsidRPr="00367140">
        <w:rPr>
          <w:lang w:val="en-US"/>
        </w:rPr>
        <w:t xml:space="preserve"> interplay</w:t>
      </w:r>
      <w:r>
        <w:rPr>
          <w:lang w:val="en-US"/>
        </w:rPr>
        <w:t xml:space="preserve"> the produce c</w:t>
      </w:r>
      <w:r w:rsidRPr="00367140">
        <w:rPr>
          <w:lang w:val="en-US"/>
        </w:rPr>
        <w:t>linical variability</w:t>
      </w:r>
      <w:r>
        <w:rPr>
          <w:lang w:val="en-US"/>
        </w:rPr>
        <w:t xml:space="preserve"> in </w:t>
      </w:r>
      <w:r w:rsidRPr="00367140">
        <w:rPr>
          <w:i/>
          <w:iCs/>
          <w:lang w:val="en-US"/>
        </w:rPr>
        <w:t>Leishmania infantum</w:t>
      </w:r>
      <w:r w:rsidRPr="00367140">
        <w:rPr>
          <w:lang w:val="en-US"/>
        </w:rPr>
        <w:t xml:space="preserve"> parasites</w:t>
      </w:r>
      <w:r>
        <w:rPr>
          <w:lang w:val="en-US"/>
        </w:rPr>
        <w:t>.</w:t>
      </w:r>
      <w:r w:rsidRPr="00367140">
        <w:rPr>
          <w:lang w:val="en-US"/>
        </w:rPr>
        <w:t xml:space="preserve">A variant of differential display technique was used to select differentially expressed genes in peanut-agglutinin negatively (PNA) selected promastigote forms of 2 visceral and 2 cutaneous </w:t>
      </w:r>
      <w:r w:rsidRPr="00367140">
        <w:rPr>
          <w:i/>
          <w:iCs/>
          <w:lang w:val="en-US"/>
        </w:rPr>
        <w:t>Leishmania infantum</w:t>
      </w:r>
      <w:r w:rsidRPr="00367140">
        <w:rPr>
          <w:lang w:val="en-US"/>
        </w:rPr>
        <w:t xml:space="preserve"> parasites. Five cDNAs encoding for a nuclear transport factor 2-like and 4 ribosomal proteins were selected this way and their expression was analysed in these infectious forms of the 4 isolates. Quantitative real-time </w:t>
      </w:r>
      <w:smartTag w:uri="urn:schemas-microsoft-com:office:smarttags" w:element="stockticker">
        <w:r w:rsidRPr="00367140">
          <w:rPr>
            <w:lang w:val="en-US"/>
          </w:rPr>
          <w:t>PCR</w:t>
        </w:r>
      </w:smartTag>
      <w:r w:rsidRPr="00367140">
        <w:rPr>
          <w:lang w:val="en-US"/>
        </w:rPr>
        <w:t xml:space="preserve"> (qRT-</w:t>
      </w:r>
      <w:smartTag w:uri="urn:schemas-microsoft-com:office:smarttags" w:element="stockticker">
        <w:r w:rsidRPr="00367140">
          <w:rPr>
            <w:lang w:val="en-US"/>
          </w:rPr>
          <w:t>PCR</w:t>
        </w:r>
      </w:smartTag>
      <w:r w:rsidRPr="00367140">
        <w:rPr>
          <w:lang w:val="en-US"/>
        </w:rPr>
        <w:t>) analysis of the transcripts highlighted variable gene expression among all the parasites. However, significant fold variations were obtained that defined relative expression phenotypes and patterns. Remarkably, 2 expression patterns were consistently observed with the 2 CL parasites when compared to one or the other of the VL isolates. In one particular case, coordinated expression of</w:t>
      </w:r>
      <w:r w:rsidRPr="00367140">
        <w:rPr>
          <w:i/>
          <w:iCs/>
          <w:lang w:val="en-US"/>
        </w:rPr>
        <w:t xml:space="preserve"> NTF2-like, 40S RPS6</w:t>
      </w:r>
      <w:r w:rsidRPr="00367140">
        <w:rPr>
          <w:lang w:val="en-US"/>
        </w:rPr>
        <w:t xml:space="preserve">, </w:t>
      </w:r>
      <w:r w:rsidRPr="00367140">
        <w:rPr>
          <w:i/>
          <w:iCs/>
          <w:lang w:val="en-US"/>
        </w:rPr>
        <w:t>RPS26</w:t>
      </w:r>
      <w:r w:rsidRPr="00367140">
        <w:rPr>
          <w:lang w:val="en-US"/>
        </w:rPr>
        <w:t xml:space="preserve"> and </w:t>
      </w:r>
      <w:r w:rsidRPr="00367140">
        <w:rPr>
          <w:i/>
          <w:iCs/>
          <w:lang w:val="en-US"/>
        </w:rPr>
        <w:t>60S RPL6</w:t>
      </w:r>
      <w:r w:rsidRPr="00367140">
        <w:rPr>
          <w:lang w:val="en-US"/>
        </w:rPr>
        <w:t xml:space="preserve"> genes is highlighted. The results provide preliminary evidence on occurrence of correlated gene expression patterns to clinical origin of </w:t>
      </w:r>
      <w:r w:rsidRPr="00367140">
        <w:rPr>
          <w:i/>
          <w:iCs/>
          <w:lang w:val="en-US"/>
        </w:rPr>
        <w:t xml:space="preserve">L. infantum </w:t>
      </w:r>
      <w:r w:rsidRPr="00367140">
        <w:rPr>
          <w:lang w:val="en-US"/>
        </w:rPr>
        <w:t>parasites.</w:t>
      </w:r>
    </w:p>
    <w:p w:rsidR="00E77C30" w:rsidRPr="00367140" w:rsidRDefault="00E77C30" w:rsidP="006B457B">
      <w:pPr>
        <w:spacing w:before="120" w:after="120" w:line="480" w:lineRule="auto"/>
        <w:jc w:val="both"/>
        <w:rPr>
          <w:lang w:val="en-US"/>
        </w:rPr>
      </w:pPr>
      <w:r w:rsidRPr="00367140">
        <w:rPr>
          <w:b/>
          <w:bCs/>
          <w:lang w:val="en-US"/>
        </w:rPr>
        <w:t>Keywords</w:t>
      </w:r>
      <w:r w:rsidRPr="00367140">
        <w:rPr>
          <w:lang w:val="en-US"/>
        </w:rPr>
        <w:t>:</w:t>
      </w:r>
      <w:r w:rsidRPr="00367140">
        <w:rPr>
          <w:i/>
          <w:iCs/>
          <w:lang w:val="en-US"/>
        </w:rPr>
        <w:t xml:space="preserve"> Leishmania infantum</w:t>
      </w:r>
      <w:r w:rsidRPr="00367140">
        <w:rPr>
          <w:lang w:val="en-US"/>
        </w:rPr>
        <w:t>, cutaneous leishmaniasis, visceral leishmaniasis, differential gene expression,</w:t>
      </w:r>
    </w:p>
    <w:p w:rsidR="00E77C30" w:rsidRDefault="00E77C30" w:rsidP="006B457B">
      <w:pPr>
        <w:spacing w:line="480" w:lineRule="auto"/>
        <w:ind w:right="-563"/>
        <w:jc w:val="both"/>
        <w:rPr>
          <w:b/>
          <w:bCs/>
          <w:lang w:val="en-GB"/>
        </w:rPr>
        <w:sectPr w:rsidR="00E77C30" w:rsidSect="00BD7C9F">
          <w:headerReference w:type="default" r:id="rId7"/>
          <w:footerReference w:type="even" r:id="rId8"/>
          <w:footerReference w:type="default" r:id="rId9"/>
          <w:pgSz w:w="11906" w:h="16838" w:code="9"/>
          <w:pgMar w:top="1440" w:right="1440" w:bottom="1440" w:left="1440" w:header="709" w:footer="709" w:gutter="0"/>
          <w:cols w:space="708"/>
          <w:docGrid w:linePitch="360"/>
        </w:sectPr>
      </w:pPr>
    </w:p>
    <w:p w:rsidR="00E77C30" w:rsidRPr="00367140" w:rsidRDefault="00E77C30" w:rsidP="006B457B">
      <w:pPr>
        <w:spacing w:line="480" w:lineRule="auto"/>
        <w:ind w:right="-563"/>
        <w:jc w:val="both"/>
        <w:rPr>
          <w:b/>
          <w:bCs/>
          <w:lang w:val="en-GB"/>
        </w:rPr>
      </w:pPr>
      <w:r w:rsidRPr="00367140">
        <w:rPr>
          <w:b/>
          <w:bCs/>
          <w:lang w:val="en-GB"/>
        </w:rPr>
        <w:t>I</w:t>
      </w:r>
      <w:r>
        <w:rPr>
          <w:b/>
          <w:bCs/>
          <w:lang w:val="en-GB"/>
        </w:rPr>
        <w:t>ntroduction</w:t>
      </w:r>
    </w:p>
    <w:p w:rsidR="00E77C30" w:rsidRPr="00367140" w:rsidRDefault="00E77C30" w:rsidP="006B457B">
      <w:pPr>
        <w:autoSpaceDE w:val="0"/>
        <w:autoSpaceDN w:val="0"/>
        <w:adjustRightInd w:val="0"/>
        <w:spacing w:line="480" w:lineRule="auto"/>
        <w:ind w:right="-511"/>
        <w:jc w:val="both"/>
        <w:rPr>
          <w:lang w:val="en-GB"/>
        </w:rPr>
      </w:pPr>
      <w:r w:rsidRPr="00367140">
        <w:rPr>
          <w:lang w:val="en-GB"/>
        </w:rPr>
        <w:tab/>
        <w:t xml:space="preserve">The leishmaniases correspond to a range diverse neglected disease caused by protozoan parasites of the genus </w:t>
      </w:r>
      <w:r w:rsidRPr="00367140">
        <w:rPr>
          <w:i/>
          <w:iCs/>
          <w:lang w:val="en-GB"/>
        </w:rPr>
        <w:t>Leishmania</w:t>
      </w:r>
      <w:r w:rsidRPr="00367140">
        <w:rPr>
          <w:lang w:val="en-GB"/>
        </w:rPr>
        <w:t xml:space="preserve"> that are transmitted by female sandflies. World Health Organization</w:t>
      </w:r>
      <w:r>
        <w:rPr>
          <w:lang w:val="en-GB"/>
        </w:rPr>
        <w:t xml:space="preserve"> (WHO)</w:t>
      </w:r>
      <w:r w:rsidRPr="00367140">
        <w:rPr>
          <w:lang w:val="en-GB"/>
        </w:rPr>
        <w:t xml:space="preserve"> estimates </w:t>
      </w:r>
      <w:r>
        <w:rPr>
          <w:lang w:val="en-GB"/>
        </w:rPr>
        <w:t xml:space="preserve">that </w:t>
      </w:r>
      <w:r w:rsidRPr="00367140">
        <w:rPr>
          <w:lang w:val="en-GB"/>
        </w:rPr>
        <w:t xml:space="preserve">350 million people are at risk of these diseases which affect more than 12 million people worldwide; two million cases are reported every year </w:t>
      </w:r>
      <w:r w:rsidRPr="00367140">
        <w:rPr>
          <w:lang w:val="en-GB"/>
        </w:rPr>
        <w:fldChar w:fldCharType="begin"/>
      </w:r>
      <w:r w:rsidRPr="00367140">
        <w:rPr>
          <w:lang w:val="en-GB"/>
        </w:rPr>
        <w:instrText xml:space="preserve"> ADDIN EN.CITE &lt;EndNote&gt;&lt;Cite&gt;&lt;Author&gt;Herwaldt&lt;/Author&gt;&lt;Year&gt;1999&lt;/Year&gt;&lt;RecNum&gt;5088&lt;/RecNum&gt;&lt;record&gt;&lt;rec-number&gt;5088&lt;/rec-number&gt;&lt;ref-type name="Journal Article"&gt;17&lt;/ref-type&gt;&lt;contributors&gt;&lt;authors&gt;&lt;author&gt;Herwaldt, B. L.&lt;/author&gt;&lt;/authors&gt;&lt;/contributors&gt;&lt;auth-address&gt;Centers for Disease Control and Prevention, Division of Parasitic Diseases, Atlanta, GA 30341-3724, USA. bxh4@cdc.gov&lt;/auth-address&gt;&lt;titles&gt;&lt;title&gt;Leishmaniasis&lt;/title&gt;&lt;secondary-title&gt;Lancet&lt;/secondary-title&gt;&lt;/titles&gt;&lt;pages&gt;1191-9&lt;/pages&gt;&lt;volume&gt;354&lt;/volume&gt;&lt;number&gt;9185&lt;/number&gt;&lt;keywords&gt;&lt;keyword&gt;Amphotericin B/therapeutic use&lt;/keyword&gt;&lt;keyword&gt;Animals&lt;/keyword&gt;&lt;keyword&gt;Antimony/therapeutic use&lt;/keyword&gt;&lt;keyword&gt;Antiprotozoal Agents/*therapeutic use&lt;/keyword&gt;&lt;keyword&gt;Drug Administration Schedule&lt;/keyword&gt;&lt;keyword&gt;Female&lt;/keyword&gt;&lt;keyword&gt;HIV Infections/complications&lt;/keyword&gt;&lt;keyword&gt;Humans&lt;/keyword&gt;&lt;keyword&gt;Leishmania/isolation &amp;amp; purification&lt;/keyword&gt;&lt;keyword&gt;Leishmaniasis/diagnosis/*drug therapy/immunology/transmission&lt;/keyword&gt;&lt;keyword&gt;Leishmaniasis, Cutaneous/diagnosis/drug therapy&lt;/keyword&gt;&lt;keyword&gt;Leishmaniasis, Mucocutaneous/diagnosis/drug therapy&lt;/keyword&gt;&lt;keyword&gt;Leishmaniasis, Visceral/complications/diagnosis/drug therapy&lt;/keyword&gt;&lt;keyword&gt;Male&lt;/keyword&gt;&lt;/keywords&gt;&lt;dates&gt;&lt;year&gt;1999&lt;/year&gt;&lt;pub-dates&gt;&lt;date&gt;Oct 2&lt;/date&gt;&lt;/pub-dates&gt;&lt;/dates&gt;&lt;accession-num&gt;10513726&lt;/accession-num&gt;&lt;urls&gt;&lt;related-urls&gt;&lt;url&gt;http://www.ncbi.nlm.nih.gov/entrez/query.fcgi?cmd=Retrieve&amp;amp;db=PubMed&amp;amp;dopt=Citation&amp;amp;list_uids=10513726 &lt;/url&gt;&lt;/related-urls&gt;&lt;/urls&gt;&lt;/record&gt;&lt;/Cite&gt;&lt;/EndNote&gt;</w:instrText>
      </w:r>
      <w:r w:rsidRPr="00367140">
        <w:rPr>
          <w:lang w:val="en-GB"/>
        </w:rPr>
        <w:fldChar w:fldCharType="separate"/>
      </w:r>
      <w:r w:rsidRPr="00367140">
        <w:rPr>
          <w:lang w:val="en-GB"/>
        </w:rPr>
        <w:t>(Herwald,1999)</w:t>
      </w:r>
      <w:r w:rsidRPr="00367140">
        <w:rPr>
          <w:lang w:val="en-GB"/>
        </w:rPr>
        <w:fldChar w:fldCharType="end"/>
      </w:r>
      <w:r>
        <w:rPr>
          <w:lang w:val="en-GB"/>
        </w:rPr>
        <w:t>.</w:t>
      </w:r>
    </w:p>
    <w:p w:rsidR="00E77C30" w:rsidRPr="00367140" w:rsidRDefault="00E77C30" w:rsidP="006B457B">
      <w:pPr>
        <w:spacing w:line="480" w:lineRule="auto"/>
        <w:ind w:right="-563"/>
        <w:jc w:val="both"/>
        <w:rPr>
          <w:lang w:val="en-GB"/>
        </w:rPr>
      </w:pPr>
      <w:r w:rsidRPr="00367140">
        <w:rPr>
          <w:lang w:val="en-GB"/>
        </w:rPr>
        <w:t xml:space="preserve">In the Mediterranean basin, </w:t>
      </w:r>
      <w:r w:rsidRPr="00367140">
        <w:rPr>
          <w:i/>
          <w:iCs/>
          <w:lang w:val="en-GB"/>
        </w:rPr>
        <w:t>L. infantum</w:t>
      </w:r>
      <w:r w:rsidRPr="00367140">
        <w:rPr>
          <w:lang w:val="en-GB"/>
        </w:rPr>
        <w:t xml:space="preserve"> is the causative agent of visceral (VL) (Chappuis </w:t>
      </w:r>
      <w:r w:rsidRPr="00AB05BD">
        <w:rPr>
          <w:i/>
          <w:iCs/>
          <w:lang w:val="en-GB"/>
        </w:rPr>
        <w:t xml:space="preserve">et </w:t>
      </w:r>
      <w:r w:rsidRPr="00367140">
        <w:rPr>
          <w:i/>
          <w:iCs/>
          <w:lang w:val="en-GB"/>
        </w:rPr>
        <w:t>al.</w:t>
      </w:r>
      <w:r w:rsidRPr="00367140">
        <w:rPr>
          <w:lang w:val="en-GB"/>
        </w:rPr>
        <w:t>,</w:t>
      </w:r>
      <w:r>
        <w:rPr>
          <w:lang w:val="en-GB"/>
        </w:rPr>
        <w:t xml:space="preserve"> </w:t>
      </w:r>
      <w:r w:rsidRPr="00367140">
        <w:rPr>
          <w:lang w:val="en-GB"/>
        </w:rPr>
        <w:t xml:space="preserve">2007) and cutaneaous (CL) leishmaniasis (Ben Said </w:t>
      </w:r>
      <w:r w:rsidRPr="00367140">
        <w:rPr>
          <w:i/>
          <w:iCs/>
          <w:lang w:val="en-GB"/>
        </w:rPr>
        <w:t>et al</w:t>
      </w:r>
      <w:r>
        <w:rPr>
          <w:i/>
          <w:iCs/>
          <w:lang w:val="en-GB"/>
        </w:rPr>
        <w:t>.</w:t>
      </w:r>
      <w:r w:rsidRPr="00367140">
        <w:rPr>
          <w:lang w:val="en-GB"/>
        </w:rPr>
        <w:t xml:space="preserve">, 2006). </w:t>
      </w:r>
      <w:r w:rsidRPr="00367140">
        <w:rPr>
          <w:lang w:val="en-US"/>
        </w:rPr>
        <w:t>Clinical variability is likely the result of a complex interaction between different factors including host genetic background and immune status, vector factors and parasite factors such as differentially expressed or secreted virulence determinants, pathoantigenic cytosolic proteins and others molecules</w:t>
      </w:r>
      <w:r w:rsidRPr="00367140">
        <w:rPr>
          <w:lang w:val="en-GB"/>
        </w:rPr>
        <w:t xml:space="preserve"> (Rivas </w:t>
      </w:r>
      <w:r w:rsidRPr="00367140">
        <w:rPr>
          <w:i/>
          <w:iCs/>
          <w:lang w:val="en-GB"/>
        </w:rPr>
        <w:t>et al</w:t>
      </w:r>
      <w:r>
        <w:rPr>
          <w:i/>
          <w:iCs/>
          <w:lang w:val="en-GB"/>
        </w:rPr>
        <w:t>.</w:t>
      </w:r>
      <w:r w:rsidRPr="00367140">
        <w:rPr>
          <w:lang w:val="en-GB"/>
        </w:rPr>
        <w:t>,</w:t>
      </w:r>
      <w:r w:rsidRPr="00367140">
        <w:rPr>
          <w:lang w:val="en-US"/>
        </w:rPr>
        <w:t xml:space="preserve"> 2004). Differential expression of genes between cutaneous and visceral </w:t>
      </w:r>
      <w:r w:rsidRPr="00367140">
        <w:rPr>
          <w:i/>
          <w:iCs/>
          <w:lang w:val="en-US"/>
        </w:rPr>
        <w:t>L. infantum</w:t>
      </w:r>
      <w:r w:rsidRPr="00367140">
        <w:rPr>
          <w:lang w:val="en-US"/>
        </w:rPr>
        <w:t xml:space="preserve"> parasites is hypothesized to be among the mechanisms potentially involved in this interplay. Therefore, identification of differentially expressed transcripts in infectious stages of cutaneous and visceral isolates of </w:t>
      </w:r>
      <w:r w:rsidRPr="00367140">
        <w:rPr>
          <w:i/>
          <w:iCs/>
          <w:lang w:val="en-US"/>
        </w:rPr>
        <w:t>L. infantum</w:t>
      </w:r>
      <w:r w:rsidRPr="00367140">
        <w:rPr>
          <w:lang w:val="en-US"/>
        </w:rPr>
        <w:t xml:space="preserve"> constitutes a fine approach for better understanding molecular mechanisms associated to or in preparation of </w:t>
      </w:r>
      <w:r w:rsidRPr="00367140">
        <w:rPr>
          <w:i/>
          <w:iCs/>
          <w:lang w:val="en-US"/>
        </w:rPr>
        <w:t>Leishmania</w:t>
      </w:r>
      <w:r w:rsidRPr="00367140">
        <w:rPr>
          <w:lang w:val="en-US"/>
        </w:rPr>
        <w:t xml:space="preserve"> infection. Indeed, several molecules playing a key role in the biology of </w:t>
      </w:r>
      <w:r w:rsidRPr="00367140">
        <w:rPr>
          <w:i/>
          <w:iCs/>
          <w:lang w:val="en-US"/>
        </w:rPr>
        <w:t>Leishmania</w:t>
      </w:r>
      <w:r w:rsidRPr="00367140">
        <w:rPr>
          <w:lang w:val="en-US"/>
        </w:rPr>
        <w:t xml:space="preserve"> parasites and its virulence have been identified using cDNA libraries (</w:t>
      </w:r>
      <w:r w:rsidRPr="00367140">
        <w:rPr>
          <w:lang w:val="en-GB"/>
        </w:rPr>
        <w:t xml:space="preserve">Zhang </w:t>
      </w:r>
      <w:r>
        <w:rPr>
          <w:lang w:val="en-GB"/>
        </w:rPr>
        <w:t xml:space="preserve">and </w:t>
      </w:r>
      <w:r w:rsidRPr="00367140">
        <w:rPr>
          <w:lang w:val="en-GB"/>
        </w:rPr>
        <w:t>Matlashewski, 1997</w:t>
      </w:r>
      <w:r w:rsidRPr="00367140">
        <w:rPr>
          <w:lang w:val="en-US"/>
        </w:rPr>
        <w:t xml:space="preserve">) or cDNA comparisons using for instance differential display </w:t>
      </w:r>
      <w:r w:rsidRPr="00367140">
        <w:rPr>
          <w:lang w:val="en-GB"/>
        </w:rPr>
        <w:t xml:space="preserve">reaction (DD) (Ben Achour </w:t>
      </w:r>
      <w:r w:rsidRPr="00367140">
        <w:rPr>
          <w:i/>
          <w:iCs/>
          <w:lang w:val="en-GB"/>
        </w:rPr>
        <w:t>et al.</w:t>
      </w:r>
      <w:r w:rsidRPr="00367140">
        <w:rPr>
          <w:lang w:val="en-GB"/>
        </w:rPr>
        <w:t>, 2002).</w:t>
      </w:r>
    </w:p>
    <w:p w:rsidR="00E77C30" w:rsidRPr="00367140" w:rsidRDefault="00E77C30" w:rsidP="006B457B">
      <w:pPr>
        <w:spacing w:line="480" w:lineRule="auto"/>
        <w:ind w:right="-563"/>
        <w:jc w:val="both"/>
        <w:rPr>
          <w:lang w:val="en-GB"/>
        </w:rPr>
      </w:pPr>
      <w:r w:rsidRPr="00367140">
        <w:rPr>
          <w:lang w:val="en-GB"/>
        </w:rPr>
        <w:t xml:space="preserve">The differential display technique (Liang </w:t>
      </w:r>
      <w:r w:rsidRPr="00367140">
        <w:rPr>
          <w:i/>
          <w:iCs/>
          <w:lang w:val="en-GB"/>
        </w:rPr>
        <w:t>et al</w:t>
      </w:r>
      <w:r w:rsidRPr="00367140">
        <w:rPr>
          <w:lang w:val="en-GB"/>
        </w:rPr>
        <w:t>., 1992) was used</w:t>
      </w:r>
      <w:r w:rsidRPr="00367140">
        <w:rPr>
          <w:color w:val="993366"/>
          <w:lang w:val="en-GB"/>
        </w:rPr>
        <w:t xml:space="preserve"> </w:t>
      </w:r>
      <w:r w:rsidRPr="00367140">
        <w:rPr>
          <w:lang w:val="en-GB"/>
        </w:rPr>
        <w:t xml:space="preserve">in studies aiming at identifying for instance developmentally regulated genes in </w:t>
      </w:r>
      <w:r w:rsidRPr="00367140">
        <w:rPr>
          <w:i/>
          <w:iCs/>
          <w:lang w:val="en-GB"/>
        </w:rPr>
        <w:t>Leishmania</w:t>
      </w:r>
      <w:r w:rsidRPr="00367140">
        <w:rPr>
          <w:lang w:val="en-GB"/>
        </w:rPr>
        <w:t xml:space="preserve"> species like</w:t>
      </w:r>
      <w:r w:rsidRPr="00367140">
        <w:rPr>
          <w:i/>
          <w:iCs/>
          <w:lang w:val="en-GB"/>
        </w:rPr>
        <w:t xml:space="preserve"> L. mexicana </w:t>
      </w:r>
      <w:r w:rsidRPr="00367140">
        <w:rPr>
          <w:lang w:val="en-GB"/>
        </w:rPr>
        <w:t xml:space="preserve">and </w:t>
      </w:r>
      <w:r w:rsidRPr="00367140">
        <w:rPr>
          <w:i/>
          <w:iCs/>
          <w:lang w:val="en-GB"/>
        </w:rPr>
        <w:t>L. braziliensis</w:t>
      </w:r>
      <w:r w:rsidRPr="00367140">
        <w:rPr>
          <w:lang w:val="en-GB"/>
        </w:rPr>
        <w:t xml:space="preserve"> (Liu </w:t>
      </w:r>
      <w:r w:rsidRPr="00367140">
        <w:rPr>
          <w:i/>
          <w:iCs/>
          <w:lang w:val="en-GB"/>
        </w:rPr>
        <w:t>et al.</w:t>
      </w:r>
      <w:r w:rsidRPr="00367140">
        <w:rPr>
          <w:lang w:val="en-GB"/>
        </w:rPr>
        <w:t xml:space="preserve">, 2000; Gamboa </w:t>
      </w:r>
      <w:r w:rsidRPr="00367140">
        <w:rPr>
          <w:i/>
          <w:iCs/>
          <w:lang w:val="en-GB"/>
        </w:rPr>
        <w:t>et al.</w:t>
      </w:r>
      <w:r w:rsidRPr="00367140">
        <w:rPr>
          <w:lang w:val="en-GB"/>
        </w:rPr>
        <w:t>, 2007)</w:t>
      </w:r>
      <w:r w:rsidRPr="00367140">
        <w:rPr>
          <w:lang w:val="en-US"/>
        </w:rPr>
        <w:t xml:space="preserve">, and differentially expressed transcripts in promastigotes or amastigotes of </w:t>
      </w:r>
      <w:r w:rsidRPr="00367140">
        <w:rPr>
          <w:i/>
          <w:iCs/>
          <w:lang w:val="en-US"/>
        </w:rPr>
        <w:t>L. major</w:t>
      </w:r>
      <w:r w:rsidRPr="00367140">
        <w:rPr>
          <w:lang w:val="en-US"/>
        </w:rPr>
        <w:t xml:space="preserve"> isolates having contrasted virulence, respectively (</w:t>
      </w:r>
      <w:r w:rsidRPr="00367140">
        <w:rPr>
          <w:lang w:val="en-GB"/>
        </w:rPr>
        <w:t xml:space="preserve">Ben Achour </w:t>
      </w:r>
      <w:r w:rsidRPr="00367140">
        <w:rPr>
          <w:i/>
          <w:iCs/>
          <w:lang w:val="en-GB"/>
        </w:rPr>
        <w:t>et al</w:t>
      </w:r>
      <w:r w:rsidRPr="00367140">
        <w:rPr>
          <w:lang w:val="en-GB"/>
        </w:rPr>
        <w:t>., 2002 ; Ouakad</w:t>
      </w:r>
      <w:r w:rsidRPr="00367140">
        <w:rPr>
          <w:lang w:val="en-US"/>
        </w:rPr>
        <w:t xml:space="preserve"> </w:t>
      </w:r>
      <w:r w:rsidRPr="00367140">
        <w:rPr>
          <w:i/>
          <w:iCs/>
          <w:lang w:val="en-US"/>
        </w:rPr>
        <w:t>et al</w:t>
      </w:r>
      <w:r w:rsidRPr="00367140">
        <w:rPr>
          <w:lang w:val="en-US"/>
        </w:rPr>
        <w:t xml:space="preserve">., 2007). Its application to </w:t>
      </w:r>
      <w:r w:rsidRPr="00367140">
        <w:rPr>
          <w:i/>
          <w:iCs/>
          <w:lang w:val="en-US"/>
        </w:rPr>
        <w:t>L. chagasi</w:t>
      </w:r>
      <w:r w:rsidRPr="00367140">
        <w:rPr>
          <w:lang w:val="en-US"/>
        </w:rPr>
        <w:t xml:space="preserve"> (synonymous species to </w:t>
      </w:r>
      <w:r w:rsidRPr="00367140">
        <w:rPr>
          <w:i/>
          <w:iCs/>
          <w:lang w:val="en-US"/>
        </w:rPr>
        <w:t>L. infantum</w:t>
      </w:r>
      <w:r w:rsidRPr="00367140">
        <w:rPr>
          <w:lang w:val="en-US"/>
        </w:rPr>
        <w:t xml:space="preserve">) parasites from cutaneous and visceral leishmaniasis in </w:t>
      </w:r>
      <w:smartTag w:uri="urn:schemas-microsoft-com:office:smarttags" w:element="stockticker">
        <w:r w:rsidRPr="00367140">
          <w:rPr>
            <w:lang w:val="en-US"/>
          </w:rPr>
          <w:t>Honduras</w:t>
        </w:r>
      </w:smartTag>
      <w:r w:rsidRPr="00367140">
        <w:rPr>
          <w:lang w:val="en-US"/>
        </w:rPr>
        <w:t xml:space="preserve"> did not uncover transcript differences among them but with Mediterranean isolates causing VL in </w:t>
      </w:r>
      <w:smartTag w:uri="urn:schemas-microsoft-com:office:smarttags" w:element="stockticker">
        <w:r w:rsidRPr="00367140">
          <w:rPr>
            <w:lang w:val="en-US"/>
          </w:rPr>
          <w:t>Tunisia</w:t>
        </w:r>
      </w:smartTag>
      <w:r w:rsidRPr="00367140">
        <w:rPr>
          <w:lang w:val="en-US"/>
        </w:rPr>
        <w:t xml:space="preserve"> and CL in </w:t>
      </w:r>
      <w:smartTag w:uri="urn:schemas-microsoft-com:office:smarttags" w:element="stockticker">
        <w:r w:rsidRPr="00367140">
          <w:rPr>
            <w:lang w:val="en-US"/>
          </w:rPr>
          <w:t>France</w:t>
        </w:r>
      </w:smartTag>
      <w:r w:rsidRPr="00367140">
        <w:rPr>
          <w:lang w:val="en-US"/>
        </w:rPr>
        <w:t xml:space="preserve">. This similarity of the profiles in </w:t>
      </w:r>
      <w:smartTag w:uri="urn:schemas-microsoft-com:office:smarttags" w:element="stockticker">
        <w:r w:rsidRPr="00367140">
          <w:rPr>
            <w:lang w:val="en-US"/>
          </w:rPr>
          <w:t>Honduras</w:t>
        </w:r>
      </w:smartTag>
      <w:r w:rsidRPr="00367140">
        <w:rPr>
          <w:lang w:val="en-US"/>
        </w:rPr>
        <w:t xml:space="preserve"> is correlated with their genetic similarity. The observation of differences with parasites from other geographical origin, underscored the importance to approach the identification of </w:t>
      </w:r>
      <w:r w:rsidRPr="00367140">
        <w:rPr>
          <w:i/>
          <w:iCs/>
          <w:lang w:val="en-US"/>
        </w:rPr>
        <w:t>L. infantum</w:t>
      </w:r>
      <w:r w:rsidRPr="00367140">
        <w:rPr>
          <w:lang w:val="en-US"/>
        </w:rPr>
        <w:t xml:space="preserve"> parasite factors within the same transmission region (</w:t>
      </w:r>
      <w:r w:rsidRPr="00367140">
        <w:rPr>
          <w:lang w:val="en-GB"/>
        </w:rPr>
        <w:t xml:space="preserve">Noyes </w:t>
      </w:r>
      <w:r w:rsidRPr="00367140">
        <w:rPr>
          <w:i/>
          <w:iCs/>
          <w:lang w:val="en-GB"/>
        </w:rPr>
        <w:t>et al.</w:t>
      </w:r>
      <w:r w:rsidRPr="00367140">
        <w:rPr>
          <w:lang w:val="en-GB"/>
        </w:rPr>
        <w:t>, 1997</w:t>
      </w:r>
      <w:r w:rsidRPr="00367140">
        <w:rPr>
          <w:lang w:val="en-US"/>
        </w:rPr>
        <w:t xml:space="preserve">). </w:t>
      </w:r>
      <w:r w:rsidRPr="00367140">
        <w:rPr>
          <w:lang w:val="en-GB"/>
        </w:rPr>
        <w:t xml:space="preserve">The purpose of identifying differentially expressed genes an infectious promastigote stages of </w:t>
      </w:r>
      <w:r w:rsidRPr="00367140">
        <w:rPr>
          <w:i/>
          <w:iCs/>
          <w:lang w:val="en-GB"/>
        </w:rPr>
        <w:t>L. infantum</w:t>
      </w:r>
      <w:r w:rsidRPr="00367140">
        <w:rPr>
          <w:lang w:val="en-GB"/>
        </w:rPr>
        <w:t xml:space="preserve"> isolates in Tunisia we used a variant of differential display that adapted a commercial kit to include anchored</w:t>
      </w:r>
      <w:r w:rsidRPr="00367140">
        <w:rPr>
          <w:i/>
          <w:iCs/>
          <w:lang w:val="en-GB"/>
        </w:rPr>
        <w:t xml:space="preserve"> Leishmania</w:t>
      </w:r>
      <w:r w:rsidRPr="00367140">
        <w:rPr>
          <w:lang w:val="en-GB"/>
        </w:rPr>
        <w:t xml:space="preserve"> mini-exon primers (in addition to the randomly defined primers) for isolation and identification of differentially displayed </w:t>
      </w:r>
      <w:r w:rsidRPr="00367140">
        <w:rPr>
          <w:i/>
          <w:iCs/>
          <w:lang w:val="en-GB"/>
        </w:rPr>
        <w:t>Leishmania</w:t>
      </w:r>
      <w:r w:rsidRPr="00367140">
        <w:rPr>
          <w:lang w:val="en-GB"/>
        </w:rPr>
        <w:t xml:space="preserve"> cDNAs (Turki-Mannoubi </w:t>
      </w:r>
      <w:r w:rsidRPr="00367140">
        <w:rPr>
          <w:i/>
          <w:iCs/>
          <w:lang w:val="en-GB"/>
        </w:rPr>
        <w:t>et al.</w:t>
      </w:r>
      <w:r w:rsidRPr="00367140">
        <w:rPr>
          <w:lang w:val="en-GB"/>
        </w:rPr>
        <w:t xml:space="preserve">, 2008). </w:t>
      </w:r>
      <w:r w:rsidRPr="00367140">
        <w:rPr>
          <w:lang w:val="en-US"/>
        </w:rPr>
        <w:t xml:space="preserve">The addition of anchored mini-exon primers to the reaction is justified by the fact that trans-splicing </w:t>
      </w:r>
      <w:r w:rsidRPr="00367140">
        <w:rPr>
          <w:lang w:val="en-GB"/>
        </w:rPr>
        <w:t>where mini-exon is added to 5’-terminus of all known protein-encoding RNAs</w:t>
      </w:r>
      <w:r w:rsidRPr="00367140">
        <w:rPr>
          <w:lang w:val="en-US"/>
        </w:rPr>
        <w:t xml:space="preserve"> is part of pre-mRNA maturation process in </w:t>
      </w:r>
      <w:r w:rsidRPr="00367140">
        <w:rPr>
          <w:i/>
          <w:iCs/>
          <w:lang w:val="en-US"/>
        </w:rPr>
        <w:t xml:space="preserve">Leishmania </w:t>
      </w:r>
      <w:r w:rsidRPr="00367140">
        <w:rPr>
          <w:lang w:val="en-US"/>
        </w:rPr>
        <w:t xml:space="preserve"> (</w:t>
      </w:r>
      <w:r w:rsidRPr="00367140">
        <w:rPr>
          <w:lang w:val="en-GB"/>
        </w:rPr>
        <w:t>Haile</w:t>
      </w:r>
      <w:r w:rsidRPr="00367140">
        <w:rPr>
          <w:lang w:val="en-US"/>
        </w:rPr>
        <w:t xml:space="preserve"> </w:t>
      </w:r>
      <w:r w:rsidRPr="00367140">
        <w:rPr>
          <w:i/>
          <w:iCs/>
          <w:lang w:val="en-US"/>
        </w:rPr>
        <w:t>et al.</w:t>
      </w:r>
      <w:r w:rsidRPr="00367140">
        <w:rPr>
          <w:lang w:val="en-US"/>
        </w:rPr>
        <w:t xml:space="preserve">, 2007). It also presented the advantage of directly screening differentially expressed coding sequences </w:t>
      </w:r>
      <w:r w:rsidRPr="00367140">
        <w:rPr>
          <w:lang w:val="en-GB"/>
        </w:rPr>
        <w:t xml:space="preserve">(Turki-Mannoubi </w:t>
      </w:r>
      <w:r w:rsidRPr="00367140">
        <w:rPr>
          <w:i/>
          <w:iCs/>
          <w:lang w:val="en-GB"/>
        </w:rPr>
        <w:t>et al.</w:t>
      </w:r>
      <w:r w:rsidRPr="00367140">
        <w:rPr>
          <w:lang w:val="en-GB"/>
        </w:rPr>
        <w:t>, 2008)</w:t>
      </w:r>
      <w:r w:rsidRPr="00367140">
        <w:rPr>
          <w:lang w:val="en-US"/>
        </w:rPr>
        <w:t xml:space="preserve">. </w:t>
      </w:r>
      <w:r w:rsidRPr="00367140">
        <w:rPr>
          <w:lang w:val="en-GB"/>
        </w:rPr>
        <w:t>Differential agglutination to PNA constitutes a mean to separate infectious (PNA</w:t>
      </w:r>
      <w:r w:rsidRPr="00367140">
        <w:rPr>
          <w:vertAlign w:val="superscript"/>
          <w:lang w:val="en-GB"/>
        </w:rPr>
        <w:t>-</w:t>
      </w:r>
      <w:r w:rsidRPr="00367140">
        <w:rPr>
          <w:lang w:val="en-GB"/>
        </w:rPr>
        <w:t>) from non infectious (PNA</w:t>
      </w:r>
      <w:r w:rsidRPr="00367140">
        <w:rPr>
          <w:vertAlign w:val="superscript"/>
          <w:lang w:val="en-GB"/>
        </w:rPr>
        <w:t>+</w:t>
      </w:r>
      <w:r w:rsidRPr="00367140">
        <w:rPr>
          <w:lang w:val="en-GB"/>
        </w:rPr>
        <w:t xml:space="preserve">) promastigotes (Louassini </w:t>
      </w:r>
      <w:r w:rsidRPr="00367140">
        <w:rPr>
          <w:i/>
          <w:iCs/>
          <w:lang w:val="en-GB"/>
        </w:rPr>
        <w:t>et al.</w:t>
      </w:r>
      <w:r w:rsidRPr="00367140">
        <w:rPr>
          <w:lang w:val="en-GB"/>
        </w:rPr>
        <w:t xml:space="preserve">, 1998 Alcolea </w:t>
      </w:r>
      <w:r w:rsidRPr="00367140">
        <w:rPr>
          <w:i/>
          <w:iCs/>
          <w:lang w:val="en-GB"/>
        </w:rPr>
        <w:t>et al.</w:t>
      </w:r>
      <w:r w:rsidRPr="00367140">
        <w:rPr>
          <w:lang w:val="en-GB"/>
        </w:rPr>
        <w:t xml:space="preserve">, 2009) exploiting differences due to D-galactose residues exposure/non-exposure in lipophosphoglycan, the major component of the promastigote coat (Soares </w:t>
      </w:r>
      <w:r w:rsidRPr="0004281C">
        <w:rPr>
          <w:i/>
          <w:iCs/>
          <w:lang w:val="en-GB"/>
        </w:rPr>
        <w:t>et al.</w:t>
      </w:r>
      <w:r w:rsidRPr="00367140">
        <w:rPr>
          <w:lang w:val="en-GB"/>
        </w:rPr>
        <w:t>,2002).</w:t>
      </w:r>
    </w:p>
    <w:p w:rsidR="00E77C30" w:rsidRPr="00367140" w:rsidRDefault="00E77C30" w:rsidP="006B457B">
      <w:pPr>
        <w:spacing w:line="480" w:lineRule="auto"/>
        <w:ind w:right="-563"/>
        <w:jc w:val="both"/>
        <w:rPr>
          <w:lang w:val="en-GB"/>
        </w:rPr>
      </w:pPr>
      <w:r w:rsidRPr="00367140">
        <w:rPr>
          <w:lang w:val="en-US"/>
        </w:rPr>
        <w:t>In this study, we report on</w:t>
      </w:r>
      <w:r w:rsidRPr="00367140">
        <w:rPr>
          <w:lang w:val="en-GB"/>
        </w:rPr>
        <w:t xml:space="preserve"> selection and characterization of 5 differentially displayed transcripts in </w:t>
      </w:r>
      <w:r w:rsidRPr="00367140">
        <w:rPr>
          <w:i/>
          <w:iCs/>
          <w:lang w:val="en-GB"/>
        </w:rPr>
        <w:t>in vitro</w:t>
      </w:r>
      <w:r w:rsidRPr="00367140">
        <w:rPr>
          <w:lang w:val="en-GB"/>
        </w:rPr>
        <w:t xml:space="preserve"> PNA</w:t>
      </w:r>
      <w:r w:rsidRPr="00367140">
        <w:rPr>
          <w:vertAlign w:val="superscript"/>
          <w:lang w:val="en-GB"/>
        </w:rPr>
        <w:t>-</w:t>
      </w:r>
      <w:r w:rsidRPr="00367140">
        <w:rPr>
          <w:lang w:val="en-GB"/>
        </w:rPr>
        <w:t xml:space="preserve"> promastigotes in 2 VL and 2 CL</w:t>
      </w:r>
      <w:r w:rsidRPr="00367140">
        <w:rPr>
          <w:i/>
          <w:iCs/>
          <w:lang w:val="en-GB"/>
        </w:rPr>
        <w:t xml:space="preserve"> </w:t>
      </w:r>
      <w:r w:rsidRPr="00367140">
        <w:rPr>
          <w:lang w:val="en-GB"/>
        </w:rPr>
        <w:t xml:space="preserve">Tunisian </w:t>
      </w:r>
      <w:r w:rsidRPr="00367140">
        <w:rPr>
          <w:i/>
          <w:iCs/>
          <w:lang w:val="en-GB"/>
        </w:rPr>
        <w:t>L. infantum</w:t>
      </w:r>
      <w:r w:rsidRPr="00367140">
        <w:rPr>
          <w:lang w:val="en-GB"/>
        </w:rPr>
        <w:t xml:space="preserve"> isolates. Quantification by qRT-</w:t>
      </w:r>
      <w:smartTag w:uri="urn:schemas-microsoft-com:office:smarttags" w:element="stockticker">
        <w:r w:rsidRPr="00367140">
          <w:rPr>
            <w:lang w:val="en-GB"/>
          </w:rPr>
          <w:t>PCR</w:t>
        </w:r>
      </w:smartTag>
      <w:r w:rsidRPr="00367140">
        <w:rPr>
          <w:lang w:val="en-GB"/>
        </w:rPr>
        <w:t xml:space="preserve"> of the transcripts defined expression phenotypes and patterns that allowed correlations with clinical origin or genetic background of the parasites.</w:t>
      </w:r>
    </w:p>
    <w:p w:rsidR="00E77C30" w:rsidRPr="00367140" w:rsidRDefault="00E77C30" w:rsidP="006B457B">
      <w:pPr>
        <w:spacing w:line="480" w:lineRule="auto"/>
        <w:ind w:right="-563"/>
        <w:jc w:val="both"/>
        <w:rPr>
          <w:lang w:val="en-GB"/>
        </w:rPr>
      </w:pPr>
    </w:p>
    <w:p w:rsidR="00E77C30" w:rsidRPr="00367140" w:rsidRDefault="00E77C30" w:rsidP="006B457B">
      <w:pPr>
        <w:spacing w:line="480" w:lineRule="auto"/>
        <w:rPr>
          <w:b/>
          <w:bCs/>
          <w:lang w:val="en-GB"/>
        </w:rPr>
      </w:pPr>
      <w:r w:rsidRPr="00367140">
        <w:rPr>
          <w:b/>
          <w:bCs/>
          <w:lang w:val="en-GB"/>
        </w:rPr>
        <w:t>M</w:t>
      </w:r>
      <w:r>
        <w:rPr>
          <w:b/>
          <w:bCs/>
          <w:lang w:val="en-GB"/>
        </w:rPr>
        <w:t>aterials</w:t>
      </w:r>
      <w:r w:rsidRPr="00367140">
        <w:rPr>
          <w:b/>
          <w:bCs/>
          <w:lang w:val="en-GB"/>
        </w:rPr>
        <w:t xml:space="preserve"> </w:t>
      </w:r>
      <w:r>
        <w:rPr>
          <w:b/>
          <w:bCs/>
          <w:lang w:val="en-GB"/>
        </w:rPr>
        <w:t>and</w:t>
      </w:r>
      <w:r w:rsidRPr="00367140">
        <w:rPr>
          <w:b/>
          <w:bCs/>
          <w:lang w:val="en-GB"/>
        </w:rPr>
        <w:t xml:space="preserve"> </w:t>
      </w:r>
      <w:r>
        <w:rPr>
          <w:b/>
          <w:bCs/>
          <w:lang w:val="en-GB"/>
        </w:rPr>
        <w:t>methods</w:t>
      </w:r>
    </w:p>
    <w:p w:rsidR="00E77C30" w:rsidRPr="00367140" w:rsidRDefault="00E77C30" w:rsidP="006B457B">
      <w:pPr>
        <w:spacing w:line="480" w:lineRule="auto"/>
        <w:rPr>
          <w:b/>
          <w:bCs/>
          <w:smallCaps/>
          <w:lang w:val="en-GB"/>
        </w:rPr>
      </w:pPr>
      <w:r>
        <w:rPr>
          <w:b/>
          <w:bCs/>
          <w:lang w:val="en-GB"/>
        </w:rPr>
        <w:t>Parasites</w:t>
      </w:r>
    </w:p>
    <w:p w:rsidR="00E77C30" w:rsidRPr="00367140" w:rsidRDefault="00E77C30" w:rsidP="006B457B">
      <w:pPr>
        <w:tabs>
          <w:tab w:val="left" w:pos="3366"/>
        </w:tabs>
        <w:spacing w:before="120" w:after="120" w:line="480" w:lineRule="auto"/>
        <w:jc w:val="both"/>
        <w:rPr>
          <w:lang w:val="en-US"/>
        </w:rPr>
      </w:pPr>
      <w:r w:rsidRPr="00367140">
        <w:rPr>
          <w:lang w:val="en-US"/>
        </w:rPr>
        <w:t xml:space="preserve">Four </w:t>
      </w:r>
      <w:r w:rsidRPr="00367140">
        <w:rPr>
          <w:i/>
          <w:iCs/>
          <w:lang w:val="en-US"/>
        </w:rPr>
        <w:t>L. infantum</w:t>
      </w:r>
      <w:r w:rsidRPr="00367140">
        <w:rPr>
          <w:lang w:val="en-US"/>
        </w:rPr>
        <w:t xml:space="preserve"> isolates, obtained from human cutaneous lesions (CL) (MHOM/TN/96/DREP05 and MHOM/TN/96/DREP14) and from bone marrow of visceral leishmaniasis patients (VL) (MHOM/TN/94/LV49 and MHOM/TN/94/LV50) belonging to different zymodemes: MON-01 (DREP05 and LV50) and MON-24 (DREP14 and LV49), and cryopreserved very early after their isolation were thawn in coagulated rabbit serum and maintained at </w:t>
      </w:r>
      <w:smartTag w:uri="urn:schemas-microsoft-com:office:smarttags" w:element="stockticker">
        <w:r w:rsidRPr="00367140">
          <w:rPr>
            <w:lang w:val="en-US"/>
          </w:rPr>
          <w:t>26°C</w:t>
        </w:r>
      </w:smartTag>
      <w:r w:rsidRPr="00367140">
        <w:rPr>
          <w:lang w:val="en-US"/>
        </w:rPr>
        <w:t>. Dividing promastigotes were progressively adapted to Schneider’s</w:t>
      </w:r>
      <w:r w:rsidRPr="00367140">
        <w:rPr>
          <w:i/>
          <w:iCs/>
          <w:lang w:val="en-US"/>
        </w:rPr>
        <w:t xml:space="preserve"> </w:t>
      </w:r>
      <w:r w:rsidRPr="00367140">
        <w:rPr>
          <w:lang w:val="en-US"/>
        </w:rPr>
        <w:t xml:space="preserve">insect medium (Sigma) containing </w:t>
      </w:r>
      <w:smartTag w:uri="urn:schemas-microsoft-com:office:smarttags" w:element="stockticker">
        <w:r w:rsidRPr="00367140">
          <w:rPr>
            <w:lang w:val="en-US"/>
          </w:rPr>
          <w:t>2 mM</w:t>
        </w:r>
      </w:smartTag>
      <w:r w:rsidRPr="00367140">
        <w:rPr>
          <w:lang w:val="en-US"/>
        </w:rPr>
        <w:t xml:space="preserve"> L-glutamine, 100 U/mL penicillin, 100 µg/mL streptomycin and 10% heat–inactivated fetal calf serum (GibcoBRL). For transcript expression analysis, PNA</w:t>
      </w:r>
      <w:r w:rsidRPr="00367140">
        <w:rPr>
          <w:vertAlign w:val="superscript"/>
          <w:lang w:val="en-US"/>
        </w:rPr>
        <w:t>-</w:t>
      </w:r>
      <w:r w:rsidRPr="00367140">
        <w:rPr>
          <w:lang w:val="en-US"/>
        </w:rPr>
        <w:t xml:space="preserve"> promastigotes were negatively selected by PNA as previously described (</w:t>
      </w:r>
      <w:r w:rsidRPr="00367140">
        <w:rPr>
          <w:lang w:val="en-GB"/>
        </w:rPr>
        <w:t xml:space="preserve">Louassini </w:t>
      </w:r>
      <w:r w:rsidRPr="00367140">
        <w:rPr>
          <w:i/>
          <w:iCs/>
          <w:lang w:val="en-GB"/>
        </w:rPr>
        <w:t>et al.</w:t>
      </w:r>
      <w:r w:rsidRPr="00367140">
        <w:rPr>
          <w:lang w:val="en-GB"/>
        </w:rPr>
        <w:t>, 1998)</w:t>
      </w:r>
      <w:r w:rsidRPr="00367140">
        <w:rPr>
          <w:lang w:val="en-US"/>
        </w:rPr>
        <w:t>. Parasite cultures initiated at 3x10</w:t>
      </w:r>
      <w:r w:rsidRPr="00367140">
        <w:rPr>
          <w:vertAlign w:val="superscript"/>
          <w:lang w:val="en-US"/>
        </w:rPr>
        <w:t>6</w:t>
      </w:r>
      <w:r w:rsidRPr="00367140">
        <w:rPr>
          <w:lang w:val="en-US"/>
        </w:rPr>
        <w:t xml:space="preserve"> PNA</w:t>
      </w:r>
      <w:r w:rsidRPr="00367140">
        <w:rPr>
          <w:vertAlign w:val="superscript"/>
          <w:lang w:val="en-US"/>
        </w:rPr>
        <w:t>+</w:t>
      </w:r>
      <w:r w:rsidRPr="00367140">
        <w:rPr>
          <w:lang w:val="en-US"/>
        </w:rPr>
        <w:t xml:space="preserve"> cells/ml were collected at early stationary phase (day 4), time point where PNA</w:t>
      </w:r>
      <w:r w:rsidRPr="00367140">
        <w:rPr>
          <w:vertAlign w:val="superscript"/>
          <w:lang w:val="en-US"/>
        </w:rPr>
        <w:t>-</w:t>
      </w:r>
      <w:r w:rsidRPr="00367140">
        <w:rPr>
          <w:lang w:val="en-US"/>
        </w:rPr>
        <w:t xml:space="preserve"> parasites were shown to peak for all isolates (82.7, 79.1, 53.6 and 47.6% for LV50, LV49, DREP14 and DREP05 parasites, respectively). Promastigotes were resuspended at a density of 2x10</w:t>
      </w:r>
      <w:r w:rsidRPr="00367140">
        <w:rPr>
          <w:vertAlign w:val="superscript"/>
          <w:lang w:val="en-US"/>
        </w:rPr>
        <w:t>8</w:t>
      </w:r>
      <w:r w:rsidRPr="00367140">
        <w:rPr>
          <w:lang w:val="en-US"/>
        </w:rPr>
        <w:t>/mL in SIM-FCS containing 50 µg/mL PNA and incubated for 30 min at room temperature. The PNA</w:t>
      </w:r>
      <w:r w:rsidRPr="00367140">
        <w:rPr>
          <w:vertAlign w:val="superscript"/>
          <w:lang w:val="en-US"/>
        </w:rPr>
        <w:t>-</w:t>
      </w:r>
      <w:r w:rsidRPr="00367140">
        <w:rPr>
          <w:lang w:val="en-US"/>
        </w:rPr>
        <w:t xml:space="preserve"> cells were re-suspended in Trizol</w:t>
      </w:r>
      <w:r w:rsidRPr="00367140">
        <w:rPr>
          <w:vertAlign w:val="superscript"/>
          <w:lang w:val="en-US"/>
        </w:rPr>
        <w:t xml:space="preserve"> </w:t>
      </w:r>
      <w:r w:rsidRPr="00367140">
        <w:rPr>
          <w:lang w:val="en-US"/>
        </w:rPr>
        <w:t xml:space="preserve">reagent (Invitrogen). </w:t>
      </w:r>
    </w:p>
    <w:p w:rsidR="00E77C30" w:rsidRPr="000A173D" w:rsidRDefault="00E77C30" w:rsidP="006B457B">
      <w:pPr>
        <w:spacing w:before="120" w:after="120" w:line="480" w:lineRule="auto"/>
        <w:jc w:val="both"/>
        <w:rPr>
          <w:b/>
          <w:bCs/>
          <w:lang w:val="en-US"/>
        </w:rPr>
      </w:pPr>
      <w:r>
        <w:rPr>
          <w:b/>
          <w:bCs/>
          <w:lang w:val="en-US"/>
        </w:rPr>
        <w:t>RNA extraction and cDNA synthesis</w:t>
      </w:r>
    </w:p>
    <w:p w:rsidR="00E77C30" w:rsidRPr="00367140" w:rsidRDefault="00E77C30" w:rsidP="006B457B">
      <w:pPr>
        <w:autoSpaceDE w:val="0"/>
        <w:autoSpaceDN w:val="0"/>
        <w:adjustRightInd w:val="0"/>
        <w:spacing w:line="480" w:lineRule="auto"/>
        <w:jc w:val="both"/>
        <w:rPr>
          <w:b/>
          <w:bCs/>
          <w:lang w:val="en-US"/>
        </w:rPr>
      </w:pPr>
      <w:r w:rsidRPr="00367140">
        <w:rPr>
          <w:lang w:val="en-US"/>
        </w:rPr>
        <w:t>Total RNA was extracted from 2x10</w:t>
      </w:r>
      <w:r w:rsidRPr="00367140">
        <w:rPr>
          <w:vertAlign w:val="superscript"/>
          <w:lang w:val="en-US"/>
        </w:rPr>
        <w:t>8</w:t>
      </w:r>
      <w:r w:rsidRPr="00367140">
        <w:rPr>
          <w:lang w:val="en-US"/>
        </w:rPr>
        <w:t xml:space="preserve"> PNA</w:t>
      </w:r>
      <w:r w:rsidRPr="00367140">
        <w:rPr>
          <w:vertAlign w:val="superscript"/>
          <w:lang w:val="en-US"/>
        </w:rPr>
        <w:t xml:space="preserve">- </w:t>
      </w:r>
      <w:r w:rsidRPr="00367140">
        <w:rPr>
          <w:lang w:val="en-US"/>
        </w:rPr>
        <w:t>parasites in Trizol reagent according to the manufacturer’s instructions and was treated with 40 U DNase I- RNase free (Boehringer Mannheim) for 1h at 37°C. RNA concentration was determined through spectrophotometric absorbance measurement. The quality of purified total RNA was examined on agarose gel, where 18S, 24S</w:t>
      </w:r>
      <w:r w:rsidRPr="00367140">
        <w:rPr>
          <w:lang w:val="en-US"/>
        </w:rPr>
        <w:sym w:font="Symbol" w:char="F061"/>
      </w:r>
      <w:r w:rsidRPr="00367140">
        <w:rPr>
          <w:lang w:val="en-US"/>
        </w:rPr>
        <w:t xml:space="preserve"> and 24S</w:t>
      </w:r>
      <w:r w:rsidRPr="00367140">
        <w:rPr>
          <w:lang w:val="en-US"/>
        </w:rPr>
        <w:sym w:font="Symbol" w:char="F062"/>
      </w:r>
      <w:r w:rsidRPr="00367140">
        <w:rPr>
          <w:lang w:val="en-US"/>
        </w:rPr>
        <w:t xml:space="preserve"> ribosomal bands indicated good quality. Absence of DNA contamination was confirmed by no PCR amplification of an 800 bp fragment of the α-tubulin gene, constitutively expressed in promastigotes (</w:t>
      </w:r>
      <w:r w:rsidRPr="00367140">
        <w:rPr>
          <w:i/>
          <w:iCs/>
          <w:lang w:val="en-US"/>
        </w:rPr>
        <w:t>LinJ13_V3.0330</w:t>
      </w:r>
      <w:r w:rsidRPr="00367140">
        <w:rPr>
          <w:lang w:val="en-US"/>
        </w:rPr>
        <w:t>) (</w:t>
      </w:r>
      <w:r w:rsidRPr="00367140">
        <w:rPr>
          <w:lang w:val="en-GB"/>
        </w:rPr>
        <w:t>Purdy</w:t>
      </w:r>
      <w:r w:rsidRPr="00367140">
        <w:rPr>
          <w:lang w:val="en-US"/>
        </w:rPr>
        <w:t xml:space="preserve"> </w:t>
      </w:r>
      <w:r w:rsidRPr="00367140">
        <w:rPr>
          <w:i/>
          <w:iCs/>
          <w:lang w:val="en-US"/>
        </w:rPr>
        <w:t>et al.</w:t>
      </w:r>
      <w:r w:rsidRPr="00367140">
        <w:rPr>
          <w:lang w:val="en-US"/>
        </w:rPr>
        <w:t>, 2005 ;</w:t>
      </w:r>
      <w:r w:rsidRPr="00367140">
        <w:rPr>
          <w:lang w:val="en-GB"/>
        </w:rPr>
        <w:t xml:space="preserve"> Srividya </w:t>
      </w:r>
      <w:r w:rsidRPr="00367140">
        <w:rPr>
          <w:i/>
          <w:iCs/>
          <w:lang w:val="en-GB"/>
        </w:rPr>
        <w:t>et al.</w:t>
      </w:r>
      <w:r w:rsidRPr="00367140">
        <w:rPr>
          <w:lang w:val="en-GB"/>
        </w:rPr>
        <w:t>, 2007)</w:t>
      </w:r>
      <w:r w:rsidRPr="00367140">
        <w:rPr>
          <w:lang w:val="en-US"/>
        </w:rPr>
        <w:t>, using the primers α-tub_up (5’-</w:t>
      </w:r>
      <w:r w:rsidRPr="00367140">
        <w:rPr>
          <w:lang w:val="en-GB"/>
        </w:rPr>
        <w:t>ATGCGTGAGGCTATCTGCATC-3’)</w:t>
      </w:r>
      <w:r w:rsidRPr="00367140">
        <w:rPr>
          <w:lang w:val="en-US"/>
        </w:rPr>
        <w:t xml:space="preserve"> </w:t>
      </w:r>
      <w:r w:rsidRPr="00367140">
        <w:rPr>
          <w:lang w:val="en-GB"/>
        </w:rPr>
        <w:t>and</w:t>
      </w:r>
      <w:r w:rsidRPr="00367140">
        <w:rPr>
          <w:lang w:val="en-US"/>
        </w:rPr>
        <w:t xml:space="preserve"> α-tub_low (5’-</w:t>
      </w:r>
      <w:r w:rsidRPr="00367140">
        <w:rPr>
          <w:lang w:val="en-GB"/>
        </w:rPr>
        <w:t>GTCAGCACGAAGTGGATGCGC-3’)</w:t>
      </w:r>
      <w:r w:rsidRPr="00367140">
        <w:rPr>
          <w:lang w:val="en-US"/>
        </w:rPr>
        <w:t>. Synthesis of cDNA was performed as previously described (</w:t>
      </w:r>
      <w:r w:rsidRPr="00367140">
        <w:rPr>
          <w:lang w:val="en-GB"/>
        </w:rPr>
        <w:t>Turki-Mannoubi</w:t>
      </w:r>
      <w:r w:rsidRPr="00367140">
        <w:rPr>
          <w:lang w:val="en-US"/>
        </w:rPr>
        <w:t xml:space="preserve"> </w:t>
      </w:r>
      <w:r w:rsidRPr="00367140">
        <w:rPr>
          <w:i/>
          <w:iCs/>
          <w:lang w:val="en-US"/>
        </w:rPr>
        <w:t>et al.</w:t>
      </w:r>
      <w:r w:rsidRPr="00367140">
        <w:rPr>
          <w:lang w:val="en-US"/>
        </w:rPr>
        <w:t>, 2008). Quality of synthesized cDNA was assessed through the positive amplification of the α-tubulin gene.</w:t>
      </w:r>
    </w:p>
    <w:p w:rsidR="00E77C30" w:rsidRPr="004261FC" w:rsidRDefault="00E77C30" w:rsidP="006B457B">
      <w:pPr>
        <w:spacing w:before="120" w:after="120" w:line="480" w:lineRule="auto"/>
        <w:jc w:val="both"/>
        <w:rPr>
          <w:b/>
          <w:bCs/>
          <w:lang w:val="en-US"/>
        </w:rPr>
      </w:pPr>
      <w:r>
        <w:rPr>
          <w:b/>
          <w:bCs/>
          <w:lang w:val="en-US"/>
        </w:rPr>
        <w:t>DD reactions</w:t>
      </w:r>
    </w:p>
    <w:p w:rsidR="00E77C30" w:rsidRPr="00367140" w:rsidRDefault="00E77C30" w:rsidP="006B457B">
      <w:pPr>
        <w:spacing w:before="120" w:after="120" w:line="480" w:lineRule="auto"/>
        <w:jc w:val="both"/>
        <w:rPr>
          <w:lang w:val="en-US"/>
        </w:rPr>
      </w:pPr>
      <w:r w:rsidRPr="00367140">
        <w:rPr>
          <w:lang w:val="en-US"/>
        </w:rPr>
        <w:t>DD analysis was done applying a variant of the technique using the Delta</w:t>
      </w:r>
      <w:r w:rsidRPr="00367140">
        <w:rPr>
          <w:vertAlign w:val="superscript"/>
          <w:lang w:val="en-US"/>
        </w:rPr>
        <w:t xml:space="preserve">TM </w:t>
      </w:r>
      <w:r w:rsidRPr="00367140">
        <w:rPr>
          <w:lang w:val="en-US"/>
        </w:rPr>
        <w:t>differential Display kit components (Clontech) and anchored mini-exon primers (</w:t>
      </w:r>
      <w:r w:rsidRPr="00367140">
        <w:rPr>
          <w:lang w:val="en-GB"/>
        </w:rPr>
        <w:t>Turki-Mannoubi</w:t>
      </w:r>
      <w:r w:rsidRPr="00367140">
        <w:rPr>
          <w:lang w:val="en-US"/>
        </w:rPr>
        <w:t xml:space="preserve"> </w:t>
      </w:r>
      <w:r w:rsidRPr="00367140">
        <w:rPr>
          <w:i/>
          <w:iCs/>
          <w:lang w:val="en-US"/>
        </w:rPr>
        <w:t>et al.</w:t>
      </w:r>
      <w:r w:rsidRPr="00367140">
        <w:rPr>
          <w:lang w:val="en-US"/>
        </w:rPr>
        <w:t xml:space="preserve">, 2008). The cDNA was PCR amplified using a set of 4 primers: 2 arbitrary primers (P3/5’- ATTAACCCTCACTAAATGCTGGTGG-3’ and P9/5’-ATTAACCCTCACTAAATGTGGCAGG-3’) and two anchored mini-exon primers (ME4/5’-GTATCAGTTTCTGTACTTTATTGGA-3’ and ME5/5’-GTATCAGTTTCTGTACTTTATTGGC-3’) that we designed. </w:t>
      </w:r>
      <w:r w:rsidRPr="00367140">
        <w:rPr>
          <w:lang w:val="en-GB"/>
        </w:rPr>
        <w:t xml:space="preserve">DD profiles was obtained with the 2 combinaisons (P3/ME5) and (P9/ME4) </w:t>
      </w:r>
      <w:r w:rsidRPr="00367140">
        <w:rPr>
          <w:lang w:val="en-US"/>
        </w:rPr>
        <w:t>The PCR reactions were performed in a 20 µL mix containing 1 µL a or b cDNA dilution (a and b, corresponding respectively to 1/10</w:t>
      </w:r>
      <w:r w:rsidRPr="00367140">
        <w:rPr>
          <w:vertAlign w:val="superscript"/>
          <w:lang w:val="en-US"/>
        </w:rPr>
        <w:t xml:space="preserve"> </w:t>
      </w:r>
      <w:r w:rsidRPr="00367140">
        <w:rPr>
          <w:lang w:val="en-US"/>
        </w:rPr>
        <w:t>and 1/40 cDNA dilutions), 20 µM P primer, 20 µM ME primer, 1X PCR buffer, 50 µM dNTPs, 10 µCi [</w:t>
      </w:r>
      <w:r w:rsidRPr="00367140">
        <w:rPr>
          <w:lang w:val="en-US"/>
        </w:rPr>
        <w:sym w:font="Symbol" w:char="F061"/>
      </w:r>
      <w:r w:rsidRPr="00367140">
        <w:rPr>
          <w:lang w:val="en-US"/>
        </w:rPr>
        <w:t>-</w:t>
      </w:r>
      <w:r w:rsidRPr="00367140">
        <w:rPr>
          <w:vertAlign w:val="superscript"/>
          <w:lang w:val="en-US"/>
        </w:rPr>
        <w:t>35</w:t>
      </w:r>
      <w:r w:rsidRPr="00367140">
        <w:rPr>
          <w:lang w:val="en-US"/>
        </w:rPr>
        <w:t>S] dATP (1000 Ci/mmole, Amersham-Pharmacia), 1X Advantage KlenTaq DNA polymerase mix (Clontech). Reactions consisted of 1 cycle at 94°C -5 min, 40°C-5 min, and 68°C-5 min, 2 cycles at 94°C-30 s, 40°C-30 s, and 68°C-5 min, 23 cycles at 94°C-20 s, 47°C (for ME4) or 49°C (for ME5) for 30 s, and 68°C-2 min and 1 cycle at 68°C-7 min. PCR products were resolved on a 6% denaturing polyacrylamide gel. The gels were dried onto Whatman 3 MM paper and exposed to X-ray Biomax MR Film (Amersham-Pharmacia) at –70 °C. Differentially displayed bands were cut from the gels, eluted, re-amplified by PCR, sub-cloned into the pMOSBlue blunt ended vector (Amersham-Pharmacia) and sequenced on an ABI 377 sequencer.</w:t>
      </w:r>
    </w:p>
    <w:p w:rsidR="00E77C30" w:rsidRPr="00D331A3" w:rsidRDefault="00E77C30" w:rsidP="006B457B">
      <w:pPr>
        <w:spacing w:before="120" w:after="120" w:line="480" w:lineRule="auto"/>
        <w:jc w:val="both"/>
        <w:rPr>
          <w:b/>
          <w:bCs/>
          <w:lang w:val="en-US"/>
        </w:rPr>
      </w:pPr>
      <w:r>
        <w:rPr>
          <w:b/>
          <w:bCs/>
          <w:lang w:val="en-US"/>
        </w:rPr>
        <w:t>Sequence analysis</w:t>
      </w:r>
    </w:p>
    <w:p w:rsidR="00E77C30" w:rsidRPr="00367140" w:rsidRDefault="00E77C30" w:rsidP="006B457B">
      <w:pPr>
        <w:autoSpaceDE w:val="0"/>
        <w:autoSpaceDN w:val="0"/>
        <w:adjustRightInd w:val="0"/>
        <w:spacing w:line="480" w:lineRule="auto"/>
        <w:jc w:val="both"/>
        <w:rPr>
          <w:lang w:val="en-US"/>
        </w:rPr>
      </w:pPr>
      <w:r w:rsidRPr="00367140">
        <w:rPr>
          <w:lang w:val="en-US"/>
        </w:rPr>
        <w:t>Sequences of the bands were analysed by homology searches performed on a locally installed version of the BLAST program (</w:t>
      </w:r>
      <w:hyperlink r:id="rId10" w:history="1">
        <w:r w:rsidRPr="00367140">
          <w:rPr>
            <w:rStyle w:val="Hyperlink"/>
            <w:lang w:val="en-US"/>
          </w:rPr>
          <w:t>ftp://ftp.ncbi.nih.gov/blast/). Thus</w:t>
        </w:r>
      </w:hyperlink>
      <w:r w:rsidRPr="00367140">
        <w:rPr>
          <w:lang w:val="en-US"/>
        </w:rPr>
        <w:t xml:space="preserve">, the sequences of interest were blasted against version 3 of </w:t>
      </w:r>
      <w:r w:rsidRPr="00367140">
        <w:rPr>
          <w:i/>
          <w:iCs/>
          <w:lang w:val="en-US"/>
        </w:rPr>
        <w:t>Leishmania infantum</w:t>
      </w:r>
      <w:r w:rsidRPr="00367140">
        <w:rPr>
          <w:lang w:val="en-US"/>
        </w:rPr>
        <w:t xml:space="preserve"> annotated genome obtained from geneDB (</w:t>
      </w:r>
      <w:hyperlink r:id="rId11" w:history="1">
        <w:r w:rsidRPr="00367140">
          <w:rPr>
            <w:rStyle w:val="Hyperlink"/>
            <w:lang w:val="en-US"/>
          </w:rPr>
          <w:t>ftp://ftp.sanger.ac.uk/pub/pathogens/</w:t>
        </w:r>
        <w:r w:rsidRPr="00367140">
          <w:rPr>
            <w:rStyle w:val="Hyperlink"/>
            <w:i/>
            <w:iCs/>
            <w:lang w:val="en-US"/>
          </w:rPr>
          <w:t>Leishmania/infantum</w:t>
        </w:r>
      </w:hyperlink>
      <w:r w:rsidRPr="00367140">
        <w:rPr>
          <w:lang w:val="en-US"/>
        </w:rPr>
        <w:t xml:space="preserve">). BLAST results were then used as entries in the Artemis Comparison Tool (“ACT” – </w:t>
      </w:r>
      <w:hyperlink r:id="rId12" w:history="1">
        <w:r w:rsidRPr="00367140">
          <w:rPr>
            <w:rStyle w:val="Hyperlink"/>
            <w:lang w:val="en-US"/>
          </w:rPr>
          <w:t>http://www.sanger.ac.uk/software/ACT</w:t>
        </w:r>
      </w:hyperlink>
      <w:r w:rsidRPr="00367140">
        <w:rPr>
          <w:lang w:val="en-US"/>
        </w:rPr>
        <w:t xml:space="preserve">) to localize and annotate the sequences according to their corresponding hits on the </w:t>
      </w:r>
      <w:r w:rsidRPr="00367140">
        <w:rPr>
          <w:i/>
          <w:iCs/>
          <w:lang w:val="en-US"/>
        </w:rPr>
        <w:t>L. infantum</w:t>
      </w:r>
      <w:r w:rsidRPr="00367140">
        <w:rPr>
          <w:lang w:val="en-US"/>
        </w:rPr>
        <w:t xml:space="preserve"> genome (</w:t>
      </w:r>
      <w:r w:rsidRPr="00367140">
        <w:rPr>
          <w:lang w:val="en-GB"/>
        </w:rPr>
        <w:t xml:space="preserve">Carver </w:t>
      </w:r>
      <w:r w:rsidRPr="00367140">
        <w:rPr>
          <w:i/>
          <w:iCs/>
          <w:lang w:val="en-GB"/>
        </w:rPr>
        <w:t>et al.</w:t>
      </w:r>
      <w:r w:rsidRPr="00367140">
        <w:rPr>
          <w:lang w:val="en-GB"/>
        </w:rPr>
        <w:t>,2005).</w:t>
      </w:r>
    </w:p>
    <w:p w:rsidR="00E77C30" w:rsidRPr="001B48A4" w:rsidRDefault="00E77C30" w:rsidP="006B457B">
      <w:pPr>
        <w:spacing w:before="120" w:after="120" w:line="480" w:lineRule="auto"/>
        <w:jc w:val="both"/>
        <w:rPr>
          <w:lang w:val="en-GB"/>
        </w:rPr>
      </w:pPr>
      <w:r w:rsidRPr="001B48A4">
        <w:rPr>
          <w:b/>
          <w:bCs/>
          <w:lang w:val="en-US"/>
        </w:rPr>
        <w:t xml:space="preserve">Gene expression analysis by quantitative real-time PCR </w:t>
      </w:r>
    </w:p>
    <w:p w:rsidR="00E77C30" w:rsidRPr="00367140" w:rsidRDefault="00E77C30" w:rsidP="006B457B">
      <w:pPr>
        <w:autoSpaceDE w:val="0"/>
        <w:autoSpaceDN w:val="0"/>
        <w:adjustRightInd w:val="0"/>
        <w:spacing w:line="480" w:lineRule="auto"/>
        <w:jc w:val="both"/>
        <w:rPr>
          <w:color w:val="000000"/>
          <w:lang w:val="en-GB"/>
        </w:rPr>
      </w:pPr>
      <w:r w:rsidRPr="00367140">
        <w:rPr>
          <w:lang w:val="en-GB"/>
        </w:rPr>
        <w:t xml:space="preserve">The differential expression of the bands was confirmed by a relative quantitative real-time PCR (qRT-PCR) using the SYBR Green I chemistry (Heid et al. 1996). </w:t>
      </w:r>
      <w:r w:rsidRPr="00367140">
        <w:rPr>
          <w:lang w:val="en-US"/>
        </w:rPr>
        <w:t>Specific primers were designed for each gene within the coding sequence, including an endogenous control (</w:t>
      </w:r>
      <w:r w:rsidRPr="00367140">
        <w:rPr>
          <w:i/>
          <w:iCs/>
          <w:lang w:val="en-US"/>
        </w:rPr>
        <w:t>GAPDH</w:t>
      </w:r>
      <w:r w:rsidRPr="00367140">
        <w:rPr>
          <w:lang w:val="en-US"/>
        </w:rPr>
        <w:t xml:space="preserve">) that has been chosen among genes described as constitutively expressed in </w:t>
      </w:r>
      <w:r w:rsidRPr="00367140">
        <w:rPr>
          <w:i/>
          <w:iCs/>
          <w:lang w:val="en-US"/>
        </w:rPr>
        <w:t xml:space="preserve">L. infantum </w:t>
      </w:r>
      <w:r w:rsidRPr="00367140">
        <w:rPr>
          <w:lang w:val="en-US"/>
        </w:rPr>
        <w:t>(</w:t>
      </w:r>
      <w:r w:rsidRPr="00367140">
        <w:rPr>
          <w:lang w:val="en-GB"/>
        </w:rPr>
        <w:t xml:space="preserve">Gagnon </w:t>
      </w:r>
      <w:r w:rsidRPr="00367140">
        <w:rPr>
          <w:i/>
          <w:iCs/>
          <w:lang w:val="en-GB"/>
        </w:rPr>
        <w:t>et al.</w:t>
      </w:r>
      <w:r w:rsidRPr="00367140">
        <w:rPr>
          <w:lang w:val="en-GB"/>
        </w:rPr>
        <w:t>, 2006)</w:t>
      </w:r>
      <w:r w:rsidRPr="00367140">
        <w:rPr>
          <w:lang w:val="en-US"/>
        </w:rPr>
        <w:t>, using the primer express software (version 1.5 PE Applied Biosystem) (Table 1). When the genes were present in more than one copy, the primers targeted the 2 copies.</w:t>
      </w:r>
      <w:r w:rsidRPr="00367140">
        <w:rPr>
          <w:color w:val="000000"/>
          <w:lang w:val="en-GB"/>
        </w:rPr>
        <w:t xml:space="preserve"> </w:t>
      </w:r>
      <w:r w:rsidRPr="00367140">
        <w:rPr>
          <w:lang w:val="en-US"/>
        </w:rPr>
        <w:t>All qRT-PCR experiments were performed in 25 µl using SYBR Green Universal PCR Master Mix (PE Applied Biosystems) for amplification and detection with the ABI PRISM 7700 sequence detection system (with version 1.9.1 software, PE Applied Biosystems). Amplification was performed at 40 cycles as follows: 95°C-15 sec, 60°C-1 min, 60°C -1 min. The relative amount of PCR products generated from each primer set was determined based on the threshold cycle (C</w:t>
      </w:r>
      <w:r w:rsidRPr="00367140">
        <w:rPr>
          <w:i/>
          <w:iCs/>
          <w:lang w:val="en-US"/>
        </w:rPr>
        <w:t>t</w:t>
      </w:r>
      <w:r w:rsidRPr="00367140">
        <w:rPr>
          <w:lang w:val="en-US"/>
        </w:rPr>
        <w:t xml:space="preserve">) value and amplification efficiencies, and data were normalized by referring to the expression of the endogenous control. No template controls (NTC) were included in each run to confirm absence of primers-dimers and absence of cross contaminations in the reaction. </w:t>
      </w:r>
    </w:p>
    <w:p w:rsidR="00E77C30" w:rsidRPr="001B48A4" w:rsidRDefault="00E77C30" w:rsidP="006B457B">
      <w:pPr>
        <w:spacing w:before="120" w:after="120" w:line="480" w:lineRule="auto"/>
        <w:jc w:val="both"/>
        <w:rPr>
          <w:b/>
          <w:bCs/>
          <w:lang w:val="en-US"/>
        </w:rPr>
      </w:pPr>
      <w:r w:rsidRPr="001B48A4">
        <w:rPr>
          <w:b/>
          <w:bCs/>
          <w:lang w:val="en-US"/>
        </w:rPr>
        <w:t>Statistical analysis</w:t>
      </w:r>
    </w:p>
    <w:p w:rsidR="00E77C30" w:rsidRPr="00367140" w:rsidRDefault="00E77C30" w:rsidP="006B457B">
      <w:pPr>
        <w:spacing w:before="120" w:after="120" w:line="480" w:lineRule="auto"/>
        <w:jc w:val="both"/>
        <w:rPr>
          <w:lang w:val="en-US"/>
        </w:rPr>
      </w:pPr>
      <w:r w:rsidRPr="00367140">
        <w:rPr>
          <w:lang w:val="en-US"/>
        </w:rPr>
        <w:t xml:space="preserve">Statistical significance of the relative mRNA expression of each gene, calculated according to the 2 </w:t>
      </w:r>
      <w:r w:rsidRPr="00367140">
        <w:rPr>
          <w:vertAlign w:val="superscript"/>
          <w:lang w:val="en-US"/>
        </w:rPr>
        <w:t>-2∆Ct</w:t>
      </w:r>
      <w:r w:rsidRPr="00367140">
        <w:rPr>
          <w:lang w:val="en-US"/>
        </w:rPr>
        <w:t xml:space="preserve"> model (</w:t>
      </w:r>
      <w:r w:rsidRPr="00367140">
        <w:rPr>
          <w:lang w:val="en-GB"/>
        </w:rPr>
        <w:t>Livak</w:t>
      </w:r>
      <w:r w:rsidRPr="00367140">
        <w:rPr>
          <w:lang w:val="en-US"/>
        </w:rPr>
        <w:t xml:space="preserve"> </w:t>
      </w:r>
      <w:r>
        <w:rPr>
          <w:lang w:val="en-US"/>
        </w:rPr>
        <w:t>and</w:t>
      </w:r>
      <w:r w:rsidRPr="00367140">
        <w:rPr>
          <w:lang w:val="en-GB"/>
        </w:rPr>
        <w:t xml:space="preserve"> Schmittgen, 2001)</w:t>
      </w:r>
      <w:r w:rsidRPr="00367140">
        <w:rPr>
          <w:lang w:val="en-US"/>
        </w:rPr>
        <w:t xml:space="preserve">, was achieved by paired t-test where the null hypothesis states that the expression fold is equal to 1. </w:t>
      </w:r>
      <w:r w:rsidRPr="00367140">
        <w:rPr>
          <w:i/>
          <w:iCs/>
          <w:lang w:val="en-US"/>
        </w:rPr>
        <w:t>P-values</w:t>
      </w:r>
      <w:r w:rsidRPr="00367140">
        <w:rPr>
          <w:lang w:val="en-US"/>
        </w:rPr>
        <w:t xml:space="preserve"> less than 0.05 were considered statistically significant. </w:t>
      </w:r>
    </w:p>
    <w:p w:rsidR="00E77C30" w:rsidRPr="00367140" w:rsidRDefault="00E77C30" w:rsidP="006B457B">
      <w:pPr>
        <w:spacing w:before="120" w:after="120" w:line="480" w:lineRule="auto"/>
        <w:jc w:val="both"/>
        <w:rPr>
          <w:b/>
          <w:bCs/>
          <w:lang w:val="en-US"/>
        </w:rPr>
      </w:pPr>
      <w:r w:rsidRPr="00367140">
        <w:rPr>
          <w:b/>
          <w:bCs/>
          <w:lang w:val="en-US"/>
        </w:rPr>
        <w:t>R</w:t>
      </w:r>
      <w:r>
        <w:rPr>
          <w:b/>
          <w:bCs/>
          <w:lang w:val="en-US"/>
        </w:rPr>
        <w:t>esult</w:t>
      </w:r>
    </w:p>
    <w:p w:rsidR="00E77C30" w:rsidRPr="001B48A4" w:rsidRDefault="00E77C30" w:rsidP="006B457B">
      <w:pPr>
        <w:spacing w:line="480" w:lineRule="auto"/>
        <w:jc w:val="both"/>
        <w:rPr>
          <w:b/>
          <w:bCs/>
          <w:lang w:val="en-GB"/>
        </w:rPr>
      </w:pPr>
      <w:r w:rsidRPr="001B48A4">
        <w:rPr>
          <w:b/>
          <w:bCs/>
          <w:lang w:val="en-GB"/>
        </w:rPr>
        <w:t>DD identification of 5 transcripts in PNA</w:t>
      </w:r>
      <w:r w:rsidRPr="001B48A4">
        <w:rPr>
          <w:b/>
          <w:bCs/>
          <w:vertAlign w:val="superscript"/>
          <w:lang w:val="en-GB"/>
        </w:rPr>
        <w:t>-</w:t>
      </w:r>
      <w:r w:rsidRPr="001B48A4">
        <w:rPr>
          <w:b/>
          <w:bCs/>
          <w:lang w:val="en-GB"/>
        </w:rPr>
        <w:t xml:space="preserve"> forms of 2 CL and 2 VL </w:t>
      </w:r>
      <w:r w:rsidRPr="001B48A4">
        <w:rPr>
          <w:b/>
          <w:bCs/>
          <w:i/>
          <w:iCs/>
          <w:lang w:val="en-GB"/>
        </w:rPr>
        <w:t>L. infantum</w:t>
      </w:r>
      <w:r w:rsidRPr="001B48A4">
        <w:rPr>
          <w:b/>
          <w:bCs/>
          <w:lang w:val="en-GB"/>
        </w:rPr>
        <w:t xml:space="preserve"> isolates</w:t>
      </w:r>
    </w:p>
    <w:p w:rsidR="00E77C30" w:rsidRPr="00367140" w:rsidRDefault="00E77C30" w:rsidP="006B457B">
      <w:pPr>
        <w:pStyle w:val="CommentText"/>
        <w:spacing w:line="480" w:lineRule="auto"/>
        <w:jc w:val="both"/>
        <w:rPr>
          <w:sz w:val="24"/>
          <w:szCs w:val="24"/>
          <w:lang w:val="en-GB"/>
        </w:rPr>
      </w:pPr>
      <w:r w:rsidRPr="00367140">
        <w:rPr>
          <w:sz w:val="24"/>
          <w:szCs w:val="24"/>
          <w:lang w:val="en-GB"/>
        </w:rPr>
        <w:t>cDNAs of PNA</w:t>
      </w:r>
      <w:r w:rsidRPr="00367140">
        <w:rPr>
          <w:sz w:val="24"/>
          <w:szCs w:val="24"/>
          <w:vertAlign w:val="superscript"/>
          <w:lang w:val="en-GB"/>
        </w:rPr>
        <w:t>-</w:t>
      </w:r>
      <w:r w:rsidRPr="00367140">
        <w:rPr>
          <w:sz w:val="24"/>
          <w:szCs w:val="24"/>
          <w:lang w:val="en-GB"/>
        </w:rPr>
        <w:t xml:space="preserve"> promastigotes of the 4 isolates were studied in DD experiments. DD profiles obtained with the 2 primes pairs (P3/ME5) and (P9/ME4) showed that ninety percent of the bands observed were shared between the 4 isolates; the remaining bands had different intensities among isolates or were absent or present. Five bands differentially displayed were selected having different intensities among the different lanes (11-4; 11-9; 12-7) or being only present in the lanes of the 2 CL parasites (12-5; 12-11) (Fig. 1). The display of each band selected is illustrated on figure 1.</w:t>
      </w:r>
    </w:p>
    <w:p w:rsidR="00E77C30" w:rsidRPr="00367140" w:rsidRDefault="00E77C30" w:rsidP="006B457B">
      <w:pPr>
        <w:autoSpaceDE w:val="0"/>
        <w:autoSpaceDN w:val="0"/>
        <w:adjustRightInd w:val="0"/>
        <w:spacing w:line="480" w:lineRule="auto"/>
        <w:jc w:val="both"/>
        <w:rPr>
          <w:lang w:val="en-GB"/>
        </w:rPr>
      </w:pPr>
      <w:r w:rsidRPr="00367140">
        <w:rPr>
          <w:lang w:val="en-GB"/>
        </w:rPr>
        <w:t xml:space="preserve">Sequences of the rescued bands were analysed using bioinformatics programs which included homology search and annotation exploiting </w:t>
      </w:r>
      <w:r w:rsidRPr="00367140">
        <w:rPr>
          <w:i/>
          <w:iCs/>
          <w:lang w:val="en-GB"/>
        </w:rPr>
        <w:t>L. infantum</w:t>
      </w:r>
      <w:r w:rsidRPr="00367140">
        <w:rPr>
          <w:lang w:val="en-GB"/>
        </w:rPr>
        <w:t xml:space="preserve"> genome resources. In 3 cases, the sequenced end corresponded to the mini-exon- bearing 5’ end of the cDNA. Significant hits were obtained for all fragments with similarity percent with </w:t>
      </w:r>
      <w:r w:rsidRPr="00367140">
        <w:rPr>
          <w:i/>
          <w:iCs/>
          <w:lang w:val="en-GB"/>
        </w:rPr>
        <w:t>L. infantum</w:t>
      </w:r>
      <w:r w:rsidRPr="00367140">
        <w:rPr>
          <w:lang w:val="en-GB"/>
        </w:rPr>
        <w:t xml:space="preserve"> genome ranging between 96 and 100% (data not shown). The 5 bands matched a total of 7 different chromosomes (10, 15, 21, 28, 33, 35 and 36), with hits of each of the bands 11-4, 12-5 and 12-7 located on two different chromosomes overlapping genes encoding for the same protein, respectively; based on the score and </w:t>
      </w:r>
      <w:r w:rsidRPr="00367140">
        <w:rPr>
          <w:i/>
          <w:iCs/>
          <w:lang w:val="en-GB"/>
        </w:rPr>
        <w:t>e-value</w:t>
      </w:r>
      <w:r w:rsidRPr="00367140">
        <w:rPr>
          <w:lang w:val="en-GB"/>
        </w:rPr>
        <w:t>, 11-4 mapped on chromosome 35, 12-5 on chromosome 28, and 12-7 on chromosome 15 (Table 2). The five cDNAs overlapped five genes encoding for known proteins implicated in biological processes like protein import into nucleus (band 11-9), translation (bands 12-5, 12-7, 11-4), or regulation of cell growth and cell proliferation (band 11-4). The cDNA band 11-9 encodes for a putative nuclear transport factor 2- like (NTF2-like) (</w:t>
      </w:r>
      <w:r w:rsidRPr="00367140">
        <w:rPr>
          <w:i/>
          <w:iCs/>
          <w:lang w:val="en-GB"/>
        </w:rPr>
        <w:t>LinJ10_V3.0900</w:t>
      </w:r>
      <w:r w:rsidRPr="00367140">
        <w:rPr>
          <w:lang w:val="en-GB"/>
        </w:rPr>
        <w:t xml:space="preserve">), </w:t>
      </w:r>
      <w:r w:rsidRPr="00367140">
        <w:rPr>
          <w:lang w:val="en-US"/>
        </w:rPr>
        <w:t>the remaining bands 11-4, 12-5, 12-7 and 12-11 correspond to genes coding for 4 putative ribosomal proteins (RP): 40S RPS6 (</w:t>
      </w:r>
      <w:r w:rsidRPr="00367140">
        <w:rPr>
          <w:i/>
          <w:iCs/>
          <w:lang w:val="en-US"/>
        </w:rPr>
        <w:t>LinJ35_V3.2000</w:t>
      </w:r>
      <w:r w:rsidRPr="00367140">
        <w:rPr>
          <w:lang w:val="en-US"/>
        </w:rPr>
        <w:t>), RPS26 (</w:t>
      </w:r>
      <w:r w:rsidRPr="00367140">
        <w:rPr>
          <w:i/>
          <w:iCs/>
          <w:lang w:val="en-US"/>
        </w:rPr>
        <w:t>LinJ28_V3.0570</w:t>
      </w:r>
      <w:r w:rsidRPr="00367140">
        <w:rPr>
          <w:lang w:val="en-US"/>
        </w:rPr>
        <w:t>), 60S RPL6 (</w:t>
      </w:r>
      <w:r w:rsidRPr="00367140">
        <w:rPr>
          <w:i/>
          <w:iCs/>
          <w:lang w:val="en-US"/>
        </w:rPr>
        <w:t>LinJ15_V3.1060</w:t>
      </w:r>
      <w:r w:rsidRPr="00367140">
        <w:rPr>
          <w:lang w:val="en-US"/>
        </w:rPr>
        <w:t>) and ribosomal P protein AGP2 beta-1 (</w:t>
      </w:r>
      <w:r w:rsidRPr="00367140">
        <w:rPr>
          <w:i/>
          <w:iCs/>
          <w:lang w:val="en-US"/>
        </w:rPr>
        <w:t>LinJ30_V3.3800</w:t>
      </w:r>
      <w:r w:rsidRPr="00367140">
        <w:rPr>
          <w:lang w:val="en-US"/>
        </w:rPr>
        <w:t xml:space="preserve">), respectively (Table 2). </w:t>
      </w:r>
    </w:p>
    <w:p w:rsidR="00E77C30" w:rsidRPr="001B48A4" w:rsidRDefault="00E77C30" w:rsidP="006B457B">
      <w:pPr>
        <w:spacing w:line="480" w:lineRule="auto"/>
        <w:jc w:val="both"/>
        <w:rPr>
          <w:b/>
          <w:bCs/>
          <w:lang w:val="en-US"/>
        </w:rPr>
      </w:pPr>
      <w:r w:rsidRPr="001B48A4">
        <w:rPr>
          <w:b/>
          <w:bCs/>
          <w:lang w:val="en-US"/>
        </w:rPr>
        <w:t>Gene expression analysis of selected genes using quantitative real-time PCR</w:t>
      </w:r>
    </w:p>
    <w:p w:rsidR="00E77C30" w:rsidRPr="00367140" w:rsidRDefault="00E77C30" w:rsidP="006B457B">
      <w:pPr>
        <w:spacing w:line="480" w:lineRule="auto"/>
        <w:jc w:val="both"/>
        <w:rPr>
          <w:b/>
          <w:bCs/>
          <w:lang w:val="en-US"/>
        </w:rPr>
      </w:pPr>
      <w:r w:rsidRPr="00367140">
        <w:rPr>
          <w:lang w:val="en-US"/>
        </w:rPr>
        <w:t>To assess expression levels of the 5 genes identified through DD experiments, we used qRT-PCR.</w:t>
      </w:r>
      <w:r w:rsidRPr="00367140">
        <w:rPr>
          <w:b/>
          <w:bCs/>
          <w:lang w:val="en-US"/>
        </w:rPr>
        <w:t xml:space="preserve"> </w:t>
      </w:r>
      <w:r w:rsidRPr="00367140">
        <w:rPr>
          <w:lang w:val="en-US"/>
        </w:rPr>
        <w:t xml:space="preserve">Analysis of qRT-PCR results revealed that values of efficiencies were significant in case of four genes and excluded </w:t>
      </w:r>
      <w:r w:rsidRPr="00367140">
        <w:rPr>
          <w:i/>
          <w:iCs/>
          <w:lang w:val="en-US"/>
        </w:rPr>
        <w:t xml:space="preserve">ribosomal P protein AGP2 beta-1 </w:t>
      </w:r>
      <w:r w:rsidRPr="00367140">
        <w:rPr>
          <w:lang w:val="en-US"/>
        </w:rPr>
        <w:t>(</w:t>
      </w:r>
      <w:r w:rsidRPr="00367140">
        <w:rPr>
          <w:i/>
          <w:iCs/>
          <w:lang w:val="en-US"/>
        </w:rPr>
        <w:t>LinJ30_V3.3800</w:t>
      </w:r>
      <w:r w:rsidRPr="00367140">
        <w:rPr>
          <w:lang w:val="en-US"/>
        </w:rPr>
        <w:t>) gene from the analysis. For each of the 4 other genes, results were expressed as a relative fold expression in the 6 possible pair-wise parasite comparisons by calculating 2</w:t>
      </w:r>
      <w:r w:rsidRPr="00367140">
        <w:rPr>
          <w:vertAlign w:val="superscript"/>
          <w:lang w:val="en-US"/>
        </w:rPr>
        <w:t>-2∆Ct</w:t>
      </w:r>
      <w:r w:rsidRPr="00367140">
        <w:rPr>
          <w:lang w:val="en-US"/>
        </w:rPr>
        <w:t>. Differences were statistically validated which allowed assigning 3 expression phenotypes to the expression levels corresponding to steady (-), higher (up) or lower (down) transcript amounts.</w:t>
      </w:r>
    </w:p>
    <w:p w:rsidR="00E77C30" w:rsidRPr="00367140" w:rsidRDefault="00E77C30" w:rsidP="006B457B">
      <w:pPr>
        <w:spacing w:line="480" w:lineRule="auto"/>
        <w:jc w:val="both"/>
        <w:rPr>
          <w:lang w:val="en-US"/>
        </w:rPr>
      </w:pPr>
      <w:r w:rsidRPr="00367140">
        <w:rPr>
          <w:lang w:val="en-US"/>
        </w:rPr>
        <w:t xml:space="preserve">Significant differences in transcript levels were observed in all comparisons (Fig. 2A), partly validating the observations made on the differential display gels. Significant fold variations were modest and ranged from 0.4 to 3.59. Transcripts of </w:t>
      </w:r>
      <w:r w:rsidRPr="00367140">
        <w:rPr>
          <w:i/>
          <w:iCs/>
          <w:lang w:val="en-US"/>
        </w:rPr>
        <w:t>40S RPS6</w:t>
      </w:r>
      <w:r w:rsidRPr="00367140">
        <w:rPr>
          <w:lang w:val="en-US"/>
        </w:rPr>
        <w:t xml:space="preserve"> gene were more abundant in PNA</w:t>
      </w:r>
      <w:r w:rsidRPr="00367140">
        <w:rPr>
          <w:vertAlign w:val="superscript"/>
          <w:lang w:val="en-US"/>
        </w:rPr>
        <w:t>-</w:t>
      </w:r>
      <w:r w:rsidRPr="00367140">
        <w:rPr>
          <w:lang w:val="en-US"/>
        </w:rPr>
        <w:t xml:space="preserve"> forms of VL isolate LV49 than in any of the parasites tested independently of their clinical origins or zymodeme assignment. Three genes had transcript levels that were significantly different in the CL isolates as compared to each one of the 2 VL isolates: </w:t>
      </w:r>
      <w:r w:rsidRPr="00367140">
        <w:rPr>
          <w:i/>
          <w:iCs/>
          <w:lang w:val="en-US"/>
        </w:rPr>
        <w:t xml:space="preserve">RPL6 </w:t>
      </w:r>
      <w:r w:rsidRPr="00367140">
        <w:rPr>
          <w:lang w:val="en-US"/>
        </w:rPr>
        <w:t xml:space="preserve">transcripts were less abundant than in LV49 while those of </w:t>
      </w:r>
      <w:r w:rsidRPr="00367140">
        <w:rPr>
          <w:i/>
          <w:iCs/>
          <w:lang w:val="en-US"/>
        </w:rPr>
        <w:t>60S RPS26</w:t>
      </w:r>
      <w:r w:rsidRPr="00367140">
        <w:rPr>
          <w:lang w:val="en-US"/>
        </w:rPr>
        <w:t xml:space="preserve"> were more abundant than in LV50. Levels of </w:t>
      </w:r>
      <w:r w:rsidRPr="00367140">
        <w:rPr>
          <w:i/>
          <w:iCs/>
          <w:lang w:val="en-US"/>
        </w:rPr>
        <w:t>NTF2-like</w:t>
      </w:r>
      <w:r w:rsidRPr="00367140">
        <w:rPr>
          <w:lang w:val="en-US"/>
        </w:rPr>
        <w:t xml:space="preserve"> transcripts were also shown more important in each of the CL parasites than in LV49. Two transcripts (</w:t>
      </w:r>
      <w:r w:rsidRPr="00367140">
        <w:rPr>
          <w:i/>
          <w:iCs/>
          <w:lang w:val="en-GB"/>
        </w:rPr>
        <w:t>NTF2-like</w:t>
      </w:r>
      <w:r w:rsidRPr="00367140">
        <w:rPr>
          <w:lang w:val="en-GB"/>
        </w:rPr>
        <w:t xml:space="preserve"> (</w:t>
      </w:r>
      <w:r w:rsidRPr="00367140">
        <w:rPr>
          <w:i/>
          <w:iCs/>
          <w:lang w:val="en-GB"/>
        </w:rPr>
        <w:t>LinJ10_V3.0900</w:t>
      </w:r>
      <w:r w:rsidRPr="00367140">
        <w:rPr>
          <w:lang w:val="en-US"/>
        </w:rPr>
        <w:t>),</w:t>
      </w:r>
      <w:r w:rsidRPr="00367140">
        <w:rPr>
          <w:i/>
          <w:iCs/>
          <w:lang w:val="en-US"/>
        </w:rPr>
        <w:t xml:space="preserve"> RPS26</w:t>
      </w:r>
      <w:r w:rsidRPr="00367140">
        <w:rPr>
          <w:lang w:val="en-US"/>
        </w:rPr>
        <w:t xml:space="preserve"> (</w:t>
      </w:r>
      <w:r w:rsidRPr="00367140">
        <w:rPr>
          <w:i/>
          <w:iCs/>
          <w:lang w:val="en-US"/>
        </w:rPr>
        <w:t>LinJ28_V3.0570</w:t>
      </w:r>
      <w:r w:rsidRPr="00367140">
        <w:rPr>
          <w:lang w:val="en-US"/>
        </w:rPr>
        <w:t>/</w:t>
      </w:r>
      <w:r w:rsidRPr="00367140">
        <w:rPr>
          <w:i/>
          <w:iCs/>
          <w:lang w:val="en-US"/>
        </w:rPr>
        <w:t>LinJ30_V3.3240</w:t>
      </w:r>
      <w:r w:rsidRPr="00367140">
        <w:rPr>
          <w:lang w:val="en-US"/>
        </w:rPr>
        <w:t xml:space="preserve">)) were shown more elevated in one of the CL isolates (DREP14) as compared to the other (DREP05); in case of VL parasites, </w:t>
      </w:r>
      <w:r w:rsidRPr="00367140">
        <w:rPr>
          <w:i/>
          <w:iCs/>
          <w:lang w:val="en-US"/>
        </w:rPr>
        <w:t>40S RPS6</w:t>
      </w:r>
      <w:r w:rsidRPr="00367140">
        <w:rPr>
          <w:lang w:val="en-US"/>
        </w:rPr>
        <w:t xml:space="preserve"> transcripts were more abundant in isolate LV49 than in LV50.</w:t>
      </w:r>
    </w:p>
    <w:p w:rsidR="00E77C30" w:rsidRPr="001B48A4" w:rsidRDefault="00E77C30" w:rsidP="006B457B">
      <w:pPr>
        <w:spacing w:line="480" w:lineRule="auto"/>
        <w:jc w:val="both"/>
        <w:rPr>
          <w:b/>
          <w:bCs/>
          <w:lang w:val="en-US"/>
        </w:rPr>
      </w:pPr>
      <w:r w:rsidRPr="001B48A4">
        <w:rPr>
          <w:b/>
          <w:bCs/>
          <w:lang w:val="en-US"/>
        </w:rPr>
        <w:t xml:space="preserve">Identification of consistent patterns and trends according to clinical origin of the parasites </w:t>
      </w:r>
    </w:p>
    <w:p w:rsidR="00E77C30" w:rsidRPr="00367140" w:rsidRDefault="00E77C30" w:rsidP="006B457B">
      <w:pPr>
        <w:spacing w:line="480" w:lineRule="auto"/>
        <w:jc w:val="both"/>
        <w:rPr>
          <w:i/>
          <w:iCs/>
          <w:lang w:val="en-US"/>
        </w:rPr>
      </w:pPr>
      <w:r w:rsidRPr="00367140">
        <w:rPr>
          <w:lang w:val="en-US"/>
        </w:rPr>
        <w:t xml:space="preserve">The expression phenotypes of the 4 genes in all pair-wise comparisons were used to define expression patterns. Four patterns (A, B, C and D) were identified with 2 observed twice (A and B) (Fig.2A). The first one (pattern A) was obtained comparing anyone of the 2 CL isolates to LV49; it was characterized by over-expression of </w:t>
      </w:r>
      <w:r w:rsidRPr="00367140">
        <w:rPr>
          <w:i/>
          <w:iCs/>
          <w:lang w:val="en-US"/>
        </w:rPr>
        <w:t>NTF2-like</w:t>
      </w:r>
      <w:r w:rsidRPr="00367140">
        <w:rPr>
          <w:lang w:val="en-US"/>
        </w:rPr>
        <w:t xml:space="preserve"> and down regulation of</w:t>
      </w:r>
      <w:r w:rsidRPr="00367140">
        <w:rPr>
          <w:i/>
          <w:iCs/>
          <w:lang w:val="en-US"/>
        </w:rPr>
        <w:t xml:space="preserve"> 40S RPS6</w:t>
      </w:r>
      <w:r w:rsidRPr="00367140">
        <w:rPr>
          <w:lang w:val="en-US"/>
        </w:rPr>
        <w:t xml:space="preserve"> and</w:t>
      </w:r>
      <w:r w:rsidRPr="00367140">
        <w:rPr>
          <w:i/>
          <w:iCs/>
          <w:lang w:val="en-US"/>
        </w:rPr>
        <w:t xml:space="preserve"> 60S RPL6</w:t>
      </w:r>
      <w:r w:rsidRPr="00367140">
        <w:rPr>
          <w:lang w:val="en-US"/>
        </w:rPr>
        <w:t xml:space="preserve"> in CL parasites. The second (pattern B) was observed while comparing these parasites to LV50 and highlighted their overexpression of </w:t>
      </w:r>
      <w:r w:rsidRPr="00367140">
        <w:rPr>
          <w:i/>
          <w:iCs/>
          <w:lang w:val="en-US"/>
        </w:rPr>
        <w:t xml:space="preserve">RPS26. </w:t>
      </w:r>
      <w:r w:rsidRPr="00367140">
        <w:rPr>
          <w:lang w:val="en-US"/>
        </w:rPr>
        <w:t xml:space="preserve">Two other expression patterns were obtained comparing CL (pattern C) or VL (pattern D) isolates suggesting variable gene expression even among parasites from similar clinical presentations. </w:t>
      </w:r>
    </w:p>
    <w:p w:rsidR="00E77C30" w:rsidRPr="00367140" w:rsidRDefault="00E77C30" w:rsidP="006B457B">
      <w:pPr>
        <w:spacing w:line="480" w:lineRule="auto"/>
        <w:jc w:val="both"/>
        <w:rPr>
          <w:lang w:val="en-US"/>
        </w:rPr>
      </w:pPr>
      <w:r w:rsidRPr="00367140">
        <w:rPr>
          <w:lang w:val="en-US"/>
        </w:rPr>
        <w:t xml:space="preserve">Expression patterns of CL/VL comparisons were different within each of the zymodemes considered: MON-01 (DREP05/LV50) or MON-24 (DREP14/LV49), or across zymodemes (MON-01/MON-24 or MON-24/MON-01). In order to seek for consistent trends between isolate categories, comparisons were made lumping isolates according to clinical origin (all CL against all VL) or to zymodeme assignment (all MON-01 against all MON-24) (Fig. 2B). It was interesting to see a significant transcript overexpression of </w:t>
      </w:r>
      <w:r w:rsidRPr="00367140">
        <w:rPr>
          <w:i/>
          <w:iCs/>
          <w:lang w:val="en-US"/>
        </w:rPr>
        <w:t>60S RPS26</w:t>
      </w:r>
      <w:r w:rsidRPr="00367140">
        <w:rPr>
          <w:lang w:val="en-US"/>
        </w:rPr>
        <w:t xml:space="preserve"> in MON-24 parasites while </w:t>
      </w:r>
      <w:r w:rsidRPr="00367140">
        <w:rPr>
          <w:i/>
          <w:iCs/>
          <w:lang w:val="en-US"/>
        </w:rPr>
        <w:t>NTF2-like</w:t>
      </w:r>
      <w:r w:rsidRPr="00367140">
        <w:rPr>
          <w:lang w:val="en-US"/>
        </w:rPr>
        <w:t xml:space="preserve"> transcript levels seemed to be more abundant in CL isolates with a</w:t>
      </w:r>
      <w:r w:rsidRPr="00367140">
        <w:rPr>
          <w:i/>
          <w:iCs/>
          <w:lang w:val="en-US"/>
        </w:rPr>
        <w:t xml:space="preserve"> p-value</w:t>
      </w:r>
      <w:r w:rsidRPr="00367140">
        <w:rPr>
          <w:lang w:val="en-US"/>
        </w:rPr>
        <w:t xml:space="preserve"> at the limit of significance (Fig. 2B).</w:t>
      </w:r>
    </w:p>
    <w:p w:rsidR="00E77C30" w:rsidRPr="00367140" w:rsidRDefault="00E77C30" w:rsidP="006B457B">
      <w:pPr>
        <w:spacing w:line="480" w:lineRule="auto"/>
        <w:rPr>
          <w:b/>
          <w:bCs/>
          <w:lang w:val="en-US"/>
        </w:rPr>
      </w:pPr>
      <w:r w:rsidRPr="00367140">
        <w:rPr>
          <w:b/>
          <w:bCs/>
          <w:lang w:val="en-US"/>
        </w:rPr>
        <w:t>D</w:t>
      </w:r>
      <w:r>
        <w:rPr>
          <w:b/>
          <w:bCs/>
          <w:lang w:val="en-US"/>
        </w:rPr>
        <w:t>iscussion</w:t>
      </w:r>
    </w:p>
    <w:p w:rsidR="00E77C30" w:rsidRPr="00367140" w:rsidRDefault="00E77C30" w:rsidP="006B457B">
      <w:pPr>
        <w:spacing w:line="480" w:lineRule="auto"/>
        <w:jc w:val="both"/>
        <w:rPr>
          <w:lang w:val="en-GB"/>
        </w:rPr>
      </w:pPr>
      <w:r w:rsidRPr="00367140">
        <w:rPr>
          <w:lang w:val="en-US"/>
        </w:rPr>
        <w:t xml:space="preserve">In </w:t>
      </w:r>
      <w:r w:rsidRPr="00367140">
        <w:rPr>
          <w:i/>
          <w:iCs/>
          <w:lang w:val="en-US"/>
        </w:rPr>
        <w:t>Leishmania</w:t>
      </w:r>
      <w:r w:rsidRPr="00367140">
        <w:rPr>
          <w:lang w:val="en-US"/>
        </w:rPr>
        <w:t>, differentiation of the promastigotes is a preparatory and adaptive process to invasion and survival in the host cell (</w:t>
      </w:r>
      <w:r w:rsidRPr="00367140">
        <w:rPr>
          <w:lang w:val="en-GB"/>
        </w:rPr>
        <w:t>Bates</w:t>
      </w:r>
      <w:r w:rsidRPr="00367140">
        <w:rPr>
          <w:lang w:val="en-US"/>
        </w:rPr>
        <w:t>, 2008). In</w:t>
      </w:r>
      <w:r w:rsidRPr="00367140">
        <w:rPr>
          <w:i/>
          <w:iCs/>
          <w:lang w:val="en-US"/>
        </w:rPr>
        <w:t xml:space="preserve"> L. infantum</w:t>
      </w:r>
      <w:r w:rsidRPr="00367140">
        <w:rPr>
          <w:lang w:val="en-US"/>
        </w:rPr>
        <w:t>, PNA</w:t>
      </w:r>
      <w:r w:rsidRPr="00367140">
        <w:rPr>
          <w:vertAlign w:val="superscript"/>
          <w:lang w:val="en-US"/>
        </w:rPr>
        <w:t>-</w:t>
      </w:r>
      <w:r w:rsidRPr="00367140">
        <w:rPr>
          <w:lang w:val="en-US"/>
        </w:rPr>
        <w:t xml:space="preserve"> forms are more infective than PNA</w:t>
      </w:r>
      <w:r w:rsidRPr="00367140">
        <w:rPr>
          <w:vertAlign w:val="superscript"/>
          <w:lang w:val="en-US"/>
        </w:rPr>
        <w:t>+</w:t>
      </w:r>
      <w:r w:rsidRPr="00367140">
        <w:rPr>
          <w:lang w:val="en-US"/>
        </w:rPr>
        <w:t xml:space="preserve"> forms </w:t>
      </w:r>
      <w:r w:rsidRPr="00367140">
        <w:rPr>
          <w:lang w:val="en-GB"/>
        </w:rPr>
        <w:t xml:space="preserve">(Louassini </w:t>
      </w:r>
      <w:r w:rsidRPr="00367140">
        <w:rPr>
          <w:i/>
          <w:iCs/>
          <w:lang w:val="en-GB"/>
        </w:rPr>
        <w:t>et al.</w:t>
      </w:r>
      <w:r w:rsidRPr="00367140">
        <w:rPr>
          <w:lang w:val="en-GB"/>
        </w:rPr>
        <w:t xml:space="preserve">, 1998 ; Alcolea </w:t>
      </w:r>
      <w:r w:rsidRPr="00367140">
        <w:rPr>
          <w:i/>
          <w:iCs/>
          <w:lang w:val="en-GB"/>
        </w:rPr>
        <w:t>et al.</w:t>
      </w:r>
      <w:r w:rsidRPr="00367140">
        <w:rPr>
          <w:lang w:val="en-GB"/>
        </w:rPr>
        <w:t>, 2009)</w:t>
      </w:r>
      <w:r w:rsidRPr="00367140">
        <w:rPr>
          <w:lang w:val="en-US"/>
        </w:rPr>
        <w:t xml:space="preserve"> and over-express important genes for infectivity (</w:t>
      </w:r>
      <w:r w:rsidRPr="00367140">
        <w:rPr>
          <w:lang w:val="en-GB"/>
        </w:rPr>
        <w:t xml:space="preserve">Alcolea </w:t>
      </w:r>
      <w:r w:rsidRPr="00367140">
        <w:rPr>
          <w:i/>
          <w:iCs/>
          <w:lang w:val="en-GB"/>
        </w:rPr>
        <w:t>et al</w:t>
      </w:r>
      <w:r w:rsidRPr="00367140">
        <w:rPr>
          <w:lang w:val="en-GB"/>
        </w:rPr>
        <w:t>., 2009)</w:t>
      </w:r>
      <w:r w:rsidRPr="00367140">
        <w:rPr>
          <w:i/>
          <w:iCs/>
          <w:lang w:val="en-US"/>
        </w:rPr>
        <w:t xml:space="preserve">. </w:t>
      </w:r>
      <w:r w:rsidRPr="00367140">
        <w:rPr>
          <w:lang w:val="en-US"/>
        </w:rPr>
        <w:t>Indeed, differences observed in PNA</w:t>
      </w:r>
      <w:r w:rsidRPr="00367140">
        <w:rPr>
          <w:vertAlign w:val="superscript"/>
          <w:lang w:val="en-US"/>
        </w:rPr>
        <w:t>-</w:t>
      </w:r>
      <w:r w:rsidRPr="00367140">
        <w:rPr>
          <w:lang w:val="en-US"/>
        </w:rPr>
        <w:t xml:space="preserve"> promastigotes may relate to mechanisms associated to infection process or its following early stages. It is interesting that recurrent patterns were observed for 2 CL </w:t>
      </w:r>
      <w:r w:rsidRPr="00367140">
        <w:rPr>
          <w:i/>
          <w:iCs/>
          <w:lang w:val="en-US"/>
        </w:rPr>
        <w:t>L. infantum</w:t>
      </w:r>
      <w:r w:rsidRPr="00367140">
        <w:rPr>
          <w:lang w:val="en-US"/>
        </w:rPr>
        <w:t xml:space="preserve"> when compared to 2 VL ones involving genes coding for ribosomal proteins, relevant to translation, and a protein putatively involved in the protein import in the nucleus. These genes/proteins were highlighted in different previous studies (</w:t>
      </w:r>
      <w:r w:rsidRPr="00367140">
        <w:rPr>
          <w:lang w:val="en-GB"/>
        </w:rPr>
        <w:t xml:space="preserve">Leifso </w:t>
      </w:r>
      <w:r w:rsidRPr="00367140">
        <w:rPr>
          <w:i/>
          <w:iCs/>
          <w:lang w:val="en-GB"/>
        </w:rPr>
        <w:t>et al.</w:t>
      </w:r>
      <w:r w:rsidRPr="00367140">
        <w:rPr>
          <w:lang w:val="en-GB"/>
        </w:rPr>
        <w:t xml:space="preserve">, 2007 ; Saxena </w:t>
      </w:r>
      <w:r w:rsidRPr="00367140">
        <w:rPr>
          <w:i/>
          <w:iCs/>
          <w:lang w:val="en-GB"/>
        </w:rPr>
        <w:t>et al.</w:t>
      </w:r>
      <w:r w:rsidRPr="00367140">
        <w:rPr>
          <w:lang w:val="en-GB"/>
        </w:rPr>
        <w:t xml:space="preserve">, 2003 ; Chenik </w:t>
      </w:r>
      <w:r w:rsidRPr="00367140">
        <w:rPr>
          <w:i/>
          <w:iCs/>
          <w:lang w:val="en-GB"/>
        </w:rPr>
        <w:t>et al.</w:t>
      </w:r>
      <w:r w:rsidRPr="00367140">
        <w:rPr>
          <w:lang w:val="en-GB"/>
        </w:rPr>
        <w:t xml:space="preserve">, 2006 ; Ubeda </w:t>
      </w:r>
      <w:r w:rsidRPr="00367140">
        <w:rPr>
          <w:i/>
          <w:iCs/>
          <w:lang w:val="en-GB"/>
        </w:rPr>
        <w:t>et al.</w:t>
      </w:r>
      <w:r w:rsidRPr="00367140">
        <w:rPr>
          <w:lang w:val="en-GB"/>
        </w:rPr>
        <w:t xml:space="preserve">, 2008 ; </w:t>
      </w:r>
      <w:r w:rsidRPr="00367140">
        <w:rPr>
          <w:lang w:val="en-US"/>
        </w:rPr>
        <w:t xml:space="preserve"> </w:t>
      </w:r>
      <w:r w:rsidRPr="00367140">
        <w:rPr>
          <w:lang w:val="en-GB"/>
        </w:rPr>
        <w:t xml:space="preserve">McNicoll </w:t>
      </w:r>
      <w:r w:rsidRPr="00367140">
        <w:rPr>
          <w:i/>
          <w:iCs/>
          <w:lang w:val="en-GB"/>
        </w:rPr>
        <w:t>et al.</w:t>
      </w:r>
      <w:r w:rsidRPr="00367140">
        <w:rPr>
          <w:lang w:val="en-GB"/>
        </w:rPr>
        <w:t xml:space="preserve">, 2006 ; Rosenzweig </w:t>
      </w:r>
      <w:r w:rsidRPr="00367140">
        <w:rPr>
          <w:i/>
          <w:iCs/>
          <w:lang w:val="en-GB"/>
        </w:rPr>
        <w:t>et al.</w:t>
      </w:r>
      <w:r w:rsidRPr="00367140">
        <w:rPr>
          <w:lang w:val="en-GB"/>
        </w:rPr>
        <w:t xml:space="preserve">, 2008 ; Cohen-Freue </w:t>
      </w:r>
      <w:r w:rsidRPr="00367140">
        <w:rPr>
          <w:i/>
          <w:iCs/>
          <w:lang w:val="en-GB"/>
        </w:rPr>
        <w:t>et al.</w:t>
      </w:r>
      <w:r w:rsidRPr="00367140">
        <w:rPr>
          <w:lang w:val="en-GB"/>
        </w:rPr>
        <w:t>, 2007</w:t>
      </w:r>
      <w:r w:rsidRPr="00367140">
        <w:rPr>
          <w:lang w:val="en-US"/>
        </w:rPr>
        <w:t>)..</w:t>
      </w:r>
    </w:p>
    <w:p w:rsidR="00E77C30" w:rsidRPr="00367140" w:rsidRDefault="00E77C30" w:rsidP="006B457B">
      <w:pPr>
        <w:spacing w:line="480" w:lineRule="auto"/>
        <w:jc w:val="both"/>
        <w:rPr>
          <w:lang w:val="en-US"/>
        </w:rPr>
      </w:pPr>
      <w:r w:rsidRPr="00367140">
        <w:rPr>
          <w:lang w:val="en-GB"/>
        </w:rPr>
        <w:t xml:space="preserve">The </w:t>
      </w:r>
      <w:r w:rsidRPr="00367140">
        <w:rPr>
          <w:i/>
          <w:iCs/>
          <w:lang w:val="en-GB"/>
        </w:rPr>
        <w:t>LinJ10_V3.0900</w:t>
      </w:r>
      <w:r w:rsidRPr="00367140">
        <w:rPr>
          <w:lang w:val="en-GB"/>
        </w:rPr>
        <w:t xml:space="preserve"> gene encodes for an NTF2-like protein which has a function yet unknown. A recent study, assessing the role of this protein and its homologue encoded by </w:t>
      </w:r>
      <w:r w:rsidRPr="00367140">
        <w:rPr>
          <w:i/>
          <w:iCs/>
          <w:lang w:val="en-GB"/>
        </w:rPr>
        <w:t>LinJ06_V3.1210</w:t>
      </w:r>
      <w:r w:rsidRPr="00367140">
        <w:rPr>
          <w:lang w:val="en-GB"/>
        </w:rPr>
        <w:t xml:space="preserve"> demonstrated that this latter is a functional NTF2 protein involved in the nuclear transport of RanGDP. It was further demonstrated that impairment of this transport by silencing the </w:t>
      </w:r>
      <w:r w:rsidRPr="00367140">
        <w:rPr>
          <w:i/>
          <w:iCs/>
          <w:lang w:val="en-GB"/>
        </w:rPr>
        <w:t>NTF2</w:t>
      </w:r>
      <w:r w:rsidRPr="00367140">
        <w:rPr>
          <w:lang w:val="en-GB"/>
        </w:rPr>
        <w:t xml:space="preserve"> gene constitutes a sufficient intrinsic factor for triggering programmed cell death of the parasites (Casanova </w:t>
      </w:r>
      <w:r w:rsidRPr="00367140">
        <w:rPr>
          <w:i/>
          <w:iCs/>
          <w:lang w:val="en-GB"/>
        </w:rPr>
        <w:t>et al.</w:t>
      </w:r>
      <w:r w:rsidRPr="00367140">
        <w:rPr>
          <w:lang w:val="en-GB"/>
        </w:rPr>
        <w:t xml:space="preserve">, 2008). However, a comparative genome analysis of the 3 </w:t>
      </w:r>
      <w:r w:rsidRPr="00367140">
        <w:rPr>
          <w:i/>
          <w:iCs/>
          <w:lang w:val="en-GB"/>
        </w:rPr>
        <w:t>Leishmania</w:t>
      </w:r>
      <w:r w:rsidRPr="00367140">
        <w:rPr>
          <w:lang w:val="en-GB"/>
        </w:rPr>
        <w:t xml:space="preserve"> species, </w:t>
      </w:r>
      <w:r w:rsidRPr="00367140">
        <w:rPr>
          <w:i/>
          <w:iCs/>
          <w:lang w:val="en-GB"/>
        </w:rPr>
        <w:t>L. major</w:t>
      </w:r>
      <w:r w:rsidRPr="00367140">
        <w:rPr>
          <w:lang w:val="en-GB"/>
        </w:rPr>
        <w:t xml:space="preserve">, </w:t>
      </w:r>
      <w:r w:rsidRPr="00367140">
        <w:rPr>
          <w:i/>
          <w:iCs/>
          <w:lang w:val="en-GB"/>
        </w:rPr>
        <w:t>L. infantum</w:t>
      </w:r>
      <w:r w:rsidRPr="00367140">
        <w:rPr>
          <w:lang w:val="en-GB"/>
        </w:rPr>
        <w:t xml:space="preserve"> and </w:t>
      </w:r>
      <w:r w:rsidRPr="00367140">
        <w:rPr>
          <w:i/>
          <w:iCs/>
          <w:lang w:val="en-GB"/>
        </w:rPr>
        <w:t>L. braziliensis</w:t>
      </w:r>
      <w:r w:rsidRPr="00367140">
        <w:rPr>
          <w:lang w:val="en-GB"/>
        </w:rPr>
        <w:t xml:space="preserve"> listed</w:t>
      </w:r>
      <w:r w:rsidRPr="00367140">
        <w:rPr>
          <w:i/>
          <w:iCs/>
          <w:lang w:val="en-GB"/>
        </w:rPr>
        <w:t xml:space="preserve"> </w:t>
      </w:r>
      <w:r w:rsidRPr="00367140">
        <w:rPr>
          <w:i/>
          <w:iCs/>
          <w:lang w:val="en-US"/>
        </w:rPr>
        <w:t>NTF2-like</w:t>
      </w:r>
      <w:r w:rsidRPr="00367140">
        <w:rPr>
          <w:lang w:val="en-US"/>
        </w:rPr>
        <w:t xml:space="preserve"> (</w:t>
      </w:r>
      <w:r w:rsidRPr="00367140">
        <w:rPr>
          <w:i/>
          <w:iCs/>
          <w:lang w:val="en-US"/>
        </w:rPr>
        <w:t>LinJ10_V3.0900</w:t>
      </w:r>
      <w:r w:rsidRPr="00367140">
        <w:rPr>
          <w:lang w:val="en-US"/>
        </w:rPr>
        <w:t>) among the genes under positive selection likely due to immunological pressure (</w:t>
      </w:r>
      <w:r w:rsidRPr="00367140">
        <w:rPr>
          <w:lang w:val="en-GB"/>
        </w:rPr>
        <w:t xml:space="preserve">Peacock </w:t>
      </w:r>
      <w:r w:rsidRPr="00367140">
        <w:rPr>
          <w:i/>
          <w:iCs/>
          <w:lang w:val="en-GB"/>
        </w:rPr>
        <w:t>et al.</w:t>
      </w:r>
      <w:r w:rsidRPr="00367140">
        <w:rPr>
          <w:lang w:val="en-GB"/>
        </w:rPr>
        <w:t>, 2007)</w:t>
      </w:r>
      <w:r w:rsidRPr="00367140">
        <w:rPr>
          <w:lang w:val="en-US"/>
        </w:rPr>
        <w:t xml:space="preserve"> suggesting a role in the interaction with the vertebrate host. </w:t>
      </w:r>
    </w:p>
    <w:p w:rsidR="00E77C30" w:rsidRPr="00367140" w:rsidRDefault="00E77C30" w:rsidP="006B457B">
      <w:pPr>
        <w:spacing w:line="480" w:lineRule="auto"/>
        <w:jc w:val="both"/>
        <w:rPr>
          <w:lang w:val="en-GB"/>
        </w:rPr>
      </w:pPr>
      <w:r w:rsidRPr="00367140">
        <w:rPr>
          <w:lang w:val="en-US"/>
        </w:rPr>
        <w:t xml:space="preserve">In </w:t>
      </w:r>
      <w:r w:rsidRPr="00367140">
        <w:rPr>
          <w:i/>
          <w:iCs/>
          <w:lang w:val="en-US"/>
        </w:rPr>
        <w:t>Leishmania</w:t>
      </w:r>
      <w:r w:rsidRPr="00367140">
        <w:rPr>
          <w:lang w:val="en-US"/>
        </w:rPr>
        <w:t xml:space="preserve"> species, ribosomal protein</w:t>
      </w:r>
      <w:r w:rsidRPr="00367140">
        <w:rPr>
          <w:lang w:val="en-GB"/>
        </w:rPr>
        <w:t xml:space="preserve">s such as eukaryotic initiation factors, acidic ribosomal phosphoprotein PO or ribosomal protein P2a participating in </w:t>
      </w:r>
      <w:r w:rsidRPr="00367140">
        <w:rPr>
          <w:lang w:val="en-US"/>
        </w:rPr>
        <w:t>different biological processes are considered as virulence factors (</w:t>
      </w:r>
      <w:r w:rsidRPr="00367140">
        <w:rPr>
          <w:lang w:val="en-GB"/>
        </w:rPr>
        <w:t xml:space="preserve">Chang </w:t>
      </w:r>
      <w:r>
        <w:rPr>
          <w:lang w:val="en-GB"/>
        </w:rPr>
        <w:t>and</w:t>
      </w:r>
      <w:r w:rsidRPr="00367140">
        <w:rPr>
          <w:lang w:val="en-GB"/>
        </w:rPr>
        <w:t xml:space="preserve"> McGwire, </w:t>
      </w:r>
      <w:r w:rsidRPr="00367140">
        <w:rPr>
          <w:lang w:val="en-US"/>
        </w:rPr>
        <w:t>2002). In general in addition to the conventional role in translation, ribosomal proteins can be implicated in various extra ribosomal functions such as replication, DNA repair, apoptosis, resistance to drugs, cellular proliferation and inflammation (</w:t>
      </w:r>
      <w:r w:rsidRPr="00367140">
        <w:rPr>
          <w:lang w:val="en-GB"/>
        </w:rPr>
        <w:t>Wool</w:t>
      </w:r>
      <w:r w:rsidRPr="00367140">
        <w:rPr>
          <w:lang w:val="en-US"/>
        </w:rPr>
        <w:t>, 1996). Multiple studies on</w:t>
      </w:r>
      <w:r w:rsidRPr="00367140">
        <w:rPr>
          <w:lang w:val="en-GB"/>
        </w:rPr>
        <w:t xml:space="preserve"> differential gene expression in </w:t>
      </w:r>
      <w:r w:rsidRPr="00367140">
        <w:rPr>
          <w:i/>
          <w:iCs/>
          <w:lang w:val="en-GB"/>
        </w:rPr>
        <w:t>Leishmania</w:t>
      </w:r>
      <w:r w:rsidRPr="00367140">
        <w:rPr>
          <w:lang w:val="en-GB"/>
        </w:rPr>
        <w:t xml:space="preserve"> provide convergent evidence that expression of ribosomal proteins is submitted to a complex and fine regulation depending on parasite stages, isolates and/or species. In </w:t>
      </w:r>
      <w:r w:rsidRPr="00367140">
        <w:rPr>
          <w:i/>
          <w:iCs/>
          <w:lang w:val="en-GB"/>
        </w:rPr>
        <w:t>L. major</w:t>
      </w:r>
      <w:r w:rsidRPr="00367140">
        <w:rPr>
          <w:lang w:val="en-GB"/>
        </w:rPr>
        <w:t>, it was noted that</w:t>
      </w:r>
      <w:r w:rsidRPr="00367140">
        <w:rPr>
          <w:i/>
          <w:iCs/>
          <w:lang w:val="en-GB"/>
        </w:rPr>
        <w:t xml:space="preserve"> </w:t>
      </w:r>
      <w:r w:rsidRPr="00367140">
        <w:rPr>
          <w:lang w:val="en-GB"/>
        </w:rPr>
        <w:t xml:space="preserve">6.3% of the total number of non-redundant stage-regulated genes encoded for ribosomal proteins with differences in the number and classes of ribosomal proteins differentially expressed in the different developmental stages (Almeida </w:t>
      </w:r>
      <w:r w:rsidRPr="00367140">
        <w:rPr>
          <w:i/>
          <w:iCs/>
          <w:lang w:val="en-GB"/>
        </w:rPr>
        <w:t>et al.</w:t>
      </w:r>
      <w:r w:rsidRPr="00367140">
        <w:rPr>
          <w:lang w:val="en-GB"/>
        </w:rPr>
        <w:t>, 2004).</w:t>
      </w:r>
      <w:r w:rsidRPr="00367140">
        <w:rPr>
          <w:lang w:val="en-US"/>
        </w:rPr>
        <w:t xml:space="preserve"> Indeed</w:t>
      </w:r>
      <w:r w:rsidRPr="00367140">
        <w:rPr>
          <w:lang w:val="en-GB"/>
        </w:rPr>
        <w:t xml:space="preserve">, substantial changes in ribosomal transcripts abundance were observed during promastigote to amastigote differentiation in </w:t>
      </w:r>
      <w:r w:rsidRPr="00367140">
        <w:rPr>
          <w:i/>
          <w:iCs/>
          <w:lang w:val="en-GB"/>
        </w:rPr>
        <w:t>L. major</w:t>
      </w:r>
      <w:r w:rsidRPr="00367140">
        <w:rPr>
          <w:lang w:val="en-GB"/>
        </w:rPr>
        <w:t xml:space="preserve"> transcriptomic analyses (Almeida </w:t>
      </w:r>
      <w:r w:rsidRPr="00367140">
        <w:rPr>
          <w:i/>
          <w:iCs/>
          <w:lang w:val="en-GB"/>
        </w:rPr>
        <w:t>et al</w:t>
      </w:r>
      <w:r w:rsidRPr="00367140">
        <w:rPr>
          <w:lang w:val="en-GB"/>
        </w:rPr>
        <w:t xml:space="preserve">., 2004 ; Leifso </w:t>
      </w:r>
      <w:r w:rsidRPr="00367140">
        <w:rPr>
          <w:i/>
          <w:iCs/>
          <w:lang w:val="en-GB"/>
        </w:rPr>
        <w:t>et al.</w:t>
      </w:r>
      <w:r w:rsidRPr="00367140">
        <w:rPr>
          <w:lang w:val="en-GB"/>
        </w:rPr>
        <w:t xml:space="preserve">, 2007). Particularly, </w:t>
      </w:r>
      <w:r w:rsidRPr="00367140">
        <w:rPr>
          <w:i/>
          <w:iCs/>
          <w:lang w:val="en-GB"/>
        </w:rPr>
        <w:t>60S RPL6</w:t>
      </w:r>
      <w:r w:rsidRPr="00367140">
        <w:rPr>
          <w:lang w:val="en-GB"/>
        </w:rPr>
        <w:t xml:space="preserve"> transcripts from the two genes, </w:t>
      </w:r>
      <w:r w:rsidRPr="00367140">
        <w:rPr>
          <w:i/>
          <w:iCs/>
          <w:lang w:val="en-GB"/>
        </w:rPr>
        <w:t>LmjF15.1000</w:t>
      </w:r>
      <w:r w:rsidRPr="00367140">
        <w:rPr>
          <w:lang w:val="en-GB"/>
        </w:rPr>
        <w:t xml:space="preserve"> and </w:t>
      </w:r>
      <w:r w:rsidRPr="00367140">
        <w:rPr>
          <w:i/>
          <w:iCs/>
          <w:lang w:val="en-GB"/>
        </w:rPr>
        <w:t>LmjF33.0720</w:t>
      </w:r>
      <w:r w:rsidRPr="00367140">
        <w:rPr>
          <w:lang w:val="en-GB"/>
        </w:rPr>
        <w:t xml:space="preserve"> were found up-regulated in metacyclic stage of </w:t>
      </w:r>
      <w:r w:rsidRPr="00367140">
        <w:rPr>
          <w:i/>
          <w:iCs/>
          <w:lang w:val="en-GB"/>
        </w:rPr>
        <w:t>L. major</w:t>
      </w:r>
      <w:r w:rsidRPr="00367140">
        <w:rPr>
          <w:lang w:val="en-GB"/>
        </w:rPr>
        <w:t xml:space="preserve"> (Saxena </w:t>
      </w:r>
      <w:r w:rsidRPr="00367140">
        <w:rPr>
          <w:i/>
          <w:iCs/>
          <w:lang w:val="en-GB"/>
        </w:rPr>
        <w:t>et al.</w:t>
      </w:r>
      <w:r w:rsidRPr="00367140">
        <w:rPr>
          <w:lang w:val="en-GB"/>
        </w:rPr>
        <w:t xml:space="preserve">, 2003), </w:t>
      </w:r>
      <w:r w:rsidRPr="00367140">
        <w:rPr>
          <w:i/>
          <w:iCs/>
          <w:lang w:val="en-GB"/>
        </w:rPr>
        <w:t>LmjF33.0720</w:t>
      </w:r>
      <w:r w:rsidRPr="00367140">
        <w:rPr>
          <w:lang w:val="en-GB"/>
        </w:rPr>
        <w:t xml:space="preserve"> gene was even further considered as metacyclic-specific (Almeida </w:t>
      </w:r>
      <w:r w:rsidRPr="00367140">
        <w:rPr>
          <w:i/>
          <w:iCs/>
          <w:lang w:val="en-GB"/>
        </w:rPr>
        <w:t>et al</w:t>
      </w:r>
      <w:r w:rsidRPr="00367140">
        <w:rPr>
          <w:lang w:val="en-GB"/>
        </w:rPr>
        <w:t xml:space="preserve">., 2004). The protein 60S RPL6 was listed among excreted/secreted proteins of a highly virulent </w:t>
      </w:r>
      <w:r w:rsidRPr="00367140">
        <w:rPr>
          <w:i/>
          <w:iCs/>
          <w:lang w:val="en-GB"/>
        </w:rPr>
        <w:t>L. major</w:t>
      </w:r>
      <w:r w:rsidRPr="00367140">
        <w:rPr>
          <w:lang w:val="en-GB"/>
        </w:rPr>
        <w:t xml:space="preserve"> parasite that was submitted to temperature and pH stress mimicking those in the host cell (Chenik </w:t>
      </w:r>
      <w:r w:rsidRPr="00367140">
        <w:rPr>
          <w:i/>
          <w:iCs/>
          <w:lang w:val="en-GB"/>
        </w:rPr>
        <w:t>et al.</w:t>
      </w:r>
      <w:r w:rsidRPr="00367140">
        <w:rPr>
          <w:lang w:val="en-GB"/>
        </w:rPr>
        <w:t xml:space="preserve">, 2006). Furthermore, transcripts of the </w:t>
      </w:r>
      <w:r w:rsidRPr="00367140">
        <w:rPr>
          <w:i/>
          <w:iCs/>
          <w:lang w:val="en-GB"/>
        </w:rPr>
        <w:t>RPS26</w:t>
      </w:r>
      <w:r w:rsidRPr="00367140">
        <w:rPr>
          <w:lang w:val="en-GB"/>
        </w:rPr>
        <w:t xml:space="preserve"> genes (</w:t>
      </w:r>
      <w:r w:rsidRPr="00367140">
        <w:rPr>
          <w:i/>
          <w:iCs/>
          <w:lang w:val="en-GB"/>
        </w:rPr>
        <w:t>LmjF28.0540</w:t>
      </w:r>
      <w:r w:rsidRPr="00367140">
        <w:rPr>
          <w:lang w:val="en-GB"/>
        </w:rPr>
        <w:t xml:space="preserve">, </w:t>
      </w:r>
      <w:r w:rsidRPr="00367140">
        <w:rPr>
          <w:i/>
          <w:iCs/>
          <w:lang w:val="en-GB"/>
        </w:rPr>
        <w:t>LmjF30.3200</w:t>
      </w:r>
      <w:r w:rsidRPr="00367140">
        <w:rPr>
          <w:lang w:val="en-GB"/>
        </w:rPr>
        <w:t xml:space="preserve">) were also found upregulated in a study comparing a methotrexate resistant </w:t>
      </w:r>
      <w:r w:rsidRPr="00367140">
        <w:rPr>
          <w:i/>
          <w:iCs/>
          <w:lang w:val="en-GB"/>
        </w:rPr>
        <w:t>L. major</w:t>
      </w:r>
      <w:r w:rsidRPr="00367140">
        <w:rPr>
          <w:lang w:val="en-GB"/>
        </w:rPr>
        <w:t xml:space="preserve"> to its sensitive parental line (Ubeda </w:t>
      </w:r>
      <w:r w:rsidRPr="00367140">
        <w:rPr>
          <w:i/>
          <w:iCs/>
          <w:lang w:val="en-GB"/>
        </w:rPr>
        <w:t>et al.</w:t>
      </w:r>
      <w:r w:rsidRPr="00367140">
        <w:rPr>
          <w:lang w:val="en-GB"/>
        </w:rPr>
        <w:t xml:space="preserve">, 2008). Interestingly, </w:t>
      </w:r>
      <w:r w:rsidRPr="00367140">
        <w:rPr>
          <w:i/>
          <w:iCs/>
          <w:lang w:val="en-GB"/>
        </w:rPr>
        <w:t>L. infantum</w:t>
      </w:r>
      <w:r w:rsidRPr="00367140">
        <w:rPr>
          <w:lang w:val="en-GB"/>
        </w:rPr>
        <w:t xml:space="preserve"> proteomics studies comparing </w:t>
      </w:r>
      <w:r w:rsidRPr="00367140">
        <w:rPr>
          <w:i/>
          <w:iCs/>
          <w:lang w:val="en-GB"/>
        </w:rPr>
        <w:t>in vitro</w:t>
      </w:r>
      <w:r w:rsidRPr="00367140">
        <w:rPr>
          <w:lang w:val="en-GB"/>
        </w:rPr>
        <w:t xml:space="preserve"> promastigotes to axenic amastigotes highlighted RP S26 (</w:t>
      </w:r>
      <w:r w:rsidRPr="00367140">
        <w:rPr>
          <w:i/>
          <w:iCs/>
          <w:lang w:val="en-GB"/>
        </w:rPr>
        <w:t>LinJ28_V3.0570</w:t>
      </w:r>
      <w:r w:rsidRPr="00367140">
        <w:rPr>
          <w:lang w:val="en-GB"/>
        </w:rPr>
        <w:t xml:space="preserve">) as overexpressed in promastigotes (Leifso </w:t>
      </w:r>
      <w:r w:rsidRPr="00367140">
        <w:rPr>
          <w:i/>
          <w:iCs/>
          <w:lang w:val="en-GB"/>
        </w:rPr>
        <w:t>et al.</w:t>
      </w:r>
      <w:r w:rsidRPr="00367140">
        <w:rPr>
          <w:lang w:val="en-GB"/>
        </w:rPr>
        <w:t xml:space="preserve">, 2007) and unique polypeptide spots corresponding to 40S RPS6 were also observed in promastigotes (McNicoll </w:t>
      </w:r>
      <w:r w:rsidRPr="00367140">
        <w:rPr>
          <w:i/>
          <w:iCs/>
          <w:lang w:val="en-GB"/>
        </w:rPr>
        <w:t>et al.</w:t>
      </w:r>
      <w:r w:rsidRPr="00367140">
        <w:rPr>
          <w:lang w:val="en-GB"/>
        </w:rPr>
        <w:t xml:space="preserve">, 2006). Furthermore, proteome of </w:t>
      </w:r>
      <w:r w:rsidRPr="00367140">
        <w:rPr>
          <w:i/>
          <w:iCs/>
          <w:lang w:val="en-GB"/>
        </w:rPr>
        <w:t>L. donovani</w:t>
      </w:r>
      <w:r w:rsidRPr="00367140">
        <w:rPr>
          <w:lang w:val="en-GB"/>
        </w:rPr>
        <w:t xml:space="preserve">, another viscerotropic parasite, was quantitatively measured through an </w:t>
      </w:r>
      <w:r w:rsidRPr="00367140">
        <w:rPr>
          <w:i/>
          <w:iCs/>
          <w:lang w:val="en-GB"/>
        </w:rPr>
        <w:t>in vitro</w:t>
      </w:r>
      <w:r w:rsidRPr="00367140">
        <w:rPr>
          <w:lang w:val="en-GB"/>
        </w:rPr>
        <w:t xml:space="preserve"> late- promastigote to late- amastigote differentiation model showing that amastigote proteins of the translation machinery are down-regulated in a coordinated manner with similar expression profiles (Rosenzweig </w:t>
      </w:r>
      <w:r w:rsidRPr="00367140">
        <w:rPr>
          <w:i/>
          <w:iCs/>
          <w:lang w:val="en-GB"/>
        </w:rPr>
        <w:t>et al.</w:t>
      </w:r>
      <w:r w:rsidRPr="00367140">
        <w:rPr>
          <w:lang w:val="en-GB"/>
        </w:rPr>
        <w:t xml:space="preserve">, 2008). Particularly, this study informed on the quantitative temporal profiles of the 4 proteins NTF2-like, 40S RPS6, 60S RPL6 and RPS26 which appeared correlated and down-regulated in the mature amastigote (Rosenzweig </w:t>
      </w:r>
      <w:r w:rsidRPr="00367140">
        <w:rPr>
          <w:i/>
          <w:iCs/>
          <w:lang w:val="en-GB"/>
        </w:rPr>
        <w:t>et al.</w:t>
      </w:r>
      <w:r w:rsidRPr="00367140">
        <w:rPr>
          <w:lang w:val="en-GB"/>
        </w:rPr>
        <w:t>, 2008). It is important to note that fold</w:t>
      </w:r>
      <w:r w:rsidRPr="00367140">
        <w:rPr>
          <w:lang w:val="en-US"/>
        </w:rPr>
        <w:t xml:space="preserve"> variations of this selection of genes/proteins in the different studies including this one were modest and in the similar range.</w:t>
      </w:r>
      <w:r w:rsidRPr="00367140">
        <w:rPr>
          <w:lang w:val="en-GB"/>
        </w:rPr>
        <w:t xml:space="preserve"> It is also now well accepted that in </w:t>
      </w:r>
      <w:r w:rsidRPr="00367140">
        <w:rPr>
          <w:i/>
          <w:iCs/>
          <w:lang w:val="en-GB"/>
        </w:rPr>
        <w:t>Leishmania</w:t>
      </w:r>
      <w:r w:rsidRPr="00367140">
        <w:rPr>
          <w:lang w:val="en-GB"/>
        </w:rPr>
        <w:t xml:space="preserve"> parasites there is little correlation between RNA and protein levels (McNicoll </w:t>
      </w:r>
      <w:r w:rsidRPr="00367140">
        <w:rPr>
          <w:i/>
          <w:iCs/>
          <w:lang w:val="en-GB"/>
        </w:rPr>
        <w:t>et al.</w:t>
      </w:r>
      <w:r w:rsidRPr="00367140">
        <w:rPr>
          <w:lang w:val="en-GB"/>
        </w:rPr>
        <w:t xml:space="preserve">, 2006 ; Cohen-Freue </w:t>
      </w:r>
      <w:r w:rsidRPr="00367140">
        <w:rPr>
          <w:i/>
          <w:iCs/>
          <w:lang w:val="en-GB"/>
        </w:rPr>
        <w:t>et al.</w:t>
      </w:r>
      <w:r w:rsidRPr="00367140">
        <w:rPr>
          <w:lang w:val="en-GB"/>
        </w:rPr>
        <w:t xml:space="preserve">, 2007). Remarkably, our study illustrated in </w:t>
      </w:r>
      <w:r w:rsidRPr="00367140">
        <w:rPr>
          <w:i/>
          <w:iCs/>
          <w:lang w:val="en-GB"/>
        </w:rPr>
        <w:t>L. infantum</w:t>
      </w:r>
      <w:r w:rsidRPr="00367140">
        <w:rPr>
          <w:lang w:val="en-GB"/>
        </w:rPr>
        <w:t xml:space="preserve"> association of expression patterns of the genes encoding for these proteins in the two CL </w:t>
      </w:r>
      <w:r w:rsidRPr="00367140">
        <w:rPr>
          <w:i/>
          <w:iCs/>
          <w:lang w:val="en-GB"/>
        </w:rPr>
        <w:t>L. infantum</w:t>
      </w:r>
      <w:r w:rsidRPr="00367140">
        <w:rPr>
          <w:lang w:val="en-GB"/>
        </w:rPr>
        <w:t xml:space="preserve"> isolates</w:t>
      </w:r>
      <w:r w:rsidRPr="00367140">
        <w:rPr>
          <w:lang w:val="en-US"/>
        </w:rPr>
        <w:t xml:space="preserve"> with concomitant down-regulation of </w:t>
      </w:r>
      <w:r w:rsidRPr="00367140">
        <w:rPr>
          <w:i/>
          <w:iCs/>
          <w:lang w:val="en-US"/>
        </w:rPr>
        <w:t xml:space="preserve">40S RPS6 </w:t>
      </w:r>
      <w:r w:rsidRPr="00367140">
        <w:rPr>
          <w:lang w:val="en-US"/>
        </w:rPr>
        <w:t>and</w:t>
      </w:r>
      <w:r w:rsidRPr="00367140">
        <w:rPr>
          <w:i/>
          <w:iCs/>
          <w:lang w:val="en-US"/>
        </w:rPr>
        <w:t xml:space="preserve"> 60S RPL6 </w:t>
      </w:r>
      <w:r w:rsidRPr="00367140">
        <w:rPr>
          <w:lang w:val="en-US"/>
        </w:rPr>
        <w:t xml:space="preserve">transcripts and over-expression of </w:t>
      </w:r>
      <w:r w:rsidRPr="00367140">
        <w:rPr>
          <w:i/>
          <w:iCs/>
          <w:lang w:val="en-US"/>
        </w:rPr>
        <w:t xml:space="preserve">NTF2-like </w:t>
      </w:r>
      <w:r w:rsidRPr="00367140">
        <w:rPr>
          <w:lang w:val="en-US"/>
        </w:rPr>
        <w:t xml:space="preserve">when compared to the MON-24 VL parasite (LV49). </w:t>
      </w:r>
      <w:r w:rsidRPr="00367140">
        <w:rPr>
          <w:lang w:val="en-GB"/>
        </w:rPr>
        <w:t xml:space="preserve">However, when the 2 CL </w:t>
      </w:r>
      <w:r w:rsidRPr="00367140">
        <w:rPr>
          <w:i/>
          <w:iCs/>
          <w:lang w:val="en-GB"/>
        </w:rPr>
        <w:t>L. infantum</w:t>
      </w:r>
      <w:r w:rsidRPr="00367140">
        <w:rPr>
          <w:lang w:val="en-GB"/>
        </w:rPr>
        <w:t xml:space="preserve"> isolates were compared to the MON-01 VL (LV50), an over-expression of the </w:t>
      </w:r>
      <w:r w:rsidRPr="00367140">
        <w:rPr>
          <w:i/>
          <w:iCs/>
          <w:lang w:val="en-GB"/>
        </w:rPr>
        <w:t>RPS26</w:t>
      </w:r>
      <w:r w:rsidRPr="00367140">
        <w:rPr>
          <w:lang w:val="en-GB"/>
        </w:rPr>
        <w:t xml:space="preserve"> transcripts was observed. </w:t>
      </w:r>
      <w:r w:rsidRPr="00367140">
        <w:rPr>
          <w:lang w:val="en-US"/>
        </w:rPr>
        <w:t xml:space="preserve">This suggests that </w:t>
      </w:r>
      <w:r w:rsidRPr="00367140">
        <w:rPr>
          <w:i/>
          <w:iCs/>
          <w:lang w:val="en-US"/>
        </w:rPr>
        <w:t>L. infantum</w:t>
      </w:r>
      <w:r w:rsidRPr="00367140">
        <w:rPr>
          <w:lang w:val="en-US"/>
        </w:rPr>
        <w:t xml:space="preserve"> parasites having contrasted virulence, causing different clinical forms, may be under different levels of regulation, may involve different regulatory pathways or could have evolved different virulence networks. Recently a large scale study demonstrated clear differences in gene expression in PNA</w:t>
      </w:r>
      <w:r w:rsidRPr="00367140">
        <w:rPr>
          <w:vertAlign w:val="superscript"/>
          <w:lang w:val="en-US"/>
        </w:rPr>
        <w:t>+</w:t>
      </w:r>
      <w:r w:rsidRPr="00367140">
        <w:rPr>
          <w:lang w:val="en-US"/>
        </w:rPr>
        <w:t xml:space="preserve"> vs PNA</w:t>
      </w:r>
      <w:r w:rsidRPr="00367140">
        <w:rPr>
          <w:vertAlign w:val="superscript"/>
          <w:lang w:val="en-US"/>
        </w:rPr>
        <w:t>-</w:t>
      </w:r>
      <w:r w:rsidRPr="00367140">
        <w:rPr>
          <w:lang w:val="en-US"/>
        </w:rPr>
        <w:t xml:space="preserve"> promastigotes of an </w:t>
      </w:r>
      <w:r w:rsidRPr="00367140">
        <w:rPr>
          <w:i/>
          <w:iCs/>
          <w:lang w:val="en-US"/>
        </w:rPr>
        <w:t xml:space="preserve">L. infantum </w:t>
      </w:r>
      <w:r w:rsidRPr="00367140">
        <w:rPr>
          <w:lang w:val="en-US"/>
        </w:rPr>
        <w:t>canine isolate with activation in PNA</w:t>
      </w:r>
      <w:r w:rsidRPr="00367140">
        <w:rPr>
          <w:vertAlign w:val="superscript"/>
          <w:lang w:val="en-US"/>
        </w:rPr>
        <w:t>+</w:t>
      </w:r>
      <w:r w:rsidRPr="00367140">
        <w:rPr>
          <w:lang w:val="en-US"/>
        </w:rPr>
        <w:t xml:space="preserve"> forms of genes involved in ribosome biogenesis and assembly, regulation of translational elongation and developmental processes while genes up regulated in PNA</w:t>
      </w:r>
      <w:r w:rsidRPr="00367140">
        <w:rPr>
          <w:vertAlign w:val="superscript"/>
          <w:lang w:val="en-US"/>
        </w:rPr>
        <w:t>-</w:t>
      </w:r>
      <w:r w:rsidRPr="00367140">
        <w:rPr>
          <w:lang w:val="en-US"/>
        </w:rPr>
        <w:t xml:space="preserve"> forms relate more to infectivity (</w:t>
      </w:r>
      <w:r w:rsidRPr="00367140">
        <w:rPr>
          <w:lang w:val="en-GB"/>
        </w:rPr>
        <w:t>Alcolea</w:t>
      </w:r>
      <w:r w:rsidRPr="00367140">
        <w:rPr>
          <w:lang w:val="en-US"/>
        </w:rPr>
        <w:t xml:space="preserve"> </w:t>
      </w:r>
      <w:r w:rsidRPr="00367140">
        <w:rPr>
          <w:i/>
          <w:iCs/>
          <w:lang w:val="en-US"/>
        </w:rPr>
        <w:t>et al.</w:t>
      </w:r>
      <w:r w:rsidRPr="00367140">
        <w:rPr>
          <w:lang w:val="en-US"/>
        </w:rPr>
        <w:t xml:space="preserve">, 2009). However our selection of genes has not been highlighted through this study. Such discrepancy could be due to differences in the approaches or the scale of the studies, or to the fact that different parasites have been studied. So far, studies focused on only one parasite isolate while here we analysed expression in 4 parasites. The variations in the levels of expression observed are modest which may suggest ability of the </w:t>
      </w:r>
      <w:r w:rsidRPr="00367140">
        <w:rPr>
          <w:i/>
          <w:iCs/>
          <w:lang w:val="en-US"/>
        </w:rPr>
        <w:t xml:space="preserve">Leishmania </w:t>
      </w:r>
      <w:r w:rsidRPr="00367140">
        <w:rPr>
          <w:lang w:val="en-US"/>
        </w:rPr>
        <w:t>parasites to fine tune its biological processes and regulatory mechanisms.</w:t>
      </w:r>
    </w:p>
    <w:p w:rsidR="00E77C30" w:rsidRPr="00367140" w:rsidRDefault="00E77C30" w:rsidP="006B457B">
      <w:pPr>
        <w:spacing w:line="480" w:lineRule="auto"/>
        <w:jc w:val="both"/>
        <w:rPr>
          <w:lang w:val="en-GB"/>
        </w:rPr>
      </w:pPr>
      <w:r w:rsidRPr="00367140">
        <w:rPr>
          <w:lang w:val="en-GB"/>
        </w:rPr>
        <w:t>This study brings preliminary evidence on the occurrence of consistent gene expression patterns in PNA</w:t>
      </w:r>
      <w:r w:rsidRPr="00367140">
        <w:rPr>
          <w:vertAlign w:val="superscript"/>
          <w:lang w:val="en-GB"/>
        </w:rPr>
        <w:t xml:space="preserve">- </w:t>
      </w:r>
      <w:r w:rsidRPr="00367140">
        <w:rPr>
          <w:lang w:val="en-GB"/>
        </w:rPr>
        <w:t xml:space="preserve">forms of 4 </w:t>
      </w:r>
      <w:r w:rsidRPr="00367140">
        <w:rPr>
          <w:i/>
          <w:iCs/>
          <w:lang w:val="en-GB"/>
        </w:rPr>
        <w:t xml:space="preserve">Leishmania infantum </w:t>
      </w:r>
      <w:r w:rsidRPr="00367140">
        <w:rPr>
          <w:lang w:val="en-GB"/>
        </w:rPr>
        <w:t xml:space="preserve">isolates that are correlated to clinical origin. </w:t>
      </w:r>
    </w:p>
    <w:p w:rsidR="00E77C30" w:rsidRDefault="00E77C30" w:rsidP="00702E3C">
      <w:pPr>
        <w:spacing w:line="480" w:lineRule="auto"/>
        <w:jc w:val="both"/>
        <w:rPr>
          <w:lang w:val="en-GB"/>
        </w:rPr>
        <w:sectPr w:rsidR="00E77C30" w:rsidSect="00885A27">
          <w:type w:val="continuous"/>
          <w:pgSz w:w="11906" w:h="16838" w:code="9"/>
          <w:pgMar w:top="1440" w:right="1440" w:bottom="1440" w:left="1440" w:header="709" w:footer="709" w:gutter="0"/>
          <w:cols w:num="2" w:space="708"/>
          <w:docGrid w:linePitch="360"/>
        </w:sectPr>
      </w:pPr>
    </w:p>
    <w:p w:rsidR="00E77C30" w:rsidRDefault="00E77C30" w:rsidP="00702E3C">
      <w:pPr>
        <w:spacing w:line="480" w:lineRule="auto"/>
        <w:jc w:val="both"/>
        <w:rPr>
          <w:lang w:val="en-GB"/>
        </w:rPr>
      </w:pPr>
    </w:p>
    <w:p w:rsidR="00E77C30" w:rsidRPr="00367140" w:rsidRDefault="00E77C30" w:rsidP="006B457B">
      <w:pPr>
        <w:spacing w:line="360" w:lineRule="auto"/>
        <w:rPr>
          <w:lang w:val="en-US"/>
        </w:rPr>
      </w:pPr>
    </w:p>
    <w:tbl>
      <w:tblPr>
        <w:tblpPr w:leftFromText="141" w:rightFromText="141" w:vertAnchor="text" w:horzAnchor="margin" w:tblpXSpec="center" w:tblpY="2"/>
        <w:tblW w:w="3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803"/>
        <w:gridCol w:w="1878"/>
        <w:gridCol w:w="1879"/>
      </w:tblGrid>
      <w:tr w:rsidR="00E77C30" w:rsidRPr="00367140">
        <w:trPr>
          <w:cantSplit/>
          <w:trHeight w:val="388"/>
        </w:trPr>
        <w:tc>
          <w:tcPr>
            <w:tcW w:w="1130" w:type="pct"/>
            <w:vMerge w:val="restart"/>
            <w:tcBorders>
              <w:top w:val="nil"/>
              <w:left w:val="nil"/>
              <w:bottom w:val="nil"/>
              <w:right w:val="nil"/>
            </w:tcBorders>
          </w:tcPr>
          <w:p w:rsidR="00E77C30" w:rsidRPr="00367140" w:rsidRDefault="00E77C30" w:rsidP="005728EF">
            <w:pPr>
              <w:spacing w:line="360" w:lineRule="auto"/>
              <w:jc w:val="both"/>
              <w:rPr>
                <w:lang w:val="en-GB"/>
              </w:rPr>
            </w:pPr>
          </w:p>
        </w:tc>
        <w:tc>
          <w:tcPr>
            <w:tcW w:w="1255" w:type="pct"/>
            <w:tcBorders>
              <w:top w:val="nil"/>
              <w:left w:val="nil"/>
              <w:bottom w:val="nil"/>
              <w:right w:val="nil"/>
            </w:tcBorders>
            <w:vAlign w:val="center"/>
          </w:tcPr>
          <w:p w:rsidR="00E77C30" w:rsidRPr="00367140" w:rsidRDefault="00E77C30" w:rsidP="005728EF">
            <w:pPr>
              <w:spacing w:line="360" w:lineRule="auto"/>
              <w:jc w:val="center"/>
              <w:rPr>
                <w:b/>
                <w:bCs/>
                <w:lang w:val="en-GB"/>
              </w:rPr>
            </w:pPr>
            <w:r w:rsidRPr="00367140">
              <w:rPr>
                <w:b/>
                <w:bCs/>
                <w:lang w:val="en-GB"/>
              </w:rPr>
              <w:t>VL</w:t>
            </w:r>
          </w:p>
        </w:tc>
        <w:tc>
          <w:tcPr>
            <w:tcW w:w="1307" w:type="pct"/>
            <w:tcBorders>
              <w:top w:val="nil"/>
              <w:left w:val="nil"/>
              <w:bottom w:val="nil"/>
              <w:right w:val="nil"/>
            </w:tcBorders>
            <w:vAlign w:val="center"/>
          </w:tcPr>
          <w:p w:rsidR="00E77C30" w:rsidRPr="00367140" w:rsidRDefault="00E77C30" w:rsidP="005728EF">
            <w:pPr>
              <w:spacing w:line="360" w:lineRule="auto"/>
              <w:jc w:val="center"/>
              <w:rPr>
                <w:b/>
                <w:bCs/>
                <w:lang w:val="en-GB"/>
              </w:rPr>
            </w:pPr>
            <w:r w:rsidRPr="00367140">
              <w:rPr>
                <w:b/>
                <w:bCs/>
                <w:lang w:val="en-GB"/>
              </w:rPr>
              <w:t>CL</w:t>
            </w:r>
          </w:p>
        </w:tc>
        <w:tc>
          <w:tcPr>
            <w:tcW w:w="1308" w:type="pct"/>
            <w:tcBorders>
              <w:top w:val="nil"/>
              <w:left w:val="nil"/>
              <w:bottom w:val="nil"/>
              <w:right w:val="nil"/>
            </w:tcBorders>
            <w:vAlign w:val="center"/>
          </w:tcPr>
          <w:p w:rsidR="00E77C30" w:rsidRPr="00367140" w:rsidRDefault="00E77C30" w:rsidP="005728EF">
            <w:pPr>
              <w:spacing w:line="360" w:lineRule="auto"/>
              <w:jc w:val="center"/>
              <w:rPr>
                <w:b/>
                <w:bCs/>
                <w:lang w:val="en-GB"/>
              </w:rPr>
            </w:pPr>
          </w:p>
        </w:tc>
      </w:tr>
      <w:tr w:rsidR="00E77C30" w:rsidRPr="00367140">
        <w:trPr>
          <w:cantSplit/>
          <w:trHeight w:val="133"/>
        </w:trPr>
        <w:tc>
          <w:tcPr>
            <w:tcW w:w="1130" w:type="pct"/>
            <w:vMerge/>
            <w:tcBorders>
              <w:top w:val="nil"/>
              <w:left w:val="nil"/>
              <w:bottom w:val="nil"/>
              <w:right w:val="nil"/>
            </w:tcBorders>
          </w:tcPr>
          <w:p w:rsidR="00E77C30" w:rsidRPr="00367140" w:rsidRDefault="00E77C30" w:rsidP="005728EF">
            <w:pPr>
              <w:spacing w:line="360" w:lineRule="auto"/>
              <w:jc w:val="both"/>
              <w:rPr>
                <w:lang w:val="en-GB"/>
              </w:rPr>
            </w:pPr>
          </w:p>
        </w:tc>
        <w:tc>
          <w:tcPr>
            <w:tcW w:w="1255" w:type="pct"/>
            <w:tcBorders>
              <w:top w:val="nil"/>
              <w:left w:val="nil"/>
              <w:bottom w:val="nil"/>
              <w:right w:val="nil"/>
            </w:tcBorders>
            <w:vAlign w:val="bottom"/>
          </w:tcPr>
          <w:p w:rsidR="00E77C30" w:rsidRPr="00367140" w:rsidRDefault="00E77C30" w:rsidP="005728EF">
            <w:pPr>
              <w:spacing w:line="360" w:lineRule="auto"/>
              <w:jc w:val="center"/>
              <w:rPr>
                <w:b/>
                <w:bCs/>
                <w:sz w:val="20"/>
                <w:szCs w:val="20"/>
                <w:lang w:val="en-GB"/>
              </w:rPr>
            </w:pPr>
            <w:r w:rsidRPr="00367140">
              <w:rPr>
                <w:b/>
                <w:bCs/>
                <w:sz w:val="20"/>
                <w:szCs w:val="20"/>
                <w:lang w:val="en-GB"/>
              </w:rPr>
              <w:t>LV50          LV49</w:t>
            </w:r>
          </w:p>
        </w:tc>
        <w:tc>
          <w:tcPr>
            <w:tcW w:w="2615" w:type="pct"/>
            <w:gridSpan w:val="2"/>
            <w:tcBorders>
              <w:top w:val="nil"/>
              <w:left w:val="nil"/>
              <w:bottom w:val="nil"/>
              <w:right w:val="nil"/>
            </w:tcBorders>
          </w:tcPr>
          <w:p w:rsidR="00E77C30" w:rsidRPr="00367140" w:rsidRDefault="00E77C30" w:rsidP="005728EF">
            <w:pPr>
              <w:spacing w:line="360" w:lineRule="auto"/>
              <w:rPr>
                <w:b/>
                <w:bCs/>
                <w:sz w:val="20"/>
                <w:szCs w:val="20"/>
                <w:lang w:val="en-GB"/>
              </w:rPr>
            </w:pPr>
            <w:r w:rsidRPr="00367140">
              <w:rPr>
                <w:b/>
                <w:bCs/>
                <w:sz w:val="20"/>
                <w:szCs w:val="20"/>
                <w:lang w:val="en-GB"/>
              </w:rPr>
              <w:t>DREP14  DREP05</w:t>
            </w:r>
          </w:p>
        </w:tc>
      </w:tr>
      <w:tr w:rsidR="00E77C30" w:rsidRPr="00367140">
        <w:trPr>
          <w:cantSplit/>
          <w:trHeight w:val="623"/>
        </w:trPr>
        <w:tc>
          <w:tcPr>
            <w:tcW w:w="1130" w:type="pct"/>
            <w:vMerge w:val="restart"/>
            <w:tcBorders>
              <w:top w:val="nil"/>
              <w:left w:val="nil"/>
              <w:bottom w:val="nil"/>
              <w:right w:val="nil"/>
            </w:tcBorders>
            <w:vAlign w:val="center"/>
          </w:tcPr>
          <w:p w:rsidR="00E77C30" w:rsidRPr="00367140" w:rsidRDefault="00E77C30" w:rsidP="005728EF">
            <w:pPr>
              <w:spacing w:line="360" w:lineRule="auto"/>
              <w:jc w:val="center"/>
              <w:rPr>
                <w:b/>
                <w:bCs/>
                <w:lang w:val="en-GB"/>
              </w:rPr>
            </w:pPr>
          </w:p>
          <w:p w:rsidR="00E77C30" w:rsidRPr="00367140" w:rsidRDefault="00E77C30" w:rsidP="005728EF">
            <w:pPr>
              <w:spacing w:line="360" w:lineRule="auto"/>
              <w:jc w:val="center"/>
              <w:rPr>
                <w:b/>
                <w:bCs/>
                <w:lang w:val="en-GB"/>
              </w:rPr>
            </w:pPr>
          </w:p>
        </w:tc>
        <w:tc>
          <w:tcPr>
            <w:tcW w:w="3870" w:type="pct"/>
            <w:gridSpan w:val="3"/>
            <w:tcBorders>
              <w:top w:val="nil"/>
              <w:left w:val="nil"/>
              <w:bottom w:val="nil"/>
              <w:right w:val="nil"/>
            </w:tcBorders>
          </w:tcPr>
          <w:p w:rsidR="00E77C30" w:rsidRPr="00367140" w:rsidRDefault="00E77C30" w:rsidP="005728EF">
            <w:pPr>
              <w:spacing w:line="360" w:lineRule="auto"/>
              <w:jc w:val="center"/>
              <w:rPr>
                <w:lang w:val="en-GB"/>
              </w:rPr>
            </w:pPr>
            <w:r w:rsidRPr="00367140">
              <w:rPr>
                <w:lang w:val="en-GB"/>
              </w:rPr>
              <w:t xml:space="preserve">                </w:t>
            </w:r>
          </w:p>
        </w:tc>
      </w:tr>
      <w:tr w:rsidR="00E77C30" w:rsidRPr="00367140">
        <w:trPr>
          <w:cantSplit/>
          <w:trHeight w:val="207"/>
        </w:trPr>
        <w:tc>
          <w:tcPr>
            <w:tcW w:w="1130" w:type="pct"/>
            <w:vMerge/>
            <w:tcBorders>
              <w:top w:val="nil"/>
              <w:left w:val="nil"/>
              <w:bottom w:val="nil"/>
              <w:right w:val="nil"/>
            </w:tcBorders>
          </w:tcPr>
          <w:p w:rsidR="00E77C30" w:rsidRPr="00367140" w:rsidRDefault="00E77C30" w:rsidP="005728EF">
            <w:pPr>
              <w:spacing w:line="360" w:lineRule="auto"/>
              <w:jc w:val="both"/>
              <w:rPr>
                <w:b/>
                <w:bCs/>
                <w:lang w:val="en-GB"/>
              </w:rPr>
            </w:pPr>
          </w:p>
        </w:tc>
        <w:tc>
          <w:tcPr>
            <w:tcW w:w="1255" w:type="pct"/>
            <w:tcBorders>
              <w:top w:val="nil"/>
              <w:left w:val="nil"/>
              <w:bottom w:val="nil"/>
              <w:right w:val="nil"/>
            </w:tcBorders>
          </w:tcPr>
          <w:p w:rsidR="00E77C30" w:rsidRPr="00367140" w:rsidRDefault="00E77C30" w:rsidP="005728EF">
            <w:pPr>
              <w:spacing w:line="360" w:lineRule="auto"/>
              <w:rPr>
                <w:b/>
                <w:bCs/>
                <w:lang w:val="en-GB"/>
              </w:rPr>
            </w:pPr>
            <w:r w:rsidRPr="00367140">
              <w:rPr>
                <w:b/>
                <w:bCs/>
                <w:lang w:val="en-GB"/>
              </w:rPr>
              <w:t xml:space="preserve">      -             -</w:t>
            </w:r>
          </w:p>
        </w:tc>
        <w:tc>
          <w:tcPr>
            <w:tcW w:w="2615" w:type="pct"/>
            <w:gridSpan w:val="2"/>
            <w:tcBorders>
              <w:top w:val="nil"/>
              <w:left w:val="nil"/>
              <w:bottom w:val="nil"/>
              <w:right w:val="nil"/>
            </w:tcBorders>
          </w:tcPr>
          <w:p w:rsidR="00E77C30" w:rsidRPr="00367140" w:rsidRDefault="00E77C30" w:rsidP="005728EF">
            <w:pPr>
              <w:spacing w:line="360" w:lineRule="auto"/>
              <w:rPr>
                <w:b/>
                <w:bCs/>
                <w:lang w:val="en-GB"/>
              </w:rPr>
            </w:pPr>
            <w:r w:rsidRPr="00367140">
              <w:rPr>
                <w:b/>
                <w:bCs/>
                <w:lang w:val="en-GB"/>
              </w:rPr>
              <w:t xml:space="preserve">   ++           +</w:t>
            </w:r>
          </w:p>
        </w:tc>
      </w:tr>
      <w:tr w:rsidR="00E77C30" w:rsidRPr="00367140">
        <w:trPr>
          <w:cantSplit/>
          <w:trHeight w:val="650"/>
        </w:trPr>
        <w:tc>
          <w:tcPr>
            <w:tcW w:w="1130" w:type="pct"/>
            <w:vMerge w:val="restart"/>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3870" w:type="pct"/>
            <w:gridSpan w:val="3"/>
            <w:tcBorders>
              <w:top w:val="nil"/>
              <w:left w:val="nil"/>
              <w:bottom w:val="nil"/>
              <w:right w:val="nil"/>
            </w:tcBorders>
          </w:tcPr>
          <w:p w:rsidR="00E77C30" w:rsidRPr="00367140" w:rsidRDefault="00E77C30" w:rsidP="005728EF">
            <w:pPr>
              <w:spacing w:line="360" w:lineRule="auto"/>
              <w:jc w:val="both"/>
              <w:rPr>
                <w:b/>
                <w:bCs/>
                <w:lang w:val="en-GB"/>
              </w:rPr>
            </w:pPr>
          </w:p>
        </w:tc>
      </w:tr>
      <w:tr w:rsidR="00E77C30" w:rsidRPr="00367140">
        <w:trPr>
          <w:cantSplit/>
          <w:trHeight w:val="133"/>
        </w:trPr>
        <w:tc>
          <w:tcPr>
            <w:tcW w:w="1130" w:type="pct"/>
            <w:vMerge/>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1255"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7"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8" w:type="pct"/>
            <w:tcBorders>
              <w:top w:val="nil"/>
              <w:left w:val="nil"/>
              <w:bottom w:val="nil"/>
              <w:right w:val="nil"/>
            </w:tcBorders>
            <w:vAlign w:val="center"/>
          </w:tcPr>
          <w:p w:rsidR="00E77C30" w:rsidRPr="00367140" w:rsidRDefault="00E77C30" w:rsidP="005728EF">
            <w:pPr>
              <w:spacing w:line="360" w:lineRule="auto"/>
              <w:jc w:val="center"/>
              <w:rPr>
                <w:b/>
                <w:bCs/>
                <w:lang w:val="en-GB"/>
              </w:rPr>
            </w:pPr>
          </w:p>
        </w:tc>
      </w:tr>
      <w:tr w:rsidR="00E77C30" w:rsidRPr="00367140">
        <w:trPr>
          <w:cantSplit/>
          <w:trHeight w:val="705"/>
        </w:trPr>
        <w:tc>
          <w:tcPr>
            <w:tcW w:w="1130" w:type="pct"/>
            <w:vMerge w:val="restart"/>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3870" w:type="pct"/>
            <w:gridSpan w:val="3"/>
            <w:tcBorders>
              <w:top w:val="nil"/>
              <w:left w:val="nil"/>
              <w:bottom w:val="nil"/>
              <w:right w:val="nil"/>
            </w:tcBorders>
          </w:tcPr>
          <w:p w:rsidR="00E77C30" w:rsidRPr="00367140" w:rsidRDefault="00E77C30" w:rsidP="005728EF">
            <w:pPr>
              <w:spacing w:line="360" w:lineRule="auto"/>
              <w:jc w:val="both"/>
              <w:rPr>
                <w:b/>
                <w:bCs/>
                <w:lang w:val="en-GB"/>
              </w:rPr>
            </w:pPr>
          </w:p>
        </w:tc>
      </w:tr>
      <w:tr w:rsidR="00E77C30" w:rsidRPr="00367140">
        <w:trPr>
          <w:cantSplit/>
          <w:trHeight w:val="133"/>
        </w:trPr>
        <w:tc>
          <w:tcPr>
            <w:tcW w:w="1130" w:type="pct"/>
            <w:vMerge/>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1255"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7"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8" w:type="pct"/>
            <w:tcBorders>
              <w:top w:val="nil"/>
              <w:left w:val="nil"/>
              <w:bottom w:val="nil"/>
              <w:right w:val="nil"/>
            </w:tcBorders>
            <w:vAlign w:val="center"/>
          </w:tcPr>
          <w:p w:rsidR="00E77C30" w:rsidRPr="00367140" w:rsidRDefault="00E77C30" w:rsidP="005728EF">
            <w:pPr>
              <w:spacing w:line="360" w:lineRule="auto"/>
              <w:jc w:val="center"/>
              <w:rPr>
                <w:b/>
                <w:bCs/>
                <w:lang w:val="en-GB"/>
              </w:rPr>
            </w:pPr>
          </w:p>
        </w:tc>
      </w:tr>
      <w:tr w:rsidR="00E77C30" w:rsidRPr="00367140">
        <w:trPr>
          <w:cantSplit/>
          <w:trHeight w:val="589"/>
        </w:trPr>
        <w:tc>
          <w:tcPr>
            <w:tcW w:w="1130" w:type="pct"/>
            <w:vMerge w:val="restart"/>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3870" w:type="pct"/>
            <w:gridSpan w:val="3"/>
            <w:tcBorders>
              <w:top w:val="nil"/>
              <w:left w:val="nil"/>
              <w:bottom w:val="nil"/>
              <w:right w:val="nil"/>
            </w:tcBorders>
          </w:tcPr>
          <w:p w:rsidR="00E77C30" w:rsidRPr="00367140" w:rsidRDefault="00E77C30" w:rsidP="005728EF">
            <w:pPr>
              <w:spacing w:line="360" w:lineRule="auto"/>
              <w:jc w:val="both"/>
              <w:rPr>
                <w:b/>
                <w:bCs/>
                <w:lang w:val="en-GB"/>
              </w:rPr>
            </w:pPr>
          </w:p>
        </w:tc>
      </w:tr>
      <w:tr w:rsidR="00E77C30" w:rsidRPr="00367140">
        <w:trPr>
          <w:cantSplit/>
          <w:trHeight w:val="133"/>
        </w:trPr>
        <w:tc>
          <w:tcPr>
            <w:tcW w:w="1130" w:type="pct"/>
            <w:vMerge/>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1255"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7"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8" w:type="pct"/>
            <w:tcBorders>
              <w:top w:val="nil"/>
              <w:left w:val="nil"/>
              <w:bottom w:val="nil"/>
              <w:right w:val="nil"/>
            </w:tcBorders>
            <w:vAlign w:val="center"/>
          </w:tcPr>
          <w:p w:rsidR="00E77C30" w:rsidRPr="00367140" w:rsidRDefault="00E77C30" w:rsidP="005728EF">
            <w:pPr>
              <w:spacing w:line="360" w:lineRule="auto"/>
              <w:jc w:val="center"/>
              <w:rPr>
                <w:b/>
                <w:bCs/>
                <w:lang w:val="en-GB"/>
              </w:rPr>
            </w:pPr>
          </w:p>
        </w:tc>
      </w:tr>
      <w:tr w:rsidR="00E77C30" w:rsidRPr="00367140">
        <w:trPr>
          <w:cantSplit/>
          <w:trHeight w:val="616"/>
        </w:trPr>
        <w:tc>
          <w:tcPr>
            <w:tcW w:w="1130" w:type="pct"/>
            <w:vMerge w:val="restart"/>
            <w:tcBorders>
              <w:top w:val="nil"/>
              <w:left w:val="nil"/>
              <w:bottom w:val="nil"/>
              <w:right w:val="nil"/>
            </w:tcBorders>
            <w:vAlign w:val="center"/>
          </w:tcPr>
          <w:p w:rsidR="00E77C30" w:rsidRPr="00367140" w:rsidRDefault="00E77C30" w:rsidP="005728EF">
            <w:pPr>
              <w:spacing w:line="360" w:lineRule="auto"/>
              <w:jc w:val="center"/>
              <w:rPr>
                <w:b/>
                <w:bCs/>
                <w:lang w:val="en-GB"/>
              </w:rPr>
            </w:pPr>
          </w:p>
        </w:tc>
        <w:tc>
          <w:tcPr>
            <w:tcW w:w="3870" w:type="pct"/>
            <w:gridSpan w:val="3"/>
            <w:tcBorders>
              <w:top w:val="nil"/>
              <w:left w:val="nil"/>
              <w:bottom w:val="nil"/>
              <w:right w:val="nil"/>
            </w:tcBorders>
          </w:tcPr>
          <w:p w:rsidR="00E77C30" w:rsidRPr="00367140" w:rsidRDefault="00E77C30" w:rsidP="005728EF">
            <w:pPr>
              <w:spacing w:line="360" w:lineRule="auto"/>
              <w:jc w:val="both"/>
              <w:rPr>
                <w:b/>
                <w:bCs/>
                <w:lang w:val="en-GB"/>
              </w:rPr>
            </w:pPr>
          </w:p>
        </w:tc>
      </w:tr>
      <w:tr w:rsidR="00E77C30" w:rsidRPr="00367140">
        <w:trPr>
          <w:cantSplit/>
          <w:trHeight w:val="133"/>
        </w:trPr>
        <w:tc>
          <w:tcPr>
            <w:tcW w:w="1130" w:type="pct"/>
            <w:vMerge/>
            <w:tcBorders>
              <w:top w:val="nil"/>
              <w:left w:val="nil"/>
              <w:bottom w:val="nil"/>
              <w:right w:val="nil"/>
            </w:tcBorders>
          </w:tcPr>
          <w:p w:rsidR="00E77C30" w:rsidRPr="00367140" w:rsidRDefault="00E77C30" w:rsidP="005728EF">
            <w:pPr>
              <w:spacing w:line="360" w:lineRule="auto"/>
              <w:jc w:val="both"/>
              <w:rPr>
                <w:lang w:val="en-GB"/>
              </w:rPr>
            </w:pPr>
          </w:p>
        </w:tc>
        <w:tc>
          <w:tcPr>
            <w:tcW w:w="1255"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w:t>
            </w:r>
          </w:p>
        </w:tc>
        <w:tc>
          <w:tcPr>
            <w:tcW w:w="1307" w:type="pct"/>
            <w:tcBorders>
              <w:top w:val="nil"/>
              <w:left w:val="nil"/>
              <w:bottom w:val="nil"/>
              <w:right w:val="nil"/>
            </w:tcBorders>
            <w:vAlign w:val="center"/>
          </w:tcPr>
          <w:p w:rsidR="00E77C30" w:rsidRPr="00367140" w:rsidRDefault="00E77C30" w:rsidP="005728EF">
            <w:pPr>
              <w:spacing w:line="360" w:lineRule="auto"/>
              <w:rPr>
                <w:b/>
                <w:bCs/>
                <w:lang w:val="en-GB"/>
              </w:rPr>
            </w:pPr>
            <w:r w:rsidRPr="00367140">
              <w:rPr>
                <w:b/>
                <w:bCs/>
                <w:lang w:val="en-GB"/>
              </w:rPr>
              <w:t xml:space="preserve">    +             - </w:t>
            </w:r>
          </w:p>
        </w:tc>
        <w:tc>
          <w:tcPr>
            <w:tcW w:w="1308" w:type="pct"/>
            <w:tcBorders>
              <w:top w:val="nil"/>
              <w:left w:val="nil"/>
              <w:bottom w:val="nil"/>
              <w:right w:val="nil"/>
            </w:tcBorders>
            <w:vAlign w:val="center"/>
          </w:tcPr>
          <w:p w:rsidR="00E77C30" w:rsidRPr="00367140" w:rsidRDefault="00E77C30" w:rsidP="005728EF">
            <w:pPr>
              <w:spacing w:line="360" w:lineRule="auto"/>
              <w:jc w:val="center"/>
              <w:rPr>
                <w:b/>
                <w:bCs/>
                <w:lang w:val="en-GB"/>
              </w:rPr>
            </w:pPr>
          </w:p>
        </w:tc>
      </w:tr>
    </w:tbl>
    <w:p w:rsidR="00E77C30" w:rsidRPr="00367140" w:rsidRDefault="00E77C30" w:rsidP="006B457B">
      <w:pPr>
        <w:spacing w:line="360" w:lineRule="auto"/>
        <w:rPr>
          <w:lang w:val="en-US"/>
        </w:rPr>
      </w:pPr>
    </w:p>
    <w:p w:rsidR="00E77C30" w:rsidRPr="00367140" w:rsidRDefault="00E77C30" w:rsidP="006B457B">
      <w:pPr>
        <w:spacing w:line="360" w:lineRule="auto"/>
        <w:jc w:val="both"/>
        <w:rPr>
          <w:lang w:val="en-US"/>
        </w:rPr>
      </w:pPr>
      <w:r>
        <w:rPr>
          <w:noProof/>
          <w:lang w:val="en-US" w:eastAsia="zh-CN"/>
        </w:rPr>
        <w:pict>
          <v:group id="_x0000_s1026" style="position:absolute;left:0;text-align:left;margin-left:25.1pt;margin-top:-.05pt;width:509.05pt;height:263.65pt;z-index:251654656" coordorigin="1942,1868" coordsize="10181,5273">
            <v:rect id="_x0000_s1027" style="position:absolute;left:3890;top:5387;width:3550;height:533" filled="f" stroked="f" strokeweight=".55pt">
              <v:stroke endcap="round"/>
            </v:rect>
            <v:shapetype id="_x0000_t202" coordsize="21600,21600" o:spt="202" path="m,l,21600r21600,l21600,xe">
              <v:stroke joinstyle="miter"/>
              <v:path gradientshapeok="t" o:connecttype="rect"/>
            </v:shapetype>
            <v:shape id="_x0000_s1028" type="#_x0000_t202" style="position:absolute;left:7434;top:2251;width:2434;height:540" filled="f" stroked="f">
              <v:textbox style="mso-next-textbox:#_x0000_s1028">
                <w:txbxContent>
                  <w:p w:rsidR="00E77C30" w:rsidRDefault="00E77C30" w:rsidP="006B457B">
                    <w:pPr>
                      <w:rPr>
                        <w:b/>
                        <w:bCs/>
                        <w:i/>
                        <w:iCs/>
                      </w:rPr>
                    </w:pPr>
                    <w:r>
                      <w:rPr>
                        <w:b/>
                        <w:bCs/>
                        <w:i/>
                        <w:iCs/>
                      </w:rPr>
                      <w:t>◄</w:t>
                    </w:r>
                  </w:p>
                </w:txbxContent>
              </v:textbox>
            </v:shape>
            <v:shape id="_x0000_s1029" type="#_x0000_t202" style="position:absolute;left:7419;top:3531;width:4136;height:540" filled="f" stroked="f">
              <v:textbox style="mso-next-textbox:#_x0000_s1029">
                <w:txbxContent>
                  <w:p w:rsidR="00E77C30" w:rsidRDefault="00E77C30" w:rsidP="006B457B">
                    <w:pPr>
                      <w:rPr>
                        <w:b/>
                        <w:bCs/>
                        <w:i/>
                        <w:iCs/>
                      </w:rPr>
                    </w:pPr>
                    <w:r>
                      <w:rPr>
                        <w:b/>
                        <w:bCs/>
                        <w:i/>
                        <w:iCs/>
                      </w:rPr>
                      <w:t>◄</w:t>
                    </w:r>
                  </w:p>
                </w:txbxContent>
              </v:textbox>
            </v:shape>
            <v:shape id="_x0000_s1030" type="#_x0000_t202" style="position:absolute;left:7420;top:4443;width:3656;height:540" filled="f" stroked="f">
              <v:textbox style="mso-next-textbox:#_x0000_s1030">
                <w:txbxContent>
                  <w:p w:rsidR="00E77C30" w:rsidRDefault="00E77C30" w:rsidP="006B457B">
                    <w:pPr>
                      <w:rPr>
                        <w:b/>
                        <w:bCs/>
                        <w:i/>
                        <w:iCs/>
                      </w:rPr>
                    </w:pPr>
                    <w:r>
                      <w:rPr>
                        <w:b/>
                        <w:bCs/>
                        <w:i/>
                        <w:iCs/>
                      </w:rPr>
                      <w:t>◄</w:t>
                    </w:r>
                  </w:p>
                </w:txbxContent>
              </v:textbox>
            </v:shape>
            <v:shape id="_x0000_s1031" type="#_x0000_t202" style="position:absolute;left:7403;top:5551;width:4369;height:540" filled="f" stroked="f">
              <v:textbox style="mso-next-textbox:#_x0000_s1031">
                <w:txbxContent>
                  <w:p w:rsidR="00E77C30" w:rsidRDefault="00E77C30" w:rsidP="006B457B">
                    <w:pPr>
                      <w:rPr>
                        <w:b/>
                        <w:bCs/>
                        <w:i/>
                        <w:iCs/>
                      </w:rPr>
                    </w:pPr>
                    <w:r>
                      <w:rPr>
                        <w:b/>
                        <w:bCs/>
                        <w:i/>
                        <w:iCs/>
                      </w:rPr>
                      <w:t>◄</w:t>
                    </w:r>
                  </w:p>
                </w:txbxContent>
              </v:textbox>
            </v:shape>
            <v:shape id="_x0000_s1032" type="#_x0000_t202" style="position:absolute;left:7411;top:6552;width:4712;height:540" filled="f" stroked="f">
              <v:textbox style="mso-next-textbox:#_x0000_s1032">
                <w:txbxContent>
                  <w:p w:rsidR="00E77C30" w:rsidRDefault="00E77C30" w:rsidP="006B457B">
                    <w:pPr>
                      <w:rPr>
                        <w:b/>
                        <w:bCs/>
                        <w:i/>
                        <w:iCs/>
                      </w:rPr>
                    </w:pPr>
                    <w:r>
                      <w:rPr>
                        <w:b/>
                        <w:bCs/>
                        <w:i/>
                        <w:iCs/>
                      </w:rPr>
                      <w:t>◄</w:t>
                    </w:r>
                  </w:p>
                </w:txbxContent>
              </v:textbox>
            </v:shape>
            <v:line id="_x0000_s1033" style="position:absolute" from="4001,2083" to="7520,2083"/>
            <v:rect id="_x0000_s1034" style="position:absolute;left:5707;top:1868;width:180;height:360" stroked="f"/>
            <v:shape id="_x0000_s1035" type="#_x0000_t202" style="position:absolute;left:2265;top:2272;width:1683;height:540" filled="f" stroked="f">
              <v:textbox style="mso-next-textbox:#_x0000_s1035">
                <w:txbxContent>
                  <w:p w:rsidR="00E77C30" w:rsidRDefault="00E77C30" w:rsidP="006B457B">
                    <w:pPr>
                      <w:rPr>
                        <w:sz w:val="20"/>
                        <w:szCs w:val="20"/>
                      </w:rPr>
                    </w:pPr>
                    <w:r>
                      <w:rPr>
                        <w:b/>
                        <w:bCs/>
                        <w:sz w:val="20"/>
                        <w:szCs w:val="20"/>
                        <w:lang w:val="en-GB"/>
                      </w:rPr>
                      <w:t>11-9 (ME4/P9)</w:t>
                    </w:r>
                  </w:p>
                </w:txbxContent>
              </v:textbox>
            </v:shape>
            <v:shape id="_x0000_s1036" type="#_x0000_t202" style="position:absolute;left:2288;top:3351;width:1683;height:540" filled="f" stroked="f">
              <v:textbox style="mso-next-textbox:#_x0000_s1036">
                <w:txbxContent>
                  <w:p w:rsidR="00E77C30" w:rsidRDefault="00E77C30" w:rsidP="006B457B">
                    <w:pPr>
                      <w:rPr>
                        <w:sz w:val="20"/>
                        <w:szCs w:val="20"/>
                      </w:rPr>
                    </w:pPr>
                    <w:r>
                      <w:rPr>
                        <w:b/>
                        <w:bCs/>
                        <w:sz w:val="20"/>
                        <w:szCs w:val="20"/>
                        <w:lang w:val="en-GB"/>
                      </w:rPr>
                      <w:t>12-5 (ME5/P3)</w:t>
                    </w:r>
                  </w:p>
                </w:txbxContent>
              </v:textbox>
            </v:shape>
            <v:shape id="_x0000_s1037" type="#_x0000_t202" style="position:absolute;left:1942;top:4421;width:2057;height:540" filled="f" stroked="f">
              <v:textbox style="mso-next-textbox:#_x0000_s1037">
                <w:txbxContent>
                  <w:p w:rsidR="00E77C30" w:rsidRDefault="00E77C30" w:rsidP="006B457B">
                    <w:pPr>
                      <w:rPr>
                        <w:sz w:val="20"/>
                        <w:szCs w:val="20"/>
                      </w:rPr>
                    </w:pPr>
                    <w:r>
                      <w:rPr>
                        <w:b/>
                        <w:bCs/>
                        <w:sz w:val="20"/>
                        <w:szCs w:val="20"/>
                        <w:lang w:val="en-GB"/>
                      </w:rPr>
                      <w:t xml:space="preserve">     12-11 (ME5/P3)</w:t>
                    </w:r>
                  </w:p>
                </w:txbxContent>
              </v:textbox>
            </v:shape>
            <v:shape id="_x0000_s1038" type="#_x0000_t202" style="position:absolute;left:2293;top:5506;width:1683;height:540" filled="f" stroked="f">
              <v:textbox style="mso-next-textbox:#_x0000_s1038">
                <w:txbxContent>
                  <w:p w:rsidR="00E77C30" w:rsidRDefault="00E77C30" w:rsidP="006B457B">
                    <w:pPr>
                      <w:rPr>
                        <w:sz w:val="20"/>
                        <w:szCs w:val="20"/>
                      </w:rPr>
                    </w:pPr>
                    <w:r>
                      <w:rPr>
                        <w:b/>
                        <w:bCs/>
                        <w:sz w:val="20"/>
                        <w:szCs w:val="20"/>
                        <w:lang w:val="en-GB"/>
                      </w:rPr>
                      <w:t>12-7 (ME5/P3)</w:t>
                    </w:r>
                  </w:p>
                </w:txbxContent>
              </v:textbox>
            </v:shape>
            <v:shape id="_x0000_s1039" type="#_x0000_t202" style="position:absolute;left:2281;top:6601;width:1683;height:540" filled="f" fillcolor="#339" stroked="f">
              <v:textbox style="mso-next-textbox:#_x0000_s1039">
                <w:txbxContent>
                  <w:p w:rsidR="00E77C30" w:rsidRDefault="00E77C30" w:rsidP="006B457B">
                    <w:pPr>
                      <w:rPr>
                        <w:sz w:val="20"/>
                        <w:szCs w:val="20"/>
                      </w:rPr>
                    </w:pPr>
                    <w:r>
                      <w:rPr>
                        <w:b/>
                        <w:bCs/>
                        <w:sz w:val="20"/>
                        <w:szCs w:val="20"/>
                        <w:lang w:val="en-GB"/>
                      </w:rPr>
                      <w:t>11-4 (ME4/P9)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3964;top:5473;width:3569;height:513">
              <v:imagedata r:id="rId13" o:title=""/>
            </v:shape>
            <v:rect id="_x0000_s1041" style="position:absolute;left:8530;top:4665;width:3550;height:533" filled="f" stroked="f" strokeweight=".55pt">
              <v:stroke endcap="round"/>
            </v:rect>
            <v:shape id="_x0000_s1042" type="#_x0000_t75" style="position:absolute;left:3982;top:2209;width:3538;height:512">
              <v:imagedata r:id="rId14" o:title=""/>
            </v:shape>
            <v:rect id="_x0000_s1043" style="position:absolute;left:3974;top:2198;width:3557;height:533" filled="f" stroked="f" strokeweight=".55pt">
              <v:stroke endcap="round"/>
            </v:rect>
            <v:shape id="_x0000_s1044" type="#_x0000_t75" style="position:absolute;left:3986;top:3284;width:3543;height:553">
              <v:imagedata r:id="rId15" o:title=""/>
            </v:shape>
            <v:rect id="_x0000_s1045" style="position:absolute;left:3966;top:3004;width:3574;height:575" filled="f" stroked="f">
              <v:stroke endcap="round"/>
            </v:rect>
            <v:shape id="_x0000_s1046" type="#_x0000_t75" style="position:absolute;left:3967;top:6613;width:3554;height:430">
              <v:imagedata r:id="rId16" o:title=""/>
            </v:shape>
            <v:rect id="_x0000_s1047" style="position:absolute;left:3986;top:6561;width:3568;height:455;rotation:180" filled="f" stroked="f" strokeweight=".55pt">
              <v:stroke endcap="round"/>
            </v:rect>
            <v:shape id="_x0000_s1048" type="#_x0000_t75" style="position:absolute;left:3965;top:4377;width:3565;height:588">
              <v:imagedata r:id="rId17" o:title=""/>
            </v:shape>
            <v:rect id="_x0000_s1049" style="position:absolute;left:4038;top:3963;width:3581;height:604" filled="f" stroked="f" strokeweight=".55pt">
              <v:stroke endcap="round"/>
            </v:rect>
          </v:group>
        </w:pict>
      </w: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b/>
          <w:bCs/>
          <w:lang w:val="en-US"/>
        </w:rPr>
      </w:pPr>
    </w:p>
    <w:p w:rsidR="00E77C30" w:rsidRPr="00367140" w:rsidRDefault="00E77C30" w:rsidP="006B457B">
      <w:pPr>
        <w:spacing w:line="360" w:lineRule="auto"/>
        <w:jc w:val="both"/>
        <w:rPr>
          <w:b/>
          <w:bCs/>
          <w:lang w:val="en-US"/>
        </w:rPr>
      </w:pPr>
    </w:p>
    <w:p w:rsidR="00E77C30" w:rsidRPr="00367140" w:rsidRDefault="00E77C30" w:rsidP="006B457B">
      <w:pPr>
        <w:spacing w:line="360" w:lineRule="auto"/>
        <w:ind w:left="1410" w:hanging="1410"/>
        <w:jc w:val="both"/>
        <w:rPr>
          <w:lang w:val="en-US"/>
        </w:rPr>
      </w:pPr>
      <w:r w:rsidRPr="00367140">
        <w:rPr>
          <w:b/>
          <w:bCs/>
          <w:lang w:val="en-US"/>
        </w:rPr>
        <w:t>Fig</w:t>
      </w:r>
      <w:r>
        <w:rPr>
          <w:b/>
          <w:bCs/>
          <w:lang w:val="en-US"/>
        </w:rPr>
        <w:t>ure 1:</w:t>
      </w:r>
      <w:r>
        <w:rPr>
          <w:b/>
          <w:bCs/>
          <w:lang w:val="en-US"/>
        </w:rPr>
        <w:tab/>
      </w:r>
      <w:r w:rsidRPr="00367140">
        <w:rPr>
          <w:lang w:val="en-US"/>
        </w:rPr>
        <w:t xml:space="preserve">Display of cDNAs selected from cutaneous (DREP 14 and DREP05) and visceral (LV49 and LV50) </w:t>
      </w:r>
      <w:r w:rsidRPr="00367140">
        <w:rPr>
          <w:i/>
          <w:iCs/>
          <w:lang w:val="en-US"/>
        </w:rPr>
        <w:t>L. infantum</w:t>
      </w:r>
      <w:r w:rsidRPr="00367140">
        <w:rPr>
          <w:lang w:val="en-US"/>
        </w:rPr>
        <w:t xml:space="preserve"> isolates.</w:t>
      </w: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r>
        <w:rPr>
          <w:noProof/>
          <w:lang w:val="en-US" w:eastAsia="zh-CN"/>
        </w:rPr>
        <w:pict>
          <v:group id="_x0000_s1050" style="position:absolute;left:0;text-align:left;margin-left:-21.75pt;margin-top:7.4pt;width:289.85pt;height:424.5pt;z-index:-251658752" coordorigin="5676,1588" coordsize="5797,8490">
            <v:shape id="_x0000_s1051" type="#_x0000_t75" style="position:absolute;left:5676;top:1588;width:5550;height:8490">
              <v:imagedata r:id="rId18" o:title=""/>
              <o:lock v:ext="edit" aspectratio="f"/>
            </v:shape>
            <v:shape id="_x0000_s1052" type="#_x0000_t202" style="position:absolute;left:10195;top:2381;width:595;height:594" filled="f" stroked="f">
              <v:textbox style="mso-next-textbox:#_x0000_s1052">
                <w:txbxContent>
                  <w:p w:rsidR="00E77C30" w:rsidRDefault="00E77C30" w:rsidP="006B457B">
                    <w:pPr>
                      <w:rPr>
                        <w:b/>
                        <w:bCs/>
                        <w:sz w:val="20"/>
                        <w:szCs w:val="20"/>
                      </w:rPr>
                    </w:pPr>
                    <w:r>
                      <w:rPr>
                        <w:b/>
                        <w:bCs/>
                        <w:sz w:val="20"/>
                        <w:szCs w:val="20"/>
                      </w:rPr>
                      <w:t>A</w:t>
                    </w:r>
                  </w:p>
                </w:txbxContent>
              </v:textbox>
            </v:shape>
            <v:shape id="_x0000_s1053" type="#_x0000_t202" style="position:absolute;left:10194;top:4712;width:783;height:328" filled="f" stroked="f">
              <v:textbox style="mso-next-textbox:#_x0000_s1053">
                <w:txbxContent>
                  <w:p w:rsidR="00E77C30" w:rsidRDefault="00E77C30" w:rsidP="006B457B">
                    <w:pPr>
                      <w:rPr>
                        <w:b/>
                        <w:bCs/>
                        <w:sz w:val="20"/>
                        <w:szCs w:val="20"/>
                      </w:rPr>
                    </w:pPr>
                    <w:r>
                      <w:rPr>
                        <w:b/>
                        <w:bCs/>
                        <w:sz w:val="20"/>
                        <w:szCs w:val="20"/>
                      </w:rPr>
                      <w:t>A</w:t>
                    </w:r>
                  </w:p>
                </w:txbxContent>
              </v:textbox>
            </v:shape>
            <v:shape id="_x0000_s1054" type="#_x0000_t202" style="position:absolute;left:10190;top:5879;width:787;height:594" filled="f" stroked="f">
              <v:textbox style="mso-next-textbox:#_x0000_s1054">
                <w:txbxContent>
                  <w:p w:rsidR="00E77C30" w:rsidRDefault="00E77C30" w:rsidP="006B457B">
                    <w:pPr>
                      <w:rPr>
                        <w:b/>
                        <w:bCs/>
                        <w:sz w:val="20"/>
                        <w:szCs w:val="20"/>
                      </w:rPr>
                    </w:pPr>
                    <w:r>
                      <w:rPr>
                        <w:b/>
                        <w:bCs/>
                        <w:sz w:val="20"/>
                        <w:szCs w:val="20"/>
                      </w:rPr>
                      <w:t>B</w:t>
                    </w:r>
                  </w:p>
                </w:txbxContent>
              </v:textbox>
            </v:shape>
            <v:shape id="_x0000_s1055" type="#_x0000_t202" style="position:absolute;left:10191;top:3543;width:786;height:594" filled="f" stroked="f">
              <v:textbox style="mso-next-textbox:#_x0000_s1055">
                <w:txbxContent>
                  <w:p w:rsidR="00E77C30" w:rsidRDefault="00E77C30" w:rsidP="006B457B">
                    <w:pPr>
                      <w:rPr>
                        <w:b/>
                        <w:bCs/>
                        <w:sz w:val="20"/>
                        <w:szCs w:val="20"/>
                      </w:rPr>
                    </w:pPr>
                    <w:r>
                      <w:rPr>
                        <w:b/>
                        <w:bCs/>
                        <w:sz w:val="20"/>
                        <w:szCs w:val="20"/>
                      </w:rPr>
                      <w:t>B</w:t>
                    </w:r>
                  </w:p>
                </w:txbxContent>
              </v:textbox>
            </v:shape>
            <v:shape id="_x0000_s1056" type="#_x0000_t202" style="position:absolute;left:10190;top:7995;width:600;height:594" filled="f" stroked="f">
              <v:textbox style="mso-next-textbox:#_x0000_s1056">
                <w:txbxContent>
                  <w:p w:rsidR="00E77C30" w:rsidRDefault="00E77C30" w:rsidP="006B457B">
                    <w:pPr>
                      <w:rPr>
                        <w:b/>
                        <w:bCs/>
                        <w:sz w:val="20"/>
                        <w:szCs w:val="20"/>
                      </w:rPr>
                    </w:pPr>
                    <w:r>
                      <w:rPr>
                        <w:b/>
                        <w:bCs/>
                        <w:sz w:val="20"/>
                        <w:szCs w:val="20"/>
                      </w:rPr>
                      <w:t>D</w:t>
                    </w:r>
                  </w:p>
                </w:txbxContent>
              </v:textbox>
            </v:shape>
            <v:shape id="_x0000_s1057" type="#_x0000_t202" style="position:absolute;left:10193;top:7037;width:784;height:594" filled="f" stroked="f">
              <v:textbox style="mso-next-textbox:#_x0000_s1057">
                <w:txbxContent>
                  <w:p w:rsidR="00E77C30" w:rsidRDefault="00E77C30" w:rsidP="006B457B">
                    <w:pPr>
                      <w:rPr>
                        <w:b/>
                        <w:bCs/>
                        <w:sz w:val="20"/>
                        <w:szCs w:val="20"/>
                      </w:rPr>
                    </w:pPr>
                    <w:r>
                      <w:rPr>
                        <w:b/>
                        <w:bCs/>
                        <w:sz w:val="20"/>
                        <w:szCs w:val="20"/>
                      </w:rPr>
                      <w:t>C</w:t>
                    </w:r>
                  </w:p>
                </w:txbxContent>
              </v:textbox>
            </v:shape>
            <v:shape id="_x0000_s1058" type="#_x0000_t202" style="position:absolute;left:9252;top:1738;width:2221;height:594" filled="f" stroked="f">
              <v:textbox style="mso-next-textbox:#_x0000_s1058">
                <w:txbxContent>
                  <w:p w:rsidR="00E77C30" w:rsidRDefault="00E77C30" w:rsidP="006B457B">
                    <w:pPr>
                      <w:jc w:val="center"/>
                      <w:rPr>
                        <w:b/>
                        <w:bCs/>
                        <w:sz w:val="20"/>
                        <w:szCs w:val="20"/>
                      </w:rPr>
                    </w:pPr>
                    <w:r>
                      <w:rPr>
                        <w:b/>
                        <w:bCs/>
                        <w:sz w:val="20"/>
                        <w:szCs w:val="20"/>
                      </w:rPr>
                      <w:t>Expression pattern</w:t>
                    </w:r>
                  </w:p>
                </w:txbxContent>
              </v:textbox>
            </v:shape>
            <v:shape id="_x0000_s1059" type="#_x0000_t202" style="position:absolute;left:6626;top:2363;width:231;height:396" filled="f" stroked="f">
              <v:textbox style="mso-next-textbox:#_x0000_s1059">
                <w:txbxContent>
                  <w:p w:rsidR="00E77C30" w:rsidRDefault="00E77C30" w:rsidP="006B457B">
                    <w:pPr>
                      <w:rPr>
                        <w:sz w:val="16"/>
                        <w:szCs w:val="16"/>
                      </w:rPr>
                    </w:pPr>
                    <w:r>
                      <w:rPr>
                        <w:sz w:val="16"/>
                        <w:szCs w:val="16"/>
                      </w:rPr>
                      <w:t>*</w:t>
                    </w:r>
                  </w:p>
                </w:txbxContent>
              </v:textbox>
            </v:shape>
            <v:shape id="_x0000_s1060" type="#_x0000_t202" style="position:absolute;left:7659;top:2792;width:231;height:395" filled="f" stroked="f">
              <v:textbox style="mso-next-textbox:#_x0000_s1060">
                <w:txbxContent>
                  <w:p w:rsidR="00E77C30" w:rsidRDefault="00E77C30" w:rsidP="006B457B">
                    <w:pPr>
                      <w:rPr>
                        <w:sz w:val="16"/>
                        <w:szCs w:val="16"/>
                      </w:rPr>
                    </w:pPr>
                    <w:r>
                      <w:rPr>
                        <w:sz w:val="16"/>
                        <w:szCs w:val="16"/>
                      </w:rPr>
                      <w:t>*</w:t>
                    </w:r>
                  </w:p>
                </w:txbxContent>
              </v:textbox>
            </v:shape>
            <v:shape id="_x0000_s1061" type="#_x0000_t202" style="position:absolute;left:7419;top:3733;width:231;height:395" filled="f" stroked="f">
              <v:textbox style="mso-next-textbox:#_x0000_s1061">
                <w:txbxContent>
                  <w:p w:rsidR="00E77C30" w:rsidRDefault="00E77C30" w:rsidP="006B457B">
                    <w:pPr>
                      <w:rPr>
                        <w:sz w:val="16"/>
                        <w:szCs w:val="16"/>
                      </w:rPr>
                    </w:pPr>
                    <w:r>
                      <w:rPr>
                        <w:sz w:val="16"/>
                        <w:szCs w:val="16"/>
                      </w:rPr>
                      <w:t>*</w:t>
                    </w:r>
                  </w:p>
                </w:txbxContent>
              </v:textbox>
            </v:shape>
            <v:shape id="_x0000_s1062" type="#_x0000_t202" style="position:absolute;left:6400;top:4481;width:231;height:395" filled="f" stroked="f">
              <v:textbox style="mso-next-textbox:#_x0000_s1062">
                <w:txbxContent>
                  <w:p w:rsidR="00E77C30" w:rsidRDefault="00E77C30" w:rsidP="006B457B">
                    <w:pPr>
                      <w:rPr>
                        <w:sz w:val="16"/>
                        <w:szCs w:val="16"/>
                      </w:rPr>
                    </w:pPr>
                    <w:r>
                      <w:rPr>
                        <w:sz w:val="16"/>
                        <w:szCs w:val="16"/>
                      </w:rPr>
                      <w:t>*</w:t>
                    </w:r>
                  </w:p>
                </w:txbxContent>
              </v:textbox>
            </v:shape>
            <v:shape id="_x0000_s1063" type="#_x0000_t202" style="position:absolute;left:6530;top:4699;width:231;height:394" filled="f" stroked="f">
              <v:textbox style="mso-next-textbox:#_x0000_s1063">
                <w:txbxContent>
                  <w:p w:rsidR="00E77C30" w:rsidRDefault="00E77C30" w:rsidP="006B457B">
                    <w:pPr>
                      <w:rPr>
                        <w:sz w:val="16"/>
                        <w:szCs w:val="16"/>
                      </w:rPr>
                    </w:pPr>
                    <w:r>
                      <w:rPr>
                        <w:sz w:val="16"/>
                        <w:szCs w:val="16"/>
                      </w:rPr>
                      <w:t>*</w:t>
                    </w:r>
                  </w:p>
                </w:txbxContent>
              </v:textbox>
            </v:shape>
            <v:shape id="_x0000_s1064" type="#_x0000_t202" style="position:absolute;left:10430;top:5111;width:231;height:395" filled="f" stroked="f">
              <v:textbox style="mso-next-textbox:#_x0000_s1064">
                <w:txbxContent>
                  <w:p w:rsidR="00E77C30" w:rsidRDefault="00E77C30" w:rsidP="006B457B">
                    <w:pPr>
                      <w:rPr>
                        <w:sz w:val="16"/>
                        <w:szCs w:val="16"/>
                      </w:rPr>
                    </w:pPr>
                    <w:r>
                      <w:rPr>
                        <w:sz w:val="16"/>
                        <w:szCs w:val="16"/>
                      </w:rPr>
                      <w:t>*</w:t>
                    </w:r>
                  </w:p>
                </w:txbxContent>
              </v:textbox>
            </v:shape>
            <v:shape id="_x0000_s1065" type="#_x0000_t202" style="position:absolute;left:8454;top:6070;width:231;height:396" filled="f" stroked="f">
              <v:textbox style="mso-next-textbox:#_x0000_s1065">
                <w:txbxContent>
                  <w:p w:rsidR="00E77C30" w:rsidRDefault="00E77C30" w:rsidP="006B457B">
                    <w:pPr>
                      <w:rPr>
                        <w:sz w:val="16"/>
                        <w:szCs w:val="16"/>
                      </w:rPr>
                    </w:pPr>
                    <w:r>
                      <w:rPr>
                        <w:sz w:val="16"/>
                        <w:szCs w:val="16"/>
                      </w:rPr>
                      <w:t>*</w:t>
                    </w:r>
                  </w:p>
                </w:txbxContent>
              </v:textbox>
            </v:shape>
            <v:shape id="_x0000_s1066" type="#_x0000_t202" style="position:absolute;left:6383;top:7231;width:231;height:394" filled="f" stroked="f">
              <v:textbox style="mso-next-textbox:#_x0000_s1066">
                <w:txbxContent>
                  <w:p w:rsidR="00E77C30" w:rsidRDefault="00E77C30" w:rsidP="006B457B">
                    <w:pPr>
                      <w:rPr>
                        <w:sz w:val="16"/>
                        <w:szCs w:val="16"/>
                      </w:rPr>
                    </w:pPr>
                    <w:r>
                      <w:rPr>
                        <w:sz w:val="16"/>
                        <w:szCs w:val="16"/>
                      </w:rPr>
                      <w:t>*</w:t>
                    </w:r>
                  </w:p>
                </w:txbxContent>
              </v:textbox>
            </v:shape>
            <v:shape id="_x0000_s1067" type="#_x0000_t202" style="position:absolute;left:6100;top:7428;width:231;height:396" filled="f" stroked="f">
              <v:textbox style="mso-next-textbox:#_x0000_s1067">
                <w:txbxContent>
                  <w:p w:rsidR="00E77C30" w:rsidRDefault="00E77C30" w:rsidP="006B457B">
                    <w:pPr>
                      <w:rPr>
                        <w:sz w:val="16"/>
                        <w:szCs w:val="16"/>
                      </w:rPr>
                    </w:pPr>
                    <w:r>
                      <w:rPr>
                        <w:sz w:val="16"/>
                        <w:szCs w:val="16"/>
                      </w:rPr>
                      <w:t>*</w:t>
                    </w:r>
                  </w:p>
                </w:txbxContent>
              </v:textbox>
            </v:shape>
            <v:shape id="_x0000_s1068" type="#_x0000_t202" style="position:absolute;left:6404;top:7976;width:231;height:396" filled="f" stroked="f">
              <v:textbox style="mso-next-textbox:#_x0000_s1068">
                <w:txbxContent>
                  <w:p w:rsidR="00E77C30" w:rsidRDefault="00E77C30" w:rsidP="006B457B">
                    <w:pPr>
                      <w:rPr>
                        <w:sz w:val="16"/>
                        <w:szCs w:val="16"/>
                      </w:rPr>
                    </w:pPr>
                    <w:r>
                      <w:rPr>
                        <w:sz w:val="16"/>
                        <w:szCs w:val="16"/>
                      </w:rPr>
                      <w:t>*</w:t>
                    </w:r>
                  </w:p>
                </w:txbxContent>
              </v:textbox>
            </v:shape>
            <v:shape id="_x0000_s1069" type="#_x0000_t202" style="position:absolute;left:6910;top:9243;width:3553;height:708" filled="f" stroked="f">
              <v:textbox style="mso-next-textbox:#_x0000_s1069">
                <w:txbxContent>
                  <w:p w:rsidR="00E77C30" w:rsidRDefault="00E77C30" w:rsidP="006B457B">
                    <w:pPr>
                      <w:rPr>
                        <w:b/>
                        <w:bCs/>
                        <w:sz w:val="18"/>
                        <w:szCs w:val="18"/>
                      </w:rPr>
                    </w:pPr>
                    <w:r>
                      <w:rPr>
                        <w:b/>
                        <w:bCs/>
                        <w:sz w:val="18"/>
                        <w:szCs w:val="18"/>
                      </w:rPr>
                      <w:t>Fold of expression 2</w:t>
                    </w:r>
                    <w:r>
                      <w:rPr>
                        <w:b/>
                        <w:bCs/>
                        <w:sz w:val="18"/>
                        <w:szCs w:val="18"/>
                        <w:vertAlign w:val="superscript"/>
                      </w:rPr>
                      <w:t>-∆∆Ct</w:t>
                    </w:r>
                    <w:r>
                      <w:rPr>
                        <w:b/>
                        <w:bCs/>
                        <w:sz w:val="18"/>
                        <w:szCs w:val="18"/>
                      </w:rPr>
                      <w:t>-1</w:t>
                    </w:r>
                  </w:p>
                </w:txbxContent>
              </v:textbox>
            </v:shape>
            <v:rect id="_x0000_s1070" style="position:absolute;left:7995;top:9618;width:1122;height:255" stroked="f"/>
            <v:shape id="_x0000_s1071" type="#_x0000_t202" style="position:absolute;left:6413;top:2151;width:231;height:395" filled="f" stroked="f">
              <v:textbox style="mso-next-textbox:#_x0000_s1071">
                <w:txbxContent>
                  <w:p w:rsidR="00E77C30" w:rsidRDefault="00E77C30" w:rsidP="006B457B">
                    <w:pPr>
                      <w:rPr>
                        <w:sz w:val="16"/>
                        <w:szCs w:val="16"/>
                      </w:rPr>
                    </w:pPr>
                    <w:r>
                      <w:rPr>
                        <w:sz w:val="16"/>
                        <w:szCs w:val="16"/>
                      </w:rPr>
                      <w:t>*µ</w:t>
                    </w:r>
                  </w:p>
                </w:txbxContent>
              </v:textbox>
            </v:shape>
          </v:group>
        </w:pict>
      </w: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tbl>
      <w:tblPr>
        <w:tblpPr w:leftFromText="141" w:rightFromText="141" w:vertAnchor="text" w:horzAnchor="page" w:tblpX="436" w:tblpY="-1079"/>
        <w:tblW w:w="5590" w:type="dxa"/>
        <w:tblLayout w:type="fixed"/>
        <w:tblCellMar>
          <w:left w:w="70" w:type="dxa"/>
          <w:right w:w="70" w:type="dxa"/>
        </w:tblCellMar>
        <w:tblLook w:val="0000"/>
      </w:tblPr>
      <w:tblGrid>
        <w:gridCol w:w="3062"/>
        <w:gridCol w:w="1218"/>
        <w:gridCol w:w="1310"/>
      </w:tblGrid>
      <w:tr w:rsidR="00E77C30" w:rsidRPr="00367140">
        <w:trPr>
          <w:cantSplit/>
          <w:trHeight w:val="172"/>
        </w:trPr>
        <w:tc>
          <w:tcPr>
            <w:tcW w:w="4280" w:type="dxa"/>
            <w:gridSpan w:val="2"/>
            <w:tcBorders>
              <w:top w:val="single" w:sz="4" w:space="0" w:color="auto"/>
              <w:left w:val="nil"/>
              <w:bottom w:val="single" w:sz="4" w:space="0" w:color="auto"/>
              <w:right w:val="nil"/>
            </w:tcBorders>
            <w:vAlign w:val="center"/>
          </w:tcPr>
          <w:p w:rsidR="00E77C30" w:rsidRPr="00367140" w:rsidRDefault="00E77C30" w:rsidP="005728EF">
            <w:pPr>
              <w:jc w:val="center"/>
              <w:rPr>
                <w:b/>
                <w:bCs/>
                <w:color w:val="000000"/>
                <w:sz w:val="20"/>
                <w:szCs w:val="20"/>
              </w:rPr>
            </w:pPr>
            <w:r w:rsidRPr="00367140">
              <w:rPr>
                <w:b/>
                <w:bCs/>
                <w:color w:val="000000"/>
                <w:sz w:val="20"/>
                <w:szCs w:val="20"/>
              </w:rPr>
              <w:t>Comparison levels</w:t>
            </w:r>
          </w:p>
        </w:tc>
        <w:tc>
          <w:tcPr>
            <w:tcW w:w="1310" w:type="dxa"/>
            <w:vMerge w:val="restart"/>
            <w:tcBorders>
              <w:top w:val="single" w:sz="4" w:space="0" w:color="auto"/>
              <w:left w:val="nil"/>
              <w:right w:val="nil"/>
            </w:tcBorders>
            <w:vAlign w:val="center"/>
          </w:tcPr>
          <w:p w:rsidR="00E77C30" w:rsidRPr="00367140" w:rsidRDefault="00E77C30" w:rsidP="005728EF">
            <w:pPr>
              <w:jc w:val="center"/>
              <w:rPr>
                <w:b/>
                <w:bCs/>
                <w:color w:val="000000"/>
                <w:sz w:val="20"/>
                <w:szCs w:val="20"/>
              </w:rPr>
            </w:pPr>
            <w:r w:rsidRPr="00367140">
              <w:rPr>
                <w:b/>
                <w:bCs/>
                <w:color w:val="000000"/>
                <w:sz w:val="20"/>
                <w:szCs w:val="20"/>
              </w:rPr>
              <w:t>Expression</w:t>
            </w:r>
          </w:p>
          <w:p w:rsidR="00E77C30" w:rsidRPr="00367140" w:rsidRDefault="00E77C30" w:rsidP="005728EF">
            <w:pPr>
              <w:jc w:val="center"/>
              <w:rPr>
                <w:b/>
                <w:bCs/>
                <w:color w:val="000000"/>
                <w:sz w:val="12"/>
                <w:szCs w:val="12"/>
              </w:rPr>
            </w:pPr>
            <w:r w:rsidRPr="00367140">
              <w:rPr>
                <w:b/>
                <w:bCs/>
                <w:color w:val="000000"/>
                <w:sz w:val="20"/>
                <w:szCs w:val="20"/>
              </w:rPr>
              <w:t>phenotype</w:t>
            </w:r>
          </w:p>
        </w:tc>
      </w:tr>
      <w:tr w:rsidR="00E77C30" w:rsidRPr="00367140">
        <w:trPr>
          <w:cantSplit/>
          <w:trHeight w:val="294"/>
        </w:trPr>
        <w:tc>
          <w:tcPr>
            <w:tcW w:w="3062" w:type="dxa"/>
            <w:tcBorders>
              <w:top w:val="single" w:sz="4" w:space="0" w:color="auto"/>
              <w:left w:val="nil"/>
              <w:bottom w:val="single" w:sz="4" w:space="0" w:color="auto"/>
              <w:right w:val="nil"/>
            </w:tcBorders>
            <w:noWrap/>
            <w:vAlign w:val="center"/>
          </w:tcPr>
          <w:p w:rsidR="00E77C30" w:rsidRPr="00367140" w:rsidRDefault="00E77C30" w:rsidP="005728EF">
            <w:pPr>
              <w:rPr>
                <w:b/>
                <w:bCs/>
                <w:color w:val="000000"/>
                <w:sz w:val="20"/>
                <w:szCs w:val="20"/>
              </w:rPr>
            </w:pPr>
            <w:r w:rsidRPr="00367140">
              <w:rPr>
                <w:b/>
                <w:bCs/>
                <w:color w:val="000000"/>
                <w:sz w:val="20"/>
                <w:szCs w:val="20"/>
              </w:rPr>
              <w:t>Isolates/Pathology/Zymodeme</w:t>
            </w:r>
          </w:p>
        </w:tc>
        <w:tc>
          <w:tcPr>
            <w:tcW w:w="1218" w:type="dxa"/>
            <w:tcBorders>
              <w:top w:val="single" w:sz="4" w:space="0" w:color="auto"/>
              <w:left w:val="nil"/>
              <w:bottom w:val="single" w:sz="4" w:space="0" w:color="auto"/>
              <w:right w:val="nil"/>
            </w:tcBorders>
            <w:noWrap/>
            <w:tcMar>
              <w:left w:w="28" w:type="dxa"/>
              <w:right w:w="28" w:type="dxa"/>
            </w:tcMar>
            <w:vAlign w:val="center"/>
          </w:tcPr>
          <w:p w:rsidR="00E77C30" w:rsidRPr="00367140" w:rsidRDefault="00E77C30" w:rsidP="005728EF">
            <w:pPr>
              <w:rPr>
                <w:b/>
                <w:bCs/>
                <w:color w:val="000000"/>
                <w:sz w:val="20"/>
                <w:szCs w:val="20"/>
              </w:rPr>
            </w:pPr>
            <w:r w:rsidRPr="00367140">
              <w:rPr>
                <w:b/>
                <w:bCs/>
                <w:color w:val="000000"/>
                <w:sz w:val="20"/>
                <w:szCs w:val="20"/>
              </w:rPr>
              <w:t>Genes</w:t>
            </w:r>
          </w:p>
        </w:tc>
        <w:tc>
          <w:tcPr>
            <w:tcW w:w="1310" w:type="dxa"/>
            <w:vMerge/>
            <w:tcBorders>
              <w:left w:val="nil"/>
              <w:bottom w:val="single" w:sz="4" w:space="0" w:color="auto"/>
              <w:right w:val="nil"/>
            </w:tcBorders>
            <w:vAlign w:val="center"/>
          </w:tcPr>
          <w:p w:rsidR="00E77C30" w:rsidRPr="00367140" w:rsidRDefault="00E77C30" w:rsidP="005728EF">
            <w:pPr>
              <w:jc w:val="center"/>
              <w:rPr>
                <w:b/>
                <w:bCs/>
                <w:color w:val="000000"/>
                <w:sz w:val="12"/>
                <w:szCs w:val="12"/>
              </w:rPr>
            </w:pPr>
          </w:p>
        </w:tc>
      </w:tr>
      <w:tr w:rsidR="00E77C30" w:rsidRPr="00367140">
        <w:trPr>
          <w:cantSplit/>
          <w:trHeight w:val="202"/>
        </w:trPr>
        <w:tc>
          <w:tcPr>
            <w:tcW w:w="3062" w:type="dxa"/>
            <w:vMerge w:val="restart"/>
            <w:tcBorders>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(DREP05/LV49)/</w:t>
            </w:r>
          </w:p>
          <w:p w:rsidR="00E77C30" w:rsidRPr="00367140" w:rsidRDefault="00E77C30" w:rsidP="005728EF">
            <w:pPr>
              <w:rPr>
                <w:color w:val="000000"/>
                <w:sz w:val="20"/>
                <w:szCs w:val="20"/>
              </w:rPr>
            </w:pPr>
            <w:r w:rsidRPr="00367140">
              <w:rPr>
                <w:color w:val="000000"/>
                <w:sz w:val="20"/>
                <w:szCs w:val="20"/>
              </w:rPr>
              <w:t>(CL/VL)/</w:t>
            </w:r>
          </w:p>
          <w:p w:rsidR="00E77C30" w:rsidRPr="00367140" w:rsidRDefault="00E77C30" w:rsidP="005728EF">
            <w:pPr>
              <w:rPr>
                <w:color w:val="000000"/>
                <w:sz w:val="12"/>
                <w:szCs w:val="12"/>
              </w:rPr>
            </w:pPr>
            <w:r w:rsidRPr="00367140">
              <w:rPr>
                <w:color w:val="000000"/>
                <w:sz w:val="20"/>
                <w:szCs w:val="20"/>
              </w:rPr>
              <w:t>(MON-01/MON-24)</w:t>
            </w:r>
          </w:p>
        </w:tc>
        <w:tc>
          <w:tcPr>
            <w:tcW w:w="1218" w:type="dxa"/>
            <w:tcBorders>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Down</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b/>
                <w:bCs/>
                <w:color w:val="000000"/>
                <w:sz w:val="20"/>
                <w:szCs w:val="20"/>
              </w:rPr>
            </w:pPr>
            <w:r w:rsidRPr="00367140">
              <w:rPr>
                <w:b/>
                <w:bCs/>
                <w:color w:val="000000"/>
                <w:sz w:val="20"/>
                <w:szCs w:val="20"/>
              </w:rPr>
              <w:t>Down</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color w:val="000000"/>
                <w:sz w:val="12"/>
                <w:szCs w:val="12"/>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202"/>
        </w:trPr>
        <w:tc>
          <w:tcPr>
            <w:tcW w:w="3062" w:type="dxa"/>
            <w:vMerge/>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left w:val="nil"/>
              <w:bottom w:val="nil"/>
              <w:right w:val="nil"/>
            </w:tcBorders>
          </w:tcPr>
          <w:p w:rsidR="00E77C30" w:rsidRPr="00367140" w:rsidRDefault="00E77C30" w:rsidP="005728EF">
            <w:pPr>
              <w:jc w:val="center"/>
              <w:rPr>
                <w:b/>
                <w:bCs/>
                <w:color w:val="000000"/>
                <w:sz w:val="20"/>
                <w:szCs w:val="20"/>
                <w:lang w:val="en-US"/>
              </w:rPr>
            </w:pPr>
            <w:r w:rsidRPr="00367140">
              <w:rPr>
                <w:b/>
                <w:bCs/>
                <w:color w:val="000000"/>
                <w:sz w:val="20"/>
                <w:szCs w:val="20"/>
                <w:lang w:val="en-US"/>
              </w:rPr>
              <w:t>Up</w:t>
            </w:r>
          </w:p>
        </w:tc>
      </w:tr>
      <w:tr w:rsidR="00E77C30" w:rsidRPr="00367140">
        <w:trPr>
          <w:trHeight w:val="202"/>
        </w:trPr>
        <w:tc>
          <w:tcPr>
            <w:tcW w:w="3062" w:type="dxa"/>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p>
        </w:tc>
        <w:tc>
          <w:tcPr>
            <w:tcW w:w="1310" w:type="dxa"/>
            <w:tcBorders>
              <w:left w:val="nil"/>
              <w:bottom w:val="nil"/>
              <w:right w:val="nil"/>
            </w:tcBorders>
          </w:tcPr>
          <w:p w:rsidR="00E77C30" w:rsidRPr="00367140" w:rsidRDefault="00E77C30" w:rsidP="005728EF">
            <w:pPr>
              <w:jc w:val="center"/>
              <w:rPr>
                <w:color w:val="000000"/>
                <w:sz w:val="20"/>
                <w:szCs w:val="20"/>
                <w:lang w:val="en-US"/>
              </w:rPr>
            </w:pPr>
          </w:p>
        </w:tc>
      </w:tr>
      <w:tr w:rsidR="00E77C30" w:rsidRPr="00367140">
        <w:trPr>
          <w:cantSplit/>
          <w:trHeight w:val="202"/>
        </w:trPr>
        <w:tc>
          <w:tcPr>
            <w:tcW w:w="3062" w:type="dxa"/>
            <w:vMerge w:val="restart"/>
            <w:tcBorders>
              <w:top w:val="nil"/>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(DREP05/LV50)/</w:t>
            </w:r>
          </w:p>
          <w:p w:rsidR="00E77C30" w:rsidRPr="00367140" w:rsidRDefault="00E77C30" w:rsidP="005728EF">
            <w:pPr>
              <w:rPr>
                <w:color w:val="000000"/>
                <w:sz w:val="20"/>
                <w:szCs w:val="20"/>
              </w:rPr>
            </w:pPr>
            <w:r w:rsidRPr="00367140">
              <w:rPr>
                <w:color w:val="000000"/>
                <w:sz w:val="20"/>
                <w:szCs w:val="20"/>
              </w:rPr>
              <w:t>(CL/VL)/</w:t>
            </w:r>
          </w:p>
          <w:p w:rsidR="00E77C30" w:rsidRPr="00367140" w:rsidRDefault="00E77C30" w:rsidP="005728EF">
            <w:pPr>
              <w:rPr>
                <w:color w:val="000000"/>
                <w:sz w:val="12"/>
                <w:szCs w:val="12"/>
              </w:rPr>
            </w:pPr>
            <w:r w:rsidRPr="00367140">
              <w:rPr>
                <w:color w:val="000000"/>
                <w:sz w:val="20"/>
                <w:szCs w:val="20"/>
              </w:rPr>
              <w:t>(MON-01/MON-01)</w:t>
            </w: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top w:val="nil"/>
              <w:left w:val="nil"/>
              <w:bottom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color w:val="000000"/>
                <w:sz w:val="20"/>
                <w:szCs w:val="20"/>
              </w:rPr>
            </w:pPr>
            <w:r w:rsidRPr="00367140">
              <w:rPr>
                <w:color w:val="000000"/>
                <w:sz w:val="20"/>
                <w:szCs w:val="20"/>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color w:val="000000"/>
                <w:sz w:val="12"/>
                <w:szCs w:val="12"/>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Up</w:t>
            </w:r>
          </w:p>
        </w:tc>
      </w:tr>
      <w:tr w:rsidR="00E77C30" w:rsidRPr="00367140">
        <w:trPr>
          <w:cantSplit/>
          <w:trHeight w:val="202"/>
        </w:trPr>
        <w:tc>
          <w:tcPr>
            <w:tcW w:w="3062" w:type="dxa"/>
            <w:vMerge/>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top w:val="nil"/>
              <w:left w:val="nil"/>
              <w:bottom w:val="nil"/>
              <w:right w:val="nil"/>
            </w:tcBorders>
          </w:tcPr>
          <w:p w:rsidR="00E77C30" w:rsidRPr="00367140" w:rsidRDefault="00E77C30" w:rsidP="005728EF">
            <w:pPr>
              <w:jc w:val="center"/>
              <w:rPr>
                <w:color w:val="000000"/>
                <w:sz w:val="20"/>
                <w:szCs w:val="20"/>
                <w:lang w:val="en-US"/>
              </w:rPr>
            </w:pPr>
            <w:r w:rsidRPr="00367140">
              <w:rPr>
                <w:color w:val="000000"/>
                <w:sz w:val="20"/>
                <w:szCs w:val="20"/>
                <w:lang w:val="en-US"/>
              </w:rPr>
              <w:t>-</w:t>
            </w:r>
          </w:p>
        </w:tc>
      </w:tr>
      <w:tr w:rsidR="00E77C30" w:rsidRPr="00367140">
        <w:trPr>
          <w:trHeight w:val="202"/>
        </w:trPr>
        <w:tc>
          <w:tcPr>
            <w:tcW w:w="3062" w:type="dxa"/>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p>
        </w:tc>
        <w:tc>
          <w:tcPr>
            <w:tcW w:w="1310" w:type="dxa"/>
            <w:tcBorders>
              <w:top w:val="nil"/>
              <w:left w:val="nil"/>
              <w:bottom w:val="nil"/>
              <w:right w:val="nil"/>
            </w:tcBorders>
          </w:tcPr>
          <w:p w:rsidR="00E77C30" w:rsidRPr="00367140" w:rsidRDefault="00E77C30" w:rsidP="005728EF">
            <w:pPr>
              <w:jc w:val="center"/>
              <w:rPr>
                <w:color w:val="000000"/>
                <w:sz w:val="20"/>
                <w:szCs w:val="20"/>
                <w:lang w:val="en-US"/>
              </w:rPr>
            </w:pPr>
          </w:p>
        </w:tc>
      </w:tr>
      <w:tr w:rsidR="00E77C30" w:rsidRPr="00367140">
        <w:trPr>
          <w:cantSplit/>
          <w:trHeight w:val="202"/>
        </w:trPr>
        <w:tc>
          <w:tcPr>
            <w:tcW w:w="3062" w:type="dxa"/>
            <w:vMerge w:val="restart"/>
            <w:tcBorders>
              <w:top w:val="nil"/>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(DREP14/LV49)/</w:t>
            </w:r>
          </w:p>
          <w:p w:rsidR="00E77C30" w:rsidRPr="00367140" w:rsidRDefault="00E77C30" w:rsidP="005728EF">
            <w:pPr>
              <w:rPr>
                <w:color w:val="000000"/>
                <w:sz w:val="20"/>
                <w:szCs w:val="20"/>
              </w:rPr>
            </w:pPr>
            <w:r w:rsidRPr="00367140">
              <w:rPr>
                <w:color w:val="000000"/>
                <w:sz w:val="20"/>
                <w:szCs w:val="20"/>
              </w:rPr>
              <w:t>(CL/VL)/</w:t>
            </w:r>
          </w:p>
          <w:p w:rsidR="00E77C30" w:rsidRPr="00367140" w:rsidRDefault="00E77C30" w:rsidP="005728EF">
            <w:pPr>
              <w:rPr>
                <w:color w:val="000000"/>
                <w:sz w:val="12"/>
                <w:szCs w:val="12"/>
              </w:rPr>
            </w:pPr>
            <w:r w:rsidRPr="00367140">
              <w:rPr>
                <w:color w:val="000000"/>
                <w:sz w:val="20"/>
                <w:szCs w:val="20"/>
              </w:rPr>
              <w:t>(MON-24/MON-24)</w:t>
            </w: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Down</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b/>
                <w:bCs/>
                <w:color w:val="000000"/>
                <w:sz w:val="20"/>
                <w:szCs w:val="20"/>
              </w:rPr>
            </w:pPr>
            <w:r w:rsidRPr="00367140">
              <w:rPr>
                <w:b/>
                <w:bCs/>
                <w:color w:val="000000"/>
                <w:sz w:val="20"/>
                <w:szCs w:val="20"/>
              </w:rPr>
              <w:t>Down</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color w:val="000000"/>
                <w:sz w:val="12"/>
                <w:szCs w:val="12"/>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bottom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202"/>
        </w:trPr>
        <w:tc>
          <w:tcPr>
            <w:tcW w:w="3062" w:type="dxa"/>
            <w:vMerge/>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en-US"/>
              </w:rPr>
            </w:pPr>
            <w:r w:rsidRPr="00367140">
              <w:rPr>
                <w:b/>
                <w:bCs/>
                <w:color w:val="000000"/>
                <w:sz w:val="20"/>
                <w:szCs w:val="20"/>
                <w:lang w:val="en-US"/>
              </w:rPr>
              <w:t>Up</w:t>
            </w:r>
          </w:p>
        </w:tc>
      </w:tr>
      <w:tr w:rsidR="00E77C30" w:rsidRPr="00367140">
        <w:trPr>
          <w:trHeight w:val="202"/>
        </w:trPr>
        <w:tc>
          <w:tcPr>
            <w:tcW w:w="3062" w:type="dxa"/>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p>
        </w:tc>
        <w:tc>
          <w:tcPr>
            <w:tcW w:w="1310" w:type="dxa"/>
            <w:tcBorders>
              <w:top w:val="nil"/>
              <w:left w:val="nil"/>
              <w:bottom w:val="nil"/>
              <w:right w:val="nil"/>
            </w:tcBorders>
          </w:tcPr>
          <w:p w:rsidR="00E77C30" w:rsidRPr="00367140" w:rsidRDefault="00E77C30" w:rsidP="005728EF">
            <w:pPr>
              <w:jc w:val="center"/>
              <w:rPr>
                <w:color w:val="000000"/>
                <w:sz w:val="20"/>
                <w:szCs w:val="20"/>
                <w:lang w:val="en-US"/>
              </w:rPr>
            </w:pPr>
          </w:p>
        </w:tc>
      </w:tr>
      <w:tr w:rsidR="00E77C30" w:rsidRPr="00367140">
        <w:trPr>
          <w:cantSplit/>
          <w:trHeight w:val="202"/>
        </w:trPr>
        <w:tc>
          <w:tcPr>
            <w:tcW w:w="3062" w:type="dxa"/>
            <w:vMerge w:val="restart"/>
            <w:tcBorders>
              <w:top w:val="nil"/>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(DREP14/LV50)/</w:t>
            </w:r>
          </w:p>
          <w:p w:rsidR="00E77C30" w:rsidRPr="00367140" w:rsidRDefault="00E77C30" w:rsidP="005728EF">
            <w:pPr>
              <w:rPr>
                <w:color w:val="000000"/>
                <w:sz w:val="20"/>
                <w:szCs w:val="20"/>
              </w:rPr>
            </w:pPr>
            <w:r w:rsidRPr="00367140">
              <w:rPr>
                <w:color w:val="000000"/>
                <w:sz w:val="20"/>
                <w:szCs w:val="20"/>
              </w:rPr>
              <w:t>(CL/VL)/</w:t>
            </w:r>
          </w:p>
          <w:p w:rsidR="00E77C30" w:rsidRPr="00367140" w:rsidRDefault="00E77C30" w:rsidP="005728EF">
            <w:pPr>
              <w:rPr>
                <w:color w:val="000000"/>
                <w:sz w:val="12"/>
                <w:szCs w:val="12"/>
              </w:rPr>
            </w:pPr>
            <w:r w:rsidRPr="00367140">
              <w:rPr>
                <w:color w:val="000000"/>
                <w:sz w:val="20"/>
                <w:szCs w:val="20"/>
              </w:rPr>
              <w:t>(MON-24/MON-01)</w:t>
            </w: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top w:val="nil"/>
              <w:left w:val="nil"/>
              <w:bottom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color w:val="000000"/>
                <w:sz w:val="20"/>
                <w:szCs w:val="20"/>
              </w:rPr>
            </w:pPr>
            <w:r w:rsidRPr="00367140">
              <w:rPr>
                <w:color w:val="000000"/>
                <w:sz w:val="20"/>
                <w:szCs w:val="20"/>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color w:val="000000"/>
                <w:sz w:val="12"/>
                <w:szCs w:val="12"/>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Up</w:t>
            </w:r>
          </w:p>
        </w:tc>
      </w:tr>
      <w:tr w:rsidR="00E77C30" w:rsidRPr="00367140">
        <w:trPr>
          <w:cantSplit/>
          <w:trHeight w:val="202"/>
        </w:trPr>
        <w:tc>
          <w:tcPr>
            <w:tcW w:w="3062" w:type="dxa"/>
            <w:vMerge/>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top w:val="nil"/>
              <w:left w:val="nil"/>
              <w:bottom w:val="nil"/>
              <w:right w:val="nil"/>
            </w:tcBorders>
          </w:tcPr>
          <w:p w:rsidR="00E77C30" w:rsidRPr="00367140" w:rsidRDefault="00E77C30" w:rsidP="005728EF">
            <w:pPr>
              <w:jc w:val="center"/>
              <w:rPr>
                <w:color w:val="000000"/>
                <w:sz w:val="20"/>
                <w:szCs w:val="20"/>
                <w:lang w:val="en-US"/>
              </w:rPr>
            </w:pPr>
            <w:r w:rsidRPr="00367140">
              <w:rPr>
                <w:color w:val="000000"/>
                <w:sz w:val="20"/>
                <w:szCs w:val="20"/>
                <w:lang w:val="en-US"/>
              </w:rPr>
              <w:t>-</w:t>
            </w:r>
          </w:p>
        </w:tc>
      </w:tr>
      <w:tr w:rsidR="00E77C30" w:rsidRPr="00367140">
        <w:trPr>
          <w:trHeight w:val="202"/>
        </w:trPr>
        <w:tc>
          <w:tcPr>
            <w:tcW w:w="3062" w:type="dxa"/>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p>
        </w:tc>
        <w:tc>
          <w:tcPr>
            <w:tcW w:w="1310" w:type="dxa"/>
            <w:tcBorders>
              <w:top w:val="nil"/>
              <w:left w:val="nil"/>
              <w:bottom w:val="nil"/>
              <w:right w:val="nil"/>
            </w:tcBorders>
          </w:tcPr>
          <w:p w:rsidR="00E77C30" w:rsidRPr="00367140" w:rsidRDefault="00E77C30" w:rsidP="005728EF">
            <w:pPr>
              <w:jc w:val="center"/>
              <w:rPr>
                <w:color w:val="000000"/>
                <w:sz w:val="20"/>
                <w:szCs w:val="20"/>
                <w:lang w:val="en-US"/>
              </w:rPr>
            </w:pPr>
          </w:p>
        </w:tc>
      </w:tr>
      <w:tr w:rsidR="00E77C30" w:rsidRPr="00367140">
        <w:trPr>
          <w:cantSplit/>
          <w:trHeight w:val="202"/>
        </w:trPr>
        <w:tc>
          <w:tcPr>
            <w:tcW w:w="3062" w:type="dxa"/>
            <w:vMerge w:val="restart"/>
            <w:tcBorders>
              <w:top w:val="nil"/>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(DREP05/DREP14)/</w:t>
            </w:r>
          </w:p>
          <w:p w:rsidR="00E77C30" w:rsidRPr="00367140" w:rsidRDefault="00E77C30" w:rsidP="005728EF">
            <w:pPr>
              <w:rPr>
                <w:color w:val="000000"/>
                <w:sz w:val="20"/>
                <w:szCs w:val="20"/>
              </w:rPr>
            </w:pPr>
            <w:r w:rsidRPr="00367140">
              <w:rPr>
                <w:color w:val="000000"/>
                <w:sz w:val="20"/>
                <w:szCs w:val="20"/>
              </w:rPr>
              <w:t>(CL/CL)/</w:t>
            </w:r>
          </w:p>
          <w:p w:rsidR="00E77C30" w:rsidRPr="00367140" w:rsidRDefault="00E77C30" w:rsidP="005728EF">
            <w:pPr>
              <w:rPr>
                <w:color w:val="000000"/>
                <w:sz w:val="12"/>
                <w:szCs w:val="12"/>
              </w:rPr>
            </w:pPr>
            <w:r w:rsidRPr="00367140">
              <w:rPr>
                <w:color w:val="000000"/>
                <w:sz w:val="20"/>
                <w:szCs w:val="20"/>
              </w:rPr>
              <w:t>(MON-01/MON-24)</w:t>
            </w: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top w:val="nil"/>
              <w:left w:val="nil"/>
              <w:bottom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color w:val="000000"/>
                <w:sz w:val="20"/>
                <w:szCs w:val="20"/>
              </w:rPr>
            </w:pPr>
            <w:r w:rsidRPr="00367140">
              <w:rPr>
                <w:color w:val="000000"/>
                <w:sz w:val="20"/>
                <w:szCs w:val="20"/>
              </w:rPr>
              <w:t>-</w:t>
            </w:r>
          </w:p>
        </w:tc>
      </w:tr>
      <w:tr w:rsidR="00E77C30" w:rsidRPr="00367140">
        <w:trPr>
          <w:cantSplit/>
          <w:trHeight w:val="202"/>
        </w:trPr>
        <w:tc>
          <w:tcPr>
            <w:tcW w:w="3062" w:type="dxa"/>
            <w:vMerge/>
            <w:tcBorders>
              <w:left w:val="nil"/>
              <w:right w:val="nil"/>
            </w:tcBorders>
            <w:noWrap/>
            <w:vAlign w:val="center"/>
          </w:tcPr>
          <w:p w:rsidR="00E77C30" w:rsidRPr="00367140" w:rsidRDefault="00E77C30" w:rsidP="005728EF">
            <w:pPr>
              <w:rPr>
                <w:color w:val="000000"/>
                <w:sz w:val="12"/>
                <w:szCs w:val="12"/>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Down</w:t>
            </w:r>
          </w:p>
        </w:tc>
      </w:tr>
      <w:tr w:rsidR="00E77C30" w:rsidRPr="00367140">
        <w:trPr>
          <w:cantSplit/>
          <w:trHeight w:val="202"/>
        </w:trPr>
        <w:tc>
          <w:tcPr>
            <w:tcW w:w="3062" w:type="dxa"/>
            <w:vMerge/>
            <w:tcBorders>
              <w:left w:val="nil"/>
              <w:bottom w:val="nil"/>
              <w:right w:val="nil"/>
            </w:tcBorders>
            <w:noWrap/>
            <w:vAlign w:val="center"/>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en-US"/>
              </w:rPr>
            </w:pPr>
            <w:r w:rsidRPr="00367140">
              <w:rPr>
                <w:b/>
                <w:bCs/>
                <w:color w:val="000000"/>
                <w:sz w:val="20"/>
                <w:szCs w:val="20"/>
                <w:lang w:val="en-US"/>
              </w:rPr>
              <w:t>Down</w:t>
            </w:r>
          </w:p>
        </w:tc>
      </w:tr>
      <w:tr w:rsidR="00E77C30" w:rsidRPr="00367140">
        <w:trPr>
          <w:trHeight w:val="202"/>
        </w:trPr>
        <w:tc>
          <w:tcPr>
            <w:tcW w:w="3062" w:type="dxa"/>
            <w:tcBorders>
              <w:left w:val="nil"/>
              <w:right w:val="nil"/>
            </w:tcBorders>
            <w:noWrap/>
            <w:vAlign w:val="center"/>
          </w:tcPr>
          <w:p w:rsidR="00E77C30" w:rsidRPr="00367140" w:rsidRDefault="00E77C30" w:rsidP="005728EF">
            <w:pPr>
              <w:rPr>
                <w:rFonts w:ascii="Arial" w:hAnsi="Arial" w:cs="Arial"/>
                <w:color w:val="000000"/>
                <w:sz w:val="14"/>
                <w:szCs w:val="14"/>
                <w:lang w:val="pt-BR"/>
              </w:rPr>
            </w:pPr>
          </w:p>
          <w:p w:rsidR="00E77C30" w:rsidRPr="00367140" w:rsidRDefault="00E77C30" w:rsidP="005728EF">
            <w:pPr>
              <w:rPr>
                <w:rFonts w:ascii="Arial" w:hAnsi="Arial" w:cs="Arial"/>
                <w:color w:val="000000"/>
                <w:sz w:val="14"/>
                <w:szCs w:val="14"/>
                <w:lang w:val="pt-BR"/>
              </w:rPr>
            </w:pPr>
          </w:p>
        </w:tc>
        <w:tc>
          <w:tcPr>
            <w:tcW w:w="1218" w:type="dxa"/>
            <w:tcBorders>
              <w:top w:val="nil"/>
              <w:left w:val="nil"/>
              <w:right w:val="nil"/>
            </w:tcBorders>
            <w:noWrap/>
            <w:vAlign w:val="center"/>
          </w:tcPr>
          <w:p w:rsidR="00E77C30" w:rsidRPr="00367140" w:rsidRDefault="00E77C30" w:rsidP="005728EF">
            <w:pPr>
              <w:rPr>
                <w:i/>
                <w:iCs/>
                <w:color w:val="000000"/>
                <w:sz w:val="14"/>
                <w:szCs w:val="14"/>
                <w:lang w:val="en-US"/>
              </w:rPr>
            </w:pPr>
          </w:p>
        </w:tc>
        <w:tc>
          <w:tcPr>
            <w:tcW w:w="1310" w:type="dxa"/>
            <w:tcBorders>
              <w:top w:val="nil"/>
              <w:left w:val="nil"/>
              <w:right w:val="nil"/>
            </w:tcBorders>
          </w:tcPr>
          <w:p w:rsidR="00E77C30" w:rsidRPr="00367140" w:rsidRDefault="00E77C30" w:rsidP="005728EF">
            <w:pPr>
              <w:jc w:val="center"/>
              <w:rPr>
                <w:color w:val="000000"/>
                <w:sz w:val="14"/>
                <w:szCs w:val="14"/>
                <w:lang w:val="en-US"/>
              </w:rPr>
            </w:pPr>
          </w:p>
        </w:tc>
      </w:tr>
      <w:tr w:rsidR="00E77C30" w:rsidRPr="00367140">
        <w:trPr>
          <w:cantSplit/>
          <w:trHeight w:val="202"/>
        </w:trPr>
        <w:tc>
          <w:tcPr>
            <w:tcW w:w="3062" w:type="dxa"/>
            <w:vMerge w:val="restart"/>
            <w:tcBorders>
              <w:top w:val="nil"/>
              <w:left w:val="nil"/>
              <w:right w:val="nil"/>
            </w:tcBorders>
            <w:noWrap/>
            <w:vAlign w:val="center"/>
          </w:tcPr>
          <w:p w:rsidR="00E77C30" w:rsidRPr="00367140" w:rsidRDefault="00E77C30" w:rsidP="005728EF">
            <w:pPr>
              <w:rPr>
                <w:color w:val="000000"/>
                <w:sz w:val="20"/>
                <w:szCs w:val="20"/>
              </w:rPr>
            </w:pPr>
            <w:r w:rsidRPr="00367140">
              <w:rPr>
                <w:color w:val="000000"/>
                <w:sz w:val="20"/>
                <w:szCs w:val="20"/>
              </w:rPr>
              <w:t>(LV50/LV49)/</w:t>
            </w:r>
          </w:p>
          <w:p w:rsidR="00E77C30" w:rsidRPr="00367140" w:rsidRDefault="00E77C30" w:rsidP="005728EF">
            <w:pPr>
              <w:rPr>
                <w:color w:val="000000"/>
                <w:sz w:val="20"/>
                <w:szCs w:val="20"/>
              </w:rPr>
            </w:pPr>
            <w:r w:rsidRPr="00367140">
              <w:rPr>
                <w:color w:val="000000"/>
                <w:sz w:val="20"/>
                <w:szCs w:val="20"/>
              </w:rPr>
              <w:t>(VL/VL)/</w:t>
            </w:r>
          </w:p>
          <w:p w:rsidR="00E77C30" w:rsidRPr="00367140" w:rsidRDefault="00E77C30" w:rsidP="005728EF">
            <w:pPr>
              <w:rPr>
                <w:color w:val="000000"/>
                <w:sz w:val="12"/>
                <w:szCs w:val="12"/>
              </w:rPr>
            </w:pPr>
            <w:r w:rsidRPr="00367140">
              <w:rPr>
                <w:color w:val="000000"/>
                <w:sz w:val="20"/>
                <w:szCs w:val="20"/>
              </w:rPr>
              <w:t>(MON-01/MON-24)</w:t>
            </w: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310" w:type="dxa"/>
            <w:tcBorders>
              <w:top w:val="nil"/>
              <w:left w:val="nil"/>
              <w:bottom w:val="nil"/>
              <w:right w:val="nil"/>
            </w:tcBorders>
          </w:tcPr>
          <w:p w:rsidR="00E77C30" w:rsidRPr="00367140" w:rsidRDefault="00E77C30" w:rsidP="005728EF">
            <w:pPr>
              <w:jc w:val="center"/>
              <w:rPr>
                <w:b/>
                <w:bCs/>
                <w:color w:val="000000"/>
                <w:sz w:val="20"/>
                <w:szCs w:val="20"/>
                <w:lang w:val="pt-BR"/>
              </w:rPr>
            </w:pPr>
            <w:r w:rsidRPr="00367140">
              <w:rPr>
                <w:b/>
                <w:bCs/>
                <w:color w:val="000000"/>
                <w:sz w:val="20"/>
                <w:szCs w:val="20"/>
                <w:lang w:val="pt-BR"/>
              </w:rPr>
              <w:t>Down</w:t>
            </w:r>
          </w:p>
        </w:tc>
      </w:tr>
      <w:tr w:rsidR="00E77C30" w:rsidRPr="00367140">
        <w:trPr>
          <w:cantSplit/>
          <w:trHeight w:val="202"/>
        </w:trPr>
        <w:tc>
          <w:tcPr>
            <w:tcW w:w="3062" w:type="dxa"/>
            <w:vMerge/>
            <w:tcBorders>
              <w:left w:val="nil"/>
              <w:right w:val="nil"/>
            </w:tcBorders>
            <w:noWrap/>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rPr>
              <w:t>60S RPL6</w:t>
            </w:r>
          </w:p>
        </w:tc>
        <w:tc>
          <w:tcPr>
            <w:tcW w:w="1310" w:type="dxa"/>
            <w:tcBorders>
              <w:top w:val="nil"/>
              <w:left w:val="nil"/>
              <w:bottom w:val="nil"/>
              <w:right w:val="nil"/>
            </w:tcBorders>
          </w:tcPr>
          <w:p w:rsidR="00E77C30" w:rsidRPr="00367140" w:rsidRDefault="00E77C30" w:rsidP="005728EF">
            <w:pPr>
              <w:jc w:val="center"/>
              <w:rPr>
                <w:color w:val="000000"/>
                <w:sz w:val="20"/>
                <w:szCs w:val="20"/>
              </w:rPr>
            </w:pPr>
            <w:r w:rsidRPr="00367140">
              <w:rPr>
                <w:color w:val="000000"/>
                <w:sz w:val="20"/>
                <w:szCs w:val="20"/>
              </w:rPr>
              <w:t>-</w:t>
            </w:r>
          </w:p>
        </w:tc>
      </w:tr>
      <w:tr w:rsidR="00E77C30" w:rsidRPr="00367140">
        <w:trPr>
          <w:cantSplit/>
          <w:trHeight w:val="202"/>
        </w:trPr>
        <w:tc>
          <w:tcPr>
            <w:tcW w:w="3062" w:type="dxa"/>
            <w:vMerge/>
            <w:tcBorders>
              <w:left w:val="nil"/>
              <w:right w:val="nil"/>
            </w:tcBorders>
            <w:noWrap/>
          </w:tcPr>
          <w:p w:rsidR="00E77C30" w:rsidRPr="00367140" w:rsidRDefault="00E77C30" w:rsidP="005728EF">
            <w:pPr>
              <w:rPr>
                <w:color w:val="000000"/>
                <w:sz w:val="12"/>
                <w:szCs w:val="12"/>
              </w:rPr>
            </w:pPr>
          </w:p>
        </w:tc>
        <w:tc>
          <w:tcPr>
            <w:tcW w:w="1218" w:type="dxa"/>
            <w:tcBorders>
              <w:top w:val="nil"/>
              <w:left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310" w:type="dxa"/>
            <w:tcBorders>
              <w:top w:val="nil"/>
              <w:left w:val="nil"/>
              <w:right w:val="nil"/>
            </w:tcBorders>
          </w:tcPr>
          <w:p w:rsidR="00E77C30" w:rsidRPr="00367140" w:rsidRDefault="00E77C30" w:rsidP="005728EF">
            <w:pPr>
              <w:jc w:val="center"/>
              <w:rPr>
                <w:color w:val="000000"/>
                <w:sz w:val="20"/>
                <w:szCs w:val="20"/>
                <w:lang w:val="pt-BR"/>
              </w:rPr>
            </w:pPr>
            <w:r w:rsidRPr="00367140">
              <w:rPr>
                <w:color w:val="000000"/>
                <w:sz w:val="20"/>
                <w:szCs w:val="20"/>
                <w:lang w:val="pt-BR"/>
              </w:rPr>
              <w:t>-</w:t>
            </w:r>
          </w:p>
        </w:tc>
      </w:tr>
      <w:tr w:rsidR="00E77C30" w:rsidRPr="00367140">
        <w:trPr>
          <w:cantSplit/>
          <w:trHeight w:val="340"/>
        </w:trPr>
        <w:tc>
          <w:tcPr>
            <w:tcW w:w="3062" w:type="dxa"/>
            <w:vMerge/>
            <w:tcBorders>
              <w:left w:val="nil"/>
              <w:bottom w:val="single" w:sz="4" w:space="0" w:color="auto"/>
              <w:right w:val="nil"/>
            </w:tcBorders>
            <w:noWrap/>
          </w:tcPr>
          <w:p w:rsidR="00E77C30" w:rsidRPr="00367140" w:rsidRDefault="00E77C30" w:rsidP="005728EF">
            <w:pPr>
              <w:rPr>
                <w:rFonts w:ascii="Arial" w:hAnsi="Arial" w:cs="Arial"/>
                <w:color w:val="000000"/>
                <w:sz w:val="12"/>
                <w:szCs w:val="12"/>
                <w:lang w:val="pt-BR"/>
              </w:rPr>
            </w:pPr>
          </w:p>
        </w:tc>
        <w:tc>
          <w:tcPr>
            <w:tcW w:w="1218" w:type="dxa"/>
            <w:tcBorders>
              <w:top w:val="nil"/>
              <w:left w:val="nil"/>
              <w:bottom w:val="single" w:sz="4" w:space="0" w:color="auto"/>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p>
        </w:tc>
        <w:tc>
          <w:tcPr>
            <w:tcW w:w="1310" w:type="dxa"/>
            <w:tcBorders>
              <w:top w:val="nil"/>
              <w:left w:val="nil"/>
              <w:bottom w:val="single" w:sz="4" w:space="0" w:color="auto"/>
              <w:right w:val="nil"/>
            </w:tcBorders>
          </w:tcPr>
          <w:p w:rsidR="00E77C30" w:rsidRPr="00367140" w:rsidRDefault="00E77C30" w:rsidP="005728EF">
            <w:pPr>
              <w:jc w:val="center"/>
              <w:rPr>
                <w:color w:val="000000"/>
                <w:sz w:val="20"/>
                <w:szCs w:val="20"/>
                <w:lang w:val="en-US"/>
              </w:rPr>
            </w:pPr>
            <w:r w:rsidRPr="00367140">
              <w:rPr>
                <w:color w:val="000000"/>
                <w:sz w:val="20"/>
                <w:szCs w:val="20"/>
                <w:lang w:val="en-US"/>
              </w:rPr>
              <w:t>-</w:t>
            </w:r>
          </w:p>
        </w:tc>
      </w:tr>
    </w:tbl>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rPr>
          <w:lang w:val="en-US"/>
        </w:rPr>
      </w:pPr>
    </w:p>
    <w:p w:rsidR="00E77C30" w:rsidRPr="00367140" w:rsidRDefault="00E77C30" w:rsidP="006B457B"/>
    <w:p w:rsidR="00E77C30" w:rsidRPr="00367140" w:rsidRDefault="00E77C30" w:rsidP="006B457B">
      <w:pPr>
        <w:jc w:val="center"/>
      </w:pPr>
    </w:p>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 w:rsidR="00E77C30" w:rsidRPr="00367140" w:rsidRDefault="00E77C30" w:rsidP="006B457B">
      <w:pPr>
        <w:ind w:left="1416" w:hanging="1416"/>
      </w:pPr>
      <w:r w:rsidRPr="00367140">
        <w:rPr>
          <w:b/>
          <w:bCs/>
          <w:lang w:val="en-US"/>
        </w:rPr>
        <w:t>Fig</w:t>
      </w:r>
      <w:r>
        <w:rPr>
          <w:b/>
          <w:bCs/>
          <w:lang w:val="en-US"/>
        </w:rPr>
        <w:t xml:space="preserve">ure </w:t>
      </w:r>
      <w:r w:rsidRPr="00367140">
        <w:rPr>
          <w:b/>
          <w:bCs/>
          <w:lang w:val="en-US"/>
        </w:rPr>
        <w:t xml:space="preserve"> 2</w:t>
      </w:r>
      <w:r>
        <w:rPr>
          <w:b/>
          <w:bCs/>
          <w:lang w:val="en-US"/>
        </w:rPr>
        <w:t xml:space="preserve"> :</w:t>
      </w:r>
      <w:r>
        <w:rPr>
          <w:b/>
          <w:bCs/>
          <w:lang w:val="en-US"/>
        </w:rPr>
        <w:tab/>
        <w:t xml:space="preserve"> </w:t>
      </w:r>
      <w:r w:rsidRPr="00367140">
        <w:rPr>
          <w:lang w:val="en-US"/>
        </w:rPr>
        <w:t xml:space="preserve">Expression analysis of genes identified by differential display using real-time PCR in the 4 </w:t>
      </w:r>
      <w:r w:rsidRPr="00367140">
        <w:rPr>
          <w:i/>
          <w:iCs/>
          <w:lang w:val="en-US"/>
        </w:rPr>
        <w:t>L. infantum</w:t>
      </w:r>
      <w:r w:rsidRPr="00367140">
        <w:rPr>
          <w:lang w:val="en-US"/>
        </w:rPr>
        <w:t xml:space="preserve"> isolates</w:t>
      </w: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p>
    <w:p w:rsidR="00E77C30" w:rsidRPr="00367140" w:rsidRDefault="00E77C30" w:rsidP="006B457B">
      <w:pPr>
        <w:rPr>
          <w:lang w:val="en-US"/>
        </w:rPr>
      </w:pPr>
      <w:r>
        <w:rPr>
          <w:noProof/>
          <w:lang w:val="en-US" w:eastAsia="zh-CN"/>
        </w:rPr>
        <w:pict>
          <v:group id="_x0000_s1072" style="position:absolute;margin-left:189.5pt;margin-top:-2.05pt;width:306pt;height:317.65pt;z-index:-251660800" coordorigin="5392,1975" coordsize="6120,6353">
            <v:shape id="_x0000_s1073" type="#_x0000_t75" style="position:absolute;left:5392;top:1975;width:6120;height:6105">
              <v:imagedata r:id="rId19" o:title=""/>
            </v:shape>
            <v:group id="_x0000_s1074" style="position:absolute;left:7070;top:3830;width:4296;height:4498" coordorigin="7070,3830" coordsize="4296,4498">
              <v:shape id="_x0000_s1075" type="#_x0000_t202" style="position:absolute;left:7070;top:6090;width:186;height:360" filled="f" stroked="f">
                <v:textbox style="mso-next-textbox:#_x0000_s1075">
                  <w:txbxContent>
                    <w:p w:rsidR="00E77C30" w:rsidRDefault="00E77C30" w:rsidP="006B457B">
                      <w:pPr>
                        <w:rPr>
                          <w:sz w:val="16"/>
                          <w:szCs w:val="16"/>
                        </w:rPr>
                      </w:pPr>
                      <w:r>
                        <w:rPr>
                          <w:sz w:val="16"/>
                          <w:szCs w:val="16"/>
                        </w:rPr>
                        <w:t>*</w:t>
                      </w:r>
                    </w:p>
                  </w:txbxContent>
                </v:textbox>
              </v:shape>
              <v:shape id="_x0000_s1076" type="#_x0000_t202" style="position:absolute;left:10123;top:3830;width:748;height:360" filled="f" stroked="f">
                <v:textbox style="mso-next-textbox:#_x0000_s1076">
                  <w:txbxContent>
                    <w:p w:rsidR="00E77C30" w:rsidRDefault="00E77C30" w:rsidP="006B457B">
                      <w:pPr>
                        <w:rPr>
                          <w:sz w:val="16"/>
                          <w:szCs w:val="16"/>
                        </w:rPr>
                      </w:pPr>
                      <w:r>
                        <w:rPr>
                          <w:sz w:val="16"/>
                          <w:szCs w:val="16"/>
                        </w:rPr>
                        <w:t>**</w:t>
                      </w:r>
                    </w:p>
                  </w:txbxContent>
                </v:textbox>
              </v:shape>
              <v:shape id="_x0000_s1077" type="#_x0000_t202" style="position:absolute;left:7813;top:7620;width:3553;height:708" stroked="f">
                <v:textbox style="mso-next-textbox:#_x0000_s1077">
                  <w:txbxContent>
                    <w:p w:rsidR="00E77C30" w:rsidRDefault="00E77C30" w:rsidP="006B457B">
                      <w:pPr>
                        <w:rPr>
                          <w:b/>
                          <w:bCs/>
                          <w:sz w:val="18"/>
                          <w:szCs w:val="18"/>
                        </w:rPr>
                      </w:pPr>
                      <w:r>
                        <w:rPr>
                          <w:b/>
                          <w:bCs/>
                          <w:sz w:val="18"/>
                          <w:szCs w:val="18"/>
                        </w:rPr>
                        <w:t>Fold of expression 2</w:t>
                      </w:r>
                      <w:r>
                        <w:rPr>
                          <w:b/>
                          <w:bCs/>
                          <w:sz w:val="18"/>
                          <w:szCs w:val="18"/>
                          <w:vertAlign w:val="superscript"/>
                        </w:rPr>
                        <w:t>-∆∆Ct</w:t>
                      </w:r>
                      <w:r>
                        <w:rPr>
                          <w:b/>
                          <w:bCs/>
                          <w:sz w:val="18"/>
                          <w:szCs w:val="18"/>
                        </w:rPr>
                        <w:t>-1</w:t>
                      </w:r>
                    </w:p>
                  </w:txbxContent>
                </v:textbox>
              </v:shape>
            </v:group>
          </v:group>
        </w:pict>
      </w:r>
    </w:p>
    <w:tbl>
      <w:tblPr>
        <w:tblpPr w:leftFromText="141" w:rightFromText="141" w:vertAnchor="text" w:horzAnchor="page" w:tblpX="436" w:tblpY="86"/>
        <w:tblW w:w="6428" w:type="dxa"/>
        <w:tblCellMar>
          <w:left w:w="70" w:type="dxa"/>
          <w:right w:w="70" w:type="dxa"/>
        </w:tblCellMar>
        <w:tblLook w:val="0000"/>
      </w:tblPr>
      <w:tblGrid>
        <w:gridCol w:w="4114"/>
        <w:gridCol w:w="1122"/>
        <w:gridCol w:w="1192"/>
      </w:tblGrid>
      <w:tr w:rsidR="00E77C30" w:rsidRPr="00367140">
        <w:trPr>
          <w:cantSplit/>
          <w:trHeight w:val="173"/>
        </w:trPr>
        <w:tc>
          <w:tcPr>
            <w:tcW w:w="5236" w:type="dxa"/>
            <w:gridSpan w:val="2"/>
            <w:tcBorders>
              <w:top w:val="single" w:sz="4" w:space="0" w:color="auto"/>
              <w:left w:val="nil"/>
              <w:bottom w:val="single" w:sz="4" w:space="0" w:color="auto"/>
              <w:right w:val="nil"/>
            </w:tcBorders>
            <w:vAlign w:val="center"/>
          </w:tcPr>
          <w:p w:rsidR="00E77C30" w:rsidRPr="00367140" w:rsidRDefault="00E77C30" w:rsidP="005728EF">
            <w:pPr>
              <w:jc w:val="center"/>
              <w:rPr>
                <w:b/>
                <w:bCs/>
                <w:color w:val="000000"/>
                <w:sz w:val="12"/>
                <w:szCs w:val="12"/>
              </w:rPr>
            </w:pPr>
            <w:r w:rsidRPr="00367140">
              <w:rPr>
                <w:b/>
                <w:bCs/>
                <w:color w:val="000000"/>
                <w:sz w:val="20"/>
                <w:szCs w:val="20"/>
              </w:rPr>
              <w:t>Comparison levels</w:t>
            </w:r>
          </w:p>
        </w:tc>
        <w:tc>
          <w:tcPr>
            <w:tcW w:w="1192" w:type="dxa"/>
            <w:vMerge w:val="restart"/>
            <w:tcBorders>
              <w:top w:val="single" w:sz="4" w:space="0" w:color="auto"/>
              <w:left w:val="nil"/>
              <w:right w:val="nil"/>
            </w:tcBorders>
            <w:vAlign w:val="center"/>
          </w:tcPr>
          <w:p w:rsidR="00E77C30" w:rsidRPr="00367140" w:rsidRDefault="00E77C30" w:rsidP="005728EF">
            <w:pPr>
              <w:rPr>
                <w:b/>
                <w:bCs/>
                <w:color w:val="000000"/>
                <w:sz w:val="20"/>
                <w:szCs w:val="20"/>
              </w:rPr>
            </w:pPr>
            <w:r w:rsidRPr="00367140">
              <w:rPr>
                <w:b/>
                <w:bCs/>
                <w:color w:val="000000"/>
                <w:sz w:val="20"/>
                <w:szCs w:val="20"/>
              </w:rPr>
              <w:t>Expression phenotype</w:t>
            </w:r>
          </w:p>
        </w:tc>
      </w:tr>
      <w:tr w:rsidR="00E77C30" w:rsidRPr="00367140">
        <w:trPr>
          <w:cantSplit/>
          <w:trHeight w:val="303"/>
        </w:trPr>
        <w:tc>
          <w:tcPr>
            <w:tcW w:w="4114" w:type="dxa"/>
            <w:tcBorders>
              <w:top w:val="single" w:sz="4" w:space="0" w:color="auto"/>
              <w:left w:val="nil"/>
              <w:bottom w:val="single" w:sz="4" w:space="0" w:color="auto"/>
              <w:right w:val="nil"/>
            </w:tcBorders>
            <w:noWrap/>
            <w:vAlign w:val="center"/>
          </w:tcPr>
          <w:p w:rsidR="00E77C30" w:rsidRPr="00367140" w:rsidRDefault="00E77C30" w:rsidP="005728EF">
            <w:pPr>
              <w:rPr>
                <w:b/>
                <w:bCs/>
                <w:color w:val="000000"/>
                <w:sz w:val="20"/>
                <w:szCs w:val="20"/>
              </w:rPr>
            </w:pPr>
            <w:r w:rsidRPr="00367140">
              <w:rPr>
                <w:b/>
                <w:bCs/>
                <w:color w:val="000000"/>
                <w:sz w:val="20"/>
                <w:szCs w:val="20"/>
              </w:rPr>
              <w:t>Isolates/Pathology or Zymodeme</w:t>
            </w:r>
          </w:p>
        </w:tc>
        <w:tc>
          <w:tcPr>
            <w:tcW w:w="1122" w:type="dxa"/>
            <w:tcBorders>
              <w:top w:val="single" w:sz="4" w:space="0" w:color="auto"/>
              <w:left w:val="nil"/>
              <w:bottom w:val="single" w:sz="4" w:space="0" w:color="auto"/>
              <w:right w:val="nil"/>
            </w:tcBorders>
            <w:noWrap/>
            <w:vAlign w:val="center"/>
          </w:tcPr>
          <w:p w:rsidR="00E77C30" w:rsidRPr="00367140" w:rsidRDefault="00E77C30" w:rsidP="005728EF">
            <w:pPr>
              <w:rPr>
                <w:b/>
                <w:bCs/>
                <w:color w:val="000000"/>
                <w:sz w:val="20"/>
                <w:szCs w:val="20"/>
              </w:rPr>
            </w:pPr>
            <w:r w:rsidRPr="00367140">
              <w:rPr>
                <w:b/>
                <w:bCs/>
                <w:color w:val="000000"/>
                <w:sz w:val="20"/>
                <w:szCs w:val="20"/>
              </w:rPr>
              <w:t>Genes</w:t>
            </w:r>
          </w:p>
        </w:tc>
        <w:tc>
          <w:tcPr>
            <w:tcW w:w="1192" w:type="dxa"/>
            <w:vMerge/>
            <w:tcBorders>
              <w:left w:val="nil"/>
              <w:bottom w:val="single" w:sz="4" w:space="0" w:color="auto"/>
              <w:right w:val="nil"/>
            </w:tcBorders>
          </w:tcPr>
          <w:p w:rsidR="00E77C30" w:rsidRPr="00367140" w:rsidRDefault="00E77C30" w:rsidP="005728EF">
            <w:pPr>
              <w:rPr>
                <w:b/>
                <w:bCs/>
                <w:color w:val="000000"/>
                <w:sz w:val="20"/>
                <w:szCs w:val="20"/>
              </w:rPr>
            </w:pPr>
          </w:p>
        </w:tc>
      </w:tr>
      <w:tr w:rsidR="00E77C30" w:rsidRPr="00367140">
        <w:trPr>
          <w:cantSplit/>
          <w:trHeight w:val="303"/>
        </w:trPr>
        <w:tc>
          <w:tcPr>
            <w:tcW w:w="4114" w:type="dxa"/>
            <w:vMerge w:val="restart"/>
            <w:tcBorders>
              <w:top w:val="single" w:sz="4" w:space="0" w:color="auto"/>
              <w:left w:val="nil"/>
              <w:right w:val="nil"/>
            </w:tcBorders>
            <w:noWrap/>
            <w:vAlign w:val="center"/>
          </w:tcPr>
          <w:p w:rsidR="00E77C30" w:rsidRPr="00367140" w:rsidRDefault="00E77C30" w:rsidP="005728EF">
            <w:pPr>
              <w:rPr>
                <w:color w:val="000000"/>
                <w:sz w:val="20"/>
                <w:szCs w:val="20"/>
                <w:lang w:val="en-GB"/>
              </w:rPr>
            </w:pPr>
            <w:r w:rsidRPr="00367140">
              <w:rPr>
                <w:color w:val="000000"/>
                <w:sz w:val="20"/>
                <w:szCs w:val="20"/>
                <w:lang w:val="en-GB"/>
              </w:rPr>
              <w:t xml:space="preserve">(DREP05 </w:t>
            </w:r>
            <w:r w:rsidRPr="00367140">
              <w:rPr>
                <w:color w:val="000000"/>
                <w:sz w:val="20"/>
                <w:szCs w:val="20"/>
              </w:rPr>
              <w:sym w:font="Symbol" w:char="F026"/>
            </w:r>
            <w:r w:rsidRPr="00367140">
              <w:rPr>
                <w:color w:val="000000"/>
                <w:sz w:val="20"/>
                <w:szCs w:val="20"/>
                <w:lang w:val="en-GB"/>
              </w:rPr>
              <w:t xml:space="preserve"> DREP14 / LV49 </w:t>
            </w:r>
            <w:r w:rsidRPr="00367140">
              <w:rPr>
                <w:color w:val="000000"/>
                <w:sz w:val="20"/>
                <w:szCs w:val="20"/>
              </w:rPr>
              <w:sym w:font="Symbol" w:char="F026"/>
            </w:r>
            <w:r w:rsidRPr="00367140">
              <w:rPr>
                <w:color w:val="000000"/>
                <w:sz w:val="20"/>
                <w:szCs w:val="20"/>
                <w:lang w:val="en-GB"/>
              </w:rPr>
              <w:t xml:space="preserve"> LV50)/</w:t>
            </w:r>
          </w:p>
          <w:p w:rsidR="00E77C30" w:rsidRPr="00367140" w:rsidRDefault="00E77C30" w:rsidP="005728EF">
            <w:pPr>
              <w:widowControl w:val="0"/>
              <w:autoSpaceDE w:val="0"/>
              <w:autoSpaceDN w:val="0"/>
              <w:adjustRightInd w:val="0"/>
              <w:spacing w:line="360" w:lineRule="auto"/>
              <w:rPr>
                <w:color w:val="000000"/>
                <w:sz w:val="20"/>
                <w:szCs w:val="20"/>
                <w:lang w:val="en-GB"/>
              </w:rPr>
            </w:pPr>
            <w:r w:rsidRPr="00367140">
              <w:rPr>
                <w:color w:val="000000"/>
                <w:sz w:val="20"/>
                <w:szCs w:val="20"/>
                <w:lang w:val="en-GB"/>
              </w:rPr>
              <w:t>(all CL) / (all VL)</w:t>
            </w:r>
          </w:p>
          <w:p w:rsidR="00E77C30" w:rsidRPr="00367140" w:rsidRDefault="00E77C30" w:rsidP="005728EF">
            <w:pPr>
              <w:widowControl w:val="0"/>
              <w:autoSpaceDE w:val="0"/>
              <w:autoSpaceDN w:val="0"/>
              <w:adjustRightInd w:val="0"/>
              <w:spacing w:line="360" w:lineRule="auto"/>
              <w:rPr>
                <w:color w:val="000000"/>
                <w:sz w:val="20"/>
                <w:szCs w:val="20"/>
                <w:lang w:val="en-GB"/>
              </w:rPr>
            </w:pPr>
          </w:p>
        </w:tc>
        <w:tc>
          <w:tcPr>
            <w:tcW w:w="1122" w:type="dxa"/>
            <w:tcBorders>
              <w:top w:val="single" w:sz="4" w:space="0" w:color="auto"/>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192" w:type="dxa"/>
            <w:tcBorders>
              <w:top w:val="single" w:sz="4" w:space="0" w:color="auto"/>
              <w:left w:val="nil"/>
              <w:bottom w:val="nil"/>
              <w:right w:val="nil"/>
            </w:tcBorders>
            <w:vAlign w:val="center"/>
          </w:tcPr>
          <w:p w:rsidR="00E77C30" w:rsidRPr="00367140" w:rsidRDefault="00E77C30" w:rsidP="005728EF">
            <w:pPr>
              <w:rPr>
                <w:b/>
                <w:bCs/>
                <w:color w:val="000000"/>
                <w:sz w:val="20"/>
                <w:szCs w:val="20"/>
                <w:lang w:val="pt-BR"/>
              </w:rPr>
            </w:pPr>
            <w:r w:rsidRPr="00367140">
              <w:rPr>
                <w:b/>
                <w:bCs/>
                <w:color w:val="000000"/>
                <w:sz w:val="20"/>
                <w:szCs w:val="20"/>
                <w:lang w:val="pt-BR"/>
              </w:rPr>
              <w:t>-</w:t>
            </w:r>
          </w:p>
        </w:tc>
      </w:tr>
      <w:tr w:rsidR="00E77C30" w:rsidRPr="00367140">
        <w:trPr>
          <w:cantSplit/>
          <w:trHeight w:val="303"/>
        </w:trPr>
        <w:tc>
          <w:tcPr>
            <w:tcW w:w="4114" w:type="dxa"/>
            <w:vMerge/>
            <w:tcBorders>
              <w:left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lang w:val="pt-BR"/>
              </w:rPr>
              <w:t xml:space="preserve">60S </w:t>
            </w:r>
            <w:r w:rsidRPr="00367140">
              <w:rPr>
                <w:i/>
                <w:iCs/>
                <w:color w:val="000000"/>
                <w:sz w:val="20"/>
                <w:szCs w:val="20"/>
              </w:rPr>
              <w:t>RPL6</w:t>
            </w:r>
            <w:r w:rsidRPr="00367140">
              <w:rPr>
                <w:rFonts w:ascii="Arial" w:hAnsi="Arial" w:cs="Arial"/>
                <w:i/>
                <w:iCs/>
                <w:color w:val="000000"/>
                <w:sz w:val="20"/>
                <w:szCs w:val="20"/>
              </w:rPr>
              <w:t xml:space="preserve"> </w:t>
            </w:r>
          </w:p>
        </w:tc>
        <w:tc>
          <w:tcPr>
            <w:tcW w:w="1192" w:type="dxa"/>
            <w:tcBorders>
              <w:left w:val="nil"/>
              <w:bottom w:val="nil"/>
              <w:right w:val="nil"/>
            </w:tcBorders>
            <w:vAlign w:val="center"/>
          </w:tcPr>
          <w:p w:rsidR="00E77C30" w:rsidRPr="00367140" w:rsidRDefault="00E77C30" w:rsidP="005728EF">
            <w:pPr>
              <w:rPr>
                <w:b/>
                <w:bCs/>
                <w:color w:val="000000"/>
                <w:sz w:val="20"/>
                <w:szCs w:val="20"/>
              </w:rPr>
            </w:pPr>
            <w:r w:rsidRPr="00367140">
              <w:rPr>
                <w:b/>
                <w:bCs/>
                <w:color w:val="000000"/>
                <w:sz w:val="20"/>
                <w:szCs w:val="20"/>
              </w:rPr>
              <w:t>-</w:t>
            </w:r>
          </w:p>
        </w:tc>
      </w:tr>
      <w:tr w:rsidR="00E77C30" w:rsidRPr="00367140">
        <w:trPr>
          <w:cantSplit/>
          <w:trHeight w:val="303"/>
        </w:trPr>
        <w:tc>
          <w:tcPr>
            <w:tcW w:w="4114" w:type="dxa"/>
            <w:vMerge/>
            <w:tcBorders>
              <w:left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192" w:type="dxa"/>
            <w:tcBorders>
              <w:left w:val="nil"/>
              <w:bottom w:val="nil"/>
              <w:right w:val="nil"/>
            </w:tcBorders>
            <w:vAlign w:val="center"/>
          </w:tcPr>
          <w:p w:rsidR="00E77C30" w:rsidRPr="00367140" w:rsidRDefault="00E77C30" w:rsidP="005728EF">
            <w:pPr>
              <w:rPr>
                <w:b/>
                <w:bCs/>
                <w:color w:val="000000"/>
                <w:sz w:val="20"/>
                <w:szCs w:val="20"/>
                <w:lang w:val="pt-BR"/>
              </w:rPr>
            </w:pPr>
            <w:r w:rsidRPr="00367140">
              <w:rPr>
                <w:b/>
                <w:bCs/>
                <w:color w:val="000000"/>
                <w:sz w:val="20"/>
                <w:szCs w:val="20"/>
                <w:lang w:val="pt-BR"/>
              </w:rPr>
              <w:t>-</w:t>
            </w:r>
          </w:p>
        </w:tc>
      </w:tr>
      <w:tr w:rsidR="00E77C30" w:rsidRPr="00367140">
        <w:trPr>
          <w:cantSplit/>
          <w:trHeight w:val="303"/>
        </w:trPr>
        <w:tc>
          <w:tcPr>
            <w:tcW w:w="4114" w:type="dxa"/>
            <w:vMerge/>
            <w:tcBorders>
              <w:left w:val="nil"/>
              <w:bottom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r w:rsidRPr="00367140">
              <w:rPr>
                <w:rFonts w:ascii="Arial" w:hAnsi="Arial" w:cs="Arial"/>
                <w:i/>
                <w:iCs/>
                <w:color w:val="000000"/>
                <w:sz w:val="20"/>
                <w:szCs w:val="20"/>
                <w:lang w:val="en-US"/>
              </w:rPr>
              <w:t xml:space="preserve"> </w:t>
            </w:r>
          </w:p>
        </w:tc>
        <w:tc>
          <w:tcPr>
            <w:tcW w:w="1192" w:type="dxa"/>
            <w:tcBorders>
              <w:left w:val="nil"/>
              <w:bottom w:val="nil"/>
              <w:right w:val="nil"/>
            </w:tcBorders>
            <w:vAlign w:val="center"/>
          </w:tcPr>
          <w:p w:rsidR="00E77C30" w:rsidRPr="00367140" w:rsidRDefault="00E77C30" w:rsidP="005728EF">
            <w:pPr>
              <w:rPr>
                <w:b/>
                <w:bCs/>
                <w:color w:val="000000"/>
                <w:sz w:val="20"/>
                <w:szCs w:val="20"/>
                <w:lang w:val="en-US"/>
              </w:rPr>
            </w:pPr>
            <w:r w:rsidRPr="00367140">
              <w:rPr>
                <w:b/>
                <w:bCs/>
                <w:color w:val="000000"/>
                <w:sz w:val="20"/>
                <w:szCs w:val="20"/>
                <w:lang w:val="en-US"/>
              </w:rPr>
              <w:t>Up</w:t>
            </w:r>
          </w:p>
        </w:tc>
      </w:tr>
      <w:tr w:rsidR="00E77C30" w:rsidRPr="00367140">
        <w:trPr>
          <w:trHeight w:val="303"/>
        </w:trPr>
        <w:tc>
          <w:tcPr>
            <w:tcW w:w="4114" w:type="dxa"/>
            <w:tcBorders>
              <w:left w:val="nil"/>
              <w:bottom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12"/>
                <w:szCs w:val="12"/>
                <w:lang w:val="en-US"/>
              </w:rPr>
            </w:pPr>
          </w:p>
        </w:tc>
        <w:tc>
          <w:tcPr>
            <w:tcW w:w="1192" w:type="dxa"/>
            <w:tcBorders>
              <w:left w:val="nil"/>
              <w:bottom w:val="nil"/>
              <w:right w:val="nil"/>
            </w:tcBorders>
            <w:vAlign w:val="center"/>
          </w:tcPr>
          <w:p w:rsidR="00E77C30" w:rsidRPr="00367140" w:rsidRDefault="00E77C30" w:rsidP="005728EF">
            <w:pPr>
              <w:rPr>
                <w:color w:val="000000"/>
                <w:sz w:val="12"/>
                <w:szCs w:val="12"/>
                <w:lang w:val="en-US"/>
              </w:rPr>
            </w:pPr>
          </w:p>
        </w:tc>
      </w:tr>
      <w:tr w:rsidR="00E77C30" w:rsidRPr="00367140">
        <w:trPr>
          <w:trHeight w:val="303"/>
        </w:trPr>
        <w:tc>
          <w:tcPr>
            <w:tcW w:w="4114" w:type="dxa"/>
            <w:tcBorders>
              <w:left w:val="nil"/>
              <w:bottom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12"/>
                <w:szCs w:val="12"/>
                <w:lang w:val="en-US"/>
              </w:rPr>
            </w:pPr>
          </w:p>
        </w:tc>
        <w:tc>
          <w:tcPr>
            <w:tcW w:w="1192" w:type="dxa"/>
            <w:tcBorders>
              <w:left w:val="nil"/>
              <w:bottom w:val="nil"/>
              <w:right w:val="nil"/>
            </w:tcBorders>
            <w:vAlign w:val="center"/>
          </w:tcPr>
          <w:p w:rsidR="00E77C30" w:rsidRPr="00367140" w:rsidRDefault="00E77C30" w:rsidP="005728EF">
            <w:pPr>
              <w:rPr>
                <w:color w:val="000000"/>
                <w:sz w:val="12"/>
                <w:szCs w:val="12"/>
                <w:lang w:val="en-US"/>
              </w:rPr>
            </w:pPr>
          </w:p>
        </w:tc>
      </w:tr>
      <w:tr w:rsidR="00E77C30" w:rsidRPr="00367140">
        <w:trPr>
          <w:trHeight w:val="303"/>
        </w:trPr>
        <w:tc>
          <w:tcPr>
            <w:tcW w:w="4114" w:type="dxa"/>
            <w:tcBorders>
              <w:left w:val="nil"/>
              <w:bottom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12"/>
                <w:szCs w:val="12"/>
                <w:lang w:val="en-US"/>
              </w:rPr>
            </w:pPr>
          </w:p>
        </w:tc>
        <w:tc>
          <w:tcPr>
            <w:tcW w:w="1192" w:type="dxa"/>
            <w:tcBorders>
              <w:left w:val="nil"/>
              <w:bottom w:val="nil"/>
              <w:right w:val="nil"/>
            </w:tcBorders>
            <w:vAlign w:val="center"/>
          </w:tcPr>
          <w:p w:rsidR="00E77C30" w:rsidRPr="00367140" w:rsidRDefault="00E77C30" w:rsidP="005728EF">
            <w:pPr>
              <w:rPr>
                <w:color w:val="000000"/>
                <w:sz w:val="12"/>
                <w:szCs w:val="12"/>
                <w:lang w:val="en-US"/>
              </w:rPr>
            </w:pPr>
          </w:p>
        </w:tc>
      </w:tr>
      <w:tr w:rsidR="00E77C30" w:rsidRPr="00367140">
        <w:trPr>
          <w:trHeight w:val="303"/>
        </w:trPr>
        <w:tc>
          <w:tcPr>
            <w:tcW w:w="4114" w:type="dxa"/>
            <w:tcBorders>
              <w:left w:val="nil"/>
              <w:bottom w:val="nil"/>
              <w:right w:val="nil"/>
            </w:tcBorders>
            <w:noWrap/>
            <w:vAlign w:val="center"/>
          </w:tcPr>
          <w:p w:rsidR="00E77C30" w:rsidRPr="00367140" w:rsidRDefault="00E77C30" w:rsidP="005728EF">
            <w:pPr>
              <w:widowControl w:val="0"/>
              <w:autoSpaceDE w:val="0"/>
              <w:autoSpaceDN w:val="0"/>
              <w:adjustRightInd w:val="0"/>
              <w:spacing w:line="360" w:lineRule="auto"/>
              <w:jc w:val="center"/>
              <w:rPr>
                <w:sz w:val="12"/>
                <w:szCs w:val="12"/>
                <w:lang w:val="en-US"/>
              </w:rPr>
            </w:pPr>
          </w:p>
        </w:tc>
        <w:tc>
          <w:tcPr>
            <w:tcW w:w="1122" w:type="dxa"/>
            <w:tcBorders>
              <w:left w:val="nil"/>
              <w:bottom w:val="nil"/>
              <w:right w:val="nil"/>
            </w:tcBorders>
            <w:noWrap/>
            <w:vAlign w:val="center"/>
          </w:tcPr>
          <w:p w:rsidR="00E77C30" w:rsidRPr="00367140" w:rsidRDefault="00E77C30" w:rsidP="005728EF">
            <w:pPr>
              <w:rPr>
                <w:i/>
                <w:iCs/>
                <w:color w:val="000000"/>
                <w:sz w:val="12"/>
                <w:szCs w:val="12"/>
                <w:lang w:val="pt-BR"/>
              </w:rPr>
            </w:pPr>
          </w:p>
        </w:tc>
        <w:tc>
          <w:tcPr>
            <w:tcW w:w="1192" w:type="dxa"/>
            <w:tcBorders>
              <w:left w:val="nil"/>
              <w:bottom w:val="nil"/>
              <w:right w:val="nil"/>
            </w:tcBorders>
            <w:vAlign w:val="center"/>
          </w:tcPr>
          <w:p w:rsidR="00E77C30" w:rsidRPr="00367140" w:rsidRDefault="00E77C30" w:rsidP="005728EF">
            <w:pPr>
              <w:rPr>
                <w:color w:val="000000"/>
                <w:sz w:val="12"/>
                <w:szCs w:val="12"/>
                <w:lang w:val="pt-BR"/>
              </w:rPr>
            </w:pPr>
          </w:p>
          <w:p w:rsidR="00E77C30" w:rsidRPr="00367140" w:rsidRDefault="00E77C30" w:rsidP="005728EF">
            <w:pPr>
              <w:rPr>
                <w:color w:val="000000"/>
                <w:sz w:val="12"/>
                <w:szCs w:val="12"/>
                <w:lang w:val="pt-BR"/>
              </w:rPr>
            </w:pPr>
          </w:p>
          <w:p w:rsidR="00E77C30" w:rsidRPr="00367140" w:rsidRDefault="00E77C30" w:rsidP="005728EF">
            <w:pPr>
              <w:rPr>
                <w:color w:val="000000"/>
                <w:sz w:val="12"/>
                <w:szCs w:val="12"/>
                <w:lang w:val="pt-BR"/>
              </w:rPr>
            </w:pPr>
          </w:p>
        </w:tc>
      </w:tr>
      <w:tr w:rsidR="00E77C30" w:rsidRPr="00367140">
        <w:trPr>
          <w:cantSplit/>
          <w:trHeight w:val="303"/>
        </w:trPr>
        <w:tc>
          <w:tcPr>
            <w:tcW w:w="4114" w:type="dxa"/>
            <w:vMerge w:val="restart"/>
            <w:tcBorders>
              <w:left w:val="nil"/>
              <w:right w:val="nil"/>
            </w:tcBorders>
            <w:noWrap/>
            <w:vAlign w:val="center"/>
          </w:tcPr>
          <w:p w:rsidR="00E77C30" w:rsidRPr="00367140" w:rsidRDefault="00E77C30" w:rsidP="005728EF">
            <w:pPr>
              <w:widowControl w:val="0"/>
              <w:autoSpaceDE w:val="0"/>
              <w:autoSpaceDN w:val="0"/>
              <w:adjustRightInd w:val="0"/>
              <w:spacing w:line="360" w:lineRule="auto"/>
              <w:rPr>
                <w:sz w:val="20"/>
                <w:szCs w:val="20"/>
                <w:lang w:val="en-GB"/>
              </w:rPr>
            </w:pPr>
            <w:r w:rsidRPr="00367140">
              <w:rPr>
                <w:sz w:val="20"/>
                <w:szCs w:val="20"/>
                <w:lang w:val="en-GB"/>
              </w:rPr>
              <w:t xml:space="preserve">(DREP05 </w:t>
            </w:r>
            <w:r w:rsidRPr="00367140">
              <w:rPr>
                <w:sz w:val="20"/>
                <w:szCs w:val="20"/>
                <w:lang w:val="en-US"/>
              </w:rPr>
              <w:sym w:font="Symbol" w:char="F026"/>
            </w:r>
            <w:r w:rsidRPr="00367140">
              <w:rPr>
                <w:sz w:val="20"/>
                <w:szCs w:val="20"/>
                <w:lang w:val="en-GB"/>
              </w:rPr>
              <w:t xml:space="preserve"> LV50 / DREP14 </w:t>
            </w:r>
            <w:r w:rsidRPr="00367140">
              <w:rPr>
                <w:sz w:val="20"/>
                <w:szCs w:val="20"/>
                <w:lang w:val="en-US"/>
              </w:rPr>
              <w:sym w:font="Symbol" w:char="F026"/>
            </w:r>
            <w:r w:rsidRPr="00367140">
              <w:rPr>
                <w:sz w:val="20"/>
                <w:szCs w:val="20"/>
                <w:lang w:val="en-GB"/>
              </w:rPr>
              <w:t xml:space="preserve"> LV49)/</w:t>
            </w:r>
          </w:p>
          <w:p w:rsidR="00E77C30" w:rsidRPr="00367140" w:rsidRDefault="00E77C30" w:rsidP="005728EF">
            <w:pPr>
              <w:widowControl w:val="0"/>
              <w:autoSpaceDE w:val="0"/>
              <w:autoSpaceDN w:val="0"/>
              <w:adjustRightInd w:val="0"/>
              <w:spacing w:line="360" w:lineRule="auto"/>
              <w:rPr>
                <w:rFonts w:ascii="Arial" w:hAnsi="Arial" w:cs="Arial"/>
                <w:color w:val="000000"/>
                <w:sz w:val="20"/>
                <w:szCs w:val="20"/>
                <w:lang w:val="en-GB"/>
              </w:rPr>
            </w:pPr>
            <w:r w:rsidRPr="00367140">
              <w:rPr>
                <w:sz w:val="20"/>
                <w:szCs w:val="20"/>
                <w:lang w:val="en-GB"/>
              </w:rPr>
              <w:t>(all MON-01 / all MON-24)</w:t>
            </w:r>
          </w:p>
          <w:p w:rsidR="00E77C30" w:rsidRPr="00367140" w:rsidRDefault="00E77C30" w:rsidP="005728EF">
            <w:pPr>
              <w:widowControl w:val="0"/>
              <w:autoSpaceDE w:val="0"/>
              <w:autoSpaceDN w:val="0"/>
              <w:adjustRightInd w:val="0"/>
              <w:spacing w:line="360" w:lineRule="auto"/>
              <w:rPr>
                <w:sz w:val="12"/>
                <w:szCs w:val="12"/>
                <w:lang w:val="en-GB"/>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40S RPS6</w:t>
            </w:r>
          </w:p>
        </w:tc>
        <w:tc>
          <w:tcPr>
            <w:tcW w:w="1192" w:type="dxa"/>
            <w:tcBorders>
              <w:left w:val="nil"/>
              <w:bottom w:val="nil"/>
              <w:right w:val="nil"/>
            </w:tcBorders>
            <w:vAlign w:val="center"/>
          </w:tcPr>
          <w:p w:rsidR="00E77C30" w:rsidRPr="00367140" w:rsidRDefault="00E77C30" w:rsidP="005728EF">
            <w:pPr>
              <w:rPr>
                <w:b/>
                <w:bCs/>
                <w:color w:val="000000"/>
                <w:sz w:val="20"/>
                <w:szCs w:val="20"/>
                <w:lang w:val="pt-BR"/>
              </w:rPr>
            </w:pPr>
            <w:r w:rsidRPr="00367140">
              <w:rPr>
                <w:b/>
                <w:bCs/>
                <w:color w:val="000000"/>
                <w:sz w:val="20"/>
                <w:szCs w:val="20"/>
                <w:lang w:val="pt-BR"/>
              </w:rPr>
              <w:t>-</w:t>
            </w:r>
          </w:p>
        </w:tc>
      </w:tr>
      <w:tr w:rsidR="00E77C30" w:rsidRPr="00367140">
        <w:trPr>
          <w:cantSplit/>
          <w:trHeight w:val="303"/>
        </w:trPr>
        <w:tc>
          <w:tcPr>
            <w:tcW w:w="4114" w:type="dxa"/>
            <w:vMerge/>
            <w:tcBorders>
              <w:left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rPr>
            </w:pPr>
            <w:r w:rsidRPr="00367140">
              <w:rPr>
                <w:i/>
                <w:iCs/>
                <w:color w:val="000000"/>
                <w:sz w:val="20"/>
                <w:szCs w:val="20"/>
                <w:lang w:val="pt-BR"/>
              </w:rPr>
              <w:t xml:space="preserve">60S </w:t>
            </w:r>
            <w:r w:rsidRPr="00367140">
              <w:rPr>
                <w:i/>
                <w:iCs/>
                <w:color w:val="000000"/>
                <w:sz w:val="20"/>
                <w:szCs w:val="20"/>
              </w:rPr>
              <w:t>RPL6</w:t>
            </w:r>
            <w:r w:rsidRPr="00367140">
              <w:rPr>
                <w:rFonts w:ascii="Arial" w:hAnsi="Arial" w:cs="Arial"/>
                <w:i/>
                <w:iCs/>
                <w:color w:val="000000"/>
                <w:sz w:val="20"/>
                <w:szCs w:val="20"/>
              </w:rPr>
              <w:t xml:space="preserve"> </w:t>
            </w:r>
          </w:p>
        </w:tc>
        <w:tc>
          <w:tcPr>
            <w:tcW w:w="1192" w:type="dxa"/>
            <w:tcBorders>
              <w:left w:val="nil"/>
              <w:bottom w:val="nil"/>
              <w:right w:val="nil"/>
            </w:tcBorders>
            <w:vAlign w:val="center"/>
          </w:tcPr>
          <w:p w:rsidR="00E77C30" w:rsidRPr="00367140" w:rsidRDefault="00E77C30" w:rsidP="005728EF">
            <w:pPr>
              <w:rPr>
                <w:b/>
                <w:bCs/>
                <w:color w:val="000000"/>
                <w:sz w:val="20"/>
                <w:szCs w:val="20"/>
              </w:rPr>
            </w:pPr>
            <w:r w:rsidRPr="00367140">
              <w:rPr>
                <w:b/>
                <w:bCs/>
                <w:color w:val="000000"/>
                <w:sz w:val="20"/>
                <w:szCs w:val="20"/>
              </w:rPr>
              <w:t>-</w:t>
            </w:r>
          </w:p>
        </w:tc>
      </w:tr>
      <w:tr w:rsidR="00E77C30" w:rsidRPr="00367140">
        <w:trPr>
          <w:cantSplit/>
          <w:trHeight w:val="303"/>
        </w:trPr>
        <w:tc>
          <w:tcPr>
            <w:tcW w:w="4114" w:type="dxa"/>
            <w:vMerge/>
            <w:tcBorders>
              <w:left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nil"/>
              <w:right w:val="nil"/>
            </w:tcBorders>
            <w:noWrap/>
            <w:vAlign w:val="center"/>
          </w:tcPr>
          <w:p w:rsidR="00E77C30" w:rsidRPr="00367140" w:rsidRDefault="00E77C30" w:rsidP="005728EF">
            <w:pPr>
              <w:rPr>
                <w:i/>
                <w:iCs/>
                <w:color w:val="000000"/>
                <w:sz w:val="20"/>
                <w:szCs w:val="20"/>
                <w:lang w:val="pt-BR"/>
              </w:rPr>
            </w:pPr>
            <w:r w:rsidRPr="00367140">
              <w:rPr>
                <w:i/>
                <w:iCs/>
                <w:color w:val="000000"/>
                <w:sz w:val="20"/>
                <w:szCs w:val="20"/>
                <w:lang w:val="pt-BR"/>
              </w:rPr>
              <w:t>RPS26</w:t>
            </w:r>
          </w:p>
        </w:tc>
        <w:tc>
          <w:tcPr>
            <w:tcW w:w="1192" w:type="dxa"/>
            <w:tcBorders>
              <w:left w:val="nil"/>
              <w:bottom w:val="nil"/>
              <w:right w:val="nil"/>
            </w:tcBorders>
            <w:vAlign w:val="center"/>
          </w:tcPr>
          <w:p w:rsidR="00E77C30" w:rsidRPr="00367140" w:rsidRDefault="00E77C30" w:rsidP="005728EF">
            <w:pPr>
              <w:rPr>
                <w:b/>
                <w:bCs/>
                <w:color w:val="000000"/>
                <w:sz w:val="20"/>
                <w:szCs w:val="20"/>
                <w:lang w:val="pt-BR"/>
              </w:rPr>
            </w:pPr>
            <w:r w:rsidRPr="00367140">
              <w:rPr>
                <w:b/>
                <w:bCs/>
                <w:color w:val="000000"/>
                <w:sz w:val="20"/>
                <w:szCs w:val="20"/>
                <w:lang w:val="pt-BR"/>
              </w:rPr>
              <w:t>Down</w:t>
            </w:r>
          </w:p>
        </w:tc>
      </w:tr>
      <w:tr w:rsidR="00E77C30" w:rsidRPr="00367140">
        <w:trPr>
          <w:cantSplit/>
          <w:trHeight w:val="303"/>
        </w:trPr>
        <w:tc>
          <w:tcPr>
            <w:tcW w:w="4114" w:type="dxa"/>
            <w:vMerge/>
            <w:tcBorders>
              <w:left w:val="nil"/>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right w:val="nil"/>
            </w:tcBorders>
            <w:noWrap/>
            <w:vAlign w:val="center"/>
          </w:tcPr>
          <w:p w:rsidR="00E77C30" w:rsidRPr="00367140" w:rsidRDefault="00E77C30" w:rsidP="005728EF">
            <w:pPr>
              <w:rPr>
                <w:i/>
                <w:iCs/>
                <w:color w:val="000000"/>
                <w:sz w:val="20"/>
                <w:szCs w:val="20"/>
                <w:lang w:val="en-US"/>
              </w:rPr>
            </w:pPr>
            <w:r w:rsidRPr="00367140">
              <w:rPr>
                <w:i/>
                <w:iCs/>
                <w:color w:val="000000"/>
                <w:sz w:val="20"/>
                <w:szCs w:val="20"/>
                <w:lang w:val="en-US"/>
              </w:rPr>
              <w:t>NTF2- like</w:t>
            </w:r>
            <w:r w:rsidRPr="00367140">
              <w:rPr>
                <w:rFonts w:ascii="Arial" w:hAnsi="Arial" w:cs="Arial"/>
                <w:i/>
                <w:iCs/>
                <w:color w:val="000000"/>
                <w:sz w:val="20"/>
                <w:szCs w:val="20"/>
                <w:lang w:val="en-US"/>
              </w:rPr>
              <w:t xml:space="preserve"> </w:t>
            </w:r>
          </w:p>
        </w:tc>
        <w:tc>
          <w:tcPr>
            <w:tcW w:w="1192" w:type="dxa"/>
            <w:tcBorders>
              <w:left w:val="nil"/>
              <w:right w:val="nil"/>
            </w:tcBorders>
            <w:vAlign w:val="center"/>
          </w:tcPr>
          <w:p w:rsidR="00E77C30" w:rsidRPr="00367140" w:rsidRDefault="00E77C30" w:rsidP="005728EF">
            <w:pPr>
              <w:rPr>
                <w:b/>
                <w:bCs/>
                <w:color w:val="000000"/>
                <w:sz w:val="20"/>
                <w:szCs w:val="20"/>
                <w:lang w:val="en-US"/>
              </w:rPr>
            </w:pPr>
            <w:r w:rsidRPr="00367140">
              <w:rPr>
                <w:b/>
                <w:bCs/>
                <w:color w:val="000000"/>
                <w:sz w:val="20"/>
                <w:szCs w:val="20"/>
                <w:lang w:val="en-US"/>
              </w:rPr>
              <w:t>-</w:t>
            </w:r>
          </w:p>
        </w:tc>
      </w:tr>
      <w:tr w:rsidR="00E77C30" w:rsidRPr="00367140">
        <w:trPr>
          <w:trHeight w:val="303"/>
        </w:trPr>
        <w:tc>
          <w:tcPr>
            <w:tcW w:w="4114" w:type="dxa"/>
            <w:tcBorders>
              <w:left w:val="nil"/>
              <w:bottom w:val="single" w:sz="4" w:space="0" w:color="auto"/>
              <w:right w:val="nil"/>
            </w:tcBorders>
            <w:noWrap/>
            <w:vAlign w:val="center"/>
          </w:tcPr>
          <w:p w:rsidR="00E77C30" w:rsidRPr="00367140" w:rsidRDefault="00E77C30" w:rsidP="005728EF">
            <w:pPr>
              <w:jc w:val="center"/>
              <w:rPr>
                <w:rFonts w:ascii="Arial" w:hAnsi="Arial" w:cs="Arial"/>
                <w:color w:val="000000"/>
                <w:sz w:val="12"/>
                <w:szCs w:val="12"/>
              </w:rPr>
            </w:pPr>
          </w:p>
        </w:tc>
        <w:tc>
          <w:tcPr>
            <w:tcW w:w="1122" w:type="dxa"/>
            <w:tcBorders>
              <w:left w:val="nil"/>
              <w:bottom w:val="single" w:sz="4" w:space="0" w:color="auto"/>
              <w:right w:val="nil"/>
            </w:tcBorders>
            <w:noWrap/>
            <w:vAlign w:val="center"/>
          </w:tcPr>
          <w:p w:rsidR="00E77C30" w:rsidRPr="00367140" w:rsidRDefault="00E77C30" w:rsidP="005728EF">
            <w:pPr>
              <w:rPr>
                <w:i/>
                <w:iCs/>
                <w:color w:val="000000"/>
                <w:sz w:val="12"/>
                <w:szCs w:val="12"/>
                <w:lang w:val="en-US"/>
              </w:rPr>
            </w:pPr>
          </w:p>
        </w:tc>
        <w:tc>
          <w:tcPr>
            <w:tcW w:w="1192" w:type="dxa"/>
            <w:tcBorders>
              <w:left w:val="nil"/>
              <w:bottom w:val="single" w:sz="4" w:space="0" w:color="auto"/>
              <w:right w:val="nil"/>
            </w:tcBorders>
            <w:vAlign w:val="center"/>
          </w:tcPr>
          <w:p w:rsidR="00E77C30" w:rsidRPr="00367140" w:rsidRDefault="00E77C30" w:rsidP="005728EF">
            <w:pPr>
              <w:jc w:val="center"/>
              <w:rPr>
                <w:color w:val="000000"/>
                <w:sz w:val="12"/>
                <w:szCs w:val="12"/>
                <w:lang w:val="en-US"/>
              </w:rPr>
            </w:pPr>
          </w:p>
          <w:p w:rsidR="00E77C30" w:rsidRPr="00367140" w:rsidRDefault="00E77C30" w:rsidP="005728EF">
            <w:pPr>
              <w:jc w:val="center"/>
              <w:rPr>
                <w:color w:val="000000"/>
                <w:sz w:val="12"/>
                <w:szCs w:val="12"/>
                <w:lang w:val="en-US"/>
              </w:rPr>
            </w:pPr>
          </w:p>
          <w:p w:rsidR="00E77C30" w:rsidRPr="00367140" w:rsidRDefault="00E77C30" w:rsidP="005728EF">
            <w:pPr>
              <w:jc w:val="center"/>
              <w:rPr>
                <w:color w:val="000000"/>
                <w:sz w:val="4"/>
                <w:szCs w:val="4"/>
                <w:lang w:val="en-US"/>
              </w:rPr>
            </w:pPr>
          </w:p>
          <w:p w:rsidR="00E77C30" w:rsidRPr="00367140" w:rsidRDefault="00E77C30" w:rsidP="005728EF">
            <w:pPr>
              <w:jc w:val="center"/>
              <w:rPr>
                <w:color w:val="000000"/>
                <w:sz w:val="4"/>
                <w:szCs w:val="4"/>
                <w:lang w:val="en-US"/>
              </w:rPr>
            </w:pPr>
          </w:p>
          <w:p w:rsidR="00E77C30" w:rsidRPr="00367140" w:rsidRDefault="00E77C30" w:rsidP="005728EF">
            <w:pPr>
              <w:jc w:val="center"/>
              <w:rPr>
                <w:color w:val="000000"/>
                <w:sz w:val="4"/>
                <w:szCs w:val="4"/>
                <w:lang w:val="en-US"/>
              </w:rPr>
            </w:pPr>
          </w:p>
          <w:p w:rsidR="00E77C30" w:rsidRPr="00367140" w:rsidRDefault="00E77C30" w:rsidP="005728EF">
            <w:pPr>
              <w:jc w:val="center"/>
              <w:rPr>
                <w:color w:val="000000"/>
                <w:sz w:val="4"/>
                <w:szCs w:val="4"/>
                <w:lang w:val="en-US"/>
              </w:rPr>
            </w:pPr>
          </w:p>
          <w:p w:rsidR="00E77C30" w:rsidRPr="00367140" w:rsidRDefault="00E77C30" w:rsidP="005728EF">
            <w:pPr>
              <w:jc w:val="center"/>
              <w:rPr>
                <w:color w:val="000000"/>
                <w:sz w:val="4"/>
                <w:szCs w:val="4"/>
                <w:lang w:val="en-US"/>
              </w:rPr>
            </w:pPr>
          </w:p>
          <w:p w:rsidR="00E77C30" w:rsidRPr="00367140" w:rsidRDefault="00E77C30" w:rsidP="005728EF">
            <w:pPr>
              <w:jc w:val="center"/>
              <w:rPr>
                <w:color w:val="000000"/>
                <w:sz w:val="2"/>
                <w:szCs w:val="2"/>
                <w:lang w:val="en-US"/>
              </w:rPr>
            </w:pPr>
          </w:p>
          <w:p w:rsidR="00E77C30" w:rsidRPr="00367140" w:rsidRDefault="00E77C30" w:rsidP="005728EF">
            <w:pPr>
              <w:jc w:val="center"/>
              <w:rPr>
                <w:color w:val="000000"/>
                <w:sz w:val="12"/>
                <w:szCs w:val="12"/>
                <w:lang w:val="en-US"/>
              </w:rPr>
            </w:pPr>
          </w:p>
        </w:tc>
      </w:tr>
    </w:tbl>
    <w:p w:rsidR="00E77C30" w:rsidRPr="00367140" w:rsidRDefault="00E77C30" w:rsidP="006B457B"/>
    <w:p w:rsidR="00E77C30" w:rsidRPr="00367140" w:rsidRDefault="00E77C30" w:rsidP="006B457B">
      <w:r>
        <w:rPr>
          <w:noProof/>
          <w:lang w:val="en-US" w:eastAsia="zh-CN"/>
        </w:rPr>
        <w:pict>
          <v:shape id="_x0000_s1078" type="#_x0000_t202" style="position:absolute;margin-left:619.7pt;margin-top:94.65pt;width:37.4pt;height:18pt;z-index:251656704" filled="f" stroked="f">
            <v:textbox style="mso-next-textbox:#_x0000_s1078">
              <w:txbxContent>
                <w:p w:rsidR="00E77C30" w:rsidRDefault="00E77C30" w:rsidP="006B457B">
                  <w:pPr>
                    <w:rPr>
                      <w:sz w:val="16"/>
                      <w:szCs w:val="16"/>
                    </w:rPr>
                  </w:pPr>
                  <w:r>
                    <w:rPr>
                      <w:sz w:val="16"/>
                      <w:szCs w:val="16"/>
                    </w:rPr>
                    <w:t>**</w:t>
                  </w:r>
                </w:p>
              </w:txbxContent>
            </v:textbox>
          </v:shape>
        </w:pict>
      </w:r>
    </w:p>
    <w:p w:rsidR="00E77C30" w:rsidRPr="00367140" w:rsidRDefault="00E77C30" w:rsidP="006B457B"/>
    <w:p w:rsidR="00E77C30" w:rsidRPr="00367140" w:rsidRDefault="00E77C30" w:rsidP="006B457B"/>
    <w:p w:rsidR="00E77C30" w:rsidRPr="00367140" w:rsidRDefault="00E77C30" w:rsidP="006B457B">
      <w:pPr>
        <w:spacing w:line="360" w:lineRule="auto"/>
        <w:ind w:right="-771"/>
        <w:jc w:val="both"/>
        <w:rPr>
          <w:lang w:val="en-US"/>
        </w:rPr>
      </w:pPr>
    </w:p>
    <w:p w:rsidR="00E77C30" w:rsidRPr="00367140" w:rsidRDefault="00E77C30" w:rsidP="006B457B">
      <w:pPr>
        <w:spacing w:line="360" w:lineRule="auto"/>
        <w:ind w:right="-771"/>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ind w:left="1410" w:hanging="1410"/>
        <w:jc w:val="both"/>
        <w:rPr>
          <w:lang w:val="en-US"/>
        </w:rPr>
      </w:pPr>
      <w:r w:rsidRPr="00624204">
        <w:rPr>
          <w:b/>
          <w:bCs/>
          <w:lang w:val="en-US"/>
        </w:rPr>
        <w:t>Figure 3</w:t>
      </w:r>
      <w:r>
        <w:rPr>
          <w:lang w:val="en-US"/>
        </w:rPr>
        <w:t xml:space="preserve">: </w:t>
      </w:r>
      <w:r>
        <w:rPr>
          <w:lang w:val="en-US"/>
        </w:rPr>
        <w:tab/>
        <w:t>C</w:t>
      </w:r>
      <w:r w:rsidRPr="00367140">
        <w:rPr>
          <w:lang w:val="en-US"/>
        </w:rPr>
        <w:t>ompar</w:t>
      </w:r>
      <w:r>
        <w:rPr>
          <w:lang w:val="en-US"/>
        </w:rPr>
        <w:t>ative analysis of the</w:t>
      </w:r>
      <w:r w:rsidRPr="00367140">
        <w:rPr>
          <w:lang w:val="en-US"/>
        </w:rPr>
        <w:t xml:space="preserve"> </w:t>
      </w:r>
      <w:r>
        <w:rPr>
          <w:lang w:val="en-US"/>
        </w:rPr>
        <w:t xml:space="preserve">lumping of </w:t>
      </w:r>
      <w:r w:rsidRPr="00367140">
        <w:rPr>
          <w:lang w:val="en-US"/>
        </w:rPr>
        <w:t>isolates according to clinical origin (all CL versus all VL</w:t>
      </w:r>
      <w:r>
        <w:rPr>
          <w:lang w:val="en-US"/>
        </w:rPr>
        <w:t>) and</w:t>
      </w:r>
      <w:r w:rsidRPr="00367140">
        <w:rPr>
          <w:lang w:val="en-US"/>
        </w:rPr>
        <w:t xml:space="preserve"> genetic background (all MON-01 versus all MON-24)</w:t>
      </w:r>
      <w:r>
        <w:rPr>
          <w:lang w:val="en-US"/>
        </w:rPr>
        <w:t>.</w:t>
      </w: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Default="00E77C30" w:rsidP="00C02D98">
      <w:pPr>
        <w:spacing w:line="480" w:lineRule="auto"/>
        <w:ind w:left="720" w:hanging="720"/>
        <w:jc w:val="both"/>
        <w:rPr>
          <w:b/>
          <w:bCs/>
          <w:caps/>
          <w:lang w:val="en-US"/>
        </w:rPr>
      </w:pPr>
    </w:p>
    <w:p w:rsidR="00E77C30" w:rsidRPr="00920524" w:rsidRDefault="00E77C30" w:rsidP="00C02D98">
      <w:pPr>
        <w:spacing w:line="480" w:lineRule="auto"/>
        <w:ind w:left="720" w:hanging="720"/>
        <w:jc w:val="both"/>
        <w:rPr>
          <w:b/>
          <w:bCs/>
          <w:lang w:val="en-US"/>
        </w:rPr>
      </w:pPr>
      <w:r>
        <w:rPr>
          <w:b/>
          <w:bCs/>
          <w:caps/>
          <w:lang w:val="en-US"/>
        </w:rPr>
        <w:t>L</w:t>
      </w:r>
      <w:r>
        <w:rPr>
          <w:b/>
          <w:bCs/>
          <w:lang w:val="en-US"/>
        </w:rPr>
        <w:t>egends</w:t>
      </w:r>
    </w:p>
    <w:p w:rsidR="00E77C30" w:rsidRPr="00367140" w:rsidRDefault="00E77C30" w:rsidP="00C02D98">
      <w:pPr>
        <w:spacing w:line="480" w:lineRule="auto"/>
        <w:jc w:val="both"/>
        <w:rPr>
          <w:b/>
          <w:bCs/>
          <w:lang w:val="en-US"/>
        </w:rPr>
      </w:pPr>
      <w:r w:rsidRPr="00367140">
        <w:rPr>
          <w:b/>
          <w:bCs/>
          <w:lang w:val="en-US"/>
        </w:rPr>
        <w:t>Fig</w:t>
      </w:r>
      <w:r>
        <w:rPr>
          <w:b/>
          <w:bCs/>
          <w:lang w:val="en-US"/>
        </w:rPr>
        <w:t>ure</w:t>
      </w:r>
      <w:r w:rsidRPr="00367140">
        <w:rPr>
          <w:b/>
          <w:bCs/>
          <w:lang w:val="en-US"/>
        </w:rPr>
        <w:t xml:space="preserve"> 1. </w:t>
      </w:r>
      <w:r w:rsidRPr="00367140">
        <w:rPr>
          <w:lang w:val="en-US"/>
        </w:rPr>
        <w:t xml:space="preserve">Display of cDNAs selected from cutaneous (DREP 14 and DREP05) and visceral (LV49 and LV50) </w:t>
      </w:r>
      <w:r w:rsidRPr="00367140">
        <w:rPr>
          <w:i/>
          <w:iCs/>
          <w:lang w:val="en-US"/>
        </w:rPr>
        <w:t>L. infantum</w:t>
      </w:r>
      <w:r w:rsidRPr="00367140">
        <w:rPr>
          <w:lang w:val="en-US"/>
        </w:rPr>
        <w:t xml:space="preserve"> isolates. The panels were mounted to represent results obtained with 1/40 (dilution b) dilution of the cDNAs with arrowheads indicating the bands that were selected. The legend on the left side of the panels indicates band codes and primer pairs that were used in the DD. +++, ++, + and - : correspond to signal intensity levels that were assigned to the bands selected.</w:t>
      </w:r>
    </w:p>
    <w:p w:rsidR="00E77C30" w:rsidRPr="00367140" w:rsidRDefault="00E77C30" w:rsidP="00C02D98">
      <w:pPr>
        <w:spacing w:line="480" w:lineRule="auto"/>
        <w:ind w:right="50"/>
        <w:jc w:val="both"/>
        <w:rPr>
          <w:lang w:val="en-GB"/>
        </w:rPr>
      </w:pPr>
      <w:r w:rsidRPr="00367140">
        <w:rPr>
          <w:b/>
          <w:bCs/>
          <w:lang w:val="en-US"/>
        </w:rPr>
        <w:t>Fig</w:t>
      </w:r>
      <w:r>
        <w:rPr>
          <w:b/>
          <w:bCs/>
          <w:lang w:val="en-US"/>
        </w:rPr>
        <w:t>ure</w:t>
      </w:r>
      <w:r w:rsidRPr="00367140">
        <w:rPr>
          <w:b/>
          <w:bCs/>
          <w:lang w:val="en-US"/>
        </w:rPr>
        <w:t xml:space="preserve"> 2. </w:t>
      </w:r>
      <w:r w:rsidRPr="00367140">
        <w:rPr>
          <w:lang w:val="en-US"/>
        </w:rPr>
        <w:t xml:space="preserve">Expression analysis of genes identified by differential display using real-time PCR in the 4 </w:t>
      </w:r>
      <w:r w:rsidRPr="00367140">
        <w:rPr>
          <w:i/>
          <w:iCs/>
          <w:lang w:val="en-US"/>
        </w:rPr>
        <w:t>L. infantum</w:t>
      </w:r>
      <w:r w:rsidRPr="00367140">
        <w:rPr>
          <w:lang w:val="en-US"/>
        </w:rPr>
        <w:t xml:space="preserve"> isolates. Panel A illustrates the six possible pair-wise comparisons of the 4 isolates which also allows seeking correlation to clinical origin (CL/VL, CL/CL, VL/VL) or genetic background (MON-01/MON-24, MON-01/MON-01, MON-24/MON-24). In panel B,</w:t>
      </w:r>
      <w:r>
        <w:rPr>
          <w:lang w:val="en-US"/>
        </w:rPr>
        <w:t xml:space="preserve"> (</w:t>
      </w:r>
      <w:r w:rsidRPr="00624204">
        <w:rPr>
          <w:b/>
          <w:bCs/>
          <w:lang w:val="en-US"/>
        </w:rPr>
        <w:t>Figure 3</w:t>
      </w:r>
      <w:r>
        <w:rPr>
          <w:lang w:val="en-US"/>
        </w:rPr>
        <w:t>)</w:t>
      </w:r>
      <w:r w:rsidRPr="00367140">
        <w:rPr>
          <w:lang w:val="en-US"/>
        </w:rPr>
        <w:t xml:space="preserve"> comparisons were made lumping the isolates according to clinical origin (all CL versus all VL) or according to genetic background (all MON-01 versus all MON-24). Grey bars represent fold of expression values which are statistically valid with a *</w:t>
      </w:r>
      <w:r w:rsidRPr="00367140">
        <w:rPr>
          <w:i/>
          <w:iCs/>
          <w:lang w:val="en-US"/>
        </w:rPr>
        <w:t>p</w:t>
      </w:r>
      <w:r w:rsidRPr="00367140">
        <w:rPr>
          <w:lang w:val="en-US"/>
        </w:rPr>
        <w:t xml:space="preserve"> &lt; 0.05; ** </w:t>
      </w:r>
      <w:r w:rsidRPr="00367140">
        <w:rPr>
          <w:i/>
          <w:iCs/>
          <w:lang w:val="en-US"/>
        </w:rPr>
        <w:t>p</w:t>
      </w:r>
      <w:r w:rsidRPr="00367140">
        <w:rPr>
          <w:lang w:val="en-US"/>
        </w:rPr>
        <w:t xml:space="preserve"> ≤ 0.05. “</w:t>
      </w:r>
      <w:r w:rsidRPr="00367140">
        <w:rPr>
          <w:lang w:val="en-GB"/>
        </w:rPr>
        <w:t>Up”, “Down” or “-” indicate over-, under-, or steady expression respectively.</w:t>
      </w: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Default="00E77C30" w:rsidP="006B457B">
      <w:pPr>
        <w:spacing w:line="360" w:lineRule="auto"/>
        <w:jc w:val="both"/>
        <w:rPr>
          <w:lang w:val="en-US"/>
        </w:rPr>
      </w:pPr>
    </w:p>
    <w:p w:rsidR="00E77C30" w:rsidRPr="00367140" w:rsidRDefault="00E77C30" w:rsidP="006B457B">
      <w:pPr>
        <w:spacing w:line="360" w:lineRule="auto"/>
        <w:jc w:val="both"/>
        <w:rPr>
          <w:lang w:val="en-US"/>
        </w:rPr>
      </w:pPr>
    </w:p>
    <w:p w:rsidR="00E77C30" w:rsidRDefault="00E77C30" w:rsidP="006B457B">
      <w:pPr>
        <w:rPr>
          <w:b/>
          <w:bCs/>
          <w:lang w:val="en-US"/>
        </w:rPr>
      </w:pPr>
    </w:p>
    <w:p w:rsidR="00E77C30" w:rsidRDefault="00E77C30" w:rsidP="006B457B">
      <w:pPr>
        <w:rPr>
          <w:b/>
          <w:bCs/>
          <w:lang w:val="en-US"/>
        </w:rPr>
      </w:pPr>
    </w:p>
    <w:p w:rsidR="00E77C30" w:rsidRPr="00367140" w:rsidRDefault="00E77C30" w:rsidP="00AF5BE3">
      <w:pPr>
        <w:rPr>
          <w:b/>
          <w:bCs/>
          <w:lang w:val="en-US"/>
        </w:rPr>
      </w:pPr>
      <w:r w:rsidRPr="00367140">
        <w:rPr>
          <w:b/>
          <w:bCs/>
          <w:lang w:val="en-US"/>
        </w:rPr>
        <w:t>Table 1</w:t>
      </w:r>
      <w:r>
        <w:rPr>
          <w:b/>
          <w:bCs/>
          <w:lang w:val="en-US"/>
        </w:rPr>
        <w:t>:</w:t>
      </w:r>
      <w:r w:rsidRPr="00C02D98">
        <w:rPr>
          <w:lang w:val="en-US"/>
        </w:rPr>
        <w:t xml:space="preserve"> List</w:t>
      </w:r>
      <w:r w:rsidRPr="00367140">
        <w:rPr>
          <w:lang w:val="en-US"/>
        </w:rPr>
        <w:t xml:space="preserve"> of primer sequences used in qRT-PCR analysis</w:t>
      </w:r>
    </w:p>
    <w:p w:rsidR="00E77C30" w:rsidRDefault="00E77C30" w:rsidP="006B457B">
      <w:pPr>
        <w:rPr>
          <w:b/>
          <w:bCs/>
          <w:lang w:val="en-US"/>
        </w:rPr>
      </w:pPr>
    </w:p>
    <w:p w:rsidR="00E77C30" w:rsidRDefault="00E77C30" w:rsidP="006B457B">
      <w:pPr>
        <w:rPr>
          <w:b/>
          <w:bCs/>
          <w:lang w:val="en-US"/>
        </w:rPr>
      </w:pPr>
    </w:p>
    <w:p w:rsidR="00E77C30" w:rsidRDefault="00E77C30" w:rsidP="006B457B">
      <w:pPr>
        <w:rPr>
          <w:b/>
          <w:bCs/>
          <w:lang w:val="en-US"/>
        </w:rPr>
      </w:pPr>
    </w:p>
    <w:p w:rsidR="00E77C30" w:rsidRDefault="00E77C30" w:rsidP="006B457B">
      <w:pPr>
        <w:rPr>
          <w:b/>
          <w:bCs/>
          <w:lang w:val="en-US"/>
        </w:rPr>
      </w:pPr>
    </w:p>
    <w:tbl>
      <w:tblPr>
        <w:tblpPr w:leftFromText="141" w:rightFromText="141" w:vertAnchor="page" w:horzAnchor="margin" w:tblpY="3039"/>
        <w:tblW w:w="9779" w:type="dxa"/>
        <w:tblLayout w:type="fixed"/>
        <w:tblLook w:val="01E0"/>
      </w:tblPr>
      <w:tblGrid>
        <w:gridCol w:w="1611"/>
        <w:gridCol w:w="4257"/>
        <w:gridCol w:w="3911"/>
      </w:tblGrid>
      <w:tr w:rsidR="00E77C30" w:rsidRPr="00367140">
        <w:trPr>
          <w:trHeight w:val="345"/>
        </w:trPr>
        <w:tc>
          <w:tcPr>
            <w:tcW w:w="1611" w:type="dxa"/>
            <w:tcBorders>
              <w:top w:val="single" w:sz="4" w:space="0" w:color="auto"/>
              <w:bottom w:val="single" w:sz="4" w:space="0" w:color="auto"/>
            </w:tcBorders>
            <w:vAlign w:val="center"/>
          </w:tcPr>
          <w:p w:rsidR="00E77C30" w:rsidRPr="00367140" w:rsidRDefault="00E77C30" w:rsidP="00C02D98">
            <w:pPr>
              <w:widowControl w:val="0"/>
              <w:spacing w:after="120"/>
              <w:rPr>
                <w:lang w:val="en-US"/>
              </w:rPr>
            </w:pPr>
            <w:r w:rsidRPr="00367140">
              <w:rPr>
                <w:lang w:val="en-US"/>
              </w:rPr>
              <w:t>Primer code</w:t>
            </w:r>
          </w:p>
        </w:tc>
        <w:tc>
          <w:tcPr>
            <w:tcW w:w="4257" w:type="dxa"/>
            <w:tcBorders>
              <w:top w:val="single" w:sz="4" w:space="0" w:color="auto"/>
              <w:bottom w:val="single" w:sz="4" w:space="0" w:color="auto"/>
            </w:tcBorders>
            <w:vAlign w:val="center"/>
          </w:tcPr>
          <w:p w:rsidR="00E77C30" w:rsidRPr="00367140" w:rsidRDefault="00E77C30" w:rsidP="00C02D98">
            <w:pPr>
              <w:widowControl w:val="0"/>
              <w:spacing w:after="120"/>
              <w:rPr>
                <w:lang w:val="en-GB"/>
              </w:rPr>
            </w:pPr>
            <w:r w:rsidRPr="00367140">
              <w:rPr>
                <w:lang w:val="en-US"/>
              </w:rPr>
              <w:t>Forward primer (5’-3’)</w:t>
            </w:r>
          </w:p>
        </w:tc>
        <w:tc>
          <w:tcPr>
            <w:tcW w:w="3911" w:type="dxa"/>
            <w:tcBorders>
              <w:top w:val="single" w:sz="4" w:space="0" w:color="auto"/>
              <w:bottom w:val="single" w:sz="4" w:space="0" w:color="auto"/>
            </w:tcBorders>
            <w:vAlign w:val="center"/>
          </w:tcPr>
          <w:p w:rsidR="00E77C30" w:rsidRPr="00367140" w:rsidRDefault="00E77C30" w:rsidP="00C02D98">
            <w:pPr>
              <w:widowControl w:val="0"/>
              <w:spacing w:after="120"/>
              <w:rPr>
                <w:lang w:val="en-GB"/>
              </w:rPr>
            </w:pPr>
            <w:r w:rsidRPr="00367140">
              <w:rPr>
                <w:lang w:val="en-US"/>
              </w:rPr>
              <w:t>Reverse primer (5’-3’)</w:t>
            </w:r>
          </w:p>
        </w:tc>
      </w:tr>
      <w:tr w:rsidR="00E77C30" w:rsidRPr="00367140">
        <w:trPr>
          <w:trHeight w:val="345"/>
        </w:trPr>
        <w:tc>
          <w:tcPr>
            <w:tcW w:w="1611" w:type="dxa"/>
            <w:tcBorders>
              <w:top w:val="single" w:sz="4" w:space="0" w:color="auto"/>
            </w:tcBorders>
            <w:vAlign w:val="center"/>
          </w:tcPr>
          <w:p w:rsidR="00E77C30" w:rsidRPr="00367140" w:rsidRDefault="00E77C30" w:rsidP="00C02D98">
            <w:pPr>
              <w:widowControl w:val="0"/>
              <w:spacing w:after="120"/>
              <w:rPr>
                <w:lang w:val="en-US"/>
              </w:rPr>
            </w:pPr>
            <w:r w:rsidRPr="00367140">
              <w:rPr>
                <w:lang w:val="en-US"/>
              </w:rPr>
              <w:t>11-4</w:t>
            </w:r>
          </w:p>
        </w:tc>
        <w:tc>
          <w:tcPr>
            <w:tcW w:w="4257" w:type="dxa"/>
            <w:tcBorders>
              <w:top w:val="single" w:sz="4" w:space="0" w:color="auto"/>
            </w:tcBorders>
            <w:vAlign w:val="center"/>
          </w:tcPr>
          <w:p w:rsidR="00E77C30" w:rsidRPr="00367140" w:rsidRDefault="00E77C30" w:rsidP="005728EF">
            <w:pPr>
              <w:widowControl w:val="0"/>
              <w:spacing w:before="120" w:after="120"/>
              <w:rPr>
                <w:lang w:val="en-US"/>
              </w:rPr>
            </w:pPr>
            <w:r w:rsidRPr="00367140">
              <w:rPr>
                <w:lang w:val="en-US"/>
              </w:rPr>
              <w:t>AAGGATGGTTTCCCGATGGT</w:t>
            </w:r>
          </w:p>
        </w:tc>
        <w:tc>
          <w:tcPr>
            <w:tcW w:w="3911" w:type="dxa"/>
            <w:tcBorders>
              <w:top w:val="single" w:sz="4" w:space="0" w:color="auto"/>
            </w:tcBorders>
            <w:vAlign w:val="center"/>
          </w:tcPr>
          <w:p w:rsidR="00E77C30" w:rsidRPr="00367140" w:rsidRDefault="00E77C30" w:rsidP="005728EF">
            <w:pPr>
              <w:widowControl w:val="0"/>
              <w:spacing w:before="120" w:after="120"/>
              <w:rPr>
                <w:lang w:val="en-US"/>
              </w:rPr>
            </w:pPr>
            <w:r w:rsidRPr="00367140">
              <w:rPr>
                <w:lang w:val="en-US"/>
              </w:rPr>
              <w:t>AAGGTGTTGAAGCCGATTGC</w:t>
            </w:r>
          </w:p>
        </w:tc>
      </w:tr>
      <w:tr w:rsidR="00E77C30" w:rsidRPr="00367140">
        <w:trPr>
          <w:trHeight w:val="345"/>
        </w:trPr>
        <w:tc>
          <w:tcPr>
            <w:tcW w:w="1611" w:type="dxa"/>
            <w:vAlign w:val="center"/>
          </w:tcPr>
          <w:p w:rsidR="00E77C30" w:rsidRPr="00367140" w:rsidRDefault="00E77C30" w:rsidP="005728EF">
            <w:pPr>
              <w:widowControl w:val="0"/>
              <w:spacing w:before="120" w:after="120"/>
              <w:rPr>
                <w:lang w:val="en-US"/>
              </w:rPr>
            </w:pPr>
            <w:r w:rsidRPr="00367140">
              <w:rPr>
                <w:lang w:val="en-US"/>
              </w:rPr>
              <w:t>12-7</w:t>
            </w:r>
          </w:p>
        </w:tc>
        <w:tc>
          <w:tcPr>
            <w:tcW w:w="4257" w:type="dxa"/>
            <w:vAlign w:val="center"/>
          </w:tcPr>
          <w:p w:rsidR="00E77C30" w:rsidRPr="00367140" w:rsidRDefault="00E77C30" w:rsidP="005728EF">
            <w:pPr>
              <w:widowControl w:val="0"/>
              <w:spacing w:before="120" w:after="120"/>
              <w:rPr>
                <w:lang w:val="en-US"/>
              </w:rPr>
            </w:pPr>
            <w:r w:rsidRPr="00367140">
              <w:rPr>
                <w:lang w:val="en-US"/>
              </w:rPr>
              <w:t>CATCACCCCCGAGGTGTTC</w:t>
            </w:r>
          </w:p>
        </w:tc>
        <w:tc>
          <w:tcPr>
            <w:tcW w:w="3911" w:type="dxa"/>
            <w:vAlign w:val="center"/>
          </w:tcPr>
          <w:p w:rsidR="00E77C30" w:rsidRPr="00367140" w:rsidRDefault="00E77C30" w:rsidP="005728EF">
            <w:pPr>
              <w:widowControl w:val="0"/>
              <w:spacing w:before="120" w:after="120"/>
              <w:rPr>
                <w:lang w:val="en-US"/>
              </w:rPr>
            </w:pPr>
            <w:r w:rsidRPr="00367140">
              <w:rPr>
                <w:lang w:val="en-US"/>
              </w:rPr>
              <w:t>CTGTTTGTCGCCCATGAAGTC</w:t>
            </w:r>
          </w:p>
        </w:tc>
      </w:tr>
      <w:tr w:rsidR="00E77C30" w:rsidRPr="00367140">
        <w:trPr>
          <w:trHeight w:val="345"/>
        </w:trPr>
        <w:tc>
          <w:tcPr>
            <w:tcW w:w="1611" w:type="dxa"/>
            <w:vAlign w:val="center"/>
          </w:tcPr>
          <w:p w:rsidR="00E77C30" w:rsidRPr="00367140" w:rsidRDefault="00E77C30" w:rsidP="005728EF">
            <w:pPr>
              <w:widowControl w:val="0"/>
              <w:spacing w:before="120" w:after="120"/>
              <w:rPr>
                <w:lang w:val="en-US"/>
              </w:rPr>
            </w:pPr>
            <w:r w:rsidRPr="00367140">
              <w:rPr>
                <w:lang w:val="en-US"/>
              </w:rPr>
              <w:t>12-5</w:t>
            </w:r>
          </w:p>
        </w:tc>
        <w:tc>
          <w:tcPr>
            <w:tcW w:w="4257" w:type="dxa"/>
            <w:vAlign w:val="center"/>
          </w:tcPr>
          <w:p w:rsidR="00E77C30" w:rsidRPr="00367140" w:rsidRDefault="00E77C30" w:rsidP="005728EF">
            <w:pPr>
              <w:widowControl w:val="0"/>
              <w:spacing w:before="120" w:after="120"/>
              <w:rPr>
                <w:lang w:val="en-US"/>
              </w:rPr>
            </w:pPr>
            <w:r w:rsidRPr="00367140">
              <w:rPr>
                <w:lang w:val="en-US"/>
              </w:rPr>
              <w:t>CGATGCCGAAGCTGTACATG</w:t>
            </w:r>
          </w:p>
        </w:tc>
        <w:tc>
          <w:tcPr>
            <w:tcW w:w="3911" w:type="dxa"/>
            <w:vAlign w:val="center"/>
          </w:tcPr>
          <w:p w:rsidR="00E77C30" w:rsidRPr="00367140" w:rsidRDefault="00E77C30" w:rsidP="005728EF">
            <w:pPr>
              <w:widowControl w:val="0"/>
              <w:spacing w:before="120" w:after="120"/>
              <w:rPr>
                <w:lang w:val="en-US"/>
              </w:rPr>
            </w:pPr>
            <w:r w:rsidRPr="00367140">
              <w:rPr>
                <w:lang w:val="en-US"/>
              </w:rPr>
              <w:t>CGGTGCGGCTGTGGATAG</w:t>
            </w:r>
          </w:p>
        </w:tc>
      </w:tr>
      <w:tr w:rsidR="00E77C30" w:rsidRPr="00367140">
        <w:trPr>
          <w:trHeight w:val="345"/>
        </w:trPr>
        <w:tc>
          <w:tcPr>
            <w:tcW w:w="1611" w:type="dxa"/>
            <w:vAlign w:val="center"/>
          </w:tcPr>
          <w:p w:rsidR="00E77C30" w:rsidRPr="00367140" w:rsidRDefault="00E77C30" w:rsidP="005728EF">
            <w:pPr>
              <w:widowControl w:val="0"/>
              <w:spacing w:before="120" w:after="120"/>
              <w:rPr>
                <w:lang w:val="en-US"/>
              </w:rPr>
            </w:pPr>
            <w:r w:rsidRPr="00367140">
              <w:rPr>
                <w:lang w:val="en-US"/>
              </w:rPr>
              <w:t>11-9</w:t>
            </w:r>
          </w:p>
        </w:tc>
        <w:tc>
          <w:tcPr>
            <w:tcW w:w="4257" w:type="dxa"/>
            <w:vAlign w:val="center"/>
          </w:tcPr>
          <w:p w:rsidR="00E77C30" w:rsidRPr="00367140" w:rsidRDefault="00E77C30" w:rsidP="005728EF">
            <w:pPr>
              <w:widowControl w:val="0"/>
              <w:spacing w:before="120" w:after="120"/>
              <w:rPr>
                <w:lang w:val="en-US"/>
              </w:rPr>
            </w:pPr>
            <w:r w:rsidRPr="00367140">
              <w:rPr>
                <w:lang w:val="en-US"/>
              </w:rPr>
              <w:t>GACTGCCAGCCCTCAATGA</w:t>
            </w:r>
          </w:p>
        </w:tc>
        <w:tc>
          <w:tcPr>
            <w:tcW w:w="3911" w:type="dxa"/>
            <w:vAlign w:val="center"/>
          </w:tcPr>
          <w:p w:rsidR="00E77C30" w:rsidRPr="00367140" w:rsidRDefault="00E77C30" w:rsidP="005728EF">
            <w:pPr>
              <w:widowControl w:val="0"/>
              <w:spacing w:before="120" w:after="120"/>
              <w:rPr>
                <w:lang w:val="en-US"/>
              </w:rPr>
            </w:pPr>
            <w:r w:rsidRPr="00367140">
              <w:rPr>
                <w:lang w:val="en-US"/>
              </w:rPr>
              <w:t>GTGATCCTCACCCCTCAACTTC</w:t>
            </w:r>
          </w:p>
        </w:tc>
      </w:tr>
      <w:tr w:rsidR="00E77C30" w:rsidRPr="00367140">
        <w:trPr>
          <w:trHeight w:val="345"/>
        </w:trPr>
        <w:tc>
          <w:tcPr>
            <w:tcW w:w="1611" w:type="dxa"/>
            <w:vAlign w:val="center"/>
          </w:tcPr>
          <w:p w:rsidR="00E77C30" w:rsidRPr="00367140" w:rsidRDefault="00E77C30" w:rsidP="005728EF">
            <w:pPr>
              <w:widowControl w:val="0"/>
              <w:spacing w:before="120" w:after="120"/>
              <w:rPr>
                <w:lang w:val="en-US"/>
              </w:rPr>
            </w:pPr>
            <w:r w:rsidRPr="00367140">
              <w:rPr>
                <w:lang w:val="en-US"/>
              </w:rPr>
              <w:t>12-11</w:t>
            </w:r>
          </w:p>
        </w:tc>
        <w:tc>
          <w:tcPr>
            <w:tcW w:w="4257" w:type="dxa"/>
            <w:vAlign w:val="center"/>
          </w:tcPr>
          <w:p w:rsidR="00E77C30" w:rsidRPr="00367140" w:rsidRDefault="00E77C30" w:rsidP="005728EF">
            <w:pPr>
              <w:widowControl w:val="0"/>
              <w:spacing w:before="120" w:after="120"/>
              <w:rPr>
                <w:lang w:val="en-US"/>
              </w:rPr>
            </w:pPr>
            <w:r w:rsidRPr="00367140">
              <w:rPr>
                <w:lang w:val="en-US"/>
              </w:rPr>
              <w:t>CGCGGTCGAGGTCTTCTC</w:t>
            </w:r>
          </w:p>
        </w:tc>
        <w:tc>
          <w:tcPr>
            <w:tcW w:w="3911" w:type="dxa"/>
            <w:vAlign w:val="center"/>
          </w:tcPr>
          <w:p w:rsidR="00E77C30" w:rsidRPr="00367140" w:rsidRDefault="00E77C30" w:rsidP="005728EF">
            <w:pPr>
              <w:widowControl w:val="0"/>
              <w:spacing w:before="120" w:after="120"/>
              <w:rPr>
                <w:lang w:val="en-US"/>
              </w:rPr>
            </w:pPr>
            <w:r w:rsidRPr="00367140">
              <w:rPr>
                <w:lang w:val="en-US"/>
              </w:rPr>
              <w:t>GGAAGGATACCTTGCTGGGTTT</w:t>
            </w:r>
          </w:p>
        </w:tc>
      </w:tr>
      <w:tr w:rsidR="00E77C30" w:rsidRPr="00367140">
        <w:trPr>
          <w:trHeight w:val="345"/>
        </w:trPr>
        <w:tc>
          <w:tcPr>
            <w:tcW w:w="1611" w:type="dxa"/>
            <w:tcBorders>
              <w:bottom w:val="single" w:sz="4" w:space="0" w:color="auto"/>
            </w:tcBorders>
            <w:vAlign w:val="center"/>
          </w:tcPr>
          <w:p w:rsidR="00E77C30" w:rsidRPr="00367140" w:rsidRDefault="00E77C30" w:rsidP="005728EF">
            <w:pPr>
              <w:widowControl w:val="0"/>
              <w:spacing w:before="120" w:after="120"/>
              <w:rPr>
                <w:lang w:val="en-US"/>
              </w:rPr>
            </w:pPr>
            <w:r w:rsidRPr="00367140">
              <w:rPr>
                <w:lang w:val="en-US"/>
              </w:rPr>
              <w:t>GAPDH</w:t>
            </w:r>
          </w:p>
        </w:tc>
        <w:tc>
          <w:tcPr>
            <w:tcW w:w="4257" w:type="dxa"/>
            <w:tcBorders>
              <w:bottom w:val="single" w:sz="4" w:space="0" w:color="auto"/>
            </w:tcBorders>
            <w:vAlign w:val="center"/>
          </w:tcPr>
          <w:p w:rsidR="00E77C30" w:rsidRPr="00367140" w:rsidRDefault="00E77C30" w:rsidP="005728EF">
            <w:pPr>
              <w:widowControl w:val="0"/>
              <w:spacing w:before="120" w:after="120"/>
              <w:rPr>
                <w:lang w:val="en-US"/>
              </w:rPr>
            </w:pPr>
            <w:r w:rsidRPr="00367140">
              <w:rPr>
                <w:lang w:val="en-US"/>
              </w:rPr>
              <w:t>CAGGAGATAGACAAGGCCATCAA</w:t>
            </w:r>
          </w:p>
        </w:tc>
        <w:tc>
          <w:tcPr>
            <w:tcW w:w="3911" w:type="dxa"/>
            <w:tcBorders>
              <w:bottom w:val="single" w:sz="4" w:space="0" w:color="auto"/>
            </w:tcBorders>
            <w:vAlign w:val="center"/>
          </w:tcPr>
          <w:p w:rsidR="00E77C30" w:rsidRPr="00367140" w:rsidRDefault="00E77C30" w:rsidP="005728EF">
            <w:pPr>
              <w:widowControl w:val="0"/>
              <w:spacing w:before="120" w:after="120"/>
              <w:rPr>
                <w:lang w:val="en-US"/>
              </w:rPr>
            </w:pPr>
            <w:r w:rsidRPr="00367140">
              <w:rPr>
                <w:lang w:val="en-US"/>
              </w:rPr>
              <w:t>CGGTGAAGCCGAGAATGC</w:t>
            </w:r>
          </w:p>
        </w:tc>
      </w:tr>
    </w:tbl>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Pr="0036714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Default="00E77C30" w:rsidP="006B457B">
      <w:pPr>
        <w:ind w:right="-131"/>
        <w:jc w:val="both"/>
        <w:rPr>
          <w:b/>
          <w:bCs/>
          <w:lang w:val="en-US"/>
        </w:rPr>
      </w:pPr>
    </w:p>
    <w:p w:rsidR="00E77C30" w:rsidRPr="00367140" w:rsidRDefault="00E77C30" w:rsidP="006B457B">
      <w:pPr>
        <w:ind w:right="-131"/>
        <w:jc w:val="both"/>
        <w:rPr>
          <w:rFonts w:ascii="Arial" w:hAnsi="Arial" w:cs="Arial"/>
          <w:b/>
          <w:bCs/>
          <w:lang w:val="en-US"/>
        </w:rPr>
      </w:pPr>
      <w:r w:rsidRPr="00367140">
        <w:rPr>
          <w:b/>
          <w:bCs/>
          <w:lang w:val="en-US"/>
        </w:rPr>
        <w:t>Table 2</w:t>
      </w:r>
      <w:r>
        <w:rPr>
          <w:b/>
          <w:bCs/>
          <w:lang w:val="en-US"/>
        </w:rPr>
        <w:t xml:space="preserve">: </w:t>
      </w:r>
      <w:r w:rsidRPr="00367140">
        <w:rPr>
          <w:lang w:val="en-US"/>
        </w:rPr>
        <w:t>Homology searches and annotation of the cDNA sequences</w:t>
      </w:r>
    </w:p>
    <w:p w:rsidR="00E77C30" w:rsidRPr="00367140" w:rsidRDefault="00E77C30" w:rsidP="006B457B">
      <w:pPr>
        <w:ind w:right="50"/>
        <w:jc w:val="both"/>
        <w:rPr>
          <w:lang w:val="en-US"/>
        </w:rPr>
      </w:pPr>
    </w:p>
    <w:p w:rsidR="00E77C30" w:rsidRDefault="00E77C30" w:rsidP="006B457B">
      <w:pPr>
        <w:jc w:val="both"/>
        <w:rPr>
          <w:sz w:val="22"/>
          <w:szCs w:val="22"/>
          <w:vertAlign w:val="superscript"/>
          <w:lang w:val="en-US"/>
        </w:rPr>
      </w:pPr>
    </w:p>
    <w:p w:rsidR="00E77C30" w:rsidRDefault="00E77C30" w:rsidP="006B457B">
      <w:pPr>
        <w:jc w:val="both"/>
        <w:rPr>
          <w:sz w:val="22"/>
          <w:szCs w:val="22"/>
          <w:vertAlign w:val="superscript"/>
          <w:lang w:val="en-US"/>
        </w:rPr>
      </w:pPr>
    </w:p>
    <w:tbl>
      <w:tblPr>
        <w:tblW w:w="5390" w:type="pct"/>
        <w:tblLook w:val="0020"/>
      </w:tblPr>
      <w:tblGrid>
        <w:gridCol w:w="678"/>
        <w:gridCol w:w="881"/>
        <w:gridCol w:w="1146"/>
        <w:gridCol w:w="992"/>
        <w:gridCol w:w="1540"/>
        <w:gridCol w:w="1259"/>
        <w:gridCol w:w="2118"/>
        <w:gridCol w:w="1349"/>
      </w:tblGrid>
      <w:tr w:rsidR="00E77C30" w:rsidRPr="00367140">
        <w:trPr>
          <w:trHeight w:val="720"/>
        </w:trPr>
        <w:tc>
          <w:tcPr>
            <w:tcW w:w="340"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Band code</w:t>
            </w:r>
            <w:r w:rsidRPr="00367140">
              <w:rPr>
                <w:sz w:val="18"/>
                <w:szCs w:val="18"/>
                <w:vertAlign w:val="superscript"/>
              </w:rPr>
              <w:t>a</w:t>
            </w:r>
          </w:p>
        </w:tc>
        <w:tc>
          <w:tcPr>
            <w:tcW w:w="442"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 xml:space="preserve">Selected from </w:t>
            </w:r>
            <w:r w:rsidRPr="00367140">
              <w:rPr>
                <w:sz w:val="18"/>
                <w:szCs w:val="18"/>
                <w:vertAlign w:val="superscript"/>
              </w:rPr>
              <w:t>b</w:t>
            </w:r>
          </w:p>
        </w:tc>
        <w:tc>
          <w:tcPr>
            <w:tcW w:w="575"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Primer combination used</w:t>
            </w:r>
            <w:r w:rsidRPr="00367140">
              <w:rPr>
                <w:sz w:val="18"/>
                <w:szCs w:val="18"/>
                <w:vertAlign w:val="superscript"/>
              </w:rPr>
              <w:t>c</w:t>
            </w:r>
          </w:p>
        </w:tc>
        <w:tc>
          <w:tcPr>
            <w:tcW w:w="498"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Size of sequenced fragment</w:t>
            </w:r>
            <w:r w:rsidRPr="00367140">
              <w:rPr>
                <w:sz w:val="18"/>
                <w:szCs w:val="18"/>
                <w:vertAlign w:val="superscript"/>
              </w:rPr>
              <w:t>d</w:t>
            </w:r>
          </w:p>
        </w:tc>
        <w:tc>
          <w:tcPr>
            <w:tcW w:w="773"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GeneDB Id</w:t>
            </w:r>
            <w:r w:rsidRPr="00367140">
              <w:rPr>
                <w:sz w:val="18"/>
                <w:szCs w:val="18"/>
                <w:vertAlign w:val="superscript"/>
              </w:rPr>
              <w:t>e</w:t>
            </w:r>
          </w:p>
        </w:tc>
        <w:tc>
          <w:tcPr>
            <w:tcW w:w="632" w:type="pct"/>
            <w:tcBorders>
              <w:top w:val="single" w:sz="4" w:space="0" w:color="auto"/>
              <w:bottom w:val="single" w:sz="4" w:space="0" w:color="auto"/>
            </w:tcBorders>
          </w:tcPr>
          <w:p w:rsidR="00E77C30" w:rsidRPr="00367140" w:rsidRDefault="00E77C30" w:rsidP="005728EF">
            <w:pPr>
              <w:rPr>
                <w:sz w:val="18"/>
                <w:szCs w:val="18"/>
                <w:vertAlign w:val="superscript"/>
              </w:rPr>
            </w:pPr>
            <w:r w:rsidRPr="00367140">
              <w:rPr>
                <w:sz w:val="18"/>
                <w:szCs w:val="18"/>
              </w:rPr>
              <w:t>Chromosome</w:t>
            </w:r>
            <w:r w:rsidRPr="00367140">
              <w:rPr>
                <w:sz w:val="18"/>
                <w:szCs w:val="18"/>
                <w:vertAlign w:val="superscript"/>
              </w:rPr>
              <w:t>f</w:t>
            </w:r>
          </w:p>
        </w:tc>
        <w:tc>
          <w:tcPr>
            <w:tcW w:w="1063"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Gene products</w:t>
            </w:r>
            <w:r w:rsidRPr="00367140">
              <w:rPr>
                <w:sz w:val="18"/>
                <w:szCs w:val="18"/>
                <w:vertAlign w:val="superscript"/>
              </w:rPr>
              <w:t>g</w:t>
            </w:r>
          </w:p>
        </w:tc>
        <w:tc>
          <w:tcPr>
            <w:tcW w:w="677" w:type="pct"/>
            <w:tcBorders>
              <w:top w:val="single" w:sz="4" w:space="0" w:color="auto"/>
              <w:bottom w:val="single" w:sz="4" w:space="0" w:color="auto"/>
            </w:tcBorders>
          </w:tcPr>
          <w:p w:rsidR="00E77C30" w:rsidRPr="00367140" w:rsidRDefault="00E77C30" w:rsidP="005728EF">
            <w:pPr>
              <w:rPr>
                <w:sz w:val="18"/>
                <w:szCs w:val="18"/>
              </w:rPr>
            </w:pPr>
            <w:r w:rsidRPr="00367140">
              <w:rPr>
                <w:sz w:val="18"/>
                <w:szCs w:val="18"/>
              </w:rPr>
              <w:t xml:space="preserve">Score </w:t>
            </w:r>
          </w:p>
          <w:p w:rsidR="00E77C30" w:rsidRPr="00367140" w:rsidRDefault="00E77C30" w:rsidP="005728EF">
            <w:pPr>
              <w:rPr>
                <w:sz w:val="18"/>
                <w:szCs w:val="18"/>
              </w:rPr>
            </w:pPr>
            <w:r w:rsidRPr="00367140">
              <w:rPr>
                <w:sz w:val="18"/>
                <w:szCs w:val="18"/>
              </w:rPr>
              <w:t>(E-value)</w:t>
            </w:r>
            <w:r w:rsidRPr="00367140">
              <w:rPr>
                <w:sz w:val="18"/>
                <w:szCs w:val="18"/>
                <w:vertAlign w:val="superscript"/>
              </w:rPr>
              <w:t>h</w:t>
            </w:r>
          </w:p>
        </w:tc>
      </w:tr>
      <w:tr w:rsidR="00E77C30" w:rsidRPr="00367140">
        <w:trPr>
          <w:trHeight w:val="222"/>
        </w:trPr>
        <w:tc>
          <w:tcPr>
            <w:tcW w:w="340" w:type="pct"/>
            <w:tcBorders>
              <w:top w:val="single" w:sz="4" w:space="0" w:color="auto"/>
            </w:tcBorders>
          </w:tcPr>
          <w:p w:rsidR="00E77C30" w:rsidRPr="00367140" w:rsidRDefault="00E77C30" w:rsidP="005728EF">
            <w:pPr>
              <w:spacing w:before="120" w:after="120"/>
              <w:rPr>
                <w:sz w:val="18"/>
                <w:szCs w:val="18"/>
              </w:rPr>
            </w:pPr>
            <w:r w:rsidRPr="00367140">
              <w:rPr>
                <w:sz w:val="18"/>
                <w:szCs w:val="18"/>
              </w:rPr>
              <w:t>11-4</w:t>
            </w:r>
          </w:p>
        </w:tc>
        <w:tc>
          <w:tcPr>
            <w:tcW w:w="442" w:type="pct"/>
            <w:tcBorders>
              <w:top w:val="single" w:sz="4" w:space="0" w:color="auto"/>
            </w:tcBorders>
          </w:tcPr>
          <w:p w:rsidR="00E77C30" w:rsidRPr="00367140" w:rsidRDefault="00E77C30" w:rsidP="005728EF">
            <w:pPr>
              <w:spacing w:before="120" w:after="120"/>
              <w:rPr>
                <w:sz w:val="18"/>
                <w:szCs w:val="18"/>
              </w:rPr>
            </w:pPr>
            <w:r w:rsidRPr="00367140">
              <w:rPr>
                <w:sz w:val="18"/>
                <w:szCs w:val="18"/>
              </w:rPr>
              <w:t>LV50</w:t>
            </w:r>
          </w:p>
        </w:tc>
        <w:tc>
          <w:tcPr>
            <w:tcW w:w="575" w:type="pct"/>
            <w:tcBorders>
              <w:top w:val="single" w:sz="4" w:space="0" w:color="auto"/>
            </w:tcBorders>
          </w:tcPr>
          <w:p w:rsidR="00E77C30" w:rsidRPr="00367140" w:rsidRDefault="00E77C30" w:rsidP="005728EF">
            <w:pPr>
              <w:spacing w:before="120" w:after="120"/>
              <w:rPr>
                <w:sz w:val="18"/>
                <w:szCs w:val="18"/>
              </w:rPr>
            </w:pPr>
            <w:r w:rsidRPr="00367140">
              <w:rPr>
                <w:sz w:val="18"/>
                <w:szCs w:val="18"/>
              </w:rPr>
              <w:t>ME4/P9</w:t>
            </w:r>
          </w:p>
        </w:tc>
        <w:tc>
          <w:tcPr>
            <w:tcW w:w="498" w:type="pct"/>
            <w:tcBorders>
              <w:top w:val="single" w:sz="4" w:space="0" w:color="auto"/>
            </w:tcBorders>
          </w:tcPr>
          <w:p w:rsidR="00E77C30" w:rsidRPr="00367140" w:rsidRDefault="00E77C30" w:rsidP="005728EF">
            <w:pPr>
              <w:spacing w:before="120" w:after="120"/>
              <w:rPr>
                <w:sz w:val="18"/>
                <w:szCs w:val="18"/>
              </w:rPr>
            </w:pPr>
            <w:r w:rsidRPr="00367140">
              <w:rPr>
                <w:sz w:val="18"/>
                <w:szCs w:val="18"/>
              </w:rPr>
              <w:t>673</w:t>
            </w:r>
          </w:p>
        </w:tc>
        <w:tc>
          <w:tcPr>
            <w:tcW w:w="773" w:type="pct"/>
            <w:tcBorders>
              <w:top w:val="single" w:sz="4" w:space="0" w:color="auto"/>
            </w:tcBorders>
            <w:vAlign w:val="center"/>
          </w:tcPr>
          <w:p w:rsidR="00E77C30" w:rsidRPr="00367140" w:rsidRDefault="00E77C30" w:rsidP="005728EF">
            <w:pPr>
              <w:spacing w:before="120" w:after="120"/>
              <w:rPr>
                <w:sz w:val="18"/>
                <w:szCs w:val="18"/>
              </w:rPr>
            </w:pPr>
            <w:r w:rsidRPr="00367140">
              <w:rPr>
                <w:i/>
                <w:iCs/>
                <w:sz w:val="18"/>
                <w:szCs w:val="18"/>
              </w:rPr>
              <w:t>LinJ35_V3.2000</w:t>
            </w:r>
            <w:r w:rsidRPr="00367140">
              <w:rPr>
                <w:sz w:val="18"/>
                <w:szCs w:val="18"/>
              </w:rPr>
              <w:t>*</w:t>
            </w:r>
          </w:p>
        </w:tc>
        <w:tc>
          <w:tcPr>
            <w:tcW w:w="632" w:type="pct"/>
            <w:tcBorders>
              <w:top w:val="single" w:sz="4" w:space="0" w:color="auto"/>
            </w:tcBorders>
          </w:tcPr>
          <w:p w:rsidR="00E77C30" w:rsidRPr="00367140" w:rsidRDefault="00E77C30" w:rsidP="005728EF">
            <w:pPr>
              <w:spacing w:before="120" w:after="120"/>
              <w:jc w:val="center"/>
              <w:rPr>
                <w:sz w:val="18"/>
                <w:szCs w:val="18"/>
              </w:rPr>
            </w:pPr>
            <w:r>
              <w:rPr>
                <w:noProof/>
                <w:lang w:val="en-US"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9" type="#_x0000_t88" style="position:absolute;left:0;text-align:left;margin-left:51.05pt;margin-top:-.45pt;width:9.35pt;height:45pt;z-index:251658752;mso-position-horizontal-relative:text;mso-position-vertical-relative:text"/>
              </w:pict>
            </w:r>
            <w:r w:rsidRPr="00367140">
              <w:rPr>
                <w:sz w:val="18"/>
                <w:szCs w:val="18"/>
              </w:rPr>
              <w:t>35</w:t>
            </w:r>
          </w:p>
        </w:tc>
        <w:tc>
          <w:tcPr>
            <w:tcW w:w="1063" w:type="pct"/>
            <w:tcBorders>
              <w:top w:val="single" w:sz="4" w:space="0" w:color="auto"/>
            </w:tcBorders>
          </w:tcPr>
          <w:p w:rsidR="00E77C30" w:rsidRPr="00367140" w:rsidRDefault="00E77C30" w:rsidP="005728EF">
            <w:pPr>
              <w:spacing w:before="120" w:after="120"/>
              <w:rPr>
                <w:sz w:val="18"/>
                <w:szCs w:val="18"/>
                <w:lang w:val="pt-BR"/>
              </w:rPr>
            </w:pPr>
            <w:r w:rsidRPr="00367140">
              <w:rPr>
                <w:sz w:val="18"/>
                <w:szCs w:val="18"/>
                <w:lang w:val="pt-BR"/>
              </w:rPr>
              <w:t xml:space="preserve">40S ribosomal protein S6 </w:t>
            </w:r>
          </w:p>
        </w:tc>
        <w:tc>
          <w:tcPr>
            <w:tcW w:w="677" w:type="pct"/>
            <w:tcBorders>
              <w:top w:val="single" w:sz="4" w:space="0" w:color="auto"/>
            </w:tcBorders>
          </w:tcPr>
          <w:p w:rsidR="00E77C30" w:rsidRPr="00367140" w:rsidRDefault="00E77C30" w:rsidP="005728EF">
            <w:pPr>
              <w:spacing w:before="120" w:after="120"/>
              <w:rPr>
                <w:sz w:val="18"/>
                <w:szCs w:val="18"/>
              </w:rPr>
            </w:pPr>
            <w:r w:rsidRPr="00367140">
              <w:rPr>
                <w:sz w:val="18"/>
                <w:szCs w:val="18"/>
              </w:rPr>
              <w:t>880 (0.0)*</w:t>
            </w:r>
          </w:p>
        </w:tc>
      </w:tr>
      <w:tr w:rsidR="00E77C30" w:rsidRPr="00367140">
        <w:trPr>
          <w:trHeight w:val="222"/>
        </w:trPr>
        <w:tc>
          <w:tcPr>
            <w:tcW w:w="340" w:type="pct"/>
            <w:vAlign w:val="center"/>
          </w:tcPr>
          <w:p w:rsidR="00E77C30" w:rsidRPr="00367140" w:rsidRDefault="00E77C30" w:rsidP="005728EF">
            <w:pPr>
              <w:spacing w:before="120" w:after="120"/>
              <w:rPr>
                <w:rFonts w:ascii="Arial" w:hAnsi="Arial" w:cs="Arial"/>
                <w:sz w:val="18"/>
                <w:szCs w:val="18"/>
              </w:rPr>
            </w:pPr>
          </w:p>
        </w:tc>
        <w:tc>
          <w:tcPr>
            <w:tcW w:w="442" w:type="pct"/>
            <w:vAlign w:val="center"/>
          </w:tcPr>
          <w:p w:rsidR="00E77C30" w:rsidRPr="00367140" w:rsidRDefault="00E77C30" w:rsidP="005728EF">
            <w:pPr>
              <w:spacing w:before="120" w:after="120"/>
              <w:rPr>
                <w:rFonts w:ascii="Arial" w:hAnsi="Arial" w:cs="Arial"/>
                <w:sz w:val="18"/>
                <w:szCs w:val="18"/>
              </w:rPr>
            </w:pPr>
          </w:p>
        </w:tc>
        <w:tc>
          <w:tcPr>
            <w:tcW w:w="575" w:type="pct"/>
            <w:vAlign w:val="center"/>
          </w:tcPr>
          <w:p w:rsidR="00E77C30" w:rsidRPr="00367140" w:rsidRDefault="00E77C30" w:rsidP="005728EF">
            <w:pPr>
              <w:spacing w:before="120" w:after="120"/>
              <w:rPr>
                <w:rFonts w:ascii="Arial" w:hAnsi="Arial" w:cs="Arial"/>
                <w:sz w:val="18"/>
                <w:szCs w:val="18"/>
              </w:rPr>
            </w:pPr>
          </w:p>
        </w:tc>
        <w:tc>
          <w:tcPr>
            <w:tcW w:w="498" w:type="pct"/>
            <w:vAlign w:val="center"/>
          </w:tcPr>
          <w:p w:rsidR="00E77C30" w:rsidRPr="00367140" w:rsidRDefault="00E77C30" w:rsidP="005728EF">
            <w:pPr>
              <w:spacing w:before="120" w:after="120"/>
              <w:rPr>
                <w:rFonts w:ascii="Arial" w:hAnsi="Arial" w:cs="Arial"/>
                <w:sz w:val="18"/>
                <w:szCs w:val="18"/>
              </w:rPr>
            </w:pPr>
          </w:p>
        </w:tc>
        <w:tc>
          <w:tcPr>
            <w:tcW w:w="773" w:type="pct"/>
            <w:vAlign w:val="center"/>
          </w:tcPr>
          <w:p w:rsidR="00E77C30" w:rsidRPr="00367140" w:rsidRDefault="00E77C30" w:rsidP="005728EF">
            <w:pPr>
              <w:spacing w:before="120" w:after="120"/>
              <w:rPr>
                <w:i/>
                <w:iCs/>
                <w:sz w:val="18"/>
                <w:szCs w:val="18"/>
              </w:rPr>
            </w:pPr>
            <w:r w:rsidRPr="00367140">
              <w:rPr>
                <w:i/>
                <w:iCs/>
                <w:sz w:val="18"/>
                <w:szCs w:val="18"/>
              </w:rPr>
              <w:t>LinJ21_V3.2150</w:t>
            </w:r>
          </w:p>
        </w:tc>
        <w:tc>
          <w:tcPr>
            <w:tcW w:w="632" w:type="pct"/>
          </w:tcPr>
          <w:p w:rsidR="00E77C30" w:rsidRPr="00367140" w:rsidRDefault="00E77C30" w:rsidP="005728EF">
            <w:pPr>
              <w:spacing w:before="120" w:after="120"/>
              <w:jc w:val="center"/>
              <w:rPr>
                <w:rFonts w:ascii="Arial" w:hAnsi="Arial" w:cs="Arial"/>
                <w:sz w:val="18"/>
                <w:szCs w:val="18"/>
              </w:rPr>
            </w:pPr>
            <w:r w:rsidRPr="00367140">
              <w:rPr>
                <w:sz w:val="18"/>
                <w:szCs w:val="18"/>
              </w:rPr>
              <w:t>21</w:t>
            </w:r>
          </w:p>
        </w:tc>
        <w:tc>
          <w:tcPr>
            <w:tcW w:w="1063" w:type="pct"/>
            <w:vAlign w:val="center"/>
          </w:tcPr>
          <w:p w:rsidR="00E77C30" w:rsidRPr="00367140" w:rsidRDefault="00E77C30" w:rsidP="005728EF">
            <w:pPr>
              <w:spacing w:before="120" w:after="120"/>
              <w:rPr>
                <w:rFonts w:ascii="Arial" w:hAnsi="Arial" w:cs="Arial"/>
                <w:sz w:val="18"/>
                <w:szCs w:val="18"/>
              </w:rPr>
            </w:pPr>
          </w:p>
        </w:tc>
        <w:tc>
          <w:tcPr>
            <w:tcW w:w="677" w:type="pct"/>
          </w:tcPr>
          <w:p w:rsidR="00E77C30" w:rsidRPr="00367140" w:rsidRDefault="00E77C30" w:rsidP="005728EF">
            <w:pPr>
              <w:spacing w:before="120" w:after="120"/>
              <w:rPr>
                <w:sz w:val="18"/>
                <w:szCs w:val="18"/>
              </w:rPr>
            </w:pPr>
            <w:r w:rsidRPr="00367140">
              <w:rPr>
                <w:sz w:val="18"/>
                <w:szCs w:val="18"/>
              </w:rPr>
              <w:t>862 (0.0)</w:t>
            </w:r>
          </w:p>
        </w:tc>
      </w:tr>
      <w:tr w:rsidR="00E77C30" w:rsidRPr="00367140">
        <w:trPr>
          <w:trHeight w:val="222"/>
        </w:trPr>
        <w:tc>
          <w:tcPr>
            <w:tcW w:w="340" w:type="pct"/>
          </w:tcPr>
          <w:p w:rsidR="00E77C30" w:rsidRPr="00367140" w:rsidRDefault="00E77C30" w:rsidP="005728EF">
            <w:pPr>
              <w:spacing w:before="120" w:after="120"/>
              <w:rPr>
                <w:sz w:val="18"/>
                <w:szCs w:val="18"/>
              </w:rPr>
            </w:pPr>
            <w:r w:rsidRPr="00367140">
              <w:rPr>
                <w:sz w:val="18"/>
                <w:szCs w:val="18"/>
              </w:rPr>
              <w:t>12-7</w:t>
            </w:r>
          </w:p>
        </w:tc>
        <w:tc>
          <w:tcPr>
            <w:tcW w:w="442" w:type="pct"/>
          </w:tcPr>
          <w:p w:rsidR="00E77C30" w:rsidRPr="00367140" w:rsidRDefault="00E77C30" w:rsidP="005728EF">
            <w:pPr>
              <w:spacing w:before="120" w:after="120"/>
              <w:rPr>
                <w:sz w:val="18"/>
                <w:szCs w:val="18"/>
              </w:rPr>
            </w:pPr>
            <w:r w:rsidRPr="00367140">
              <w:rPr>
                <w:sz w:val="18"/>
                <w:szCs w:val="18"/>
              </w:rPr>
              <w:t>LV49</w:t>
            </w:r>
          </w:p>
        </w:tc>
        <w:tc>
          <w:tcPr>
            <w:tcW w:w="575" w:type="pct"/>
          </w:tcPr>
          <w:p w:rsidR="00E77C30" w:rsidRPr="00367140" w:rsidRDefault="00E77C30" w:rsidP="005728EF">
            <w:pPr>
              <w:spacing w:before="120" w:after="120"/>
              <w:rPr>
                <w:sz w:val="18"/>
                <w:szCs w:val="18"/>
              </w:rPr>
            </w:pPr>
            <w:r w:rsidRPr="00367140">
              <w:rPr>
                <w:sz w:val="18"/>
                <w:szCs w:val="18"/>
              </w:rPr>
              <w:t>ME5/P3</w:t>
            </w:r>
          </w:p>
        </w:tc>
        <w:tc>
          <w:tcPr>
            <w:tcW w:w="498" w:type="pct"/>
          </w:tcPr>
          <w:p w:rsidR="00E77C30" w:rsidRPr="00367140" w:rsidRDefault="00E77C30" w:rsidP="005728EF">
            <w:pPr>
              <w:spacing w:before="120" w:after="120"/>
              <w:rPr>
                <w:sz w:val="18"/>
                <w:szCs w:val="18"/>
              </w:rPr>
            </w:pPr>
            <w:r w:rsidRPr="00367140">
              <w:rPr>
                <w:sz w:val="18"/>
                <w:szCs w:val="18"/>
              </w:rPr>
              <w:t>374</w:t>
            </w:r>
          </w:p>
        </w:tc>
        <w:tc>
          <w:tcPr>
            <w:tcW w:w="773" w:type="pct"/>
            <w:vAlign w:val="center"/>
          </w:tcPr>
          <w:p w:rsidR="00E77C30" w:rsidRPr="00367140" w:rsidRDefault="00E77C30" w:rsidP="005728EF">
            <w:pPr>
              <w:spacing w:before="120" w:after="120"/>
              <w:rPr>
                <w:sz w:val="18"/>
                <w:szCs w:val="18"/>
              </w:rPr>
            </w:pPr>
            <w:r w:rsidRPr="00367140">
              <w:rPr>
                <w:i/>
                <w:iCs/>
                <w:sz w:val="18"/>
                <w:szCs w:val="18"/>
              </w:rPr>
              <w:t>LinJ15_V3.1060</w:t>
            </w:r>
            <w:r w:rsidRPr="00367140">
              <w:rPr>
                <w:sz w:val="18"/>
                <w:szCs w:val="18"/>
              </w:rPr>
              <w:t>*</w:t>
            </w:r>
          </w:p>
        </w:tc>
        <w:tc>
          <w:tcPr>
            <w:tcW w:w="632" w:type="pct"/>
          </w:tcPr>
          <w:p w:rsidR="00E77C30" w:rsidRPr="00367140" w:rsidRDefault="00E77C30" w:rsidP="005728EF">
            <w:pPr>
              <w:spacing w:before="120" w:after="120"/>
              <w:jc w:val="center"/>
              <w:rPr>
                <w:sz w:val="18"/>
                <w:szCs w:val="18"/>
              </w:rPr>
            </w:pPr>
            <w:r>
              <w:rPr>
                <w:noProof/>
                <w:lang w:val="en-US" w:eastAsia="zh-CN"/>
              </w:rPr>
              <w:pict>
                <v:shape id="_x0000_s1080" type="#_x0000_t88" style="position:absolute;left:0;text-align:left;margin-left:50.6pt;margin-top:1pt;width:9.35pt;height:45pt;z-index:251659776;mso-position-horizontal-relative:text;mso-position-vertical-relative:text"/>
              </w:pict>
            </w:r>
            <w:r w:rsidRPr="00367140">
              <w:rPr>
                <w:sz w:val="18"/>
                <w:szCs w:val="18"/>
              </w:rPr>
              <w:t>15</w:t>
            </w:r>
          </w:p>
        </w:tc>
        <w:tc>
          <w:tcPr>
            <w:tcW w:w="1063" w:type="pct"/>
          </w:tcPr>
          <w:p w:rsidR="00E77C30" w:rsidRPr="00367140" w:rsidRDefault="00E77C30" w:rsidP="005728EF">
            <w:pPr>
              <w:spacing w:before="120" w:after="120"/>
              <w:rPr>
                <w:sz w:val="18"/>
                <w:szCs w:val="18"/>
                <w:lang w:val="en-GB"/>
              </w:rPr>
            </w:pPr>
            <w:r w:rsidRPr="00367140">
              <w:rPr>
                <w:sz w:val="18"/>
                <w:szCs w:val="18"/>
                <w:lang w:val="en-GB"/>
              </w:rPr>
              <w:t xml:space="preserve">60S ribosomal protein L6 </w:t>
            </w:r>
          </w:p>
        </w:tc>
        <w:tc>
          <w:tcPr>
            <w:tcW w:w="677" w:type="pct"/>
          </w:tcPr>
          <w:p w:rsidR="00E77C30" w:rsidRPr="00367140" w:rsidRDefault="00E77C30" w:rsidP="005728EF">
            <w:pPr>
              <w:spacing w:before="120" w:after="120"/>
              <w:rPr>
                <w:sz w:val="18"/>
                <w:szCs w:val="18"/>
              </w:rPr>
            </w:pPr>
            <w:r w:rsidRPr="00367140">
              <w:rPr>
                <w:sz w:val="18"/>
                <w:szCs w:val="18"/>
              </w:rPr>
              <w:t>654 (0.0)*</w:t>
            </w:r>
          </w:p>
        </w:tc>
      </w:tr>
      <w:tr w:rsidR="00E77C30" w:rsidRPr="00367140">
        <w:trPr>
          <w:trHeight w:val="222"/>
        </w:trPr>
        <w:tc>
          <w:tcPr>
            <w:tcW w:w="340" w:type="pct"/>
            <w:vAlign w:val="center"/>
          </w:tcPr>
          <w:p w:rsidR="00E77C30" w:rsidRPr="00367140" w:rsidRDefault="00E77C30" w:rsidP="005728EF">
            <w:pPr>
              <w:spacing w:before="120" w:after="120"/>
              <w:rPr>
                <w:sz w:val="18"/>
                <w:szCs w:val="18"/>
              </w:rPr>
            </w:pPr>
          </w:p>
        </w:tc>
        <w:tc>
          <w:tcPr>
            <w:tcW w:w="442" w:type="pct"/>
            <w:vAlign w:val="center"/>
          </w:tcPr>
          <w:p w:rsidR="00E77C30" w:rsidRPr="00367140" w:rsidRDefault="00E77C30" w:rsidP="005728EF">
            <w:pPr>
              <w:spacing w:before="120" w:after="120"/>
              <w:rPr>
                <w:sz w:val="18"/>
                <w:szCs w:val="18"/>
              </w:rPr>
            </w:pPr>
          </w:p>
        </w:tc>
        <w:tc>
          <w:tcPr>
            <w:tcW w:w="575" w:type="pct"/>
            <w:vAlign w:val="center"/>
          </w:tcPr>
          <w:p w:rsidR="00E77C30" w:rsidRPr="00367140" w:rsidRDefault="00E77C30" w:rsidP="005728EF">
            <w:pPr>
              <w:spacing w:before="120" w:after="120"/>
              <w:rPr>
                <w:sz w:val="18"/>
                <w:szCs w:val="18"/>
              </w:rPr>
            </w:pPr>
          </w:p>
        </w:tc>
        <w:tc>
          <w:tcPr>
            <w:tcW w:w="498" w:type="pct"/>
            <w:vAlign w:val="center"/>
          </w:tcPr>
          <w:p w:rsidR="00E77C30" w:rsidRPr="00367140" w:rsidRDefault="00E77C30" w:rsidP="005728EF">
            <w:pPr>
              <w:spacing w:before="120" w:after="120"/>
              <w:rPr>
                <w:sz w:val="18"/>
                <w:szCs w:val="18"/>
              </w:rPr>
            </w:pPr>
          </w:p>
        </w:tc>
        <w:tc>
          <w:tcPr>
            <w:tcW w:w="773" w:type="pct"/>
            <w:vAlign w:val="center"/>
          </w:tcPr>
          <w:p w:rsidR="00E77C30" w:rsidRPr="00367140" w:rsidRDefault="00E77C30" w:rsidP="005728EF">
            <w:pPr>
              <w:spacing w:before="120" w:after="120"/>
              <w:rPr>
                <w:i/>
                <w:iCs/>
                <w:sz w:val="18"/>
                <w:szCs w:val="18"/>
              </w:rPr>
            </w:pPr>
            <w:r w:rsidRPr="00367140">
              <w:rPr>
                <w:i/>
                <w:iCs/>
                <w:sz w:val="18"/>
                <w:szCs w:val="18"/>
              </w:rPr>
              <w:t>LinJ33_V3.0770</w:t>
            </w:r>
          </w:p>
        </w:tc>
        <w:tc>
          <w:tcPr>
            <w:tcW w:w="632" w:type="pct"/>
          </w:tcPr>
          <w:p w:rsidR="00E77C30" w:rsidRPr="00367140" w:rsidRDefault="00E77C30" w:rsidP="005728EF">
            <w:pPr>
              <w:spacing w:before="120" w:after="120"/>
              <w:jc w:val="center"/>
              <w:rPr>
                <w:sz w:val="18"/>
                <w:szCs w:val="18"/>
              </w:rPr>
            </w:pPr>
            <w:r w:rsidRPr="00367140">
              <w:rPr>
                <w:sz w:val="18"/>
                <w:szCs w:val="18"/>
              </w:rPr>
              <w:t>33</w:t>
            </w:r>
          </w:p>
        </w:tc>
        <w:tc>
          <w:tcPr>
            <w:tcW w:w="1063" w:type="pct"/>
            <w:vAlign w:val="center"/>
          </w:tcPr>
          <w:p w:rsidR="00E77C30" w:rsidRPr="00367140" w:rsidRDefault="00E77C30" w:rsidP="005728EF">
            <w:pPr>
              <w:spacing w:before="120" w:after="120"/>
              <w:rPr>
                <w:sz w:val="18"/>
                <w:szCs w:val="18"/>
              </w:rPr>
            </w:pPr>
          </w:p>
        </w:tc>
        <w:tc>
          <w:tcPr>
            <w:tcW w:w="677" w:type="pct"/>
          </w:tcPr>
          <w:p w:rsidR="00E77C30" w:rsidRPr="00367140" w:rsidRDefault="00E77C30" w:rsidP="005728EF">
            <w:pPr>
              <w:spacing w:before="120" w:after="120"/>
              <w:rPr>
                <w:sz w:val="18"/>
                <w:szCs w:val="18"/>
              </w:rPr>
            </w:pPr>
            <w:r w:rsidRPr="00367140">
              <w:rPr>
                <w:sz w:val="18"/>
                <w:szCs w:val="18"/>
              </w:rPr>
              <w:t>502 (E-142)</w:t>
            </w:r>
          </w:p>
        </w:tc>
      </w:tr>
      <w:tr w:rsidR="00E77C30" w:rsidRPr="00367140">
        <w:trPr>
          <w:trHeight w:val="222"/>
        </w:trPr>
        <w:tc>
          <w:tcPr>
            <w:tcW w:w="340" w:type="pct"/>
            <w:vMerge w:val="restart"/>
          </w:tcPr>
          <w:p w:rsidR="00E77C30" w:rsidRPr="00367140" w:rsidRDefault="00E77C30" w:rsidP="005728EF">
            <w:pPr>
              <w:spacing w:before="120" w:after="120"/>
              <w:rPr>
                <w:sz w:val="18"/>
                <w:szCs w:val="18"/>
              </w:rPr>
            </w:pPr>
            <w:r w:rsidRPr="00367140">
              <w:rPr>
                <w:sz w:val="18"/>
                <w:szCs w:val="18"/>
              </w:rPr>
              <w:t>12-5</w:t>
            </w:r>
          </w:p>
        </w:tc>
        <w:tc>
          <w:tcPr>
            <w:tcW w:w="442" w:type="pct"/>
            <w:vMerge w:val="restart"/>
          </w:tcPr>
          <w:p w:rsidR="00E77C30" w:rsidRPr="00367140" w:rsidRDefault="00E77C30" w:rsidP="005728EF">
            <w:pPr>
              <w:spacing w:before="120" w:after="120"/>
              <w:rPr>
                <w:sz w:val="18"/>
                <w:szCs w:val="18"/>
              </w:rPr>
            </w:pPr>
            <w:r w:rsidRPr="00367140">
              <w:rPr>
                <w:sz w:val="18"/>
                <w:szCs w:val="18"/>
              </w:rPr>
              <w:t>DREP14</w:t>
            </w:r>
          </w:p>
        </w:tc>
        <w:tc>
          <w:tcPr>
            <w:tcW w:w="575" w:type="pct"/>
            <w:vMerge w:val="restart"/>
          </w:tcPr>
          <w:p w:rsidR="00E77C30" w:rsidRPr="00367140" w:rsidRDefault="00E77C30" w:rsidP="005728EF">
            <w:pPr>
              <w:spacing w:before="120" w:after="120"/>
              <w:rPr>
                <w:sz w:val="18"/>
                <w:szCs w:val="18"/>
              </w:rPr>
            </w:pPr>
            <w:r w:rsidRPr="00367140">
              <w:rPr>
                <w:sz w:val="18"/>
                <w:szCs w:val="18"/>
              </w:rPr>
              <w:t>ME5/P3</w:t>
            </w:r>
          </w:p>
        </w:tc>
        <w:tc>
          <w:tcPr>
            <w:tcW w:w="498" w:type="pct"/>
            <w:vMerge w:val="restart"/>
          </w:tcPr>
          <w:p w:rsidR="00E77C30" w:rsidRPr="00367140" w:rsidRDefault="00E77C30" w:rsidP="005728EF">
            <w:pPr>
              <w:spacing w:before="120" w:after="120"/>
              <w:rPr>
                <w:sz w:val="18"/>
                <w:szCs w:val="18"/>
              </w:rPr>
            </w:pPr>
            <w:r w:rsidRPr="00367140">
              <w:rPr>
                <w:sz w:val="18"/>
                <w:szCs w:val="18"/>
              </w:rPr>
              <w:t>697</w:t>
            </w:r>
          </w:p>
        </w:tc>
        <w:tc>
          <w:tcPr>
            <w:tcW w:w="773" w:type="pct"/>
            <w:vAlign w:val="center"/>
          </w:tcPr>
          <w:p w:rsidR="00E77C30" w:rsidRPr="00367140" w:rsidRDefault="00E77C30" w:rsidP="005728EF">
            <w:pPr>
              <w:spacing w:before="120" w:after="120"/>
              <w:rPr>
                <w:sz w:val="18"/>
                <w:szCs w:val="18"/>
              </w:rPr>
            </w:pPr>
            <w:r w:rsidRPr="00367140">
              <w:rPr>
                <w:i/>
                <w:iCs/>
                <w:sz w:val="18"/>
                <w:szCs w:val="18"/>
              </w:rPr>
              <w:t>LinJ28_V3.0570</w:t>
            </w:r>
            <w:r w:rsidRPr="00367140">
              <w:rPr>
                <w:sz w:val="18"/>
                <w:szCs w:val="18"/>
              </w:rPr>
              <w:t>*</w:t>
            </w:r>
          </w:p>
        </w:tc>
        <w:tc>
          <w:tcPr>
            <w:tcW w:w="632" w:type="pct"/>
          </w:tcPr>
          <w:p w:rsidR="00E77C30" w:rsidRPr="00367140" w:rsidRDefault="00E77C30" w:rsidP="005728EF">
            <w:pPr>
              <w:spacing w:before="120" w:after="120"/>
              <w:jc w:val="center"/>
              <w:rPr>
                <w:sz w:val="18"/>
                <w:szCs w:val="18"/>
              </w:rPr>
            </w:pPr>
            <w:r>
              <w:rPr>
                <w:noProof/>
                <w:lang w:val="en-US" w:eastAsia="zh-CN"/>
              </w:rPr>
              <w:pict>
                <v:shape id="_x0000_s1081" type="#_x0000_t88" style="position:absolute;left:0;text-align:left;margin-left:50.25pt;margin-top:.45pt;width:9.35pt;height:45pt;z-index:251660800;mso-position-horizontal-relative:text;mso-position-vertical-relative:text"/>
              </w:pict>
            </w:r>
            <w:r w:rsidRPr="00367140">
              <w:rPr>
                <w:sz w:val="18"/>
                <w:szCs w:val="18"/>
              </w:rPr>
              <w:t>28</w:t>
            </w:r>
          </w:p>
        </w:tc>
        <w:tc>
          <w:tcPr>
            <w:tcW w:w="1063" w:type="pct"/>
            <w:vMerge w:val="restart"/>
          </w:tcPr>
          <w:p w:rsidR="00E77C30" w:rsidRPr="00367140" w:rsidRDefault="00E77C30" w:rsidP="005728EF">
            <w:pPr>
              <w:spacing w:before="120" w:after="120"/>
              <w:rPr>
                <w:sz w:val="18"/>
                <w:szCs w:val="18"/>
              </w:rPr>
            </w:pPr>
            <w:r w:rsidRPr="00367140">
              <w:rPr>
                <w:sz w:val="18"/>
                <w:szCs w:val="18"/>
              </w:rPr>
              <w:t xml:space="preserve">Ribosomal protein S26 </w:t>
            </w:r>
          </w:p>
        </w:tc>
        <w:tc>
          <w:tcPr>
            <w:tcW w:w="677" w:type="pct"/>
          </w:tcPr>
          <w:p w:rsidR="00E77C30" w:rsidRPr="00367140" w:rsidRDefault="00E77C30" w:rsidP="005728EF">
            <w:pPr>
              <w:spacing w:before="120" w:after="120"/>
              <w:rPr>
                <w:sz w:val="18"/>
                <w:szCs w:val="18"/>
              </w:rPr>
            </w:pPr>
            <w:r w:rsidRPr="00367140">
              <w:rPr>
                <w:sz w:val="18"/>
                <w:szCs w:val="18"/>
              </w:rPr>
              <w:t>714 (0.0)*</w:t>
            </w:r>
          </w:p>
        </w:tc>
      </w:tr>
      <w:tr w:rsidR="00E77C30" w:rsidRPr="00367140">
        <w:trPr>
          <w:trHeight w:val="222"/>
        </w:trPr>
        <w:tc>
          <w:tcPr>
            <w:tcW w:w="340" w:type="pct"/>
            <w:vMerge/>
            <w:vAlign w:val="center"/>
          </w:tcPr>
          <w:p w:rsidR="00E77C30" w:rsidRPr="00367140" w:rsidRDefault="00E77C30" w:rsidP="005728EF">
            <w:pPr>
              <w:spacing w:before="120" w:after="120"/>
              <w:rPr>
                <w:sz w:val="18"/>
                <w:szCs w:val="18"/>
              </w:rPr>
            </w:pPr>
          </w:p>
        </w:tc>
        <w:tc>
          <w:tcPr>
            <w:tcW w:w="442" w:type="pct"/>
            <w:vMerge/>
            <w:vAlign w:val="center"/>
          </w:tcPr>
          <w:p w:rsidR="00E77C30" w:rsidRPr="00367140" w:rsidRDefault="00E77C30" w:rsidP="005728EF">
            <w:pPr>
              <w:spacing w:before="120" w:after="120"/>
              <w:rPr>
                <w:sz w:val="18"/>
                <w:szCs w:val="18"/>
              </w:rPr>
            </w:pPr>
          </w:p>
        </w:tc>
        <w:tc>
          <w:tcPr>
            <w:tcW w:w="575" w:type="pct"/>
            <w:vMerge/>
            <w:vAlign w:val="center"/>
          </w:tcPr>
          <w:p w:rsidR="00E77C30" w:rsidRPr="00367140" w:rsidRDefault="00E77C30" w:rsidP="005728EF">
            <w:pPr>
              <w:spacing w:before="120" w:after="120"/>
              <w:rPr>
                <w:sz w:val="18"/>
                <w:szCs w:val="18"/>
              </w:rPr>
            </w:pPr>
          </w:p>
        </w:tc>
        <w:tc>
          <w:tcPr>
            <w:tcW w:w="498" w:type="pct"/>
            <w:vMerge/>
            <w:vAlign w:val="center"/>
          </w:tcPr>
          <w:p w:rsidR="00E77C30" w:rsidRPr="00367140" w:rsidRDefault="00E77C30" w:rsidP="005728EF">
            <w:pPr>
              <w:spacing w:before="120" w:after="120"/>
              <w:rPr>
                <w:sz w:val="18"/>
                <w:szCs w:val="18"/>
              </w:rPr>
            </w:pPr>
          </w:p>
        </w:tc>
        <w:tc>
          <w:tcPr>
            <w:tcW w:w="773" w:type="pct"/>
            <w:vAlign w:val="center"/>
          </w:tcPr>
          <w:p w:rsidR="00E77C30" w:rsidRPr="00367140" w:rsidRDefault="00E77C30" w:rsidP="005728EF">
            <w:pPr>
              <w:spacing w:before="120" w:after="120"/>
              <w:rPr>
                <w:sz w:val="18"/>
                <w:szCs w:val="18"/>
              </w:rPr>
            </w:pPr>
            <w:r w:rsidRPr="00367140">
              <w:rPr>
                <w:i/>
                <w:iCs/>
                <w:sz w:val="18"/>
                <w:szCs w:val="18"/>
              </w:rPr>
              <w:t>LinJ30_V3.3240</w:t>
            </w:r>
          </w:p>
        </w:tc>
        <w:tc>
          <w:tcPr>
            <w:tcW w:w="632" w:type="pct"/>
          </w:tcPr>
          <w:p w:rsidR="00E77C30" w:rsidRPr="00367140" w:rsidRDefault="00E77C30" w:rsidP="005728EF">
            <w:pPr>
              <w:spacing w:before="120" w:after="120"/>
              <w:jc w:val="center"/>
              <w:rPr>
                <w:sz w:val="18"/>
                <w:szCs w:val="18"/>
              </w:rPr>
            </w:pPr>
            <w:r w:rsidRPr="00367140">
              <w:rPr>
                <w:sz w:val="18"/>
                <w:szCs w:val="18"/>
              </w:rPr>
              <w:t>30</w:t>
            </w:r>
          </w:p>
        </w:tc>
        <w:tc>
          <w:tcPr>
            <w:tcW w:w="1063" w:type="pct"/>
            <w:vMerge/>
            <w:vAlign w:val="center"/>
          </w:tcPr>
          <w:p w:rsidR="00E77C30" w:rsidRPr="00367140" w:rsidRDefault="00E77C30" w:rsidP="005728EF">
            <w:pPr>
              <w:spacing w:before="120" w:after="120"/>
              <w:rPr>
                <w:sz w:val="18"/>
                <w:szCs w:val="18"/>
              </w:rPr>
            </w:pPr>
          </w:p>
        </w:tc>
        <w:tc>
          <w:tcPr>
            <w:tcW w:w="677" w:type="pct"/>
          </w:tcPr>
          <w:p w:rsidR="00E77C30" w:rsidRPr="00367140" w:rsidRDefault="00E77C30" w:rsidP="005728EF">
            <w:pPr>
              <w:spacing w:before="120" w:after="120"/>
              <w:rPr>
                <w:sz w:val="18"/>
                <w:szCs w:val="18"/>
              </w:rPr>
            </w:pPr>
            <w:r w:rsidRPr="00367140">
              <w:rPr>
                <w:sz w:val="18"/>
                <w:szCs w:val="18"/>
              </w:rPr>
              <w:t>519 (E-147)</w:t>
            </w:r>
          </w:p>
        </w:tc>
      </w:tr>
      <w:tr w:rsidR="00E77C30" w:rsidRPr="00367140">
        <w:trPr>
          <w:trHeight w:val="222"/>
        </w:trPr>
        <w:tc>
          <w:tcPr>
            <w:tcW w:w="340" w:type="pct"/>
          </w:tcPr>
          <w:p w:rsidR="00E77C30" w:rsidRPr="00367140" w:rsidRDefault="00E77C30" w:rsidP="005728EF">
            <w:pPr>
              <w:spacing w:before="120" w:after="120"/>
              <w:rPr>
                <w:sz w:val="18"/>
                <w:szCs w:val="18"/>
              </w:rPr>
            </w:pPr>
            <w:r w:rsidRPr="00367140">
              <w:rPr>
                <w:sz w:val="18"/>
                <w:szCs w:val="18"/>
              </w:rPr>
              <w:t>11-9</w:t>
            </w:r>
          </w:p>
        </w:tc>
        <w:tc>
          <w:tcPr>
            <w:tcW w:w="442" w:type="pct"/>
          </w:tcPr>
          <w:p w:rsidR="00E77C30" w:rsidRPr="00367140" w:rsidRDefault="00E77C30" w:rsidP="005728EF">
            <w:pPr>
              <w:spacing w:before="120" w:after="120"/>
              <w:rPr>
                <w:sz w:val="18"/>
                <w:szCs w:val="18"/>
              </w:rPr>
            </w:pPr>
            <w:r w:rsidRPr="00367140">
              <w:rPr>
                <w:sz w:val="18"/>
                <w:szCs w:val="18"/>
              </w:rPr>
              <w:t>DREP14</w:t>
            </w:r>
          </w:p>
        </w:tc>
        <w:tc>
          <w:tcPr>
            <w:tcW w:w="575" w:type="pct"/>
          </w:tcPr>
          <w:p w:rsidR="00E77C30" w:rsidRPr="00367140" w:rsidRDefault="00E77C30" w:rsidP="005728EF">
            <w:pPr>
              <w:spacing w:before="120" w:after="120"/>
              <w:rPr>
                <w:sz w:val="18"/>
                <w:szCs w:val="18"/>
              </w:rPr>
            </w:pPr>
            <w:r w:rsidRPr="00367140">
              <w:rPr>
                <w:sz w:val="18"/>
                <w:szCs w:val="18"/>
              </w:rPr>
              <w:t>ME4/P9</w:t>
            </w:r>
          </w:p>
        </w:tc>
        <w:tc>
          <w:tcPr>
            <w:tcW w:w="498" w:type="pct"/>
          </w:tcPr>
          <w:p w:rsidR="00E77C30" w:rsidRPr="00367140" w:rsidRDefault="00E77C30" w:rsidP="005728EF">
            <w:pPr>
              <w:spacing w:before="120" w:after="120"/>
              <w:rPr>
                <w:sz w:val="18"/>
                <w:szCs w:val="18"/>
              </w:rPr>
            </w:pPr>
            <w:r w:rsidRPr="00367140">
              <w:rPr>
                <w:sz w:val="18"/>
                <w:szCs w:val="18"/>
              </w:rPr>
              <w:t>493</w:t>
            </w:r>
          </w:p>
        </w:tc>
        <w:tc>
          <w:tcPr>
            <w:tcW w:w="773" w:type="pct"/>
          </w:tcPr>
          <w:p w:rsidR="00E77C30" w:rsidRPr="00367140" w:rsidRDefault="00E77C30" w:rsidP="005728EF">
            <w:pPr>
              <w:spacing w:before="120" w:after="120"/>
              <w:rPr>
                <w:i/>
                <w:iCs/>
                <w:sz w:val="18"/>
                <w:szCs w:val="18"/>
              </w:rPr>
            </w:pPr>
            <w:r w:rsidRPr="00367140">
              <w:rPr>
                <w:i/>
                <w:iCs/>
                <w:sz w:val="18"/>
                <w:szCs w:val="18"/>
              </w:rPr>
              <w:t>LinJ10_V3.0900</w:t>
            </w:r>
          </w:p>
        </w:tc>
        <w:tc>
          <w:tcPr>
            <w:tcW w:w="632" w:type="pct"/>
          </w:tcPr>
          <w:p w:rsidR="00E77C30" w:rsidRPr="00367140" w:rsidRDefault="00E77C30" w:rsidP="005728EF">
            <w:pPr>
              <w:spacing w:before="120" w:after="120"/>
              <w:jc w:val="center"/>
              <w:rPr>
                <w:sz w:val="18"/>
                <w:szCs w:val="18"/>
              </w:rPr>
            </w:pPr>
            <w:r w:rsidRPr="00367140">
              <w:rPr>
                <w:sz w:val="18"/>
                <w:szCs w:val="18"/>
              </w:rPr>
              <w:t>10</w:t>
            </w:r>
          </w:p>
        </w:tc>
        <w:tc>
          <w:tcPr>
            <w:tcW w:w="1063" w:type="pct"/>
            <w:vAlign w:val="center"/>
          </w:tcPr>
          <w:p w:rsidR="00E77C30" w:rsidRPr="00367140" w:rsidRDefault="00E77C30" w:rsidP="005728EF">
            <w:pPr>
              <w:spacing w:before="120" w:after="120"/>
              <w:rPr>
                <w:sz w:val="18"/>
                <w:szCs w:val="18"/>
                <w:lang w:val="en-GB"/>
              </w:rPr>
            </w:pPr>
            <w:r w:rsidRPr="00367140">
              <w:rPr>
                <w:sz w:val="18"/>
                <w:szCs w:val="18"/>
                <w:lang w:val="en-GB"/>
              </w:rPr>
              <w:t>Nuclear transport factor 2, NTF2- like</w:t>
            </w:r>
          </w:p>
        </w:tc>
        <w:tc>
          <w:tcPr>
            <w:tcW w:w="677" w:type="pct"/>
          </w:tcPr>
          <w:p w:rsidR="00E77C30" w:rsidRPr="00367140" w:rsidRDefault="00E77C30" w:rsidP="005728EF">
            <w:pPr>
              <w:spacing w:before="120" w:after="120"/>
              <w:rPr>
                <w:sz w:val="18"/>
                <w:szCs w:val="18"/>
              </w:rPr>
            </w:pPr>
            <w:r w:rsidRPr="00367140">
              <w:rPr>
                <w:sz w:val="18"/>
                <w:szCs w:val="18"/>
              </w:rPr>
              <w:t>944 (0.0)</w:t>
            </w:r>
          </w:p>
        </w:tc>
      </w:tr>
      <w:tr w:rsidR="00E77C30" w:rsidRPr="00367140">
        <w:trPr>
          <w:trHeight w:val="222"/>
        </w:trPr>
        <w:tc>
          <w:tcPr>
            <w:tcW w:w="340"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12-11</w:t>
            </w:r>
          </w:p>
        </w:tc>
        <w:tc>
          <w:tcPr>
            <w:tcW w:w="442"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DREP14</w:t>
            </w:r>
          </w:p>
        </w:tc>
        <w:tc>
          <w:tcPr>
            <w:tcW w:w="575"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ME5/P3</w:t>
            </w:r>
          </w:p>
        </w:tc>
        <w:tc>
          <w:tcPr>
            <w:tcW w:w="498"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137</w:t>
            </w:r>
          </w:p>
        </w:tc>
        <w:tc>
          <w:tcPr>
            <w:tcW w:w="773" w:type="pct"/>
            <w:tcBorders>
              <w:bottom w:val="single" w:sz="4" w:space="0" w:color="auto"/>
            </w:tcBorders>
          </w:tcPr>
          <w:p w:rsidR="00E77C30" w:rsidRPr="00367140" w:rsidRDefault="00E77C30" w:rsidP="005728EF">
            <w:pPr>
              <w:spacing w:before="120" w:after="120"/>
              <w:rPr>
                <w:i/>
                <w:iCs/>
                <w:sz w:val="18"/>
                <w:szCs w:val="18"/>
              </w:rPr>
            </w:pPr>
            <w:r w:rsidRPr="00367140">
              <w:rPr>
                <w:i/>
                <w:iCs/>
                <w:sz w:val="18"/>
                <w:szCs w:val="18"/>
              </w:rPr>
              <w:t>LinJ30_V3.3800</w:t>
            </w:r>
          </w:p>
        </w:tc>
        <w:tc>
          <w:tcPr>
            <w:tcW w:w="632" w:type="pct"/>
            <w:tcBorders>
              <w:bottom w:val="single" w:sz="4" w:space="0" w:color="auto"/>
            </w:tcBorders>
          </w:tcPr>
          <w:p w:rsidR="00E77C30" w:rsidRPr="00367140" w:rsidRDefault="00E77C30" w:rsidP="005728EF">
            <w:pPr>
              <w:spacing w:before="120" w:after="120"/>
              <w:jc w:val="center"/>
              <w:rPr>
                <w:sz w:val="18"/>
                <w:szCs w:val="18"/>
              </w:rPr>
            </w:pPr>
            <w:r w:rsidRPr="00367140">
              <w:rPr>
                <w:sz w:val="18"/>
                <w:szCs w:val="18"/>
              </w:rPr>
              <w:t>30</w:t>
            </w:r>
          </w:p>
        </w:tc>
        <w:tc>
          <w:tcPr>
            <w:tcW w:w="1063"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Ribosomal P protein AGP2 beta-1</w:t>
            </w:r>
          </w:p>
        </w:tc>
        <w:tc>
          <w:tcPr>
            <w:tcW w:w="677" w:type="pct"/>
            <w:tcBorders>
              <w:bottom w:val="single" w:sz="4" w:space="0" w:color="auto"/>
            </w:tcBorders>
          </w:tcPr>
          <w:p w:rsidR="00E77C30" w:rsidRPr="00367140" w:rsidRDefault="00E77C30" w:rsidP="005728EF">
            <w:pPr>
              <w:spacing w:before="120" w:after="120"/>
              <w:rPr>
                <w:sz w:val="18"/>
                <w:szCs w:val="18"/>
              </w:rPr>
            </w:pPr>
            <w:r w:rsidRPr="00367140">
              <w:rPr>
                <w:sz w:val="18"/>
                <w:szCs w:val="18"/>
              </w:rPr>
              <w:t>188 (6E-48)</w:t>
            </w:r>
          </w:p>
        </w:tc>
      </w:tr>
    </w:tbl>
    <w:p w:rsidR="00E77C30" w:rsidRDefault="00E77C30" w:rsidP="006B457B">
      <w:pPr>
        <w:spacing w:line="480" w:lineRule="auto"/>
        <w:rPr>
          <w:vertAlign w:val="superscript"/>
          <w:lang w:val="en-US"/>
        </w:rPr>
      </w:pPr>
    </w:p>
    <w:p w:rsidR="00E77C30" w:rsidRPr="00367140" w:rsidRDefault="00E77C30" w:rsidP="006B457B">
      <w:pPr>
        <w:spacing w:line="480" w:lineRule="auto"/>
        <w:rPr>
          <w:lang w:val="en-US"/>
        </w:rPr>
      </w:pPr>
      <w:r w:rsidRPr="00367140">
        <w:rPr>
          <w:vertAlign w:val="superscript"/>
          <w:lang w:val="en-US"/>
        </w:rPr>
        <w:t>a</w:t>
      </w:r>
      <w:r w:rsidRPr="00367140">
        <w:rPr>
          <w:lang w:val="en-US"/>
        </w:rPr>
        <w:t xml:space="preserve"> indicates the code of the cDNA bands selected on DD gels.</w:t>
      </w:r>
    </w:p>
    <w:p w:rsidR="00E77C30" w:rsidRPr="00367140" w:rsidRDefault="00E77C30" w:rsidP="006B457B">
      <w:pPr>
        <w:autoSpaceDE w:val="0"/>
        <w:autoSpaceDN w:val="0"/>
        <w:adjustRightInd w:val="0"/>
        <w:spacing w:line="480" w:lineRule="auto"/>
        <w:rPr>
          <w:lang w:val="en-US"/>
        </w:rPr>
      </w:pPr>
      <w:r w:rsidRPr="00367140">
        <w:rPr>
          <w:vertAlign w:val="superscript"/>
          <w:lang w:val="en-US"/>
        </w:rPr>
        <w:t>b</w:t>
      </w:r>
      <w:r w:rsidRPr="00367140">
        <w:rPr>
          <w:lang w:val="en-US"/>
        </w:rPr>
        <w:t xml:space="preserve"> indicates the isolate lane from which the band was rescued and analysed.</w:t>
      </w:r>
    </w:p>
    <w:p w:rsidR="00E77C30" w:rsidRPr="00367140" w:rsidRDefault="00E77C30" w:rsidP="006B457B">
      <w:pPr>
        <w:spacing w:line="480" w:lineRule="auto"/>
        <w:rPr>
          <w:lang w:val="en-US"/>
        </w:rPr>
      </w:pPr>
      <w:r w:rsidRPr="00367140">
        <w:rPr>
          <w:vertAlign w:val="superscript"/>
          <w:lang w:val="en-US"/>
        </w:rPr>
        <w:t>c</w:t>
      </w:r>
      <w:r w:rsidRPr="00367140">
        <w:rPr>
          <w:lang w:val="en-US"/>
        </w:rPr>
        <w:t xml:space="preserve"> indicates the primer combination in DD reactions that generated the band.</w:t>
      </w:r>
    </w:p>
    <w:p w:rsidR="00E77C30" w:rsidRPr="00367140" w:rsidRDefault="00E77C30" w:rsidP="006B457B">
      <w:pPr>
        <w:spacing w:line="480" w:lineRule="auto"/>
        <w:rPr>
          <w:lang w:val="en-US"/>
        </w:rPr>
      </w:pPr>
      <w:r w:rsidRPr="00367140">
        <w:rPr>
          <w:vertAlign w:val="superscript"/>
          <w:lang w:val="en-US"/>
        </w:rPr>
        <w:t>d</w:t>
      </w:r>
      <w:r w:rsidRPr="00367140">
        <w:rPr>
          <w:lang w:val="en-US"/>
        </w:rPr>
        <w:t xml:space="preserve"> indicates the sequenced size of the fragments (bp).</w:t>
      </w:r>
    </w:p>
    <w:p w:rsidR="00E77C30" w:rsidRPr="00367140" w:rsidRDefault="00E77C30" w:rsidP="006B457B">
      <w:pPr>
        <w:spacing w:line="480" w:lineRule="auto"/>
        <w:rPr>
          <w:lang w:val="en-US"/>
        </w:rPr>
      </w:pPr>
      <w:r w:rsidRPr="00367140">
        <w:rPr>
          <w:vertAlign w:val="superscript"/>
          <w:lang w:val="en-US"/>
        </w:rPr>
        <w:t>e</w:t>
      </w:r>
      <w:r w:rsidRPr="00367140">
        <w:rPr>
          <w:lang w:val="en-US"/>
        </w:rPr>
        <w:t xml:space="preserve"> indicates gene annotation of the BLAST hits according to geneDB on version 3 of </w:t>
      </w:r>
    </w:p>
    <w:p w:rsidR="00E77C30" w:rsidRPr="00367140" w:rsidRDefault="00E77C30" w:rsidP="006B457B">
      <w:pPr>
        <w:spacing w:line="480" w:lineRule="auto"/>
        <w:rPr>
          <w:lang w:val="de-DE"/>
        </w:rPr>
      </w:pPr>
      <w:r w:rsidRPr="00367140">
        <w:rPr>
          <w:i/>
          <w:iCs/>
          <w:lang w:val="de-DE"/>
        </w:rPr>
        <w:t>L. infantum</w:t>
      </w:r>
      <w:r w:rsidRPr="00367140">
        <w:rPr>
          <w:lang w:val="de-DE"/>
        </w:rPr>
        <w:t xml:space="preserve"> genome (http://www.genedb.org).</w:t>
      </w:r>
    </w:p>
    <w:p w:rsidR="00E77C30" w:rsidRPr="00367140" w:rsidRDefault="00E77C30" w:rsidP="006B457B">
      <w:pPr>
        <w:spacing w:line="480" w:lineRule="auto"/>
        <w:rPr>
          <w:lang w:val="en-US"/>
        </w:rPr>
      </w:pPr>
      <w:r w:rsidRPr="00367140">
        <w:rPr>
          <w:vertAlign w:val="superscript"/>
          <w:lang w:val="en-US"/>
        </w:rPr>
        <w:t>f</w:t>
      </w:r>
      <w:r w:rsidRPr="00367140">
        <w:rPr>
          <w:lang w:val="en-US"/>
        </w:rPr>
        <w:t xml:space="preserve"> chromosome where is located the BLAST hit.</w:t>
      </w:r>
    </w:p>
    <w:p w:rsidR="00E77C30" w:rsidRPr="00367140" w:rsidRDefault="00E77C30" w:rsidP="006B457B">
      <w:pPr>
        <w:spacing w:line="480" w:lineRule="auto"/>
        <w:rPr>
          <w:lang w:val="en-US"/>
        </w:rPr>
      </w:pPr>
      <w:r w:rsidRPr="00367140">
        <w:rPr>
          <w:vertAlign w:val="superscript"/>
          <w:lang w:val="en-US"/>
        </w:rPr>
        <w:t>g</w:t>
      </w:r>
      <w:r w:rsidRPr="00367140">
        <w:rPr>
          <w:lang w:val="en-US"/>
        </w:rPr>
        <w:t xml:space="preserve"> shows putative functions encoded by the genes.</w:t>
      </w:r>
    </w:p>
    <w:p w:rsidR="00E77C30" w:rsidRPr="00367140" w:rsidRDefault="00E77C30" w:rsidP="006B457B">
      <w:pPr>
        <w:spacing w:line="480" w:lineRule="auto"/>
        <w:jc w:val="both"/>
        <w:rPr>
          <w:lang w:val="en-US"/>
        </w:rPr>
      </w:pPr>
      <w:r w:rsidRPr="00367140">
        <w:rPr>
          <w:vertAlign w:val="superscript"/>
          <w:lang w:val="en-US"/>
        </w:rPr>
        <w:t>h</w:t>
      </w:r>
      <w:r w:rsidRPr="00367140">
        <w:rPr>
          <w:lang w:val="en-US"/>
        </w:rPr>
        <w:t xml:space="preserve"> statistical parameters that indicate significance of the BLAST hits; biggest scores and smallest </w:t>
      </w:r>
      <w:r w:rsidRPr="00367140">
        <w:rPr>
          <w:i/>
          <w:iCs/>
          <w:lang w:val="en-US"/>
        </w:rPr>
        <w:t>e-values</w:t>
      </w:r>
      <w:r w:rsidRPr="00367140">
        <w:rPr>
          <w:lang w:val="en-US"/>
        </w:rPr>
        <w:t xml:space="preserve"> correspond to most significant hits.</w:t>
      </w:r>
    </w:p>
    <w:p w:rsidR="00E77C30" w:rsidRPr="00674605" w:rsidRDefault="00E77C30" w:rsidP="006B457B">
      <w:pPr>
        <w:spacing w:before="120" w:after="120" w:line="480" w:lineRule="auto"/>
        <w:jc w:val="both"/>
        <w:rPr>
          <w:lang w:val="en-US"/>
        </w:rPr>
      </w:pPr>
      <w:r w:rsidRPr="00367140">
        <w:rPr>
          <w:vertAlign w:val="superscript"/>
          <w:lang w:val="en-US"/>
        </w:rPr>
        <w:t>*</w:t>
      </w:r>
      <w:r w:rsidRPr="00367140">
        <w:rPr>
          <w:lang w:val="en-US"/>
        </w:rPr>
        <w:t xml:space="preserve"> indicates the gene that most likely corresponds to the cDNA analysed according to the score and the </w:t>
      </w:r>
      <w:r w:rsidRPr="00367140">
        <w:rPr>
          <w:i/>
          <w:iCs/>
          <w:lang w:val="en-US"/>
        </w:rPr>
        <w:t>e-value</w:t>
      </w:r>
      <w:r w:rsidRPr="00367140">
        <w:rPr>
          <w:lang w:val="en-US"/>
        </w:rPr>
        <w:t>.</w:t>
      </w:r>
    </w:p>
    <w:p w:rsidR="00E77C30" w:rsidRDefault="00E77C30" w:rsidP="00DE0629">
      <w:pPr>
        <w:spacing w:line="480" w:lineRule="auto"/>
        <w:jc w:val="both"/>
        <w:rPr>
          <w:b/>
          <w:bCs/>
          <w:lang w:val="en-GB"/>
        </w:rPr>
      </w:pPr>
    </w:p>
    <w:p w:rsidR="00E77C30" w:rsidRDefault="00E77C30" w:rsidP="00DE0629">
      <w:pPr>
        <w:spacing w:line="480" w:lineRule="auto"/>
        <w:jc w:val="both"/>
        <w:rPr>
          <w:b/>
          <w:bCs/>
          <w:lang w:val="en-GB"/>
        </w:rPr>
        <w:sectPr w:rsidR="00E77C30" w:rsidSect="00885A27">
          <w:type w:val="continuous"/>
          <w:pgSz w:w="11906" w:h="16838" w:code="9"/>
          <w:pgMar w:top="1440" w:right="1440" w:bottom="1440" w:left="1440" w:header="709" w:footer="709" w:gutter="0"/>
          <w:cols w:space="708"/>
          <w:docGrid w:linePitch="360"/>
        </w:sectPr>
      </w:pPr>
    </w:p>
    <w:p w:rsidR="00E77C30" w:rsidRPr="00367140" w:rsidRDefault="00E77C30" w:rsidP="00DE0629">
      <w:pPr>
        <w:spacing w:line="480" w:lineRule="auto"/>
        <w:jc w:val="both"/>
        <w:rPr>
          <w:b/>
          <w:bCs/>
          <w:lang w:val="en-GB"/>
        </w:rPr>
      </w:pPr>
      <w:r>
        <w:rPr>
          <w:b/>
          <w:bCs/>
          <w:lang w:val="en-GB"/>
        </w:rPr>
        <w:t>Acknowledgements</w:t>
      </w:r>
    </w:p>
    <w:p w:rsidR="00E77C30" w:rsidRPr="00367140" w:rsidRDefault="00E77C30" w:rsidP="00DE0629">
      <w:pPr>
        <w:spacing w:line="480" w:lineRule="auto"/>
        <w:jc w:val="both"/>
        <w:rPr>
          <w:lang w:val="en-GB"/>
        </w:rPr>
      </w:pPr>
      <w:r w:rsidRPr="00367140">
        <w:rPr>
          <w:lang w:val="en-GB"/>
        </w:rPr>
        <w:t>This study received financial support from the UNICEF/ UNDP/ World Bank/ WHO special programme for research and training in tropical diseases, TDR (ID: A11032) and from the Ministry for higher Education, Research and Technology- Tunisia (LR00SP04). We thank Meherzia Ben Fadhel for sequencing.</w:t>
      </w:r>
    </w:p>
    <w:p w:rsidR="00E77C30" w:rsidRDefault="00E77C30" w:rsidP="00DE0629">
      <w:pPr>
        <w:spacing w:line="480" w:lineRule="auto"/>
        <w:jc w:val="both"/>
        <w:rPr>
          <w:b/>
          <w:bCs/>
          <w:sz w:val="20"/>
          <w:szCs w:val="20"/>
        </w:rPr>
      </w:pPr>
    </w:p>
    <w:p w:rsidR="00E77C30" w:rsidRDefault="00E77C30" w:rsidP="00DE0629">
      <w:pPr>
        <w:spacing w:line="480" w:lineRule="auto"/>
        <w:jc w:val="both"/>
        <w:rPr>
          <w:sz w:val="20"/>
          <w:szCs w:val="20"/>
          <w:vertAlign w:val="superscript"/>
          <w:lang w:val="en-US"/>
        </w:rPr>
      </w:pPr>
      <w:r>
        <w:rPr>
          <w:b/>
          <w:bCs/>
          <w:sz w:val="20"/>
          <w:szCs w:val="20"/>
        </w:rPr>
        <w:t>Correspondence to:</w:t>
      </w:r>
      <w:r w:rsidRPr="00702E3C">
        <w:rPr>
          <w:sz w:val="20"/>
          <w:szCs w:val="20"/>
          <w:vertAlign w:val="superscript"/>
          <w:lang w:val="en-US"/>
        </w:rPr>
        <w:t xml:space="preserve"> </w:t>
      </w:r>
    </w:p>
    <w:p w:rsidR="00E77C30" w:rsidRDefault="00E77C30" w:rsidP="00DE0629">
      <w:pPr>
        <w:spacing w:line="480" w:lineRule="auto"/>
        <w:jc w:val="both"/>
        <w:rPr>
          <w:sz w:val="20"/>
          <w:szCs w:val="20"/>
        </w:rPr>
      </w:pPr>
      <w:r w:rsidRPr="00702E3C">
        <w:rPr>
          <w:sz w:val="20"/>
          <w:szCs w:val="20"/>
          <w:lang w:val="en-US"/>
        </w:rPr>
        <w:t>Lynda Turki-Mannoubi</w:t>
      </w:r>
    </w:p>
    <w:p w:rsidR="00E77C30" w:rsidRPr="00917374" w:rsidRDefault="00E77C30" w:rsidP="00DE0629">
      <w:pPr>
        <w:spacing w:line="480" w:lineRule="auto"/>
        <w:jc w:val="both"/>
      </w:pPr>
      <w:r w:rsidRPr="00702E3C">
        <w:rPr>
          <w:sz w:val="20"/>
          <w:szCs w:val="20"/>
        </w:rPr>
        <w:t>Laboratoire d’Epidémiologie et d’Ecologie Parasitaire, Institut Pasteur de Tunis, 13 place Pasteur, BP 74, 1002 Tunis-Belvédère, Tunisia</w:t>
      </w:r>
      <w:r w:rsidRPr="00917374">
        <w:t xml:space="preserve"> </w:t>
      </w:r>
    </w:p>
    <w:p w:rsidR="00E77C30" w:rsidRPr="00917374" w:rsidRDefault="00E77C30" w:rsidP="00DE0629">
      <w:pPr>
        <w:spacing w:before="120" w:after="120" w:line="480" w:lineRule="auto"/>
        <w:jc w:val="both"/>
      </w:pPr>
      <w:r w:rsidRPr="00917374">
        <w:t>email: lyndaturkimannoubi @yahoo.fr</w:t>
      </w:r>
    </w:p>
    <w:p w:rsidR="00E77C30" w:rsidRPr="00917374" w:rsidRDefault="00E77C30" w:rsidP="00C02D98">
      <w:pPr>
        <w:spacing w:line="480" w:lineRule="auto"/>
        <w:jc w:val="both"/>
        <w:rPr>
          <w:b/>
          <w:bCs/>
        </w:rPr>
      </w:pPr>
    </w:p>
    <w:p w:rsidR="00E77C30" w:rsidRPr="00917374" w:rsidRDefault="00E77C30" w:rsidP="00C02D98">
      <w:pPr>
        <w:spacing w:line="480" w:lineRule="auto"/>
        <w:jc w:val="both"/>
        <w:rPr>
          <w:b/>
          <w:bCs/>
        </w:rPr>
      </w:pPr>
      <w:r w:rsidRPr="00917374">
        <w:rPr>
          <w:b/>
          <w:bCs/>
        </w:rPr>
        <w:t>References</w:t>
      </w:r>
    </w:p>
    <w:p w:rsidR="00E77C30" w:rsidRPr="00367140" w:rsidRDefault="00E77C30" w:rsidP="00C02D98">
      <w:pPr>
        <w:spacing w:before="240" w:line="480" w:lineRule="auto"/>
        <w:jc w:val="both"/>
        <w:rPr>
          <w:lang w:val="en-GB"/>
        </w:rPr>
      </w:pPr>
      <w:r w:rsidRPr="00917374">
        <w:t xml:space="preserve">[1]Alcolea P.J., Alonso A., Sanchez-Gorostiaga A., Moreno-Paz M., Gomez M.J., Ramos I., Parro V.,and Larraga V(2009). </w:t>
      </w:r>
      <w:r w:rsidRPr="00367140">
        <w:rPr>
          <w:lang w:val="en-GB"/>
        </w:rPr>
        <w:t xml:space="preserve">Genome-wide analysis reveals increased levels of transcripts related with infectivity in peanut lectin non-agglutinated promastigotes of </w:t>
      </w:r>
      <w:r w:rsidRPr="00367140">
        <w:rPr>
          <w:i/>
          <w:iCs/>
          <w:lang w:val="en-GB"/>
        </w:rPr>
        <w:t>Leishmania i</w:t>
      </w:r>
      <w:r w:rsidRPr="00B323D0">
        <w:rPr>
          <w:i/>
          <w:iCs/>
          <w:lang w:val="en-GB"/>
        </w:rPr>
        <w:t>nfantum.</w:t>
      </w:r>
      <w:r w:rsidRPr="00B323D0">
        <w:rPr>
          <w:lang w:val="en-GB"/>
        </w:rPr>
        <w:t xml:space="preserve"> </w:t>
      </w:r>
      <w:r w:rsidRPr="00E16369">
        <w:rPr>
          <w:i/>
          <w:iCs/>
          <w:lang w:val="en-GB"/>
        </w:rPr>
        <w:t>Genomics</w:t>
      </w:r>
      <w:r w:rsidRPr="00B323D0">
        <w:rPr>
          <w:lang w:val="en-GB"/>
        </w:rPr>
        <w:t xml:space="preserve">; </w:t>
      </w:r>
      <w:r w:rsidRPr="001A5CE1">
        <w:rPr>
          <w:b/>
          <w:bCs/>
          <w:lang w:val="en-GB"/>
        </w:rPr>
        <w:t>93</w:t>
      </w:r>
      <w:r w:rsidRPr="00B323D0">
        <w:rPr>
          <w:lang w:val="en-GB"/>
        </w:rPr>
        <w:t>:</w:t>
      </w:r>
      <w:r w:rsidRPr="00B323D0">
        <w:rPr>
          <w:b/>
          <w:bCs/>
          <w:lang w:val="en-GB"/>
        </w:rPr>
        <w:t xml:space="preserve"> </w:t>
      </w:r>
      <w:r w:rsidRPr="00B323D0">
        <w:rPr>
          <w:lang w:val="en-GB"/>
        </w:rPr>
        <w:t>551-564.</w:t>
      </w:r>
    </w:p>
    <w:p w:rsidR="00E77C30" w:rsidRPr="00367140" w:rsidRDefault="00E77C30" w:rsidP="00C02D98">
      <w:pPr>
        <w:spacing w:line="480" w:lineRule="auto"/>
        <w:jc w:val="both"/>
        <w:rPr>
          <w:lang w:val="en-GB"/>
        </w:rPr>
      </w:pPr>
      <w:r>
        <w:rPr>
          <w:lang w:val="en-GB"/>
        </w:rPr>
        <w:t>[2]</w:t>
      </w:r>
      <w:r w:rsidRPr="00367140">
        <w:rPr>
          <w:lang w:val="en-GB"/>
        </w:rPr>
        <w:t>Almeida R., Gilmartin B.J., McCann S.H., Norris A., Ivens A.C., Lawson D., Levick M.P., Smith D.F., Dyall S.D., Vetrie D., Freeman T.C., Coulson R.M., Sampaio I., Schneider H.</w:t>
      </w:r>
      <w:r>
        <w:rPr>
          <w:lang w:val="en-GB"/>
        </w:rPr>
        <w:t>,</w:t>
      </w:r>
      <w:r w:rsidRPr="00367140">
        <w:rPr>
          <w:lang w:val="en-GB"/>
        </w:rPr>
        <w:t xml:space="preserve"> </w:t>
      </w:r>
      <w:r>
        <w:rPr>
          <w:lang w:val="en-GB"/>
        </w:rPr>
        <w:t xml:space="preserve">and </w:t>
      </w:r>
      <w:r w:rsidRPr="00367140">
        <w:rPr>
          <w:lang w:val="en-GB"/>
        </w:rPr>
        <w:t>Blackwell J.M.</w:t>
      </w:r>
      <w:r>
        <w:rPr>
          <w:lang w:val="en-GB"/>
        </w:rPr>
        <w:t>(</w:t>
      </w:r>
      <w:r w:rsidRPr="001A5CE1">
        <w:rPr>
          <w:lang w:val="en-GB"/>
        </w:rPr>
        <w:t xml:space="preserve"> </w:t>
      </w:r>
      <w:r w:rsidRPr="00367140">
        <w:rPr>
          <w:lang w:val="en-GB"/>
        </w:rPr>
        <w:t>2004</w:t>
      </w:r>
      <w:r>
        <w:rPr>
          <w:lang w:val="en-GB"/>
        </w:rPr>
        <w:t>).</w:t>
      </w:r>
      <w:r w:rsidRPr="00367140">
        <w:rPr>
          <w:lang w:val="en-GB"/>
        </w:rPr>
        <w:t xml:space="preserve"> Expression profiling of the </w:t>
      </w:r>
      <w:r w:rsidRPr="00367140">
        <w:rPr>
          <w:i/>
          <w:iCs/>
          <w:lang w:val="en-GB"/>
        </w:rPr>
        <w:t>Leishmania</w:t>
      </w:r>
      <w:r w:rsidRPr="00367140">
        <w:rPr>
          <w:lang w:val="en-GB"/>
        </w:rPr>
        <w:t xml:space="preserve"> life cycle: cDNA arrays identify developmentally regulated genes present but not annotated in the genome. </w:t>
      </w:r>
      <w:r w:rsidRPr="00E16369">
        <w:rPr>
          <w:i/>
          <w:iCs/>
          <w:lang w:val="en-GB"/>
        </w:rPr>
        <w:t>Mol. Biochem. Parasitol.</w:t>
      </w:r>
      <w:r>
        <w:rPr>
          <w:lang w:val="en-GB"/>
        </w:rPr>
        <w:t xml:space="preserve">; </w:t>
      </w:r>
      <w:r w:rsidRPr="001A5CE1">
        <w:rPr>
          <w:b/>
          <w:bCs/>
          <w:lang w:val="en-GB"/>
        </w:rPr>
        <w:t>136</w:t>
      </w:r>
      <w:r w:rsidRPr="00367140">
        <w:rPr>
          <w:b/>
          <w:bCs/>
          <w:lang w:val="en-GB"/>
        </w:rPr>
        <w:t xml:space="preserve"> </w:t>
      </w:r>
      <w:r>
        <w:rPr>
          <w:b/>
          <w:bCs/>
          <w:lang w:val="en-GB"/>
        </w:rPr>
        <w:t xml:space="preserve">: </w:t>
      </w:r>
      <w:r w:rsidRPr="00367140">
        <w:rPr>
          <w:lang w:val="en-GB"/>
        </w:rPr>
        <w:t xml:space="preserve">87-100. </w:t>
      </w:r>
    </w:p>
    <w:p w:rsidR="00E77C30" w:rsidRPr="00367140" w:rsidRDefault="00E77C30" w:rsidP="00C02D98">
      <w:pPr>
        <w:spacing w:line="480" w:lineRule="auto"/>
        <w:jc w:val="both"/>
        <w:rPr>
          <w:lang w:val="en-GB"/>
        </w:rPr>
      </w:pPr>
      <w:r>
        <w:rPr>
          <w:lang w:val="en-GB"/>
        </w:rPr>
        <w:t>[3]</w:t>
      </w:r>
      <w:r w:rsidRPr="00367140">
        <w:rPr>
          <w:lang w:val="en-GB"/>
        </w:rPr>
        <w:t xml:space="preserve">Bates P.A. </w:t>
      </w:r>
      <w:r>
        <w:rPr>
          <w:lang w:val="en-GB"/>
        </w:rPr>
        <w:t>(</w:t>
      </w:r>
      <w:r w:rsidRPr="00367140">
        <w:rPr>
          <w:lang w:val="en-GB"/>
        </w:rPr>
        <w:t>2008</w:t>
      </w:r>
      <w:r>
        <w:rPr>
          <w:lang w:val="en-GB"/>
        </w:rPr>
        <w:t>).</w:t>
      </w:r>
      <w:r w:rsidRPr="00367140">
        <w:rPr>
          <w:i/>
          <w:iCs/>
          <w:lang w:val="en-GB"/>
        </w:rPr>
        <w:t>Leishmania</w:t>
      </w:r>
      <w:r w:rsidRPr="00367140">
        <w:rPr>
          <w:lang w:val="en-GB"/>
        </w:rPr>
        <w:t xml:space="preserve"> sand fly interaction: progress and challenges. </w:t>
      </w:r>
      <w:r w:rsidRPr="00367140">
        <w:rPr>
          <w:i/>
          <w:iCs/>
          <w:lang w:val="en-GB"/>
        </w:rPr>
        <w:t>Curr. Opin. Microbiol.</w:t>
      </w:r>
      <w:r>
        <w:rPr>
          <w:lang w:val="en-GB"/>
        </w:rPr>
        <w:t xml:space="preserve">; </w:t>
      </w:r>
      <w:r w:rsidRPr="001A5CE1">
        <w:rPr>
          <w:b/>
          <w:bCs/>
          <w:lang w:val="en-GB"/>
        </w:rPr>
        <w:t>11</w:t>
      </w:r>
      <w:r>
        <w:rPr>
          <w:lang w:val="en-GB"/>
        </w:rPr>
        <w:t>:</w:t>
      </w:r>
      <w:r w:rsidRPr="00367140">
        <w:rPr>
          <w:b/>
          <w:bCs/>
          <w:lang w:val="en-GB"/>
        </w:rPr>
        <w:t xml:space="preserve"> </w:t>
      </w:r>
      <w:r w:rsidRPr="00367140">
        <w:rPr>
          <w:lang w:val="en-GB"/>
        </w:rPr>
        <w:t>340-344.</w:t>
      </w:r>
    </w:p>
    <w:p w:rsidR="00E77C30" w:rsidRPr="00367140" w:rsidRDefault="00E77C30" w:rsidP="00C02D98">
      <w:pPr>
        <w:spacing w:before="240" w:line="480" w:lineRule="auto"/>
        <w:jc w:val="both"/>
        <w:rPr>
          <w:lang w:val="en-GB"/>
        </w:rPr>
      </w:pPr>
      <w:r>
        <w:rPr>
          <w:lang w:val="en-GB"/>
        </w:rPr>
        <w:t>[4]</w:t>
      </w:r>
      <w:r w:rsidRPr="00367140">
        <w:rPr>
          <w:lang w:val="en-GB"/>
        </w:rPr>
        <w:t xml:space="preserve">Ben </w:t>
      </w:r>
      <w:r>
        <w:rPr>
          <w:lang w:val="en-GB"/>
        </w:rPr>
        <w:t>Achour Y., Chenik M., Louzir H.,</w:t>
      </w:r>
      <w:r w:rsidRPr="00367140">
        <w:rPr>
          <w:lang w:val="en-GB"/>
        </w:rPr>
        <w:t xml:space="preserve"> </w:t>
      </w:r>
      <w:r>
        <w:rPr>
          <w:lang w:val="en-GB"/>
        </w:rPr>
        <w:t xml:space="preserve">and </w:t>
      </w:r>
      <w:r w:rsidRPr="00367140">
        <w:rPr>
          <w:lang w:val="en-GB"/>
        </w:rPr>
        <w:t>Dellagi K.</w:t>
      </w:r>
      <w:r>
        <w:rPr>
          <w:lang w:val="en-GB"/>
        </w:rPr>
        <w:t>(</w:t>
      </w:r>
      <w:r w:rsidRPr="001A5CE1">
        <w:rPr>
          <w:lang w:val="en-GB"/>
        </w:rPr>
        <w:t xml:space="preserve"> </w:t>
      </w:r>
      <w:r w:rsidRPr="00367140">
        <w:rPr>
          <w:lang w:val="en-GB"/>
        </w:rPr>
        <w:t>2002</w:t>
      </w:r>
      <w:r>
        <w:rPr>
          <w:lang w:val="en-GB"/>
        </w:rPr>
        <w:t>).</w:t>
      </w:r>
      <w:r w:rsidRPr="00367140">
        <w:rPr>
          <w:lang w:val="en-GB"/>
        </w:rPr>
        <w:t xml:space="preserve"> Identification of a disulfide isomerase protein of</w:t>
      </w:r>
      <w:r w:rsidRPr="00367140">
        <w:rPr>
          <w:i/>
          <w:iCs/>
          <w:lang w:val="en-GB"/>
        </w:rPr>
        <w:t xml:space="preserve"> Leishmania major</w:t>
      </w:r>
      <w:r w:rsidRPr="00367140">
        <w:rPr>
          <w:lang w:val="en-GB"/>
        </w:rPr>
        <w:t xml:space="preserve"> as a putative virulence factor. </w:t>
      </w:r>
      <w:r w:rsidRPr="00367140">
        <w:rPr>
          <w:i/>
          <w:iCs/>
          <w:lang w:val="en-GB"/>
        </w:rPr>
        <w:t>Infect. Immun.</w:t>
      </w:r>
      <w:r>
        <w:rPr>
          <w:lang w:val="en-GB"/>
        </w:rPr>
        <w:t>;</w:t>
      </w:r>
      <w:r w:rsidRPr="00367140">
        <w:rPr>
          <w:lang w:val="en-GB"/>
        </w:rPr>
        <w:t xml:space="preserve"> 70</w:t>
      </w:r>
      <w:r>
        <w:rPr>
          <w:lang w:val="en-GB"/>
        </w:rPr>
        <w:t xml:space="preserve">: </w:t>
      </w:r>
      <w:r w:rsidRPr="00367140">
        <w:rPr>
          <w:lang w:val="en-GB"/>
        </w:rPr>
        <w:t>3576-3585.</w:t>
      </w:r>
    </w:p>
    <w:p w:rsidR="00E77C30" w:rsidRPr="00367140" w:rsidRDefault="00E77C30" w:rsidP="00C02D98">
      <w:pPr>
        <w:spacing w:line="480" w:lineRule="auto"/>
        <w:jc w:val="both"/>
        <w:rPr>
          <w:lang w:val="en-GB"/>
        </w:rPr>
      </w:pPr>
      <w:r>
        <w:rPr>
          <w:lang w:val="en-GB"/>
        </w:rPr>
        <w:t>[5]</w:t>
      </w:r>
      <w:r w:rsidRPr="00367140">
        <w:rPr>
          <w:lang w:val="en-GB"/>
        </w:rPr>
        <w:t>Ben Said M., Guerbouj S., S</w:t>
      </w:r>
      <w:r>
        <w:rPr>
          <w:lang w:val="en-GB"/>
        </w:rPr>
        <w:t>aghrouni F., Fathallah-Milli A.,</w:t>
      </w:r>
      <w:r w:rsidRPr="00367140">
        <w:rPr>
          <w:lang w:val="en-GB"/>
        </w:rPr>
        <w:t xml:space="preserve"> Guizani I.</w:t>
      </w:r>
      <w:r>
        <w:rPr>
          <w:lang w:val="en-GB"/>
        </w:rPr>
        <w:t xml:space="preserve"> (</w:t>
      </w:r>
      <w:r w:rsidRPr="001A5CE1">
        <w:rPr>
          <w:lang w:val="en-GB"/>
        </w:rPr>
        <w:t xml:space="preserve"> </w:t>
      </w:r>
      <w:r w:rsidRPr="00367140">
        <w:rPr>
          <w:lang w:val="en-GB"/>
        </w:rPr>
        <w:t>2006</w:t>
      </w:r>
      <w:r>
        <w:rPr>
          <w:lang w:val="en-GB"/>
        </w:rPr>
        <w:t>).</w:t>
      </w:r>
      <w:r w:rsidRPr="00367140">
        <w:rPr>
          <w:lang w:val="en-GB"/>
        </w:rPr>
        <w:t xml:space="preserve"> </w:t>
      </w:r>
      <w:r>
        <w:rPr>
          <w:lang w:val="en-GB"/>
        </w:rPr>
        <w:t xml:space="preserve"> </w:t>
      </w:r>
      <w:r w:rsidRPr="00367140">
        <w:rPr>
          <w:lang w:val="en-GB"/>
        </w:rPr>
        <w:t xml:space="preserve">Occurrence of </w:t>
      </w:r>
      <w:r w:rsidRPr="00367140">
        <w:rPr>
          <w:i/>
          <w:iCs/>
          <w:lang w:val="en-GB"/>
        </w:rPr>
        <w:t>Leishmania infantum</w:t>
      </w:r>
      <w:r w:rsidRPr="00367140">
        <w:rPr>
          <w:lang w:val="en-GB"/>
        </w:rPr>
        <w:t xml:space="preserve"> cutaneous leishmaniasis in central Tunisia. </w:t>
      </w:r>
      <w:r w:rsidRPr="00367140">
        <w:rPr>
          <w:i/>
          <w:iCs/>
          <w:lang w:val="en-GB"/>
        </w:rPr>
        <w:t>Trans. R. Soc. Trop. Med. Hyg.</w:t>
      </w:r>
      <w:r>
        <w:rPr>
          <w:lang w:val="en-GB"/>
        </w:rPr>
        <w:t>;</w:t>
      </w:r>
      <w:r w:rsidRPr="00367140">
        <w:rPr>
          <w:lang w:val="en-GB"/>
        </w:rPr>
        <w:t xml:space="preserve"> </w:t>
      </w:r>
      <w:r w:rsidRPr="001A5CE1">
        <w:rPr>
          <w:b/>
          <w:bCs/>
          <w:lang w:val="en-GB"/>
        </w:rPr>
        <w:t>100</w:t>
      </w:r>
      <w:r>
        <w:rPr>
          <w:lang w:val="en-GB"/>
        </w:rPr>
        <w:t xml:space="preserve">: </w:t>
      </w:r>
      <w:r w:rsidRPr="00367140">
        <w:rPr>
          <w:lang w:val="en-GB"/>
        </w:rPr>
        <w:t>521-526.</w:t>
      </w:r>
    </w:p>
    <w:p w:rsidR="00E77C30" w:rsidRPr="00367140" w:rsidRDefault="00E77C30" w:rsidP="00C02D98">
      <w:pPr>
        <w:spacing w:line="480" w:lineRule="auto"/>
        <w:jc w:val="both"/>
        <w:rPr>
          <w:lang w:val="en-GB"/>
        </w:rPr>
      </w:pPr>
      <w:r>
        <w:rPr>
          <w:lang w:val="en-GB"/>
        </w:rPr>
        <w:t>[6]</w:t>
      </w:r>
      <w:r w:rsidRPr="00367140">
        <w:rPr>
          <w:lang w:val="en-GB"/>
        </w:rPr>
        <w:t>Carver T.J., Rutherford K.M., Berriman M.</w:t>
      </w:r>
      <w:r>
        <w:rPr>
          <w:lang w:val="en-GB"/>
        </w:rPr>
        <w:t>, Rajandream M.A., Barrell B.G.,</w:t>
      </w:r>
      <w:r w:rsidRPr="00367140">
        <w:rPr>
          <w:lang w:val="en-GB"/>
        </w:rPr>
        <w:t xml:space="preserve"> Parkhill J.</w:t>
      </w:r>
      <w:r>
        <w:rPr>
          <w:lang w:val="en-GB"/>
        </w:rPr>
        <w:t xml:space="preserve"> (</w:t>
      </w:r>
      <w:r w:rsidRPr="00367140">
        <w:rPr>
          <w:lang w:val="en-GB"/>
        </w:rPr>
        <w:t>2005</w:t>
      </w:r>
      <w:r>
        <w:rPr>
          <w:lang w:val="en-GB"/>
        </w:rPr>
        <w:t>).</w:t>
      </w:r>
      <w:r w:rsidRPr="00367140">
        <w:rPr>
          <w:lang w:val="en-GB"/>
        </w:rPr>
        <w:t xml:space="preserve">ACT: the Artemis Comparison Tool. </w:t>
      </w:r>
      <w:r w:rsidRPr="00367140">
        <w:rPr>
          <w:i/>
          <w:iCs/>
          <w:lang w:val="en-GB"/>
        </w:rPr>
        <w:t>Bioinformatics</w:t>
      </w:r>
      <w:r>
        <w:rPr>
          <w:lang w:val="en-GB"/>
        </w:rPr>
        <w:t>;</w:t>
      </w:r>
      <w:r w:rsidRPr="00367140">
        <w:rPr>
          <w:lang w:val="en-GB"/>
        </w:rPr>
        <w:t xml:space="preserve"> </w:t>
      </w:r>
      <w:r w:rsidRPr="001A5CE1">
        <w:rPr>
          <w:b/>
          <w:bCs/>
          <w:lang w:val="en-GB"/>
        </w:rPr>
        <w:t>21</w:t>
      </w:r>
      <w:r>
        <w:rPr>
          <w:lang w:val="en-GB"/>
        </w:rPr>
        <w:t xml:space="preserve">: </w:t>
      </w:r>
      <w:r w:rsidRPr="00367140">
        <w:rPr>
          <w:lang w:val="en-GB"/>
        </w:rPr>
        <w:t>3422-3423.</w:t>
      </w:r>
    </w:p>
    <w:p w:rsidR="00E77C30" w:rsidRPr="00367140" w:rsidRDefault="00E77C30" w:rsidP="00C02D98">
      <w:pPr>
        <w:spacing w:line="480" w:lineRule="auto"/>
        <w:jc w:val="both"/>
        <w:rPr>
          <w:lang w:val="en-GB"/>
        </w:rPr>
      </w:pPr>
      <w:r>
        <w:rPr>
          <w:lang w:val="en-GB"/>
        </w:rPr>
        <w:t>[7]</w:t>
      </w:r>
      <w:r w:rsidRPr="00367140">
        <w:rPr>
          <w:lang w:val="en-GB"/>
        </w:rPr>
        <w:t>Casanova M., Portales P., Bl</w:t>
      </w:r>
      <w:r>
        <w:rPr>
          <w:lang w:val="en-GB"/>
        </w:rPr>
        <w:t xml:space="preserve">aineau C., Crobu L., Bastien P., </w:t>
      </w:r>
      <w:r w:rsidRPr="00367140">
        <w:rPr>
          <w:lang w:val="en-GB"/>
        </w:rPr>
        <w:t xml:space="preserve">Pages M. </w:t>
      </w:r>
      <w:r>
        <w:rPr>
          <w:lang w:val="en-GB"/>
        </w:rPr>
        <w:t>(</w:t>
      </w:r>
      <w:r w:rsidRPr="00367140">
        <w:rPr>
          <w:lang w:val="en-GB"/>
        </w:rPr>
        <w:t>2008</w:t>
      </w:r>
      <w:r>
        <w:rPr>
          <w:lang w:val="en-GB"/>
        </w:rPr>
        <w:t>).</w:t>
      </w:r>
      <w:r w:rsidRPr="00367140">
        <w:rPr>
          <w:lang w:val="en-GB"/>
        </w:rPr>
        <w:t xml:space="preserve">Inhibition of active nuclear transport is an intrinsic trigger of programmed cell death in trypanosomatids. </w:t>
      </w:r>
      <w:r w:rsidRPr="00367140">
        <w:rPr>
          <w:i/>
          <w:iCs/>
          <w:lang w:val="en-GB"/>
        </w:rPr>
        <w:t>Cell Death Differ.</w:t>
      </w:r>
      <w:r>
        <w:rPr>
          <w:lang w:val="en-GB"/>
        </w:rPr>
        <w:t xml:space="preserve">; </w:t>
      </w:r>
      <w:r w:rsidRPr="001A5CE1">
        <w:rPr>
          <w:b/>
          <w:bCs/>
          <w:lang w:val="en-GB"/>
        </w:rPr>
        <w:t>15</w:t>
      </w:r>
      <w:r>
        <w:rPr>
          <w:lang w:val="en-GB"/>
        </w:rPr>
        <w:t xml:space="preserve">: </w:t>
      </w:r>
      <w:r w:rsidRPr="00367140">
        <w:rPr>
          <w:lang w:val="en-GB"/>
        </w:rPr>
        <w:t>1910-1920.</w:t>
      </w:r>
    </w:p>
    <w:p w:rsidR="00E77C30" w:rsidRPr="00367140" w:rsidRDefault="00E77C30" w:rsidP="00C02D98">
      <w:pPr>
        <w:spacing w:line="480" w:lineRule="auto"/>
        <w:jc w:val="both"/>
        <w:rPr>
          <w:lang w:val="en-GB"/>
        </w:rPr>
      </w:pPr>
      <w:r>
        <w:rPr>
          <w:lang w:val="en-GB"/>
        </w:rPr>
        <w:t>[8]</w:t>
      </w:r>
      <w:r w:rsidRPr="00367140">
        <w:rPr>
          <w:lang w:val="en-GB"/>
        </w:rPr>
        <w:t>Chappuis F., Sundar S., Hailu A., Ghalib H., R</w:t>
      </w:r>
      <w:r>
        <w:rPr>
          <w:lang w:val="en-GB"/>
        </w:rPr>
        <w:t>ijal S., Peeling R.W., Alvar J., and</w:t>
      </w:r>
      <w:r w:rsidRPr="00367140">
        <w:rPr>
          <w:lang w:val="en-GB"/>
        </w:rPr>
        <w:t xml:space="preserve"> Boelaert M.</w:t>
      </w:r>
      <w:r>
        <w:rPr>
          <w:lang w:val="en-GB"/>
        </w:rPr>
        <w:t>(</w:t>
      </w:r>
      <w:r w:rsidRPr="00367140">
        <w:rPr>
          <w:b/>
          <w:bCs/>
          <w:lang w:val="en-GB"/>
        </w:rPr>
        <w:t xml:space="preserve"> </w:t>
      </w:r>
      <w:r w:rsidRPr="00367140">
        <w:rPr>
          <w:lang w:val="en-GB"/>
        </w:rPr>
        <w:t>2007</w:t>
      </w:r>
      <w:r>
        <w:rPr>
          <w:lang w:val="en-GB"/>
        </w:rPr>
        <w:t>).</w:t>
      </w:r>
      <w:r w:rsidRPr="00367140">
        <w:rPr>
          <w:lang w:val="en-GB"/>
        </w:rPr>
        <w:t xml:space="preserve"> Visceral leishmaniasis: what are the needs for diagnosis, treatment and control?</w:t>
      </w:r>
      <w:r>
        <w:rPr>
          <w:i/>
          <w:iCs/>
          <w:lang w:val="en-GB"/>
        </w:rPr>
        <w:t xml:space="preserve"> </w:t>
      </w:r>
      <w:r w:rsidRPr="00367140">
        <w:rPr>
          <w:i/>
          <w:iCs/>
          <w:lang w:val="en-GB"/>
        </w:rPr>
        <w:t>Nat. Rev. Microbiol</w:t>
      </w:r>
      <w:r w:rsidRPr="00367140">
        <w:rPr>
          <w:lang w:val="en-GB"/>
        </w:rPr>
        <w:t>.</w:t>
      </w:r>
      <w:r>
        <w:rPr>
          <w:lang w:val="en-GB"/>
        </w:rPr>
        <w:t xml:space="preserve">; </w:t>
      </w:r>
      <w:r w:rsidRPr="00367140">
        <w:rPr>
          <w:lang w:val="en-GB"/>
        </w:rPr>
        <w:t>5873-882.</w:t>
      </w:r>
    </w:p>
    <w:p w:rsidR="00E77C30" w:rsidRPr="00367140" w:rsidRDefault="00E77C30" w:rsidP="00C02D98">
      <w:pPr>
        <w:spacing w:line="480" w:lineRule="auto"/>
        <w:jc w:val="both"/>
        <w:rPr>
          <w:lang w:val="en-GB"/>
        </w:rPr>
      </w:pPr>
      <w:r>
        <w:rPr>
          <w:lang w:val="en-GB"/>
        </w:rPr>
        <w:t xml:space="preserve">[9]Chang K.P.,  and </w:t>
      </w:r>
      <w:r w:rsidRPr="00367140">
        <w:rPr>
          <w:lang w:val="en-GB"/>
        </w:rPr>
        <w:t>McGwire B.S.</w:t>
      </w:r>
      <w:r>
        <w:rPr>
          <w:lang w:val="en-GB"/>
        </w:rPr>
        <w:t>(</w:t>
      </w:r>
      <w:r w:rsidRPr="00FD774F">
        <w:rPr>
          <w:lang w:val="en-GB"/>
        </w:rPr>
        <w:t xml:space="preserve"> </w:t>
      </w:r>
      <w:r w:rsidRPr="00367140">
        <w:rPr>
          <w:lang w:val="en-GB"/>
        </w:rPr>
        <w:t>2002</w:t>
      </w:r>
      <w:r>
        <w:rPr>
          <w:lang w:val="en-GB"/>
        </w:rPr>
        <w:t>)</w:t>
      </w:r>
      <w:r w:rsidRPr="00367140">
        <w:rPr>
          <w:lang w:val="en-GB"/>
        </w:rPr>
        <w:t xml:space="preserve"> Molecular determinants and regulation of </w:t>
      </w:r>
      <w:r w:rsidRPr="00367140">
        <w:rPr>
          <w:i/>
          <w:iCs/>
          <w:lang w:val="en-GB"/>
        </w:rPr>
        <w:t xml:space="preserve">Leishmania </w:t>
      </w:r>
      <w:r w:rsidRPr="00367140">
        <w:rPr>
          <w:lang w:val="en-GB"/>
        </w:rPr>
        <w:t xml:space="preserve">virulence. </w:t>
      </w:r>
      <w:r w:rsidRPr="00367140">
        <w:rPr>
          <w:i/>
          <w:iCs/>
          <w:lang w:val="en-GB"/>
        </w:rPr>
        <w:t>Kinetoplastid Biol. Dis.</w:t>
      </w:r>
      <w:r>
        <w:rPr>
          <w:lang w:val="en-GB"/>
        </w:rPr>
        <w:t>;</w:t>
      </w:r>
      <w:r w:rsidRPr="00367140">
        <w:rPr>
          <w:lang w:val="en-GB"/>
        </w:rPr>
        <w:t xml:space="preserve"> 1.</w:t>
      </w:r>
    </w:p>
    <w:p w:rsidR="00E77C30" w:rsidRPr="00367140" w:rsidRDefault="00E77C30" w:rsidP="00C02D98">
      <w:pPr>
        <w:spacing w:line="480" w:lineRule="auto"/>
        <w:jc w:val="both"/>
        <w:rPr>
          <w:lang w:val="en-GB"/>
        </w:rPr>
      </w:pPr>
      <w:r>
        <w:rPr>
          <w:lang w:val="en-GB"/>
        </w:rPr>
        <w:t>[10]</w:t>
      </w:r>
      <w:r w:rsidRPr="00367140">
        <w:rPr>
          <w:lang w:val="en-GB"/>
        </w:rPr>
        <w:t>Chenik M., Lakhal S., Ben</w:t>
      </w:r>
      <w:r>
        <w:rPr>
          <w:lang w:val="en-GB"/>
        </w:rPr>
        <w:t xml:space="preserve"> Khalef N., Zribi L., Louzir H.,</w:t>
      </w:r>
      <w:r w:rsidRPr="00367140">
        <w:rPr>
          <w:lang w:val="en-GB"/>
        </w:rPr>
        <w:t xml:space="preserve"> </w:t>
      </w:r>
      <w:r>
        <w:rPr>
          <w:lang w:val="en-GB"/>
        </w:rPr>
        <w:t xml:space="preserve"> and </w:t>
      </w:r>
      <w:r w:rsidRPr="00367140">
        <w:rPr>
          <w:lang w:val="en-GB"/>
        </w:rPr>
        <w:t>Dellagi K.</w:t>
      </w:r>
      <w:r>
        <w:rPr>
          <w:lang w:val="en-GB"/>
        </w:rPr>
        <w:t>(</w:t>
      </w:r>
      <w:r w:rsidRPr="00FD774F">
        <w:rPr>
          <w:lang w:val="en-GB"/>
        </w:rPr>
        <w:t xml:space="preserve"> </w:t>
      </w:r>
      <w:r w:rsidRPr="00367140">
        <w:rPr>
          <w:lang w:val="en-GB"/>
        </w:rPr>
        <w:t>2006</w:t>
      </w:r>
      <w:r>
        <w:rPr>
          <w:lang w:val="en-GB"/>
        </w:rPr>
        <w:t>).</w:t>
      </w:r>
      <w:r w:rsidRPr="00367140">
        <w:rPr>
          <w:lang w:val="en-GB"/>
        </w:rPr>
        <w:t xml:space="preserve"> Approaches for the identification of potential excreted/secreted proteins of </w:t>
      </w:r>
      <w:r w:rsidRPr="00367140">
        <w:rPr>
          <w:i/>
          <w:iCs/>
          <w:lang w:val="en-GB"/>
        </w:rPr>
        <w:t>Leishmania major</w:t>
      </w:r>
      <w:r w:rsidRPr="00367140">
        <w:rPr>
          <w:lang w:val="en-GB"/>
        </w:rPr>
        <w:t xml:space="preserve"> parasites. </w:t>
      </w:r>
      <w:r w:rsidRPr="00367140">
        <w:rPr>
          <w:i/>
          <w:iCs/>
          <w:lang w:val="en-GB"/>
        </w:rPr>
        <w:t>Parasitology</w:t>
      </w:r>
      <w:r>
        <w:rPr>
          <w:lang w:val="en-GB"/>
        </w:rPr>
        <w:t>;</w:t>
      </w:r>
      <w:r w:rsidRPr="00367140">
        <w:rPr>
          <w:lang w:val="en-GB"/>
        </w:rPr>
        <w:t xml:space="preserve"> </w:t>
      </w:r>
      <w:r w:rsidRPr="00FD774F">
        <w:rPr>
          <w:b/>
          <w:bCs/>
          <w:lang w:val="en-GB"/>
        </w:rPr>
        <w:t>132</w:t>
      </w:r>
      <w:r>
        <w:rPr>
          <w:lang w:val="en-GB"/>
        </w:rPr>
        <w:t xml:space="preserve">: </w:t>
      </w:r>
      <w:r w:rsidRPr="00367140">
        <w:rPr>
          <w:lang w:val="en-GB"/>
        </w:rPr>
        <w:t>493-509.</w:t>
      </w:r>
    </w:p>
    <w:p w:rsidR="00E77C30" w:rsidRPr="00367140" w:rsidRDefault="00E77C30" w:rsidP="00C02D98">
      <w:pPr>
        <w:spacing w:line="480" w:lineRule="auto"/>
        <w:jc w:val="both"/>
        <w:rPr>
          <w:lang w:val="en-GB"/>
        </w:rPr>
      </w:pPr>
      <w:r>
        <w:rPr>
          <w:lang w:val="en-GB"/>
        </w:rPr>
        <w:t>[12]</w:t>
      </w:r>
      <w:r w:rsidRPr="00367140">
        <w:rPr>
          <w:lang w:val="en-GB"/>
        </w:rPr>
        <w:t xml:space="preserve">Cohen-Freue G., </w:t>
      </w:r>
      <w:r>
        <w:rPr>
          <w:lang w:val="en-GB"/>
        </w:rPr>
        <w:t>Holzer T.R., Forney J.D., and</w:t>
      </w:r>
      <w:r w:rsidRPr="00367140">
        <w:rPr>
          <w:lang w:val="en-GB"/>
        </w:rPr>
        <w:t xml:space="preserve"> McMaster W.R.</w:t>
      </w:r>
      <w:r>
        <w:rPr>
          <w:lang w:val="en-GB"/>
        </w:rPr>
        <w:t>(</w:t>
      </w:r>
      <w:r w:rsidRPr="00FD774F">
        <w:rPr>
          <w:lang w:val="en-GB"/>
        </w:rPr>
        <w:t xml:space="preserve"> </w:t>
      </w:r>
      <w:r w:rsidRPr="00367140">
        <w:rPr>
          <w:lang w:val="en-GB"/>
        </w:rPr>
        <w:t>2007</w:t>
      </w:r>
      <w:r>
        <w:rPr>
          <w:lang w:val="en-GB"/>
        </w:rPr>
        <w:t>)</w:t>
      </w:r>
      <w:r w:rsidRPr="00367140">
        <w:rPr>
          <w:lang w:val="en-GB"/>
        </w:rPr>
        <w:t xml:space="preserve"> Global gene expression in </w:t>
      </w:r>
      <w:r w:rsidRPr="00367140">
        <w:rPr>
          <w:i/>
          <w:iCs/>
          <w:lang w:val="en-GB"/>
        </w:rPr>
        <w:t>Leishmania</w:t>
      </w:r>
      <w:r w:rsidRPr="00367140">
        <w:rPr>
          <w:lang w:val="en-GB"/>
        </w:rPr>
        <w:t xml:space="preserve">. </w:t>
      </w:r>
      <w:r w:rsidRPr="00367140">
        <w:rPr>
          <w:i/>
          <w:iCs/>
          <w:lang w:val="en-GB"/>
        </w:rPr>
        <w:t>Int. J. Parasitol.</w:t>
      </w:r>
      <w:r>
        <w:rPr>
          <w:lang w:val="en-GB"/>
        </w:rPr>
        <w:t>;</w:t>
      </w:r>
      <w:r w:rsidRPr="00367140">
        <w:rPr>
          <w:lang w:val="en-GB"/>
        </w:rPr>
        <w:t xml:space="preserve"> </w:t>
      </w:r>
      <w:r w:rsidRPr="00FD774F">
        <w:rPr>
          <w:b/>
          <w:bCs/>
          <w:lang w:val="en-GB"/>
        </w:rPr>
        <w:t>37</w:t>
      </w:r>
      <w:r>
        <w:rPr>
          <w:lang w:val="en-GB"/>
        </w:rPr>
        <w:t xml:space="preserve">: </w:t>
      </w:r>
      <w:r w:rsidRPr="00367140">
        <w:rPr>
          <w:lang w:val="en-GB"/>
        </w:rPr>
        <w:t>1077-1086.</w:t>
      </w:r>
    </w:p>
    <w:p w:rsidR="00E77C30" w:rsidRPr="00ED21F0" w:rsidRDefault="00E77C30" w:rsidP="00C02D98">
      <w:pPr>
        <w:spacing w:line="480" w:lineRule="auto"/>
        <w:jc w:val="both"/>
        <w:rPr>
          <w:lang w:val="en-GB"/>
        </w:rPr>
      </w:pPr>
      <w:r>
        <w:rPr>
          <w:lang w:val="en-GB"/>
        </w:rPr>
        <w:t>[13]</w:t>
      </w:r>
      <w:r w:rsidRPr="004F4822">
        <w:rPr>
          <w:lang w:val="en-GB"/>
        </w:rPr>
        <w:t xml:space="preserve">Gagnon D., Foucher A., Girard I., </w:t>
      </w:r>
      <w:r>
        <w:rPr>
          <w:lang w:val="en-GB"/>
        </w:rPr>
        <w:t xml:space="preserve">and </w:t>
      </w:r>
      <w:r w:rsidRPr="00367140">
        <w:rPr>
          <w:lang w:val="en-GB"/>
        </w:rPr>
        <w:t xml:space="preserve">Ouellette M. </w:t>
      </w:r>
      <w:r>
        <w:rPr>
          <w:lang w:val="en-GB"/>
        </w:rPr>
        <w:t>(</w:t>
      </w:r>
      <w:r w:rsidRPr="00ED21F0">
        <w:rPr>
          <w:lang w:val="en-GB"/>
        </w:rPr>
        <w:t>2006</w:t>
      </w:r>
      <w:r>
        <w:rPr>
          <w:lang w:val="en-GB"/>
        </w:rPr>
        <w:t>).</w:t>
      </w:r>
      <w:r w:rsidRPr="00367140">
        <w:rPr>
          <w:lang w:val="en-GB"/>
        </w:rPr>
        <w:t xml:space="preserve">Stage specific gene expression and cellular localization of two isoforms of the serine hydroxymethyltransferase in the protozoan parasite </w:t>
      </w:r>
      <w:r w:rsidRPr="00367140">
        <w:rPr>
          <w:i/>
          <w:iCs/>
          <w:lang w:val="en-GB"/>
        </w:rPr>
        <w:t>Leishmania</w:t>
      </w:r>
      <w:r w:rsidRPr="00367140">
        <w:rPr>
          <w:lang w:val="en-GB"/>
        </w:rPr>
        <w:t xml:space="preserve">. </w:t>
      </w:r>
      <w:r w:rsidRPr="00367140">
        <w:rPr>
          <w:i/>
          <w:iCs/>
          <w:lang w:val="pt-BR"/>
        </w:rPr>
        <w:t xml:space="preserve">Mol. Biochem. </w:t>
      </w:r>
      <w:r w:rsidRPr="00ED21F0">
        <w:rPr>
          <w:i/>
          <w:iCs/>
          <w:lang w:val="en-GB"/>
        </w:rPr>
        <w:t>Parasitol.</w:t>
      </w:r>
      <w:r w:rsidRPr="00ED21F0">
        <w:rPr>
          <w:lang w:val="en-GB"/>
        </w:rPr>
        <w:t xml:space="preserve">; </w:t>
      </w:r>
      <w:r w:rsidRPr="00FD774F">
        <w:rPr>
          <w:b/>
          <w:bCs/>
          <w:lang w:val="en-GB"/>
        </w:rPr>
        <w:t>150</w:t>
      </w:r>
      <w:r w:rsidRPr="00ED21F0">
        <w:rPr>
          <w:lang w:val="en-GB"/>
        </w:rPr>
        <w:t>: 63-71.</w:t>
      </w:r>
    </w:p>
    <w:p w:rsidR="00E77C30" w:rsidRPr="00367140" w:rsidRDefault="00E77C30" w:rsidP="00C02D98">
      <w:pPr>
        <w:spacing w:before="240" w:line="480" w:lineRule="auto"/>
        <w:jc w:val="both"/>
        <w:rPr>
          <w:lang w:val="en-GB"/>
        </w:rPr>
      </w:pPr>
      <w:r>
        <w:rPr>
          <w:lang w:val="en-GB"/>
        </w:rPr>
        <w:t>[14]</w:t>
      </w:r>
      <w:r w:rsidRPr="00ED21F0">
        <w:rPr>
          <w:lang w:val="en-GB"/>
        </w:rPr>
        <w:t xml:space="preserve">Gamboa D., Van Eys G., Victoir K., </w:t>
      </w:r>
      <w:r>
        <w:rPr>
          <w:lang w:val="en-GB"/>
        </w:rPr>
        <w:t xml:space="preserve">Torres K., Adaui V., Arevalo J., and </w:t>
      </w:r>
      <w:r w:rsidRPr="00ED21F0">
        <w:rPr>
          <w:lang w:val="en-GB"/>
        </w:rPr>
        <w:t xml:space="preserve"> </w:t>
      </w:r>
      <w:r w:rsidRPr="00367140">
        <w:rPr>
          <w:lang w:val="en-GB"/>
        </w:rPr>
        <w:t>Dujardin J.C.</w:t>
      </w:r>
      <w:r>
        <w:rPr>
          <w:lang w:val="en-GB"/>
        </w:rPr>
        <w:t>(</w:t>
      </w:r>
      <w:r w:rsidRPr="00FD774F">
        <w:rPr>
          <w:lang w:val="en-GB"/>
        </w:rPr>
        <w:t xml:space="preserve"> </w:t>
      </w:r>
      <w:r w:rsidRPr="00367140">
        <w:rPr>
          <w:lang w:val="en-GB"/>
        </w:rPr>
        <w:t>2007</w:t>
      </w:r>
      <w:r>
        <w:rPr>
          <w:lang w:val="en-GB"/>
        </w:rPr>
        <w:t>).</w:t>
      </w:r>
      <w:r w:rsidRPr="00367140">
        <w:rPr>
          <w:lang w:val="en-GB"/>
        </w:rPr>
        <w:t xml:space="preserve"> Putative markers of infective life stages in </w:t>
      </w:r>
      <w:r w:rsidRPr="00367140">
        <w:rPr>
          <w:i/>
          <w:iCs/>
          <w:lang w:val="en-GB"/>
        </w:rPr>
        <w:t>Leishmania (Viannia) braziliensis</w:t>
      </w:r>
      <w:r w:rsidRPr="00367140">
        <w:rPr>
          <w:lang w:val="en-GB"/>
        </w:rPr>
        <w:t xml:space="preserve">. </w:t>
      </w:r>
      <w:r w:rsidRPr="00367140">
        <w:rPr>
          <w:i/>
          <w:iCs/>
          <w:lang w:val="en-GB"/>
        </w:rPr>
        <w:t>Parasitology</w:t>
      </w:r>
      <w:r>
        <w:rPr>
          <w:lang w:val="en-GB"/>
        </w:rPr>
        <w:t xml:space="preserve">; </w:t>
      </w:r>
      <w:r w:rsidRPr="00FD774F">
        <w:rPr>
          <w:b/>
          <w:bCs/>
          <w:lang w:val="en-GB"/>
        </w:rPr>
        <w:t>134</w:t>
      </w:r>
      <w:r>
        <w:rPr>
          <w:lang w:val="en-GB"/>
        </w:rPr>
        <w:t xml:space="preserve">: </w:t>
      </w:r>
      <w:r w:rsidRPr="00367140">
        <w:rPr>
          <w:lang w:val="en-GB"/>
        </w:rPr>
        <w:t>1689-1698.</w:t>
      </w:r>
    </w:p>
    <w:p w:rsidR="00E77C30" w:rsidRPr="00367140" w:rsidRDefault="00E77C30" w:rsidP="00C02D98">
      <w:pPr>
        <w:spacing w:line="480" w:lineRule="auto"/>
        <w:jc w:val="both"/>
        <w:rPr>
          <w:lang w:val="en-GB"/>
        </w:rPr>
      </w:pPr>
      <w:r>
        <w:rPr>
          <w:lang w:val="en-GB"/>
        </w:rPr>
        <w:t>[15]Haile S.,and</w:t>
      </w:r>
      <w:r w:rsidRPr="00367140">
        <w:rPr>
          <w:lang w:val="en-GB"/>
        </w:rPr>
        <w:t xml:space="preserve"> Papadopoulou B.</w:t>
      </w:r>
      <w:r>
        <w:rPr>
          <w:lang w:val="en-GB"/>
        </w:rPr>
        <w:t>(</w:t>
      </w:r>
      <w:r w:rsidRPr="00FD774F">
        <w:rPr>
          <w:lang w:val="en-GB"/>
        </w:rPr>
        <w:t xml:space="preserve"> </w:t>
      </w:r>
      <w:r w:rsidRPr="00367140">
        <w:rPr>
          <w:lang w:val="en-GB"/>
        </w:rPr>
        <w:t xml:space="preserve">2007 Developmental regulation of gene expression in trypanosomatid parasitic protozoa. </w:t>
      </w:r>
      <w:r w:rsidRPr="00367140">
        <w:rPr>
          <w:i/>
          <w:iCs/>
          <w:lang w:val="en-GB"/>
        </w:rPr>
        <w:t>Curr. Opin. Microbiol.</w:t>
      </w:r>
      <w:r>
        <w:rPr>
          <w:lang w:val="en-GB"/>
        </w:rPr>
        <w:t>;</w:t>
      </w:r>
      <w:r w:rsidRPr="00367140">
        <w:rPr>
          <w:lang w:val="en-GB"/>
        </w:rPr>
        <w:t xml:space="preserve"> 10</w:t>
      </w:r>
      <w:r>
        <w:rPr>
          <w:b/>
          <w:bCs/>
          <w:lang w:val="en-GB"/>
        </w:rPr>
        <w:t xml:space="preserve">: </w:t>
      </w:r>
      <w:r w:rsidRPr="00367140">
        <w:rPr>
          <w:lang w:val="en-GB"/>
        </w:rPr>
        <w:t>569-577.</w:t>
      </w:r>
    </w:p>
    <w:p w:rsidR="00E77C30" w:rsidRPr="00367140" w:rsidRDefault="00E77C30" w:rsidP="00C02D98">
      <w:pPr>
        <w:spacing w:line="480" w:lineRule="auto"/>
        <w:jc w:val="both"/>
        <w:rPr>
          <w:lang w:val="en-GB"/>
        </w:rPr>
      </w:pPr>
      <w:r>
        <w:rPr>
          <w:lang w:val="en-GB"/>
        </w:rPr>
        <w:t>[16]</w:t>
      </w:r>
      <w:r w:rsidRPr="00367140">
        <w:rPr>
          <w:lang w:val="en-GB"/>
        </w:rPr>
        <w:t>Heid C.A.</w:t>
      </w:r>
      <w:r>
        <w:rPr>
          <w:lang w:val="en-GB"/>
        </w:rPr>
        <w:t xml:space="preserve">, Stevens J., Livak K.J., </w:t>
      </w:r>
      <w:r w:rsidRPr="00367140">
        <w:rPr>
          <w:lang w:val="en-GB"/>
        </w:rPr>
        <w:t xml:space="preserve">Williams P.M. Real time quantitative PCR. </w:t>
      </w:r>
      <w:r w:rsidRPr="00367140">
        <w:rPr>
          <w:i/>
          <w:iCs/>
          <w:lang w:val="en-GB"/>
        </w:rPr>
        <w:t>Genome Res.</w:t>
      </w:r>
      <w:r w:rsidRPr="00367140">
        <w:rPr>
          <w:lang w:val="en-GB"/>
        </w:rPr>
        <w:t xml:space="preserve"> 1996</w:t>
      </w:r>
      <w:r>
        <w:rPr>
          <w:lang w:val="en-GB"/>
        </w:rPr>
        <w:t>;</w:t>
      </w:r>
      <w:r w:rsidRPr="00367140">
        <w:rPr>
          <w:lang w:val="en-GB"/>
        </w:rPr>
        <w:t xml:space="preserve"> 6</w:t>
      </w:r>
      <w:r>
        <w:rPr>
          <w:b/>
          <w:bCs/>
          <w:lang w:val="en-GB"/>
        </w:rPr>
        <w:t>:</w:t>
      </w:r>
      <w:r w:rsidRPr="00367140">
        <w:rPr>
          <w:b/>
          <w:bCs/>
          <w:lang w:val="en-GB"/>
        </w:rPr>
        <w:t xml:space="preserve"> </w:t>
      </w:r>
      <w:r w:rsidRPr="00367140">
        <w:rPr>
          <w:lang w:val="en-GB"/>
        </w:rPr>
        <w:t>986-994.</w:t>
      </w:r>
    </w:p>
    <w:p w:rsidR="00E77C30" w:rsidRPr="00741B7E" w:rsidRDefault="00E77C30" w:rsidP="00C02D98">
      <w:pPr>
        <w:spacing w:line="480" w:lineRule="auto"/>
        <w:jc w:val="both"/>
        <w:rPr>
          <w:lang w:val="en-GB"/>
        </w:rPr>
      </w:pPr>
      <w:r>
        <w:rPr>
          <w:lang w:val="en-GB"/>
        </w:rPr>
        <w:t>[17]</w:t>
      </w:r>
      <w:r w:rsidRPr="00741B7E">
        <w:rPr>
          <w:lang w:val="en-GB"/>
        </w:rPr>
        <w:fldChar w:fldCharType="begin"/>
      </w:r>
      <w:r w:rsidRPr="00741B7E">
        <w:rPr>
          <w:lang w:val="en-GB"/>
        </w:rPr>
        <w:instrText xml:space="preserve"> ADDIN EN.REFLIST </w:instrText>
      </w:r>
      <w:r w:rsidRPr="00741B7E">
        <w:rPr>
          <w:lang w:val="en-GB"/>
        </w:rPr>
        <w:fldChar w:fldCharType="separate"/>
      </w:r>
      <w:r w:rsidRPr="00741B7E">
        <w:rPr>
          <w:lang w:val="en-GB"/>
        </w:rPr>
        <w:t>Herwaldt B.L.</w:t>
      </w:r>
      <w:r>
        <w:rPr>
          <w:lang w:val="en-GB"/>
        </w:rPr>
        <w:t>(</w:t>
      </w:r>
      <w:r w:rsidRPr="00FD774F">
        <w:rPr>
          <w:lang w:val="en-GB"/>
        </w:rPr>
        <w:t xml:space="preserve"> </w:t>
      </w:r>
      <w:r w:rsidRPr="00741B7E">
        <w:rPr>
          <w:lang w:val="en-GB"/>
        </w:rPr>
        <w:t>1999</w:t>
      </w:r>
      <w:r>
        <w:rPr>
          <w:lang w:val="en-GB"/>
        </w:rPr>
        <w:t>).</w:t>
      </w:r>
      <w:r w:rsidRPr="00741B7E">
        <w:rPr>
          <w:lang w:val="en-GB"/>
        </w:rPr>
        <w:t xml:space="preserve"> Leishmaniasis. </w:t>
      </w:r>
      <w:r w:rsidRPr="00741B7E">
        <w:rPr>
          <w:i/>
          <w:iCs/>
          <w:lang w:val="en-GB"/>
        </w:rPr>
        <w:t>Lancet</w:t>
      </w:r>
      <w:r w:rsidRPr="00741B7E">
        <w:rPr>
          <w:lang w:val="en-GB"/>
        </w:rPr>
        <w:t xml:space="preserve">; </w:t>
      </w:r>
      <w:r w:rsidRPr="00FD774F">
        <w:rPr>
          <w:b/>
          <w:bCs/>
          <w:lang w:val="en-GB"/>
        </w:rPr>
        <w:t>354</w:t>
      </w:r>
      <w:r w:rsidRPr="00741B7E">
        <w:rPr>
          <w:b/>
          <w:bCs/>
          <w:lang w:val="en-GB"/>
        </w:rPr>
        <w:t xml:space="preserve">: </w:t>
      </w:r>
      <w:r w:rsidRPr="00741B7E">
        <w:rPr>
          <w:lang w:val="en-GB"/>
        </w:rPr>
        <w:t>1191-1199.</w:t>
      </w:r>
    </w:p>
    <w:p w:rsidR="00E77C30" w:rsidRPr="00741B7E" w:rsidRDefault="00E77C30" w:rsidP="00C02D98">
      <w:pPr>
        <w:spacing w:line="480" w:lineRule="auto"/>
        <w:jc w:val="both"/>
        <w:rPr>
          <w:lang w:val="en-GB"/>
        </w:rPr>
      </w:pPr>
      <w:r>
        <w:rPr>
          <w:lang w:val="en-GB"/>
        </w:rPr>
        <w:t>[18]</w:t>
      </w:r>
      <w:r w:rsidRPr="00741B7E">
        <w:rPr>
          <w:lang w:val="en-GB"/>
        </w:rPr>
        <w:t xml:space="preserve">Leifso K., Cohen-Freue G., Dogra N., Murray A., McMaster W.R. </w:t>
      </w:r>
      <w:r>
        <w:rPr>
          <w:lang w:val="en-GB"/>
        </w:rPr>
        <w:t>(</w:t>
      </w:r>
      <w:r w:rsidRPr="00741B7E">
        <w:rPr>
          <w:lang w:val="en-GB"/>
        </w:rPr>
        <w:t>2007</w:t>
      </w:r>
      <w:r>
        <w:rPr>
          <w:lang w:val="en-GB"/>
        </w:rPr>
        <w:t>).</w:t>
      </w:r>
      <w:r w:rsidRPr="00741B7E">
        <w:rPr>
          <w:lang w:val="en-GB"/>
        </w:rPr>
        <w:t xml:space="preserve">Genomic and proteomic expression analysis of </w:t>
      </w:r>
      <w:r w:rsidRPr="00741B7E">
        <w:rPr>
          <w:i/>
          <w:iCs/>
          <w:lang w:val="en-GB"/>
        </w:rPr>
        <w:t>Leishmania</w:t>
      </w:r>
      <w:r w:rsidRPr="00741B7E">
        <w:rPr>
          <w:lang w:val="en-GB"/>
        </w:rPr>
        <w:t xml:space="preserve"> promastigote and amastigote life stages: the </w:t>
      </w:r>
      <w:r w:rsidRPr="00741B7E">
        <w:rPr>
          <w:i/>
          <w:iCs/>
          <w:lang w:val="en-GB"/>
        </w:rPr>
        <w:t>Leishmania</w:t>
      </w:r>
      <w:r w:rsidRPr="00741B7E">
        <w:rPr>
          <w:lang w:val="en-GB"/>
        </w:rPr>
        <w:t xml:space="preserve"> genome is constitutively expressed. </w:t>
      </w:r>
      <w:r w:rsidRPr="00741B7E">
        <w:rPr>
          <w:i/>
          <w:iCs/>
          <w:lang w:val="en-GB"/>
        </w:rPr>
        <w:t>Mol. Biochem. Parasitol.</w:t>
      </w:r>
      <w:r w:rsidRPr="00741B7E">
        <w:rPr>
          <w:lang w:val="en-GB"/>
        </w:rPr>
        <w:t xml:space="preserve">; </w:t>
      </w:r>
      <w:r w:rsidRPr="00FD774F">
        <w:rPr>
          <w:b/>
          <w:bCs/>
          <w:lang w:val="en-GB"/>
        </w:rPr>
        <w:t>152</w:t>
      </w:r>
      <w:r w:rsidRPr="00741B7E">
        <w:rPr>
          <w:lang w:val="en-GB"/>
        </w:rPr>
        <w:t>: 35-46.</w:t>
      </w:r>
    </w:p>
    <w:p w:rsidR="00E77C30" w:rsidRPr="00741B7E" w:rsidRDefault="00E77C30" w:rsidP="00C02D98">
      <w:pPr>
        <w:spacing w:line="480" w:lineRule="auto"/>
        <w:jc w:val="both"/>
        <w:rPr>
          <w:lang w:val="en-GB"/>
        </w:rPr>
      </w:pPr>
      <w:r>
        <w:rPr>
          <w:lang w:val="en-GB"/>
        </w:rPr>
        <w:t>[19]</w:t>
      </w:r>
      <w:r w:rsidRPr="00741B7E">
        <w:rPr>
          <w:lang w:val="en-GB"/>
        </w:rPr>
        <w:t>Liang P.,</w:t>
      </w:r>
      <w:r>
        <w:rPr>
          <w:lang w:val="en-GB"/>
        </w:rPr>
        <w:t xml:space="preserve"> and</w:t>
      </w:r>
      <w:r w:rsidRPr="00741B7E">
        <w:rPr>
          <w:lang w:val="en-GB"/>
        </w:rPr>
        <w:t xml:space="preserve"> Pardee A.B.</w:t>
      </w:r>
      <w:r>
        <w:rPr>
          <w:lang w:val="en-GB"/>
        </w:rPr>
        <w:t xml:space="preserve"> (</w:t>
      </w:r>
      <w:r w:rsidRPr="00741B7E">
        <w:rPr>
          <w:lang w:val="en-GB"/>
        </w:rPr>
        <w:t>1992</w:t>
      </w:r>
      <w:r>
        <w:rPr>
          <w:lang w:val="en-GB"/>
        </w:rPr>
        <w:t>).</w:t>
      </w:r>
      <w:r w:rsidRPr="00741B7E">
        <w:rPr>
          <w:lang w:val="en-GB"/>
        </w:rPr>
        <w:t xml:space="preserve"> Differential display of eukaryotic messenger RNA by means of the polymerase chain reaction.</w:t>
      </w:r>
      <w:r w:rsidRPr="00741B7E">
        <w:rPr>
          <w:i/>
          <w:iCs/>
          <w:lang w:val="en-GB"/>
        </w:rPr>
        <w:t xml:space="preserve"> Science</w:t>
      </w:r>
      <w:r w:rsidRPr="00741B7E">
        <w:rPr>
          <w:lang w:val="en-GB"/>
        </w:rPr>
        <w:t xml:space="preserve">; </w:t>
      </w:r>
      <w:r w:rsidRPr="00FD774F">
        <w:rPr>
          <w:b/>
          <w:bCs/>
          <w:lang w:val="en-GB"/>
        </w:rPr>
        <w:t>257</w:t>
      </w:r>
      <w:r w:rsidRPr="00741B7E">
        <w:rPr>
          <w:b/>
          <w:bCs/>
          <w:lang w:val="en-GB"/>
        </w:rPr>
        <w:t xml:space="preserve">: </w:t>
      </w:r>
      <w:r w:rsidRPr="00741B7E">
        <w:rPr>
          <w:lang w:val="en-GB"/>
        </w:rPr>
        <w:t>967-971.</w:t>
      </w:r>
    </w:p>
    <w:p w:rsidR="00E77C30" w:rsidRPr="00741B7E" w:rsidRDefault="00E77C30" w:rsidP="00C02D98">
      <w:pPr>
        <w:spacing w:line="480" w:lineRule="auto"/>
        <w:jc w:val="both"/>
        <w:rPr>
          <w:lang w:val="en-GB"/>
        </w:rPr>
      </w:pPr>
      <w:r>
        <w:rPr>
          <w:lang w:val="en-GB"/>
        </w:rPr>
        <w:t>[20]</w:t>
      </w:r>
      <w:r w:rsidRPr="00741B7E">
        <w:rPr>
          <w:lang w:val="en-GB"/>
        </w:rPr>
        <w:t xml:space="preserve">Liu K., Zinker S., Arguello C., Salgado L.M. </w:t>
      </w:r>
      <w:r>
        <w:rPr>
          <w:lang w:val="en-GB"/>
        </w:rPr>
        <w:t xml:space="preserve"> (</w:t>
      </w:r>
      <w:r w:rsidRPr="00741B7E">
        <w:rPr>
          <w:lang w:val="en-GB"/>
        </w:rPr>
        <w:t>2000</w:t>
      </w:r>
      <w:r>
        <w:rPr>
          <w:lang w:val="en-GB"/>
        </w:rPr>
        <w:t>).</w:t>
      </w:r>
      <w:r w:rsidRPr="00741B7E">
        <w:rPr>
          <w:lang w:val="en-GB"/>
        </w:rPr>
        <w:t xml:space="preserve">Isolation and analysis of a new developmentally regulated gene from amastigotes of </w:t>
      </w:r>
      <w:r w:rsidRPr="00741B7E">
        <w:rPr>
          <w:i/>
          <w:iCs/>
          <w:lang w:val="en-GB"/>
        </w:rPr>
        <w:t>Leishmania mexicana mexicana</w:t>
      </w:r>
      <w:r w:rsidRPr="00741B7E">
        <w:rPr>
          <w:lang w:val="en-GB"/>
        </w:rPr>
        <w:t xml:space="preserve">. </w:t>
      </w:r>
      <w:r w:rsidRPr="00741B7E">
        <w:rPr>
          <w:i/>
          <w:iCs/>
          <w:lang w:val="en-GB"/>
        </w:rPr>
        <w:t>Parasitol. Res.</w:t>
      </w:r>
      <w:r w:rsidRPr="00741B7E">
        <w:rPr>
          <w:lang w:val="en-GB"/>
        </w:rPr>
        <w:t xml:space="preserve">; </w:t>
      </w:r>
      <w:r w:rsidRPr="00FD774F">
        <w:rPr>
          <w:b/>
          <w:bCs/>
          <w:lang w:val="en-GB"/>
        </w:rPr>
        <w:t>86</w:t>
      </w:r>
      <w:r w:rsidRPr="00741B7E">
        <w:rPr>
          <w:b/>
          <w:bCs/>
          <w:lang w:val="en-GB"/>
        </w:rPr>
        <w:t xml:space="preserve">: </w:t>
      </w:r>
      <w:r w:rsidRPr="00741B7E">
        <w:rPr>
          <w:lang w:val="en-GB"/>
        </w:rPr>
        <w:t>140-150.</w:t>
      </w:r>
    </w:p>
    <w:p w:rsidR="00E77C30" w:rsidRPr="00741B7E" w:rsidRDefault="00E77C30" w:rsidP="00C02D98">
      <w:pPr>
        <w:spacing w:line="480" w:lineRule="auto"/>
        <w:jc w:val="both"/>
        <w:rPr>
          <w:lang w:val="en-GB"/>
        </w:rPr>
      </w:pPr>
      <w:r>
        <w:rPr>
          <w:lang w:val="en-GB"/>
        </w:rPr>
        <w:t>[21]</w:t>
      </w:r>
      <w:r w:rsidRPr="00741B7E">
        <w:rPr>
          <w:lang w:val="en-GB"/>
        </w:rPr>
        <w:t xml:space="preserve">Livak K.J., </w:t>
      </w:r>
      <w:r>
        <w:rPr>
          <w:lang w:val="en-GB"/>
        </w:rPr>
        <w:t xml:space="preserve"> and </w:t>
      </w:r>
      <w:r w:rsidRPr="00741B7E">
        <w:rPr>
          <w:lang w:val="en-GB"/>
        </w:rPr>
        <w:t xml:space="preserve">Schmittgen T.D. </w:t>
      </w:r>
      <w:r>
        <w:rPr>
          <w:lang w:val="en-GB"/>
        </w:rPr>
        <w:t>(</w:t>
      </w:r>
      <w:r w:rsidRPr="00741B7E">
        <w:rPr>
          <w:lang w:val="en-GB"/>
        </w:rPr>
        <w:t>2001</w:t>
      </w:r>
      <w:r>
        <w:rPr>
          <w:lang w:val="en-GB"/>
        </w:rPr>
        <w:t>).</w:t>
      </w:r>
      <w:r w:rsidRPr="00741B7E">
        <w:rPr>
          <w:lang w:val="en-GB"/>
        </w:rPr>
        <w:t xml:space="preserve">Analysis of relative gene expression data using real-time quantitative PCR and the 2(-Delta Delta C(T)) Method. </w:t>
      </w:r>
      <w:r w:rsidRPr="00741B7E">
        <w:rPr>
          <w:i/>
          <w:iCs/>
          <w:lang w:val="en-GB"/>
        </w:rPr>
        <w:t>Methods</w:t>
      </w:r>
      <w:r w:rsidRPr="00741B7E">
        <w:rPr>
          <w:lang w:val="en-GB"/>
        </w:rPr>
        <w:t xml:space="preserve">; </w:t>
      </w:r>
      <w:r w:rsidRPr="00FD774F">
        <w:rPr>
          <w:b/>
          <w:bCs/>
          <w:lang w:val="en-GB"/>
        </w:rPr>
        <w:t>25</w:t>
      </w:r>
      <w:r w:rsidRPr="00741B7E">
        <w:rPr>
          <w:b/>
          <w:bCs/>
          <w:lang w:val="en-GB"/>
        </w:rPr>
        <w:t>:</w:t>
      </w:r>
      <w:r w:rsidRPr="00741B7E">
        <w:rPr>
          <w:lang w:val="en-GB"/>
        </w:rPr>
        <w:t xml:space="preserve"> 402-408.</w:t>
      </w:r>
    </w:p>
    <w:p w:rsidR="00E77C30" w:rsidRPr="00741B7E" w:rsidRDefault="00E77C30" w:rsidP="00C02D98">
      <w:pPr>
        <w:spacing w:before="240" w:line="480" w:lineRule="auto"/>
        <w:jc w:val="both"/>
        <w:rPr>
          <w:lang w:val="en-GB"/>
        </w:rPr>
      </w:pPr>
      <w:r>
        <w:rPr>
          <w:lang w:val="en-GB"/>
        </w:rPr>
        <w:t>[22]</w:t>
      </w:r>
      <w:r w:rsidRPr="00741B7E">
        <w:rPr>
          <w:lang w:val="en-GB"/>
        </w:rPr>
        <w:t>Louassini M., Adroher F.J., Foulquie M.R.,</w:t>
      </w:r>
      <w:r>
        <w:rPr>
          <w:lang w:val="en-GB"/>
        </w:rPr>
        <w:t xml:space="preserve"> and</w:t>
      </w:r>
      <w:r w:rsidRPr="00741B7E">
        <w:rPr>
          <w:lang w:val="en-GB"/>
        </w:rPr>
        <w:t xml:space="preserve"> Benitez R. </w:t>
      </w:r>
      <w:r>
        <w:rPr>
          <w:lang w:val="en-GB"/>
        </w:rPr>
        <w:t>(</w:t>
      </w:r>
      <w:r w:rsidRPr="00741B7E">
        <w:rPr>
          <w:lang w:val="en-GB"/>
        </w:rPr>
        <w:t>1998</w:t>
      </w:r>
      <w:r>
        <w:rPr>
          <w:lang w:val="en-GB"/>
        </w:rPr>
        <w:t>).</w:t>
      </w:r>
      <w:r w:rsidRPr="00741B7E">
        <w:rPr>
          <w:lang w:val="en-GB"/>
        </w:rPr>
        <w:t xml:space="preserve">Investigations on the </w:t>
      </w:r>
      <w:r w:rsidRPr="00741B7E">
        <w:rPr>
          <w:i/>
          <w:iCs/>
          <w:lang w:val="en-GB"/>
        </w:rPr>
        <w:t>in vitro</w:t>
      </w:r>
      <w:r w:rsidRPr="00741B7E">
        <w:rPr>
          <w:lang w:val="en-GB"/>
        </w:rPr>
        <w:t xml:space="preserve"> metacyclogenesis of a visceral and a cutaneous human strain of </w:t>
      </w:r>
      <w:r w:rsidRPr="00741B7E">
        <w:rPr>
          <w:i/>
          <w:iCs/>
          <w:lang w:val="en-GB"/>
        </w:rPr>
        <w:t>Leishmania infantum</w:t>
      </w:r>
      <w:r w:rsidRPr="00741B7E">
        <w:rPr>
          <w:lang w:val="en-GB"/>
        </w:rPr>
        <w:t xml:space="preserve">. </w:t>
      </w:r>
      <w:r w:rsidRPr="00741B7E">
        <w:rPr>
          <w:i/>
          <w:iCs/>
          <w:lang w:val="en-GB"/>
        </w:rPr>
        <w:t>Acta Trop.</w:t>
      </w:r>
      <w:r w:rsidRPr="00741B7E">
        <w:rPr>
          <w:lang w:val="en-GB"/>
        </w:rPr>
        <w:t xml:space="preserve">; </w:t>
      </w:r>
      <w:r w:rsidRPr="00FD774F">
        <w:rPr>
          <w:b/>
          <w:bCs/>
          <w:lang w:val="en-GB"/>
        </w:rPr>
        <w:t>70</w:t>
      </w:r>
      <w:r w:rsidRPr="00741B7E">
        <w:rPr>
          <w:b/>
          <w:bCs/>
          <w:lang w:val="en-GB"/>
        </w:rPr>
        <w:t xml:space="preserve">: </w:t>
      </w:r>
      <w:r w:rsidRPr="00741B7E">
        <w:rPr>
          <w:lang w:val="en-GB"/>
        </w:rPr>
        <w:t>355-368.</w:t>
      </w:r>
    </w:p>
    <w:p w:rsidR="00E77C30" w:rsidRPr="00741B7E" w:rsidRDefault="00E77C30" w:rsidP="00C02D98">
      <w:pPr>
        <w:spacing w:line="480" w:lineRule="auto"/>
        <w:jc w:val="both"/>
        <w:rPr>
          <w:lang w:val="en-GB"/>
        </w:rPr>
      </w:pPr>
      <w:r>
        <w:rPr>
          <w:lang w:val="en-GB"/>
        </w:rPr>
        <w:t>[23]</w:t>
      </w:r>
      <w:r w:rsidRPr="00741B7E">
        <w:rPr>
          <w:lang w:val="en-GB"/>
        </w:rPr>
        <w:t xml:space="preserve">McNicoll F., Drummelsmith J., Muller M., Madore E., Boilard N., Ouellette M., </w:t>
      </w:r>
      <w:r>
        <w:rPr>
          <w:lang w:val="en-GB"/>
        </w:rPr>
        <w:t xml:space="preserve"> and </w:t>
      </w:r>
      <w:r w:rsidRPr="00741B7E">
        <w:rPr>
          <w:lang w:val="en-GB"/>
        </w:rPr>
        <w:t xml:space="preserve">Papadopoulou B. A </w:t>
      </w:r>
      <w:r>
        <w:rPr>
          <w:lang w:val="en-GB"/>
        </w:rPr>
        <w:t>.(</w:t>
      </w:r>
      <w:r w:rsidRPr="004D413B">
        <w:rPr>
          <w:lang w:val="en-GB"/>
        </w:rPr>
        <w:t xml:space="preserve"> </w:t>
      </w:r>
      <w:r w:rsidRPr="00741B7E">
        <w:rPr>
          <w:lang w:val="en-GB"/>
        </w:rPr>
        <w:t>2006</w:t>
      </w:r>
      <w:r>
        <w:rPr>
          <w:lang w:val="en-GB"/>
        </w:rPr>
        <w:t xml:space="preserve">). </w:t>
      </w:r>
      <w:r w:rsidRPr="00741B7E">
        <w:rPr>
          <w:lang w:val="en-GB"/>
        </w:rPr>
        <w:t xml:space="preserve">combined proteomic and transcriptomic approach to the study of stage differentiation in </w:t>
      </w:r>
      <w:r w:rsidRPr="00741B7E">
        <w:rPr>
          <w:i/>
          <w:iCs/>
          <w:lang w:val="en-GB"/>
        </w:rPr>
        <w:t>Leishmania infantum</w:t>
      </w:r>
      <w:r w:rsidRPr="00741B7E">
        <w:rPr>
          <w:lang w:val="en-GB"/>
        </w:rPr>
        <w:t>.</w:t>
      </w:r>
      <w:r w:rsidRPr="00741B7E">
        <w:rPr>
          <w:i/>
          <w:iCs/>
          <w:lang w:val="en-GB"/>
        </w:rPr>
        <w:t xml:space="preserve"> Proteomics</w:t>
      </w:r>
      <w:r w:rsidRPr="00741B7E">
        <w:rPr>
          <w:lang w:val="en-GB"/>
        </w:rPr>
        <w:t xml:space="preserve">; </w:t>
      </w:r>
      <w:r w:rsidRPr="004D413B">
        <w:rPr>
          <w:b/>
          <w:bCs/>
          <w:lang w:val="en-GB"/>
        </w:rPr>
        <w:t>6</w:t>
      </w:r>
      <w:r w:rsidRPr="00741B7E">
        <w:rPr>
          <w:lang w:val="en-GB"/>
        </w:rPr>
        <w:t>: 3567-3581.</w:t>
      </w:r>
    </w:p>
    <w:p w:rsidR="00E77C30" w:rsidRPr="00741B7E" w:rsidRDefault="00E77C30" w:rsidP="00C02D98">
      <w:pPr>
        <w:spacing w:line="480" w:lineRule="auto"/>
        <w:jc w:val="both"/>
        <w:rPr>
          <w:lang w:val="en-GB"/>
        </w:rPr>
      </w:pPr>
      <w:r>
        <w:rPr>
          <w:lang w:val="en-GB"/>
        </w:rPr>
        <w:t>[]24</w:t>
      </w:r>
      <w:r w:rsidRPr="00741B7E">
        <w:rPr>
          <w:lang w:val="en-GB"/>
        </w:rPr>
        <w:t>Noyes H., Chance M., Ponce C., Ponce E.,</w:t>
      </w:r>
      <w:r>
        <w:rPr>
          <w:lang w:val="en-GB"/>
        </w:rPr>
        <w:t xml:space="preserve"> and</w:t>
      </w:r>
      <w:r w:rsidRPr="00741B7E">
        <w:rPr>
          <w:lang w:val="en-GB"/>
        </w:rPr>
        <w:t xml:space="preserve"> Maingon R.</w:t>
      </w:r>
      <w:r>
        <w:rPr>
          <w:lang w:val="en-GB"/>
        </w:rPr>
        <w:t>(</w:t>
      </w:r>
      <w:r w:rsidRPr="004D413B">
        <w:rPr>
          <w:lang w:val="en-GB"/>
        </w:rPr>
        <w:t xml:space="preserve"> </w:t>
      </w:r>
      <w:r w:rsidRPr="00741B7E">
        <w:rPr>
          <w:lang w:val="en-GB"/>
        </w:rPr>
        <w:t>1997</w:t>
      </w:r>
      <w:r>
        <w:rPr>
          <w:lang w:val="en-GB"/>
        </w:rPr>
        <w:t>).</w:t>
      </w:r>
      <w:r w:rsidRPr="00741B7E">
        <w:rPr>
          <w:lang w:val="en-GB"/>
        </w:rPr>
        <w:t xml:space="preserve"> </w:t>
      </w:r>
      <w:r w:rsidRPr="00741B7E">
        <w:rPr>
          <w:i/>
          <w:iCs/>
          <w:lang w:val="en-GB"/>
        </w:rPr>
        <w:t>Leishmania chagasi</w:t>
      </w:r>
      <w:r w:rsidRPr="00741B7E">
        <w:rPr>
          <w:lang w:val="en-GB"/>
        </w:rPr>
        <w:t xml:space="preserve">: genotypically similar parasites from Honduras cause both visceral and cutaneous leishmaniasis in humans. </w:t>
      </w:r>
      <w:r w:rsidRPr="00741B7E">
        <w:rPr>
          <w:i/>
          <w:iCs/>
          <w:lang w:val="en-GB"/>
        </w:rPr>
        <w:t>Exp. Parasitol</w:t>
      </w:r>
      <w:r w:rsidRPr="00741B7E">
        <w:rPr>
          <w:lang w:val="en-GB"/>
        </w:rPr>
        <w:t xml:space="preserve">.; </w:t>
      </w:r>
      <w:r w:rsidRPr="004D413B">
        <w:rPr>
          <w:b/>
          <w:bCs/>
          <w:lang w:val="en-GB"/>
        </w:rPr>
        <w:t>85</w:t>
      </w:r>
      <w:r w:rsidRPr="00741B7E">
        <w:rPr>
          <w:lang w:val="en-GB"/>
        </w:rPr>
        <w:t>: 264-273.</w:t>
      </w:r>
    </w:p>
    <w:p w:rsidR="00E77C30" w:rsidRPr="00741B7E" w:rsidRDefault="00E77C30" w:rsidP="00C02D98">
      <w:pPr>
        <w:spacing w:line="480" w:lineRule="auto"/>
        <w:jc w:val="both"/>
        <w:rPr>
          <w:lang w:val="en-GB"/>
        </w:rPr>
      </w:pPr>
      <w:r>
        <w:rPr>
          <w:lang w:val="en-GB"/>
        </w:rPr>
        <w:t>[25]</w:t>
      </w:r>
      <w:r w:rsidRPr="00741B7E">
        <w:rPr>
          <w:lang w:val="en-GB"/>
        </w:rPr>
        <w:t xml:space="preserve">Ouakad M., Chenik M., Ben Achour-Chenik Y., Louzir H., </w:t>
      </w:r>
      <w:r>
        <w:rPr>
          <w:lang w:val="en-GB"/>
        </w:rPr>
        <w:t xml:space="preserve">and </w:t>
      </w:r>
      <w:r w:rsidRPr="00741B7E">
        <w:rPr>
          <w:lang w:val="en-GB"/>
        </w:rPr>
        <w:t xml:space="preserve">Dellagi K. </w:t>
      </w:r>
      <w:r>
        <w:rPr>
          <w:lang w:val="en-GB"/>
        </w:rPr>
        <w:t>(</w:t>
      </w:r>
      <w:r w:rsidRPr="00741B7E">
        <w:rPr>
          <w:lang w:val="en-GB"/>
        </w:rPr>
        <w:t>2007</w:t>
      </w:r>
      <w:r>
        <w:rPr>
          <w:lang w:val="en-GB"/>
        </w:rPr>
        <w:t>).</w:t>
      </w:r>
      <w:r w:rsidRPr="00741B7E">
        <w:rPr>
          <w:lang w:val="en-GB"/>
        </w:rPr>
        <w:t xml:space="preserve">Gene expression analysis of wild </w:t>
      </w:r>
      <w:r w:rsidRPr="00741B7E">
        <w:rPr>
          <w:i/>
          <w:iCs/>
          <w:lang w:val="en-GB"/>
        </w:rPr>
        <w:t>Leishmania major</w:t>
      </w:r>
      <w:r w:rsidRPr="00741B7E">
        <w:rPr>
          <w:lang w:val="en-GB"/>
        </w:rPr>
        <w:t xml:space="preserve"> isolates: identification of genes preferentially expressed in amastigotes. </w:t>
      </w:r>
      <w:r w:rsidRPr="00741B7E">
        <w:rPr>
          <w:i/>
          <w:iCs/>
          <w:lang w:val="en-GB"/>
        </w:rPr>
        <w:t>Parasitol. Res.</w:t>
      </w:r>
      <w:r w:rsidRPr="00741B7E">
        <w:rPr>
          <w:lang w:val="en-GB"/>
        </w:rPr>
        <w:t>; 100</w:t>
      </w:r>
      <w:r w:rsidRPr="00741B7E">
        <w:rPr>
          <w:b/>
          <w:bCs/>
          <w:lang w:val="en-GB"/>
        </w:rPr>
        <w:t xml:space="preserve">: </w:t>
      </w:r>
      <w:r w:rsidRPr="00741B7E">
        <w:rPr>
          <w:lang w:val="en-GB"/>
        </w:rPr>
        <w:t>255-264.</w:t>
      </w:r>
    </w:p>
    <w:p w:rsidR="00E77C30" w:rsidRPr="00741B7E" w:rsidRDefault="00E77C30" w:rsidP="00C02D98">
      <w:pPr>
        <w:spacing w:line="480" w:lineRule="auto"/>
        <w:jc w:val="both"/>
        <w:rPr>
          <w:lang w:val="en-GB"/>
        </w:rPr>
      </w:pPr>
      <w:r>
        <w:rPr>
          <w:lang w:val="en-GB"/>
        </w:rPr>
        <w:t>[26]</w:t>
      </w:r>
      <w:r w:rsidRPr="00741B7E">
        <w:rPr>
          <w:lang w:val="en-GB"/>
        </w:rPr>
        <w:t xml:space="preserve">Peacock C.S., Seeger K., Harris D., Murphy L., Ruiz J.C., Quail M.A., Peters N., Adlem E., Tivey A., Aslett M., Kerhornou A., Ivens A., Fraser A., Rajandream M.A., Carver T.,  Norbertczak H., Chillingworth T., Hance Z., Jagels K., Moule S., Ormond D., Rutter S., Squares R., Whitehead S., Rabbinowitsch E., Arrowsmith C., White B.,  Thurston S., Bringaud F., Baldauf S.L., Faulconbridge A., Jeffares D., Depledge D.P., Oyola S.O., Hilley J.D., Brito L.O., Tosi L.R., Barrell B., Cruz A.K., Mottram J.C., Smith D.F., </w:t>
      </w:r>
      <w:r>
        <w:rPr>
          <w:lang w:val="en-GB"/>
        </w:rPr>
        <w:t xml:space="preserve"> and </w:t>
      </w:r>
      <w:r w:rsidRPr="00741B7E">
        <w:rPr>
          <w:lang w:val="en-GB"/>
        </w:rPr>
        <w:t xml:space="preserve">Berriman M. </w:t>
      </w:r>
      <w:r>
        <w:rPr>
          <w:lang w:val="en-GB"/>
        </w:rPr>
        <w:t xml:space="preserve"> (</w:t>
      </w:r>
      <w:r w:rsidRPr="00741B7E">
        <w:rPr>
          <w:lang w:val="en-GB"/>
        </w:rPr>
        <w:t>2007</w:t>
      </w:r>
      <w:r>
        <w:rPr>
          <w:lang w:val="en-GB"/>
        </w:rPr>
        <w:t xml:space="preserve">). </w:t>
      </w:r>
      <w:r w:rsidRPr="00741B7E">
        <w:rPr>
          <w:lang w:val="en-GB"/>
        </w:rPr>
        <w:t xml:space="preserve">Comparative genomic analysis of three </w:t>
      </w:r>
      <w:r w:rsidRPr="00741B7E">
        <w:rPr>
          <w:i/>
          <w:iCs/>
          <w:lang w:val="en-GB"/>
        </w:rPr>
        <w:t>Leishmania</w:t>
      </w:r>
      <w:r w:rsidRPr="00741B7E">
        <w:rPr>
          <w:lang w:val="en-GB"/>
        </w:rPr>
        <w:t xml:space="preserve"> species that cause diverse human disease, </w:t>
      </w:r>
      <w:r w:rsidRPr="00741B7E">
        <w:rPr>
          <w:i/>
          <w:iCs/>
          <w:lang w:val="en-GB"/>
        </w:rPr>
        <w:t>Nat. Genet.</w:t>
      </w:r>
      <w:r w:rsidRPr="00741B7E">
        <w:rPr>
          <w:lang w:val="en-GB"/>
        </w:rPr>
        <w:t xml:space="preserve">; </w:t>
      </w:r>
      <w:r w:rsidRPr="004D413B">
        <w:rPr>
          <w:b/>
          <w:bCs/>
          <w:lang w:val="en-GB"/>
        </w:rPr>
        <w:t>39</w:t>
      </w:r>
      <w:r w:rsidRPr="00741B7E">
        <w:rPr>
          <w:b/>
          <w:bCs/>
          <w:lang w:val="en-GB"/>
        </w:rPr>
        <w:t xml:space="preserve">: </w:t>
      </w:r>
      <w:r w:rsidRPr="00741B7E">
        <w:rPr>
          <w:lang w:val="en-GB"/>
        </w:rPr>
        <w:t xml:space="preserve"> 839-847.</w:t>
      </w:r>
    </w:p>
    <w:p w:rsidR="00E77C30" w:rsidRPr="00741B7E" w:rsidRDefault="00E77C30" w:rsidP="00C02D98">
      <w:pPr>
        <w:spacing w:line="480" w:lineRule="auto"/>
        <w:jc w:val="both"/>
        <w:rPr>
          <w:lang w:val="en-GB"/>
        </w:rPr>
      </w:pPr>
      <w:r>
        <w:rPr>
          <w:lang w:val="en-GB"/>
        </w:rPr>
        <w:t>[27]</w:t>
      </w:r>
      <w:r w:rsidRPr="00741B7E">
        <w:rPr>
          <w:lang w:val="en-GB"/>
        </w:rPr>
        <w:t xml:space="preserve">Purdy J.E., </w:t>
      </w:r>
      <w:r>
        <w:rPr>
          <w:lang w:val="en-GB"/>
        </w:rPr>
        <w:t xml:space="preserve"> </w:t>
      </w:r>
      <w:r w:rsidRPr="00741B7E">
        <w:rPr>
          <w:lang w:val="en-GB"/>
        </w:rPr>
        <w:t xml:space="preserve">Donelson J.E., </w:t>
      </w:r>
      <w:r>
        <w:rPr>
          <w:lang w:val="en-GB"/>
        </w:rPr>
        <w:t xml:space="preserve"> and </w:t>
      </w:r>
      <w:r w:rsidRPr="00741B7E">
        <w:rPr>
          <w:lang w:val="en-GB"/>
        </w:rPr>
        <w:t>Wilson M.E.</w:t>
      </w:r>
      <w:r>
        <w:rPr>
          <w:lang w:val="en-GB"/>
        </w:rPr>
        <w:t>(</w:t>
      </w:r>
      <w:r w:rsidRPr="004D413B">
        <w:rPr>
          <w:lang w:val="en-GB"/>
        </w:rPr>
        <w:t xml:space="preserve"> </w:t>
      </w:r>
      <w:r w:rsidRPr="00741B7E">
        <w:rPr>
          <w:lang w:val="en-GB"/>
        </w:rPr>
        <w:t>2005</w:t>
      </w:r>
      <w:r>
        <w:rPr>
          <w:lang w:val="en-GB"/>
        </w:rPr>
        <w:t>).</w:t>
      </w:r>
      <w:r w:rsidRPr="00741B7E">
        <w:rPr>
          <w:lang w:val="en-GB"/>
        </w:rPr>
        <w:t xml:space="preserve"> </w:t>
      </w:r>
      <w:r w:rsidRPr="00741B7E">
        <w:rPr>
          <w:i/>
          <w:iCs/>
          <w:lang w:val="en-GB"/>
        </w:rPr>
        <w:t>Leishmania chagasi</w:t>
      </w:r>
      <w:r w:rsidRPr="00741B7E">
        <w:rPr>
          <w:lang w:val="en-GB"/>
        </w:rPr>
        <w:t xml:space="preserve">: the alpha-tubulin intercoding region results in constant levels of mRNA abundance despite protein synthesis inhibition and growth state. </w:t>
      </w:r>
      <w:r w:rsidRPr="00741B7E">
        <w:rPr>
          <w:i/>
          <w:iCs/>
          <w:lang w:val="en-GB"/>
        </w:rPr>
        <w:t>Exp. Parasitol.</w:t>
      </w:r>
      <w:r w:rsidRPr="00741B7E">
        <w:rPr>
          <w:lang w:val="en-GB"/>
        </w:rPr>
        <w:t xml:space="preserve">; </w:t>
      </w:r>
      <w:r w:rsidRPr="004D413B">
        <w:rPr>
          <w:b/>
          <w:bCs/>
          <w:lang w:val="en-GB"/>
        </w:rPr>
        <w:t>110</w:t>
      </w:r>
      <w:r w:rsidRPr="00741B7E">
        <w:rPr>
          <w:b/>
          <w:bCs/>
          <w:lang w:val="en-GB"/>
        </w:rPr>
        <w:t xml:space="preserve">: </w:t>
      </w:r>
      <w:r w:rsidRPr="00741B7E">
        <w:rPr>
          <w:lang w:val="en-GB"/>
        </w:rPr>
        <w:t>102-107.</w:t>
      </w:r>
    </w:p>
    <w:p w:rsidR="00E77C30" w:rsidRPr="00741B7E" w:rsidRDefault="00E77C30" w:rsidP="00C02D98">
      <w:pPr>
        <w:spacing w:line="480" w:lineRule="auto"/>
        <w:jc w:val="both"/>
        <w:rPr>
          <w:lang w:val="en-GB"/>
        </w:rPr>
      </w:pPr>
      <w:r>
        <w:rPr>
          <w:lang w:val="pt-BR"/>
        </w:rPr>
        <w:t>[28]</w:t>
      </w:r>
      <w:r w:rsidRPr="00741B7E">
        <w:rPr>
          <w:lang w:val="pt-BR"/>
        </w:rPr>
        <w:t>Rivas L., Moreno J., Canavate C.,</w:t>
      </w:r>
      <w:r>
        <w:rPr>
          <w:lang w:val="pt-BR"/>
        </w:rPr>
        <w:t xml:space="preserve"> and </w:t>
      </w:r>
      <w:r w:rsidRPr="00741B7E">
        <w:rPr>
          <w:lang w:val="pt-BR"/>
        </w:rPr>
        <w:t xml:space="preserve"> Alvar J.</w:t>
      </w:r>
      <w:r>
        <w:rPr>
          <w:lang w:val="pt-BR"/>
        </w:rPr>
        <w:t xml:space="preserve"> (</w:t>
      </w:r>
      <w:r w:rsidRPr="00741B7E">
        <w:rPr>
          <w:lang w:val="en-GB"/>
        </w:rPr>
        <w:t>2004</w:t>
      </w:r>
      <w:r>
        <w:rPr>
          <w:lang w:val="en-GB"/>
        </w:rPr>
        <w:t>)</w:t>
      </w:r>
      <w:r w:rsidRPr="00741B7E">
        <w:rPr>
          <w:lang w:val="pt-BR"/>
        </w:rPr>
        <w:t xml:space="preserve">. </w:t>
      </w:r>
      <w:r w:rsidRPr="00741B7E">
        <w:rPr>
          <w:lang w:val="en-GB"/>
        </w:rPr>
        <w:t xml:space="preserve">Virulence and disease in Leishmaniasis: what is relevant for the patient ? </w:t>
      </w:r>
      <w:r w:rsidRPr="00741B7E">
        <w:rPr>
          <w:i/>
          <w:iCs/>
          <w:lang w:val="en-GB"/>
        </w:rPr>
        <w:t>Trends Parasitol.</w:t>
      </w:r>
      <w:r w:rsidRPr="00741B7E">
        <w:rPr>
          <w:lang w:val="en-GB"/>
        </w:rPr>
        <w:t xml:space="preserve">; </w:t>
      </w:r>
      <w:r w:rsidRPr="004D413B">
        <w:rPr>
          <w:b/>
          <w:bCs/>
          <w:lang w:val="en-GB"/>
        </w:rPr>
        <w:t>20</w:t>
      </w:r>
      <w:r w:rsidRPr="00741B7E">
        <w:rPr>
          <w:lang w:val="en-GB"/>
        </w:rPr>
        <w:t>: 297-301.</w:t>
      </w:r>
    </w:p>
    <w:p w:rsidR="00E77C30" w:rsidRPr="00741B7E" w:rsidRDefault="00E77C30" w:rsidP="00C02D98">
      <w:pPr>
        <w:spacing w:line="480" w:lineRule="auto"/>
        <w:jc w:val="both"/>
        <w:rPr>
          <w:lang w:val="en-GB"/>
        </w:rPr>
      </w:pPr>
      <w:r>
        <w:rPr>
          <w:lang w:val="en-GB"/>
        </w:rPr>
        <w:t>[29]</w:t>
      </w:r>
      <w:r w:rsidRPr="00741B7E">
        <w:rPr>
          <w:lang w:val="en-GB"/>
        </w:rPr>
        <w:t xml:space="preserve">Rosenzweig D., Smith D., Opperdoes F., Stern S., Olafson R.W., Zilberstein D. </w:t>
      </w:r>
      <w:r>
        <w:rPr>
          <w:lang w:val="en-GB"/>
        </w:rPr>
        <w:t>(</w:t>
      </w:r>
      <w:r w:rsidRPr="00741B7E">
        <w:rPr>
          <w:lang w:val="en-GB"/>
        </w:rPr>
        <w:t>2008</w:t>
      </w:r>
      <w:r>
        <w:rPr>
          <w:lang w:val="en-GB"/>
        </w:rPr>
        <w:t>).</w:t>
      </w:r>
      <w:r w:rsidRPr="00741B7E">
        <w:rPr>
          <w:lang w:val="en-GB"/>
        </w:rPr>
        <w:t xml:space="preserve">Retooling </w:t>
      </w:r>
      <w:r w:rsidRPr="00741B7E">
        <w:rPr>
          <w:i/>
          <w:iCs/>
          <w:lang w:val="en-GB"/>
        </w:rPr>
        <w:t>Leishmania</w:t>
      </w:r>
      <w:r w:rsidRPr="00741B7E">
        <w:rPr>
          <w:lang w:val="en-GB"/>
        </w:rPr>
        <w:t xml:space="preserve"> metabolism: from sand fly gut to human macrophage.</w:t>
      </w:r>
      <w:r w:rsidRPr="00741B7E">
        <w:rPr>
          <w:i/>
          <w:iCs/>
          <w:lang w:val="en-GB"/>
        </w:rPr>
        <w:t xml:space="preserve"> Faseb J.</w:t>
      </w:r>
      <w:r w:rsidRPr="00741B7E">
        <w:rPr>
          <w:lang w:val="en-GB"/>
        </w:rPr>
        <w:t xml:space="preserve">; </w:t>
      </w:r>
      <w:r w:rsidRPr="004D413B">
        <w:rPr>
          <w:b/>
          <w:bCs/>
          <w:lang w:val="en-GB"/>
        </w:rPr>
        <w:t>22</w:t>
      </w:r>
      <w:r w:rsidRPr="00741B7E">
        <w:rPr>
          <w:b/>
          <w:bCs/>
          <w:lang w:val="en-GB"/>
        </w:rPr>
        <w:t xml:space="preserve">: </w:t>
      </w:r>
      <w:r w:rsidRPr="00741B7E">
        <w:rPr>
          <w:lang w:val="en-GB"/>
        </w:rPr>
        <w:t>590-602.</w:t>
      </w:r>
    </w:p>
    <w:p w:rsidR="00E77C30" w:rsidRPr="00741B7E" w:rsidRDefault="00E77C30" w:rsidP="00C02D98">
      <w:pPr>
        <w:spacing w:line="480" w:lineRule="auto"/>
        <w:jc w:val="both"/>
        <w:rPr>
          <w:lang w:val="en-GB"/>
        </w:rPr>
      </w:pPr>
      <w:r>
        <w:rPr>
          <w:lang w:val="en-GB"/>
        </w:rPr>
        <w:t>[30]</w:t>
      </w:r>
      <w:r w:rsidRPr="00741B7E">
        <w:rPr>
          <w:lang w:val="en-GB"/>
        </w:rPr>
        <w:t xml:space="preserve">Saxena A., Worthey E.A., Yan S., Leland A., Stuart K.D., </w:t>
      </w:r>
      <w:r>
        <w:rPr>
          <w:lang w:val="en-GB"/>
        </w:rPr>
        <w:t xml:space="preserve">and </w:t>
      </w:r>
      <w:r w:rsidRPr="00741B7E">
        <w:rPr>
          <w:lang w:val="en-GB"/>
        </w:rPr>
        <w:t xml:space="preserve">Myler P.J. </w:t>
      </w:r>
      <w:r>
        <w:rPr>
          <w:lang w:val="en-GB"/>
        </w:rPr>
        <w:t>(</w:t>
      </w:r>
      <w:r w:rsidRPr="00741B7E">
        <w:rPr>
          <w:lang w:val="en-GB"/>
        </w:rPr>
        <w:t>2003</w:t>
      </w:r>
      <w:r>
        <w:rPr>
          <w:lang w:val="en-GB"/>
        </w:rPr>
        <w:t>).</w:t>
      </w:r>
      <w:r w:rsidRPr="00741B7E">
        <w:rPr>
          <w:lang w:val="en-GB"/>
        </w:rPr>
        <w:t xml:space="preserve">Evaluation of differential gene expression in </w:t>
      </w:r>
      <w:r w:rsidRPr="00741B7E">
        <w:rPr>
          <w:i/>
          <w:iCs/>
          <w:lang w:val="en-GB"/>
        </w:rPr>
        <w:t xml:space="preserve">Leishmania major Friedlin </w:t>
      </w:r>
      <w:r w:rsidRPr="00741B7E">
        <w:rPr>
          <w:lang w:val="en-GB"/>
        </w:rPr>
        <w:t>procyclics and metacyclics using DNA microarray analysis.</w:t>
      </w:r>
      <w:r w:rsidRPr="00741B7E">
        <w:rPr>
          <w:i/>
          <w:iCs/>
          <w:lang w:val="en-GB"/>
        </w:rPr>
        <w:t xml:space="preserve"> Mol. Biochem. Parasitol.</w:t>
      </w:r>
      <w:r w:rsidRPr="00741B7E">
        <w:rPr>
          <w:lang w:val="en-GB"/>
        </w:rPr>
        <w:t xml:space="preserve">; </w:t>
      </w:r>
      <w:r w:rsidRPr="004D413B">
        <w:rPr>
          <w:b/>
          <w:bCs/>
          <w:lang w:val="en-GB"/>
        </w:rPr>
        <w:t>129</w:t>
      </w:r>
      <w:r w:rsidRPr="00741B7E">
        <w:rPr>
          <w:lang w:val="en-GB"/>
        </w:rPr>
        <w:t>: 103-114.</w:t>
      </w:r>
    </w:p>
    <w:p w:rsidR="00E77C30" w:rsidRPr="00741B7E" w:rsidRDefault="00E77C30" w:rsidP="00C02D98">
      <w:pPr>
        <w:spacing w:line="480" w:lineRule="auto"/>
        <w:jc w:val="both"/>
        <w:rPr>
          <w:lang w:val="en-GB"/>
        </w:rPr>
      </w:pPr>
      <w:r>
        <w:rPr>
          <w:lang w:val="en-GB"/>
        </w:rPr>
        <w:t>[31]</w:t>
      </w:r>
      <w:r w:rsidRPr="00741B7E">
        <w:rPr>
          <w:lang w:val="en-GB"/>
        </w:rPr>
        <w:t xml:space="preserve">Soares R.P., Macedo M.E., Ropert C., Gontijo N.F., Almeida I.C., Gazzinelli R.T., Pimenta P.F., </w:t>
      </w:r>
      <w:r>
        <w:rPr>
          <w:lang w:val="en-GB"/>
        </w:rPr>
        <w:t xml:space="preserve"> and </w:t>
      </w:r>
      <w:r w:rsidRPr="00741B7E">
        <w:rPr>
          <w:lang w:val="en-GB"/>
        </w:rPr>
        <w:t>Turco S.J.</w:t>
      </w:r>
      <w:r>
        <w:rPr>
          <w:lang w:val="en-GB"/>
        </w:rPr>
        <w:t>(</w:t>
      </w:r>
      <w:r w:rsidRPr="004D413B">
        <w:rPr>
          <w:lang w:val="en-GB"/>
        </w:rPr>
        <w:t xml:space="preserve"> </w:t>
      </w:r>
      <w:r w:rsidRPr="00741B7E">
        <w:rPr>
          <w:lang w:val="en-GB"/>
        </w:rPr>
        <w:t>2002</w:t>
      </w:r>
      <w:r>
        <w:rPr>
          <w:lang w:val="en-GB"/>
        </w:rPr>
        <w:t>).</w:t>
      </w:r>
      <w:r w:rsidRPr="00741B7E">
        <w:rPr>
          <w:lang w:val="en-GB"/>
        </w:rPr>
        <w:t xml:space="preserve"> </w:t>
      </w:r>
      <w:r w:rsidRPr="00741B7E">
        <w:rPr>
          <w:i/>
          <w:iCs/>
          <w:lang w:val="en-GB"/>
        </w:rPr>
        <w:t>Leishmania chagasi</w:t>
      </w:r>
      <w:r w:rsidRPr="00741B7E">
        <w:rPr>
          <w:lang w:val="en-GB"/>
        </w:rPr>
        <w:t xml:space="preserve">: lipophosphoglycan characterization and binding to the midgut of the sand fly vector </w:t>
      </w:r>
      <w:r w:rsidRPr="00741B7E">
        <w:rPr>
          <w:i/>
          <w:iCs/>
          <w:lang w:val="en-GB"/>
        </w:rPr>
        <w:t>Lutzomyia longipalpis</w:t>
      </w:r>
      <w:r w:rsidRPr="00741B7E">
        <w:rPr>
          <w:lang w:val="en-GB"/>
        </w:rPr>
        <w:t xml:space="preserve">. </w:t>
      </w:r>
      <w:r w:rsidRPr="00741B7E">
        <w:rPr>
          <w:i/>
          <w:iCs/>
          <w:lang w:val="en-GB"/>
        </w:rPr>
        <w:t>Mol. Biochem. Parasitol.</w:t>
      </w:r>
      <w:r w:rsidRPr="00741B7E">
        <w:rPr>
          <w:lang w:val="en-GB"/>
        </w:rPr>
        <w:t>;</w:t>
      </w:r>
      <w:r w:rsidRPr="00741B7E">
        <w:rPr>
          <w:i/>
          <w:iCs/>
          <w:lang w:val="en-GB"/>
        </w:rPr>
        <w:t xml:space="preserve"> </w:t>
      </w:r>
      <w:r w:rsidRPr="004D413B">
        <w:rPr>
          <w:b/>
          <w:bCs/>
          <w:lang w:val="en-GB"/>
        </w:rPr>
        <w:t>121</w:t>
      </w:r>
      <w:r w:rsidRPr="00741B7E">
        <w:rPr>
          <w:b/>
          <w:bCs/>
          <w:lang w:val="en-GB"/>
        </w:rPr>
        <w:t xml:space="preserve">: </w:t>
      </w:r>
      <w:r w:rsidRPr="00741B7E">
        <w:rPr>
          <w:lang w:val="en-GB"/>
        </w:rPr>
        <w:t>213-224.</w:t>
      </w:r>
    </w:p>
    <w:p w:rsidR="00E77C30" w:rsidRPr="00741B7E" w:rsidRDefault="00E77C30" w:rsidP="00C02D98">
      <w:pPr>
        <w:spacing w:line="480" w:lineRule="auto"/>
        <w:jc w:val="both"/>
        <w:rPr>
          <w:lang w:val="en-GB"/>
        </w:rPr>
      </w:pPr>
      <w:r>
        <w:rPr>
          <w:lang w:val="en-GB"/>
        </w:rPr>
        <w:t>[32]</w:t>
      </w:r>
      <w:r w:rsidRPr="00741B7E">
        <w:rPr>
          <w:lang w:val="en-GB"/>
        </w:rPr>
        <w:t xml:space="preserve">Srividya G., Duncan R., Sharma P., Raju B.V., Nakhasi H.L., </w:t>
      </w:r>
      <w:r>
        <w:rPr>
          <w:lang w:val="en-GB"/>
        </w:rPr>
        <w:t xml:space="preserve"> and </w:t>
      </w:r>
      <w:r w:rsidRPr="00741B7E">
        <w:rPr>
          <w:lang w:val="en-GB"/>
        </w:rPr>
        <w:t>Salotra P.</w:t>
      </w:r>
      <w:r>
        <w:rPr>
          <w:lang w:val="en-GB"/>
        </w:rPr>
        <w:t xml:space="preserve"> (</w:t>
      </w:r>
      <w:r w:rsidRPr="00741B7E">
        <w:rPr>
          <w:lang w:val="en-GB"/>
        </w:rPr>
        <w:t>2007</w:t>
      </w:r>
      <w:r>
        <w:rPr>
          <w:lang w:val="en-GB"/>
        </w:rPr>
        <w:t>).</w:t>
      </w:r>
      <w:r w:rsidRPr="00741B7E">
        <w:rPr>
          <w:lang w:val="en-GB"/>
        </w:rPr>
        <w:t xml:space="preserve"> Transcriptome analysis during the process of </w:t>
      </w:r>
      <w:r w:rsidRPr="00741B7E">
        <w:rPr>
          <w:i/>
          <w:iCs/>
          <w:lang w:val="en-GB"/>
        </w:rPr>
        <w:t>in vitro</w:t>
      </w:r>
      <w:r w:rsidRPr="00741B7E">
        <w:rPr>
          <w:lang w:val="en-GB"/>
        </w:rPr>
        <w:t xml:space="preserve"> differentiation of </w:t>
      </w:r>
      <w:r w:rsidRPr="00741B7E">
        <w:rPr>
          <w:i/>
          <w:iCs/>
          <w:lang w:val="en-GB"/>
        </w:rPr>
        <w:t>Leishmania donovani</w:t>
      </w:r>
      <w:r w:rsidRPr="00741B7E">
        <w:rPr>
          <w:lang w:val="en-GB"/>
        </w:rPr>
        <w:t xml:space="preserve"> using genomic microarrays. </w:t>
      </w:r>
      <w:r w:rsidRPr="00741B7E">
        <w:rPr>
          <w:i/>
          <w:iCs/>
          <w:lang w:val="en-GB"/>
        </w:rPr>
        <w:t>Parasitology</w:t>
      </w:r>
      <w:r w:rsidRPr="00741B7E">
        <w:rPr>
          <w:lang w:val="en-GB"/>
        </w:rPr>
        <w:t xml:space="preserve">; </w:t>
      </w:r>
      <w:r w:rsidRPr="00F652DB">
        <w:rPr>
          <w:b/>
          <w:bCs/>
          <w:lang w:val="en-GB"/>
        </w:rPr>
        <w:t>134</w:t>
      </w:r>
      <w:r w:rsidRPr="00741B7E">
        <w:rPr>
          <w:b/>
          <w:bCs/>
          <w:lang w:val="en-GB"/>
        </w:rPr>
        <w:t xml:space="preserve">: </w:t>
      </w:r>
      <w:r w:rsidRPr="00741B7E">
        <w:rPr>
          <w:lang w:val="en-GB"/>
        </w:rPr>
        <w:t>1527-1539.</w:t>
      </w:r>
    </w:p>
    <w:p w:rsidR="00E77C30" w:rsidRPr="00741B7E" w:rsidRDefault="00E77C30" w:rsidP="00C02D98">
      <w:pPr>
        <w:spacing w:line="480" w:lineRule="auto"/>
        <w:jc w:val="both"/>
        <w:rPr>
          <w:lang w:val="en-GB"/>
        </w:rPr>
      </w:pPr>
      <w:r>
        <w:rPr>
          <w:lang w:val="en-GB"/>
        </w:rPr>
        <w:t>[33]</w:t>
      </w:r>
      <w:r w:rsidRPr="00741B7E">
        <w:rPr>
          <w:lang w:val="en-GB"/>
        </w:rPr>
        <w:t xml:space="preserve">Turki-Mannoubi L., Kbaier-Hachemi H., Barhoumi M., Chakroun A.S., </w:t>
      </w:r>
      <w:r>
        <w:rPr>
          <w:lang w:val="en-GB"/>
        </w:rPr>
        <w:t>Guizani I.(</w:t>
      </w:r>
      <w:r w:rsidRPr="00F652DB">
        <w:rPr>
          <w:lang w:val="en-GB"/>
        </w:rPr>
        <w:t xml:space="preserve"> </w:t>
      </w:r>
      <w:r w:rsidRPr="00741B7E">
        <w:rPr>
          <w:lang w:val="en-GB"/>
        </w:rPr>
        <w:t>2008</w:t>
      </w:r>
      <w:r>
        <w:rPr>
          <w:lang w:val="en-GB"/>
        </w:rPr>
        <w:t xml:space="preserve">). </w:t>
      </w:r>
      <w:r w:rsidRPr="00741B7E">
        <w:rPr>
          <w:lang w:val="en-GB"/>
        </w:rPr>
        <w:t xml:space="preserve">A variant of DDRT-PCR using anchored mini-exon primers for identification of differentially expressed sequences in </w:t>
      </w:r>
      <w:r w:rsidRPr="00741B7E">
        <w:rPr>
          <w:i/>
          <w:iCs/>
          <w:lang w:val="en-GB"/>
        </w:rPr>
        <w:t>Leishmania infantum</w:t>
      </w:r>
      <w:r>
        <w:rPr>
          <w:lang w:val="en-GB"/>
        </w:rPr>
        <w:t xml:space="preserve"> </w:t>
      </w:r>
      <w:r w:rsidRPr="00741B7E">
        <w:rPr>
          <w:lang w:val="en-GB"/>
        </w:rPr>
        <w:t>.</w:t>
      </w:r>
      <w:r w:rsidRPr="00741B7E">
        <w:rPr>
          <w:i/>
          <w:iCs/>
          <w:lang w:val="en-GB"/>
        </w:rPr>
        <w:t>Arch. Inst. Pasteur Tunis</w:t>
      </w:r>
      <w:r w:rsidRPr="00741B7E">
        <w:rPr>
          <w:lang w:val="en-GB"/>
        </w:rPr>
        <w:t xml:space="preserve">; </w:t>
      </w:r>
      <w:r w:rsidRPr="00F652DB">
        <w:rPr>
          <w:b/>
          <w:bCs/>
          <w:lang w:val="en-GB"/>
        </w:rPr>
        <w:t>85</w:t>
      </w:r>
      <w:r w:rsidRPr="00741B7E">
        <w:rPr>
          <w:lang w:val="en-GB"/>
        </w:rPr>
        <w:t>: 29-44.</w:t>
      </w:r>
    </w:p>
    <w:p w:rsidR="00E77C30" w:rsidRPr="00741B7E" w:rsidRDefault="00E77C30" w:rsidP="00C02D98">
      <w:pPr>
        <w:spacing w:line="480" w:lineRule="auto"/>
        <w:jc w:val="both"/>
        <w:rPr>
          <w:lang w:val="en-GB"/>
        </w:rPr>
      </w:pPr>
      <w:r>
        <w:rPr>
          <w:lang w:val="en-GB"/>
        </w:rPr>
        <w:t>[34]</w:t>
      </w:r>
      <w:r w:rsidRPr="00741B7E">
        <w:rPr>
          <w:lang w:val="en-GB"/>
        </w:rPr>
        <w:t>Ubeda J.M., Legare D., Raymond F., Ouameur A.A., Boisvert S., Rigault P., Corbeil J., Tremblay M.J., Olivier M., Papadopoulou B.,</w:t>
      </w:r>
      <w:r>
        <w:rPr>
          <w:lang w:val="en-GB"/>
        </w:rPr>
        <w:t xml:space="preserve"> and </w:t>
      </w:r>
      <w:r w:rsidRPr="00741B7E">
        <w:rPr>
          <w:lang w:val="en-GB"/>
        </w:rPr>
        <w:t xml:space="preserve"> Ouellette M.</w:t>
      </w:r>
      <w:r>
        <w:rPr>
          <w:lang w:val="en-GB"/>
        </w:rPr>
        <w:t xml:space="preserve"> (</w:t>
      </w:r>
      <w:r w:rsidRPr="00741B7E">
        <w:rPr>
          <w:lang w:val="en-GB"/>
        </w:rPr>
        <w:t>2008</w:t>
      </w:r>
      <w:r>
        <w:rPr>
          <w:lang w:val="en-GB"/>
        </w:rPr>
        <w:t>).</w:t>
      </w:r>
      <w:r w:rsidRPr="00741B7E">
        <w:rPr>
          <w:lang w:val="en-GB"/>
        </w:rPr>
        <w:t xml:space="preserve"> Modulation of gene expression in drug resistant </w:t>
      </w:r>
      <w:r w:rsidRPr="00741B7E">
        <w:rPr>
          <w:i/>
          <w:iCs/>
          <w:lang w:val="en-GB"/>
        </w:rPr>
        <w:t>Leishmania</w:t>
      </w:r>
      <w:r w:rsidRPr="00741B7E">
        <w:rPr>
          <w:lang w:val="en-GB"/>
        </w:rPr>
        <w:t xml:space="preserve"> is associated with gene amplification, gene deletion and chromosome aneuploidy. </w:t>
      </w:r>
      <w:r w:rsidRPr="00741B7E">
        <w:rPr>
          <w:i/>
          <w:iCs/>
          <w:lang w:val="en-GB"/>
        </w:rPr>
        <w:t>Genome Biol</w:t>
      </w:r>
      <w:r w:rsidRPr="00741B7E">
        <w:rPr>
          <w:lang w:val="en-GB"/>
        </w:rPr>
        <w:t xml:space="preserve">.; </w:t>
      </w:r>
      <w:r w:rsidRPr="00F652DB">
        <w:rPr>
          <w:b/>
          <w:bCs/>
          <w:lang w:val="en-GB"/>
        </w:rPr>
        <w:t>9</w:t>
      </w:r>
      <w:r w:rsidRPr="00741B7E">
        <w:rPr>
          <w:lang w:val="en-GB"/>
        </w:rPr>
        <w:t>,</w:t>
      </w:r>
      <w:r w:rsidRPr="00741B7E">
        <w:rPr>
          <w:b/>
          <w:bCs/>
          <w:lang w:val="en-GB"/>
        </w:rPr>
        <w:t xml:space="preserve"> </w:t>
      </w:r>
      <w:r w:rsidRPr="00741B7E">
        <w:rPr>
          <w:lang w:val="en-GB"/>
        </w:rPr>
        <w:t>R115.</w:t>
      </w:r>
    </w:p>
    <w:p w:rsidR="00E77C30" w:rsidRPr="00741B7E" w:rsidRDefault="00E77C30" w:rsidP="00C02D98">
      <w:pPr>
        <w:spacing w:line="480" w:lineRule="auto"/>
        <w:jc w:val="both"/>
        <w:rPr>
          <w:lang w:val="en-GB"/>
        </w:rPr>
      </w:pPr>
      <w:r>
        <w:rPr>
          <w:lang w:val="en-GB"/>
        </w:rPr>
        <w:t>[35]</w:t>
      </w:r>
      <w:r w:rsidRPr="00741B7E">
        <w:rPr>
          <w:lang w:val="en-GB"/>
        </w:rPr>
        <w:t>Wool I.G.</w:t>
      </w:r>
      <w:r>
        <w:rPr>
          <w:lang w:val="en-GB"/>
        </w:rPr>
        <w:t xml:space="preserve"> (</w:t>
      </w:r>
      <w:r w:rsidRPr="00741B7E">
        <w:rPr>
          <w:lang w:val="en-GB"/>
        </w:rPr>
        <w:t>1996</w:t>
      </w:r>
      <w:r>
        <w:rPr>
          <w:lang w:val="en-GB"/>
        </w:rPr>
        <w:t>).</w:t>
      </w:r>
      <w:r w:rsidRPr="00741B7E">
        <w:rPr>
          <w:lang w:val="en-GB"/>
        </w:rPr>
        <w:t xml:space="preserve"> Extraribosomal functions of ribosomal proteins, </w:t>
      </w:r>
      <w:r w:rsidRPr="00741B7E">
        <w:rPr>
          <w:i/>
          <w:iCs/>
          <w:lang w:val="en-GB"/>
        </w:rPr>
        <w:t>Trends Biochem. Sci.</w:t>
      </w:r>
      <w:r w:rsidRPr="00741B7E">
        <w:rPr>
          <w:lang w:val="en-GB"/>
        </w:rPr>
        <w:t>; 21</w:t>
      </w:r>
      <w:r w:rsidRPr="00741B7E">
        <w:rPr>
          <w:b/>
          <w:bCs/>
          <w:lang w:val="en-GB"/>
        </w:rPr>
        <w:t xml:space="preserve">: </w:t>
      </w:r>
      <w:r w:rsidRPr="00741B7E">
        <w:rPr>
          <w:lang w:val="en-GB"/>
        </w:rPr>
        <w:t>164-165.</w:t>
      </w:r>
    </w:p>
    <w:p w:rsidR="00E77C30" w:rsidRPr="00741B7E" w:rsidRDefault="00E77C30" w:rsidP="00C02D98">
      <w:pPr>
        <w:spacing w:line="480" w:lineRule="auto"/>
        <w:jc w:val="both"/>
        <w:rPr>
          <w:lang w:val="en-GB"/>
        </w:rPr>
      </w:pPr>
      <w:r>
        <w:rPr>
          <w:lang w:val="en-GB"/>
        </w:rPr>
        <w:t>[36]</w:t>
      </w:r>
      <w:r w:rsidRPr="00741B7E">
        <w:rPr>
          <w:lang w:val="en-GB"/>
        </w:rPr>
        <w:t xml:space="preserve">Zhang W.W. </w:t>
      </w:r>
      <w:r>
        <w:rPr>
          <w:lang w:val="en-GB"/>
        </w:rPr>
        <w:t xml:space="preserve">and  </w:t>
      </w:r>
      <w:r w:rsidRPr="00741B7E">
        <w:rPr>
          <w:lang w:val="en-GB"/>
        </w:rPr>
        <w:t>Matlashewski G.</w:t>
      </w:r>
      <w:r>
        <w:rPr>
          <w:lang w:val="en-GB"/>
        </w:rPr>
        <w:t>(</w:t>
      </w:r>
      <w:r w:rsidRPr="00F652DB">
        <w:rPr>
          <w:lang w:val="en-GB"/>
        </w:rPr>
        <w:t xml:space="preserve"> </w:t>
      </w:r>
      <w:r w:rsidRPr="00741B7E">
        <w:rPr>
          <w:lang w:val="en-GB"/>
        </w:rPr>
        <w:t>1997</w:t>
      </w:r>
      <w:r>
        <w:rPr>
          <w:lang w:val="en-GB"/>
        </w:rPr>
        <w:t>).</w:t>
      </w:r>
      <w:r w:rsidRPr="00741B7E">
        <w:rPr>
          <w:lang w:val="en-GB"/>
        </w:rPr>
        <w:t xml:space="preserve"> Loss of virulence in </w:t>
      </w:r>
      <w:r w:rsidRPr="00741B7E">
        <w:rPr>
          <w:i/>
          <w:iCs/>
          <w:lang w:val="en-GB"/>
        </w:rPr>
        <w:t>Leishmania donovani</w:t>
      </w:r>
      <w:r w:rsidRPr="00741B7E">
        <w:rPr>
          <w:lang w:val="en-GB"/>
        </w:rPr>
        <w:t xml:space="preserve"> deficient in an amastigote-specific protein, A2. </w:t>
      </w:r>
      <w:r w:rsidRPr="00741B7E">
        <w:rPr>
          <w:i/>
          <w:iCs/>
          <w:lang w:val="en-GB"/>
        </w:rPr>
        <w:t>Proc. Natl. Acad. Sci.USA</w:t>
      </w:r>
      <w:r w:rsidRPr="00741B7E">
        <w:rPr>
          <w:lang w:val="en-GB"/>
        </w:rPr>
        <w:t xml:space="preserve">; </w:t>
      </w:r>
      <w:r w:rsidRPr="00F652DB">
        <w:rPr>
          <w:b/>
          <w:bCs/>
          <w:lang w:val="en-GB"/>
        </w:rPr>
        <w:t>94</w:t>
      </w:r>
      <w:r w:rsidRPr="00741B7E">
        <w:rPr>
          <w:b/>
          <w:bCs/>
          <w:lang w:val="en-GB"/>
        </w:rPr>
        <w:t xml:space="preserve">: </w:t>
      </w:r>
      <w:r w:rsidRPr="00741B7E">
        <w:rPr>
          <w:lang w:val="en-GB"/>
        </w:rPr>
        <w:t>8807-8811.</w:t>
      </w:r>
    </w:p>
    <w:p w:rsidR="00E77C30" w:rsidRDefault="00E77C30" w:rsidP="00C02D98">
      <w:pPr>
        <w:rPr>
          <w:lang w:val="en-GB"/>
        </w:rPr>
        <w:sectPr w:rsidR="00E77C30" w:rsidSect="007607FC">
          <w:type w:val="continuous"/>
          <w:pgSz w:w="11906" w:h="16838" w:code="9"/>
          <w:pgMar w:top="1440" w:right="1440" w:bottom="1440" w:left="1440" w:header="709" w:footer="709" w:gutter="0"/>
          <w:cols w:num="2" w:space="708"/>
          <w:docGrid w:linePitch="360"/>
        </w:sectPr>
      </w:pPr>
      <w:r w:rsidRPr="00741B7E">
        <w:rPr>
          <w:lang w:val="en-GB"/>
        </w:rPr>
        <w:fldChar w:fldCharType="end"/>
      </w:r>
    </w:p>
    <w:p w:rsidR="00E77C30" w:rsidRDefault="00E77C30" w:rsidP="00C02D98"/>
    <w:sectPr w:rsidR="00E77C30" w:rsidSect="00885A27">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30" w:rsidRDefault="00E77C30" w:rsidP="006B457B">
      <w:r>
        <w:separator/>
      </w:r>
    </w:p>
  </w:endnote>
  <w:endnote w:type="continuationSeparator" w:id="1">
    <w:p w:rsidR="00E77C30" w:rsidRDefault="00E77C30" w:rsidP="006B4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badi MT Condensed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30" w:rsidRDefault="00E77C30" w:rsidP="00060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E77C30" w:rsidRDefault="00E77C30" w:rsidP="000603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30" w:rsidRPr="00885A27" w:rsidRDefault="00E77C30" w:rsidP="00432F83">
    <w:pPr>
      <w:pStyle w:val="Footer"/>
      <w:tabs>
        <w:tab w:val="clear" w:pos="9072"/>
      </w:tabs>
      <w:ind w:right="360"/>
      <w:rPr>
        <w:sz w:val="20"/>
        <w:szCs w:val="20"/>
      </w:rPr>
    </w:pPr>
    <w:r w:rsidRPr="00885A27">
      <w:rPr>
        <w:sz w:val="20"/>
        <w:szCs w:val="20"/>
        <w:u w:val="single"/>
      </w:rPr>
      <w:t>http://www.sciencepub.net</w:t>
    </w:r>
    <w:r w:rsidRPr="00885A27">
      <w:rPr>
        <w:sz w:val="20"/>
        <w:szCs w:val="20"/>
      </w:rPr>
      <w:tab/>
    </w:r>
    <w:r w:rsidRPr="00885A27">
      <w:rPr>
        <w:sz w:val="20"/>
        <w:szCs w:val="20"/>
        <w:u w:val="single"/>
      </w:rPr>
      <w:t xml:space="preserve"> marslandpress@gmail.com.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30" w:rsidRDefault="00E77C30" w:rsidP="006B457B">
      <w:r>
        <w:separator/>
      </w:r>
    </w:p>
  </w:footnote>
  <w:footnote w:type="continuationSeparator" w:id="1">
    <w:p w:rsidR="00E77C30" w:rsidRDefault="00E77C30" w:rsidP="006B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30" w:rsidRDefault="00E77C30">
    <w:pPr>
      <w:pStyle w:val="Header"/>
      <w:pBdr>
        <w:bottom w:val="thickThinSmallGap" w:sz="24" w:space="1" w:color="622423"/>
      </w:pBdr>
      <w:jc w:val="center"/>
      <w:rPr>
        <w:rFonts w:ascii="Cambria" w:eastAsia="SimSun" w:hAnsi="Cambria"/>
        <w:sz w:val="32"/>
        <w:szCs w:val="32"/>
      </w:rPr>
    </w:pPr>
    <w:r>
      <w:rPr>
        <w:sz w:val="20"/>
        <w:szCs w:val="20"/>
        <w:lang w:val="en-GB"/>
      </w:rPr>
      <w:t>New York Science Journal, 2009; x(x)      Turki-Mannoubi et al, Correlation between gene expression</w:t>
    </w:r>
  </w:p>
  <w:p w:rsidR="00E77C30" w:rsidRDefault="00E77C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57B"/>
    <w:rsid w:val="0004281C"/>
    <w:rsid w:val="00060355"/>
    <w:rsid w:val="000A173D"/>
    <w:rsid w:val="001A5CE1"/>
    <w:rsid w:val="001B48A4"/>
    <w:rsid w:val="00367140"/>
    <w:rsid w:val="004261FC"/>
    <w:rsid w:val="00432F83"/>
    <w:rsid w:val="004A683A"/>
    <w:rsid w:val="004D3E8B"/>
    <w:rsid w:val="004D413B"/>
    <w:rsid w:val="004F4822"/>
    <w:rsid w:val="005728EF"/>
    <w:rsid w:val="00624204"/>
    <w:rsid w:val="00674605"/>
    <w:rsid w:val="006B457B"/>
    <w:rsid w:val="006D5AB6"/>
    <w:rsid w:val="00702E3C"/>
    <w:rsid w:val="00741B7E"/>
    <w:rsid w:val="007607FC"/>
    <w:rsid w:val="00885A27"/>
    <w:rsid w:val="00917374"/>
    <w:rsid w:val="00920524"/>
    <w:rsid w:val="00963BAB"/>
    <w:rsid w:val="009D6F52"/>
    <w:rsid w:val="00A23A21"/>
    <w:rsid w:val="00AB05BD"/>
    <w:rsid w:val="00AD7EF1"/>
    <w:rsid w:val="00AF5BE3"/>
    <w:rsid w:val="00B323D0"/>
    <w:rsid w:val="00BD7C9F"/>
    <w:rsid w:val="00C02D98"/>
    <w:rsid w:val="00CF2560"/>
    <w:rsid w:val="00D331A3"/>
    <w:rsid w:val="00DE0629"/>
    <w:rsid w:val="00E16369"/>
    <w:rsid w:val="00E77C30"/>
    <w:rsid w:val="00ED21F0"/>
    <w:rsid w:val="00F652DB"/>
    <w:rsid w:val="00FD774F"/>
    <w:rsid w:val="00FF1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7B"/>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9"/>
    <w:qFormat/>
    <w:rsid w:val="006B45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B457B"/>
    <w:pPr>
      <w:keepNext/>
      <w:spacing w:before="240" w:after="60"/>
      <w:outlineLvl w:val="1"/>
    </w:pPr>
    <w:rPr>
      <w:b/>
      <w:bCs/>
      <w:i/>
      <w:iCs/>
      <w:sz w:val="28"/>
      <w:szCs w:val="28"/>
    </w:rPr>
  </w:style>
  <w:style w:type="paragraph" w:styleId="Heading4">
    <w:name w:val="heading 4"/>
    <w:basedOn w:val="Normal"/>
    <w:next w:val="Normal"/>
    <w:link w:val="Heading4Char"/>
    <w:autoRedefine/>
    <w:uiPriority w:val="99"/>
    <w:qFormat/>
    <w:rsid w:val="006B457B"/>
    <w:pPr>
      <w:keepNext/>
      <w:spacing w:before="240" w:after="60"/>
      <w:outlineLvl w:val="3"/>
    </w:pPr>
    <w:rPr>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457B"/>
    <w:rPr>
      <w:rFonts w:ascii="Arial" w:hAnsi="Arial" w:cs="Arial"/>
      <w:b/>
      <w:bCs/>
      <w:kern w:val="32"/>
      <w:sz w:val="32"/>
      <w:szCs w:val="32"/>
      <w:lang w:val="fr-FR" w:eastAsia="fr-FR"/>
    </w:rPr>
  </w:style>
  <w:style w:type="character" w:customStyle="1" w:styleId="Heading2Char">
    <w:name w:val="Heading 2 Char"/>
    <w:basedOn w:val="DefaultParagraphFont"/>
    <w:link w:val="Heading2"/>
    <w:uiPriority w:val="99"/>
    <w:rsid w:val="006B457B"/>
    <w:rPr>
      <w:rFonts w:ascii="Times New Roman" w:hAnsi="Times New Roman" w:cs="Times New Roman"/>
      <w:b/>
      <w:bCs/>
      <w:i/>
      <w:iCs/>
      <w:sz w:val="28"/>
      <w:szCs w:val="28"/>
      <w:lang w:val="fr-FR" w:eastAsia="fr-FR"/>
    </w:rPr>
  </w:style>
  <w:style w:type="character" w:customStyle="1" w:styleId="Heading4Char">
    <w:name w:val="Heading 4 Char"/>
    <w:basedOn w:val="DefaultParagraphFont"/>
    <w:link w:val="Heading4"/>
    <w:uiPriority w:val="99"/>
    <w:rsid w:val="006B457B"/>
    <w:rPr>
      <w:rFonts w:ascii="Times New Roman" w:hAnsi="Times New Roman" w:cs="Times New Roman"/>
      <w:b/>
      <w:bCs/>
      <w:smallCaps/>
      <w:sz w:val="28"/>
      <w:szCs w:val="28"/>
      <w:lang w:val="fr-FR" w:eastAsia="fr-FR"/>
    </w:rPr>
  </w:style>
  <w:style w:type="paragraph" w:customStyle="1" w:styleId="Style2">
    <w:name w:val="Style2"/>
    <w:basedOn w:val="Heading1"/>
    <w:uiPriority w:val="99"/>
    <w:rsid w:val="006B457B"/>
    <w:pPr>
      <w:tabs>
        <w:tab w:val="num" w:pos="432"/>
      </w:tabs>
      <w:spacing w:before="120" w:after="120" w:line="360" w:lineRule="auto"/>
      <w:ind w:left="432" w:hanging="432"/>
      <w:jc w:val="center"/>
    </w:pPr>
    <w:rPr>
      <w:rFonts w:ascii="Times New Roman" w:hAnsi="Times New Roman" w:cs="Times New Roman"/>
      <w:smallCaps/>
      <w:noProof/>
    </w:rPr>
  </w:style>
  <w:style w:type="paragraph" w:styleId="Title">
    <w:name w:val="Title"/>
    <w:basedOn w:val="Normal"/>
    <w:link w:val="TitleChar"/>
    <w:uiPriority w:val="99"/>
    <w:qFormat/>
    <w:rsid w:val="006B45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B457B"/>
    <w:rPr>
      <w:rFonts w:ascii="Arial" w:hAnsi="Arial" w:cs="Arial"/>
      <w:b/>
      <w:bCs/>
      <w:kern w:val="28"/>
      <w:sz w:val="32"/>
      <w:szCs w:val="32"/>
      <w:lang w:val="fr-FR" w:eastAsia="fr-FR"/>
    </w:rPr>
  </w:style>
  <w:style w:type="paragraph" w:customStyle="1" w:styleId="Style1">
    <w:name w:val="Style1"/>
    <w:basedOn w:val="Heading1"/>
    <w:uiPriority w:val="99"/>
    <w:rsid w:val="006B457B"/>
    <w:pPr>
      <w:tabs>
        <w:tab w:val="num" w:pos="432"/>
      </w:tabs>
      <w:spacing w:after="240" w:line="360" w:lineRule="auto"/>
      <w:ind w:left="432" w:hanging="432"/>
      <w:jc w:val="center"/>
    </w:pPr>
    <w:rPr>
      <w:rFonts w:ascii="Times New Roman" w:hAnsi="Times New Roman" w:cs="Times New Roman"/>
      <w:i/>
      <w:iCs/>
      <w:color w:val="FF0000"/>
    </w:rPr>
  </w:style>
  <w:style w:type="paragraph" w:customStyle="1" w:styleId="Style3">
    <w:name w:val="Style3"/>
    <w:basedOn w:val="Heading1"/>
    <w:uiPriority w:val="99"/>
    <w:rsid w:val="006B457B"/>
    <w:pPr>
      <w:tabs>
        <w:tab w:val="num" w:pos="432"/>
      </w:tabs>
      <w:spacing w:before="120" w:after="120" w:line="360" w:lineRule="auto"/>
      <w:ind w:left="432" w:hanging="432"/>
      <w:jc w:val="center"/>
    </w:pPr>
    <w:rPr>
      <w:rFonts w:ascii="Times New Roman" w:hAnsi="Times New Roman" w:cs="Times New Roman"/>
      <w:smallCaps/>
    </w:rPr>
  </w:style>
  <w:style w:type="paragraph" w:customStyle="1" w:styleId="Style4">
    <w:name w:val="Style4"/>
    <w:basedOn w:val="Heading1"/>
    <w:uiPriority w:val="99"/>
    <w:rsid w:val="006B457B"/>
    <w:pPr>
      <w:tabs>
        <w:tab w:val="num" w:pos="432"/>
      </w:tabs>
      <w:spacing w:after="240" w:line="360" w:lineRule="auto"/>
      <w:ind w:left="432" w:hanging="432"/>
      <w:jc w:val="center"/>
    </w:pPr>
    <w:rPr>
      <w:rFonts w:ascii="Times New Roman" w:hAnsi="Times New Roman" w:cs="Times New Roman"/>
      <w:smallCaps/>
    </w:rPr>
  </w:style>
  <w:style w:type="paragraph" w:customStyle="1" w:styleId="Style5">
    <w:name w:val="Style5"/>
    <w:basedOn w:val="Heading1"/>
    <w:uiPriority w:val="99"/>
    <w:rsid w:val="006B457B"/>
    <w:pPr>
      <w:tabs>
        <w:tab w:val="num" w:pos="432"/>
      </w:tabs>
      <w:spacing w:before="120" w:after="120" w:line="360" w:lineRule="auto"/>
      <w:ind w:left="432" w:hanging="432"/>
      <w:jc w:val="center"/>
    </w:pPr>
    <w:rPr>
      <w:rFonts w:ascii="Abadi MT Condensed Extra Bold" w:hAnsi="Abadi MT Condensed Extra Bold" w:cs="Abadi MT Condensed Extra Bold"/>
      <w:i/>
      <w:iCs/>
    </w:rPr>
  </w:style>
  <w:style w:type="paragraph" w:customStyle="1" w:styleId="Style6">
    <w:name w:val="Style6"/>
    <w:basedOn w:val="Heading1"/>
    <w:uiPriority w:val="99"/>
    <w:rsid w:val="006B457B"/>
    <w:pPr>
      <w:tabs>
        <w:tab w:val="num" w:pos="432"/>
      </w:tabs>
      <w:spacing w:before="120" w:after="120" w:line="360" w:lineRule="auto"/>
      <w:ind w:left="432" w:hanging="432"/>
      <w:jc w:val="center"/>
    </w:pPr>
    <w:rPr>
      <w:rFonts w:ascii="Abadi MT Condensed Extra Bold" w:hAnsi="Abadi MT Condensed Extra Bold" w:cs="Abadi MT Condensed Extra Bold"/>
      <w:i/>
      <w:iCs/>
    </w:rPr>
  </w:style>
  <w:style w:type="paragraph" w:customStyle="1" w:styleId="Titre0">
    <w:name w:val="Titre 0"/>
    <w:basedOn w:val="Heading1"/>
    <w:autoRedefine/>
    <w:uiPriority w:val="99"/>
    <w:rsid w:val="006B457B"/>
    <w:pPr>
      <w:spacing w:before="120" w:after="120" w:line="360" w:lineRule="auto"/>
    </w:pPr>
    <w:rPr>
      <w:rFonts w:ascii="Times New Roman" w:hAnsi="Times New Roman" w:cs="Times New Roman"/>
      <w:smallCaps/>
      <w:sz w:val="36"/>
      <w:szCs w:val="36"/>
    </w:rPr>
  </w:style>
  <w:style w:type="paragraph" w:styleId="Footer">
    <w:name w:val="footer"/>
    <w:basedOn w:val="Normal"/>
    <w:link w:val="FooterChar"/>
    <w:uiPriority w:val="99"/>
    <w:rsid w:val="006B457B"/>
    <w:pPr>
      <w:tabs>
        <w:tab w:val="center" w:pos="4536"/>
        <w:tab w:val="right" w:pos="9072"/>
      </w:tabs>
    </w:pPr>
  </w:style>
  <w:style w:type="character" w:customStyle="1" w:styleId="FooterChar">
    <w:name w:val="Footer Char"/>
    <w:basedOn w:val="DefaultParagraphFont"/>
    <w:link w:val="Footer"/>
    <w:uiPriority w:val="99"/>
    <w:rsid w:val="006B457B"/>
    <w:rPr>
      <w:rFonts w:ascii="Times New Roman" w:hAnsi="Times New Roman" w:cs="Times New Roman"/>
      <w:sz w:val="24"/>
      <w:szCs w:val="24"/>
      <w:lang w:val="fr-FR" w:eastAsia="fr-FR"/>
    </w:rPr>
  </w:style>
  <w:style w:type="character" w:styleId="PageNumber">
    <w:name w:val="page number"/>
    <w:basedOn w:val="DefaultParagraphFont"/>
    <w:uiPriority w:val="99"/>
    <w:rsid w:val="006B457B"/>
  </w:style>
  <w:style w:type="paragraph" w:styleId="CommentText">
    <w:name w:val="annotation text"/>
    <w:basedOn w:val="Normal"/>
    <w:link w:val="CommentTextChar"/>
    <w:uiPriority w:val="99"/>
    <w:semiHidden/>
    <w:rsid w:val="006B457B"/>
    <w:rPr>
      <w:sz w:val="20"/>
      <w:szCs w:val="20"/>
    </w:rPr>
  </w:style>
  <w:style w:type="character" w:customStyle="1" w:styleId="CommentTextChar">
    <w:name w:val="Comment Text Char"/>
    <w:basedOn w:val="DefaultParagraphFont"/>
    <w:link w:val="CommentText"/>
    <w:uiPriority w:val="99"/>
    <w:semiHidden/>
    <w:rsid w:val="006B457B"/>
    <w:rPr>
      <w:rFonts w:ascii="Times New Roman" w:hAnsi="Times New Roman" w:cs="Times New Roman"/>
      <w:sz w:val="20"/>
      <w:szCs w:val="20"/>
      <w:lang w:val="fr-FR" w:eastAsia="fr-FR"/>
    </w:rPr>
  </w:style>
  <w:style w:type="character" w:styleId="CommentReference">
    <w:name w:val="annotation reference"/>
    <w:basedOn w:val="DefaultParagraphFont"/>
    <w:uiPriority w:val="99"/>
    <w:semiHidden/>
    <w:rsid w:val="006B457B"/>
    <w:rPr>
      <w:sz w:val="16"/>
      <w:szCs w:val="16"/>
    </w:rPr>
  </w:style>
  <w:style w:type="paragraph" w:styleId="HTMLPreformatted">
    <w:name w:val="HTML Preformatted"/>
    <w:basedOn w:val="Normal"/>
    <w:link w:val="HTMLPreformattedChar"/>
    <w:uiPriority w:val="99"/>
    <w:rsid w:val="006B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457B"/>
    <w:rPr>
      <w:rFonts w:ascii="Courier New" w:hAnsi="Courier New" w:cs="Courier New"/>
      <w:sz w:val="20"/>
      <w:szCs w:val="20"/>
      <w:lang w:val="fr-FR" w:eastAsia="fr-FR"/>
    </w:rPr>
  </w:style>
  <w:style w:type="paragraph" w:styleId="BalloonText">
    <w:name w:val="Balloon Text"/>
    <w:basedOn w:val="Normal"/>
    <w:link w:val="BalloonTextChar"/>
    <w:uiPriority w:val="99"/>
    <w:semiHidden/>
    <w:rsid w:val="006B457B"/>
    <w:rPr>
      <w:rFonts w:ascii="Tahoma" w:hAnsi="Tahoma" w:cs="Tahoma"/>
      <w:sz w:val="16"/>
      <w:szCs w:val="16"/>
    </w:rPr>
  </w:style>
  <w:style w:type="character" w:customStyle="1" w:styleId="BalloonTextChar">
    <w:name w:val="Balloon Text Char"/>
    <w:basedOn w:val="DefaultParagraphFont"/>
    <w:link w:val="BalloonText"/>
    <w:uiPriority w:val="99"/>
    <w:semiHidden/>
    <w:rsid w:val="006B457B"/>
    <w:rPr>
      <w:rFonts w:ascii="Tahoma" w:hAnsi="Tahoma" w:cs="Tahoma"/>
      <w:sz w:val="16"/>
      <w:szCs w:val="16"/>
      <w:lang w:val="fr-FR" w:eastAsia="fr-FR"/>
    </w:rPr>
  </w:style>
  <w:style w:type="table" w:styleId="TableGrid">
    <w:name w:val="Table Grid"/>
    <w:basedOn w:val="TableNormal"/>
    <w:uiPriority w:val="99"/>
    <w:rsid w:val="006B457B"/>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457B"/>
    <w:rPr>
      <w:color w:val="0000FF"/>
      <w:u w:val="single"/>
    </w:rPr>
  </w:style>
  <w:style w:type="paragraph" w:styleId="CommentSubject">
    <w:name w:val="annotation subject"/>
    <w:basedOn w:val="CommentText"/>
    <w:next w:val="CommentText"/>
    <w:link w:val="CommentSubjectChar"/>
    <w:uiPriority w:val="99"/>
    <w:semiHidden/>
    <w:rsid w:val="006B457B"/>
    <w:rPr>
      <w:b/>
      <w:bCs/>
    </w:rPr>
  </w:style>
  <w:style w:type="character" w:customStyle="1" w:styleId="CommentSubjectChar">
    <w:name w:val="Comment Subject Char"/>
    <w:basedOn w:val="CommentTextChar"/>
    <w:link w:val="CommentSubject"/>
    <w:uiPriority w:val="99"/>
    <w:semiHidden/>
    <w:rsid w:val="006B457B"/>
    <w:rPr>
      <w:b/>
      <w:bCs/>
    </w:rPr>
  </w:style>
  <w:style w:type="paragraph" w:customStyle="1" w:styleId="Default">
    <w:name w:val="Default"/>
    <w:uiPriority w:val="99"/>
    <w:rsid w:val="006B457B"/>
    <w:pPr>
      <w:autoSpaceDE w:val="0"/>
      <w:autoSpaceDN w:val="0"/>
      <w:adjustRightInd w:val="0"/>
    </w:pPr>
    <w:rPr>
      <w:rFonts w:ascii="Times New Roman" w:eastAsia="Times New Roman" w:hAnsi="Times New Roman"/>
      <w:color w:val="000000"/>
      <w:sz w:val="24"/>
      <w:szCs w:val="24"/>
      <w:lang w:val="en-GB" w:eastAsia="en-GB"/>
    </w:rPr>
  </w:style>
  <w:style w:type="paragraph" w:styleId="Header">
    <w:name w:val="header"/>
    <w:basedOn w:val="Normal"/>
    <w:link w:val="HeaderChar"/>
    <w:uiPriority w:val="99"/>
    <w:rsid w:val="006B457B"/>
    <w:pPr>
      <w:tabs>
        <w:tab w:val="center" w:pos="4513"/>
        <w:tab w:val="right" w:pos="9026"/>
      </w:tabs>
    </w:pPr>
  </w:style>
  <w:style w:type="character" w:customStyle="1" w:styleId="HeaderChar">
    <w:name w:val="Header Char"/>
    <w:basedOn w:val="DefaultParagraphFont"/>
    <w:link w:val="Header"/>
    <w:uiPriority w:val="99"/>
    <w:rsid w:val="006B457B"/>
    <w:rPr>
      <w:rFonts w:ascii="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sanger.ac.uk/software/ACT"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lyonlab@yahoo.com" TargetMode="External"/><Relationship Id="rId11" Type="http://schemas.openxmlformats.org/officeDocument/2006/relationships/hyperlink" Target="ftp://ftp.sanger.ac.uk/pub/pathogens/Leishmania/infantum"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ftp://ftp.ncbi.nih.gov/blast/).%20Thus" TargetMode="External"/><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23</Pages>
  <Words>5800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2009; x(x)      Turki-Mannoubi et al, Correlation between gene expression</dc:title>
  <dc:subject/>
  <dc:creator>Casmir Ifeanyi</dc:creator>
  <cp:keywords/>
  <dc:description/>
  <cp:lastModifiedBy>BHMC</cp:lastModifiedBy>
  <cp:revision>4</cp:revision>
  <dcterms:created xsi:type="dcterms:W3CDTF">2009-11-13T16:22:00Z</dcterms:created>
  <dcterms:modified xsi:type="dcterms:W3CDTF">2009-11-15T03:39:00Z</dcterms:modified>
</cp:coreProperties>
</file>