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A7" w:rsidRPr="00133A91" w:rsidRDefault="003525A7" w:rsidP="002628C5">
      <w:pPr>
        <w:ind w:left="360"/>
        <w:jc w:val="center"/>
        <w:rPr>
          <w:b/>
          <w:bCs/>
          <w:u w:val="single"/>
        </w:rPr>
      </w:pPr>
      <w:r w:rsidRPr="00133A91">
        <w:rPr>
          <w:b/>
          <w:bCs/>
          <w:u w:val="single"/>
        </w:rPr>
        <w:t xml:space="preserve">Cover </w:t>
      </w:r>
      <w:r>
        <w:rPr>
          <w:b/>
          <w:bCs/>
          <w:u w:val="single"/>
        </w:rPr>
        <w:t>Letter</w:t>
      </w:r>
    </w:p>
    <w:p w:rsidR="003525A7" w:rsidRDefault="003525A7" w:rsidP="002628C5">
      <w:pPr>
        <w:ind w:left="360"/>
        <w:rPr>
          <w:sz w:val="20"/>
          <w:szCs w:val="20"/>
        </w:rPr>
      </w:pPr>
    </w:p>
    <w:p w:rsidR="003525A7" w:rsidRPr="00133A91" w:rsidRDefault="003525A7" w:rsidP="002628C5">
      <w:pPr>
        <w:ind w:left="360"/>
        <w:rPr>
          <w:sz w:val="20"/>
          <w:szCs w:val="20"/>
        </w:rPr>
      </w:pPr>
      <w:r w:rsidRPr="00133A91">
        <w:rPr>
          <w:sz w:val="20"/>
          <w:szCs w:val="20"/>
        </w:rPr>
        <w:t>To,</w:t>
      </w:r>
    </w:p>
    <w:p w:rsidR="003525A7" w:rsidRPr="00133A91" w:rsidRDefault="003525A7" w:rsidP="002628C5">
      <w:pPr>
        <w:ind w:left="360"/>
        <w:rPr>
          <w:sz w:val="20"/>
          <w:szCs w:val="20"/>
        </w:rPr>
      </w:pPr>
      <w:r w:rsidRPr="00133A91">
        <w:rPr>
          <w:sz w:val="20"/>
          <w:szCs w:val="20"/>
        </w:rPr>
        <w:t>Chief Editor</w:t>
      </w:r>
    </w:p>
    <w:p w:rsidR="003525A7" w:rsidRPr="00133A91" w:rsidRDefault="003525A7" w:rsidP="002628C5">
      <w:pPr>
        <w:ind w:left="360"/>
        <w:rPr>
          <w:sz w:val="20"/>
          <w:szCs w:val="20"/>
        </w:rPr>
      </w:pPr>
      <w:r w:rsidRPr="00133A91">
        <w:rPr>
          <w:sz w:val="20"/>
          <w:szCs w:val="20"/>
        </w:rPr>
        <w:t>Nature and Science</w:t>
      </w:r>
    </w:p>
    <w:p w:rsidR="003525A7" w:rsidRPr="00133A91" w:rsidRDefault="003525A7" w:rsidP="002628C5">
      <w:pPr>
        <w:ind w:left="360"/>
        <w:rPr>
          <w:sz w:val="20"/>
          <w:szCs w:val="20"/>
        </w:rPr>
      </w:pPr>
      <w:r w:rsidRPr="00133A91">
        <w:rPr>
          <w:sz w:val="20"/>
          <w:szCs w:val="20"/>
        </w:rPr>
        <w:t>Marsland Company</w:t>
      </w:r>
    </w:p>
    <w:p w:rsidR="003525A7" w:rsidRPr="00133A91" w:rsidRDefault="003525A7" w:rsidP="002628C5">
      <w:pPr>
        <w:ind w:left="360"/>
        <w:rPr>
          <w:sz w:val="20"/>
          <w:szCs w:val="20"/>
        </w:rPr>
      </w:pPr>
      <w:smartTag w:uri="urn:schemas-microsoft-com:office:smarttags" w:element="address">
        <w:smartTag w:uri="urn:schemas-microsoft-com:office:smarttags" w:element="Street">
          <w:r w:rsidRPr="00133A91">
            <w:rPr>
              <w:sz w:val="20"/>
              <w:szCs w:val="20"/>
            </w:rPr>
            <w:t>P.O. Box 753</w:t>
          </w:r>
        </w:smartTag>
        <w:r w:rsidRPr="00133A91">
          <w:rPr>
            <w:sz w:val="20"/>
            <w:szCs w:val="20"/>
          </w:rPr>
          <w:t xml:space="preserve"> </w:t>
        </w:r>
        <w:smartTag w:uri="urn:schemas-microsoft-com:office:smarttags" w:element="City">
          <w:r w:rsidRPr="00133A91">
            <w:rPr>
              <w:sz w:val="20"/>
              <w:szCs w:val="20"/>
            </w:rPr>
            <w:t>East Lansing</w:t>
          </w:r>
        </w:smartTag>
        <w:r w:rsidRPr="00133A91">
          <w:rPr>
            <w:sz w:val="20"/>
            <w:szCs w:val="20"/>
          </w:rPr>
          <w:t xml:space="preserve">, </w:t>
        </w:r>
        <w:smartTag w:uri="urn:schemas-microsoft-com:office:smarttags" w:element="State">
          <w:r w:rsidRPr="00133A91">
            <w:rPr>
              <w:sz w:val="20"/>
              <w:szCs w:val="20"/>
            </w:rPr>
            <w:t>Michigan</w:t>
          </w:r>
        </w:smartTag>
        <w:r w:rsidRPr="00133A91">
          <w:rPr>
            <w:sz w:val="20"/>
            <w:szCs w:val="20"/>
          </w:rPr>
          <w:t xml:space="preserve"> </w:t>
        </w:r>
        <w:smartTag w:uri="urn:schemas-microsoft-com:office:smarttags" w:element="PostalCode">
          <w:r w:rsidRPr="00133A91">
            <w:rPr>
              <w:sz w:val="20"/>
              <w:szCs w:val="20"/>
            </w:rPr>
            <w:t>48826</w:t>
          </w:r>
        </w:smartTag>
      </w:smartTag>
    </w:p>
    <w:p w:rsidR="003525A7" w:rsidRPr="00133A91" w:rsidRDefault="003525A7" w:rsidP="002628C5">
      <w:pPr>
        <w:ind w:left="360"/>
        <w:rPr>
          <w:sz w:val="20"/>
          <w:szCs w:val="20"/>
        </w:rPr>
      </w:pPr>
      <w:r w:rsidRPr="00133A91">
        <w:rPr>
          <w:sz w:val="20"/>
          <w:szCs w:val="20"/>
        </w:rPr>
        <w:t xml:space="preserve">The </w:t>
      </w:r>
      <w:smartTag w:uri="urn:schemas-microsoft-com:office:smarttags" w:element="place">
        <w:smartTag w:uri="urn:schemas-microsoft-com:office:smarttags" w:element="country-region">
          <w:r w:rsidRPr="00133A91">
            <w:rPr>
              <w:sz w:val="20"/>
              <w:szCs w:val="20"/>
            </w:rPr>
            <w:t>United States</w:t>
          </w:r>
        </w:smartTag>
      </w:smartTag>
    </w:p>
    <w:p w:rsidR="003525A7" w:rsidRPr="00133A91" w:rsidRDefault="003525A7" w:rsidP="002628C5">
      <w:pPr>
        <w:ind w:left="360"/>
        <w:rPr>
          <w:sz w:val="20"/>
          <w:szCs w:val="20"/>
        </w:rPr>
      </w:pPr>
    </w:p>
    <w:p w:rsidR="003525A7" w:rsidRPr="00133A91" w:rsidRDefault="003525A7" w:rsidP="002628C5">
      <w:pPr>
        <w:ind w:left="360"/>
        <w:rPr>
          <w:sz w:val="20"/>
          <w:szCs w:val="20"/>
        </w:rPr>
      </w:pPr>
      <w:r>
        <w:rPr>
          <w:sz w:val="20"/>
          <w:szCs w:val="20"/>
        </w:rPr>
        <w:t>Subject: SUBMISSION OF</w:t>
      </w:r>
      <w:r w:rsidRPr="00133A91">
        <w:rPr>
          <w:sz w:val="20"/>
          <w:szCs w:val="20"/>
        </w:rPr>
        <w:t xml:space="preserve"> MANUSCRIPT</w:t>
      </w:r>
    </w:p>
    <w:p w:rsidR="003525A7" w:rsidRPr="00133A91" w:rsidRDefault="003525A7" w:rsidP="002628C5">
      <w:pPr>
        <w:ind w:left="360"/>
        <w:rPr>
          <w:sz w:val="20"/>
          <w:szCs w:val="20"/>
        </w:rPr>
      </w:pPr>
    </w:p>
    <w:p w:rsidR="003525A7" w:rsidRPr="002628C5" w:rsidRDefault="003525A7" w:rsidP="009F5208">
      <w:pPr>
        <w:ind w:left="360"/>
        <w:rPr>
          <w:b/>
          <w:bCs/>
          <w:caps/>
          <w:sz w:val="20"/>
          <w:szCs w:val="20"/>
        </w:rPr>
      </w:pPr>
      <w:r w:rsidRPr="00133A91">
        <w:rPr>
          <w:sz w:val="20"/>
          <w:szCs w:val="20"/>
        </w:rPr>
        <w:t>Title:</w:t>
      </w:r>
      <w:r w:rsidRPr="00133A91">
        <w:rPr>
          <w:spacing w:val="-14"/>
          <w:kern w:val="36"/>
          <w:sz w:val="20"/>
          <w:szCs w:val="20"/>
        </w:rPr>
        <w:t xml:space="preserve"> </w:t>
      </w:r>
      <w:r>
        <w:rPr>
          <w:b/>
          <w:bCs/>
          <w:caps/>
          <w:sz w:val="20"/>
          <w:szCs w:val="20"/>
        </w:rPr>
        <w:t>Soyabean</w:t>
      </w:r>
      <w:r w:rsidRPr="002628C5">
        <w:rPr>
          <w:b/>
          <w:bCs/>
          <w:caps/>
          <w:sz w:val="20"/>
          <w:szCs w:val="20"/>
        </w:rPr>
        <w:t xml:space="preserve"> SEED QUALITY EVALUATION </w:t>
      </w:r>
    </w:p>
    <w:p w:rsidR="003525A7" w:rsidRPr="00293027" w:rsidRDefault="003525A7" w:rsidP="002628C5">
      <w:pPr>
        <w:ind w:left="360"/>
        <w:rPr>
          <w:spacing w:val="-14"/>
          <w:kern w:val="36"/>
          <w:sz w:val="16"/>
          <w:szCs w:val="16"/>
        </w:rPr>
      </w:pPr>
    </w:p>
    <w:p w:rsidR="003525A7" w:rsidRDefault="003525A7" w:rsidP="002628C5">
      <w:pPr>
        <w:ind w:left="360"/>
        <w:rPr>
          <w:sz w:val="20"/>
          <w:szCs w:val="20"/>
        </w:rPr>
      </w:pPr>
    </w:p>
    <w:p w:rsidR="003525A7" w:rsidRPr="00133A91" w:rsidRDefault="003525A7" w:rsidP="002628C5">
      <w:pPr>
        <w:ind w:left="360"/>
        <w:rPr>
          <w:sz w:val="20"/>
          <w:szCs w:val="20"/>
        </w:rPr>
      </w:pPr>
      <w:r w:rsidRPr="00133A91">
        <w:rPr>
          <w:sz w:val="20"/>
          <w:szCs w:val="20"/>
        </w:rPr>
        <w:t>Dear Editor</w:t>
      </w:r>
    </w:p>
    <w:p w:rsidR="003525A7" w:rsidRPr="00133A91" w:rsidRDefault="003525A7" w:rsidP="002628C5">
      <w:pPr>
        <w:ind w:left="360"/>
        <w:rPr>
          <w:caps/>
          <w:sz w:val="20"/>
          <w:szCs w:val="20"/>
        </w:rPr>
      </w:pPr>
      <w:r w:rsidRPr="00133A91">
        <w:rPr>
          <w:sz w:val="20"/>
          <w:szCs w:val="20"/>
        </w:rPr>
        <w:t xml:space="preserve">I am enclosing herewith a manuscript for publication in “Nature and Science Journal”. </w:t>
      </w:r>
    </w:p>
    <w:p w:rsidR="003525A7" w:rsidRPr="00133A91" w:rsidRDefault="003525A7" w:rsidP="002628C5">
      <w:pPr>
        <w:ind w:left="360"/>
        <w:rPr>
          <w:sz w:val="20"/>
          <w:szCs w:val="20"/>
        </w:rPr>
      </w:pPr>
      <w:r w:rsidRPr="00133A91">
        <w:rPr>
          <w:sz w:val="20"/>
          <w:szCs w:val="20"/>
        </w:rPr>
        <w:t>With the submission of this manuscript I would like to undertake that the above mentioned manuscript has not been published elsewhere, accepted for publication elsewhere or under editorial review for publication elsewhere.</w:t>
      </w:r>
    </w:p>
    <w:p w:rsidR="003525A7" w:rsidRPr="00133A91" w:rsidRDefault="003525A7" w:rsidP="002628C5">
      <w:pPr>
        <w:ind w:left="360"/>
        <w:rPr>
          <w:sz w:val="20"/>
          <w:szCs w:val="20"/>
        </w:rPr>
      </w:pPr>
    </w:p>
    <w:p w:rsidR="003525A7" w:rsidRPr="00133A91" w:rsidRDefault="003525A7" w:rsidP="002628C5">
      <w:pPr>
        <w:ind w:left="360"/>
        <w:rPr>
          <w:sz w:val="20"/>
          <w:szCs w:val="20"/>
        </w:rPr>
      </w:pPr>
      <w:r w:rsidRPr="00133A91">
        <w:rPr>
          <w:sz w:val="20"/>
          <w:szCs w:val="20"/>
        </w:rPr>
        <w:t xml:space="preserve">Type of manuscript: </w:t>
      </w:r>
      <w:r w:rsidRPr="00B64516">
        <w:rPr>
          <w:b/>
          <w:bCs/>
          <w:sz w:val="20"/>
          <w:szCs w:val="20"/>
        </w:rPr>
        <w:t>short communication</w:t>
      </w:r>
    </w:p>
    <w:p w:rsidR="003525A7" w:rsidRPr="00133A91" w:rsidRDefault="003525A7" w:rsidP="002628C5">
      <w:pPr>
        <w:ind w:left="360"/>
        <w:rPr>
          <w:sz w:val="20"/>
          <w:szCs w:val="20"/>
        </w:rPr>
      </w:pPr>
    </w:p>
    <w:p w:rsidR="003525A7" w:rsidRPr="00133A91" w:rsidRDefault="003525A7" w:rsidP="002628C5">
      <w:pPr>
        <w:ind w:left="360"/>
        <w:jc w:val="right"/>
        <w:rPr>
          <w:sz w:val="20"/>
          <w:szCs w:val="20"/>
        </w:rPr>
      </w:pPr>
      <w:r w:rsidRPr="00133A91">
        <w:rPr>
          <w:sz w:val="20"/>
          <w:szCs w:val="20"/>
        </w:rPr>
        <w:t>N. Indrakumar Singh</w:t>
      </w:r>
    </w:p>
    <w:p w:rsidR="003525A7" w:rsidRPr="00133A91" w:rsidRDefault="003525A7" w:rsidP="002628C5">
      <w:pPr>
        <w:ind w:left="360"/>
        <w:jc w:val="right"/>
        <w:rPr>
          <w:sz w:val="20"/>
          <w:szCs w:val="20"/>
        </w:rPr>
      </w:pPr>
      <w:r w:rsidRPr="00133A91">
        <w:rPr>
          <w:sz w:val="20"/>
          <w:szCs w:val="20"/>
        </w:rPr>
        <w:t>Corresponding Author</w:t>
      </w:r>
    </w:p>
    <w:p w:rsidR="003525A7" w:rsidRPr="00133A91" w:rsidRDefault="003525A7" w:rsidP="002628C5">
      <w:pPr>
        <w:pStyle w:val="Header"/>
        <w:spacing w:after="0" w:line="240" w:lineRule="auto"/>
        <w:ind w:left="360"/>
        <w:rPr>
          <w:rFonts w:ascii="Times New Roman" w:hAnsi="Times New Roman" w:cs="Times New Roman"/>
          <w:sz w:val="20"/>
          <w:szCs w:val="20"/>
        </w:rPr>
      </w:pPr>
    </w:p>
    <w:p w:rsidR="003525A7" w:rsidRDefault="003525A7" w:rsidP="002628C5">
      <w:pPr>
        <w:pStyle w:val="Header"/>
        <w:spacing w:after="0" w:line="240" w:lineRule="auto"/>
        <w:ind w:left="360"/>
        <w:rPr>
          <w:rFonts w:ascii="Times New Roman" w:hAnsi="Times New Roman" w:cs="Times New Roman"/>
          <w:sz w:val="20"/>
          <w:szCs w:val="20"/>
        </w:rPr>
      </w:pPr>
      <w:r w:rsidRPr="00133A91">
        <w:rPr>
          <w:rFonts w:ascii="Times New Roman" w:hAnsi="Times New Roman" w:cs="Times New Roman"/>
          <w:sz w:val="20"/>
          <w:szCs w:val="20"/>
        </w:rPr>
        <w:t>Detail Information:</w:t>
      </w:r>
    </w:p>
    <w:p w:rsidR="003525A7" w:rsidRDefault="003525A7" w:rsidP="002628C5">
      <w:pPr>
        <w:pStyle w:val="Header"/>
        <w:spacing w:after="0" w:line="240" w:lineRule="auto"/>
        <w:ind w:left="360"/>
        <w:rPr>
          <w:rFonts w:ascii="Times New Roman" w:hAnsi="Times New Roman" w:cs="Times New Roman"/>
          <w:sz w:val="20"/>
          <w:szCs w:val="20"/>
        </w:rPr>
      </w:pPr>
      <w:r>
        <w:rPr>
          <w:rFonts w:ascii="Times New Roman" w:hAnsi="Times New Roman" w:cs="Times New Roman"/>
          <w:sz w:val="20"/>
          <w:szCs w:val="20"/>
        </w:rPr>
        <w:t>Sunil Chandra Joshi</w:t>
      </w:r>
    </w:p>
    <w:p w:rsidR="003525A7" w:rsidRDefault="003525A7" w:rsidP="002628C5">
      <w:pPr>
        <w:pStyle w:val="Header"/>
        <w:spacing w:after="0" w:line="240" w:lineRule="auto"/>
        <w:ind w:left="360"/>
        <w:rPr>
          <w:rFonts w:ascii="Times New Roman" w:hAnsi="Times New Roman" w:cs="Times New Roman"/>
          <w:sz w:val="20"/>
          <w:szCs w:val="20"/>
        </w:rPr>
      </w:pPr>
      <w:r>
        <w:rPr>
          <w:rFonts w:ascii="Times New Roman" w:hAnsi="Times New Roman" w:cs="Times New Roman"/>
          <w:sz w:val="20"/>
          <w:szCs w:val="20"/>
        </w:rPr>
        <w:t>M. Phil. Student</w:t>
      </w:r>
    </w:p>
    <w:p w:rsidR="003525A7" w:rsidRDefault="003525A7" w:rsidP="002628C5">
      <w:pPr>
        <w:pStyle w:val="Header"/>
        <w:spacing w:after="0" w:line="240" w:lineRule="auto"/>
        <w:ind w:left="360"/>
        <w:rPr>
          <w:rFonts w:ascii="Times New Roman" w:hAnsi="Times New Roman" w:cs="Times New Roman"/>
          <w:sz w:val="20"/>
          <w:szCs w:val="20"/>
        </w:rPr>
      </w:pPr>
      <w:r>
        <w:rPr>
          <w:rFonts w:ascii="Times New Roman" w:hAnsi="Times New Roman" w:cs="Times New Roman"/>
          <w:sz w:val="20"/>
          <w:szCs w:val="20"/>
        </w:rPr>
        <w:t>Global Open University, Nagaland (</w:t>
      </w:r>
      <w:smartTag w:uri="urn:schemas-microsoft-com:office:smarttags" w:element="place">
        <w:smartTag w:uri="urn:schemas-microsoft-com:office:smarttags" w:element="country-region">
          <w:r>
            <w:rPr>
              <w:rFonts w:ascii="Times New Roman" w:hAnsi="Times New Roman" w:cs="Times New Roman"/>
              <w:sz w:val="20"/>
              <w:szCs w:val="20"/>
            </w:rPr>
            <w:t>India</w:t>
          </w:r>
        </w:smartTag>
      </w:smartTag>
      <w:r>
        <w:rPr>
          <w:rFonts w:ascii="Times New Roman" w:hAnsi="Times New Roman" w:cs="Times New Roman"/>
          <w:sz w:val="20"/>
          <w:szCs w:val="20"/>
        </w:rPr>
        <w:t>)</w:t>
      </w:r>
    </w:p>
    <w:p w:rsidR="003525A7" w:rsidRPr="00133A91" w:rsidRDefault="003525A7" w:rsidP="002628C5">
      <w:pPr>
        <w:pStyle w:val="Heade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E-mail: </w:t>
      </w:r>
      <w:hyperlink r:id="rId5" w:history="1">
        <w:r w:rsidRPr="001A2CF7">
          <w:rPr>
            <w:rStyle w:val="Hyperlink"/>
            <w:rFonts w:ascii="Times New Roman" w:hAnsi="Times New Roman" w:cs="Times New Roman"/>
            <w:sz w:val="20"/>
            <w:szCs w:val="20"/>
          </w:rPr>
          <w:t>cool.suniljoshi@rediffmail.com</w:t>
        </w:r>
      </w:hyperlink>
      <w:r>
        <w:rPr>
          <w:rFonts w:ascii="Times New Roman" w:hAnsi="Times New Roman" w:cs="Times New Roman"/>
          <w:sz w:val="20"/>
          <w:szCs w:val="20"/>
        </w:rPr>
        <w:t xml:space="preserve"> </w:t>
      </w:r>
    </w:p>
    <w:p w:rsidR="003525A7" w:rsidRPr="00133A91" w:rsidRDefault="003525A7" w:rsidP="002628C5">
      <w:pPr>
        <w:pStyle w:val="Header"/>
        <w:spacing w:after="0" w:line="240" w:lineRule="auto"/>
        <w:ind w:left="360"/>
        <w:rPr>
          <w:rFonts w:ascii="Times New Roman" w:hAnsi="Times New Roman" w:cs="Times New Roman"/>
          <w:sz w:val="20"/>
          <w:szCs w:val="20"/>
        </w:rPr>
      </w:pPr>
    </w:p>
    <w:p w:rsidR="003525A7" w:rsidRDefault="003525A7" w:rsidP="002628C5">
      <w:pPr>
        <w:pStyle w:val="Header"/>
        <w:spacing w:after="0" w:line="240" w:lineRule="auto"/>
        <w:ind w:left="360"/>
        <w:rPr>
          <w:rFonts w:ascii="Times New Roman" w:hAnsi="Times New Roman" w:cs="Times New Roman"/>
          <w:sz w:val="20"/>
          <w:szCs w:val="20"/>
        </w:rPr>
      </w:pPr>
      <w:r w:rsidRPr="00133A91">
        <w:rPr>
          <w:rFonts w:ascii="Times New Roman" w:hAnsi="Times New Roman" w:cs="Times New Roman"/>
          <w:sz w:val="20"/>
          <w:szCs w:val="20"/>
        </w:rPr>
        <w:t>N. Indrakumar Singh</w:t>
      </w:r>
    </w:p>
    <w:p w:rsidR="003525A7" w:rsidRPr="00133A91" w:rsidRDefault="003525A7" w:rsidP="002628C5">
      <w:pPr>
        <w:pStyle w:val="Header"/>
        <w:spacing w:after="0" w:line="240" w:lineRule="auto"/>
        <w:ind w:left="360"/>
        <w:rPr>
          <w:rFonts w:ascii="Times New Roman" w:hAnsi="Times New Roman" w:cs="Times New Roman"/>
          <w:sz w:val="20"/>
          <w:szCs w:val="20"/>
        </w:rPr>
      </w:pPr>
      <w:r>
        <w:rPr>
          <w:rFonts w:ascii="Times New Roman" w:hAnsi="Times New Roman" w:cs="Times New Roman"/>
          <w:sz w:val="20"/>
          <w:szCs w:val="20"/>
        </w:rPr>
        <w:t>Research scholar</w:t>
      </w:r>
    </w:p>
    <w:p w:rsidR="003525A7" w:rsidRPr="00133A91" w:rsidRDefault="003525A7" w:rsidP="002628C5">
      <w:pPr>
        <w:pStyle w:val="Header"/>
        <w:spacing w:after="0" w:line="240" w:lineRule="auto"/>
        <w:ind w:left="360"/>
        <w:rPr>
          <w:rFonts w:ascii="Times New Roman" w:hAnsi="Times New Roman" w:cs="Times New Roman"/>
          <w:sz w:val="20"/>
          <w:szCs w:val="20"/>
          <w:lang w:eastAsia="en-IN"/>
        </w:rPr>
      </w:pPr>
      <w:r w:rsidRPr="00133A91">
        <w:rPr>
          <w:rFonts w:ascii="Times New Roman" w:hAnsi="Times New Roman" w:cs="Times New Roman"/>
          <w:sz w:val="20"/>
          <w:szCs w:val="20"/>
          <w:lang w:eastAsia="en-IN"/>
        </w:rPr>
        <w:t xml:space="preserve">Department of Seed Science &amp; Technology, </w:t>
      </w:r>
      <w:smartTag w:uri="urn:schemas-microsoft-com:office:smarttags" w:element="place">
        <w:smartTag w:uri="urn:schemas-microsoft-com:office:smarttags" w:element="PlaceName">
          <w:r w:rsidRPr="00133A91">
            <w:rPr>
              <w:rFonts w:ascii="Times New Roman" w:hAnsi="Times New Roman" w:cs="Times New Roman"/>
              <w:sz w:val="20"/>
              <w:szCs w:val="20"/>
              <w:lang w:eastAsia="en-IN"/>
            </w:rPr>
            <w:t>H.N.B.</w:t>
          </w:r>
        </w:smartTag>
        <w:r w:rsidRPr="00133A91">
          <w:rPr>
            <w:rFonts w:ascii="Times New Roman" w:hAnsi="Times New Roman" w:cs="Times New Roman"/>
            <w:sz w:val="20"/>
            <w:szCs w:val="20"/>
            <w:lang w:eastAsia="en-IN"/>
          </w:rPr>
          <w:t xml:space="preserve"> </w:t>
        </w:r>
        <w:smartTag w:uri="urn:schemas-microsoft-com:office:smarttags" w:element="PlaceName">
          <w:r w:rsidRPr="00133A91">
            <w:rPr>
              <w:rFonts w:ascii="Times New Roman" w:hAnsi="Times New Roman" w:cs="Times New Roman"/>
              <w:sz w:val="20"/>
              <w:szCs w:val="20"/>
              <w:lang w:eastAsia="en-IN"/>
            </w:rPr>
            <w:t>Garhwal</w:t>
          </w:r>
        </w:smartTag>
        <w:r w:rsidRPr="00133A91">
          <w:rPr>
            <w:rFonts w:ascii="Times New Roman" w:hAnsi="Times New Roman" w:cs="Times New Roman"/>
            <w:sz w:val="20"/>
            <w:szCs w:val="20"/>
            <w:lang w:eastAsia="en-IN"/>
          </w:rPr>
          <w:t xml:space="preserve"> </w:t>
        </w:r>
        <w:smartTag w:uri="urn:schemas-microsoft-com:office:smarttags" w:element="PlaceType">
          <w:r w:rsidRPr="00133A91">
            <w:rPr>
              <w:rFonts w:ascii="Times New Roman" w:hAnsi="Times New Roman" w:cs="Times New Roman"/>
              <w:sz w:val="20"/>
              <w:szCs w:val="20"/>
              <w:lang w:eastAsia="en-IN"/>
            </w:rPr>
            <w:t>University</w:t>
          </w:r>
        </w:smartTag>
      </w:smartTag>
      <w:r w:rsidRPr="00133A91">
        <w:rPr>
          <w:rFonts w:ascii="Times New Roman" w:hAnsi="Times New Roman" w:cs="Times New Roman"/>
          <w:sz w:val="20"/>
          <w:szCs w:val="20"/>
          <w:lang w:eastAsia="en-IN"/>
        </w:rPr>
        <w:t xml:space="preserve">, </w:t>
      </w:r>
    </w:p>
    <w:p w:rsidR="003525A7" w:rsidRPr="00133A91" w:rsidRDefault="003525A7" w:rsidP="002628C5">
      <w:pPr>
        <w:pStyle w:val="Header"/>
        <w:spacing w:after="0" w:line="240" w:lineRule="auto"/>
        <w:ind w:left="360"/>
        <w:rPr>
          <w:rFonts w:ascii="Times New Roman" w:hAnsi="Times New Roman" w:cs="Times New Roman"/>
          <w:sz w:val="20"/>
          <w:szCs w:val="20"/>
        </w:rPr>
      </w:pPr>
      <w:smartTag w:uri="urn:schemas-microsoft-com:office:smarttags" w:element="place">
        <w:smartTag w:uri="urn:schemas-microsoft-com:office:smarttags" w:element="City">
          <w:r w:rsidRPr="00133A91">
            <w:rPr>
              <w:rFonts w:ascii="Times New Roman" w:hAnsi="Times New Roman" w:cs="Times New Roman"/>
              <w:sz w:val="20"/>
              <w:szCs w:val="20"/>
              <w:lang w:eastAsia="en-IN"/>
            </w:rPr>
            <w:t>Srinagar</w:t>
          </w:r>
        </w:smartTag>
      </w:smartTag>
      <w:r w:rsidRPr="00133A91">
        <w:rPr>
          <w:rFonts w:ascii="Times New Roman" w:hAnsi="Times New Roman" w:cs="Times New Roman"/>
          <w:sz w:val="20"/>
          <w:szCs w:val="20"/>
          <w:lang w:eastAsia="en-IN"/>
        </w:rPr>
        <w:t xml:space="preserve"> Garhwal, Uttarakhand-246 174 (</w:t>
      </w:r>
      <w:smartTag w:uri="urn:schemas-microsoft-com:office:smarttags" w:element="place">
        <w:smartTag w:uri="urn:schemas-microsoft-com:office:smarttags" w:element="country-region">
          <w:r w:rsidRPr="00133A91">
            <w:rPr>
              <w:rFonts w:ascii="Times New Roman" w:hAnsi="Times New Roman" w:cs="Times New Roman"/>
              <w:sz w:val="20"/>
              <w:szCs w:val="20"/>
              <w:lang w:eastAsia="en-IN"/>
            </w:rPr>
            <w:t>India</w:t>
          </w:r>
        </w:smartTag>
      </w:smartTag>
      <w:r w:rsidRPr="00133A91">
        <w:rPr>
          <w:rFonts w:ascii="Times New Roman" w:hAnsi="Times New Roman" w:cs="Times New Roman"/>
          <w:sz w:val="20"/>
          <w:szCs w:val="20"/>
          <w:lang w:eastAsia="en-IN"/>
        </w:rPr>
        <w:t>).</w:t>
      </w:r>
    </w:p>
    <w:p w:rsidR="003525A7" w:rsidRPr="00133A91" w:rsidRDefault="003525A7" w:rsidP="002628C5">
      <w:pPr>
        <w:pStyle w:val="Header"/>
        <w:spacing w:after="0" w:line="240" w:lineRule="auto"/>
        <w:ind w:left="360"/>
        <w:rPr>
          <w:rFonts w:ascii="Times New Roman" w:hAnsi="Times New Roman" w:cs="Times New Roman"/>
          <w:sz w:val="20"/>
          <w:szCs w:val="20"/>
        </w:rPr>
      </w:pPr>
      <w:r w:rsidRPr="00133A91">
        <w:rPr>
          <w:rFonts w:ascii="Times New Roman" w:hAnsi="Times New Roman" w:cs="Times New Roman"/>
          <w:sz w:val="20"/>
          <w:szCs w:val="20"/>
        </w:rPr>
        <w:t>Tel: 01370-267664</w:t>
      </w:r>
    </w:p>
    <w:p w:rsidR="003525A7" w:rsidRPr="002628C5" w:rsidRDefault="003525A7" w:rsidP="002628C5">
      <w:pPr>
        <w:pStyle w:val="Header"/>
        <w:spacing w:after="0" w:line="240" w:lineRule="auto"/>
        <w:ind w:left="360"/>
        <w:rPr>
          <w:rFonts w:ascii="Times New Roman" w:hAnsi="Times New Roman" w:cs="Times New Roman"/>
          <w:sz w:val="20"/>
          <w:szCs w:val="20"/>
        </w:rPr>
      </w:pPr>
      <w:r w:rsidRPr="002628C5">
        <w:rPr>
          <w:rFonts w:ascii="Times New Roman" w:hAnsi="Times New Roman" w:cs="Times New Roman"/>
          <w:sz w:val="20"/>
          <w:szCs w:val="20"/>
        </w:rPr>
        <w:t xml:space="preserve">E-mail: </w:t>
      </w:r>
      <w:hyperlink r:id="rId6" w:history="1">
        <w:r w:rsidRPr="002628C5">
          <w:rPr>
            <w:rStyle w:val="Hyperlink"/>
            <w:rFonts w:ascii="Times New Roman" w:hAnsi="Times New Roman" w:cs="Times New Roman"/>
            <w:sz w:val="20"/>
            <w:szCs w:val="20"/>
          </w:rPr>
          <w:t>indrasst08@gmail.com</w:t>
        </w:r>
      </w:hyperlink>
      <w:r w:rsidRPr="002628C5">
        <w:rPr>
          <w:rFonts w:ascii="Times New Roman" w:hAnsi="Times New Roman" w:cs="Times New Roman"/>
          <w:sz w:val="20"/>
          <w:szCs w:val="20"/>
        </w:rPr>
        <w:t xml:space="preserve"> </w:t>
      </w:r>
    </w:p>
    <w:p w:rsidR="003525A7" w:rsidRPr="00133A91" w:rsidRDefault="003525A7" w:rsidP="002628C5">
      <w:pPr>
        <w:pStyle w:val="Header"/>
        <w:spacing w:after="0" w:line="240" w:lineRule="auto"/>
        <w:ind w:left="360"/>
        <w:rPr>
          <w:rFonts w:ascii="Times New Roman" w:hAnsi="Times New Roman" w:cs="Times New Roman"/>
          <w:sz w:val="20"/>
          <w:szCs w:val="20"/>
        </w:rPr>
      </w:pPr>
    </w:p>
    <w:p w:rsidR="003525A7" w:rsidRPr="00133A91" w:rsidRDefault="003525A7" w:rsidP="002628C5">
      <w:pPr>
        <w:pStyle w:val="Header"/>
        <w:spacing w:after="0" w:line="240" w:lineRule="auto"/>
        <w:ind w:left="360"/>
        <w:rPr>
          <w:rFonts w:ascii="Times New Roman" w:hAnsi="Times New Roman" w:cs="Times New Roman"/>
          <w:sz w:val="20"/>
          <w:szCs w:val="20"/>
        </w:rPr>
      </w:pPr>
      <w:r w:rsidRPr="00133A91">
        <w:rPr>
          <w:rFonts w:ascii="Times New Roman" w:hAnsi="Times New Roman" w:cs="Times New Roman"/>
          <w:sz w:val="20"/>
          <w:szCs w:val="20"/>
        </w:rPr>
        <w:t>J. S. Chauhan</w:t>
      </w:r>
    </w:p>
    <w:p w:rsidR="003525A7" w:rsidRPr="00133A91" w:rsidRDefault="003525A7" w:rsidP="002628C5">
      <w:pPr>
        <w:pStyle w:val="Header"/>
        <w:spacing w:after="0" w:line="240" w:lineRule="auto"/>
        <w:ind w:left="360"/>
        <w:rPr>
          <w:rFonts w:ascii="Times New Roman" w:hAnsi="Times New Roman" w:cs="Times New Roman"/>
          <w:sz w:val="20"/>
          <w:szCs w:val="20"/>
        </w:rPr>
      </w:pPr>
      <w:r w:rsidRPr="00133A91">
        <w:rPr>
          <w:rFonts w:ascii="Times New Roman" w:hAnsi="Times New Roman" w:cs="Times New Roman"/>
          <w:sz w:val="20"/>
          <w:szCs w:val="20"/>
        </w:rPr>
        <w:t>Associate Professor &amp; Head</w:t>
      </w:r>
    </w:p>
    <w:p w:rsidR="003525A7" w:rsidRPr="00133A91" w:rsidRDefault="003525A7" w:rsidP="002628C5">
      <w:pPr>
        <w:pStyle w:val="Header"/>
        <w:spacing w:after="0" w:line="240" w:lineRule="auto"/>
        <w:ind w:left="360"/>
        <w:rPr>
          <w:rFonts w:ascii="Times New Roman" w:hAnsi="Times New Roman" w:cs="Times New Roman"/>
          <w:sz w:val="20"/>
          <w:szCs w:val="20"/>
          <w:lang w:eastAsia="en-IN"/>
        </w:rPr>
      </w:pPr>
      <w:r w:rsidRPr="00133A91">
        <w:rPr>
          <w:rFonts w:ascii="Times New Roman" w:hAnsi="Times New Roman" w:cs="Times New Roman"/>
          <w:sz w:val="20"/>
          <w:szCs w:val="20"/>
          <w:lang w:eastAsia="en-IN"/>
        </w:rPr>
        <w:t xml:space="preserve">Department of Seed Science &amp; Technology, </w:t>
      </w:r>
      <w:smartTag w:uri="urn:schemas-microsoft-com:office:smarttags" w:element="place">
        <w:smartTag w:uri="urn:schemas-microsoft-com:office:smarttags" w:element="PlaceName">
          <w:r w:rsidRPr="00133A91">
            <w:rPr>
              <w:rFonts w:ascii="Times New Roman" w:hAnsi="Times New Roman" w:cs="Times New Roman"/>
              <w:sz w:val="20"/>
              <w:szCs w:val="20"/>
              <w:lang w:eastAsia="en-IN"/>
            </w:rPr>
            <w:t>H.N.B.</w:t>
          </w:r>
        </w:smartTag>
        <w:r w:rsidRPr="00133A91">
          <w:rPr>
            <w:rFonts w:ascii="Times New Roman" w:hAnsi="Times New Roman" w:cs="Times New Roman"/>
            <w:sz w:val="20"/>
            <w:szCs w:val="20"/>
            <w:lang w:eastAsia="en-IN"/>
          </w:rPr>
          <w:t xml:space="preserve"> </w:t>
        </w:r>
        <w:smartTag w:uri="urn:schemas-microsoft-com:office:smarttags" w:element="PlaceName">
          <w:r w:rsidRPr="00133A91">
            <w:rPr>
              <w:rFonts w:ascii="Times New Roman" w:hAnsi="Times New Roman" w:cs="Times New Roman"/>
              <w:sz w:val="20"/>
              <w:szCs w:val="20"/>
              <w:lang w:eastAsia="en-IN"/>
            </w:rPr>
            <w:t>Garhwal</w:t>
          </w:r>
        </w:smartTag>
        <w:r w:rsidRPr="00133A91">
          <w:rPr>
            <w:rFonts w:ascii="Times New Roman" w:hAnsi="Times New Roman" w:cs="Times New Roman"/>
            <w:sz w:val="20"/>
            <w:szCs w:val="20"/>
            <w:lang w:eastAsia="en-IN"/>
          </w:rPr>
          <w:t xml:space="preserve"> </w:t>
        </w:r>
        <w:smartTag w:uri="urn:schemas-microsoft-com:office:smarttags" w:element="PlaceType">
          <w:r w:rsidRPr="00133A91">
            <w:rPr>
              <w:rFonts w:ascii="Times New Roman" w:hAnsi="Times New Roman" w:cs="Times New Roman"/>
              <w:sz w:val="20"/>
              <w:szCs w:val="20"/>
              <w:lang w:eastAsia="en-IN"/>
            </w:rPr>
            <w:t>University</w:t>
          </w:r>
        </w:smartTag>
      </w:smartTag>
      <w:r w:rsidRPr="00133A91">
        <w:rPr>
          <w:rFonts w:ascii="Times New Roman" w:hAnsi="Times New Roman" w:cs="Times New Roman"/>
          <w:sz w:val="20"/>
          <w:szCs w:val="20"/>
          <w:lang w:eastAsia="en-IN"/>
        </w:rPr>
        <w:t xml:space="preserve">, </w:t>
      </w:r>
    </w:p>
    <w:p w:rsidR="003525A7" w:rsidRPr="00133A91" w:rsidRDefault="003525A7" w:rsidP="002628C5">
      <w:pPr>
        <w:pStyle w:val="Header"/>
        <w:spacing w:after="0" w:line="240" w:lineRule="auto"/>
        <w:ind w:left="360"/>
        <w:rPr>
          <w:rFonts w:ascii="Times New Roman" w:hAnsi="Times New Roman" w:cs="Times New Roman"/>
          <w:sz w:val="20"/>
          <w:szCs w:val="20"/>
        </w:rPr>
      </w:pPr>
      <w:smartTag w:uri="urn:schemas-microsoft-com:office:smarttags" w:element="place">
        <w:smartTag w:uri="urn:schemas-microsoft-com:office:smarttags" w:element="City">
          <w:r w:rsidRPr="00133A91">
            <w:rPr>
              <w:rFonts w:ascii="Times New Roman" w:hAnsi="Times New Roman" w:cs="Times New Roman"/>
              <w:sz w:val="20"/>
              <w:szCs w:val="20"/>
              <w:lang w:eastAsia="en-IN"/>
            </w:rPr>
            <w:t>Srinagar</w:t>
          </w:r>
        </w:smartTag>
      </w:smartTag>
      <w:r w:rsidRPr="00133A91">
        <w:rPr>
          <w:rFonts w:ascii="Times New Roman" w:hAnsi="Times New Roman" w:cs="Times New Roman"/>
          <w:sz w:val="20"/>
          <w:szCs w:val="20"/>
          <w:lang w:eastAsia="en-IN"/>
        </w:rPr>
        <w:t xml:space="preserve"> Garhwal, Uttarakhand-246 174 (</w:t>
      </w:r>
      <w:smartTag w:uri="urn:schemas-microsoft-com:office:smarttags" w:element="place">
        <w:smartTag w:uri="urn:schemas-microsoft-com:office:smarttags" w:element="country-region">
          <w:r w:rsidRPr="00133A91">
            <w:rPr>
              <w:rFonts w:ascii="Times New Roman" w:hAnsi="Times New Roman" w:cs="Times New Roman"/>
              <w:sz w:val="20"/>
              <w:szCs w:val="20"/>
              <w:lang w:eastAsia="en-IN"/>
            </w:rPr>
            <w:t>India</w:t>
          </w:r>
        </w:smartTag>
      </w:smartTag>
      <w:r w:rsidRPr="00133A91">
        <w:rPr>
          <w:rFonts w:ascii="Times New Roman" w:hAnsi="Times New Roman" w:cs="Times New Roman"/>
          <w:sz w:val="20"/>
          <w:szCs w:val="20"/>
          <w:lang w:eastAsia="en-IN"/>
        </w:rPr>
        <w:t>).</w:t>
      </w:r>
    </w:p>
    <w:p w:rsidR="003525A7" w:rsidRPr="00133A91" w:rsidRDefault="003525A7" w:rsidP="002628C5">
      <w:pPr>
        <w:pStyle w:val="Header"/>
        <w:spacing w:after="0" w:line="240" w:lineRule="auto"/>
        <w:ind w:left="360"/>
        <w:rPr>
          <w:rFonts w:ascii="Times New Roman" w:hAnsi="Times New Roman" w:cs="Times New Roman"/>
          <w:sz w:val="20"/>
          <w:szCs w:val="20"/>
        </w:rPr>
      </w:pPr>
      <w:r w:rsidRPr="00133A91">
        <w:rPr>
          <w:rFonts w:ascii="Times New Roman" w:hAnsi="Times New Roman" w:cs="Times New Roman"/>
          <w:sz w:val="20"/>
          <w:szCs w:val="20"/>
        </w:rPr>
        <w:t>Tel: 01370-267664</w:t>
      </w:r>
    </w:p>
    <w:p w:rsidR="003525A7" w:rsidRDefault="003525A7" w:rsidP="002628C5">
      <w:pPr>
        <w:ind w:firstLine="360"/>
      </w:pPr>
      <w:r w:rsidRPr="00133A91">
        <w:rPr>
          <w:sz w:val="20"/>
          <w:szCs w:val="20"/>
        </w:rPr>
        <w:t xml:space="preserve">E-mail: </w:t>
      </w:r>
      <w:hyperlink r:id="rId7" w:history="1">
        <w:r w:rsidRPr="00133A91">
          <w:rPr>
            <w:rStyle w:val="Hyperlink"/>
            <w:sz w:val="20"/>
            <w:szCs w:val="20"/>
          </w:rPr>
          <w:t>jai002004@yahoo.com</w:t>
        </w:r>
      </w:hyperlink>
    </w:p>
    <w:p w:rsidR="003525A7" w:rsidRDefault="003525A7" w:rsidP="002628C5">
      <w:pPr>
        <w:jc w:val="center"/>
      </w:pPr>
    </w:p>
    <w:p w:rsidR="003525A7" w:rsidRDefault="003525A7" w:rsidP="002628C5">
      <w:pPr>
        <w:jc w:val="center"/>
      </w:pPr>
    </w:p>
    <w:p w:rsidR="003525A7" w:rsidRDefault="003525A7" w:rsidP="002628C5">
      <w:pPr>
        <w:jc w:val="center"/>
      </w:pPr>
    </w:p>
    <w:p w:rsidR="003525A7" w:rsidRDefault="003525A7" w:rsidP="002628C5">
      <w:pPr>
        <w:jc w:val="center"/>
      </w:pPr>
    </w:p>
    <w:p w:rsidR="003525A7" w:rsidRDefault="003525A7" w:rsidP="002628C5">
      <w:pPr>
        <w:jc w:val="center"/>
      </w:pPr>
    </w:p>
    <w:p w:rsidR="003525A7" w:rsidRDefault="003525A7" w:rsidP="002628C5">
      <w:pPr>
        <w:jc w:val="center"/>
      </w:pPr>
    </w:p>
    <w:p w:rsidR="003525A7" w:rsidRDefault="003525A7" w:rsidP="002628C5">
      <w:pPr>
        <w:jc w:val="center"/>
      </w:pPr>
    </w:p>
    <w:p w:rsidR="003525A7" w:rsidRDefault="003525A7" w:rsidP="002628C5">
      <w:pPr>
        <w:jc w:val="center"/>
      </w:pPr>
    </w:p>
    <w:p w:rsidR="003525A7" w:rsidRDefault="003525A7" w:rsidP="002628C5">
      <w:pPr>
        <w:jc w:val="center"/>
      </w:pPr>
    </w:p>
    <w:p w:rsidR="003525A7" w:rsidRDefault="003525A7" w:rsidP="002628C5">
      <w:pPr>
        <w:jc w:val="center"/>
      </w:pPr>
    </w:p>
    <w:p w:rsidR="003525A7" w:rsidRDefault="003525A7" w:rsidP="002628C5">
      <w:pPr>
        <w:jc w:val="center"/>
      </w:pPr>
    </w:p>
    <w:p w:rsidR="003525A7" w:rsidRDefault="003525A7" w:rsidP="002628C5">
      <w:pPr>
        <w:jc w:val="center"/>
      </w:pPr>
    </w:p>
    <w:p w:rsidR="003525A7" w:rsidRDefault="003525A7" w:rsidP="008D1C54">
      <w:pPr>
        <w:jc w:val="center"/>
        <w:rPr>
          <w:b/>
          <w:bCs/>
          <w:caps/>
        </w:rPr>
      </w:pPr>
    </w:p>
    <w:p w:rsidR="003525A7" w:rsidRPr="00992825" w:rsidRDefault="003525A7" w:rsidP="008D1C54">
      <w:pPr>
        <w:jc w:val="center"/>
        <w:rPr>
          <w:b/>
          <w:bCs/>
          <w:caps/>
        </w:rPr>
      </w:pPr>
      <w:r>
        <w:rPr>
          <w:b/>
          <w:bCs/>
        </w:rPr>
        <w:t>Soyabean</w:t>
      </w:r>
      <w:r w:rsidRPr="00992825">
        <w:rPr>
          <w:b/>
          <w:bCs/>
        </w:rPr>
        <w:t xml:space="preserve"> Seed Quality Evaluation </w:t>
      </w:r>
    </w:p>
    <w:p w:rsidR="003525A7" w:rsidRPr="002D70E8" w:rsidRDefault="003525A7" w:rsidP="008D1C54">
      <w:pPr>
        <w:spacing w:line="276" w:lineRule="auto"/>
        <w:rPr>
          <w:b/>
          <w:bCs/>
          <w:caps/>
        </w:rPr>
      </w:pPr>
    </w:p>
    <w:p w:rsidR="003525A7" w:rsidRDefault="003525A7" w:rsidP="008D1C54">
      <w:pPr>
        <w:jc w:val="center"/>
        <w:rPr>
          <w:lang w:eastAsia="en-IN"/>
        </w:rPr>
      </w:pPr>
      <w:r w:rsidRPr="00A47EA9">
        <w:rPr>
          <w:lang w:eastAsia="en-IN"/>
        </w:rPr>
        <w:t>Sunil Chandra Joshi</w:t>
      </w:r>
      <w:r>
        <w:rPr>
          <w:lang w:eastAsia="en-IN"/>
        </w:rPr>
        <w:t>*</w:t>
      </w:r>
      <w:r w:rsidRPr="00A47EA9">
        <w:rPr>
          <w:lang w:eastAsia="en-IN"/>
        </w:rPr>
        <w:t>, N. I</w:t>
      </w:r>
      <w:r>
        <w:rPr>
          <w:lang w:eastAsia="en-IN"/>
        </w:rPr>
        <w:t>ndrakumar</w:t>
      </w:r>
      <w:r w:rsidRPr="00A47EA9">
        <w:rPr>
          <w:lang w:eastAsia="en-IN"/>
        </w:rPr>
        <w:t xml:space="preserve"> Singh</w:t>
      </w:r>
      <w:r>
        <w:rPr>
          <w:lang w:eastAsia="en-IN"/>
        </w:rPr>
        <w:t>**</w:t>
      </w:r>
      <w:r w:rsidRPr="00A47EA9">
        <w:rPr>
          <w:lang w:eastAsia="en-IN"/>
        </w:rPr>
        <w:t xml:space="preserve"> and J.S. Chauhan</w:t>
      </w:r>
      <w:r>
        <w:rPr>
          <w:lang w:eastAsia="en-IN"/>
        </w:rPr>
        <w:t>***</w:t>
      </w:r>
      <w:r w:rsidRPr="00A47EA9">
        <w:rPr>
          <w:lang w:eastAsia="en-IN"/>
        </w:rPr>
        <w:t xml:space="preserve"> </w:t>
      </w:r>
    </w:p>
    <w:p w:rsidR="003525A7" w:rsidRDefault="003525A7" w:rsidP="008D1C54">
      <w:pPr>
        <w:jc w:val="center"/>
        <w:rPr>
          <w:lang w:eastAsia="en-IN"/>
        </w:rPr>
      </w:pPr>
    </w:p>
    <w:p w:rsidR="003525A7" w:rsidRDefault="003525A7" w:rsidP="00434212">
      <w:pPr>
        <w:rPr>
          <w:lang w:eastAsia="en-IN"/>
        </w:rPr>
      </w:pPr>
      <w:r>
        <w:rPr>
          <w:lang w:eastAsia="en-IN"/>
        </w:rPr>
        <w:t>*M. Phil. Student, Global Open University, Nagaland (</w:t>
      </w:r>
      <w:smartTag w:uri="urn:schemas-microsoft-com:office:smarttags" w:element="country-region">
        <w:r>
          <w:rPr>
            <w:lang w:eastAsia="en-IN"/>
          </w:rPr>
          <w:t>India</w:t>
        </w:r>
      </w:smartTag>
      <w:r>
        <w:rPr>
          <w:lang w:eastAsia="en-IN"/>
        </w:rPr>
        <w:t>).</w:t>
      </w:r>
      <w:r w:rsidRPr="00536232">
        <w:t xml:space="preserve"> E-mail: </w:t>
      </w:r>
      <w:hyperlink r:id="rId8" w:history="1">
        <w:r w:rsidRPr="00536232">
          <w:rPr>
            <w:rStyle w:val="Hyperlink"/>
          </w:rPr>
          <w:t>cool.suniljoshi@rediffmail.com</w:t>
        </w:r>
      </w:hyperlink>
      <w:r>
        <w:rPr>
          <w:lang w:eastAsia="en-IN"/>
        </w:rPr>
        <w:t xml:space="preserve"> </w:t>
      </w:r>
    </w:p>
    <w:p w:rsidR="003525A7" w:rsidRDefault="003525A7" w:rsidP="00434212">
      <w:pPr>
        <w:rPr>
          <w:b/>
          <w:bCs/>
        </w:rPr>
      </w:pPr>
      <w:r>
        <w:rPr>
          <w:lang w:eastAsia="en-IN"/>
        </w:rPr>
        <w:t xml:space="preserve">**Research Scholar, Department of Seed Science &amp; Technology, H.N.B. Garhwal University, Srinagar Garhwal, (Uk)-246 174 (India). E. mail: </w:t>
      </w:r>
      <w:hyperlink r:id="rId9" w:history="1">
        <w:r>
          <w:rPr>
            <w:rStyle w:val="Hyperlink"/>
            <w:lang w:eastAsia="en-IN"/>
          </w:rPr>
          <w:t>indrasst08@gmail.com</w:t>
        </w:r>
      </w:hyperlink>
    </w:p>
    <w:p w:rsidR="003525A7" w:rsidRDefault="003525A7" w:rsidP="00434212">
      <w:pPr>
        <w:rPr>
          <w:lang w:eastAsia="en-IN"/>
        </w:rPr>
      </w:pPr>
      <w:r>
        <w:rPr>
          <w:lang w:eastAsia="en-IN"/>
        </w:rPr>
        <w:t xml:space="preserve">***Assoc. Prof. &amp; Head, Department of Seed Science &amp; Technology, H.N.B. Garhwal University, Srinagar Garhwal, (Uk)-246 174 (India). E. mail: </w:t>
      </w:r>
      <w:hyperlink r:id="rId10" w:history="1">
        <w:r>
          <w:rPr>
            <w:rStyle w:val="Hyperlink"/>
            <w:lang w:eastAsia="en-IN"/>
          </w:rPr>
          <w:t>jai002004@yahoo.com</w:t>
        </w:r>
      </w:hyperlink>
    </w:p>
    <w:p w:rsidR="003525A7" w:rsidRPr="00A47EA9" w:rsidRDefault="003525A7" w:rsidP="008D1C54">
      <w:pPr>
        <w:jc w:val="center"/>
        <w:rPr>
          <w:lang w:eastAsia="en-IN"/>
        </w:rPr>
      </w:pPr>
    </w:p>
    <w:p w:rsidR="003525A7" w:rsidRDefault="003525A7" w:rsidP="008D1C54">
      <w:pPr>
        <w:jc w:val="center"/>
        <w:rPr>
          <w:lang w:eastAsia="en-IN"/>
        </w:rPr>
      </w:pPr>
    </w:p>
    <w:p w:rsidR="003525A7" w:rsidRPr="002D70E8" w:rsidRDefault="003525A7" w:rsidP="00F56608">
      <w:pPr>
        <w:shd w:val="clear" w:color="auto" w:fill="FFFFFF"/>
        <w:spacing w:before="100" w:beforeAutospacing="1" w:after="100" w:afterAutospacing="1"/>
        <w:outlineLvl w:val="2"/>
        <w:rPr>
          <w:b/>
          <w:bCs/>
          <w:caps/>
          <w:color w:val="000000"/>
          <w:lang w:eastAsia="en-IN"/>
        </w:rPr>
      </w:pPr>
      <w:r w:rsidRPr="002D70E8">
        <w:rPr>
          <w:b/>
          <w:bCs/>
          <w:color w:val="000000"/>
          <w:lang w:eastAsia="en-IN"/>
        </w:rPr>
        <w:t>Abstract</w:t>
      </w:r>
    </w:p>
    <w:p w:rsidR="003525A7" w:rsidRPr="008624C4" w:rsidRDefault="003525A7" w:rsidP="008D1C54">
      <w:pPr>
        <w:ind w:firstLine="720"/>
        <w:jc w:val="both"/>
      </w:pPr>
      <w:r w:rsidRPr="003974F9">
        <w:t>Seed</w:t>
      </w:r>
      <w:r>
        <w:t xml:space="preserve"> </w:t>
      </w:r>
      <w:r w:rsidRPr="003974F9">
        <w:t xml:space="preserve">quality is </w:t>
      </w:r>
      <w:r>
        <w:t xml:space="preserve">very </w:t>
      </w:r>
      <w:r w:rsidRPr="003974F9">
        <w:t>essential for optimum stand establishment</w:t>
      </w:r>
      <w:r>
        <w:t xml:space="preserve"> and maximum yield potential in soyabean. </w:t>
      </w:r>
      <w:r w:rsidRPr="003974F9">
        <w:t xml:space="preserve"> As a result, it is necessary to have </w:t>
      </w:r>
      <w:r>
        <w:t xml:space="preserve">different seed testing parameters </w:t>
      </w:r>
      <w:r w:rsidRPr="003974F9">
        <w:t xml:space="preserve">that permit rapid, objective and accurate evaluation of seed quality. </w:t>
      </w:r>
      <w:r>
        <w:t>This i</w:t>
      </w:r>
      <w:r w:rsidRPr="002D70E8">
        <w:t xml:space="preserve">nvestigation </w:t>
      </w:r>
      <w:r>
        <w:t xml:space="preserve">evaluated </w:t>
      </w:r>
      <w:r w:rsidRPr="003974F9">
        <w:t xml:space="preserve">physical and physiological seed quality components of four </w:t>
      </w:r>
      <w:r>
        <w:t>seed lots of one soyabean</w:t>
      </w:r>
      <w:r w:rsidRPr="006F3C47">
        <w:t xml:space="preserve"> (</w:t>
      </w:r>
      <w:r w:rsidRPr="006F3C47">
        <w:rPr>
          <w:i/>
          <w:iCs/>
        </w:rPr>
        <w:t>Glycine max</w:t>
      </w:r>
      <w:r w:rsidRPr="006F3C47">
        <w:t xml:space="preserve"> L. Merr.) cultivar PS-1092</w:t>
      </w:r>
      <w:r>
        <w:t xml:space="preserve"> collected from different seed farms of Almora district of Uttarakhand (</w:t>
      </w:r>
      <w:smartTag w:uri="urn:schemas-microsoft-com:office:smarttags" w:element="country-region">
        <w:r>
          <w:t>India</w:t>
        </w:r>
      </w:smartTag>
      <w:r>
        <w:t>).</w:t>
      </w:r>
      <w:r w:rsidRPr="006F3C47">
        <w:t xml:space="preserve"> Each sample was</w:t>
      </w:r>
      <w:r>
        <w:t xml:space="preserve"> divided into four </w:t>
      </w:r>
      <w:r w:rsidRPr="002D70E8">
        <w:t>replicat</w:t>
      </w:r>
      <w:r>
        <w:t>es.</w:t>
      </w:r>
      <w:r w:rsidRPr="00B56B77">
        <w:t xml:space="preserve"> </w:t>
      </w:r>
      <w:r w:rsidRPr="003974F9">
        <w:t>Seed</w:t>
      </w:r>
      <w:r>
        <w:t xml:space="preserve"> quality was</w:t>
      </w:r>
      <w:r w:rsidRPr="003974F9">
        <w:t xml:space="preserve"> evaluated </w:t>
      </w:r>
      <w:r>
        <w:t>by</w:t>
      </w:r>
      <w:r w:rsidRPr="003974F9">
        <w:t xml:space="preserve"> </w:t>
      </w:r>
      <w:r>
        <w:t>physical purity, standard germination, imbibition rate,</w:t>
      </w:r>
      <w:r w:rsidRPr="003974F9">
        <w:t xml:space="preserve"> </w:t>
      </w:r>
      <w:r>
        <w:t>seed vigour test and pure live seed</w:t>
      </w:r>
      <w:r w:rsidRPr="003974F9">
        <w:t>.</w:t>
      </w:r>
      <w:r>
        <w:t xml:space="preserve"> Experimental results has shown that,</w:t>
      </w:r>
      <w:r w:rsidRPr="008624C4">
        <w:t xml:space="preserve"> </w:t>
      </w:r>
      <w:r>
        <w:t>s</w:t>
      </w:r>
      <w:r w:rsidRPr="008624C4">
        <w:t>ample S</w:t>
      </w:r>
      <w:r>
        <w:t>2 recorded</w:t>
      </w:r>
      <w:r w:rsidRPr="008624C4">
        <w:t xml:space="preserve"> the maximum pure live seed </w:t>
      </w:r>
      <w:r>
        <w:t>(</w:t>
      </w:r>
      <w:r w:rsidRPr="008624C4">
        <w:t>95.06 %</w:t>
      </w:r>
      <w:r>
        <w:t>)</w:t>
      </w:r>
      <w:r w:rsidRPr="008624C4">
        <w:t xml:space="preserve"> with</w:t>
      </w:r>
      <w:r>
        <w:t xml:space="preserve"> high vigour </w:t>
      </w:r>
      <w:r w:rsidRPr="008624C4">
        <w:t xml:space="preserve">and </w:t>
      </w:r>
      <w:r>
        <w:t xml:space="preserve">sample </w:t>
      </w:r>
      <w:r w:rsidRPr="008624C4">
        <w:t>S</w:t>
      </w:r>
      <w:r>
        <w:t>3</w:t>
      </w:r>
      <w:r w:rsidRPr="008624C4">
        <w:t xml:space="preserve"> show</w:t>
      </w:r>
      <w:r>
        <w:t>ed</w:t>
      </w:r>
      <w:r w:rsidRPr="008624C4">
        <w:t xml:space="preserve"> the minimum pure l</w:t>
      </w:r>
      <w:r>
        <w:t xml:space="preserve">ive seed with 79.54%. </w:t>
      </w:r>
      <w:r w:rsidRPr="008624C4">
        <w:t>So, as per observation</w:t>
      </w:r>
      <w:r>
        <w:t xml:space="preserve"> recorded</w:t>
      </w:r>
      <w:r w:rsidRPr="008624C4">
        <w:t>, sample S</w:t>
      </w:r>
      <w:r w:rsidRPr="008624C4">
        <w:rPr>
          <w:vertAlign w:val="subscript"/>
        </w:rPr>
        <w:t>2</w:t>
      </w:r>
      <w:r w:rsidRPr="008624C4">
        <w:t xml:space="preserve"> and S</w:t>
      </w:r>
      <w:r w:rsidRPr="008624C4">
        <w:rPr>
          <w:vertAlign w:val="subscript"/>
        </w:rPr>
        <w:t>4</w:t>
      </w:r>
      <w:r w:rsidRPr="008624C4">
        <w:t xml:space="preserve"> meets the minimum standard of pur</w:t>
      </w:r>
      <w:r>
        <w:t>ity</w:t>
      </w:r>
      <w:r w:rsidRPr="008624C4">
        <w:t xml:space="preserve"> and germination </w:t>
      </w:r>
      <w:r>
        <w:t>percent. In another case purity percent of sample S</w:t>
      </w:r>
      <w:r w:rsidRPr="004E16B2">
        <w:rPr>
          <w:vertAlign w:val="subscript"/>
        </w:rPr>
        <w:t>1</w:t>
      </w:r>
      <w:r>
        <w:t xml:space="preserve"> and S</w:t>
      </w:r>
      <w:r w:rsidRPr="004E16B2">
        <w:rPr>
          <w:vertAlign w:val="subscript"/>
        </w:rPr>
        <w:t>3</w:t>
      </w:r>
      <w:r>
        <w:t xml:space="preserve"> was below the minimum standard but the germination percent was very high from the recommended standard.  So from the discussion it may be concluded that as seed lot 2 (</w:t>
      </w:r>
      <w:r w:rsidRPr="008624C4">
        <w:t>Sample S</w:t>
      </w:r>
      <w:r>
        <w:t>2) possessed</w:t>
      </w:r>
      <w:r w:rsidRPr="008624C4">
        <w:t xml:space="preserve"> </w:t>
      </w:r>
      <w:r>
        <w:t>the highest quality than any other seed lots but all the remaining three seed lots were found good enough to use as a planting material in the next season as the quality value was within the standard value.</w:t>
      </w:r>
      <w:r w:rsidRPr="008624C4">
        <w:t xml:space="preserve"> </w:t>
      </w:r>
    </w:p>
    <w:p w:rsidR="003525A7" w:rsidRDefault="003525A7" w:rsidP="008D1C54">
      <w:pPr>
        <w:shd w:val="clear" w:color="auto" w:fill="FFFFFF"/>
        <w:spacing w:after="138"/>
        <w:ind w:right="68"/>
        <w:jc w:val="both"/>
        <w:rPr>
          <w:b/>
          <w:bCs/>
          <w:lang w:eastAsia="en-IN"/>
        </w:rPr>
      </w:pPr>
    </w:p>
    <w:p w:rsidR="003525A7" w:rsidRDefault="003525A7" w:rsidP="008D1C54">
      <w:pPr>
        <w:shd w:val="clear" w:color="auto" w:fill="FFFFFF"/>
        <w:spacing w:after="138"/>
        <w:ind w:right="68"/>
        <w:jc w:val="both"/>
      </w:pPr>
      <w:r w:rsidRPr="002D70E8">
        <w:rPr>
          <w:b/>
          <w:bCs/>
          <w:lang w:eastAsia="en-IN"/>
        </w:rPr>
        <w:t>Key Words:</w:t>
      </w:r>
      <w:r w:rsidRPr="002D70E8">
        <w:rPr>
          <w:lang w:eastAsia="en-IN"/>
        </w:rPr>
        <w:t xml:space="preserve"> </w:t>
      </w:r>
      <w:r>
        <w:t>Quality, germination, purity, vigour, planting value</w:t>
      </w:r>
    </w:p>
    <w:p w:rsidR="003525A7" w:rsidRDefault="003525A7" w:rsidP="008D1C54">
      <w:pPr>
        <w:jc w:val="both"/>
        <w:rPr>
          <w:lang w:eastAsia="en-IN"/>
        </w:rPr>
      </w:pPr>
    </w:p>
    <w:p w:rsidR="003525A7" w:rsidRPr="008624C4" w:rsidRDefault="003525A7" w:rsidP="008D1C54">
      <w:pPr>
        <w:rPr>
          <w:b/>
          <w:bCs/>
          <w:caps/>
        </w:rPr>
      </w:pPr>
      <w:r w:rsidRPr="008624C4">
        <w:rPr>
          <w:b/>
          <w:bCs/>
        </w:rPr>
        <w:t>Introduction</w:t>
      </w:r>
    </w:p>
    <w:p w:rsidR="003525A7" w:rsidRPr="008624C4" w:rsidRDefault="003525A7" w:rsidP="008D1C54">
      <w:pPr>
        <w:rPr>
          <w:b/>
          <w:bCs/>
          <w:caps/>
        </w:rPr>
      </w:pPr>
    </w:p>
    <w:p w:rsidR="003525A7" w:rsidRPr="008624C4" w:rsidRDefault="003525A7" w:rsidP="008D1C54">
      <w:pPr>
        <w:spacing w:after="100"/>
        <w:ind w:firstLine="720"/>
        <w:jc w:val="both"/>
      </w:pPr>
      <w:r>
        <w:t xml:space="preserve">Soyabean </w:t>
      </w:r>
      <w:r w:rsidRPr="008624C4">
        <w:t>seed</w:t>
      </w:r>
      <w:r>
        <w:t xml:space="preserve"> evaluation of</w:t>
      </w:r>
      <w:r w:rsidRPr="008624C4">
        <w:t xml:space="preserve"> vigo</w:t>
      </w:r>
      <w:r>
        <w:t>u</w:t>
      </w:r>
      <w:r w:rsidRPr="008624C4">
        <w:t>r and its relation with field seedling emergence can provide secure indicatives of seed physiological potential. The production of high quality seed results in many direct benefits to the seed consumer and seed producer. Use of high quality seed affords the seed consumer many production options; because high quality seeds better tolerate stressful planting conditions. Planting a superior seed lot usually results in a more uniform stand that allows better secondary tillage and weed/pest control. All of these factors promote earlier and more uniform emergences, which can lead to increase yield and more economic return to seed consumer.</w:t>
      </w:r>
    </w:p>
    <w:p w:rsidR="003525A7" w:rsidRDefault="003525A7" w:rsidP="008D1C54">
      <w:pPr>
        <w:pStyle w:val="NormalWeb"/>
        <w:spacing w:afterAutospacing="0"/>
        <w:ind w:firstLine="720"/>
        <w:jc w:val="both"/>
      </w:pPr>
      <w:r w:rsidRPr="008624C4">
        <w:t xml:space="preserve">Different </w:t>
      </w:r>
      <w:r>
        <w:t xml:space="preserve">seed </w:t>
      </w:r>
      <w:r w:rsidRPr="008624C4">
        <w:t>testing parameter’s results will provide the basic seed quality information and aid in planting decisions. Growers should conduct germination test immediately after harvest to determine if the seed is worth saving and again before planting to see if they are worth planting. Seed quality can change dramatically during storage, so tes</w:t>
      </w:r>
      <w:r>
        <w:t>ting twice is always good</w:t>
      </w:r>
      <w:r w:rsidRPr="008624C4">
        <w:t xml:space="preserve">. The quality of the seed lot is judged by the relative percentage of various components. The quality is considered superior, if pure seed percentage is above 98, and other seeds and inert matter percentage as low as possible. The purity test is done with the object of determining the composition by weight of the sample being tested, and by inference the composition of the seed weight. Since germination test are based on pure seed components, it can readily be seen that purity analysis and germination tests compliment each other. Thus the actual planting value of seed can be determined only when the purity analysis and germination tests are considered together. </w:t>
      </w:r>
      <w:r>
        <w:t>One of the primary factors is access to moisture for the seed (</w:t>
      </w:r>
      <w:hyperlink r:id="rId11" w:history="1">
        <w:r w:rsidRPr="00B35DF4">
          <w:rPr>
            <w:rStyle w:val="Hyperlink"/>
          </w:rPr>
          <w:t>McDonald &amp; Copeland, 2004</w:t>
        </w:r>
      </w:hyperlink>
      <w:r>
        <w:t xml:space="preserve">; </w:t>
      </w:r>
      <w:hyperlink r:id="rId12" w:history="1">
        <w:r w:rsidRPr="00B35DF4">
          <w:rPr>
            <w:rStyle w:val="Hyperlink"/>
          </w:rPr>
          <w:t>Hartmann and Kester, 1999</w:t>
        </w:r>
      </w:hyperlink>
      <w:r>
        <w:t>). High physiological potential (germination and vigour) of a given seed lot credentialed it for a superior performance in a broad range of field environmental conditions (</w:t>
      </w:r>
      <w:hyperlink r:id="rId13" w:history="1">
        <w:r w:rsidRPr="00B35DF4">
          <w:rPr>
            <w:rStyle w:val="Hyperlink"/>
          </w:rPr>
          <w:t>Egli &amp; TeKrony, 1996</w:t>
        </w:r>
      </w:hyperlink>
      <w:r>
        <w:t xml:space="preserve">; </w:t>
      </w:r>
      <w:hyperlink r:id="rId14" w:history="1">
        <w:r w:rsidRPr="00B35DF4">
          <w:rPr>
            <w:rStyle w:val="Hyperlink"/>
          </w:rPr>
          <w:t>Marcos Filho, 1999</w:t>
        </w:r>
      </w:hyperlink>
      <w:r>
        <w:t xml:space="preserve">). </w:t>
      </w:r>
    </w:p>
    <w:p w:rsidR="003525A7" w:rsidRPr="008624C4" w:rsidRDefault="003525A7" w:rsidP="00F56608">
      <w:pPr>
        <w:spacing w:before="100" w:beforeAutospacing="1" w:after="100"/>
        <w:ind w:firstLine="720"/>
        <w:jc w:val="both"/>
        <w:rPr>
          <w:lang w:eastAsia="en-IN"/>
        </w:rPr>
      </w:pPr>
      <w:r w:rsidRPr="008624C4">
        <w:rPr>
          <w:lang w:eastAsia="en-IN"/>
        </w:rPr>
        <w:t>Th</w:t>
      </w:r>
      <w:r>
        <w:rPr>
          <w:lang w:eastAsia="en-IN"/>
        </w:rPr>
        <w:t>e</w:t>
      </w:r>
      <w:r w:rsidRPr="008624C4">
        <w:rPr>
          <w:lang w:eastAsia="en-IN"/>
        </w:rPr>
        <w:t xml:space="preserve"> </w:t>
      </w:r>
      <w:r>
        <w:rPr>
          <w:lang w:eastAsia="en-IN"/>
        </w:rPr>
        <w:t>investigation</w:t>
      </w:r>
      <w:r w:rsidRPr="008624C4">
        <w:rPr>
          <w:lang w:eastAsia="en-IN"/>
        </w:rPr>
        <w:t xml:space="preserve"> was conducted to characterize the quality of </w:t>
      </w:r>
      <w:r>
        <w:rPr>
          <w:lang w:eastAsia="en-IN"/>
        </w:rPr>
        <w:t>soyabean</w:t>
      </w:r>
      <w:r w:rsidRPr="008624C4">
        <w:rPr>
          <w:lang w:eastAsia="en-IN"/>
        </w:rPr>
        <w:t xml:space="preserve"> seeds by comparing the different </w:t>
      </w:r>
      <w:r>
        <w:rPr>
          <w:lang w:eastAsia="en-IN"/>
        </w:rPr>
        <w:t xml:space="preserve">testing </w:t>
      </w:r>
      <w:r w:rsidRPr="008624C4">
        <w:rPr>
          <w:lang w:eastAsia="en-IN"/>
        </w:rPr>
        <w:t>parameter</w:t>
      </w:r>
      <w:r>
        <w:rPr>
          <w:lang w:eastAsia="en-IN"/>
        </w:rPr>
        <w:t>s</w:t>
      </w:r>
      <w:r w:rsidRPr="008624C4">
        <w:rPr>
          <w:lang w:eastAsia="en-IN"/>
        </w:rPr>
        <w:t xml:space="preserve"> with respect to the Indian Minimum Seed Standard</w:t>
      </w:r>
      <w:r>
        <w:rPr>
          <w:lang w:eastAsia="en-IN"/>
        </w:rPr>
        <w:t xml:space="preserve"> in order to maintain the quality of the seed for further generation</w:t>
      </w:r>
      <w:r w:rsidRPr="008624C4">
        <w:rPr>
          <w:lang w:eastAsia="en-IN"/>
        </w:rPr>
        <w:t>.</w:t>
      </w:r>
    </w:p>
    <w:p w:rsidR="003525A7" w:rsidRPr="008624C4" w:rsidRDefault="003525A7" w:rsidP="008D1C54">
      <w:pPr>
        <w:rPr>
          <w:b/>
          <w:bCs/>
        </w:rPr>
      </w:pPr>
    </w:p>
    <w:p w:rsidR="003525A7" w:rsidRDefault="003525A7" w:rsidP="008D1C54">
      <w:pPr>
        <w:rPr>
          <w:b/>
          <w:bCs/>
        </w:rPr>
      </w:pPr>
      <w:r>
        <w:rPr>
          <w:b/>
          <w:bCs/>
        </w:rPr>
        <w:t>Materials a</w:t>
      </w:r>
      <w:r w:rsidRPr="008624C4">
        <w:rPr>
          <w:b/>
          <w:bCs/>
        </w:rPr>
        <w:t>nd Methods</w:t>
      </w:r>
    </w:p>
    <w:p w:rsidR="003525A7" w:rsidRDefault="003525A7" w:rsidP="008D1C54">
      <w:pPr>
        <w:jc w:val="center"/>
        <w:rPr>
          <w:b/>
          <w:bCs/>
        </w:rPr>
      </w:pPr>
    </w:p>
    <w:p w:rsidR="003525A7" w:rsidRPr="00293093" w:rsidRDefault="003525A7" w:rsidP="008D1C54">
      <w:pPr>
        <w:ind w:firstLine="720"/>
        <w:jc w:val="both"/>
        <w:rPr>
          <w:b/>
          <w:bCs/>
        </w:rPr>
      </w:pPr>
      <w:r w:rsidRPr="008624C4">
        <w:t xml:space="preserve">The investigation was conducted at the </w:t>
      </w:r>
      <w:r>
        <w:t>Seed Testing L</w:t>
      </w:r>
      <w:r w:rsidRPr="008624C4">
        <w:t xml:space="preserve">aboratory of Dept. of Seed Science and Technology, </w:t>
      </w:r>
      <w:smartTag w:uri="urn:schemas-microsoft-com:office:smarttags" w:element="country-region">
        <w:smartTag w:uri="urn:schemas-microsoft-com:office:smarttags" w:element="country-region">
          <w:r w:rsidRPr="008624C4">
            <w:t>H.N.B.</w:t>
          </w:r>
        </w:smartTag>
        <w:r w:rsidRPr="008624C4">
          <w:t xml:space="preserve"> </w:t>
        </w:r>
        <w:smartTag w:uri="urn:schemas-microsoft-com:office:smarttags" w:element="country-region">
          <w:r w:rsidRPr="008624C4">
            <w:t>Garhwal</w:t>
          </w:r>
        </w:smartTag>
        <w:r w:rsidRPr="008624C4">
          <w:t xml:space="preserve"> </w:t>
        </w:r>
        <w:smartTag w:uri="urn:schemas-microsoft-com:office:smarttags" w:element="country-region">
          <w:r w:rsidRPr="008624C4">
            <w:t>University</w:t>
          </w:r>
        </w:smartTag>
      </w:smartTag>
      <w:r w:rsidRPr="008624C4">
        <w:t xml:space="preserve">. According to the Indian Minimum Seed Standard the germination percent of </w:t>
      </w:r>
      <w:r>
        <w:t>soyabean</w:t>
      </w:r>
      <w:r w:rsidRPr="008624C4">
        <w:t xml:space="preserve"> is 70 % and purity percent is 98 %.</w:t>
      </w:r>
    </w:p>
    <w:p w:rsidR="003525A7" w:rsidRPr="008624C4" w:rsidRDefault="003525A7" w:rsidP="008D1C54">
      <w:pPr>
        <w:ind w:firstLine="720"/>
        <w:jc w:val="both"/>
      </w:pPr>
      <w:r w:rsidRPr="008624C4">
        <w:t xml:space="preserve">Four samples of </w:t>
      </w:r>
      <w:r>
        <w:t>soyabean</w:t>
      </w:r>
      <w:r w:rsidRPr="008624C4">
        <w:t xml:space="preserve"> (</w:t>
      </w:r>
      <w:r w:rsidRPr="008624C4">
        <w:rPr>
          <w:i/>
          <w:iCs/>
        </w:rPr>
        <w:t>Glycine max</w:t>
      </w:r>
      <w:r w:rsidRPr="008624C4">
        <w:t xml:space="preserve"> L. Merr.) cultivar PS-1092 seeds were collected from different</w:t>
      </w:r>
      <w:r>
        <w:t xml:space="preserve"> seeds lots of different</w:t>
      </w:r>
      <w:r w:rsidRPr="008624C4">
        <w:t xml:space="preserve"> villages of Almora district of Uttarakhand</w:t>
      </w:r>
      <w:r>
        <w:t xml:space="preserve"> (</w:t>
      </w:r>
      <w:smartTag w:uri="urn:schemas-microsoft-com:office:smarttags" w:element="country-region">
        <w:r>
          <w:t>India</w:t>
        </w:r>
      </w:smartTag>
      <w:r>
        <w:t>)</w:t>
      </w:r>
      <w:r w:rsidRPr="008624C4">
        <w:t>. Each sample was assigned as S</w:t>
      </w:r>
      <w:r>
        <w:t>1</w:t>
      </w:r>
      <w:r w:rsidRPr="008624C4">
        <w:t>, S</w:t>
      </w:r>
      <w:r>
        <w:t>2</w:t>
      </w:r>
      <w:r w:rsidRPr="008624C4">
        <w:t>, S</w:t>
      </w:r>
      <w:r>
        <w:t>3</w:t>
      </w:r>
      <w:r w:rsidRPr="008624C4">
        <w:t xml:space="preserve"> and S</w:t>
      </w:r>
      <w:r>
        <w:t>4</w:t>
      </w:r>
      <w:r w:rsidRPr="008624C4">
        <w:t xml:space="preserve"> and divided into four replicates for each sample. The work consists of purity test, standard ge</w:t>
      </w:r>
      <w:r>
        <w:t xml:space="preserve">rmination test, imbibition rate, seed </w:t>
      </w:r>
      <w:r w:rsidRPr="008624C4">
        <w:t>vigour test</w:t>
      </w:r>
      <w:r>
        <w:t xml:space="preserve"> and pre live seed</w:t>
      </w:r>
      <w:r w:rsidRPr="008624C4">
        <w:t>.</w:t>
      </w:r>
    </w:p>
    <w:p w:rsidR="003525A7" w:rsidRDefault="003525A7" w:rsidP="008D1C54">
      <w:pPr>
        <w:shd w:val="clear" w:color="auto" w:fill="FFFFFF"/>
        <w:ind w:right="68" w:firstLine="720"/>
        <w:jc w:val="both"/>
        <w:rPr>
          <w:lang w:eastAsia="en-IN"/>
        </w:rPr>
      </w:pPr>
      <w:r>
        <w:t xml:space="preserve">Purity analysis sorted out three components; inert matter, other seed and pure seed. The three components were weighed by using the Electronic Balance having the accuracy of </w:t>
      </w:r>
      <w:r>
        <w:rPr>
          <w:u w:val="single"/>
        </w:rPr>
        <w:t>+</w:t>
      </w:r>
      <w:r>
        <w:t xml:space="preserve"> 0.001g and expressed in percentage. </w:t>
      </w:r>
      <w:r>
        <w:rPr>
          <w:lang w:eastAsia="en-IN"/>
        </w:rPr>
        <w:t>Standard germination test was conducted on a 100 seeds per replicate at 25</w:t>
      </w:r>
      <w:r>
        <w:rPr>
          <w:vertAlign w:val="superscript"/>
          <w:lang w:eastAsia="en-IN"/>
        </w:rPr>
        <w:t>0</w:t>
      </w:r>
      <w:r>
        <w:rPr>
          <w:lang w:eastAsia="en-IN"/>
        </w:rPr>
        <w:t xml:space="preserve">C for six days in germinator by using filter paper and, for seedling emergence test </w:t>
      </w:r>
      <w:r>
        <w:rPr>
          <w:color w:val="000000"/>
          <w:lang w:eastAsia="en-IN"/>
        </w:rPr>
        <w:t xml:space="preserve">sand was taken as substratum and kept at the same temperature. </w:t>
      </w:r>
      <w:r>
        <w:rPr>
          <w:lang w:eastAsia="en-IN"/>
        </w:rPr>
        <w:t xml:space="preserve">Pure live seed (PLS) percentage represents the amount of pure seeds in a seed lot that are capable of producing seedlings. It is calculated by using the formula: </w:t>
      </w:r>
    </w:p>
    <w:p w:rsidR="003525A7" w:rsidRDefault="003525A7" w:rsidP="008D1C54">
      <w:pPr>
        <w:shd w:val="clear" w:color="auto" w:fill="FFFFFF"/>
        <w:ind w:right="68" w:firstLine="720"/>
        <w:jc w:val="both"/>
        <w:rPr>
          <w:lang w:eastAsia="en-IN"/>
        </w:rPr>
      </w:pPr>
    </w:p>
    <w:p w:rsidR="003525A7" w:rsidRDefault="003525A7" w:rsidP="00F52445">
      <w:pPr>
        <w:shd w:val="clear" w:color="auto" w:fill="FFFFFF"/>
        <w:ind w:right="68" w:firstLine="720"/>
        <w:jc w:val="both"/>
      </w:pPr>
      <w:r>
        <w:rPr>
          <w:noProof/>
          <w:lang w:eastAsia="zh-CN"/>
        </w:rPr>
        <w:pict>
          <v:rect id="_x0000_s1026" style="position:absolute;left:0;text-align:left;margin-left:31.25pt;margin-top:9.25pt;width:211.9pt;height:22.45pt;z-index:-251658240"/>
        </w:pict>
      </w:r>
      <w:r>
        <w:t xml:space="preserve">PLS = Germination% X Purity % / 100. </w:t>
      </w:r>
    </w:p>
    <w:p w:rsidR="003525A7" w:rsidRDefault="003525A7" w:rsidP="008D1C54">
      <w:pPr>
        <w:shd w:val="clear" w:color="auto" w:fill="FFFFFF"/>
        <w:ind w:right="68" w:firstLine="720"/>
        <w:jc w:val="both"/>
      </w:pPr>
    </w:p>
    <w:p w:rsidR="003525A7" w:rsidRDefault="003525A7" w:rsidP="008D1C54">
      <w:pPr>
        <w:shd w:val="clear" w:color="auto" w:fill="FFFFFF"/>
        <w:ind w:right="68" w:firstLine="720"/>
        <w:jc w:val="both"/>
      </w:pPr>
      <w:r>
        <w:t>For imbibition, four replicates of 40 seeds to each were weight before and after imbibition. Seeds were imbibed in 100 ml of water for 72 hours and measurement were taken 3 times i.e., after every 24 hrs. Seedling length was taken after the completion of germination period (7 days) in randomly selected five seedlings from each replication. The dry weight of the 5 randomly selected seedlings (without cotyledons) for each replicate was measured after it was dried on oven at 103</w:t>
      </w:r>
      <w:r w:rsidRPr="00287E3A">
        <w:rPr>
          <w:vertAlign w:val="superscript"/>
        </w:rPr>
        <w:t>0</w:t>
      </w:r>
      <w:r>
        <w:t>C for 24 hrs.</w:t>
      </w:r>
    </w:p>
    <w:p w:rsidR="003525A7" w:rsidRPr="008624C4" w:rsidRDefault="003525A7" w:rsidP="008D1C54">
      <w:pPr>
        <w:spacing w:before="120"/>
        <w:jc w:val="both"/>
      </w:pPr>
    </w:p>
    <w:p w:rsidR="003525A7" w:rsidRPr="008624C4" w:rsidRDefault="003525A7" w:rsidP="008D1C54">
      <w:pPr>
        <w:rPr>
          <w:b/>
          <w:bCs/>
        </w:rPr>
      </w:pPr>
      <w:r w:rsidRPr="008624C4">
        <w:rPr>
          <w:b/>
          <w:bCs/>
        </w:rPr>
        <w:t xml:space="preserve">Results </w:t>
      </w:r>
      <w:r>
        <w:rPr>
          <w:b/>
          <w:bCs/>
        </w:rPr>
        <w:t>a</w:t>
      </w:r>
      <w:r w:rsidRPr="008624C4">
        <w:rPr>
          <w:b/>
          <w:bCs/>
        </w:rPr>
        <w:t>nd Discussion</w:t>
      </w:r>
    </w:p>
    <w:p w:rsidR="003525A7" w:rsidRDefault="003525A7" w:rsidP="008D1C54">
      <w:pPr>
        <w:rPr>
          <w:b/>
          <w:bCs/>
        </w:rPr>
      </w:pPr>
    </w:p>
    <w:p w:rsidR="003525A7" w:rsidRDefault="003525A7" w:rsidP="00B97EDC">
      <w:pPr>
        <w:spacing w:after="100"/>
        <w:ind w:firstLine="720"/>
        <w:jc w:val="both"/>
      </w:pPr>
      <w:r w:rsidRPr="008624C4">
        <w:t>As quality is considered superior, if pure seed percentage is above 98, and other seeds and inert matter percentage as low as possible. Germination test are based on pure seed co</w:t>
      </w:r>
      <w:r>
        <w:t>mponents, this has been shown by the observations recorded and</w:t>
      </w:r>
      <w:r w:rsidRPr="008624C4">
        <w:t xml:space="preserve"> that purity analysis and germination tests compliment each other. Thus the actual planting value of seed can be determined only when the purity analysis and germination tests are considered together. Vigo</w:t>
      </w:r>
      <w:r>
        <w:t>u</w:t>
      </w:r>
      <w:r w:rsidRPr="008624C4">
        <w:t xml:space="preserve">r test have been used as complementary information to the germination test. They are considered efficient to classification of seed lots according to physiological potential, but it is also desirable that they provide coherent results with field seedling emergence. </w:t>
      </w:r>
    </w:p>
    <w:p w:rsidR="003525A7" w:rsidRDefault="003525A7" w:rsidP="008D1C54">
      <w:pPr>
        <w:ind w:firstLine="720"/>
        <w:jc w:val="both"/>
      </w:pPr>
      <w:r>
        <w:t>Recorded experimental findings (</w:t>
      </w:r>
      <w:hyperlink r:id="rId15" w:history="1">
        <w:r w:rsidRPr="003855FF">
          <w:rPr>
            <w:rStyle w:val="Hyperlink"/>
          </w:rPr>
          <w:t>Table 1</w:t>
        </w:r>
      </w:hyperlink>
      <w:r>
        <w:t>) showed that sample S2 exhibited maximum germination, PLS and seedling length values.  Maximum purity percent, highest imbibition and seedling emergence in minimum days was observed in Sample S4 and S1</w:t>
      </w:r>
      <w:r>
        <w:rPr>
          <w:vertAlign w:val="subscript"/>
        </w:rPr>
        <w:t xml:space="preserve"> </w:t>
      </w:r>
      <w:r>
        <w:t xml:space="preserve">obtained maximum (0.97 gm) dry weight of seedling. Seeds of sample S4 showed high emergence percent at the first reading with high rate of imbibition due to the characteristic of high accessibility moisture seed coat. Similar responses have been described by </w:t>
      </w:r>
      <w:hyperlink r:id="rId16" w:history="1">
        <w:r w:rsidRPr="00B35DF4">
          <w:rPr>
            <w:rStyle w:val="Hyperlink"/>
          </w:rPr>
          <w:t>McDonald &amp; Copeland (2004)</w:t>
        </w:r>
      </w:hyperlink>
      <w:r>
        <w:t>. For early seedling emergence all samples were started taking observation from the 3</w:t>
      </w:r>
      <w:r>
        <w:rPr>
          <w:vertAlign w:val="superscript"/>
        </w:rPr>
        <w:t>rd</w:t>
      </w:r>
      <w:r>
        <w:t xml:space="preserve"> day of sowing, on the 1</w:t>
      </w:r>
      <w:r>
        <w:rPr>
          <w:vertAlign w:val="superscript"/>
        </w:rPr>
        <w:t>st</w:t>
      </w:r>
      <w:r>
        <w:t xml:space="preserve"> day of counting sample S4 and S3</w:t>
      </w:r>
      <w:r>
        <w:rPr>
          <w:vertAlign w:val="subscript"/>
        </w:rPr>
        <w:t xml:space="preserve"> </w:t>
      </w:r>
      <w:r>
        <w:t>recorded the maximum and minimum seedlings respectively.</w:t>
      </w:r>
      <w:r>
        <w:rPr>
          <w:color w:val="000000"/>
        </w:rPr>
        <w:t xml:space="preserve"> But there was no significant difference on the final counting date of seed germination except S3, having low vigour seed, which support the report of </w:t>
      </w:r>
      <w:hyperlink r:id="rId17" w:history="1">
        <w:r w:rsidRPr="00B35DF4">
          <w:rPr>
            <w:rStyle w:val="Hyperlink"/>
          </w:rPr>
          <w:t xml:space="preserve">O'DELL </w:t>
        </w:r>
        <w:r w:rsidRPr="00B35DF4">
          <w:rPr>
            <w:rStyle w:val="Hyperlink"/>
            <w:i/>
            <w:iCs/>
          </w:rPr>
          <w:t>et al.</w:t>
        </w:r>
        <w:r w:rsidRPr="00B35DF4">
          <w:rPr>
            <w:rStyle w:val="Hyperlink"/>
          </w:rPr>
          <w:t xml:space="preserve"> (1998)</w:t>
        </w:r>
      </w:hyperlink>
      <w:r>
        <w:rPr>
          <w:color w:val="000000"/>
        </w:rPr>
        <w:t xml:space="preserve">. </w:t>
      </w:r>
      <w:r>
        <w:t xml:space="preserve">Sample S2 exhibited maximum germination, PLS and seedling length values with high seedling dry weight indicated more vigour than any other samples which was in accordance of the reports of </w:t>
      </w:r>
      <w:hyperlink r:id="rId18" w:history="1">
        <w:r w:rsidRPr="00B35DF4">
          <w:rPr>
            <w:rStyle w:val="Hyperlink"/>
          </w:rPr>
          <w:t xml:space="preserve">Egli </w:t>
        </w:r>
        <w:r w:rsidRPr="00B35DF4">
          <w:rPr>
            <w:rStyle w:val="Hyperlink"/>
            <w:i/>
            <w:iCs/>
          </w:rPr>
          <w:t>et al.</w:t>
        </w:r>
        <w:r w:rsidRPr="00B35DF4">
          <w:rPr>
            <w:rStyle w:val="Hyperlink"/>
          </w:rPr>
          <w:t xml:space="preserve"> (1990)</w:t>
        </w:r>
      </w:hyperlink>
      <w:r>
        <w:t xml:space="preserve">, </w:t>
      </w:r>
      <w:hyperlink r:id="rId19" w:history="1">
        <w:r w:rsidRPr="00B35DF4">
          <w:rPr>
            <w:rStyle w:val="Hyperlink"/>
          </w:rPr>
          <w:t>Egli &amp; TeKrony, (1996)</w:t>
        </w:r>
      </w:hyperlink>
      <w:r>
        <w:t xml:space="preserve"> and </w:t>
      </w:r>
      <w:hyperlink r:id="rId20" w:history="1">
        <w:r w:rsidRPr="00B35DF4">
          <w:rPr>
            <w:rStyle w:val="Hyperlink"/>
          </w:rPr>
          <w:t>Marcos Filho (1999)</w:t>
        </w:r>
      </w:hyperlink>
      <w:r>
        <w:t xml:space="preserve">. The result of low emergence percentage contradicts the observation of </w:t>
      </w:r>
      <w:hyperlink r:id="rId21" w:history="1">
        <w:r w:rsidRPr="00B35DF4">
          <w:rPr>
            <w:rStyle w:val="Hyperlink"/>
          </w:rPr>
          <w:t xml:space="preserve">Green </w:t>
        </w:r>
        <w:r w:rsidRPr="00B35DF4">
          <w:rPr>
            <w:rStyle w:val="Hyperlink"/>
            <w:i/>
            <w:iCs/>
          </w:rPr>
          <w:t>et al.</w:t>
        </w:r>
        <w:r w:rsidRPr="00B35DF4">
          <w:rPr>
            <w:rStyle w:val="Hyperlink"/>
          </w:rPr>
          <w:t xml:space="preserve"> (1965)</w:t>
        </w:r>
      </w:hyperlink>
      <w:r>
        <w:t xml:space="preserve">, who reported that low emergence percentages in the laboratory and field were associated with high occurrence of green cotyledons in soyabean. </w:t>
      </w:r>
    </w:p>
    <w:p w:rsidR="003525A7" w:rsidRDefault="003525A7" w:rsidP="00F52445">
      <w:pPr>
        <w:pStyle w:val="ListParagraph"/>
        <w:spacing w:line="276" w:lineRule="auto"/>
        <w:ind w:left="765"/>
        <w:jc w:val="center"/>
      </w:pPr>
    </w:p>
    <w:p w:rsidR="003525A7" w:rsidRPr="002D70E8" w:rsidRDefault="003525A7" w:rsidP="00B41184">
      <w:pPr>
        <w:pStyle w:val="ListParagraph"/>
        <w:spacing w:line="276" w:lineRule="auto"/>
        <w:ind w:left="765"/>
      </w:pPr>
      <w:r>
        <w:t>Table 1.</w:t>
      </w:r>
      <w:r w:rsidRPr="002D70E8">
        <w:t xml:space="preserve"> </w:t>
      </w:r>
      <w:r>
        <w:t xml:space="preserve">Mean values of </w:t>
      </w:r>
      <w:r w:rsidRPr="002D70E8">
        <w:t xml:space="preserve">analysis </w:t>
      </w:r>
      <w:r>
        <w:t xml:space="preserve">by different tests methods </w:t>
      </w:r>
      <w:r w:rsidRPr="002D70E8">
        <w:t xml:space="preserve">of </w:t>
      </w:r>
      <w:r>
        <w:t>soyabean seed quality.</w:t>
      </w:r>
      <w:r w:rsidRPr="00B41184">
        <w:t xml:space="preserve"> </w:t>
      </w:r>
      <w:r>
        <w:t>In the table, seed lot 2 (S2) and lot 4 (S4) recorded maximum mean values in varied tests.</w:t>
      </w:r>
    </w:p>
    <w:p w:rsidR="003525A7" w:rsidRPr="002D70E8" w:rsidRDefault="003525A7" w:rsidP="00F52445">
      <w:pPr>
        <w:spacing w:line="276" w:lineRule="auto"/>
        <w:ind w:left="360"/>
        <w:rPr>
          <w:b/>
          <w:bCs/>
        </w:rPr>
      </w:pPr>
    </w:p>
    <w:tbl>
      <w:tblPr>
        <w:tblW w:w="7513"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50"/>
        <w:gridCol w:w="1134"/>
        <w:gridCol w:w="851"/>
        <w:gridCol w:w="850"/>
        <w:gridCol w:w="851"/>
        <w:gridCol w:w="1134"/>
        <w:gridCol w:w="1134"/>
      </w:tblGrid>
      <w:tr w:rsidR="003525A7" w:rsidRPr="00F52445">
        <w:trPr>
          <w:trHeight w:val="489"/>
          <w:jc w:val="center"/>
        </w:trPr>
        <w:tc>
          <w:tcPr>
            <w:tcW w:w="709" w:type="dxa"/>
          </w:tcPr>
          <w:p w:rsidR="003525A7" w:rsidRPr="00F52445" w:rsidRDefault="003525A7" w:rsidP="002148F6">
            <w:pPr>
              <w:jc w:val="center"/>
              <w:rPr>
                <w:lang w:eastAsia="en-IN"/>
              </w:rPr>
            </w:pPr>
            <w:r w:rsidRPr="00F52445">
              <w:rPr>
                <w:lang w:eastAsia="en-IN"/>
              </w:rPr>
              <w:t>SS</w:t>
            </w:r>
          </w:p>
        </w:tc>
        <w:tc>
          <w:tcPr>
            <w:tcW w:w="850" w:type="dxa"/>
          </w:tcPr>
          <w:p w:rsidR="003525A7" w:rsidRPr="00F52445" w:rsidRDefault="003525A7" w:rsidP="002148F6">
            <w:pPr>
              <w:jc w:val="center"/>
              <w:rPr>
                <w:lang w:eastAsia="en-IN"/>
              </w:rPr>
            </w:pPr>
            <w:r w:rsidRPr="00F52445">
              <w:rPr>
                <w:lang w:eastAsia="en-IN"/>
              </w:rPr>
              <w:t>P %</w:t>
            </w:r>
          </w:p>
        </w:tc>
        <w:tc>
          <w:tcPr>
            <w:tcW w:w="1134" w:type="dxa"/>
          </w:tcPr>
          <w:p w:rsidR="003525A7" w:rsidRPr="00F52445" w:rsidRDefault="003525A7" w:rsidP="002148F6">
            <w:pPr>
              <w:jc w:val="center"/>
            </w:pPr>
            <w:r w:rsidRPr="00F52445">
              <w:t>I (</w:t>
            </w:r>
            <w:r w:rsidRPr="00F52445">
              <w:rPr>
                <w:lang w:eastAsia="en-IN"/>
              </w:rPr>
              <w:t>after 72 hrs)</w:t>
            </w:r>
          </w:p>
        </w:tc>
        <w:tc>
          <w:tcPr>
            <w:tcW w:w="851" w:type="dxa"/>
          </w:tcPr>
          <w:p w:rsidR="003525A7" w:rsidRPr="00F52445" w:rsidRDefault="003525A7" w:rsidP="002148F6">
            <w:pPr>
              <w:jc w:val="center"/>
            </w:pPr>
            <w:r w:rsidRPr="00F52445">
              <w:t>G (%)</w:t>
            </w:r>
          </w:p>
        </w:tc>
        <w:tc>
          <w:tcPr>
            <w:tcW w:w="850" w:type="dxa"/>
          </w:tcPr>
          <w:p w:rsidR="003525A7" w:rsidRPr="00F52445" w:rsidRDefault="003525A7" w:rsidP="002148F6">
            <w:pPr>
              <w:spacing w:line="276" w:lineRule="auto"/>
              <w:jc w:val="center"/>
            </w:pPr>
            <w:r w:rsidRPr="00F52445">
              <w:t>PLS %</w:t>
            </w:r>
          </w:p>
        </w:tc>
        <w:tc>
          <w:tcPr>
            <w:tcW w:w="851" w:type="dxa"/>
          </w:tcPr>
          <w:p w:rsidR="003525A7" w:rsidRPr="00F52445" w:rsidRDefault="003525A7" w:rsidP="002148F6">
            <w:pPr>
              <w:spacing w:line="276" w:lineRule="auto"/>
              <w:jc w:val="center"/>
            </w:pPr>
            <w:r w:rsidRPr="00F52445">
              <w:t xml:space="preserve">E % </w:t>
            </w:r>
          </w:p>
        </w:tc>
        <w:tc>
          <w:tcPr>
            <w:tcW w:w="1134" w:type="dxa"/>
          </w:tcPr>
          <w:p w:rsidR="003525A7" w:rsidRPr="00F52445" w:rsidRDefault="003525A7" w:rsidP="002148F6">
            <w:pPr>
              <w:spacing w:line="276" w:lineRule="auto"/>
              <w:jc w:val="center"/>
              <w:rPr>
                <w:lang w:eastAsia="en-IN"/>
              </w:rPr>
            </w:pPr>
            <w:r w:rsidRPr="00F52445">
              <w:rPr>
                <w:lang w:eastAsia="en-IN"/>
              </w:rPr>
              <w:t>P. ht. (cm)</w:t>
            </w:r>
          </w:p>
        </w:tc>
        <w:tc>
          <w:tcPr>
            <w:tcW w:w="1134" w:type="dxa"/>
          </w:tcPr>
          <w:p w:rsidR="003525A7" w:rsidRPr="00F52445" w:rsidRDefault="003525A7" w:rsidP="002148F6">
            <w:pPr>
              <w:spacing w:line="276" w:lineRule="auto"/>
              <w:jc w:val="center"/>
              <w:rPr>
                <w:lang w:eastAsia="en-IN"/>
              </w:rPr>
            </w:pPr>
            <w:r w:rsidRPr="00F52445">
              <w:rPr>
                <w:lang w:eastAsia="en-IN"/>
              </w:rPr>
              <w:t>SDW (gm)</w:t>
            </w:r>
          </w:p>
        </w:tc>
      </w:tr>
      <w:tr w:rsidR="003525A7" w:rsidRPr="00F52445">
        <w:trPr>
          <w:jc w:val="center"/>
        </w:trPr>
        <w:tc>
          <w:tcPr>
            <w:tcW w:w="709" w:type="dxa"/>
          </w:tcPr>
          <w:p w:rsidR="003525A7" w:rsidRPr="00F52445" w:rsidRDefault="003525A7" w:rsidP="002148F6">
            <w:pPr>
              <w:spacing w:line="276" w:lineRule="auto"/>
              <w:jc w:val="center"/>
              <w:rPr>
                <w:lang w:eastAsia="en-IN"/>
              </w:rPr>
            </w:pPr>
            <w:r w:rsidRPr="00F52445">
              <w:rPr>
                <w:lang w:eastAsia="en-IN"/>
              </w:rPr>
              <w:t>S1</w:t>
            </w:r>
          </w:p>
        </w:tc>
        <w:tc>
          <w:tcPr>
            <w:tcW w:w="850" w:type="dxa"/>
          </w:tcPr>
          <w:p w:rsidR="003525A7" w:rsidRPr="00F52445" w:rsidRDefault="003525A7" w:rsidP="002148F6">
            <w:pPr>
              <w:spacing w:line="276" w:lineRule="auto"/>
              <w:jc w:val="center"/>
              <w:rPr>
                <w:lang w:eastAsia="en-IN"/>
              </w:rPr>
            </w:pPr>
            <w:r w:rsidRPr="00F52445">
              <w:rPr>
                <w:lang w:eastAsia="en-IN"/>
              </w:rPr>
              <w:t>94.52</w:t>
            </w:r>
          </w:p>
        </w:tc>
        <w:tc>
          <w:tcPr>
            <w:tcW w:w="1134" w:type="dxa"/>
          </w:tcPr>
          <w:p w:rsidR="003525A7" w:rsidRPr="00F52445" w:rsidRDefault="003525A7" w:rsidP="002148F6">
            <w:pPr>
              <w:pStyle w:val="ListParagraph"/>
              <w:spacing w:line="276" w:lineRule="auto"/>
              <w:ind w:left="0"/>
              <w:jc w:val="center"/>
              <w:rPr>
                <w:lang w:eastAsia="en-IN"/>
              </w:rPr>
            </w:pPr>
            <w:r w:rsidRPr="00F52445">
              <w:rPr>
                <w:lang w:eastAsia="en-IN"/>
              </w:rPr>
              <w:t>6.83</w:t>
            </w:r>
          </w:p>
        </w:tc>
        <w:tc>
          <w:tcPr>
            <w:tcW w:w="851" w:type="dxa"/>
          </w:tcPr>
          <w:p w:rsidR="003525A7" w:rsidRPr="00F52445" w:rsidRDefault="003525A7" w:rsidP="002148F6">
            <w:pPr>
              <w:spacing w:line="276" w:lineRule="auto"/>
              <w:jc w:val="center"/>
            </w:pPr>
            <w:r w:rsidRPr="00F52445">
              <w:t>95</w:t>
            </w:r>
          </w:p>
        </w:tc>
        <w:tc>
          <w:tcPr>
            <w:tcW w:w="850" w:type="dxa"/>
          </w:tcPr>
          <w:p w:rsidR="003525A7" w:rsidRPr="00F52445" w:rsidRDefault="003525A7" w:rsidP="002148F6">
            <w:pPr>
              <w:spacing w:line="276" w:lineRule="auto"/>
              <w:jc w:val="center"/>
            </w:pPr>
            <w:r w:rsidRPr="00F52445">
              <w:t>89.79</w:t>
            </w:r>
          </w:p>
        </w:tc>
        <w:tc>
          <w:tcPr>
            <w:tcW w:w="851" w:type="dxa"/>
          </w:tcPr>
          <w:p w:rsidR="003525A7" w:rsidRPr="00F52445" w:rsidRDefault="003525A7" w:rsidP="002148F6">
            <w:pPr>
              <w:spacing w:line="276" w:lineRule="auto"/>
              <w:jc w:val="center"/>
            </w:pPr>
            <w:r w:rsidRPr="00F52445">
              <w:t>99</w:t>
            </w:r>
          </w:p>
        </w:tc>
        <w:tc>
          <w:tcPr>
            <w:tcW w:w="1134" w:type="dxa"/>
          </w:tcPr>
          <w:p w:rsidR="003525A7" w:rsidRPr="00F52445" w:rsidRDefault="003525A7" w:rsidP="002148F6">
            <w:pPr>
              <w:spacing w:line="276" w:lineRule="auto"/>
              <w:jc w:val="center"/>
              <w:rPr>
                <w:lang w:eastAsia="en-IN"/>
              </w:rPr>
            </w:pPr>
            <w:r w:rsidRPr="00F52445">
              <w:rPr>
                <w:lang w:eastAsia="en-IN"/>
              </w:rPr>
              <w:t>16.60</w:t>
            </w:r>
          </w:p>
        </w:tc>
        <w:tc>
          <w:tcPr>
            <w:tcW w:w="1134" w:type="dxa"/>
          </w:tcPr>
          <w:p w:rsidR="003525A7" w:rsidRPr="00F52445" w:rsidRDefault="003525A7" w:rsidP="002148F6">
            <w:pPr>
              <w:spacing w:line="276" w:lineRule="auto"/>
              <w:jc w:val="center"/>
              <w:rPr>
                <w:lang w:eastAsia="en-IN"/>
              </w:rPr>
            </w:pPr>
            <w:r w:rsidRPr="00F52445">
              <w:rPr>
                <w:lang w:eastAsia="en-IN"/>
              </w:rPr>
              <w:t>0.97</w:t>
            </w:r>
          </w:p>
        </w:tc>
      </w:tr>
      <w:tr w:rsidR="003525A7" w:rsidRPr="00F52445">
        <w:trPr>
          <w:jc w:val="center"/>
        </w:trPr>
        <w:tc>
          <w:tcPr>
            <w:tcW w:w="709" w:type="dxa"/>
          </w:tcPr>
          <w:p w:rsidR="003525A7" w:rsidRPr="00F52445" w:rsidRDefault="003525A7" w:rsidP="002148F6">
            <w:pPr>
              <w:spacing w:line="276" w:lineRule="auto"/>
              <w:jc w:val="center"/>
              <w:rPr>
                <w:lang w:eastAsia="en-IN"/>
              </w:rPr>
            </w:pPr>
            <w:r w:rsidRPr="00F52445">
              <w:rPr>
                <w:lang w:eastAsia="en-IN"/>
              </w:rPr>
              <w:t>S2</w:t>
            </w:r>
          </w:p>
        </w:tc>
        <w:tc>
          <w:tcPr>
            <w:tcW w:w="850" w:type="dxa"/>
          </w:tcPr>
          <w:p w:rsidR="003525A7" w:rsidRPr="00F52445" w:rsidRDefault="003525A7" w:rsidP="002148F6">
            <w:pPr>
              <w:spacing w:line="276" w:lineRule="auto"/>
              <w:jc w:val="center"/>
              <w:rPr>
                <w:lang w:eastAsia="en-IN"/>
              </w:rPr>
            </w:pPr>
            <w:r w:rsidRPr="00F52445">
              <w:rPr>
                <w:lang w:eastAsia="en-IN"/>
              </w:rPr>
              <w:t>98.15</w:t>
            </w:r>
          </w:p>
        </w:tc>
        <w:tc>
          <w:tcPr>
            <w:tcW w:w="1134" w:type="dxa"/>
          </w:tcPr>
          <w:p w:rsidR="003525A7" w:rsidRPr="00F52445" w:rsidRDefault="003525A7" w:rsidP="002148F6">
            <w:pPr>
              <w:pStyle w:val="ListParagraph"/>
              <w:spacing w:line="276" w:lineRule="auto"/>
              <w:ind w:left="0"/>
              <w:jc w:val="center"/>
              <w:rPr>
                <w:lang w:eastAsia="en-IN"/>
              </w:rPr>
            </w:pPr>
            <w:r w:rsidRPr="00F52445">
              <w:rPr>
                <w:lang w:eastAsia="en-IN"/>
              </w:rPr>
              <w:t>6.28</w:t>
            </w:r>
          </w:p>
        </w:tc>
        <w:tc>
          <w:tcPr>
            <w:tcW w:w="851" w:type="dxa"/>
          </w:tcPr>
          <w:p w:rsidR="003525A7" w:rsidRPr="00F52445" w:rsidRDefault="003525A7" w:rsidP="002148F6">
            <w:pPr>
              <w:spacing w:line="276" w:lineRule="auto"/>
              <w:jc w:val="center"/>
            </w:pPr>
            <w:r w:rsidRPr="00F52445">
              <w:t>97</w:t>
            </w:r>
          </w:p>
        </w:tc>
        <w:tc>
          <w:tcPr>
            <w:tcW w:w="850" w:type="dxa"/>
          </w:tcPr>
          <w:p w:rsidR="003525A7" w:rsidRPr="00F52445" w:rsidRDefault="003525A7" w:rsidP="002148F6">
            <w:pPr>
              <w:spacing w:line="276" w:lineRule="auto"/>
              <w:jc w:val="center"/>
            </w:pPr>
            <w:r w:rsidRPr="00F52445">
              <w:t>95.21</w:t>
            </w:r>
          </w:p>
        </w:tc>
        <w:tc>
          <w:tcPr>
            <w:tcW w:w="851" w:type="dxa"/>
          </w:tcPr>
          <w:p w:rsidR="003525A7" w:rsidRPr="00F52445" w:rsidRDefault="003525A7" w:rsidP="002148F6">
            <w:pPr>
              <w:spacing w:line="276" w:lineRule="auto"/>
              <w:jc w:val="center"/>
            </w:pPr>
            <w:r w:rsidRPr="00F52445">
              <w:t>96</w:t>
            </w:r>
          </w:p>
        </w:tc>
        <w:tc>
          <w:tcPr>
            <w:tcW w:w="1134" w:type="dxa"/>
          </w:tcPr>
          <w:p w:rsidR="003525A7" w:rsidRPr="00F52445" w:rsidRDefault="003525A7" w:rsidP="002148F6">
            <w:pPr>
              <w:spacing w:line="276" w:lineRule="auto"/>
              <w:jc w:val="center"/>
              <w:rPr>
                <w:lang w:eastAsia="en-IN"/>
              </w:rPr>
            </w:pPr>
            <w:r w:rsidRPr="00F52445">
              <w:rPr>
                <w:lang w:eastAsia="en-IN"/>
              </w:rPr>
              <w:t>17.18</w:t>
            </w:r>
          </w:p>
        </w:tc>
        <w:tc>
          <w:tcPr>
            <w:tcW w:w="1134" w:type="dxa"/>
          </w:tcPr>
          <w:p w:rsidR="003525A7" w:rsidRPr="00F52445" w:rsidRDefault="003525A7" w:rsidP="002148F6">
            <w:pPr>
              <w:spacing w:line="276" w:lineRule="auto"/>
              <w:jc w:val="center"/>
              <w:rPr>
                <w:lang w:eastAsia="en-IN"/>
              </w:rPr>
            </w:pPr>
            <w:r w:rsidRPr="00F52445">
              <w:rPr>
                <w:lang w:eastAsia="en-IN"/>
              </w:rPr>
              <w:t>0.94</w:t>
            </w:r>
          </w:p>
        </w:tc>
      </w:tr>
      <w:tr w:rsidR="003525A7" w:rsidRPr="00F52445">
        <w:trPr>
          <w:jc w:val="center"/>
        </w:trPr>
        <w:tc>
          <w:tcPr>
            <w:tcW w:w="709" w:type="dxa"/>
          </w:tcPr>
          <w:p w:rsidR="003525A7" w:rsidRPr="00F52445" w:rsidRDefault="003525A7" w:rsidP="002148F6">
            <w:pPr>
              <w:spacing w:line="276" w:lineRule="auto"/>
              <w:jc w:val="center"/>
              <w:rPr>
                <w:lang w:eastAsia="en-IN"/>
              </w:rPr>
            </w:pPr>
            <w:r w:rsidRPr="00F52445">
              <w:rPr>
                <w:lang w:eastAsia="en-IN"/>
              </w:rPr>
              <w:t>S3</w:t>
            </w:r>
          </w:p>
        </w:tc>
        <w:tc>
          <w:tcPr>
            <w:tcW w:w="850" w:type="dxa"/>
          </w:tcPr>
          <w:p w:rsidR="003525A7" w:rsidRPr="00F52445" w:rsidRDefault="003525A7" w:rsidP="002148F6">
            <w:pPr>
              <w:spacing w:line="276" w:lineRule="auto"/>
              <w:jc w:val="center"/>
              <w:rPr>
                <w:lang w:eastAsia="en-IN"/>
              </w:rPr>
            </w:pPr>
            <w:r w:rsidRPr="00F52445">
              <w:rPr>
                <w:lang w:eastAsia="en-IN"/>
              </w:rPr>
              <w:t>97.63</w:t>
            </w:r>
          </w:p>
        </w:tc>
        <w:tc>
          <w:tcPr>
            <w:tcW w:w="1134" w:type="dxa"/>
          </w:tcPr>
          <w:p w:rsidR="003525A7" w:rsidRPr="00F52445" w:rsidRDefault="003525A7" w:rsidP="002148F6">
            <w:pPr>
              <w:pStyle w:val="ListParagraph"/>
              <w:spacing w:line="276" w:lineRule="auto"/>
              <w:ind w:left="0"/>
              <w:jc w:val="center"/>
              <w:rPr>
                <w:lang w:eastAsia="en-IN"/>
              </w:rPr>
            </w:pPr>
            <w:r w:rsidRPr="00F52445">
              <w:rPr>
                <w:lang w:eastAsia="en-IN"/>
              </w:rPr>
              <w:t>6.80</w:t>
            </w:r>
          </w:p>
        </w:tc>
        <w:tc>
          <w:tcPr>
            <w:tcW w:w="851" w:type="dxa"/>
          </w:tcPr>
          <w:p w:rsidR="003525A7" w:rsidRPr="00F52445" w:rsidRDefault="003525A7" w:rsidP="002148F6">
            <w:pPr>
              <w:spacing w:line="276" w:lineRule="auto"/>
              <w:jc w:val="center"/>
            </w:pPr>
            <w:r w:rsidRPr="00F52445">
              <w:t>82</w:t>
            </w:r>
          </w:p>
        </w:tc>
        <w:tc>
          <w:tcPr>
            <w:tcW w:w="850" w:type="dxa"/>
          </w:tcPr>
          <w:p w:rsidR="003525A7" w:rsidRPr="00F52445" w:rsidRDefault="003525A7" w:rsidP="002148F6">
            <w:pPr>
              <w:spacing w:line="276" w:lineRule="auto"/>
              <w:jc w:val="center"/>
            </w:pPr>
            <w:r w:rsidRPr="00F52445">
              <w:t>80.06</w:t>
            </w:r>
          </w:p>
        </w:tc>
        <w:tc>
          <w:tcPr>
            <w:tcW w:w="851" w:type="dxa"/>
          </w:tcPr>
          <w:p w:rsidR="003525A7" w:rsidRPr="00F52445" w:rsidRDefault="003525A7" w:rsidP="002148F6">
            <w:pPr>
              <w:spacing w:line="276" w:lineRule="auto"/>
              <w:jc w:val="center"/>
            </w:pPr>
            <w:r w:rsidRPr="00F52445">
              <w:t>95</w:t>
            </w:r>
          </w:p>
        </w:tc>
        <w:tc>
          <w:tcPr>
            <w:tcW w:w="1134" w:type="dxa"/>
          </w:tcPr>
          <w:p w:rsidR="003525A7" w:rsidRPr="00F52445" w:rsidRDefault="003525A7" w:rsidP="002148F6">
            <w:pPr>
              <w:spacing w:line="276" w:lineRule="auto"/>
              <w:jc w:val="center"/>
              <w:rPr>
                <w:lang w:eastAsia="en-IN"/>
              </w:rPr>
            </w:pPr>
            <w:r w:rsidRPr="00F52445">
              <w:rPr>
                <w:lang w:eastAsia="en-IN"/>
              </w:rPr>
              <w:t>10.43</w:t>
            </w:r>
          </w:p>
        </w:tc>
        <w:tc>
          <w:tcPr>
            <w:tcW w:w="1134" w:type="dxa"/>
          </w:tcPr>
          <w:p w:rsidR="003525A7" w:rsidRPr="00F52445" w:rsidRDefault="003525A7" w:rsidP="002148F6">
            <w:pPr>
              <w:spacing w:line="276" w:lineRule="auto"/>
              <w:jc w:val="center"/>
              <w:rPr>
                <w:lang w:eastAsia="en-IN"/>
              </w:rPr>
            </w:pPr>
            <w:r w:rsidRPr="00F52445">
              <w:rPr>
                <w:lang w:eastAsia="en-IN"/>
              </w:rPr>
              <w:t>0.57</w:t>
            </w:r>
          </w:p>
        </w:tc>
      </w:tr>
      <w:tr w:rsidR="003525A7" w:rsidRPr="00F52445">
        <w:trPr>
          <w:jc w:val="center"/>
        </w:trPr>
        <w:tc>
          <w:tcPr>
            <w:tcW w:w="709" w:type="dxa"/>
          </w:tcPr>
          <w:p w:rsidR="003525A7" w:rsidRPr="00F52445" w:rsidRDefault="003525A7" w:rsidP="002148F6">
            <w:pPr>
              <w:spacing w:line="276" w:lineRule="auto"/>
              <w:jc w:val="center"/>
              <w:rPr>
                <w:lang w:eastAsia="en-IN"/>
              </w:rPr>
            </w:pPr>
            <w:r w:rsidRPr="00F52445">
              <w:rPr>
                <w:lang w:eastAsia="en-IN"/>
              </w:rPr>
              <w:t>S4</w:t>
            </w:r>
          </w:p>
        </w:tc>
        <w:tc>
          <w:tcPr>
            <w:tcW w:w="850" w:type="dxa"/>
          </w:tcPr>
          <w:p w:rsidR="003525A7" w:rsidRPr="00F52445" w:rsidRDefault="003525A7" w:rsidP="002148F6">
            <w:pPr>
              <w:spacing w:line="276" w:lineRule="auto"/>
              <w:jc w:val="center"/>
              <w:rPr>
                <w:lang w:eastAsia="en-IN"/>
              </w:rPr>
            </w:pPr>
            <w:r w:rsidRPr="00F52445">
              <w:rPr>
                <w:lang w:eastAsia="en-IN"/>
              </w:rPr>
              <w:t>98.43</w:t>
            </w:r>
          </w:p>
        </w:tc>
        <w:tc>
          <w:tcPr>
            <w:tcW w:w="1134" w:type="dxa"/>
          </w:tcPr>
          <w:p w:rsidR="003525A7" w:rsidRPr="00F52445" w:rsidRDefault="003525A7" w:rsidP="002148F6">
            <w:pPr>
              <w:pStyle w:val="ListParagraph"/>
              <w:spacing w:line="276" w:lineRule="auto"/>
              <w:ind w:left="0"/>
              <w:jc w:val="center"/>
              <w:rPr>
                <w:lang w:eastAsia="en-IN"/>
              </w:rPr>
            </w:pPr>
            <w:r w:rsidRPr="00F52445">
              <w:rPr>
                <w:lang w:eastAsia="en-IN"/>
              </w:rPr>
              <w:t>7.29</w:t>
            </w:r>
          </w:p>
        </w:tc>
        <w:tc>
          <w:tcPr>
            <w:tcW w:w="851" w:type="dxa"/>
          </w:tcPr>
          <w:p w:rsidR="003525A7" w:rsidRPr="00F52445" w:rsidRDefault="003525A7" w:rsidP="002148F6">
            <w:pPr>
              <w:spacing w:line="276" w:lineRule="auto"/>
              <w:jc w:val="center"/>
            </w:pPr>
            <w:r w:rsidRPr="00F52445">
              <w:t>96</w:t>
            </w:r>
          </w:p>
        </w:tc>
        <w:tc>
          <w:tcPr>
            <w:tcW w:w="850" w:type="dxa"/>
          </w:tcPr>
          <w:p w:rsidR="003525A7" w:rsidRPr="00F52445" w:rsidRDefault="003525A7" w:rsidP="002148F6">
            <w:pPr>
              <w:spacing w:line="276" w:lineRule="auto"/>
              <w:jc w:val="center"/>
            </w:pPr>
            <w:r w:rsidRPr="00F52445">
              <w:t>94.49</w:t>
            </w:r>
          </w:p>
        </w:tc>
        <w:tc>
          <w:tcPr>
            <w:tcW w:w="851" w:type="dxa"/>
          </w:tcPr>
          <w:p w:rsidR="003525A7" w:rsidRPr="00F52445" w:rsidRDefault="003525A7" w:rsidP="002148F6">
            <w:pPr>
              <w:spacing w:line="276" w:lineRule="auto"/>
              <w:jc w:val="center"/>
            </w:pPr>
            <w:r w:rsidRPr="00F52445">
              <w:t>99</w:t>
            </w:r>
          </w:p>
        </w:tc>
        <w:tc>
          <w:tcPr>
            <w:tcW w:w="1134" w:type="dxa"/>
          </w:tcPr>
          <w:p w:rsidR="003525A7" w:rsidRPr="00F52445" w:rsidRDefault="003525A7" w:rsidP="002148F6">
            <w:pPr>
              <w:spacing w:line="276" w:lineRule="auto"/>
              <w:jc w:val="center"/>
              <w:rPr>
                <w:lang w:eastAsia="en-IN"/>
              </w:rPr>
            </w:pPr>
            <w:r w:rsidRPr="00F52445">
              <w:rPr>
                <w:lang w:eastAsia="en-IN"/>
              </w:rPr>
              <w:t>16.45</w:t>
            </w:r>
          </w:p>
        </w:tc>
        <w:tc>
          <w:tcPr>
            <w:tcW w:w="1134" w:type="dxa"/>
          </w:tcPr>
          <w:p w:rsidR="003525A7" w:rsidRPr="00F52445" w:rsidRDefault="003525A7" w:rsidP="002148F6">
            <w:pPr>
              <w:spacing w:line="276" w:lineRule="auto"/>
              <w:jc w:val="center"/>
              <w:rPr>
                <w:lang w:eastAsia="en-IN"/>
              </w:rPr>
            </w:pPr>
            <w:r w:rsidRPr="00F52445">
              <w:rPr>
                <w:lang w:eastAsia="en-IN"/>
              </w:rPr>
              <w:t>0.93</w:t>
            </w:r>
          </w:p>
        </w:tc>
      </w:tr>
    </w:tbl>
    <w:p w:rsidR="003525A7" w:rsidRPr="002D70E8" w:rsidRDefault="003525A7" w:rsidP="00F52445">
      <w:pPr>
        <w:spacing w:line="276" w:lineRule="auto"/>
        <w:ind w:left="360"/>
        <w:jc w:val="both"/>
      </w:pPr>
      <w:r>
        <w:t>Acronym used: SS=Seed Sample, P=Purity, I=Imbibition, G=Germination, PLS=Pure live seed, E=Emergence, P. ht.=Plant height, SDW=Seedling dry weight</w:t>
      </w:r>
    </w:p>
    <w:p w:rsidR="003525A7" w:rsidRDefault="003525A7" w:rsidP="008D1C54">
      <w:pPr>
        <w:ind w:firstLine="720"/>
        <w:jc w:val="both"/>
      </w:pPr>
    </w:p>
    <w:p w:rsidR="003525A7" w:rsidRPr="008624C4" w:rsidRDefault="003525A7" w:rsidP="00B97EDC">
      <w:pPr>
        <w:ind w:firstLine="720"/>
        <w:jc w:val="both"/>
      </w:pPr>
      <w:r>
        <w:t>Thus, from the discussion it may be concluded that seed lot 2 (</w:t>
      </w:r>
      <w:r w:rsidRPr="008624C4">
        <w:t>Sample S</w:t>
      </w:r>
      <w:r>
        <w:t>2</w:t>
      </w:r>
      <w:r>
        <w:rPr>
          <w:vertAlign w:val="subscript"/>
        </w:rPr>
        <w:t>)</w:t>
      </w:r>
      <w:r>
        <w:t xml:space="preserve"> possessed</w:t>
      </w:r>
      <w:r w:rsidRPr="008624C4">
        <w:t xml:space="preserve"> </w:t>
      </w:r>
      <w:r>
        <w:t xml:space="preserve">the highest quality than any other seed lots but all the remaining three seed lots were found good enough to use as a planting material in the next season as the quality value was within the standard value of </w:t>
      </w:r>
      <w:r w:rsidRPr="008624C4">
        <w:t>Indian Minimum Seed Standard</w:t>
      </w:r>
      <w:r>
        <w:t>.</w:t>
      </w:r>
    </w:p>
    <w:p w:rsidR="003525A7" w:rsidRDefault="003525A7" w:rsidP="008D1C54">
      <w:pPr>
        <w:jc w:val="center"/>
        <w:rPr>
          <w:b/>
          <w:bCs/>
          <w:caps/>
        </w:rPr>
      </w:pPr>
    </w:p>
    <w:p w:rsidR="003525A7" w:rsidRDefault="003525A7" w:rsidP="008D1C54">
      <w:pPr>
        <w:jc w:val="center"/>
        <w:rPr>
          <w:b/>
          <w:bCs/>
          <w:caps/>
        </w:rPr>
      </w:pPr>
    </w:p>
    <w:p w:rsidR="003525A7" w:rsidRPr="008624C4" w:rsidRDefault="003525A7" w:rsidP="008D1C54">
      <w:pPr>
        <w:rPr>
          <w:b/>
          <w:bCs/>
          <w:caps/>
        </w:rPr>
      </w:pPr>
      <w:r w:rsidRPr="008624C4">
        <w:rPr>
          <w:b/>
          <w:bCs/>
        </w:rPr>
        <w:t>Acknowledgement</w:t>
      </w:r>
    </w:p>
    <w:p w:rsidR="003525A7" w:rsidRPr="008624C4" w:rsidRDefault="003525A7" w:rsidP="00B97EDC">
      <w:pPr>
        <w:spacing w:before="100" w:beforeAutospacing="1" w:after="100" w:afterAutospacing="1"/>
        <w:ind w:firstLine="720"/>
        <w:jc w:val="both"/>
        <w:rPr>
          <w:lang w:eastAsia="en-IN"/>
        </w:rPr>
      </w:pPr>
      <w:r w:rsidRPr="008624C4">
        <w:rPr>
          <w:lang w:eastAsia="en-IN"/>
        </w:rPr>
        <w:t>The authors</w:t>
      </w:r>
      <w:r>
        <w:rPr>
          <w:lang w:eastAsia="en-IN"/>
        </w:rPr>
        <w:t xml:space="preserve"> would like to thanks the progressive farmers for providing the seed materials and for their cooperation</w:t>
      </w:r>
      <w:r w:rsidRPr="008624C4">
        <w:rPr>
          <w:lang w:eastAsia="en-IN"/>
        </w:rPr>
        <w:t xml:space="preserve">. </w:t>
      </w:r>
    </w:p>
    <w:p w:rsidR="003525A7" w:rsidRDefault="003525A7" w:rsidP="00B41184">
      <w:pPr>
        <w:rPr>
          <w:b/>
          <w:bCs/>
        </w:rPr>
      </w:pPr>
      <w:r w:rsidRPr="008624C4">
        <w:rPr>
          <w:b/>
          <w:bCs/>
        </w:rPr>
        <w:t>References</w:t>
      </w:r>
    </w:p>
    <w:p w:rsidR="003525A7" w:rsidRPr="008624C4" w:rsidRDefault="003525A7" w:rsidP="00B41184">
      <w:pPr>
        <w:rPr>
          <w:b/>
          <w:bCs/>
        </w:rPr>
      </w:pPr>
    </w:p>
    <w:p w:rsidR="003525A7" w:rsidRDefault="003525A7" w:rsidP="007A05D1">
      <w:pPr>
        <w:pStyle w:val="NormalWeb"/>
        <w:spacing w:before="0" w:beforeAutospacing="0" w:after="0" w:afterAutospacing="0"/>
        <w:ind w:left="709" w:hanging="709"/>
        <w:jc w:val="both"/>
      </w:pPr>
      <w:r w:rsidRPr="008624C4">
        <w:t xml:space="preserve">McDonald, M.B. &amp; </w:t>
      </w:r>
      <w:r>
        <w:t xml:space="preserve">Copeland, L.O. </w:t>
      </w:r>
      <w:r w:rsidRPr="008624C4">
        <w:t>Seed Science and Technology, Laboratory Manual. 1</w:t>
      </w:r>
      <w:r w:rsidRPr="008624C4">
        <w:rPr>
          <w:vertAlign w:val="superscript"/>
        </w:rPr>
        <w:t>st</w:t>
      </w:r>
      <w:r w:rsidRPr="008624C4">
        <w:t xml:space="preserve"> Ed.</w:t>
      </w:r>
      <w:r w:rsidRPr="003855FF">
        <w:t xml:space="preserve"> </w:t>
      </w:r>
      <w:r w:rsidRPr="008624C4">
        <w:t>2004</w:t>
      </w:r>
      <w:r>
        <w:t>, Pub. Scientific Publishers (India).</w:t>
      </w:r>
    </w:p>
    <w:p w:rsidR="003525A7" w:rsidRPr="008624C4" w:rsidRDefault="003525A7" w:rsidP="007A05D1">
      <w:pPr>
        <w:pStyle w:val="NormalWeb"/>
        <w:spacing w:before="0" w:beforeAutospacing="0" w:after="0" w:afterAutospacing="0"/>
        <w:ind w:left="709" w:hanging="709"/>
        <w:jc w:val="both"/>
      </w:pPr>
    </w:p>
    <w:p w:rsidR="003525A7" w:rsidRDefault="003525A7" w:rsidP="007A05D1">
      <w:pPr>
        <w:pStyle w:val="NormalWeb"/>
        <w:spacing w:before="0" w:beforeAutospacing="0" w:after="0" w:afterAutospacing="0"/>
        <w:ind w:left="709" w:hanging="709"/>
        <w:jc w:val="both"/>
      </w:pPr>
      <w:r w:rsidRPr="008624C4">
        <w:t xml:space="preserve">Hartmann, H.T. and Kester Fred, D.E. </w:t>
      </w:r>
      <w:r>
        <w:t>Plant Propagation-Principles a</w:t>
      </w:r>
      <w:r w:rsidRPr="003855FF">
        <w:t>nd Practices</w:t>
      </w:r>
      <w:r w:rsidRPr="008624C4">
        <w:rPr>
          <w:i/>
          <w:iCs/>
        </w:rPr>
        <w:t>.</w:t>
      </w:r>
      <w:r w:rsidRPr="008624C4">
        <w:t xml:space="preserve"> Vol.1</w:t>
      </w:r>
      <w:r>
        <w:t>, 1999.</w:t>
      </w:r>
    </w:p>
    <w:p w:rsidR="003525A7" w:rsidRDefault="003525A7" w:rsidP="007A05D1">
      <w:pPr>
        <w:pStyle w:val="NormalWeb"/>
        <w:spacing w:before="0" w:beforeAutospacing="0" w:after="0" w:afterAutospacing="0"/>
        <w:ind w:left="709" w:hanging="709"/>
        <w:jc w:val="both"/>
      </w:pPr>
    </w:p>
    <w:p w:rsidR="003525A7" w:rsidRDefault="003525A7" w:rsidP="007A05D1">
      <w:pPr>
        <w:pStyle w:val="NormalWeb"/>
        <w:spacing w:before="0" w:beforeAutospacing="0" w:after="0" w:afterAutospacing="0"/>
        <w:ind w:left="720" w:hanging="720"/>
        <w:jc w:val="both"/>
      </w:pPr>
      <w:r>
        <w:t>Egli, D.B. and D.M. Tekrony. Seedbed conditions and prediction of field emergence of soyabean seed. Journal of Production Agriculture, v.9, 1996, Pp.365-370.</w:t>
      </w:r>
    </w:p>
    <w:p w:rsidR="003525A7" w:rsidRDefault="003525A7" w:rsidP="007A05D1">
      <w:pPr>
        <w:pStyle w:val="NormalWeb"/>
        <w:spacing w:before="0" w:beforeAutospacing="0" w:after="0" w:afterAutospacing="0"/>
        <w:ind w:left="720" w:hanging="720"/>
        <w:jc w:val="both"/>
      </w:pPr>
    </w:p>
    <w:p w:rsidR="003525A7" w:rsidRDefault="003525A7" w:rsidP="007A05D1">
      <w:pPr>
        <w:ind w:left="720" w:hanging="720"/>
        <w:jc w:val="both"/>
      </w:pPr>
      <w:r>
        <w:t>Egli, D.B., TeKrony, D.M. and Wiralaga, R.A. Effect of soyabean seed vigor and size on seedling growth. J. Seed Tech. 1990, 14:1–12.</w:t>
      </w:r>
    </w:p>
    <w:p w:rsidR="003525A7" w:rsidRDefault="003525A7" w:rsidP="007A05D1">
      <w:pPr>
        <w:ind w:left="720" w:hanging="720"/>
        <w:jc w:val="both"/>
      </w:pPr>
    </w:p>
    <w:p w:rsidR="003525A7" w:rsidRDefault="003525A7" w:rsidP="007A05D1">
      <w:pPr>
        <w:ind w:left="720" w:hanging="720"/>
        <w:jc w:val="both"/>
      </w:pPr>
      <w:r>
        <w:t xml:space="preserve">Green, D.E., Pinnell, L.E., Cavannah and Williams, L. F. Effect of planting date and maturity date on soyabean seed quality. </w:t>
      </w:r>
      <w:r>
        <w:rPr>
          <w:i/>
          <w:iCs/>
        </w:rPr>
        <w:t>Agron. J.</w:t>
      </w:r>
      <w:r>
        <w:t xml:space="preserve"> 1965, 57:165-168.</w:t>
      </w:r>
    </w:p>
    <w:p w:rsidR="003525A7" w:rsidRDefault="003525A7" w:rsidP="007A05D1">
      <w:pPr>
        <w:ind w:left="720" w:hanging="720"/>
        <w:jc w:val="both"/>
      </w:pPr>
    </w:p>
    <w:p w:rsidR="003525A7" w:rsidRDefault="003525A7" w:rsidP="007A05D1">
      <w:pPr>
        <w:pStyle w:val="NormalWeb"/>
        <w:spacing w:before="0" w:beforeAutospacing="0" w:after="0" w:afterAutospacing="0"/>
        <w:ind w:left="720" w:hanging="720"/>
        <w:jc w:val="both"/>
      </w:pPr>
      <w:r>
        <w:t>Marcos Filho, J. Testes de vigor: Importância e utilização. In: Krzyzanowski, F.C.; Vieira, R.D.; França Neto, J.B. (Ed.) Vigor de sementes: conceitos e testes. Londrina: ABRATES, cap.1, 1999, Pp.1-21.</w:t>
      </w:r>
    </w:p>
    <w:p w:rsidR="003525A7" w:rsidRDefault="003525A7" w:rsidP="007A05D1">
      <w:pPr>
        <w:pStyle w:val="NormalWeb"/>
        <w:spacing w:before="0" w:beforeAutospacing="0" w:after="0" w:afterAutospacing="0"/>
        <w:ind w:left="720" w:hanging="720"/>
        <w:jc w:val="both"/>
      </w:pPr>
    </w:p>
    <w:p w:rsidR="003525A7" w:rsidRPr="002D70E8" w:rsidRDefault="003525A7" w:rsidP="007A05D1">
      <w:pPr>
        <w:ind w:left="720" w:hanging="720"/>
        <w:jc w:val="both"/>
      </w:pPr>
      <w:r>
        <w:t>O'Dell, A., Scarisbrick, D. H. and Baker, D. A. Production of Belarussian soyabeans (</w:t>
      </w:r>
      <w:r>
        <w:rPr>
          <w:rStyle w:val="Emphasis"/>
        </w:rPr>
        <w:t>Glycine max</w:t>
      </w:r>
      <w:r>
        <w:t>) in the UK: predicting time to emergence. Research Article: Crops and Soils, 1998.</w:t>
      </w:r>
    </w:p>
    <w:p w:rsidR="003525A7" w:rsidRDefault="003525A7" w:rsidP="008D1C54">
      <w:pPr>
        <w:spacing w:before="100" w:beforeAutospacing="1" w:after="100" w:afterAutospacing="1" w:line="276" w:lineRule="auto"/>
        <w:ind w:right="-851"/>
        <w:rPr>
          <w:sz w:val="26"/>
          <w:szCs w:val="26"/>
          <w:lang w:val="en-IN"/>
        </w:rPr>
      </w:pPr>
    </w:p>
    <w:p w:rsidR="003525A7" w:rsidRPr="004D6307" w:rsidRDefault="003525A7">
      <w:pPr>
        <w:rPr>
          <w:lang w:eastAsia="zh-CN"/>
        </w:rPr>
      </w:pPr>
      <w:r>
        <w:rPr>
          <w:lang w:eastAsia="zh-CN"/>
        </w:rPr>
        <w:t xml:space="preserve">3/27/2009 </w:t>
      </w:r>
    </w:p>
    <w:sectPr w:rsidR="003525A7" w:rsidRPr="004D6307" w:rsidSect="00F56608">
      <w:pgSz w:w="11906" w:h="16838"/>
      <w:pgMar w:top="1440" w:right="1701"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F7404"/>
    <w:multiLevelType w:val="hybridMultilevel"/>
    <w:tmpl w:val="E5882B34"/>
    <w:lvl w:ilvl="0" w:tplc="CC64B106">
      <w:start w:val="1"/>
      <w:numFmt w:val="decimal"/>
      <w:lvlText w:val="%1."/>
      <w:lvlJc w:val="left"/>
      <w:pPr>
        <w:ind w:left="720" w:hanging="360"/>
      </w:pPr>
      <w:rPr>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8D93B0F"/>
    <w:multiLevelType w:val="hybridMultilevel"/>
    <w:tmpl w:val="C4546E3A"/>
    <w:lvl w:ilvl="0" w:tplc="C3288EE0">
      <w:start w:val="1"/>
      <w:numFmt w:val="upperLetter"/>
      <w:lvlText w:val="%1."/>
      <w:lvlJc w:val="left"/>
      <w:pPr>
        <w:ind w:left="357" w:hanging="360"/>
      </w:pPr>
      <w:rPr>
        <w:rFonts w:hint="default"/>
      </w:rPr>
    </w:lvl>
    <w:lvl w:ilvl="1" w:tplc="40090019" w:tentative="1">
      <w:start w:val="1"/>
      <w:numFmt w:val="lowerLetter"/>
      <w:lvlText w:val="%2."/>
      <w:lvlJc w:val="left"/>
      <w:pPr>
        <w:ind w:left="1077" w:hanging="360"/>
      </w:pPr>
    </w:lvl>
    <w:lvl w:ilvl="2" w:tplc="4009001B" w:tentative="1">
      <w:start w:val="1"/>
      <w:numFmt w:val="lowerRoman"/>
      <w:lvlText w:val="%3."/>
      <w:lvlJc w:val="right"/>
      <w:pPr>
        <w:ind w:left="1797" w:hanging="180"/>
      </w:pPr>
    </w:lvl>
    <w:lvl w:ilvl="3" w:tplc="4009000F" w:tentative="1">
      <w:start w:val="1"/>
      <w:numFmt w:val="decimal"/>
      <w:lvlText w:val="%4."/>
      <w:lvlJc w:val="left"/>
      <w:pPr>
        <w:ind w:left="2517" w:hanging="360"/>
      </w:pPr>
    </w:lvl>
    <w:lvl w:ilvl="4" w:tplc="40090019" w:tentative="1">
      <w:start w:val="1"/>
      <w:numFmt w:val="lowerLetter"/>
      <w:lvlText w:val="%5."/>
      <w:lvlJc w:val="left"/>
      <w:pPr>
        <w:ind w:left="3237" w:hanging="360"/>
      </w:pPr>
    </w:lvl>
    <w:lvl w:ilvl="5" w:tplc="4009001B" w:tentative="1">
      <w:start w:val="1"/>
      <w:numFmt w:val="lowerRoman"/>
      <w:lvlText w:val="%6."/>
      <w:lvlJc w:val="right"/>
      <w:pPr>
        <w:ind w:left="3957" w:hanging="180"/>
      </w:pPr>
    </w:lvl>
    <w:lvl w:ilvl="6" w:tplc="4009000F" w:tentative="1">
      <w:start w:val="1"/>
      <w:numFmt w:val="decimal"/>
      <w:lvlText w:val="%7."/>
      <w:lvlJc w:val="left"/>
      <w:pPr>
        <w:ind w:left="4677" w:hanging="360"/>
      </w:pPr>
    </w:lvl>
    <w:lvl w:ilvl="7" w:tplc="40090019" w:tentative="1">
      <w:start w:val="1"/>
      <w:numFmt w:val="lowerLetter"/>
      <w:lvlText w:val="%8."/>
      <w:lvlJc w:val="left"/>
      <w:pPr>
        <w:ind w:left="5397" w:hanging="360"/>
      </w:pPr>
    </w:lvl>
    <w:lvl w:ilvl="8" w:tplc="4009001B" w:tentative="1">
      <w:start w:val="1"/>
      <w:numFmt w:val="lowerRoman"/>
      <w:lvlText w:val="%9."/>
      <w:lvlJc w:val="right"/>
      <w:pPr>
        <w:ind w:left="611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C54"/>
    <w:rsid w:val="000151FF"/>
    <w:rsid w:val="000F2DF1"/>
    <w:rsid w:val="00133A91"/>
    <w:rsid w:val="00184EAF"/>
    <w:rsid w:val="001A2CF7"/>
    <w:rsid w:val="002148F6"/>
    <w:rsid w:val="002628C5"/>
    <w:rsid w:val="00287E3A"/>
    <w:rsid w:val="00293027"/>
    <w:rsid w:val="00293093"/>
    <w:rsid w:val="002D70E8"/>
    <w:rsid w:val="0033603E"/>
    <w:rsid w:val="003525A7"/>
    <w:rsid w:val="003855FF"/>
    <w:rsid w:val="003974F9"/>
    <w:rsid w:val="00434212"/>
    <w:rsid w:val="004D6307"/>
    <w:rsid w:val="004E16B2"/>
    <w:rsid w:val="00536232"/>
    <w:rsid w:val="00612CF7"/>
    <w:rsid w:val="006F3C47"/>
    <w:rsid w:val="007A05D1"/>
    <w:rsid w:val="008624C4"/>
    <w:rsid w:val="008A5EC8"/>
    <w:rsid w:val="008D1C54"/>
    <w:rsid w:val="009215D8"/>
    <w:rsid w:val="00992825"/>
    <w:rsid w:val="009B38E5"/>
    <w:rsid w:val="009F5208"/>
    <w:rsid w:val="00A47EA9"/>
    <w:rsid w:val="00A530E6"/>
    <w:rsid w:val="00B2679A"/>
    <w:rsid w:val="00B35DF4"/>
    <w:rsid w:val="00B41184"/>
    <w:rsid w:val="00B56B77"/>
    <w:rsid w:val="00B64516"/>
    <w:rsid w:val="00B97EDC"/>
    <w:rsid w:val="00BD7748"/>
    <w:rsid w:val="00CB4668"/>
    <w:rsid w:val="00CF3972"/>
    <w:rsid w:val="00D5756D"/>
    <w:rsid w:val="00E653E3"/>
    <w:rsid w:val="00E73AC2"/>
    <w:rsid w:val="00E8714B"/>
    <w:rsid w:val="00F06AF4"/>
    <w:rsid w:val="00F52445"/>
    <w:rsid w:val="00F566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54"/>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1C54"/>
    <w:pPr>
      <w:spacing w:before="100" w:beforeAutospacing="1" w:after="100" w:afterAutospacing="1"/>
    </w:pPr>
    <w:rPr>
      <w:lang w:val="en-IN" w:eastAsia="en-IN"/>
    </w:rPr>
  </w:style>
  <w:style w:type="paragraph" w:styleId="ListParagraph">
    <w:name w:val="List Paragraph"/>
    <w:basedOn w:val="Normal"/>
    <w:uiPriority w:val="99"/>
    <w:qFormat/>
    <w:rsid w:val="008D1C54"/>
    <w:pPr>
      <w:ind w:left="720"/>
      <w:contextualSpacing/>
    </w:pPr>
  </w:style>
  <w:style w:type="character" w:styleId="Emphasis">
    <w:name w:val="Emphasis"/>
    <w:basedOn w:val="DefaultParagraphFont"/>
    <w:uiPriority w:val="99"/>
    <w:qFormat/>
    <w:rsid w:val="008D1C54"/>
    <w:rPr>
      <w:i/>
      <w:iCs/>
    </w:rPr>
  </w:style>
  <w:style w:type="character" w:styleId="Hyperlink">
    <w:name w:val="Hyperlink"/>
    <w:basedOn w:val="DefaultParagraphFont"/>
    <w:uiPriority w:val="99"/>
    <w:rsid w:val="008D1C54"/>
    <w:rPr>
      <w:color w:val="0000FF"/>
      <w:u w:val="single"/>
    </w:rPr>
  </w:style>
  <w:style w:type="paragraph" w:styleId="BalloonText">
    <w:name w:val="Balloon Text"/>
    <w:basedOn w:val="Normal"/>
    <w:link w:val="BalloonTextChar"/>
    <w:uiPriority w:val="99"/>
    <w:semiHidden/>
    <w:rsid w:val="008D1C54"/>
    <w:rPr>
      <w:rFonts w:ascii="Tahoma" w:hAnsi="Tahoma" w:cs="Tahoma"/>
      <w:sz w:val="16"/>
      <w:szCs w:val="16"/>
    </w:rPr>
  </w:style>
  <w:style w:type="character" w:customStyle="1" w:styleId="BalloonTextChar">
    <w:name w:val="Balloon Text Char"/>
    <w:basedOn w:val="DefaultParagraphFont"/>
    <w:link w:val="BalloonText"/>
    <w:uiPriority w:val="99"/>
    <w:semiHidden/>
    <w:rsid w:val="008D1C54"/>
    <w:rPr>
      <w:rFonts w:ascii="Tahoma" w:hAnsi="Tahoma" w:cs="Tahoma"/>
      <w:sz w:val="16"/>
      <w:szCs w:val="16"/>
      <w:lang w:val="en-US"/>
    </w:rPr>
  </w:style>
  <w:style w:type="paragraph" w:styleId="Header">
    <w:name w:val="header"/>
    <w:basedOn w:val="Normal"/>
    <w:link w:val="HeaderChar"/>
    <w:uiPriority w:val="99"/>
    <w:rsid w:val="002628C5"/>
    <w:pPr>
      <w:tabs>
        <w:tab w:val="center" w:pos="4513"/>
        <w:tab w:val="right" w:pos="9026"/>
      </w:tabs>
      <w:spacing w:after="200" w:line="276" w:lineRule="auto"/>
    </w:pPr>
    <w:rPr>
      <w:rFonts w:ascii="Calibri" w:hAnsi="Calibri" w:cs="Calibri"/>
      <w:sz w:val="22"/>
      <w:szCs w:val="22"/>
      <w:lang w:val="en-IN"/>
    </w:rPr>
  </w:style>
  <w:style w:type="character" w:customStyle="1" w:styleId="HeaderChar">
    <w:name w:val="Header Char"/>
    <w:basedOn w:val="DefaultParagraphFont"/>
    <w:link w:val="Header"/>
    <w:uiPriority w:val="99"/>
    <w:rsid w:val="002628C5"/>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ol.suniljoshi@rediffmail.com" TargetMode="External"/><Relationship Id="rId13" Type="http://schemas.openxmlformats.org/officeDocument/2006/relationships/hyperlink" Target="Soybean.docx" TargetMode="External"/><Relationship Id="rId18" Type="http://schemas.openxmlformats.org/officeDocument/2006/relationships/hyperlink" Target="Soybean.docx" TargetMode="External"/><Relationship Id="rId3" Type="http://schemas.openxmlformats.org/officeDocument/2006/relationships/settings" Target="settings.xml"/><Relationship Id="rId21" Type="http://schemas.openxmlformats.org/officeDocument/2006/relationships/hyperlink" Target="Soybean.docx" TargetMode="External"/><Relationship Id="rId7" Type="http://schemas.openxmlformats.org/officeDocument/2006/relationships/hyperlink" Target="mailto:jai002004@yahoo.com" TargetMode="External"/><Relationship Id="rId12" Type="http://schemas.openxmlformats.org/officeDocument/2006/relationships/hyperlink" Target="Soybean.docx" TargetMode="External"/><Relationship Id="rId17" Type="http://schemas.openxmlformats.org/officeDocument/2006/relationships/hyperlink" Target="Soybean.docx" TargetMode="External"/><Relationship Id="rId2" Type="http://schemas.openxmlformats.org/officeDocument/2006/relationships/styles" Target="styles.xml"/><Relationship Id="rId16" Type="http://schemas.openxmlformats.org/officeDocument/2006/relationships/hyperlink" Target="Soybean.docx" TargetMode="External"/><Relationship Id="rId20" Type="http://schemas.openxmlformats.org/officeDocument/2006/relationships/hyperlink" Target="Soybean.docx" TargetMode="External"/><Relationship Id="rId1" Type="http://schemas.openxmlformats.org/officeDocument/2006/relationships/numbering" Target="numbering.xml"/><Relationship Id="rId6" Type="http://schemas.openxmlformats.org/officeDocument/2006/relationships/hyperlink" Target="mailto:indrasst08@gmail.com" TargetMode="External"/><Relationship Id="rId11" Type="http://schemas.openxmlformats.org/officeDocument/2006/relationships/hyperlink" Target="Soybean.docx" TargetMode="External"/><Relationship Id="rId5" Type="http://schemas.openxmlformats.org/officeDocument/2006/relationships/hyperlink" Target="mailto:cool.suniljoshi@rediffmail.com" TargetMode="External"/><Relationship Id="rId15" Type="http://schemas.openxmlformats.org/officeDocument/2006/relationships/hyperlink" Target="Soybean%20seed%20quality.docx" TargetMode="External"/><Relationship Id="rId23" Type="http://schemas.openxmlformats.org/officeDocument/2006/relationships/theme" Target="theme/theme1.xml"/><Relationship Id="rId10" Type="http://schemas.openxmlformats.org/officeDocument/2006/relationships/hyperlink" Target="mailto:jai002004@yahoo.com" TargetMode="External"/><Relationship Id="rId19" Type="http://schemas.openxmlformats.org/officeDocument/2006/relationships/hyperlink" Target="Soybean.docx" TargetMode="External"/><Relationship Id="rId4" Type="http://schemas.openxmlformats.org/officeDocument/2006/relationships/webSettings" Target="webSettings.xml"/><Relationship Id="rId9" Type="http://schemas.openxmlformats.org/officeDocument/2006/relationships/hyperlink" Target="mailto:indrasst08@gmail.com" TargetMode="External"/><Relationship Id="rId14" Type="http://schemas.openxmlformats.org/officeDocument/2006/relationships/hyperlink" Target="Soybean.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5</Pages>
  <Words>1964</Words>
  <Characters>10095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BHMC</cp:lastModifiedBy>
  <cp:revision>13</cp:revision>
  <dcterms:created xsi:type="dcterms:W3CDTF">2009-03-26T07:42:00Z</dcterms:created>
  <dcterms:modified xsi:type="dcterms:W3CDTF">2009-03-28T03:44:00Z</dcterms:modified>
</cp:coreProperties>
</file>