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2546" w14:textId="77777777" w:rsidR="00D95EDA" w:rsidRDefault="00D95EDA">
      <w:pPr>
        <w:snapToGrid w:val="0"/>
        <w:rPr>
          <w:rFonts w:ascii="Times New Roman" w:eastAsia="Times New Roman" w:hAnsi="Times New Roman" w:cs="Times New Roman"/>
          <w:b/>
          <w:sz w:val="20"/>
          <w:szCs w:val="20"/>
        </w:rPr>
      </w:pPr>
    </w:p>
    <w:p w14:paraId="12419A31" w14:textId="77777777" w:rsidR="00D95EDA" w:rsidRDefault="001E5FDB">
      <w:pPr>
        <w:snapToGrid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Performance of Blood culture, Beta d glucan and PCR for diagnosing Invasive Fungal Infection in Egyptian Cancer Patients</w:t>
      </w:r>
    </w:p>
    <w:p w14:paraId="79C50046" w14:textId="77777777" w:rsidR="00D95EDA" w:rsidRDefault="00D95EDA">
      <w:pPr>
        <w:snapToGrid w:val="0"/>
        <w:rPr>
          <w:rFonts w:ascii="Times New Roman" w:eastAsia="Times New Roman" w:hAnsi="Times New Roman" w:cs="Times New Roman"/>
          <w:b/>
          <w:sz w:val="20"/>
          <w:szCs w:val="20"/>
        </w:rPr>
      </w:pPr>
    </w:p>
    <w:p w14:paraId="15A867AA" w14:textId="7AD88905" w:rsidR="00D95EDA" w:rsidRDefault="001E5FDB">
      <w:pPr>
        <w:tabs>
          <w:tab w:val="right" w:pos="8505"/>
          <w:tab w:val="right" w:pos="13608"/>
        </w:tabs>
        <w:snapToGrid w:val="0"/>
        <w:ind w:right="1"/>
        <w:jc w:val="center"/>
        <w:rPr>
          <w:rFonts w:ascii="Times New Roman" w:eastAsia="Times New Roman" w:hAnsi="Times New Roman" w:cs="Times New Roman"/>
          <w:bCs/>
          <w:sz w:val="20"/>
          <w:szCs w:val="20"/>
        </w:rPr>
      </w:pPr>
      <w:r>
        <w:rPr>
          <w:rFonts w:ascii="Times New Roman" w:eastAsia="Cambria" w:hAnsi="Times New Roman" w:cs="Times New Roman"/>
          <w:bCs/>
          <w:sz w:val="20"/>
          <w:szCs w:val="20"/>
        </w:rPr>
        <w:t>Noha El-Mashad</w:t>
      </w:r>
      <w:r>
        <w:rPr>
          <w:rFonts w:ascii="Times New Roman" w:eastAsia="Cambria" w:hAnsi="Times New Roman" w:cs="Times New Roman"/>
          <w:bCs/>
          <w:sz w:val="20"/>
          <w:szCs w:val="20"/>
        </w:rPr>
        <w:t>,</w:t>
      </w:r>
      <w:r>
        <w:rPr>
          <w:rFonts w:ascii="Times New Roman" w:eastAsia="Times New Roman" w:hAnsi="Times New Roman" w:cs="Times New Roman"/>
          <w:bCs/>
          <w:sz w:val="20"/>
          <w:szCs w:val="20"/>
        </w:rPr>
        <w:t xml:space="preserve"> </w:t>
      </w:r>
      <w:r>
        <w:rPr>
          <w:rFonts w:ascii="Times New Roman" w:eastAsia="Cambria" w:hAnsi="Times New Roman" w:cs="Times New Roman"/>
          <w:bCs/>
          <w:sz w:val="20"/>
          <w:szCs w:val="20"/>
        </w:rPr>
        <w:t>Amina Mostafa Abd El-Aal</w:t>
      </w:r>
      <w:r>
        <w:rPr>
          <w:rFonts w:ascii="Times New Roman" w:eastAsia="Times New Roman" w:hAnsi="Times New Roman" w:cs="Times New Roman"/>
          <w:bCs/>
          <w:sz w:val="20"/>
          <w:szCs w:val="20"/>
        </w:rPr>
        <w:t>, Ahmed Elewa</w:t>
      </w:r>
      <w:r>
        <w:rPr>
          <w:rFonts w:ascii="Times New Roman" w:eastAsia="Times New Roman" w:hAnsi="Times New Roman" w:cs="Times New Roman"/>
          <w:bCs/>
          <w:sz w:val="20"/>
          <w:szCs w:val="20"/>
        </w:rPr>
        <w:t xml:space="preserve"> and Mohamed Elshaer</w:t>
      </w:r>
    </w:p>
    <w:p w14:paraId="789D8F8A" w14:textId="77777777" w:rsidR="00D95EDA" w:rsidRDefault="00D95EDA">
      <w:pPr>
        <w:tabs>
          <w:tab w:val="right" w:pos="8505"/>
          <w:tab w:val="right" w:pos="13608"/>
        </w:tabs>
        <w:snapToGrid w:val="0"/>
        <w:ind w:right="1"/>
        <w:jc w:val="center"/>
        <w:rPr>
          <w:rFonts w:ascii="Times New Roman" w:eastAsia="Times New Roman" w:hAnsi="Times New Roman" w:cs="Times New Roman"/>
          <w:bCs/>
          <w:sz w:val="20"/>
          <w:szCs w:val="20"/>
        </w:rPr>
      </w:pPr>
    </w:p>
    <w:p w14:paraId="4F989678" w14:textId="008FAFC2" w:rsidR="00D95EDA" w:rsidRDefault="001E5FDB">
      <w:pPr>
        <w:tabs>
          <w:tab w:val="right" w:pos="8505"/>
          <w:tab w:val="right" w:pos="13608"/>
        </w:tabs>
        <w:snapToGrid w:val="0"/>
        <w:ind w:right="1"/>
        <w:jc w:val="center"/>
        <w:rPr>
          <w:rFonts w:ascii="Times New Roman" w:hAnsi="Times New Roman" w:cs="Times New Roman"/>
          <w:sz w:val="20"/>
          <w:szCs w:val="20"/>
        </w:rPr>
      </w:pPr>
      <w:r>
        <w:rPr>
          <w:rFonts w:ascii="Times New Roman" w:hAnsi="Times New Roman" w:cs="Times New Roman"/>
          <w:sz w:val="20"/>
          <w:szCs w:val="20"/>
        </w:rPr>
        <w:t xml:space="preserve">Department of Clinical Pathology, </w:t>
      </w:r>
      <w:r>
        <w:rPr>
          <w:rFonts w:ascii="Times New Roman" w:hAnsi="Times New Roman" w:cs="Times New Roman"/>
          <w:sz w:val="20"/>
          <w:szCs w:val="20"/>
        </w:rPr>
        <w:t>Faculty of Medicine, Mansoura, Egypt.</w:t>
      </w:r>
    </w:p>
    <w:p w14:paraId="2BD164D1" w14:textId="77777777" w:rsidR="00D95EDA" w:rsidRDefault="00D95EDA">
      <w:pPr>
        <w:tabs>
          <w:tab w:val="right" w:pos="8505"/>
          <w:tab w:val="right" w:pos="13608"/>
        </w:tabs>
        <w:snapToGrid w:val="0"/>
        <w:ind w:right="1"/>
        <w:jc w:val="center"/>
        <w:rPr>
          <w:rFonts w:ascii="Times New Roman" w:hAnsi="Times New Roman" w:cs="Times New Roman"/>
          <w:sz w:val="20"/>
          <w:szCs w:val="20"/>
        </w:rPr>
      </w:pPr>
    </w:p>
    <w:p w14:paraId="1B157CFF" w14:textId="77777777" w:rsidR="00D95EDA" w:rsidRDefault="001E5FDB">
      <w:pPr>
        <w:tabs>
          <w:tab w:val="right" w:pos="8505"/>
          <w:tab w:val="right" w:pos="13608"/>
        </w:tabs>
        <w:snapToGrid w:val="0"/>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Abstract</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sz w:val="20"/>
          <w:szCs w:val="20"/>
        </w:rPr>
        <w:t>Background:</w:t>
      </w:r>
      <w:r>
        <w:rPr>
          <w:rFonts w:ascii="Times New Roman" w:eastAsiaTheme="minorHAnsi" w:hAnsi="Times New Roman" w:cs="Times New Roman"/>
          <w:sz w:val="20"/>
          <w:szCs w:val="20"/>
        </w:rPr>
        <w:t xml:space="preserve"> </w:t>
      </w:r>
      <w:r>
        <w:rPr>
          <w:rFonts w:ascii="Times New Roman" w:hAnsi="Times New Roman" w:cs="Times New Roman"/>
          <w:sz w:val="20"/>
          <w:szCs w:val="20"/>
        </w:rPr>
        <w:t xml:space="preserve">The incidence of invasive fungal infections (IFIs) has increased considerably in recent years. </w:t>
      </w:r>
      <w:r>
        <w:rPr>
          <w:rFonts w:ascii="Times New Roman" w:eastAsia="Times New Roman" w:hAnsi="Times New Roman" w:cs="Times New Roman"/>
          <w:sz w:val="20"/>
          <w:szCs w:val="20"/>
        </w:rPr>
        <w:t>Invasive fungal infection is of greater concern because epidemiological data for fungal infections a</w:t>
      </w:r>
      <w:r>
        <w:rPr>
          <w:rFonts w:ascii="Times New Roman" w:eastAsia="Times New Roman" w:hAnsi="Times New Roman" w:cs="Times New Roman"/>
          <w:sz w:val="20"/>
          <w:szCs w:val="20"/>
        </w:rPr>
        <w:t>re relatively poor and they are often misdiagnosed</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sz w:val="20"/>
          <w:szCs w:val="20"/>
        </w:rPr>
        <w:t>Methods:</w:t>
      </w:r>
      <w:r>
        <w:rPr>
          <w:rFonts w:ascii="Times New Roman" w:eastAsia="Times New Roman" w:hAnsi="Times New Roman" w:cs="Times New Roman"/>
          <w:sz w:val="20"/>
          <w:szCs w:val="20"/>
        </w:rPr>
        <w:t xml:space="preserve"> </w:t>
      </w:r>
      <w:r>
        <w:rPr>
          <w:rFonts w:ascii="Times New Roman" w:hAnsi="Times New Roman" w:cs="Times New Roman"/>
          <w:sz w:val="20"/>
          <w:szCs w:val="20"/>
        </w:rPr>
        <w:t>The study included 70 hospitalized cancer patients at the Mansoura University Oncology Center and suspected clinically to suffer from invasive fungal infections. Blood samples were obtained by ve</w:t>
      </w:r>
      <w:r>
        <w:rPr>
          <w:rFonts w:ascii="Times New Roman" w:hAnsi="Times New Roman" w:cs="Times New Roman"/>
          <w:sz w:val="20"/>
          <w:szCs w:val="20"/>
        </w:rPr>
        <w:t xml:space="preserve">nipuncture under aseptic conditions. </w:t>
      </w:r>
      <w:r>
        <w:rPr>
          <w:rFonts w:ascii="Times New Roman" w:eastAsia="Times New Roman" w:hAnsi="Times New Roman" w:cs="Times New Roman"/>
          <w:b/>
          <w:bCs/>
          <w:sz w:val="20"/>
          <w:szCs w:val="20"/>
        </w:rPr>
        <w:t>Results:</w:t>
      </w:r>
      <w:r>
        <w:rPr>
          <w:rFonts w:ascii="Times New Roman" w:eastAsia="Times New Roman" w:hAnsi="Times New Roman" w:cs="Times New Roman"/>
          <w:sz w:val="20"/>
          <w:szCs w:val="20"/>
        </w:rPr>
        <w:t xml:space="preserve"> The blood samples were subjected to culture, ELISA and PCR. Considering the different methods used for diagnosis of IFIs</w:t>
      </w:r>
      <w:r>
        <w:rPr>
          <w:rFonts w:ascii="Times New Roman" w:hAnsi="Times New Roman" w:cs="Times New Roman"/>
          <w:sz w:val="20"/>
          <w:szCs w:val="20"/>
        </w:rPr>
        <w:t>, 19 cases (27.1%) were positive blood culture. This number increases to 38 (54.3%) by the use of Ag detection test and further increas</w:t>
      </w:r>
      <w:r>
        <w:rPr>
          <w:rFonts w:ascii="Times New Roman" w:hAnsi="Times New Roman" w:cs="Times New Roman"/>
          <w:sz w:val="20"/>
          <w:szCs w:val="20"/>
        </w:rPr>
        <w:t xml:space="preserve">e to 45 (64.3%) cases out of the examined 70 patients by pan-fungal PCR. </w:t>
      </w:r>
      <w:r>
        <w:rPr>
          <w:rFonts w:ascii="Times New Roman" w:eastAsia="Times New Roman" w:hAnsi="Times New Roman" w:cs="Times New Roman"/>
          <w:b/>
          <w:bCs/>
          <w:sz w:val="20"/>
          <w:szCs w:val="20"/>
        </w:rPr>
        <w:t>Conclusion:</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Rapid diagnostic techniques such as ELISA and PCR offer an accurate and reproducible tool for early diagnosis and identification of fungal pathogens. </w:t>
      </w:r>
    </w:p>
    <w:p w14:paraId="2268F8AA" w14:textId="23565DD3" w:rsidR="00D95EDA" w:rsidRDefault="001E5FDB">
      <w:pPr>
        <w:tabs>
          <w:tab w:val="right" w:pos="8505"/>
          <w:tab w:val="right" w:pos="13608"/>
        </w:tabs>
        <w:snapToGrid w:val="0"/>
        <w:ind w:right="1"/>
        <w:rPr>
          <w:rFonts w:ascii="Times New Roman" w:eastAsia="宋体" w:hAnsi="Times New Roman" w:cs="Times New Roman"/>
          <w:sz w:val="20"/>
          <w:szCs w:val="20"/>
          <w:shd w:val="clear" w:color="auto" w:fill="FFFFFF"/>
        </w:rPr>
      </w:pPr>
      <w:r>
        <w:rPr>
          <w:rFonts w:ascii="Times New Roman" w:hAnsi="Times New Roman" w:cs="Times New Roman"/>
          <w:b/>
          <w:bCs/>
          <w:sz w:val="20"/>
          <w:szCs w:val="20"/>
        </w:rPr>
        <w:t>[</w:t>
      </w:r>
      <w:r>
        <w:rPr>
          <w:rFonts w:ascii="Times New Roman" w:eastAsia="Cambria" w:hAnsi="Times New Roman" w:cs="Times New Roman"/>
          <w:bCs/>
          <w:sz w:val="20"/>
          <w:szCs w:val="20"/>
        </w:rPr>
        <w:t>Noha El-Mashad,</w:t>
      </w:r>
      <w:r>
        <w:rPr>
          <w:rFonts w:ascii="Times New Roman" w:eastAsia="Times New Roman" w:hAnsi="Times New Roman" w:cs="Times New Roman"/>
          <w:bCs/>
          <w:sz w:val="20"/>
          <w:szCs w:val="20"/>
        </w:rPr>
        <w:t xml:space="preserve"> </w:t>
      </w:r>
      <w:r>
        <w:rPr>
          <w:rFonts w:ascii="Times New Roman" w:eastAsia="Cambria" w:hAnsi="Times New Roman" w:cs="Times New Roman"/>
          <w:bCs/>
          <w:sz w:val="20"/>
          <w:szCs w:val="20"/>
        </w:rPr>
        <w:t>Ami</w:t>
      </w:r>
      <w:r>
        <w:rPr>
          <w:rFonts w:ascii="Times New Roman" w:eastAsia="Cambria" w:hAnsi="Times New Roman" w:cs="Times New Roman"/>
          <w:bCs/>
          <w:sz w:val="20"/>
          <w:szCs w:val="20"/>
        </w:rPr>
        <w:t>na Mostafa Abd El-Aal</w:t>
      </w:r>
      <w:r>
        <w:rPr>
          <w:rFonts w:ascii="Times New Roman" w:eastAsia="Times New Roman" w:hAnsi="Times New Roman" w:cs="Times New Roman"/>
          <w:bCs/>
          <w:sz w:val="20"/>
          <w:szCs w:val="20"/>
        </w:rPr>
        <w:t xml:space="preserve">, Ahmed Elewa </w:t>
      </w:r>
      <w:r>
        <w:rPr>
          <w:rFonts w:ascii="Times New Roman" w:eastAsia="Times New Roman" w:hAnsi="Times New Roman" w:cs="Times New Roman"/>
          <w:bCs/>
          <w:sz w:val="20"/>
          <w:szCs w:val="20"/>
        </w:rPr>
        <w:t xml:space="preserve">and Mohamed Elshaer </w:t>
      </w:r>
      <w:r>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eastAsia="Times New Roman" w:hAnsi="Times New Roman" w:cs="Times New Roman"/>
          <w:b/>
          <w:sz w:val="20"/>
          <w:szCs w:val="20"/>
        </w:rPr>
        <w:t>Performance of Blood culture, Beta d glucan and PCR for diagnosing Invasive Fungal Infection in Egyptian Cancer Patients</w:t>
      </w:r>
      <w:r>
        <w:rPr>
          <w:rFonts w:ascii="Times New Roman" w:eastAsia="宋体" w:hAnsi="Times New Roman" w:cs="Times New Roman"/>
          <w:b/>
          <w:sz w:val="20"/>
          <w:szCs w:val="20"/>
        </w:rPr>
        <w:t>.</w:t>
      </w:r>
      <w:r>
        <w:rPr>
          <w:rFonts w:ascii="Times New Roman" w:hAnsi="Times New Roman" w:cs="Times New Roman"/>
          <w:sz w:val="20"/>
          <w:szCs w:val="20"/>
        </w:rPr>
        <w:t>Cancer Biology 202</w:t>
      </w:r>
      <w:r>
        <w:rPr>
          <w:rFonts w:ascii="Times New Roman" w:hAnsi="Times New Roman" w:cs="Times New Roman"/>
          <w:sz w:val="20"/>
          <w:szCs w:val="20"/>
        </w:rPr>
        <w:t>2</w:t>
      </w:r>
      <w:r>
        <w:rPr>
          <w:rFonts w:ascii="Times New Roman" w:hAnsi="Times New Roman" w:cs="Times New Roman"/>
          <w:sz w:val="20"/>
          <w:szCs w:val="20"/>
        </w:rPr>
        <w:t>;1</w:t>
      </w:r>
      <w:r>
        <w:rPr>
          <w:rFonts w:ascii="Times New Roman" w:hAnsi="Times New Roman" w:cs="Times New Roman"/>
          <w:sz w:val="20"/>
          <w:szCs w:val="20"/>
        </w:rPr>
        <w:t>2</w:t>
      </w:r>
      <w:r>
        <w:rPr>
          <w:rFonts w:ascii="Times New Roman" w:hAnsi="Times New Roman" w:cs="Times New Roman"/>
          <w:sz w:val="20"/>
          <w:szCs w:val="20"/>
        </w:rPr>
        <w:t>(</w:t>
      </w:r>
      <w:r>
        <w:rPr>
          <w:rFonts w:ascii="Times New Roman" w:hAnsi="Times New Roman" w:cs="Times New Roman"/>
          <w:sz w:val="20"/>
          <w:szCs w:val="20"/>
        </w:rPr>
        <w:t>3</w:t>
      </w:r>
      <w:r>
        <w:rPr>
          <w:rFonts w:ascii="Times New Roman" w:hAnsi="Times New Roman" w:cs="Times New Roman"/>
          <w:sz w:val="20"/>
          <w:szCs w:val="20"/>
        </w:rPr>
        <w:t>):</w:t>
      </w:r>
      <w:r>
        <w:rPr>
          <w:rFonts w:ascii="Times New Roman" w:hAnsi="Times New Roman" w:cs="Times New Roman"/>
          <w:sz w:val="20"/>
          <w:szCs w:val="20"/>
        </w:rPr>
        <w:t>1</w:t>
      </w:r>
      <w:r>
        <w:rPr>
          <w:rFonts w:ascii="Times New Roman" w:hAnsi="Times New Roman" w:cs="Times New Roman"/>
          <w:sz w:val="20"/>
          <w:szCs w:val="20"/>
        </w:rPr>
        <w:t>-</w:t>
      </w:r>
      <w:r>
        <w:rPr>
          <w:rFonts w:ascii="Times New Roman" w:hAnsi="Times New Roman" w:cs="Times New Roman" w:hint="eastAsia"/>
          <w:sz w:val="20"/>
          <w:szCs w:val="20"/>
        </w:rPr>
        <w:t>7</w:t>
      </w:r>
      <w:r>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rPr>
        <w:t>ISSN:</w:t>
      </w:r>
      <w:r>
        <w:rPr>
          <w:rFonts w:ascii="Times New Roman" w:hAnsi="Times New Roman" w:cs="Times New Roman"/>
          <w:sz w:val="20"/>
          <w:szCs w:val="20"/>
        </w:rPr>
        <w:t xml:space="preserve"> </w:t>
      </w:r>
      <w:r>
        <w:rPr>
          <w:rFonts w:ascii="Times New Roman" w:hAnsi="Times New Roman" w:cs="Times New Roman"/>
          <w:sz w:val="20"/>
          <w:szCs w:val="20"/>
        </w:rPr>
        <w:t>2150-1041</w:t>
      </w:r>
      <w:r>
        <w:rPr>
          <w:rFonts w:ascii="Times New Roman" w:hAnsi="Times New Roman" w:cs="Times New Roman"/>
          <w:sz w:val="20"/>
          <w:szCs w:val="20"/>
        </w:rPr>
        <w:t xml:space="preserve"> </w:t>
      </w:r>
      <w:r>
        <w:rPr>
          <w:rFonts w:ascii="Times New Roman" w:hAnsi="Times New Roman" w:cs="Times New Roman"/>
          <w:sz w:val="20"/>
          <w:szCs w:val="20"/>
        </w:rPr>
        <w:t>(print);</w:t>
      </w:r>
      <w:r>
        <w:rPr>
          <w:rFonts w:ascii="Times New Roman" w:hAnsi="Times New Roman" w:cs="Times New Roman"/>
          <w:sz w:val="20"/>
          <w:szCs w:val="20"/>
        </w:rPr>
        <w:t xml:space="preserve"> </w:t>
      </w:r>
      <w:r>
        <w:rPr>
          <w:rFonts w:ascii="Times New Roman" w:hAnsi="Times New Roman" w:cs="Times New Roman"/>
          <w:sz w:val="20"/>
          <w:szCs w:val="20"/>
        </w:rPr>
        <w:t>ISSN:</w:t>
      </w:r>
      <w:r>
        <w:rPr>
          <w:rFonts w:ascii="Times New Roman" w:hAnsi="Times New Roman" w:cs="Times New Roman"/>
          <w:sz w:val="20"/>
          <w:szCs w:val="20"/>
        </w:rPr>
        <w:t xml:space="preserve"> </w:t>
      </w:r>
      <w:r>
        <w:rPr>
          <w:rFonts w:ascii="Times New Roman" w:hAnsi="Times New Roman" w:cs="Times New Roman"/>
          <w:sz w:val="20"/>
          <w:szCs w:val="20"/>
        </w:rPr>
        <w:t>2150-105X</w:t>
      </w:r>
      <w:r>
        <w:rPr>
          <w:rFonts w:ascii="Times New Roman" w:hAnsi="Times New Roman" w:cs="Times New Roman"/>
          <w:sz w:val="20"/>
          <w:szCs w:val="20"/>
        </w:rPr>
        <w:t xml:space="preserve"> </w:t>
      </w:r>
      <w:r>
        <w:rPr>
          <w:rFonts w:ascii="Times New Roman" w:hAnsi="Times New Roman" w:cs="Times New Roman"/>
          <w:sz w:val="20"/>
          <w:szCs w:val="20"/>
        </w:rPr>
        <w:t>(online).</w:t>
      </w:r>
      <w:r>
        <w:rPr>
          <w:rFonts w:ascii="Times New Roman" w:hAnsi="Times New Roman" w:cs="Times New Roman"/>
          <w:color w:val="355F91"/>
          <w:sz w:val="20"/>
          <w:szCs w:val="20"/>
        </w:rPr>
        <w:t xml:space="preserve"> </w:t>
      </w:r>
      <w:hyperlink r:id="rId8" w:history="1">
        <w:r>
          <w:rPr>
            <w:rStyle w:val="Hyperlink"/>
            <w:rFonts w:ascii="Times New Roman" w:hAnsi="Times New Roman" w:cs="Times New Roman"/>
            <w:sz w:val="20"/>
            <w:szCs w:val="20"/>
          </w:rPr>
          <w:t>http://www.cancerbio.net</w:t>
        </w:r>
      </w:hyperlink>
      <w:r>
        <w:rPr>
          <w:rFonts w:ascii="Times New Roman" w:hAnsi="Times New Roman" w:cs="Times New Roman"/>
          <w:color w:val="0000FF"/>
          <w:sz w:val="20"/>
          <w:szCs w:val="20"/>
          <w:u w:val="single" w:color="0000FF"/>
        </w:rPr>
        <w:t xml:space="preserve"> </w:t>
      </w:r>
      <w:hyperlink r:id="rId9" w:history="1">
        <w:r>
          <w:rPr>
            <w:rStyle w:val="Hyperlink"/>
            <w:rFonts w:ascii="Times New Roman" w:eastAsia="宋体" w:hAnsi="Times New Roman" w:cs="Times New Roman"/>
            <w:sz w:val="20"/>
            <w:szCs w:val="20"/>
          </w:rPr>
          <w:t xml:space="preserve"> </w:t>
        </w:r>
        <w:r>
          <w:rPr>
            <w:rStyle w:val="Hyperlink"/>
            <w:rFonts w:ascii="Times New Roman" w:eastAsia="宋体" w:hAnsi="Times New Roman" w:cs="Times New Roman" w:hint="eastAsia"/>
            <w:sz w:val="20"/>
            <w:szCs w:val="20"/>
          </w:rPr>
          <w:t xml:space="preserve">       </w:t>
        </w:r>
        <w:r>
          <w:rPr>
            <w:rStyle w:val="Hyperlink"/>
            <w:rFonts w:ascii="Times New Roman" w:hAnsi="Times New Roman" w:cs="Times New Roman" w:hint="eastAsia"/>
            <w:color w:val="auto"/>
            <w:sz w:val="20"/>
            <w:szCs w:val="20"/>
            <w:u w:val="none"/>
          </w:rPr>
          <w:t>01</w:t>
        </w:r>
        <w:r>
          <w:rPr>
            <w:rStyle w:val="Hyperlink"/>
            <w:rFonts w:ascii="Times New Roman" w:hAnsi="Times New Roman" w:cs="Times New Roman"/>
            <w:color w:val="auto"/>
            <w:sz w:val="20"/>
            <w:szCs w:val="20"/>
            <w:u w:val="none"/>
          </w:rPr>
          <w:t>.</w:t>
        </w:r>
        <w:r>
          <w:rPr>
            <w:rStyle w:val="Hyperlink"/>
            <w:rFonts w:ascii="Times New Roman" w:eastAsia="宋体" w:hAnsi="Times New Roman" w:cs="Times New Roman"/>
            <w:color w:val="auto"/>
            <w:sz w:val="20"/>
            <w:szCs w:val="20"/>
            <w:u w:val="none"/>
            <w:shd w:val="clear" w:color="auto" w:fill="FFFFFF"/>
          </w:rPr>
          <w:t>doi</w:t>
        </w:r>
      </w:hyperlink>
      <w:r>
        <w:rPr>
          <w:rFonts w:ascii="Times New Roman" w:eastAsia="宋体" w:hAnsi="Times New Roman" w:cs="Times New Roman"/>
          <w:sz w:val="20"/>
          <w:szCs w:val="20"/>
          <w:shd w:val="clear" w:color="auto" w:fill="FFFFFF"/>
        </w:rPr>
        <w:t>:</w:t>
      </w:r>
      <w:hyperlink r:id="rId10" w:history="1">
        <w:r>
          <w:rPr>
            <w:rStyle w:val="Hyperlink"/>
            <w:rFonts w:ascii="Times New Roman" w:eastAsia="宋体" w:hAnsi="Times New Roman" w:cs="Times New Roman"/>
            <w:sz w:val="20"/>
            <w:szCs w:val="20"/>
            <w:shd w:val="clear" w:color="auto" w:fill="FFFFFF"/>
          </w:rPr>
          <w:t>10.7537/marscbj120322.01.</w:t>
        </w:r>
      </w:hyperlink>
    </w:p>
    <w:p w14:paraId="301843D0" w14:textId="77777777" w:rsidR="00D95EDA" w:rsidRDefault="00D95EDA">
      <w:pPr>
        <w:tabs>
          <w:tab w:val="right" w:pos="8505"/>
          <w:tab w:val="right" w:pos="13608"/>
        </w:tabs>
        <w:snapToGrid w:val="0"/>
        <w:ind w:right="1"/>
        <w:rPr>
          <w:rFonts w:ascii="Times New Roman" w:eastAsia="宋体" w:hAnsi="Times New Roman" w:cs="Times New Roman"/>
          <w:sz w:val="20"/>
          <w:szCs w:val="20"/>
          <w:shd w:val="clear" w:color="auto" w:fill="FFFFFF"/>
        </w:rPr>
      </w:pPr>
    </w:p>
    <w:p w14:paraId="2DEE42ED" w14:textId="77777777" w:rsidR="00D95EDA" w:rsidRDefault="001E5FDB">
      <w:pPr>
        <w:tabs>
          <w:tab w:val="right" w:pos="8505"/>
          <w:tab w:val="right" w:pos="13608"/>
        </w:tabs>
        <w:snapToGrid w:val="0"/>
        <w:ind w:right="-22"/>
        <w:rPr>
          <w:rFonts w:ascii="Times New Roman" w:eastAsia="Times New Roman" w:hAnsi="Times New Roman" w:cs="Times New Roman"/>
          <w:sz w:val="20"/>
          <w:szCs w:val="20"/>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Blood Culture; Fungi; Invasive Fungal Infections; Enzyme-Linked Immunosorbent Assay; Polymerase Chain Reaction.</w:t>
      </w:r>
    </w:p>
    <w:p w14:paraId="288A5910" w14:textId="77777777" w:rsidR="00D95EDA" w:rsidRDefault="00D95EDA">
      <w:pPr>
        <w:tabs>
          <w:tab w:val="right" w:pos="8505"/>
          <w:tab w:val="right" w:pos="13608"/>
        </w:tabs>
        <w:snapToGrid w:val="0"/>
        <w:ind w:right="-22"/>
        <w:rPr>
          <w:rFonts w:ascii="Times New Roman" w:eastAsia="Times New Roman" w:hAnsi="Times New Roman" w:cs="Times New Roman"/>
          <w:sz w:val="20"/>
          <w:szCs w:val="20"/>
        </w:rPr>
      </w:pPr>
    </w:p>
    <w:p w14:paraId="763976D8" w14:textId="77777777" w:rsidR="00D95EDA" w:rsidRDefault="00D95EDA">
      <w:pPr>
        <w:tabs>
          <w:tab w:val="right" w:pos="8505"/>
          <w:tab w:val="right" w:pos="13608"/>
        </w:tabs>
        <w:snapToGrid w:val="0"/>
        <w:ind w:right="1"/>
        <w:rPr>
          <w:rFonts w:ascii="Times New Roman" w:eastAsia="Times New Roman" w:hAnsi="Times New Roman" w:cs="Times New Roman"/>
          <w:b/>
          <w:sz w:val="20"/>
          <w:szCs w:val="20"/>
          <w:u w:val="single"/>
        </w:rPr>
      </w:pPr>
    </w:p>
    <w:p w14:paraId="5E8781EB" w14:textId="435A31E8" w:rsidR="00B20531" w:rsidRDefault="00B20531">
      <w:pPr>
        <w:tabs>
          <w:tab w:val="right" w:pos="8505"/>
          <w:tab w:val="right" w:pos="13608"/>
        </w:tabs>
        <w:snapToGrid w:val="0"/>
        <w:ind w:right="1"/>
        <w:rPr>
          <w:rFonts w:ascii="Times New Roman" w:eastAsia="Times New Roman" w:hAnsi="Times New Roman" w:cs="Times New Roman"/>
          <w:b/>
          <w:sz w:val="20"/>
          <w:szCs w:val="20"/>
          <w:u w:val="single"/>
        </w:rPr>
        <w:sectPr w:rsidR="00B20531">
          <w:footerReference w:type="default" r:id="rId11"/>
          <w:headerReference w:type="first" r:id="rId12"/>
          <w:footerReference w:type="first" r:id="rId13"/>
          <w:pgSz w:w="12240" w:h="15839"/>
          <w:pgMar w:top="1440" w:right="1440" w:bottom="1440" w:left="1440" w:header="720" w:footer="720" w:gutter="0"/>
          <w:pgNumType w:start="1"/>
          <w:cols w:space="425"/>
          <w:titlePg/>
          <w:docGrid w:type="lines" w:linePitch="312"/>
        </w:sectPr>
      </w:pPr>
    </w:p>
    <w:p w14:paraId="0F8FFCAD" w14:textId="77777777" w:rsidR="00D95EDA" w:rsidRDefault="001E5FDB">
      <w:pPr>
        <w:tabs>
          <w:tab w:val="right" w:pos="8505"/>
          <w:tab w:val="right" w:pos="13608"/>
        </w:tabs>
        <w:snapToGrid w:val="0"/>
        <w:ind w:right="1"/>
        <w:rPr>
          <w:rFonts w:ascii="Times New Roman" w:hAnsi="Times New Roman" w:cs="Times New Roman"/>
          <w:b/>
          <w:sz w:val="20"/>
          <w:szCs w:val="20"/>
          <w:u w:val="single"/>
        </w:rPr>
      </w:pPr>
      <w:r>
        <w:rPr>
          <w:rFonts w:ascii="Times New Roman" w:eastAsia="Times New Roman" w:hAnsi="Times New Roman" w:cs="Times New Roman"/>
          <w:b/>
          <w:sz w:val="20"/>
          <w:szCs w:val="20"/>
          <w:u w:val="single"/>
        </w:rPr>
        <w:t>Introduction</w:t>
      </w:r>
    </w:p>
    <w:p w14:paraId="21DD2655" w14:textId="77777777" w:rsidR="00D95EDA" w:rsidRDefault="001E5FDB">
      <w:pPr>
        <w:tabs>
          <w:tab w:val="right" w:pos="8505"/>
          <w:tab w:val="right" w:pos="13608"/>
        </w:tabs>
        <w:snapToGrid w:val="0"/>
        <w:ind w:right="1"/>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Invasive fungal infections (IFI) are considered a major challenge for treatment in immunocompromised patients with high attributable morbidity and mor</w:t>
      </w:r>
      <w:r>
        <w:rPr>
          <w:rFonts w:ascii="Times New Roman" w:eastAsia="Times New Roman" w:hAnsi="Times New Roman" w:cs="Times New Roman"/>
          <w:sz w:val="20"/>
          <w:szCs w:val="20"/>
        </w:rPr>
        <w:t xml:space="preserve">tality </w:t>
      </w:r>
      <w:r>
        <w:rPr>
          <w:rFonts w:ascii="Times New Roman" w:eastAsia="Times New Roman" w:hAnsi="Times New Roman" w:cs="Times New Roman"/>
          <w:b/>
          <w:sz w:val="20"/>
          <w:szCs w:val="20"/>
        </w:rPr>
        <w:t xml:space="preserve">(Krishnan, 2016). </w:t>
      </w:r>
      <w:r>
        <w:rPr>
          <w:rFonts w:ascii="Times New Roman" w:eastAsia="Times New Roman" w:hAnsi="Times New Roman" w:cs="Times New Roman"/>
          <w:sz w:val="20"/>
          <w:szCs w:val="20"/>
        </w:rPr>
        <w:t>Invasive fungal infections can involve single organ or it can become disseminated. Potentially, IFI can involve most of the visceral organs in the body; however, infection of blood stream, lungs and sinuses is more common. Invasive</w:t>
      </w:r>
      <w:r>
        <w:rPr>
          <w:rFonts w:ascii="Times New Roman" w:eastAsia="Times New Roman" w:hAnsi="Times New Roman" w:cs="Times New Roman"/>
          <w:sz w:val="20"/>
          <w:szCs w:val="20"/>
        </w:rPr>
        <w:t xml:space="preserve"> candidiasis (IC) most frequently affects the blood stream </w:t>
      </w:r>
      <w:r>
        <w:rPr>
          <w:rFonts w:ascii="Times New Roman" w:eastAsia="Times New Roman" w:hAnsi="Times New Roman" w:cs="Times New Roman"/>
          <w:b/>
          <w:bCs/>
          <w:sz w:val="20"/>
          <w:szCs w:val="20"/>
        </w:rPr>
        <w:t>(Hammond et al., 2010).</w:t>
      </w:r>
      <w:r>
        <w:rPr>
          <w:rFonts w:ascii="Times New Roman" w:eastAsia="Times New Roman" w:hAnsi="Times New Roman" w:cs="Times New Roman"/>
          <w:sz w:val="20"/>
          <w:szCs w:val="20"/>
        </w:rPr>
        <w:t xml:space="preserve"> In contrast, invasive aspergillosis (IA) is most commonly found in the lungs and sinuses </w:t>
      </w:r>
      <w:r>
        <w:rPr>
          <w:rFonts w:ascii="Times New Roman" w:eastAsia="Times New Roman" w:hAnsi="Times New Roman" w:cs="Times New Roman"/>
          <w:b/>
          <w:bCs/>
          <w:sz w:val="20"/>
          <w:szCs w:val="20"/>
        </w:rPr>
        <w:t>(Hammond et al., 2010; Pagano et al., 2010).</w:t>
      </w:r>
    </w:p>
    <w:p w14:paraId="3C14482C" w14:textId="77777777" w:rsidR="00D95EDA" w:rsidRDefault="001E5FDB">
      <w:pPr>
        <w:snapToGrid w:val="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Establishing a definite </w:t>
      </w:r>
      <w:r>
        <w:rPr>
          <w:rFonts w:ascii="Times New Roman" w:eastAsia="Times New Roman" w:hAnsi="Times New Roman" w:cs="Times New Roman"/>
          <w:sz w:val="20"/>
          <w:szCs w:val="20"/>
        </w:rPr>
        <w:t>diagnosis of invasive fungal infection in immunocompromised patients is particularly challenging and time consuming. Therefore, there is an urgent</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need</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for immediate treatment with appropriate antifungal therapy. Novel diagnostic techniques have been devel</w:t>
      </w:r>
      <w:r>
        <w:rPr>
          <w:rFonts w:ascii="Times New Roman" w:eastAsia="Times New Roman" w:hAnsi="Times New Roman" w:cs="Times New Roman"/>
          <w:sz w:val="20"/>
          <w:szCs w:val="20"/>
        </w:rPr>
        <w:t xml:space="preserve">oped, including fungal antigen assays, metabolite detection and molecular detection of fungal DNA from different samples which may allow early diagnosis and treatment of fungal infection </w:t>
      </w:r>
      <w:r>
        <w:rPr>
          <w:rFonts w:ascii="Times New Roman" w:eastAsia="Times New Roman" w:hAnsi="Times New Roman" w:cs="Times New Roman"/>
          <w:b/>
          <w:bCs/>
          <w:sz w:val="20"/>
          <w:szCs w:val="20"/>
        </w:rPr>
        <w:t xml:space="preserve">(Ruhnke and Schwartz, 2016). </w:t>
      </w:r>
    </w:p>
    <w:p w14:paraId="712189C9" w14:textId="77777777" w:rsidR="00D95EDA" w:rsidRDefault="001E5FDB">
      <w:pPr>
        <w:snapToGrid w:val="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1,3-Beta-D-Glucan is a component of fun</w:t>
      </w:r>
      <w:r>
        <w:rPr>
          <w:rFonts w:ascii="Times New Roman" w:eastAsia="Times New Roman" w:hAnsi="Times New Roman" w:cs="Times New Roman"/>
          <w:sz w:val="20"/>
          <w:szCs w:val="20"/>
        </w:rPr>
        <w:t xml:space="preserve">gal cell wall that present in many fungal species and therefore it should be considered as a pan-fungal detection method and a good indicator of systemic </w:t>
      </w:r>
      <w:r>
        <w:rPr>
          <w:rFonts w:ascii="Times New Roman" w:eastAsia="Times New Roman" w:hAnsi="Times New Roman" w:cs="Times New Roman"/>
          <w:sz w:val="20"/>
          <w:szCs w:val="20"/>
        </w:rPr>
        <w:t xml:space="preserve">fungal infection, if detectable in blood or other normally sterile body fluids </w:t>
      </w:r>
      <w:r>
        <w:rPr>
          <w:rFonts w:ascii="Times New Roman" w:eastAsia="Times New Roman" w:hAnsi="Times New Roman" w:cs="Times New Roman"/>
          <w:b/>
          <w:bCs/>
          <w:sz w:val="20"/>
          <w:szCs w:val="20"/>
        </w:rPr>
        <w:t>(Cuenca-Estrella et al.</w:t>
      </w:r>
      <w:r>
        <w:rPr>
          <w:rFonts w:ascii="Times New Roman" w:eastAsia="Times New Roman" w:hAnsi="Times New Roman" w:cs="Times New Roman"/>
          <w:b/>
          <w:bCs/>
          <w:sz w:val="20"/>
          <w:szCs w:val="20"/>
        </w:rPr>
        <w:t>, 2008).</w:t>
      </w:r>
    </w:p>
    <w:p w14:paraId="2EAFE100" w14:textId="77777777" w:rsidR="00D95EDA" w:rsidRDefault="001E5FDB">
      <w:pPr>
        <w:snapToGrid w:val="0"/>
        <w:ind w:firstLine="72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The detection of microbial deoxyribonucleic acid (DNA) by PCR is also considered one of the most powerful tools for the early diagnosis and identification of human pathogens </w:t>
      </w:r>
      <w:r>
        <w:rPr>
          <w:rFonts w:ascii="Times New Roman" w:eastAsia="Times New Roman" w:hAnsi="Times New Roman" w:cs="Times New Roman"/>
          <w:b/>
          <w:bCs/>
          <w:sz w:val="20"/>
          <w:szCs w:val="20"/>
        </w:rPr>
        <w:t>(Azab et al., 2015).</w:t>
      </w:r>
    </w:p>
    <w:p w14:paraId="2C5795F1" w14:textId="77777777" w:rsidR="00D95EDA" w:rsidRDefault="001E5FDB">
      <w:pPr>
        <w:snapToGrid w:val="0"/>
        <w:ind w:firstLine="72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The aim of our study was to evaluate the diagnostic</w:t>
      </w:r>
      <w:r>
        <w:rPr>
          <w:rFonts w:ascii="Times New Roman" w:eastAsia="Times New Roman" w:hAnsi="Times New Roman" w:cs="Times New Roman"/>
          <w:sz w:val="20"/>
          <w:szCs w:val="20"/>
        </w:rPr>
        <w:t xml:space="preserve"> utility of conventional culture based methods and advanced methods including ELISA (Enzyme linked immunosorbent assay) and PCR techniques for early diagnosis of invasive fungal infections.</w:t>
      </w:r>
    </w:p>
    <w:p w14:paraId="37200955" w14:textId="77777777" w:rsidR="00D95EDA" w:rsidRDefault="001E5FDB">
      <w:pPr>
        <w:tabs>
          <w:tab w:val="right" w:pos="8505"/>
          <w:tab w:val="right" w:pos="13608"/>
        </w:tabs>
        <w:snapToGrid w:val="0"/>
        <w:ind w:right="1"/>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Methodology</w:t>
      </w:r>
    </w:p>
    <w:p w14:paraId="665BBD4D" w14:textId="77777777" w:rsidR="00B20531" w:rsidRDefault="00B20531">
      <w:pPr>
        <w:snapToGrid w:val="0"/>
        <w:rPr>
          <w:rFonts w:ascii="Times New Roman" w:eastAsia="Times New Roman" w:hAnsi="Times New Roman" w:cs="Times New Roman"/>
          <w:b/>
          <w:bCs/>
          <w:sz w:val="20"/>
          <w:szCs w:val="20"/>
        </w:rPr>
      </w:pPr>
    </w:p>
    <w:p w14:paraId="6312BFFE" w14:textId="4C8D5DFE" w:rsidR="00D95EDA" w:rsidRDefault="001E5FDB">
      <w:pPr>
        <w:snapToGrid w:val="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Study locality &amp; duration</w:t>
      </w:r>
    </w:p>
    <w:p w14:paraId="615C635D" w14:textId="77777777" w:rsidR="00D95EDA" w:rsidRDefault="001E5FDB">
      <w:pPr>
        <w:autoSpaceDE w:val="0"/>
        <w:autoSpaceDN w:val="0"/>
        <w:adjustRightInd w:val="0"/>
        <w:snapToGrid w:val="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study was conducted </w:t>
      </w:r>
      <w:r>
        <w:rPr>
          <w:rFonts w:ascii="Times New Roman" w:eastAsia="Times New Roman" w:hAnsi="Times New Roman" w:cs="Times New Roman"/>
          <w:sz w:val="20"/>
          <w:szCs w:val="20"/>
        </w:rPr>
        <w:t>at Mansoura University Oncology Center, Egypt over a period of one year to obtain a convenience sample of patients.</w:t>
      </w:r>
    </w:p>
    <w:p w14:paraId="305CDCCC" w14:textId="77777777" w:rsidR="00D95EDA" w:rsidRDefault="001E5FDB">
      <w:pPr>
        <w:autoSpaceDE w:val="0"/>
        <w:autoSpaceDN w:val="0"/>
        <w:adjustRightInd w:val="0"/>
        <w:snapToGrid w:val="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Study population</w:t>
      </w:r>
    </w:p>
    <w:p w14:paraId="758F5B2B" w14:textId="77777777" w:rsidR="00D95EDA" w:rsidRDefault="001E5FDB">
      <w:pPr>
        <w:autoSpaceDE w:val="0"/>
        <w:autoSpaceDN w:val="0"/>
        <w:adjustRightInd w:val="0"/>
        <w:snapToGrid w:val="0"/>
        <w:contextualSpacing/>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2.1. Inclusion criteria</w:t>
      </w:r>
    </w:p>
    <w:p w14:paraId="17A97164" w14:textId="77777777" w:rsidR="00D95EDA" w:rsidRDefault="001E5FDB">
      <w:pPr>
        <w:autoSpaceDE w:val="0"/>
        <w:autoSpaceDN w:val="0"/>
        <w:adjustRightInd w:val="0"/>
        <w:snapToGrid w:val="0"/>
        <w:ind w:left="426" w:hanging="426"/>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Cancer patients with clinically suspected invasive fungal infection (IFI) according to </w:t>
      </w:r>
      <w:r>
        <w:rPr>
          <w:rFonts w:ascii="Times New Roman" w:eastAsia="Times New Roman" w:hAnsi="Times New Roman" w:cs="Times New Roman"/>
          <w:sz w:val="20"/>
          <w:szCs w:val="20"/>
        </w:rPr>
        <w:t>EORTC-MSG revised definition of IFI were enrolled in the study with one or more of these risk factors:</w:t>
      </w:r>
    </w:p>
    <w:p w14:paraId="5A6FCB0A" w14:textId="77777777" w:rsidR="00D95EDA" w:rsidRDefault="001E5FDB">
      <w:pPr>
        <w:numPr>
          <w:ilvl w:val="0"/>
          <w:numId w:val="1"/>
        </w:numPr>
        <w:tabs>
          <w:tab w:val="right" w:pos="1134"/>
        </w:tabs>
        <w:snapToGrid w:val="0"/>
        <w:ind w:left="709" w:firstLine="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Febrile with or without neutropenia.</w:t>
      </w:r>
    </w:p>
    <w:p w14:paraId="0DCD23F0" w14:textId="77777777" w:rsidR="00D95EDA" w:rsidRDefault="001E5FDB">
      <w:pPr>
        <w:numPr>
          <w:ilvl w:val="0"/>
          <w:numId w:val="1"/>
        </w:numPr>
        <w:tabs>
          <w:tab w:val="right" w:pos="1134"/>
        </w:tabs>
        <w:autoSpaceDE w:val="0"/>
        <w:autoSpaceDN w:val="0"/>
        <w:adjustRightInd w:val="0"/>
        <w:snapToGrid w:val="0"/>
        <w:ind w:left="709" w:firstLine="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Presence of localized signs and symptoms of infection (oral mucositis or lower respiratory tract infection or mixed </w:t>
      </w:r>
      <w:r>
        <w:rPr>
          <w:rFonts w:ascii="Times New Roman" w:eastAsia="Times New Roman" w:hAnsi="Times New Roman" w:cs="Times New Roman"/>
          <w:sz w:val="20"/>
          <w:szCs w:val="20"/>
        </w:rPr>
        <w:t>infections</w:t>
      </w:r>
    </w:p>
    <w:p w14:paraId="11E877D8" w14:textId="77777777" w:rsidR="00D95EDA" w:rsidRDefault="001E5FDB">
      <w:pPr>
        <w:numPr>
          <w:ilvl w:val="0"/>
          <w:numId w:val="1"/>
        </w:numPr>
        <w:tabs>
          <w:tab w:val="right" w:pos="1134"/>
        </w:tabs>
        <w:autoSpaceDE w:val="0"/>
        <w:autoSpaceDN w:val="0"/>
        <w:adjustRightInd w:val="0"/>
        <w:snapToGrid w:val="0"/>
        <w:ind w:left="709" w:firstLine="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Receiving induction chemotherapy. </w:t>
      </w:r>
    </w:p>
    <w:p w14:paraId="1E4A6227" w14:textId="77777777" w:rsidR="00D95EDA" w:rsidRDefault="001E5FDB">
      <w:pPr>
        <w:numPr>
          <w:ilvl w:val="0"/>
          <w:numId w:val="1"/>
        </w:numPr>
        <w:tabs>
          <w:tab w:val="right" w:pos="1134"/>
        </w:tabs>
        <w:autoSpaceDE w:val="0"/>
        <w:autoSpaceDN w:val="0"/>
        <w:adjustRightInd w:val="0"/>
        <w:snapToGrid w:val="0"/>
        <w:ind w:left="709" w:firstLine="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Receiving steroid therapy for more than 10 days. </w:t>
      </w:r>
    </w:p>
    <w:p w14:paraId="26A42CFD" w14:textId="77777777" w:rsidR="00D95EDA" w:rsidRDefault="001E5FDB">
      <w:pPr>
        <w:numPr>
          <w:ilvl w:val="0"/>
          <w:numId w:val="1"/>
        </w:numPr>
        <w:tabs>
          <w:tab w:val="right" w:pos="1134"/>
        </w:tabs>
        <w:autoSpaceDE w:val="0"/>
        <w:autoSpaceDN w:val="0"/>
        <w:adjustRightInd w:val="0"/>
        <w:snapToGrid w:val="0"/>
        <w:ind w:firstLine="66"/>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Intravenous intake of antibiotic for more than 10 days.</w:t>
      </w:r>
    </w:p>
    <w:p w14:paraId="035EAFF1" w14:textId="77777777" w:rsidR="00D95EDA" w:rsidRDefault="001E5FDB">
      <w:pPr>
        <w:autoSpaceDE w:val="0"/>
        <w:autoSpaceDN w:val="0"/>
        <w:adjustRightInd w:val="0"/>
        <w:snapToGrid w:val="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2.2. Exclusion criteria:</w:t>
      </w:r>
    </w:p>
    <w:p w14:paraId="629075B5" w14:textId="77777777" w:rsidR="00D95EDA" w:rsidRDefault="001E5FDB">
      <w:pPr>
        <w:tabs>
          <w:tab w:val="right" w:pos="1134"/>
        </w:tabs>
        <w:autoSpaceDE w:val="0"/>
        <w:autoSpaceDN w:val="0"/>
        <w:adjustRightInd w:val="0"/>
        <w:snapToGrid w:val="0"/>
        <w:ind w:left="709"/>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  Patients who received systemic antifungal treatment.</w:t>
      </w:r>
    </w:p>
    <w:p w14:paraId="5B0093B1" w14:textId="77777777" w:rsidR="00D95EDA" w:rsidRDefault="001E5FDB">
      <w:pPr>
        <w:tabs>
          <w:tab w:val="right" w:pos="1134"/>
        </w:tabs>
        <w:autoSpaceDE w:val="0"/>
        <w:autoSpaceDN w:val="0"/>
        <w:adjustRightInd w:val="0"/>
        <w:snapToGrid w:val="0"/>
        <w:ind w:left="709"/>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  Patients with inc</w:t>
      </w:r>
      <w:r>
        <w:rPr>
          <w:rFonts w:ascii="Times New Roman" w:eastAsia="Times New Roman" w:hAnsi="Times New Roman" w:cs="Times New Roman"/>
          <w:sz w:val="20"/>
          <w:szCs w:val="20"/>
        </w:rPr>
        <w:t>omplete medical record.</w:t>
      </w:r>
    </w:p>
    <w:p w14:paraId="402EDF91" w14:textId="77777777" w:rsidR="00D95EDA" w:rsidRDefault="001E5FDB">
      <w:pPr>
        <w:tabs>
          <w:tab w:val="right" w:pos="1134"/>
        </w:tabs>
        <w:autoSpaceDE w:val="0"/>
        <w:autoSpaceDN w:val="0"/>
        <w:adjustRightInd w:val="0"/>
        <w:snapToGrid w:val="0"/>
        <w:ind w:left="709"/>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Patients discharged before sampling.  </w:t>
      </w:r>
    </w:p>
    <w:p w14:paraId="61439797" w14:textId="687A1F9E" w:rsidR="00D95EDA" w:rsidRDefault="00B20531">
      <w:pPr>
        <w:pStyle w:val="Heading1"/>
        <w:snapToGrid w:val="0"/>
        <w:ind w:right="-1054"/>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br/>
      </w:r>
      <w:r w:rsidR="001E5FDB">
        <w:rPr>
          <w:rFonts w:ascii="Times New Roman" w:eastAsia="Times New Roman" w:hAnsi="Times New Roman" w:cs="Times New Roman"/>
          <w:b/>
          <w:bCs/>
          <w:sz w:val="20"/>
          <w:szCs w:val="20"/>
        </w:rPr>
        <w:t>3. Sampling</w:t>
      </w:r>
      <w:r w:rsidR="001E5FDB">
        <w:rPr>
          <w:rFonts w:ascii="Times New Roman" w:eastAsia="Times New Roman" w:hAnsi="Times New Roman" w:cs="Times New Roman"/>
          <w:sz w:val="20"/>
          <w:szCs w:val="20"/>
        </w:rPr>
        <w:t>:</w:t>
      </w:r>
    </w:p>
    <w:p w14:paraId="791B547E" w14:textId="77777777" w:rsidR="00D95EDA" w:rsidRDefault="001E5FDB">
      <w:pPr>
        <w:pStyle w:val="Heading1"/>
        <w:snapToGrid w:val="0"/>
        <w:ind w:right="-58"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Blood samples were obtained by venipuncture under aseptic conditions. The blood sample was divided into three parts that was stored as follows:</w:t>
      </w:r>
    </w:p>
    <w:p w14:paraId="28856168" w14:textId="77777777" w:rsidR="00D95EDA" w:rsidRDefault="001E5FDB">
      <w:pPr>
        <w:pStyle w:val="Heading1"/>
        <w:snapToGrid w:val="0"/>
        <w:ind w:right="-58"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-First part consists of 5 ml of blood was immediately inoculated into special blood culture bottle BacT/Alert FA vials using the BACT-ALERT system</w:t>
      </w:r>
      <w:r>
        <w:rPr>
          <w:rFonts w:ascii="Times New Roman" w:eastAsia="Times New Roman" w:hAnsi="Times New Roman" w:cs="Times New Roman"/>
          <w:i/>
          <w:iCs/>
          <w:sz w:val="20"/>
          <w:szCs w:val="20"/>
        </w:rPr>
        <w:t xml:space="preserve"> (Biomérieux, Durham, NC, USA)</w:t>
      </w:r>
      <w:r>
        <w:rPr>
          <w:rFonts w:ascii="Times New Roman" w:eastAsia="Times New Roman" w:hAnsi="Times New Roman" w:cs="Times New Roman"/>
          <w:sz w:val="20"/>
          <w:szCs w:val="20"/>
        </w:rPr>
        <w:t xml:space="preserve"> to detect early microbial growth. Culture on Sabaraoud dextrose slants </w:t>
      </w:r>
      <w:r>
        <w:rPr>
          <w:rFonts w:ascii="Times New Roman" w:eastAsia="Times New Roman" w:hAnsi="Times New Roman" w:cs="Times New Roman"/>
          <w:i/>
          <w:iCs/>
          <w:sz w:val="20"/>
          <w:szCs w:val="20"/>
        </w:rPr>
        <w:t>(Oxoid Company, UK)</w:t>
      </w:r>
      <w:r>
        <w:rPr>
          <w:rFonts w:ascii="Times New Roman" w:eastAsia="Times New Roman" w:hAnsi="Times New Roman" w:cs="Times New Roman"/>
          <w:sz w:val="20"/>
          <w:szCs w:val="20"/>
        </w:rPr>
        <w:t xml:space="preserve"> with subsequent automated identification of isolated organism using Vitek 2 system (</w:t>
      </w:r>
      <w:r>
        <w:rPr>
          <w:rFonts w:ascii="Times New Roman" w:eastAsia="Times New Roman" w:hAnsi="Times New Roman" w:cs="Times New Roman"/>
          <w:i/>
          <w:sz w:val="20"/>
          <w:szCs w:val="20"/>
        </w:rPr>
        <w:t>biomérieux, France</w:t>
      </w:r>
      <w:r>
        <w:rPr>
          <w:rFonts w:ascii="Times New Roman" w:eastAsia="Times New Roman" w:hAnsi="Times New Roman" w:cs="Times New Roman"/>
          <w:sz w:val="20"/>
          <w:szCs w:val="20"/>
        </w:rPr>
        <w:t xml:space="preserve">) was performed in microbiology laboratory, Oncology Center, Faculty of Medicine, Mansoura University, Egypt.  </w:t>
      </w:r>
    </w:p>
    <w:p w14:paraId="1FF6A188" w14:textId="77777777" w:rsidR="00D95EDA" w:rsidRDefault="001E5FDB">
      <w:pPr>
        <w:pStyle w:val="Heading1"/>
        <w:snapToGrid w:val="0"/>
        <w:ind w:right="-58"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-Second part consists </w:t>
      </w:r>
      <w:r>
        <w:rPr>
          <w:rFonts w:ascii="Times New Roman" w:eastAsia="Times New Roman" w:hAnsi="Times New Roman" w:cs="Times New Roman"/>
          <w:sz w:val="20"/>
          <w:szCs w:val="20"/>
        </w:rPr>
        <w:t xml:space="preserve">of 2 ml of blood transferred to sterile tube and left to clot then centrifuged; the serum was stored in a sterile plastic aliquot at -20°C. Serological testing was done according to manufacturer instructions. </w:t>
      </w:r>
    </w:p>
    <w:p w14:paraId="539FB493" w14:textId="77777777" w:rsidR="00D95EDA" w:rsidRDefault="001E5FDB">
      <w:pPr>
        <w:pStyle w:val="Heading1"/>
        <w:snapToGrid w:val="0"/>
        <w:ind w:right="-58"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-Third part consists of another 2 ml of blood </w:t>
      </w:r>
      <w:r>
        <w:rPr>
          <w:rFonts w:ascii="Times New Roman" w:eastAsia="Times New Roman" w:hAnsi="Times New Roman" w:cs="Times New Roman"/>
          <w:sz w:val="20"/>
          <w:szCs w:val="20"/>
        </w:rPr>
        <w:t>was put in tube containing EDTA that was stored at -20°C for doing PCR.</w:t>
      </w:r>
    </w:p>
    <w:p w14:paraId="30DF40E6" w14:textId="77777777" w:rsidR="00D95EDA" w:rsidRDefault="00D95EDA">
      <w:pPr>
        <w:snapToGrid w:val="0"/>
        <w:rPr>
          <w:rFonts w:ascii="Times New Roman" w:hAnsi="Times New Roman" w:cs="Times New Roman"/>
          <w:sz w:val="20"/>
          <w:szCs w:val="20"/>
        </w:rPr>
      </w:pPr>
    </w:p>
    <w:p w14:paraId="7FC974B1" w14:textId="77777777" w:rsidR="00D95EDA" w:rsidRDefault="001E5FDB">
      <w:pPr>
        <w:autoSpaceDE w:val="0"/>
        <w:autoSpaceDN w:val="0"/>
        <w:adjustRightInd w:val="0"/>
        <w:snapToGri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PCR testing of fungi in the whole blood sample. </w:t>
      </w:r>
    </w:p>
    <w:p w14:paraId="6E8EB2E4" w14:textId="77777777" w:rsidR="00D95EDA" w:rsidRDefault="001E5FDB">
      <w:pPr>
        <w:pStyle w:val="ListParagraph"/>
        <w:numPr>
          <w:ilvl w:val="0"/>
          <w:numId w:val="2"/>
        </w:numPr>
        <w:autoSpaceDE w:val="0"/>
        <w:autoSpaceDN w:val="0"/>
        <w:adjustRightInd w:val="0"/>
        <w:snapToGrid w:val="0"/>
        <w:ind w:left="851"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DNA extraction: </w:t>
      </w:r>
    </w:p>
    <w:p w14:paraId="7371DA1F" w14:textId="77777777" w:rsidR="00D95EDA" w:rsidRDefault="001E5FDB">
      <w:pPr>
        <w:autoSpaceDE w:val="0"/>
        <w:autoSpaceDN w:val="0"/>
        <w:adjustRightInd w:val="0"/>
        <w:snapToGrid w:val="0"/>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Genomic DNA extraction from whole blood sample inoculated on EDTA supplemented tubes was carried out using DNA ex</w:t>
      </w:r>
      <w:r>
        <w:rPr>
          <w:rFonts w:ascii="Times New Roman" w:eastAsia="Times New Roman" w:hAnsi="Times New Roman" w:cs="Times New Roman"/>
          <w:sz w:val="20"/>
          <w:szCs w:val="20"/>
        </w:rPr>
        <w:t>traction Qiamp UCP Pure Pathogen mini kit (QIAGEN, Germany). The kits will be used in accordance with the manufacturer’s recommendations.</w:t>
      </w:r>
    </w:p>
    <w:p w14:paraId="71C9DCDB" w14:textId="77777777" w:rsidR="00D95EDA" w:rsidRDefault="001E5FDB">
      <w:pPr>
        <w:pStyle w:val="ListParagraph"/>
        <w:numPr>
          <w:ilvl w:val="0"/>
          <w:numId w:val="2"/>
        </w:numPr>
        <w:snapToGrid w:val="0"/>
        <w:ind w:left="709"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PCR amplification: </w:t>
      </w:r>
    </w:p>
    <w:p w14:paraId="682AB8AA" w14:textId="77777777" w:rsidR="00D95EDA" w:rsidRDefault="001E5FDB">
      <w:pPr>
        <w:pStyle w:val="ListParagraph"/>
        <w:snapToGrid w:val="0"/>
        <w:ind w:firstLine="851"/>
        <w:rPr>
          <w:rFonts w:ascii="Times New Roman" w:eastAsia="Times New Roman" w:hAnsi="Times New Roman" w:cs="Times New Roman"/>
          <w:sz w:val="20"/>
          <w:szCs w:val="20"/>
        </w:rPr>
      </w:pPr>
      <w:r>
        <w:rPr>
          <w:rFonts w:ascii="Times New Roman" w:eastAsia="Times New Roman" w:hAnsi="Times New Roman" w:cs="Times New Roman"/>
          <w:sz w:val="20"/>
          <w:szCs w:val="20"/>
        </w:rPr>
        <w:t>PCR was performed using Maxima SYBR Green qPCR Master Mix (2×) (Waltham, Massachusetts, USA). Pan</w:t>
      </w:r>
      <w:r>
        <w:rPr>
          <w:rFonts w:ascii="Times New Roman" w:eastAsia="Times New Roman" w:hAnsi="Times New Roman" w:cs="Times New Roman"/>
          <w:sz w:val="20"/>
          <w:szCs w:val="20"/>
        </w:rPr>
        <w:t>-fungal primers</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targeting for amplification of the ITS1 and ITS4 regions were used to generate a PCR </w:t>
      </w:r>
      <w:r>
        <w:rPr>
          <w:rFonts w:ascii="Times New Roman" w:eastAsia="Times New Roman" w:hAnsi="Times New Roman" w:cs="Times New Roman"/>
          <w:sz w:val="20"/>
          <w:szCs w:val="20"/>
        </w:rPr>
        <w:t>product of 500 bp. The used primers were 18S forward primer 5'- ATTGGAGGGCAAGTCTGGTG- 3' and 18S-reverse primer 5'- CCGATCCCTAGTCGGCAT-3' (Sigma, USA). Amp</w:t>
      </w:r>
      <w:r>
        <w:rPr>
          <w:rFonts w:ascii="Times New Roman" w:eastAsia="Times New Roman" w:hAnsi="Times New Roman" w:cs="Times New Roman"/>
          <w:sz w:val="20"/>
          <w:szCs w:val="20"/>
        </w:rPr>
        <w:t xml:space="preserve">lification was performed in thermocycler (Applied Biosystems StepOne, Life Technologies Corporation, </w:t>
      </w:r>
      <w:r>
        <w:rPr>
          <w:rFonts w:ascii="Times New Roman" w:eastAsia="Times New Roman" w:hAnsi="Times New Roman" w:cs="Times New Roman"/>
          <w:i/>
          <w:iCs/>
          <w:sz w:val="20"/>
          <w:szCs w:val="20"/>
        </w:rPr>
        <w:t>USA</w:t>
      </w:r>
      <w:r>
        <w:rPr>
          <w:rFonts w:ascii="Times New Roman" w:eastAsia="Times New Roman" w:hAnsi="Times New Roman" w:cs="Times New Roman"/>
          <w:sz w:val="20"/>
          <w:szCs w:val="20"/>
        </w:rPr>
        <w:t>).The cycling parameters include: hot start denaturation at 95 °C for 5 min, followed by denaturation at 95°C for 1 min, annealing at 55 °C for 1 min, e</w:t>
      </w:r>
      <w:r>
        <w:rPr>
          <w:rFonts w:ascii="Times New Roman" w:eastAsia="Times New Roman" w:hAnsi="Times New Roman" w:cs="Times New Roman"/>
          <w:sz w:val="20"/>
          <w:szCs w:val="20"/>
        </w:rPr>
        <w:t xml:space="preserve">xtension reaction at 72 °C for 1 min and final extension at 72 °C for 7 min </w:t>
      </w:r>
      <w:r>
        <w:rPr>
          <w:rFonts w:ascii="Times New Roman" w:eastAsia="Times New Roman" w:hAnsi="Times New Roman" w:cs="Times New Roman"/>
          <w:b/>
          <w:bCs/>
          <w:sz w:val="20"/>
          <w:szCs w:val="20"/>
        </w:rPr>
        <w:t>(Ribeiro et al., 2006).</w:t>
      </w:r>
      <w:r>
        <w:rPr>
          <w:rFonts w:ascii="Times New Roman" w:eastAsia="Times New Roman" w:hAnsi="Times New Roman" w:cs="Times New Roman"/>
          <w:sz w:val="20"/>
          <w:szCs w:val="20"/>
        </w:rPr>
        <w:t xml:space="preserve"> The presence of specific PCR products will be detected using electrophoresis on a 1% agarose gel and staining with ethidium bromide.</w:t>
      </w:r>
    </w:p>
    <w:p w14:paraId="3757FEBE" w14:textId="77777777" w:rsidR="00B20531" w:rsidRDefault="00B20531">
      <w:pPr>
        <w:pStyle w:val="Heading1"/>
        <w:snapToGrid w:val="0"/>
        <w:ind w:right="-58"/>
        <w:jc w:val="both"/>
        <w:rPr>
          <w:rFonts w:ascii="Times New Roman" w:eastAsia="Times New Roman" w:hAnsi="Times New Roman" w:cs="Times New Roman"/>
          <w:b/>
          <w:bCs/>
          <w:sz w:val="20"/>
          <w:szCs w:val="20"/>
        </w:rPr>
      </w:pPr>
    </w:p>
    <w:p w14:paraId="49FB3C61" w14:textId="301BD8C6" w:rsidR="00D95EDA" w:rsidRDefault="001E5FDB">
      <w:pPr>
        <w:pStyle w:val="Heading1"/>
        <w:snapToGrid w:val="0"/>
        <w:ind w:right="-58"/>
        <w:jc w:val="both"/>
        <w:rPr>
          <w:rFonts w:ascii="Times New Roman" w:eastAsia="Times New Roman" w:hAnsi="Times New Roman" w:cs="Times New Roman"/>
          <w:b/>
          <w:bCs/>
          <w:sz w:val="20"/>
          <w:szCs w:val="20"/>
          <w:rtl/>
        </w:rPr>
      </w:pPr>
      <w:r>
        <w:rPr>
          <w:rFonts w:ascii="Times New Roman" w:eastAsia="Times New Roman" w:hAnsi="Times New Roman" w:cs="Times New Roman"/>
          <w:b/>
          <w:bCs/>
          <w:sz w:val="20"/>
          <w:szCs w:val="20"/>
        </w:rPr>
        <w:t>4. Ethical consideratio</w:t>
      </w:r>
      <w:r>
        <w:rPr>
          <w:rFonts w:ascii="Times New Roman" w:eastAsia="Times New Roman" w:hAnsi="Times New Roman" w:cs="Times New Roman"/>
          <w:b/>
          <w:bCs/>
          <w:sz w:val="20"/>
          <w:szCs w:val="20"/>
        </w:rPr>
        <w:t>n</w:t>
      </w:r>
    </w:p>
    <w:p w14:paraId="46484149" w14:textId="77777777" w:rsidR="00D95EDA" w:rsidRDefault="001E5FDB">
      <w:pPr>
        <w:pStyle w:val="Heading1"/>
        <w:snapToGrid w:val="0"/>
        <w:ind w:right="-2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ethics committee of the Faculty of Medicine, Mansoura University, Egypt, approved this study (MD/16.01.42).</w:t>
      </w:r>
    </w:p>
    <w:p w14:paraId="5CFD6483" w14:textId="77777777" w:rsidR="00D95EDA" w:rsidRDefault="001E5FDB">
      <w:pPr>
        <w:pStyle w:val="Heading1"/>
        <w:snapToGrid w:val="0"/>
        <w:ind w:right="-1054"/>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 Statistical analysis</w:t>
      </w:r>
    </w:p>
    <w:p w14:paraId="0005CB03" w14:textId="77777777" w:rsidR="00D95EDA" w:rsidRDefault="001E5FDB">
      <w:pPr>
        <w:snapToGrid w:val="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collected data will be analyzed using SPSS Version 21 using appropriate statistical significant test. </w:t>
      </w:r>
      <w:bookmarkStart w:id="0" w:name="_30j0zll" w:colFirst="0" w:colLast="0"/>
      <w:bookmarkEnd w:id="0"/>
      <w:r>
        <w:rPr>
          <w:rFonts w:ascii="Times New Roman" w:eastAsia="Times New Roman" w:hAnsi="Times New Roman" w:cs="Times New Roman"/>
          <w:sz w:val="20"/>
          <w:szCs w:val="20"/>
        </w:rPr>
        <w:tab/>
        <w:t xml:space="preserve">    </w:t>
      </w:r>
    </w:p>
    <w:p w14:paraId="7949E843" w14:textId="77777777" w:rsidR="00D95EDA" w:rsidRDefault="001E5FDB">
      <w:pPr>
        <w:tabs>
          <w:tab w:val="right" w:pos="8505"/>
          <w:tab w:val="right" w:pos="13608"/>
        </w:tabs>
        <w:snapToGrid w:val="0"/>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Results </w:t>
      </w:r>
      <w:r>
        <w:rPr>
          <w:rFonts w:ascii="Times New Roman" w:eastAsia="Times New Roman" w:hAnsi="Times New Roman" w:cs="Times New Roman"/>
          <w:sz w:val="20"/>
          <w:szCs w:val="20"/>
        </w:rPr>
        <w:tab/>
        <w:t xml:space="preserve">        </w:t>
      </w:r>
    </w:p>
    <w:p w14:paraId="236038B2" w14:textId="77777777" w:rsidR="00D95EDA" w:rsidRDefault="001E5FDB">
      <w:pPr>
        <w:tabs>
          <w:tab w:val="right" w:pos="8789"/>
          <w:tab w:val="right" w:pos="13608"/>
        </w:tabs>
        <w:snapToGrid w:val="0"/>
        <w:ind w:right="1"/>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Over a period of one year, blood samples were collected from 70 patients hospitalized in Oncology center, with suspected systemic fungal infection. The patient’s symptoms and characteristics included persistent fever unresponsiveness to broad-spe</w:t>
      </w:r>
      <w:r>
        <w:rPr>
          <w:rFonts w:ascii="Times New Roman" w:eastAsia="Times New Roman" w:hAnsi="Times New Roman" w:cs="Times New Roman"/>
          <w:sz w:val="20"/>
          <w:szCs w:val="20"/>
        </w:rPr>
        <w:t>ctrum antibacterial therapy with possible fungal lesion on CT. 45 samples were positive for fungal infection either by culture, PCR, or both. Of these 45 samples, 19 fungal isolates were positive by blood culture. Positive samples were subculture on Sabara</w:t>
      </w:r>
      <w:r>
        <w:rPr>
          <w:rFonts w:ascii="Times New Roman" w:eastAsia="Times New Roman" w:hAnsi="Times New Roman" w:cs="Times New Roman"/>
          <w:sz w:val="20"/>
          <w:szCs w:val="20"/>
        </w:rPr>
        <w:t>oud dextrose slants and identified by Vitek 2 YST ID cards.</w:t>
      </w:r>
      <w:r>
        <w:rPr>
          <w:rFonts w:ascii="Times New Roman" w:eastAsia="Times New Roman" w:hAnsi="Times New Roman" w:cs="Times New Roman"/>
          <w:b/>
          <w:bCs/>
          <w:sz w:val="20"/>
          <w:szCs w:val="20"/>
        </w:rPr>
        <w:t xml:space="preserve"> </w:t>
      </w:r>
    </w:p>
    <w:p w14:paraId="3D6BCAB9" w14:textId="77777777" w:rsidR="00D95EDA" w:rsidRDefault="001E5FDB">
      <w:pPr>
        <w:tabs>
          <w:tab w:val="right" w:pos="8789"/>
          <w:tab w:val="right" w:pos="13608"/>
        </w:tabs>
        <w:snapToGrid w:val="0"/>
        <w:ind w:right="1"/>
        <w:rPr>
          <w:rFonts w:ascii="Times New Roman" w:eastAsia="Times New Roman" w:hAnsi="Times New Roman" w:cs="Times New Roman"/>
          <w:i/>
          <w:iCs/>
          <w:sz w:val="20"/>
          <w:szCs w:val="20"/>
        </w:rPr>
      </w:pPr>
      <w:r>
        <w:rPr>
          <w:rFonts w:ascii="Times New Roman" w:eastAsia="Times New Roman" w:hAnsi="Times New Roman" w:cs="Times New Roman"/>
          <w:b/>
          <w:bCs/>
          <w:sz w:val="20"/>
          <w:szCs w:val="20"/>
        </w:rPr>
        <w:t xml:space="preserve">           Table 1</w:t>
      </w:r>
      <w:r>
        <w:rPr>
          <w:rFonts w:ascii="Times New Roman" w:eastAsia="Times New Roman" w:hAnsi="Times New Roman" w:cs="Times New Roman"/>
          <w:sz w:val="20"/>
          <w:szCs w:val="20"/>
        </w:rPr>
        <w:t xml:space="preserve"> presents the fungal species identified by Vitek 2 system in blood cultures. </w:t>
      </w:r>
      <w:r>
        <w:rPr>
          <w:rFonts w:ascii="Times New Roman" w:eastAsia="Times New Roman" w:hAnsi="Times New Roman" w:cs="Times New Roman"/>
          <w:i/>
          <w:iCs/>
          <w:sz w:val="20"/>
          <w:szCs w:val="20"/>
        </w:rPr>
        <w:t>Candida albicans</w:t>
      </w:r>
      <w:r>
        <w:rPr>
          <w:rFonts w:ascii="Times New Roman" w:eastAsia="Times New Roman" w:hAnsi="Times New Roman" w:cs="Times New Roman"/>
          <w:sz w:val="20"/>
          <w:szCs w:val="20"/>
        </w:rPr>
        <w:t xml:space="preserve"> accounted for the majority of fungal bloodstream infection. However, the overall nu</w:t>
      </w:r>
      <w:r>
        <w:rPr>
          <w:rFonts w:ascii="Times New Roman" w:eastAsia="Times New Roman" w:hAnsi="Times New Roman" w:cs="Times New Roman"/>
          <w:sz w:val="20"/>
          <w:szCs w:val="20"/>
        </w:rPr>
        <w:t xml:space="preserve">mber of patients presented with candidemia caused by non albicans </w:t>
      </w:r>
      <w:r>
        <w:rPr>
          <w:rFonts w:ascii="Times New Roman" w:eastAsia="Times New Roman" w:hAnsi="Times New Roman" w:cs="Times New Roman"/>
          <w:i/>
          <w:iCs/>
          <w:sz w:val="20"/>
          <w:szCs w:val="20"/>
        </w:rPr>
        <w:t>Candida</w:t>
      </w:r>
      <w:r>
        <w:rPr>
          <w:rFonts w:ascii="Times New Roman" w:eastAsia="Times New Roman" w:hAnsi="Times New Roman" w:cs="Times New Roman"/>
          <w:sz w:val="20"/>
          <w:szCs w:val="20"/>
        </w:rPr>
        <w:t xml:space="preserve"> species was higher (12 out of 19 patients). The most common non albicans </w:t>
      </w:r>
      <w:r>
        <w:rPr>
          <w:rFonts w:ascii="Times New Roman" w:eastAsia="Times New Roman" w:hAnsi="Times New Roman" w:cs="Times New Roman"/>
          <w:i/>
          <w:iCs/>
          <w:sz w:val="20"/>
          <w:szCs w:val="20"/>
        </w:rPr>
        <w:t>Candida</w:t>
      </w:r>
      <w:r>
        <w:rPr>
          <w:rFonts w:ascii="Times New Roman" w:eastAsia="Times New Roman" w:hAnsi="Times New Roman" w:cs="Times New Roman"/>
          <w:sz w:val="20"/>
          <w:szCs w:val="20"/>
        </w:rPr>
        <w:t xml:space="preserve"> species were </w:t>
      </w:r>
      <w:r>
        <w:rPr>
          <w:rFonts w:ascii="Times New Roman" w:eastAsia="Times New Roman" w:hAnsi="Times New Roman" w:cs="Times New Roman"/>
          <w:i/>
          <w:iCs/>
          <w:sz w:val="20"/>
          <w:szCs w:val="20"/>
        </w:rPr>
        <w:t>C. krusei</w:t>
      </w:r>
      <w:r>
        <w:rPr>
          <w:rFonts w:ascii="Times New Roman" w:eastAsia="Times New Roman" w:hAnsi="Times New Roman" w:cs="Times New Roman"/>
          <w:sz w:val="20"/>
          <w:szCs w:val="20"/>
        </w:rPr>
        <w:t xml:space="preserve"> followed by </w:t>
      </w:r>
      <w:r>
        <w:rPr>
          <w:rFonts w:ascii="Times New Roman" w:eastAsia="Times New Roman" w:hAnsi="Times New Roman" w:cs="Times New Roman"/>
          <w:i/>
          <w:iCs/>
          <w:sz w:val="20"/>
          <w:szCs w:val="20"/>
        </w:rPr>
        <w:t>C. tropicalis, C. parapsilosis and C. guilliermondii.</w:t>
      </w:r>
    </w:p>
    <w:p w14:paraId="6B4CEEAD" w14:textId="77777777" w:rsidR="00D95EDA" w:rsidRDefault="00D95EDA">
      <w:pPr>
        <w:tabs>
          <w:tab w:val="right" w:pos="8789"/>
          <w:tab w:val="right" w:pos="13608"/>
        </w:tabs>
        <w:snapToGrid w:val="0"/>
        <w:ind w:right="1"/>
        <w:rPr>
          <w:rFonts w:ascii="Times New Roman" w:eastAsia="Times New Roman" w:hAnsi="Times New Roman" w:cs="Times New Roman"/>
          <w:i/>
          <w:iCs/>
          <w:sz w:val="20"/>
          <w:szCs w:val="20"/>
        </w:rPr>
        <w:sectPr w:rsidR="00D95EDA">
          <w:type w:val="continuous"/>
          <w:pgSz w:w="12240" w:h="15839"/>
          <w:pgMar w:top="1440" w:right="1440" w:bottom="1440" w:left="1440" w:header="720" w:footer="720" w:gutter="0"/>
          <w:cols w:num="2" w:space="720" w:equalWidth="0">
            <w:col w:w="4467" w:space="425"/>
            <w:col w:w="4467"/>
          </w:cols>
          <w:titlePg/>
          <w:docGrid w:type="lines" w:linePitch="312"/>
        </w:sectPr>
      </w:pPr>
    </w:p>
    <w:p w14:paraId="016D4A07" w14:textId="77777777" w:rsidR="00D95EDA" w:rsidRDefault="00D95EDA">
      <w:pPr>
        <w:tabs>
          <w:tab w:val="right" w:pos="8789"/>
          <w:tab w:val="right" w:pos="13608"/>
        </w:tabs>
        <w:snapToGrid w:val="0"/>
        <w:ind w:right="1"/>
        <w:rPr>
          <w:rFonts w:ascii="Times New Roman" w:eastAsia="Times New Roman" w:hAnsi="Times New Roman" w:cs="Times New Roman"/>
          <w:i/>
          <w:iCs/>
          <w:sz w:val="20"/>
          <w:szCs w:val="20"/>
        </w:rPr>
      </w:pPr>
    </w:p>
    <w:p w14:paraId="58BDA6AA" w14:textId="77777777" w:rsidR="00D95EDA" w:rsidRDefault="00D95EDA">
      <w:pPr>
        <w:tabs>
          <w:tab w:val="right" w:pos="8789"/>
          <w:tab w:val="right" w:pos="13608"/>
        </w:tabs>
        <w:snapToGrid w:val="0"/>
        <w:ind w:right="1"/>
        <w:rPr>
          <w:rFonts w:ascii="Times New Roman" w:eastAsia="Times New Roman" w:hAnsi="Times New Roman" w:cs="Times New Roman"/>
          <w:i/>
          <w:iCs/>
          <w:sz w:val="20"/>
          <w:szCs w:val="20"/>
        </w:rPr>
      </w:pPr>
    </w:p>
    <w:p w14:paraId="7EAFA378" w14:textId="77777777" w:rsidR="00D95EDA" w:rsidRDefault="00D95EDA">
      <w:pPr>
        <w:tabs>
          <w:tab w:val="right" w:pos="8789"/>
          <w:tab w:val="right" w:pos="13608"/>
        </w:tabs>
        <w:snapToGrid w:val="0"/>
        <w:ind w:right="1"/>
        <w:rPr>
          <w:rFonts w:ascii="Times New Roman" w:eastAsia="Times New Roman" w:hAnsi="Times New Roman" w:cs="Times New Roman"/>
          <w:i/>
          <w:iCs/>
          <w:sz w:val="20"/>
          <w:szCs w:val="20"/>
        </w:rPr>
      </w:pPr>
    </w:p>
    <w:p w14:paraId="331F247C" w14:textId="77777777" w:rsidR="00D95EDA" w:rsidRDefault="00D95EDA">
      <w:pPr>
        <w:tabs>
          <w:tab w:val="right" w:pos="8789"/>
          <w:tab w:val="right" w:pos="13608"/>
        </w:tabs>
        <w:snapToGrid w:val="0"/>
        <w:ind w:right="1"/>
        <w:rPr>
          <w:rFonts w:ascii="Times New Roman" w:eastAsia="Times New Roman" w:hAnsi="Times New Roman" w:cs="Times New Roman"/>
          <w:i/>
          <w:iCs/>
          <w:sz w:val="20"/>
          <w:szCs w:val="20"/>
        </w:rPr>
      </w:pPr>
    </w:p>
    <w:p w14:paraId="4CC7867B" w14:textId="77777777" w:rsidR="00D95EDA" w:rsidRDefault="00D95EDA">
      <w:pPr>
        <w:tabs>
          <w:tab w:val="right" w:pos="8789"/>
          <w:tab w:val="right" w:pos="13608"/>
        </w:tabs>
        <w:snapToGrid w:val="0"/>
        <w:ind w:right="1"/>
        <w:rPr>
          <w:rFonts w:ascii="Times New Roman" w:eastAsia="Times New Roman" w:hAnsi="Times New Roman" w:cs="Times New Roman"/>
          <w:i/>
          <w:iCs/>
          <w:sz w:val="20"/>
          <w:szCs w:val="20"/>
        </w:rPr>
      </w:pPr>
    </w:p>
    <w:p w14:paraId="1D7F09EE" w14:textId="77777777" w:rsidR="00D95EDA" w:rsidRDefault="00D95EDA">
      <w:pPr>
        <w:tabs>
          <w:tab w:val="right" w:pos="8789"/>
          <w:tab w:val="right" w:pos="13608"/>
        </w:tabs>
        <w:snapToGrid w:val="0"/>
        <w:ind w:right="1"/>
        <w:rPr>
          <w:rFonts w:ascii="Times New Roman" w:eastAsia="Times New Roman" w:hAnsi="Times New Roman" w:cs="Times New Roman"/>
          <w:i/>
          <w:iCs/>
          <w:sz w:val="20"/>
          <w:szCs w:val="20"/>
        </w:rPr>
      </w:pPr>
    </w:p>
    <w:p w14:paraId="2DACC2DC" w14:textId="77777777" w:rsidR="00D95EDA" w:rsidRDefault="00D95EDA">
      <w:pPr>
        <w:tabs>
          <w:tab w:val="right" w:pos="8789"/>
          <w:tab w:val="right" w:pos="13608"/>
        </w:tabs>
        <w:snapToGrid w:val="0"/>
        <w:ind w:right="1"/>
        <w:rPr>
          <w:rFonts w:ascii="Times New Roman" w:eastAsia="Times New Roman" w:hAnsi="Times New Roman" w:cs="Times New Roman"/>
          <w:i/>
          <w:iCs/>
          <w:sz w:val="20"/>
          <w:szCs w:val="20"/>
        </w:rPr>
      </w:pPr>
    </w:p>
    <w:p w14:paraId="57BC2BC4" w14:textId="77777777" w:rsidR="00D95EDA" w:rsidRDefault="00D95EDA">
      <w:pPr>
        <w:tabs>
          <w:tab w:val="right" w:pos="8789"/>
          <w:tab w:val="right" w:pos="13608"/>
        </w:tabs>
        <w:snapToGrid w:val="0"/>
        <w:ind w:right="1"/>
        <w:rPr>
          <w:rFonts w:ascii="Times New Roman" w:eastAsia="Times New Roman" w:hAnsi="Times New Roman" w:cs="Times New Roman"/>
          <w:i/>
          <w:iCs/>
          <w:sz w:val="20"/>
          <w:szCs w:val="20"/>
        </w:rPr>
      </w:pPr>
    </w:p>
    <w:p w14:paraId="68E7E0BB" w14:textId="77777777" w:rsidR="00D95EDA" w:rsidRDefault="001E5FDB">
      <w:pPr>
        <w:snapToGrid w:val="0"/>
        <w:ind w:left="-142"/>
        <w:rPr>
          <w:rFonts w:ascii="Times New Roman" w:hAnsi="Times New Roman" w:cs="Times New Roman"/>
          <w:b/>
          <w:bCs/>
          <w:sz w:val="20"/>
          <w:szCs w:val="20"/>
        </w:rPr>
      </w:pPr>
      <w:r>
        <w:rPr>
          <w:rFonts w:ascii="Times New Roman" w:hAnsi="Times New Roman" w:cs="Times New Roman"/>
          <w:b/>
          <w:bCs/>
          <w:sz w:val="20"/>
          <w:szCs w:val="20"/>
        </w:rPr>
        <w:lastRenderedPageBreak/>
        <w:t xml:space="preserve">Table 1. Distribution of fungal species identified by Vitek 2 system </w:t>
      </w:r>
    </w:p>
    <w:tbl>
      <w:tblPr>
        <w:tblStyle w:val="LightShading-Accent2"/>
        <w:tblW w:w="8813" w:type="dxa"/>
        <w:tblInd w:w="206" w:type="dxa"/>
        <w:tblLook w:val="04A0" w:firstRow="1" w:lastRow="0" w:firstColumn="1" w:lastColumn="0" w:noHBand="0" w:noVBand="1"/>
      </w:tblPr>
      <w:tblGrid>
        <w:gridCol w:w="6102"/>
        <w:gridCol w:w="2711"/>
      </w:tblGrid>
      <w:tr w:rsidR="00D95EDA" w14:paraId="17226357" w14:textId="77777777" w:rsidTr="00D95EDA">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6102" w:type="dxa"/>
          </w:tcPr>
          <w:p w14:paraId="22A560AB"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C. albicans</w:t>
            </w:r>
          </w:p>
        </w:tc>
        <w:tc>
          <w:tcPr>
            <w:tcW w:w="2711" w:type="dxa"/>
          </w:tcPr>
          <w:p w14:paraId="3D7A47D4" w14:textId="77777777" w:rsidR="00D95EDA" w:rsidRDefault="001E5F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val="0"/>
                <w:bCs w:val="0"/>
                <w:sz w:val="20"/>
                <w:szCs w:val="20"/>
              </w:rPr>
              <w:t>7</w:t>
            </w:r>
          </w:p>
        </w:tc>
      </w:tr>
      <w:tr w:rsidR="00D95EDA" w14:paraId="111E233D" w14:textId="77777777" w:rsidTr="00D95EDA">
        <w:trPr>
          <w:trHeight w:val="90"/>
        </w:trPr>
        <w:tc>
          <w:tcPr>
            <w:cnfStyle w:val="001000000000" w:firstRow="0" w:lastRow="0" w:firstColumn="1" w:lastColumn="0" w:oddVBand="0" w:evenVBand="0" w:oddHBand="0" w:evenHBand="0" w:firstRowFirstColumn="0" w:firstRowLastColumn="0" w:lastRowFirstColumn="0" w:lastRowLastColumn="0"/>
            <w:tcW w:w="6102" w:type="dxa"/>
            <w:tcBorders>
              <w:left w:val="nil"/>
              <w:right w:val="nil"/>
            </w:tcBorders>
            <w:shd w:val="clear" w:color="auto" w:fill="FADECB" w:themeFill="accent2" w:themeFillTint="3F"/>
          </w:tcPr>
          <w:p w14:paraId="1D49B37C"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C. dubliniensis</w:t>
            </w:r>
          </w:p>
        </w:tc>
        <w:tc>
          <w:tcPr>
            <w:tcW w:w="2711" w:type="dxa"/>
            <w:tcBorders>
              <w:right w:val="nil"/>
            </w:tcBorders>
            <w:shd w:val="clear" w:color="auto" w:fill="FADECB" w:themeFill="accent2" w:themeFillTint="3F"/>
          </w:tcPr>
          <w:p w14:paraId="2F775C56"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D95EDA" w14:paraId="12EB0133" w14:textId="77777777" w:rsidTr="00D95EDA">
        <w:trPr>
          <w:trHeight w:val="90"/>
        </w:trPr>
        <w:tc>
          <w:tcPr>
            <w:cnfStyle w:val="001000000000" w:firstRow="0" w:lastRow="0" w:firstColumn="1" w:lastColumn="0" w:oddVBand="0" w:evenVBand="0" w:oddHBand="0" w:evenHBand="0" w:firstRowFirstColumn="0" w:firstRowLastColumn="0" w:lastRowFirstColumn="0" w:lastRowLastColumn="0"/>
            <w:tcW w:w="6102" w:type="dxa"/>
          </w:tcPr>
          <w:p w14:paraId="4C3AA663" w14:textId="77777777" w:rsidR="00D95EDA" w:rsidRDefault="001E5FDB">
            <w:pPr>
              <w:snapToGrid w:val="0"/>
              <w:ind w:right="-250"/>
              <w:rPr>
                <w:rFonts w:ascii="Times New Roman" w:hAnsi="Times New Roman" w:cs="Times New Roman"/>
                <w:sz w:val="20"/>
                <w:szCs w:val="20"/>
              </w:rPr>
            </w:pPr>
            <w:r>
              <w:rPr>
                <w:rFonts w:ascii="Times New Roman" w:hAnsi="Times New Roman" w:cs="Times New Roman"/>
                <w:sz w:val="20"/>
                <w:szCs w:val="20"/>
              </w:rPr>
              <w:t>C. guilliermondii</w:t>
            </w:r>
          </w:p>
        </w:tc>
        <w:tc>
          <w:tcPr>
            <w:tcW w:w="2711" w:type="dxa"/>
          </w:tcPr>
          <w:p w14:paraId="010E0BE5"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D95EDA" w14:paraId="6E75CB5B" w14:textId="77777777" w:rsidTr="00D95EDA">
        <w:trPr>
          <w:trHeight w:val="90"/>
        </w:trPr>
        <w:tc>
          <w:tcPr>
            <w:cnfStyle w:val="001000000000" w:firstRow="0" w:lastRow="0" w:firstColumn="1" w:lastColumn="0" w:oddVBand="0" w:evenVBand="0" w:oddHBand="0" w:evenHBand="0" w:firstRowFirstColumn="0" w:firstRowLastColumn="0" w:lastRowFirstColumn="0" w:lastRowLastColumn="0"/>
            <w:tcW w:w="6102" w:type="dxa"/>
            <w:tcBorders>
              <w:left w:val="nil"/>
              <w:right w:val="nil"/>
            </w:tcBorders>
            <w:shd w:val="clear" w:color="auto" w:fill="FADECB" w:themeFill="accent2" w:themeFillTint="3F"/>
          </w:tcPr>
          <w:p w14:paraId="5C99AD0F"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C. krusei</w:t>
            </w:r>
          </w:p>
        </w:tc>
        <w:tc>
          <w:tcPr>
            <w:tcW w:w="2711" w:type="dxa"/>
            <w:tcBorders>
              <w:right w:val="nil"/>
            </w:tcBorders>
            <w:shd w:val="clear" w:color="auto" w:fill="FADECB" w:themeFill="accent2" w:themeFillTint="3F"/>
          </w:tcPr>
          <w:p w14:paraId="0E911240"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r>
      <w:tr w:rsidR="00D95EDA" w14:paraId="7DB969C1" w14:textId="77777777" w:rsidTr="00D95EDA">
        <w:trPr>
          <w:trHeight w:val="90"/>
        </w:trPr>
        <w:tc>
          <w:tcPr>
            <w:cnfStyle w:val="001000000000" w:firstRow="0" w:lastRow="0" w:firstColumn="1" w:lastColumn="0" w:oddVBand="0" w:evenVBand="0" w:oddHBand="0" w:evenHBand="0" w:firstRowFirstColumn="0" w:firstRowLastColumn="0" w:lastRowFirstColumn="0" w:lastRowLastColumn="0"/>
            <w:tcW w:w="6102" w:type="dxa"/>
          </w:tcPr>
          <w:p w14:paraId="38076569"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C. lusitaniae</w:t>
            </w:r>
          </w:p>
        </w:tc>
        <w:tc>
          <w:tcPr>
            <w:tcW w:w="2711" w:type="dxa"/>
          </w:tcPr>
          <w:p w14:paraId="0ECA30A9"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D95EDA" w14:paraId="5C4FD257" w14:textId="77777777" w:rsidTr="00D95EDA">
        <w:trPr>
          <w:trHeight w:val="90"/>
        </w:trPr>
        <w:tc>
          <w:tcPr>
            <w:cnfStyle w:val="001000000000" w:firstRow="0" w:lastRow="0" w:firstColumn="1" w:lastColumn="0" w:oddVBand="0" w:evenVBand="0" w:oddHBand="0" w:evenHBand="0" w:firstRowFirstColumn="0" w:firstRowLastColumn="0" w:lastRowFirstColumn="0" w:lastRowLastColumn="0"/>
            <w:tcW w:w="6102" w:type="dxa"/>
            <w:tcBorders>
              <w:left w:val="nil"/>
              <w:right w:val="nil"/>
            </w:tcBorders>
            <w:shd w:val="clear" w:color="auto" w:fill="FADECB" w:themeFill="accent2" w:themeFillTint="3F"/>
          </w:tcPr>
          <w:p w14:paraId="4D1B1151"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C. parapsilosis</w:t>
            </w:r>
          </w:p>
        </w:tc>
        <w:tc>
          <w:tcPr>
            <w:tcW w:w="2711" w:type="dxa"/>
            <w:tcBorders>
              <w:right w:val="nil"/>
            </w:tcBorders>
            <w:shd w:val="clear" w:color="auto" w:fill="FADECB" w:themeFill="accent2" w:themeFillTint="3F"/>
          </w:tcPr>
          <w:p w14:paraId="2274222D"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D95EDA" w14:paraId="7CD1505C" w14:textId="77777777" w:rsidTr="00D95EDA">
        <w:trPr>
          <w:trHeight w:val="90"/>
        </w:trPr>
        <w:tc>
          <w:tcPr>
            <w:cnfStyle w:val="001000000000" w:firstRow="0" w:lastRow="0" w:firstColumn="1" w:lastColumn="0" w:oddVBand="0" w:evenVBand="0" w:oddHBand="0" w:evenHBand="0" w:firstRowFirstColumn="0" w:firstRowLastColumn="0" w:lastRowFirstColumn="0" w:lastRowLastColumn="0"/>
            <w:tcW w:w="6102" w:type="dxa"/>
          </w:tcPr>
          <w:p w14:paraId="7D454412"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C. tropicalis</w:t>
            </w:r>
          </w:p>
        </w:tc>
        <w:tc>
          <w:tcPr>
            <w:tcW w:w="2711" w:type="dxa"/>
          </w:tcPr>
          <w:p w14:paraId="65515907"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D95EDA" w14:paraId="61EB6D07" w14:textId="77777777" w:rsidTr="00D95EDA">
        <w:trPr>
          <w:trHeight w:val="90"/>
        </w:trPr>
        <w:tc>
          <w:tcPr>
            <w:cnfStyle w:val="001000000000" w:firstRow="0" w:lastRow="0" w:firstColumn="1" w:lastColumn="0" w:oddVBand="0" w:evenVBand="0" w:oddHBand="0" w:evenHBand="0" w:firstRowFirstColumn="0" w:firstRowLastColumn="0" w:lastRowFirstColumn="0" w:lastRowLastColumn="0"/>
            <w:tcW w:w="6102" w:type="dxa"/>
            <w:tcBorders>
              <w:left w:val="nil"/>
              <w:right w:val="nil"/>
            </w:tcBorders>
            <w:shd w:val="clear" w:color="auto" w:fill="FADECB" w:themeFill="accent2" w:themeFillTint="3F"/>
          </w:tcPr>
          <w:p w14:paraId="0504CC11" w14:textId="77777777" w:rsidR="00D95EDA" w:rsidRDefault="001E5FDB">
            <w:pPr>
              <w:snapToGrid w:val="0"/>
              <w:rPr>
                <w:rFonts w:ascii="Times New Roman" w:hAnsi="Times New Roman" w:cs="Times New Roman"/>
                <w:b w:val="0"/>
                <w:bCs w:val="0"/>
                <w:sz w:val="20"/>
                <w:szCs w:val="20"/>
              </w:rPr>
            </w:pPr>
            <w:r>
              <w:rPr>
                <w:rFonts w:ascii="Times New Roman" w:hAnsi="Times New Roman" w:cs="Times New Roman"/>
                <w:sz w:val="20"/>
                <w:szCs w:val="20"/>
              </w:rPr>
              <w:t>C. ciferri</w:t>
            </w:r>
          </w:p>
        </w:tc>
        <w:tc>
          <w:tcPr>
            <w:tcW w:w="2711" w:type="dxa"/>
            <w:tcBorders>
              <w:right w:val="nil"/>
            </w:tcBorders>
            <w:shd w:val="clear" w:color="auto" w:fill="FADECB" w:themeFill="accent2" w:themeFillTint="3F"/>
          </w:tcPr>
          <w:p w14:paraId="2415585B"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bl>
    <w:p w14:paraId="1FC29ACF" w14:textId="77777777" w:rsidR="00D95EDA" w:rsidRDefault="001E5FDB">
      <w:pPr>
        <w:tabs>
          <w:tab w:val="left" w:pos="7567"/>
        </w:tabs>
        <w:snapToGrid w:val="0"/>
        <w:ind w:right="1" w:firstLineChars="100" w:firstLine="201"/>
        <w:rPr>
          <w:rFonts w:ascii="Times New Roman" w:hAnsi="Times New Roman" w:cs="Times New Roman"/>
          <w:b/>
          <w:bCs/>
          <w:color w:val="C45911" w:themeColor="accent2" w:themeShade="BF"/>
          <w:sz w:val="20"/>
          <w:szCs w:val="20"/>
        </w:rPr>
      </w:pPr>
      <w:r>
        <w:rPr>
          <w:rFonts w:ascii="Times New Roman" w:hAnsi="Times New Roman" w:cs="Times New Roman"/>
          <w:b/>
          <w:bCs/>
          <w:color w:val="C45911" w:themeColor="accent2" w:themeShade="BF"/>
          <w:sz w:val="20"/>
          <w:szCs w:val="20"/>
        </w:rPr>
        <w:t xml:space="preserve">Total         </w:t>
      </w:r>
      <w:r>
        <w:rPr>
          <w:rFonts w:ascii="Times New Roman" w:hAnsi="Times New Roman" w:cs="Times New Roman" w:hint="eastAsia"/>
          <w:b/>
          <w:bCs/>
          <w:color w:val="C45911" w:themeColor="accent2" w:themeShade="BF"/>
          <w:sz w:val="20"/>
          <w:szCs w:val="20"/>
        </w:rPr>
        <w:t xml:space="preserve"> </w:t>
      </w:r>
      <w:r>
        <w:rPr>
          <w:rFonts w:ascii="Times New Roman" w:hAnsi="Times New Roman" w:cs="Times New Roman"/>
          <w:b/>
          <w:bCs/>
          <w:color w:val="C45911" w:themeColor="accent2" w:themeShade="BF"/>
          <w:sz w:val="20"/>
          <w:szCs w:val="20"/>
        </w:rPr>
        <w:t xml:space="preserve">                                               19</w:t>
      </w:r>
    </w:p>
    <w:p w14:paraId="07B9B4F2" w14:textId="77777777" w:rsidR="00D95EDA" w:rsidRDefault="00D95EDA">
      <w:pPr>
        <w:snapToGrid w:val="0"/>
        <w:ind w:firstLine="720"/>
        <w:rPr>
          <w:rFonts w:ascii="Times New Roman" w:hAnsi="Times New Roman" w:cs="Times New Roman"/>
          <w:sz w:val="20"/>
          <w:szCs w:val="20"/>
        </w:rPr>
        <w:sectPr w:rsidR="00D95EDA">
          <w:type w:val="continuous"/>
          <w:pgSz w:w="12240" w:h="15839"/>
          <w:pgMar w:top="1440" w:right="1440" w:bottom="1440" w:left="1440" w:header="720" w:footer="720" w:gutter="0"/>
          <w:cols w:space="425"/>
          <w:titlePg/>
          <w:docGrid w:type="lines" w:linePitch="312"/>
        </w:sectPr>
      </w:pPr>
    </w:p>
    <w:p w14:paraId="7A5F4ECC" w14:textId="77777777" w:rsidR="00D95EDA" w:rsidRDefault="001E5FDB">
      <w:pPr>
        <w:snapToGrid w:val="0"/>
        <w:ind w:firstLine="720"/>
        <w:rPr>
          <w:rFonts w:ascii="Times New Roman" w:hAnsi="Times New Roman" w:cs="Times New Roman"/>
          <w:sz w:val="20"/>
          <w:szCs w:val="20"/>
        </w:rPr>
      </w:pPr>
      <w:r>
        <w:rPr>
          <w:rFonts w:ascii="Times New Roman" w:hAnsi="Times New Roman" w:cs="Times New Roman"/>
          <w:sz w:val="20"/>
          <w:szCs w:val="20"/>
        </w:rPr>
        <w:t>Comparing the results of different methods used for diagnosis of IFIs, 19 cases (27.1%) were positive blood culture. This number increases to 38 (54.3%) by the use of Ag dete</w:t>
      </w:r>
      <w:r>
        <w:rPr>
          <w:rFonts w:ascii="Times New Roman" w:hAnsi="Times New Roman" w:cs="Times New Roman"/>
          <w:sz w:val="20"/>
          <w:szCs w:val="20"/>
        </w:rPr>
        <w:t xml:space="preserve">ction test and further increase to 45 (64.3%) cases out of the examined 70 patients by pan-fungal PCR </w:t>
      </w:r>
      <w:r>
        <w:rPr>
          <w:rFonts w:ascii="Times New Roman" w:hAnsi="Times New Roman" w:cs="Times New Roman"/>
          <w:b/>
          <w:bCs/>
          <w:sz w:val="20"/>
          <w:szCs w:val="20"/>
        </w:rPr>
        <w:t>(Table 3).</w:t>
      </w:r>
      <w:r>
        <w:rPr>
          <w:rFonts w:ascii="Times New Roman" w:hAnsi="Times New Roman" w:cs="Times New Roman"/>
          <w:sz w:val="20"/>
          <w:szCs w:val="20"/>
        </w:rPr>
        <w:t xml:space="preserve"> Accordingly, </w:t>
      </w:r>
      <w:r>
        <w:rPr>
          <w:rFonts w:ascii="Times New Roman" w:hAnsi="Times New Roman" w:cs="Times New Roman"/>
          <w:sz w:val="20"/>
          <w:szCs w:val="20"/>
        </w:rPr>
        <w:t>ELISA can detect all the blood culture positive cases and 22 of the blood culture negative cases. 45 cases were diagnosed by PCR i</w:t>
      </w:r>
      <w:r>
        <w:rPr>
          <w:rFonts w:ascii="Times New Roman" w:hAnsi="Times New Roman" w:cs="Times New Roman"/>
          <w:sz w:val="20"/>
          <w:szCs w:val="20"/>
        </w:rPr>
        <w:t xml:space="preserve">ncluding all the blood culture and ELISA positive cases. 25 cases were negative by all three methods </w:t>
      </w:r>
      <w:r>
        <w:rPr>
          <w:rFonts w:ascii="Times New Roman" w:hAnsi="Times New Roman" w:cs="Times New Roman"/>
          <w:b/>
          <w:bCs/>
          <w:sz w:val="20"/>
          <w:szCs w:val="20"/>
        </w:rPr>
        <w:t>(Figure 1-3).</w:t>
      </w:r>
      <w:r>
        <w:rPr>
          <w:rFonts w:ascii="Times New Roman" w:hAnsi="Times New Roman" w:cs="Times New Roman"/>
          <w:sz w:val="20"/>
          <w:szCs w:val="20"/>
        </w:rPr>
        <w:t xml:space="preserve"> </w:t>
      </w:r>
    </w:p>
    <w:p w14:paraId="355EF2BA" w14:textId="77777777" w:rsidR="00D95EDA" w:rsidRDefault="00D95EDA">
      <w:pPr>
        <w:snapToGrid w:val="0"/>
        <w:ind w:firstLine="720"/>
        <w:rPr>
          <w:rFonts w:ascii="Times New Roman" w:hAnsi="Times New Roman" w:cs="Times New Roman"/>
          <w:sz w:val="20"/>
          <w:szCs w:val="20"/>
        </w:rPr>
        <w:sectPr w:rsidR="00D95EDA">
          <w:type w:val="continuous"/>
          <w:pgSz w:w="12240" w:h="15839"/>
          <w:pgMar w:top="1440" w:right="1440" w:bottom="1440" w:left="1440" w:header="720" w:footer="720" w:gutter="0"/>
          <w:cols w:num="2" w:space="720" w:equalWidth="0">
            <w:col w:w="4467" w:space="425"/>
            <w:col w:w="4467"/>
          </w:cols>
          <w:titlePg/>
          <w:docGrid w:type="lines" w:linePitch="312"/>
        </w:sectPr>
      </w:pPr>
    </w:p>
    <w:p w14:paraId="1692A4E9" w14:textId="77777777" w:rsidR="00D95EDA" w:rsidRDefault="00D95EDA">
      <w:pPr>
        <w:snapToGrid w:val="0"/>
        <w:ind w:firstLine="720"/>
        <w:rPr>
          <w:rFonts w:ascii="Times New Roman" w:hAnsi="Times New Roman" w:cs="Times New Roman"/>
          <w:sz w:val="20"/>
          <w:szCs w:val="20"/>
        </w:rPr>
      </w:pPr>
    </w:p>
    <w:p w14:paraId="12CD423C" w14:textId="77777777" w:rsidR="00D95EDA" w:rsidRDefault="001E5FDB">
      <w:pPr>
        <w:autoSpaceDE w:val="0"/>
        <w:autoSpaceDN w:val="0"/>
        <w:adjustRightInd w:val="0"/>
        <w:snapToGrid w:val="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7216" behindDoc="1" locked="0" layoutInCell="1" allowOverlap="1" wp14:anchorId="074C826E" wp14:editId="1D347C65">
            <wp:simplePos x="0" y="0"/>
            <wp:positionH relativeFrom="column">
              <wp:posOffset>-52705</wp:posOffset>
            </wp:positionH>
            <wp:positionV relativeFrom="paragraph">
              <wp:posOffset>163830</wp:posOffset>
            </wp:positionV>
            <wp:extent cx="5519420" cy="2570480"/>
            <wp:effectExtent l="0" t="0" r="5080" b="1270"/>
            <wp:wrapNone/>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titl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19420" cy="2570480"/>
                    </a:xfrm>
                    <a:prstGeom prst="rect">
                      <a:avLst/>
                    </a:prstGeom>
                    <a:noFill/>
                    <a:ln>
                      <a:noFill/>
                    </a:ln>
                  </pic:spPr>
                </pic:pic>
              </a:graphicData>
            </a:graphic>
          </wp:anchor>
        </w:drawing>
      </w:r>
      <w:r>
        <w:rPr>
          <w:rFonts w:ascii="Times New Roman" w:hAnsi="Times New Roman" w:cs="Times New Roman"/>
          <w:b/>
          <w:bCs/>
          <w:sz w:val="20"/>
          <w:szCs w:val="20"/>
        </w:rPr>
        <w:t>Figure 1. Venn diagram showing number of positive results in each combination of blood culture, ELISA and PCR</w:t>
      </w:r>
    </w:p>
    <w:p w14:paraId="6772A520" w14:textId="77777777" w:rsidR="00D95EDA" w:rsidRDefault="00D95EDA">
      <w:pPr>
        <w:autoSpaceDE w:val="0"/>
        <w:autoSpaceDN w:val="0"/>
        <w:adjustRightInd w:val="0"/>
        <w:snapToGrid w:val="0"/>
        <w:rPr>
          <w:rFonts w:ascii="Times New Roman" w:hAnsi="Times New Roman" w:cs="Times New Roman"/>
          <w:sz w:val="20"/>
          <w:szCs w:val="20"/>
        </w:rPr>
      </w:pPr>
    </w:p>
    <w:p w14:paraId="3435B8B5" w14:textId="77777777" w:rsidR="00D95EDA" w:rsidRDefault="00D95EDA">
      <w:pPr>
        <w:snapToGrid w:val="0"/>
        <w:rPr>
          <w:rFonts w:ascii="Times New Roman" w:hAnsi="Times New Roman" w:cs="Times New Roman"/>
          <w:b/>
          <w:bCs/>
          <w:sz w:val="20"/>
          <w:szCs w:val="20"/>
        </w:rPr>
      </w:pPr>
    </w:p>
    <w:p w14:paraId="0BFBC9CE" w14:textId="77777777" w:rsidR="00D95EDA" w:rsidRDefault="00D95EDA">
      <w:pPr>
        <w:snapToGrid w:val="0"/>
        <w:rPr>
          <w:rFonts w:ascii="Times New Roman" w:hAnsi="Times New Roman" w:cs="Times New Roman"/>
          <w:b/>
          <w:bCs/>
          <w:sz w:val="20"/>
          <w:szCs w:val="20"/>
        </w:rPr>
      </w:pPr>
    </w:p>
    <w:p w14:paraId="55799357" w14:textId="77777777" w:rsidR="00D95EDA" w:rsidRDefault="00D95EDA">
      <w:pPr>
        <w:snapToGrid w:val="0"/>
        <w:rPr>
          <w:rFonts w:ascii="Times New Roman" w:hAnsi="Times New Roman" w:cs="Times New Roman"/>
          <w:b/>
          <w:bCs/>
          <w:sz w:val="20"/>
          <w:szCs w:val="20"/>
        </w:rPr>
      </w:pPr>
    </w:p>
    <w:p w14:paraId="34165097" w14:textId="77777777" w:rsidR="00D95EDA" w:rsidRDefault="00D95EDA">
      <w:pPr>
        <w:snapToGrid w:val="0"/>
        <w:rPr>
          <w:rFonts w:ascii="Times New Roman" w:hAnsi="Times New Roman" w:cs="Times New Roman"/>
          <w:b/>
          <w:bCs/>
          <w:sz w:val="20"/>
          <w:szCs w:val="20"/>
        </w:rPr>
      </w:pPr>
    </w:p>
    <w:p w14:paraId="571E7E7B" w14:textId="77777777" w:rsidR="00D95EDA" w:rsidRDefault="00D95EDA">
      <w:pPr>
        <w:snapToGrid w:val="0"/>
        <w:rPr>
          <w:rFonts w:ascii="Times New Roman" w:hAnsi="Times New Roman" w:cs="Times New Roman"/>
          <w:b/>
          <w:bCs/>
          <w:sz w:val="20"/>
          <w:szCs w:val="20"/>
        </w:rPr>
      </w:pPr>
    </w:p>
    <w:p w14:paraId="47E7156A" w14:textId="77777777" w:rsidR="00D95EDA" w:rsidRDefault="00D95EDA">
      <w:pPr>
        <w:snapToGrid w:val="0"/>
        <w:rPr>
          <w:rFonts w:ascii="Times New Roman" w:hAnsi="Times New Roman" w:cs="Times New Roman"/>
          <w:b/>
          <w:bCs/>
          <w:sz w:val="20"/>
          <w:szCs w:val="20"/>
        </w:rPr>
      </w:pPr>
    </w:p>
    <w:p w14:paraId="072D7075" w14:textId="77777777" w:rsidR="00D95EDA" w:rsidRDefault="00D95EDA">
      <w:pPr>
        <w:snapToGrid w:val="0"/>
        <w:rPr>
          <w:rFonts w:ascii="Times New Roman" w:hAnsi="Times New Roman" w:cs="Times New Roman"/>
          <w:b/>
          <w:bCs/>
          <w:sz w:val="20"/>
          <w:szCs w:val="20"/>
        </w:rPr>
      </w:pPr>
    </w:p>
    <w:p w14:paraId="753FF006" w14:textId="77777777" w:rsidR="00D95EDA" w:rsidRDefault="00D95EDA">
      <w:pPr>
        <w:snapToGrid w:val="0"/>
        <w:rPr>
          <w:rFonts w:ascii="Times New Roman" w:hAnsi="Times New Roman" w:cs="Times New Roman"/>
          <w:b/>
          <w:bCs/>
          <w:sz w:val="20"/>
          <w:szCs w:val="20"/>
        </w:rPr>
      </w:pPr>
    </w:p>
    <w:p w14:paraId="30E806E0" w14:textId="77777777" w:rsidR="00D95EDA" w:rsidRDefault="00D95EDA">
      <w:pPr>
        <w:snapToGrid w:val="0"/>
        <w:rPr>
          <w:rFonts w:ascii="Times New Roman" w:hAnsi="Times New Roman" w:cs="Times New Roman"/>
          <w:b/>
          <w:bCs/>
          <w:sz w:val="20"/>
          <w:szCs w:val="20"/>
        </w:rPr>
      </w:pPr>
    </w:p>
    <w:p w14:paraId="505C7A0B" w14:textId="77777777" w:rsidR="00D95EDA" w:rsidRDefault="00D95EDA">
      <w:pPr>
        <w:snapToGrid w:val="0"/>
        <w:rPr>
          <w:rFonts w:ascii="Times New Roman" w:hAnsi="Times New Roman" w:cs="Times New Roman"/>
          <w:b/>
          <w:bCs/>
          <w:sz w:val="20"/>
          <w:szCs w:val="20"/>
        </w:rPr>
      </w:pPr>
    </w:p>
    <w:p w14:paraId="06C2DA75" w14:textId="77777777" w:rsidR="00D95EDA" w:rsidRDefault="00D95EDA">
      <w:pPr>
        <w:snapToGrid w:val="0"/>
        <w:rPr>
          <w:rFonts w:ascii="Times New Roman" w:hAnsi="Times New Roman" w:cs="Times New Roman"/>
          <w:b/>
          <w:bCs/>
          <w:sz w:val="20"/>
          <w:szCs w:val="20"/>
        </w:rPr>
      </w:pPr>
    </w:p>
    <w:p w14:paraId="7C43618A" w14:textId="77777777" w:rsidR="00D95EDA" w:rsidRDefault="00D95EDA">
      <w:pPr>
        <w:snapToGrid w:val="0"/>
        <w:rPr>
          <w:rFonts w:ascii="Times New Roman" w:hAnsi="Times New Roman" w:cs="Times New Roman"/>
          <w:b/>
          <w:bCs/>
          <w:sz w:val="20"/>
          <w:szCs w:val="20"/>
        </w:rPr>
      </w:pPr>
    </w:p>
    <w:p w14:paraId="4001DD53" w14:textId="77777777" w:rsidR="00D95EDA" w:rsidRDefault="00D95EDA">
      <w:pPr>
        <w:snapToGrid w:val="0"/>
        <w:rPr>
          <w:rFonts w:ascii="Times New Roman" w:hAnsi="Times New Roman" w:cs="Times New Roman"/>
          <w:b/>
          <w:bCs/>
          <w:sz w:val="20"/>
          <w:szCs w:val="20"/>
        </w:rPr>
      </w:pPr>
    </w:p>
    <w:p w14:paraId="22948C1A" w14:textId="77777777" w:rsidR="00D95EDA" w:rsidRDefault="00D95EDA">
      <w:pPr>
        <w:snapToGrid w:val="0"/>
        <w:rPr>
          <w:rFonts w:ascii="Times New Roman" w:hAnsi="Times New Roman" w:cs="Times New Roman"/>
          <w:b/>
          <w:bCs/>
          <w:sz w:val="20"/>
          <w:szCs w:val="20"/>
        </w:rPr>
      </w:pPr>
    </w:p>
    <w:p w14:paraId="37CF77D8" w14:textId="77777777" w:rsidR="00D95EDA" w:rsidRDefault="00D95EDA">
      <w:pPr>
        <w:snapToGrid w:val="0"/>
        <w:rPr>
          <w:rFonts w:ascii="Times New Roman" w:hAnsi="Times New Roman" w:cs="Times New Roman"/>
          <w:b/>
          <w:bCs/>
          <w:sz w:val="20"/>
          <w:szCs w:val="20"/>
        </w:rPr>
      </w:pPr>
    </w:p>
    <w:p w14:paraId="2D356E5D" w14:textId="77777777" w:rsidR="00D95EDA" w:rsidRDefault="001E5FDB">
      <w:pPr>
        <w:snapToGrid w:val="0"/>
        <w:rPr>
          <w:rFonts w:ascii="Times New Roman" w:hAnsi="Times New Roman" w:cs="Times New Roman"/>
          <w:b/>
          <w:bCs/>
          <w:sz w:val="20"/>
          <w:szCs w:val="20"/>
        </w:rPr>
      </w:pPr>
      <w:r>
        <w:rPr>
          <w:rFonts w:ascii="Times New Roman" w:hAnsi="Times New Roman" w:cs="Times New Roman"/>
          <w:sz w:val="20"/>
          <w:szCs w:val="20"/>
        </w:rPr>
        <w:object w:dxaOrig="1440" w:dyaOrig="1440" w14:anchorId="0194F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5pt;margin-top:7.05pt;width:411.45pt;height:216.95pt;z-index:-251658240;mso-width-relative:page;mso-height-relative:page">
            <v:imagedata r:id="rId15" o:title=""/>
          </v:shape>
          <o:OLEObject Type="Embed" ProgID="Prism5.Document" ShapeID="_x0000_s1026" DrawAspect="Content" ObjectID="_1733000361" r:id="rId16"/>
        </w:object>
      </w:r>
    </w:p>
    <w:p w14:paraId="75D7B7E7" w14:textId="77777777" w:rsidR="00D95EDA" w:rsidRDefault="00D95EDA">
      <w:pPr>
        <w:snapToGrid w:val="0"/>
        <w:rPr>
          <w:rFonts w:ascii="Times New Roman" w:hAnsi="Times New Roman" w:cs="Times New Roman"/>
          <w:b/>
          <w:bCs/>
          <w:sz w:val="20"/>
          <w:szCs w:val="20"/>
        </w:rPr>
      </w:pPr>
    </w:p>
    <w:p w14:paraId="6FB71C1D" w14:textId="77777777" w:rsidR="00D95EDA" w:rsidRDefault="00D95EDA">
      <w:pPr>
        <w:snapToGrid w:val="0"/>
        <w:rPr>
          <w:rFonts w:ascii="Times New Roman" w:hAnsi="Times New Roman" w:cs="Times New Roman"/>
          <w:b/>
          <w:bCs/>
          <w:sz w:val="20"/>
          <w:szCs w:val="20"/>
        </w:rPr>
      </w:pPr>
    </w:p>
    <w:p w14:paraId="5EBE86D5" w14:textId="77777777" w:rsidR="00D95EDA" w:rsidRDefault="00D95EDA">
      <w:pPr>
        <w:snapToGrid w:val="0"/>
        <w:rPr>
          <w:rFonts w:ascii="Times New Roman" w:hAnsi="Times New Roman" w:cs="Times New Roman"/>
          <w:b/>
          <w:bCs/>
          <w:sz w:val="20"/>
          <w:szCs w:val="20"/>
        </w:rPr>
      </w:pPr>
    </w:p>
    <w:p w14:paraId="4E4794C9" w14:textId="77777777" w:rsidR="00D95EDA" w:rsidRDefault="00D95EDA">
      <w:pPr>
        <w:snapToGrid w:val="0"/>
        <w:rPr>
          <w:rFonts w:ascii="Times New Roman" w:hAnsi="Times New Roman" w:cs="Times New Roman"/>
          <w:b/>
          <w:bCs/>
          <w:sz w:val="20"/>
          <w:szCs w:val="20"/>
        </w:rPr>
      </w:pPr>
    </w:p>
    <w:p w14:paraId="2B23C314" w14:textId="77777777" w:rsidR="00D95EDA" w:rsidRDefault="00D95EDA">
      <w:pPr>
        <w:snapToGrid w:val="0"/>
        <w:rPr>
          <w:rFonts w:ascii="Times New Roman" w:hAnsi="Times New Roman" w:cs="Times New Roman"/>
          <w:b/>
          <w:bCs/>
          <w:sz w:val="20"/>
          <w:szCs w:val="20"/>
        </w:rPr>
      </w:pPr>
    </w:p>
    <w:p w14:paraId="15FFAADD" w14:textId="77777777" w:rsidR="00D95EDA" w:rsidRDefault="00D95EDA">
      <w:pPr>
        <w:snapToGrid w:val="0"/>
        <w:rPr>
          <w:rFonts w:ascii="Times New Roman" w:hAnsi="Times New Roman" w:cs="Times New Roman"/>
          <w:b/>
          <w:bCs/>
          <w:sz w:val="20"/>
          <w:szCs w:val="20"/>
        </w:rPr>
      </w:pPr>
    </w:p>
    <w:p w14:paraId="0C4A9689" w14:textId="77777777" w:rsidR="00D95EDA" w:rsidRDefault="00D95EDA">
      <w:pPr>
        <w:snapToGrid w:val="0"/>
        <w:rPr>
          <w:rFonts w:ascii="Times New Roman" w:hAnsi="Times New Roman" w:cs="Times New Roman"/>
          <w:b/>
          <w:bCs/>
          <w:sz w:val="20"/>
          <w:szCs w:val="20"/>
        </w:rPr>
      </w:pPr>
    </w:p>
    <w:p w14:paraId="247DCCBB" w14:textId="77777777" w:rsidR="00D95EDA" w:rsidRDefault="00D95EDA">
      <w:pPr>
        <w:snapToGrid w:val="0"/>
        <w:rPr>
          <w:rFonts w:ascii="Times New Roman" w:hAnsi="Times New Roman" w:cs="Times New Roman"/>
          <w:b/>
          <w:bCs/>
          <w:sz w:val="20"/>
          <w:szCs w:val="20"/>
        </w:rPr>
      </w:pPr>
    </w:p>
    <w:p w14:paraId="0923D5F0" w14:textId="77777777" w:rsidR="00D95EDA" w:rsidRDefault="00D95EDA">
      <w:pPr>
        <w:snapToGrid w:val="0"/>
        <w:rPr>
          <w:rFonts w:ascii="Times New Roman" w:hAnsi="Times New Roman" w:cs="Times New Roman"/>
          <w:b/>
          <w:bCs/>
          <w:sz w:val="20"/>
          <w:szCs w:val="20"/>
        </w:rPr>
      </w:pPr>
    </w:p>
    <w:p w14:paraId="3ED30DE9" w14:textId="77777777" w:rsidR="00D95EDA" w:rsidRDefault="00D95EDA">
      <w:pPr>
        <w:snapToGrid w:val="0"/>
        <w:rPr>
          <w:rFonts w:ascii="Times New Roman" w:hAnsi="Times New Roman" w:cs="Times New Roman"/>
          <w:b/>
          <w:bCs/>
          <w:sz w:val="20"/>
          <w:szCs w:val="20"/>
        </w:rPr>
      </w:pPr>
    </w:p>
    <w:p w14:paraId="41C9868D" w14:textId="77777777" w:rsidR="00D95EDA" w:rsidRDefault="00D95EDA">
      <w:pPr>
        <w:snapToGrid w:val="0"/>
        <w:rPr>
          <w:rFonts w:ascii="Times New Roman" w:hAnsi="Times New Roman" w:cs="Times New Roman"/>
          <w:b/>
          <w:bCs/>
          <w:sz w:val="20"/>
          <w:szCs w:val="20"/>
        </w:rPr>
      </w:pPr>
    </w:p>
    <w:p w14:paraId="6B3BA011" w14:textId="77777777" w:rsidR="00D95EDA" w:rsidRDefault="00D95EDA">
      <w:pPr>
        <w:snapToGrid w:val="0"/>
        <w:rPr>
          <w:rFonts w:ascii="Times New Roman" w:hAnsi="Times New Roman" w:cs="Times New Roman"/>
          <w:b/>
          <w:bCs/>
          <w:sz w:val="20"/>
          <w:szCs w:val="20"/>
        </w:rPr>
      </w:pPr>
    </w:p>
    <w:p w14:paraId="6978AC00" w14:textId="77777777" w:rsidR="00D95EDA" w:rsidRDefault="00D95EDA">
      <w:pPr>
        <w:snapToGrid w:val="0"/>
        <w:rPr>
          <w:rFonts w:ascii="Times New Roman" w:hAnsi="Times New Roman" w:cs="Times New Roman"/>
          <w:b/>
          <w:bCs/>
          <w:sz w:val="20"/>
          <w:szCs w:val="20"/>
        </w:rPr>
      </w:pPr>
    </w:p>
    <w:p w14:paraId="556B77B5" w14:textId="77777777" w:rsidR="00D95EDA" w:rsidRDefault="00D95EDA">
      <w:pPr>
        <w:snapToGrid w:val="0"/>
        <w:rPr>
          <w:rFonts w:ascii="Times New Roman" w:hAnsi="Times New Roman" w:cs="Times New Roman"/>
          <w:b/>
          <w:bCs/>
          <w:sz w:val="20"/>
          <w:szCs w:val="20"/>
        </w:rPr>
      </w:pPr>
    </w:p>
    <w:p w14:paraId="16DC3053" w14:textId="77777777" w:rsidR="00D95EDA" w:rsidRDefault="00D95EDA">
      <w:pPr>
        <w:snapToGrid w:val="0"/>
        <w:rPr>
          <w:rFonts w:ascii="Times New Roman" w:hAnsi="Times New Roman" w:cs="Times New Roman"/>
          <w:b/>
          <w:bCs/>
          <w:sz w:val="20"/>
          <w:szCs w:val="20"/>
        </w:rPr>
      </w:pPr>
    </w:p>
    <w:p w14:paraId="1836A444" w14:textId="77777777" w:rsidR="00D95EDA" w:rsidRDefault="00D95EDA">
      <w:pPr>
        <w:snapToGrid w:val="0"/>
        <w:rPr>
          <w:rFonts w:ascii="Times New Roman" w:hAnsi="Times New Roman" w:cs="Times New Roman"/>
          <w:b/>
          <w:bCs/>
          <w:sz w:val="20"/>
          <w:szCs w:val="20"/>
        </w:rPr>
      </w:pPr>
    </w:p>
    <w:p w14:paraId="03487C74" w14:textId="77777777" w:rsidR="00D95EDA" w:rsidRDefault="00D95EDA">
      <w:pPr>
        <w:snapToGrid w:val="0"/>
        <w:rPr>
          <w:rFonts w:ascii="Times New Roman" w:hAnsi="Times New Roman" w:cs="Times New Roman"/>
          <w:b/>
          <w:bCs/>
          <w:sz w:val="20"/>
          <w:szCs w:val="20"/>
        </w:rPr>
      </w:pPr>
    </w:p>
    <w:p w14:paraId="0EDB2704" w14:textId="77777777" w:rsidR="00D95EDA" w:rsidRDefault="00D95EDA">
      <w:pPr>
        <w:snapToGrid w:val="0"/>
        <w:rPr>
          <w:rFonts w:ascii="Times New Roman" w:hAnsi="Times New Roman" w:cs="Times New Roman"/>
          <w:b/>
          <w:bCs/>
          <w:sz w:val="20"/>
          <w:szCs w:val="20"/>
        </w:rPr>
      </w:pPr>
    </w:p>
    <w:p w14:paraId="087472C4" w14:textId="77777777" w:rsidR="00D95EDA" w:rsidRDefault="00D95EDA">
      <w:pPr>
        <w:snapToGrid w:val="0"/>
        <w:rPr>
          <w:rFonts w:ascii="Times New Roman" w:hAnsi="Times New Roman" w:cs="Times New Roman"/>
          <w:b/>
          <w:bCs/>
          <w:sz w:val="20"/>
          <w:szCs w:val="20"/>
        </w:rPr>
      </w:pPr>
    </w:p>
    <w:p w14:paraId="08D39E22" w14:textId="77777777" w:rsidR="00B20531" w:rsidRDefault="00B20531">
      <w:pPr>
        <w:snapToGrid w:val="0"/>
        <w:rPr>
          <w:rFonts w:ascii="Times New Roman" w:hAnsi="Times New Roman" w:cs="Times New Roman"/>
          <w:b/>
          <w:bCs/>
          <w:sz w:val="20"/>
          <w:szCs w:val="20"/>
        </w:rPr>
      </w:pPr>
    </w:p>
    <w:p w14:paraId="7663770E" w14:textId="45D49E8F" w:rsidR="00D95EDA" w:rsidRDefault="001E5FDB">
      <w:pPr>
        <w:snapToGrid w:val="0"/>
        <w:rPr>
          <w:rFonts w:ascii="Times New Roman" w:hAnsi="Times New Roman" w:cs="Times New Roman"/>
          <w:b/>
          <w:bCs/>
          <w:sz w:val="20"/>
          <w:szCs w:val="20"/>
        </w:rPr>
      </w:pPr>
      <w:r>
        <w:rPr>
          <w:rFonts w:ascii="Times New Roman" w:hAnsi="Times New Roman" w:cs="Times New Roman"/>
          <w:b/>
          <w:bCs/>
          <w:sz w:val="20"/>
          <w:szCs w:val="20"/>
        </w:rPr>
        <w:lastRenderedPageBreak/>
        <w:t>Figure 2. Blood culture versus ELISA and PCR in diagnosis of IFI.</w:t>
      </w:r>
    </w:p>
    <w:p w14:paraId="60DB5A95" w14:textId="77777777" w:rsidR="00D95EDA" w:rsidRDefault="001E5FDB">
      <w:pPr>
        <w:snapToGrid w:val="0"/>
        <w:rPr>
          <w:rStyle w:val="fontstyle01"/>
          <w:rFonts w:ascii="Times New Roman" w:hAnsi="Times New Roman" w:cs="Times New Roman"/>
          <w:b/>
          <w:bCs/>
          <w:sz w:val="20"/>
          <w:szCs w:val="20"/>
        </w:rPr>
      </w:pPr>
      <w:r>
        <w:rPr>
          <w:rFonts w:ascii="Times New Roman" w:hAnsi="Times New Roman" w:cs="Times New Roman"/>
          <w:b/>
          <w:bCs/>
          <w:sz w:val="20"/>
          <w:szCs w:val="20"/>
        </w:rPr>
        <w:t>Figure 3. PCR using pan-fungal primer</w:t>
      </w:r>
    </w:p>
    <w:p w14:paraId="5A2EE1C4" w14:textId="77777777" w:rsidR="00D95EDA" w:rsidRDefault="001E5FDB">
      <w:pPr>
        <w:snapToGrid w:val="0"/>
        <w:rPr>
          <w:rStyle w:val="fontstyle01"/>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BF9AC26" wp14:editId="444E0E17">
            <wp:extent cx="5330825" cy="293243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r="11092"/>
                    <a:stretch>
                      <a:fillRect/>
                    </a:stretch>
                  </pic:blipFill>
                  <pic:spPr>
                    <a:xfrm>
                      <a:off x="0" y="0"/>
                      <a:ext cx="5331277" cy="2933065"/>
                    </a:xfrm>
                    <a:prstGeom prst="rect">
                      <a:avLst/>
                    </a:prstGeom>
                    <a:noFill/>
                    <a:ln>
                      <a:noFill/>
                    </a:ln>
                  </pic:spPr>
                </pic:pic>
              </a:graphicData>
            </a:graphic>
          </wp:inline>
        </w:drawing>
      </w:r>
    </w:p>
    <w:p w14:paraId="5397FBA9" w14:textId="77777777" w:rsidR="00D95EDA" w:rsidRDefault="001E5FDB">
      <w:pPr>
        <w:snapToGrid w:val="0"/>
        <w:ind w:firstLine="284"/>
        <w:rPr>
          <w:rFonts w:ascii="Times New Roman" w:hAnsi="Times New Roman" w:cs="Times New Roman"/>
          <w:sz w:val="20"/>
          <w:szCs w:val="20"/>
        </w:rPr>
      </w:pPr>
      <w:r>
        <w:rPr>
          <w:rStyle w:val="fontstyle01"/>
          <w:rFonts w:ascii="Times New Roman" w:hAnsi="Times New Roman" w:cs="Times New Roman"/>
          <w:b/>
          <w:bCs/>
          <w:sz w:val="20"/>
          <w:szCs w:val="20"/>
        </w:rPr>
        <w:t>Lane</w:t>
      </w:r>
      <w:r>
        <w:rPr>
          <w:rStyle w:val="fontstyle01"/>
          <w:rFonts w:ascii="Times New Roman" w:hAnsi="Times New Roman" w:cs="Times New Roman"/>
          <w:sz w:val="20"/>
          <w:szCs w:val="20"/>
        </w:rPr>
        <w:t xml:space="preserve"> 1: Molecular size marker (50-1500bp)                                                         </w:t>
      </w:r>
      <w:r>
        <w:rPr>
          <w:rStyle w:val="fontstyle01"/>
          <w:rFonts w:ascii="Times New Roman" w:hAnsi="Times New Roman" w:cs="Times New Roman"/>
          <w:b/>
          <w:bCs/>
          <w:sz w:val="20"/>
          <w:szCs w:val="20"/>
        </w:rPr>
        <w:t>Lane</w:t>
      </w:r>
      <w:r>
        <w:rPr>
          <w:rStyle w:val="fontstyle01"/>
          <w:rFonts w:ascii="Times New Roman" w:hAnsi="Times New Roman" w:cs="Times New Roman"/>
          <w:sz w:val="20"/>
          <w:szCs w:val="20"/>
        </w:rPr>
        <w:t xml:space="preserve"> 2: Positive control</w:t>
      </w:r>
    </w:p>
    <w:p w14:paraId="089E6BF9" w14:textId="77777777" w:rsidR="00D95EDA" w:rsidRDefault="001E5FDB">
      <w:pPr>
        <w:snapToGrid w:val="0"/>
        <w:ind w:firstLine="284"/>
        <w:rPr>
          <w:rStyle w:val="fontstyle01"/>
          <w:rFonts w:ascii="Times New Roman" w:hAnsi="Times New Roman" w:cs="Times New Roman"/>
          <w:sz w:val="20"/>
          <w:szCs w:val="20"/>
        </w:rPr>
      </w:pPr>
      <w:r>
        <w:rPr>
          <w:rStyle w:val="fontstyle01"/>
          <w:rFonts w:ascii="Times New Roman" w:hAnsi="Times New Roman" w:cs="Times New Roman"/>
          <w:b/>
          <w:bCs/>
          <w:sz w:val="20"/>
          <w:szCs w:val="20"/>
        </w:rPr>
        <w:t>Lane</w:t>
      </w:r>
      <w:r>
        <w:rPr>
          <w:rStyle w:val="fontstyle01"/>
          <w:rFonts w:ascii="Times New Roman" w:hAnsi="Times New Roman" w:cs="Times New Roman"/>
          <w:sz w:val="20"/>
          <w:szCs w:val="20"/>
        </w:rPr>
        <w:t xml:space="preserve"> 3: Negative case                                                                                   </w:t>
      </w:r>
      <w:r>
        <w:rPr>
          <w:rStyle w:val="fontstyle01"/>
          <w:rFonts w:ascii="Times New Roman" w:hAnsi="Times New Roman" w:cs="Times New Roman"/>
          <w:b/>
          <w:bCs/>
          <w:sz w:val="20"/>
          <w:szCs w:val="20"/>
        </w:rPr>
        <w:t>Lane</w:t>
      </w:r>
      <w:r>
        <w:rPr>
          <w:rStyle w:val="fontstyle01"/>
          <w:rFonts w:ascii="Times New Roman" w:hAnsi="Times New Roman" w:cs="Times New Roman"/>
          <w:sz w:val="20"/>
          <w:szCs w:val="20"/>
        </w:rPr>
        <w:t xml:space="preserve"> 4: Positive case</w:t>
      </w:r>
    </w:p>
    <w:p w14:paraId="40A0E050" w14:textId="77777777" w:rsidR="00D95EDA" w:rsidRDefault="001E5FDB">
      <w:pPr>
        <w:snapToGrid w:val="0"/>
        <w:ind w:firstLine="284"/>
        <w:rPr>
          <w:rFonts w:ascii="Times New Roman" w:hAnsi="Times New Roman" w:cs="Times New Roman"/>
          <w:sz w:val="20"/>
          <w:szCs w:val="20"/>
        </w:rPr>
      </w:pPr>
      <w:r>
        <w:rPr>
          <w:rStyle w:val="fontstyle01"/>
          <w:rFonts w:ascii="Times New Roman" w:hAnsi="Times New Roman" w:cs="Times New Roman"/>
          <w:b/>
          <w:bCs/>
          <w:sz w:val="20"/>
          <w:szCs w:val="20"/>
        </w:rPr>
        <w:t>Lane</w:t>
      </w:r>
      <w:r>
        <w:rPr>
          <w:rStyle w:val="fontstyle01"/>
          <w:rFonts w:ascii="Times New Roman" w:hAnsi="Times New Roman" w:cs="Times New Roman"/>
          <w:sz w:val="20"/>
          <w:szCs w:val="20"/>
        </w:rPr>
        <w:t xml:space="preserve"> 5: Positive case                                                                                     </w:t>
      </w:r>
      <w:r>
        <w:rPr>
          <w:rStyle w:val="fontstyle01"/>
          <w:rFonts w:ascii="Times New Roman" w:hAnsi="Times New Roman" w:cs="Times New Roman"/>
          <w:b/>
          <w:bCs/>
          <w:sz w:val="20"/>
          <w:szCs w:val="20"/>
        </w:rPr>
        <w:t>Lane</w:t>
      </w:r>
      <w:r>
        <w:rPr>
          <w:rStyle w:val="fontstyle01"/>
          <w:rFonts w:ascii="Times New Roman" w:hAnsi="Times New Roman" w:cs="Times New Roman"/>
          <w:sz w:val="20"/>
          <w:szCs w:val="20"/>
        </w:rPr>
        <w:t xml:space="preserve"> 6: Positive case</w:t>
      </w:r>
    </w:p>
    <w:p w14:paraId="76CA2105" w14:textId="77777777" w:rsidR="00D95EDA" w:rsidRDefault="001E5FDB">
      <w:pPr>
        <w:snapToGrid w:val="0"/>
        <w:ind w:firstLine="284"/>
        <w:rPr>
          <w:rFonts w:ascii="Times New Roman" w:hAnsi="Times New Roman" w:cs="Times New Roman"/>
          <w:sz w:val="20"/>
          <w:szCs w:val="20"/>
        </w:rPr>
      </w:pPr>
      <w:r>
        <w:rPr>
          <w:rStyle w:val="fontstyle01"/>
          <w:rFonts w:ascii="Times New Roman" w:hAnsi="Times New Roman" w:cs="Times New Roman"/>
          <w:b/>
          <w:bCs/>
          <w:sz w:val="20"/>
          <w:szCs w:val="20"/>
        </w:rPr>
        <w:t>Lane</w:t>
      </w:r>
      <w:r>
        <w:rPr>
          <w:rStyle w:val="fontstyle01"/>
          <w:rFonts w:ascii="Times New Roman" w:hAnsi="Times New Roman" w:cs="Times New Roman"/>
          <w:sz w:val="20"/>
          <w:szCs w:val="20"/>
        </w:rPr>
        <w:t xml:space="preserve"> 7</w:t>
      </w:r>
      <w:r>
        <w:rPr>
          <w:rStyle w:val="fontstyle01"/>
          <w:rFonts w:ascii="Times New Roman" w:hAnsi="Times New Roman" w:cs="Times New Roman"/>
          <w:sz w:val="20"/>
          <w:szCs w:val="20"/>
        </w:rPr>
        <w:t xml:space="preserve">: Positive case                                                                                     </w:t>
      </w:r>
      <w:r>
        <w:rPr>
          <w:rStyle w:val="fontstyle01"/>
          <w:rFonts w:ascii="Times New Roman" w:hAnsi="Times New Roman" w:cs="Times New Roman"/>
          <w:b/>
          <w:bCs/>
          <w:sz w:val="20"/>
          <w:szCs w:val="20"/>
        </w:rPr>
        <w:t>Lane</w:t>
      </w:r>
      <w:r>
        <w:rPr>
          <w:rStyle w:val="fontstyle01"/>
          <w:rFonts w:ascii="Times New Roman" w:hAnsi="Times New Roman" w:cs="Times New Roman"/>
          <w:sz w:val="20"/>
          <w:szCs w:val="20"/>
        </w:rPr>
        <w:t xml:space="preserve"> 8: Positive case</w:t>
      </w:r>
      <w:r>
        <w:rPr>
          <w:rFonts w:ascii="Times New Roman" w:hAnsi="Times New Roman" w:cs="Times New Roman"/>
          <w:sz w:val="20"/>
          <w:szCs w:val="20"/>
        </w:rPr>
        <w:t xml:space="preserve"> </w:t>
      </w:r>
    </w:p>
    <w:p w14:paraId="4361B35A" w14:textId="77777777" w:rsidR="00D95EDA" w:rsidRDefault="00D95EDA">
      <w:pPr>
        <w:snapToGrid w:val="0"/>
        <w:ind w:firstLine="284"/>
        <w:rPr>
          <w:rFonts w:ascii="Times New Roman" w:hAnsi="Times New Roman" w:cs="Times New Roman"/>
          <w:sz w:val="20"/>
          <w:szCs w:val="20"/>
        </w:rPr>
      </w:pPr>
    </w:p>
    <w:p w14:paraId="162A6B53" w14:textId="77777777" w:rsidR="00D95EDA" w:rsidRDefault="001E5FDB">
      <w:pPr>
        <w:snapToGrid w:val="0"/>
        <w:rPr>
          <w:rFonts w:ascii="Times New Roman" w:hAnsi="Times New Roman" w:cs="Times New Roman"/>
          <w:b/>
          <w:bCs/>
          <w:sz w:val="20"/>
          <w:szCs w:val="20"/>
        </w:rPr>
      </w:pPr>
      <w:r>
        <w:rPr>
          <w:rFonts w:ascii="Times New Roman" w:hAnsi="Times New Roman" w:cs="Times New Roman"/>
          <w:b/>
          <w:bCs/>
          <w:sz w:val="20"/>
          <w:szCs w:val="20"/>
        </w:rPr>
        <w:t xml:space="preserve">Table 2. </w:t>
      </w:r>
      <w:bookmarkStart w:id="1" w:name="OLE_LINK26"/>
      <w:r>
        <w:rPr>
          <w:rFonts w:ascii="Times New Roman" w:hAnsi="Times New Roman" w:cs="Times New Roman"/>
          <w:b/>
          <w:bCs/>
          <w:sz w:val="20"/>
          <w:szCs w:val="20"/>
        </w:rPr>
        <w:t xml:space="preserve">Blood culture versus ELISA and PCR in diagnosis of invasive fungal infections </w:t>
      </w:r>
      <w:bookmarkEnd w:id="1"/>
    </w:p>
    <w:tbl>
      <w:tblPr>
        <w:tblStyle w:val="LightShading-Accent2"/>
        <w:tblW w:w="9378" w:type="dxa"/>
        <w:tblLook w:val="04A0" w:firstRow="1" w:lastRow="0" w:firstColumn="1" w:lastColumn="0" w:noHBand="0" w:noVBand="1"/>
      </w:tblPr>
      <w:tblGrid>
        <w:gridCol w:w="3182"/>
        <w:gridCol w:w="2080"/>
        <w:gridCol w:w="1941"/>
        <w:gridCol w:w="2175"/>
      </w:tblGrid>
      <w:tr w:rsidR="00D95EDA" w14:paraId="5329A983" w14:textId="77777777" w:rsidTr="00D95ED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182" w:type="dxa"/>
          </w:tcPr>
          <w:p w14:paraId="74640AA4" w14:textId="77777777" w:rsidR="00D95EDA" w:rsidRDefault="00D95EDA">
            <w:pPr>
              <w:snapToGrid w:val="0"/>
              <w:rPr>
                <w:rFonts w:ascii="Times New Roman" w:hAnsi="Times New Roman" w:cs="Times New Roman"/>
                <w:b w:val="0"/>
                <w:bCs w:val="0"/>
                <w:sz w:val="20"/>
                <w:szCs w:val="20"/>
              </w:rPr>
            </w:pPr>
          </w:p>
        </w:tc>
        <w:tc>
          <w:tcPr>
            <w:tcW w:w="2080" w:type="dxa"/>
          </w:tcPr>
          <w:p w14:paraId="3CF93E53" w14:textId="77777777" w:rsidR="00D95EDA" w:rsidRDefault="001E5F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Blood Culture</w:t>
            </w:r>
          </w:p>
        </w:tc>
        <w:tc>
          <w:tcPr>
            <w:tcW w:w="1941" w:type="dxa"/>
          </w:tcPr>
          <w:p w14:paraId="40D8BCA9" w14:textId="77777777" w:rsidR="00D95EDA" w:rsidRDefault="001E5F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ELISA</w:t>
            </w:r>
          </w:p>
        </w:tc>
        <w:tc>
          <w:tcPr>
            <w:tcW w:w="2175" w:type="dxa"/>
          </w:tcPr>
          <w:p w14:paraId="55CA764F" w14:textId="77777777" w:rsidR="00D95EDA" w:rsidRDefault="001E5F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PCR</w:t>
            </w:r>
          </w:p>
        </w:tc>
      </w:tr>
      <w:tr w:rsidR="00D95EDA" w14:paraId="1D444041" w14:textId="77777777" w:rsidTr="001A048E">
        <w:trPr>
          <w:trHeight w:val="403"/>
        </w:trPr>
        <w:tc>
          <w:tcPr>
            <w:cnfStyle w:val="001000000000" w:firstRow="0" w:lastRow="0" w:firstColumn="1" w:lastColumn="0" w:oddVBand="0" w:evenVBand="0" w:oddHBand="0" w:evenHBand="0" w:firstRowFirstColumn="0" w:firstRowLastColumn="0" w:lastRowFirstColumn="0" w:lastRowLastColumn="0"/>
            <w:tcW w:w="3182" w:type="dxa"/>
            <w:tcBorders>
              <w:left w:val="nil"/>
              <w:right w:val="nil"/>
            </w:tcBorders>
            <w:shd w:val="clear" w:color="auto" w:fill="FADECB" w:themeFill="accent2" w:themeFillTint="3F"/>
          </w:tcPr>
          <w:p w14:paraId="0058E740"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 xml:space="preserve">Positive No. </w:t>
            </w:r>
            <w:r>
              <w:rPr>
                <w:rFonts w:ascii="Times New Roman" w:hAnsi="Times New Roman" w:cs="Times New Roman"/>
                <w:sz w:val="20"/>
                <w:szCs w:val="20"/>
              </w:rPr>
              <w:t>(%)</w:t>
            </w:r>
          </w:p>
        </w:tc>
        <w:tc>
          <w:tcPr>
            <w:tcW w:w="2080" w:type="dxa"/>
            <w:tcBorders>
              <w:right w:val="nil"/>
            </w:tcBorders>
            <w:shd w:val="clear" w:color="auto" w:fill="FADECB" w:themeFill="accent2" w:themeFillTint="3F"/>
          </w:tcPr>
          <w:p w14:paraId="6DAC41DD"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 (27.1 %)</w:t>
            </w:r>
          </w:p>
        </w:tc>
        <w:tc>
          <w:tcPr>
            <w:tcW w:w="1941" w:type="dxa"/>
            <w:tcBorders>
              <w:right w:val="nil"/>
            </w:tcBorders>
            <w:shd w:val="clear" w:color="auto" w:fill="FADECB" w:themeFill="accent2" w:themeFillTint="3F"/>
          </w:tcPr>
          <w:p w14:paraId="04679D4C"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38 (54.3 %)</w:t>
            </w:r>
          </w:p>
        </w:tc>
        <w:tc>
          <w:tcPr>
            <w:tcW w:w="2175" w:type="dxa"/>
            <w:tcBorders>
              <w:right w:val="nil"/>
            </w:tcBorders>
            <w:shd w:val="clear" w:color="auto" w:fill="FADECB" w:themeFill="accent2" w:themeFillTint="3F"/>
          </w:tcPr>
          <w:p w14:paraId="160A1E97"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45 (64.3 %)</w:t>
            </w:r>
          </w:p>
        </w:tc>
      </w:tr>
      <w:tr w:rsidR="00D95EDA" w14:paraId="22B1074F" w14:textId="77777777" w:rsidTr="001A048E">
        <w:trPr>
          <w:trHeight w:val="360"/>
        </w:trPr>
        <w:tc>
          <w:tcPr>
            <w:cnfStyle w:val="001000000000" w:firstRow="0" w:lastRow="0" w:firstColumn="1" w:lastColumn="0" w:oddVBand="0" w:evenVBand="0" w:oddHBand="0" w:evenHBand="0" w:firstRowFirstColumn="0" w:firstRowLastColumn="0" w:lastRowFirstColumn="0" w:lastRowLastColumn="0"/>
            <w:tcW w:w="3182" w:type="dxa"/>
          </w:tcPr>
          <w:p w14:paraId="5E61B655"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Negative No. (%)</w:t>
            </w:r>
          </w:p>
        </w:tc>
        <w:tc>
          <w:tcPr>
            <w:tcW w:w="2080" w:type="dxa"/>
          </w:tcPr>
          <w:p w14:paraId="659CC7F9"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51 (72.9 %)</w:t>
            </w:r>
          </w:p>
        </w:tc>
        <w:tc>
          <w:tcPr>
            <w:tcW w:w="1941" w:type="dxa"/>
          </w:tcPr>
          <w:p w14:paraId="4AB08747"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 (45.7 %)</w:t>
            </w:r>
          </w:p>
        </w:tc>
        <w:tc>
          <w:tcPr>
            <w:tcW w:w="2175" w:type="dxa"/>
          </w:tcPr>
          <w:p w14:paraId="7142973E"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 (35.7 %)</w:t>
            </w:r>
          </w:p>
        </w:tc>
      </w:tr>
      <w:tr w:rsidR="00D95EDA" w14:paraId="25EF35B5" w14:textId="77777777" w:rsidTr="00D95EDA">
        <w:trPr>
          <w:trHeight w:val="485"/>
        </w:trPr>
        <w:tc>
          <w:tcPr>
            <w:cnfStyle w:val="001000000000" w:firstRow="0" w:lastRow="0" w:firstColumn="1" w:lastColumn="0" w:oddVBand="0" w:evenVBand="0" w:oddHBand="0" w:evenHBand="0" w:firstRowFirstColumn="0" w:firstRowLastColumn="0" w:lastRowFirstColumn="0" w:lastRowLastColumn="0"/>
            <w:tcW w:w="3182" w:type="dxa"/>
            <w:tcBorders>
              <w:left w:val="nil"/>
              <w:right w:val="nil"/>
            </w:tcBorders>
            <w:shd w:val="clear" w:color="auto" w:fill="FADECB" w:themeFill="accent2" w:themeFillTint="3F"/>
          </w:tcPr>
          <w:p w14:paraId="7C7216D2"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Standard error</w:t>
            </w:r>
          </w:p>
        </w:tc>
        <w:tc>
          <w:tcPr>
            <w:tcW w:w="2080" w:type="dxa"/>
            <w:tcBorders>
              <w:right w:val="nil"/>
            </w:tcBorders>
            <w:shd w:val="clear" w:color="auto" w:fill="FADECB" w:themeFill="accent2" w:themeFillTint="3F"/>
          </w:tcPr>
          <w:p w14:paraId="3FE26E2D"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0.06</w:t>
            </w:r>
          </w:p>
        </w:tc>
        <w:tc>
          <w:tcPr>
            <w:tcW w:w="1941" w:type="dxa"/>
            <w:tcBorders>
              <w:right w:val="nil"/>
            </w:tcBorders>
            <w:shd w:val="clear" w:color="auto" w:fill="FADECB" w:themeFill="accent2" w:themeFillTint="3F"/>
          </w:tcPr>
          <w:p w14:paraId="6CA97FCC"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0.033</w:t>
            </w:r>
          </w:p>
        </w:tc>
        <w:tc>
          <w:tcPr>
            <w:tcW w:w="2175" w:type="dxa"/>
            <w:tcBorders>
              <w:right w:val="nil"/>
            </w:tcBorders>
            <w:shd w:val="clear" w:color="auto" w:fill="FADECB" w:themeFill="accent2" w:themeFillTint="3F"/>
          </w:tcPr>
          <w:p w14:paraId="3D98B1F1"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0.001</w:t>
            </w:r>
          </w:p>
        </w:tc>
      </w:tr>
      <w:tr w:rsidR="00D95EDA" w14:paraId="23C47BEC" w14:textId="77777777" w:rsidTr="00D95EDA">
        <w:trPr>
          <w:trHeight w:val="522"/>
        </w:trPr>
        <w:tc>
          <w:tcPr>
            <w:cnfStyle w:val="001000000000" w:firstRow="0" w:lastRow="0" w:firstColumn="1" w:lastColumn="0" w:oddVBand="0" w:evenVBand="0" w:oddHBand="0" w:evenHBand="0" w:firstRowFirstColumn="0" w:firstRowLastColumn="0" w:lastRowFirstColumn="0" w:lastRowLastColumn="0"/>
            <w:tcW w:w="3182" w:type="dxa"/>
          </w:tcPr>
          <w:p w14:paraId="64EC1B59"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CI  95 %</w:t>
            </w:r>
          </w:p>
        </w:tc>
        <w:tc>
          <w:tcPr>
            <w:tcW w:w="2080" w:type="dxa"/>
          </w:tcPr>
          <w:p w14:paraId="50E200D2"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0.594 – 0.829</w:t>
            </w:r>
          </w:p>
        </w:tc>
        <w:tc>
          <w:tcPr>
            <w:tcW w:w="1941" w:type="dxa"/>
          </w:tcPr>
          <w:p w14:paraId="094649D1"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0.857 – 0.988</w:t>
            </w:r>
          </w:p>
        </w:tc>
        <w:tc>
          <w:tcPr>
            <w:tcW w:w="2175" w:type="dxa"/>
          </w:tcPr>
          <w:p w14:paraId="688A7C03"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1.53 – 1.76</w:t>
            </w:r>
          </w:p>
        </w:tc>
      </w:tr>
    </w:tbl>
    <w:p w14:paraId="43D2D7BD" w14:textId="77777777" w:rsidR="00D95EDA" w:rsidRDefault="001E5FDB">
      <w:pPr>
        <w:snapToGrid w:val="0"/>
        <w:ind w:firstLine="720"/>
        <w:rPr>
          <w:rFonts w:ascii="Times New Roman" w:hAnsi="Times New Roman" w:cs="Times New Roman"/>
          <w:sz w:val="20"/>
          <w:szCs w:val="20"/>
        </w:rPr>
      </w:pPr>
      <w:r>
        <w:rPr>
          <w:rFonts w:ascii="Times New Roman" w:hAnsi="Times New Roman" w:cs="Times New Roman"/>
          <w:sz w:val="20"/>
          <w:szCs w:val="20"/>
        </w:rPr>
        <w:t xml:space="preserve">The diagnosis of patients with IFIs in the present study revealed a good agreement between Ag detection test of fungal antigen in serum by enzyme immunoassay and pan-fungal PCR. However, there is moderate agreement between the results of blood culture and </w:t>
      </w:r>
      <w:r>
        <w:rPr>
          <w:rFonts w:ascii="Times New Roman" w:hAnsi="Times New Roman" w:cs="Times New Roman"/>
          <w:sz w:val="20"/>
          <w:szCs w:val="20"/>
        </w:rPr>
        <w:t xml:space="preserve">Ag detection test. Additionally there is a fair agreement between the results of blood culture and pan-fungal PCR </w:t>
      </w:r>
      <w:r>
        <w:rPr>
          <w:rFonts w:ascii="Times New Roman" w:hAnsi="Times New Roman" w:cs="Times New Roman"/>
          <w:b/>
          <w:bCs/>
          <w:sz w:val="20"/>
          <w:szCs w:val="20"/>
        </w:rPr>
        <w:t>(Table 3).</w:t>
      </w:r>
    </w:p>
    <w:p w14:paraId="0AAB40AF" w14:textId="77777777" w:rsidR="00D95EDA" w:rsidRDefault="001E5FDB">
      <w:pPr>
        <w:snapToGrid w:val="0"/>
        <w:rPr>
          <w:rFonts w:ascii="Times New Roman" w:hAnsi="Times New Roman" w:cs="Times New Roman"/>
          <w:b/>
          <w:bCs/>
          <w:sz w:val="20"/>
          <w:szCs w:val="20"/>
        </w:rPr>
      </w:pPr>
      <w:r>
        <w:rPr>
          <w:rFonts w:ascii="Times New Roman" w:hAnsi="Times New Roman" w:cs="Times New Roman"/>
          <w:b/>
          <w:bCs/>
          <w:sz w:val="20"/>
          <w:szCs w:val="20"/>
        </w:rPr>
        <w:t xml:space="preserve">Table 3: Agreement between Blood culture, ELISA and PCR used for diagnosis of IFIs </w:t>
      </w:r>
    </w:p>
    <w:tbl>
      <w:tblPr>
        <w:tblStyle w:val="LightShading-Accent2"/>
        <w:tblW w:w="9437" w:type="dxa"/>
        <w:tblLayout w:type="fixed"/>
        <w:tblLook w:val="04A0" w:firstRow="1" w:lastRow="0" w:firstColumn="1" w:lastColumn="0" w:noHBand="0" w:noVBand="1"/>
      </w:tblPr>
      <w:tblGrid>
        <w:gridCol w:w="4431"/>
        <w:gridCol w:w="2104"/>
        <w:gridCol w:w="1680"/>
        <w:gridCol w:w="1222"/>
      </w:tblGrid>
      <w:tr w:rsidR="00D95EDA" w14:paraId="63155E04" w14:textId="77777777" w:rsidTr="001A048E">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431" w:type="dxa"/>
          </w:tcPr>
          <w:p w14:paraId="66DD36F0" w14:textId="77777777" w:rsidR="00D95EDA" w:rsidRDefault="001E5FDB">
            <w:pPr>
              <w:snapToGrid w:val="0"/>
              <w:rPr>
                <w:rFonts w:ascii="Times New Roman" w:hAnsi="Times New Roman" w:cs="Times New Roman"/>
                <w:b w:val="0"/>
                <w:bCs w:val="0"/>
                <w:sz w:val="20"/>
                <w:szCs w:val="20"/>
              </w:rPr>
            </w:pPr>
            <w:r>
              <w:rPr>
                <w:rFonts w:ascii="Times New Roman" w:hAnsi="Times New Roman" w:cs="Times New Roman"/>
                <w:sz w:val="20"/>
                <w:szCs w:val="20"/>
              </w:rPr>
              <w:t>Test</w:t>
            </w:r>
          </w:p>
        </w:tc>
        <w:tc>
          <w:tcPr>
            <w:tcW w:w="2104" w:type="dxa"/>
          </w:tcPr>
          <w:p w14:paraId="4F918C53" w14:textId="77777777" w:rsidR="00D95EDA" w:rsidRDefault="001E5F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sz w:val="20"/>
                <w:szCs w:val="20"/>
              </w:rPr>
              <w:t>Agreement %</w:t>
            </w:r>
          </w:p>
        </w:tc>
        <w:tc>
          <w:tcPr>
            <w:tcW w:w="1680" w:type="dxa"/>
          </w:tcPr>
          <w:p w14:paraId="1DC11EA7" w14:textId="77777777" w:rsidR="00D95EDA" w:rsidRDefault="001E5F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sz w:val="20"/>
                <w:szCs w:val="20"/>
              </w:rPr>
              <w:t>Kappa*</w:t>
            </w:r>
          </w:p>
        </w:tc>
        <w:tc>
          <w:tcPr>
            <w:tcW w:w="1222" w:type="dxa"/>
          </w:tcPr>
          <w:p w14:paraId="14C19F9F" w14:textId="77777777" w:rsidR="00D95EDA" w:rsidRDefault="001E5F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sz w:val="20"/>
                <w:szCs w:val="20"/>
              </w:rPr>
              <w:t>P value</w:t>
            </w:r>
          </w:p>
        </w:tc>
      </w:tr>
      <w:tr w:rsidR="00D95EDA" w14:paraId="56817AC7" w14:textId="77777777" w:rsidTr="00D95EDA">
        <w:trPr>
          <w:trHeight w:val="368"/>
        </w:trPr>
        <w:tc>
          <w:tcPr>
            <w:cnfStyle w:val="001000000000" w:firstRow="0" w:lastRow="0" w:firstColumn="1" w:lastColumn="0" w:oddVBand="0" w:evenVBand="0" w:oddHBand="0" w:evenHBand="0" w:firstRowFirstColumn="0" w:firstRowLastColumn="0" w:lastRowFirstColumn="0" w:lastRowLastColumn="0"/>
            <w:tcW w:w="4431" w:type="dxa"/>
            <w:tcBorders>
              <w:left w:val="nil"/>
              <w:right w:val="nil"/>
            </w:tcBorders>
            <w:shd w:val="clear" w:color="auto" w:fill="FADECB" w:themeFill="accent2" w:themeFillTint="3F"/>
          </w:tcPr>
          <w:p w14:paraId="45C4B5B1"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 xml:space="preserve">Blood culture </w:t>
            </w:r>
            <w:r>
              <w:rPr>
                <w:rFonts w:ascii="Times New Roman" w:hAnsi="Times New Roman" w:cs="Times New Roman"/>
                <w:sz w:val="20"/>
                <w:szCs w:val="20"/>
              </w:rPr>
              <w:t>versus Ag detection test</w:t>
            </w:r>
          </w:p>
        </w:tc>
        <w:tc>
          <w:tcPr>
            <w:tcW w:w="2104" w:type="dxa"/>
            <w:tcBorders>
              <w:right w:val="nil"/>
            </w:tcBorders>
            <w:shd w:val="clear" w:color="auto" w:fill="FADECB" w:themeFill="accent2" w:themeFillTint="3F"/>
          </w:tcPr>
          <w:p w14:paraId="267B12E8"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69.8%</w:t>
            </w:r>
          </w:p>
        </w:tc>
        <w:tc>
          <w:tcPr>
            <w:tcW w:w="1680" w:type="dxa"/>
            <w:tcBorders>
              <w:right w:val="nil"/>
            </w:tcBorders>
            <w:shd w:val="clear" w:color="auto" w:fill="FADECB" w:themeFill="accent2" w:themeFillTint="3F"/>
          </w:tcPr>
          <w:p w14:paraId="5A910C52"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sz w:val="20"/>
                <w:szCs w:val="20"/>
              </w:rPr>
              <w:t>0.478</w:t>
            </w:r>
          </w:p>
        </w:tc>
        <w:tc>
          <w:tcPr>
            <w:tcW w:w="1222" w:type="dxa"/>
            <w:tcBorders>
              <w:right w:val="nil"/>
            </w:tcBorders>
            <w:shd w:val="clear" w:color="auto" w:fill="FADECB" w:themeFill="accent2" w:themeFillTint="3F"/>
          </w:tcPr>
          <w:p w14:paraId="09928EEB"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sz w:val="20"/>
                <w:szCs w:val="20"/>
              </w:rPr>
              <w:t>0.001</w:t>
            </w:r>
          </w:p>
        </w:tc>
      </w:tr>
      <w:tr w:rsidR="00D95EDA" w14:paraId="52026E7A" w14:textId="77777777" w:rsidTr="00D95EDA">
        <w:trPr>
          <w:trHeight w:val="322"/>
        </w:trPr>
        <w:tc>
          <w:tcPr>
            <w:cnfStyle w:val="001000000000" w:firstRow="0" w:lastRow="0" w:firstColumn="1" w:lastColumn="0" w:oddVBand="0" w:evenVBand="0" w:oddHBand="0" w:evenHBand="0" w:firstRowFirstColumn="0" w:firstRowLastColumn="0" w:lastRowFirstColumn="0" w:lastRowLastColumn="0"/>
            <w:tcW w:w="4431" w:type="dxa"/>
          </w:tcPr>
          <w:p w14:paraId="405000FB"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Blood culture versus pan-fungal PCR</w:t>
            </w:r>
          </w:p>
        </w:tc>
        <w:tc>
          <w:tcPr>
            <w:tcW w:w="2104" w:type="dxa"/>
          </w:tcPr>
          <w:p w14:paraId="58426B1C"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62.9%</w:t>
            </w:r>
          </w:p>
        </w:tc>
        <w:tc>
          <w:tcPr>
            <w:tcW w:w="1680" w:type="dxa"/>
          </w:tcPr>
          <w:p w14:paraId="0713E76B"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sz w:val="20"/>
                <w:szCs w:val="20"/>
              </w:rPr>
              <w:t>0.343</w:t>
            </w:r>
          </w:p>
        </w:tc>
        <w:tc>
          <w:tcPr>
            <w:tcW w:w="1222" w:type="dxa"/>
          </w:tcPr>
          <w:p w14:paraId="21A1A9F9"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sz w:val="20"/>
                <w:szCs w:val="20"/>
              </w:rPr>
              <w:t>0.001</w:t>
            </w:r>
          </w:p>
        </w:tc>
      </w:tr>
      <w:tr w:rsidR="00D95EDA" w14:paraId="7DA7F56A" w14:textId="77777777" w:rsidTr="00D95EDA">
        <w:trPr>
          <w:trHeight w:val="368"/>
        </w:trPr>
        <w:tc>
          <w:tcPr>
            <w:cnfStyle w:val="001000000000" w:firstRow="0" w:lastRow="0" w:firstColumn="1" w:lastColumn="0" w:oddVBand="0" w:evenVBand="0" w:oddHBand="0" w:evenHBand="0" w:firstRowFirstColumn="0" w:firstRowLastColumn="0" w:lastRowFirstColumn="0" w:lastRowLastColumn="0"/>
            <w:tcW w:w="4431" w:type="dxa"/>
            <w:tcBorders>
              <w:left w:val="nil"/>
              <w:right w:val="nil"/>
            </w:tcBorders>
            <w:shd w:val="clear" w:color="auto" w:fill="FADECB" w:themeFill="accent2" w:themeFillTint="3F"/>
          </w:tcPr>
          <w:p w14:paraId="425520ED"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Ag detection versus pan-fungal PCR</w:t>
            </w:r>
          </w:p>
        </w:tc>
        <w:tc>
          <w:tcPr>
            <w:tcW w:w="2104" w:type="dxa"/>
            <w:tcBorders>
              <w:right w:val="nil"/>
            </w:tcBorders>
            <w:shd w:val="clear" w:color="auto" w:fill="FADECB" w:themeFill="accent2" w:themeFillTint="3F"/>
          </w:tcPr>
          <w:p w14:paraId="56DCFF6F"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90%</w:t>
            </w:r>
          </w:p>
        </w:tc>
        <w:tc>
          <w:tcPr>
            <w:tcW w:w="1680" w:type="dxa"/>
            <w:tcBorders>
              <w:right w:val="nil"/>
            </w:tcBorders>
            <w:shd w:val="clear" w:color="auto" w:fill="FADECB" w:themeFill="accent2" w:themeFillTint="3F"/>
          </w:tcPr>
          <w:p w14:paraId="77402F45"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sz w:val="20"/>
                <w:szCs w:val="20"/>
              </w:rPr>
              <w:t>0.795</w:t>
            </w:r>
          </w:p>
        </w:tc>
        <w:tc>
          <w:tcPr>
            <w:tcW w:w="1222" w:type="dxa"/>
            <w:tcBorders>
              <w:right w:val="nil"/>
            </w:tcBorders>
            <w:shd w:val="clear" w:color="auto" w:fill="FADECB" w:themeFill="accent2" w:themeFillTint="3F"/>
          </w:tcPr>
          <w:p w14:paraId="7462641F"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sz w:val="20"/>
                <w:szCs w:val="20"/>
              </w:rPr>
              <w:t>0.001</w:t>
            </w:r>
          </w:p>
        </w:tc>
      </w:tr>
    </w:tbl>
    <w:p w14:paraId="2F7EE2F6" w14:textId="1265E92C" w:rsidR="00D95EDA" w:rsidRDefault="001E5FDB">
      <w:pPr>
        <w:snapToGrid w:val="0"/>
        <w:rPr>
          <w:rFonts w:ascii="Times New Roman" w:hAnsi="Times New Roman" w:cs="Times New Roman"/>
          <w:sz w:val="20"/>
          <w:szCs w:val="20"/>
        </w:rPr>
      </w:pPr>
      <w:r>
        <w:rPr>
          <w:rFonts w:ascii="Times New Roman" w:hAnsi="Times New Roman" w:cs="Times New Roman"/>
          <w:b/>
          <w:bCs/>
          <w:sz w:val="20"/>
          <w:szCs w:val="20"/>
        </w:rPr>
        <w:t>*Kappa-Value:</w:t>
      </w:r>
      <w:r>
        <w:rPr>
          <w:rFonts w:ascii="Times New Roman" w:hAnsi="Times New Roman" w:cs="Times New Roman"/>
          <w:sz w:val="20"/>
          <w:szCs w:val="20"/>
        </w:rPr>
        <w:t xml:space="preserve"> Strength of agreement &lt;0.2: poor 0.2-0.4: fair 0.41-0.6: moderate 0.61-0.8: good 0.81-1.0: very good.</w:t>
      </w:r>
    </w:p>
    <w:p w14:paraId="6AAEF541" w14:textId="77777777" w:rsidR="001A048E" w:rsidRDefault="001A048E">
      <w:pPr>
        <w:snapToGrid w:val="0"/>
        <w:rPr>
          <w:rFonts w:ascii="Times New Roman" w:hAnsi="Times New Roman" w:cs="Times New Roman"/>
          <w:sz w:val="20"/>
          <w:szCs w:val="20"/>
        </w:rPr>
      </w:pPr>
    </w:p>
    <w:p w14:paraId="729F71BC" w14:textId="5CBC3946" w:rsidR="00D95EDA" w:rsidRDefault="001E5FDB">
      <w:pPr>
        <w:tabs>
          <w:tab w:val="right" w:pos="8505"/>
          <w:tab w:val="right" w:pos="13608"/>
        </w:tabs>
        <w:snapToGrid w:val="0"/>
        <w:ind w:left="142" w:right="1"/>
        <w:rPr>
          <w:rFonts w:ascii="Times New Roman" w:hAnsi="Times New Roman" w:cs="Times New Roman"/>
          <w:sz w:val="20"/>
          <w:szCs w:val="20"/>
        </w:rPr>
      </w:pPr>
      <w:r>
        <w:rPr>
          <w:rFonts w:ascii="Times New Roman" w:hAnsi="Times New Roman" w:cs="Times New Roman"/>
          <w:sz w:val="20"/>
          <w:szCs w:val="20"/>
        </w:rPr>
        <w:lastRenderedPageBreak/>
        <w:t xml:space="preserve">          According to EORTC/MSG, 19 patients were proven invasive fungal</w:t>
      </w:r>
      <w:r w:rsidR="00B365BA">
        <w:rPr>
          <w:rFonts w:ascii="Times New Roman" w:hAnsi="Times New Roman" w:cs="Times New Roman"/>
          <w:sz w:val="20"/>
          <w:szCs w:val="20"/>
        </w:rPr>
        <w:t xml:space="preserve"> </w:t>
      </w:r>
      <w:r>
        <w:rPr>
          <w:rFonts w:ascii="Times New Roman" w:hAnsi="Times New Roman" w:cs="Times New Roman"/>
          <w:sz w:val="20"/>
          <w:szCs w:val="20"/>
        </w:rPr>
        <w:t xml:space="preserve">infection, 38 patients were probable invasive fungal infection and 32 patients </w:t>
      </w:r>
      <w:r>
        <w:rPr>
          <w:rFonts w:ascii="Times New Roman" w:hAnsi="Times New Roman" w:cs="Times New Roman"/>
          <w:sz w:val="20"/>
          <w:szCs w:val="20"/>
        </w:rPr>
        <w:t xml:space="preserve">were possible invasive fungal infection </w:t>
      </w:r>
      <w:r>
        <w:rPr>
          <w:rFonts w:ascii="Times New Roman" w:hAnsi="Times New Roman" w:cs="Times New Roman"/>
          <w:b/>
          <w:bCs/>
          <w:sz w:val="20"/>
          <w:szCs w:val="20"/>
        </w:rPr>
        <w:t>(</w:t>
      </w:r>
      <w:r>
        <w:rPr>
          <w:rFonts w:ascii="Times New Roman" w:hAnsi="Times New Roman" w:cs="Times New Roman"/>
          <w:b/>
          <w:bCs/>
          <w:sz w:val="20"/>
          <w:szCs w:val="20"/>
        </w:rPr>
        <w:tab/>
        <w:t>Table 4)</w:t>
      </w:r>
      <w:r>
        <w:rPr>
          <w:rFonts w:ascii="Times New Roman" w:hAnsi="Times New Roman" w:cs="Times New Roman"/>
          <w:sz w:val="20"/>
          <w:szCs w:val="20"/>
        </w:rPr>
        <w:t>. PCR is not considered within the EORTC/MSG criteria. A lack of standardization has limited both its acceptance as a diagnostic tool and multicenter clinical evaluations, preventing its inclusion in diseas</w:t>
      </w:r>
      <w:r>
        <w:rPr>
          <w:rFonts w:ascii="Times New Roman" w:hAnsi="Times New Roman" w:cs="Times New Roman"/>
          <w:sz w:val="20"/>
          <w:szCs w:val="20"/>
        </w:rPr>
        <w:t>e-defining criteria.</w:t>
      </w:r>
    </w:p>
    <w:p w14:paraId="69DB2604" w14:textId="77777777" w:rsidR="00D95EDA" w:rsidRDefault="00D95EDA">
      <w:pPr>
        <w:tabs>
          <w:tab w:val="right" w:pos="8505"/>
          <w:tab w:val="right" w:pos="13608"/>
        </w:tabs>
        <w:snapToGrid w:val="0"/>
        <w:ind w:left="142" w:right="1"/>
        <w:rPr>
          <w:rFonts w:ascii="Times New Roman" w:hAnsi="Times New Roman" w:cs="Times New Roman"/>
          <w:sz w:val="20"/>
          <w:szCs w:val="20"/>
        </w:rPr>
      </w:pPr>
    </w:p>
    <w:p w14:paraId="174E56E0" w14:textId="77777777" w:rsidR="00D95EDA" w:rsidRDefault="001E5FDB">
      <w:pPr>
        <w:snapToGrid w:val="0"/>
        <w:rPr>
          <w:rFonts w:ascii="Times New Roman" w:hAnsi="Times New Roman" w:cs="Times New Roman"/>
          <w:b/>
          <w:bCs/>
          <w:sz w:val="20"/>
          <w:szCs w:val="20"/>
        </w:rPr>
      </w:pPr>
      <w:r>
        <w:rPr>
          <w:rFonts w:ascii="Times New Roman" w:hAnsi="Times New Roman" w:cs="Times New Roman"/>
          <w:b/>
          <w:bCs/>
          <w:sz w:val="20"/>
          <w:szCs w:val="20"/>
        </w:rPr>
        <w:t>Table 4: Classification of cases according to EORTC/MSG criteria</w:t>
      </w:r>
    </w:p>
    <w:tbl>
      <w:tblPr>
        <w:tblStyle w:val="LightShading-Accent2"/>
        <w:tblW w:w="9059" w:type="dxa"/>
        <w:jc w:val="center"/>
        <w:tblLook w:val="04A0" w:firstRow="1" w:lastRow="0" w:firstColumn="1" w:lastColumn="0" w:noHBand="0" w:noVBand="1"/>
      </w:tblPr>
      <w:tblGrid>
        <w:gridCol w:w="7008"/>
        <w:gridCol w:w="2051"/>
      </w:tblGrid>
      <w:tr w:rsidR="00D95EDA" w14:paraId="6F4F1432" w14:textId="77777777" w:rsidTr="00D95EDA">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7008" w:type="dxa"/>
          </w:tcPr>
          <w:p w14:paraId="336786AC"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Types of IFIs</w:t>
            </w:r>
          </w:p>
          <w:p w14:paraId="25A65046" w14:textId="77777777" w:rsidR="00D95EDA" w:rsidRDefault="00D95EDA">
            <w:pPr>
              <w:snapToGrid w:val="0"/>
              <w:rPr>
                <w:rFonts w:ascii="Times New Roman" w:hAnsi="Times New Roman" w:cs="Times New Roman"/>
                <w:b w:val="0"/>
                <w:bCs w:val="0"/>
                <w:sz w:val="20"/>
                <w:szCs w:val="20"/>
              </w:rPr>
            </w:pPr>
          </w:p>
        </w:tc>
        <w:tc>
          <w:tcPr>
            <w:tcW w:w="2051" w:type="dxa"/>
          </w:tcPr>
          <w:p w14:paraId="78625475" w14:textId="77777777" w:rsidR="00D95EDA" w:rsidRDefault="001E5F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sz w:val="20"/>
                <w:szCs w:val="20"/>
              </w:rPr>
              <w:t xml:space="preserve"> No of cases</w:t>
            </w:r>
          </w:p>
        </w:tc>
      </w:tr>
      <w:tr w:rsidR="00D95EDA" w14:paraId="71ED812C" w14:textId="77777777" w:rsidTr="00D95EDA">
        <w:trPr>
          <w:trHeight w:val="491"/>
          <w:jc w:val="center"/>
        </w:trPr>
        <w:tc>
          <w:tcPr>
            <w:cnfStyle w:val="001000000000" w:firstRow="0" w:lastRow="0" w:firstColumn="1" w:lastColumn="0" w:oddVBand="0" w:evenVBand="0" w:oddHBand="0" w:evenHBand="0" w:firstRowFirstColumn="0" w:firstRowLastColumn="0" w:lastRowFirstColumn="0" w:lastRowLastColumn="0"/>
            <w:tcW w:w="7008" w:type="dxa"/>
            <w:tcBorders>
              <w:left w:val="nil"/>
              <w:right w:val="nil"/>
            </w:tcBorders>
            <w:shd w:val="clear" w:color="auto" w:fill="FADECB" w:themeFill="accent2" w:themeFillTint="3F"/>
          </w:tcPr>
          <w:p w14:paraId="47C6C091"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 xml:space="preserve">Proven IFI: </w:t>
            </w:r>
            <w:r>
              <w:rPr>
                <w:rFonts w:ascii="Times New Roman" w:hAnsi="Times New Roman" w:cs="Times New Roman"/>
                <w:b w:val="0"/>
                <w:bCs w:val="0"/>
                <w:sz w:val="20"/>
                <w:szCs w:val="20"/>
              </w:rPr>
              <w:t>Fungemia proven by blood cultures that gave fungal growth</w:t>
            </w:r>
          </w:p>
        </w:tc>
        <w:tc>
          <w:tcPr>
            <w:tcW w:w="2051" w:type="dxa"/>
            <w:tcBorders>
              <w:right w:val="nil"/>
            </w:tcBorders>
            <w:shd w:val="clear" w:color="auto" w:fill="FADECB" w:themeFill="accent2" w:themeFillTint="3F"/>
          </w:tcPr>
          <w:p w14:paraId="2ED66500"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(19)</w:t>
            </w:r>
          </w:p>
        </w:tc>
      </w:tr>
      <w:tr w:rsidR="00D95EDA" w14:paraId="7E0C5F82" w14:textId="77777777" w:rsidTr="00D95EDA">
        <w:trPr>
          <w:trHeight w:val="615"/>
          <w:jc w:val="center"/>
        </w:trPr>
        <w:tc>
          <w:tcPr>
            <w:cnfStyle w:val="001000000000" w:firstRow="0" w:lastRow="0" w:firstColumn="1" w:lastColumn="0" w:oddVBand="0" w:evenVBand="0" w:oddHBand="0" w:evenHBand="0" w:firstRowFirstColumn="0" w:firstRowLastColumn="0" w:lastRowFirstColumn="0" w:lastRowLastColumn="0"/>
            <w:tcW w:w="7008" w:type="dxa"/>
          </w:tcPr>
          <w:p w14:paraId="3F815C76" w14:textId="77777777" w:rsidR="00D95EDA" w:rsidRDefault="001E5FDB">
            <w:pPr>
              <w:autoSpaceDE w:val="0"/>
              <w:autoSpaceDN w:val="0"/>
              <w:adjustRightInd w:val="0"/>
              <w:snapToGrid w:val="0"/>
              <w:rPr>
                <w:rFonts w:ascii="Times New Roman" w:hAnsi="Times New Roman" w:cs="Times New Roman"/>
                <w:b w:val="0"/>
                <w:bCs w:val="0"/>
                <w:sz w:val="20"/>
                <w:szCs w:val="20"/>
              </w:rPr>
            </w:pPr>
            <w:r>
              <w:rPr>
                <w:rFonts w:ascii="Times New Roman" w:hAnsi="Times New Roman" w:cs="Times New Roman"/>
                <w:sz w:val="20"/>
                <w:szCs w:val="20"/>
              </w:rPr>
              <w:t xml:space="preserve">Probable IFI: </w:t>
            </w:r>
            <w:r>
              <w:rPr>
                <w:rFonts w:ascii="Times New Roman" w:hAnsi="Times New Roman" w:cs="Times New Roman"/>
                <w:b w:val="0"/>
                <w:bCs w:val="0"/>
                <w:sz w:val="20"/>
                <w:szCs w:val="20"/>
              </w:rPr>
              <w:t xml:space="preserve">Probable IFD needs the presence of three </w:t>
            </w:r>
            <w:r>
              <w:rPr>
                <w:rFonts w:ascii="Times New Roman" w:hAnsi="Times New Roman" w:cs="Times New Roman"/>
                <w:b w:val="0"/>
                <w:bCs w:val="0"/>
                <w:sz w:val="20"/>
                <w:szCs w:val="20"/>
              </w:rPr>
              <w:t>elements to be defined:</w:t>
            </w:r>
            <w:r>
              <w:rPr>
                <w:rFonts w:ascii="Times New Roman" w:hAnsi="Times New Roman" w:cs="Times New Roman"/>
                <w:sz w:val="20"/>
                <w:szCs w:val="20"/>
              </w:rPr>
              <w:t xml:space="preserve"> </w:t>
            </w:r>
            <w:r>
              <w:rPr>
                <w:rFonts w:ascii="Times New Roman" w:hAnsi="Times New Roman" w:cs="Times New Roman"/>
                <w:b w:val="0"/>
                <w:bCs w:val="0"/>
                <w:sz w:val="20"/>
                <w:szCs w:val="20"/>
              </w:rPr>
              <w:t>(1) host factors (2) clinical features; and (3) mycological evidence : indirect serological tests</w:t>
            </w:r>
          </w:p>
        </w:tc>
        <w:tc>
          <w:tcPr>
            <w:tcW w:w="2051" w:type="dxa"/>
          </w:tcPr>
          <w:p w14:paraId="60C4EEDC"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(38)</w:t>
            </w:r>
          </w:p>
        </w:tc>
      </w:tr>
      <w:tr w:rsidR="00D95EDA" w14:paraId="43B62A8E" w14:textId="77777777" w:rsidTr="00D95EDA">
        <w:trPr>
          <w:trHeight w:val="568"/>
          <w:jc w:val="center"/>
        </w:trPr>
        <w:tc>
          <w:tcPr>
            <w:cnfStyle w:val="001000000000" w:firstRow="0" w:lastRow="0" w:firstColumn="1" w:lastColumn="0" w:oddVBand="0" w:evenVBand="0" w:oddHBand="0" w:evenHBand="0" w:firstRowFirstColumn="0" w:firstRowLastColumn="0" w:lastRowFirstColumn="0" w:lastRowLastColumn="0"/>
            <w:tcW w:w="7008" w:type="dxa"/>
            <w:tcBorders>
              <w:left w:val="nil"/>
              <w:right w:val="nil"/>
            </w:tcBorders>
            <w:shd w:val="clear" w:color="auto" w:fill="FADECB" w:themeFill="accent2" w:themeFillTint="3F"/>
          </w:tcPr>
          <w:p w14:paraId="3BB90C84" w14:textId="77777777" w:rsidR="00D95EDA" w:rsidRDefault="001E5FDB">
            <w:pPr>
              <w:snapToGrid w:val="0"/>
              <w:rPr>
                <w:rFonts w:ascii="Times New Roman" w:hAnsi="Times New Roman" w:cs="Times New Roman"/>
                <w:sz w:val="20"/>
                <w:szCs w:val="20"/>
              </w:rPr>
            </w:pPr>
            <w:r>
              <w:rPr>
                <w:rFonts w:ascii="Times New Roman" w:hAnsi="Times New Roman" w:cs="Times New Roman"/>
                <w:sz w:val="20"/>
                <w:szCs w:val="20"/>
              </w:rPr>
              <w:t xml:space="preserve">Possible IFI: </w:t>
            </w:r>
            <w:r>
              <w:rPr>
                <w:rFonts w:ascii="Times New Roman" w:hAnsi="Times New Roman" w:cs="Times New Roman"/>
                <w:b w:val="0"/>
                <w:bCs w:val="0"/>
                <w:sz w:val="20"/>
                <w:szCs w:val="20"/>
              </w:rPr>
              <w:t>Cases that meet host factor criteria plus a clinical criterion with no mycological evidence.</w:t>
            </w:r>
          </w:p>
        </w:tc>
        <w:tc>
          <w:tcPr>
            <w:tcW w:w="2051" w:type="dxa"/>
            <w:tcBorders>
              <w:right w:val="nil"/>
            </w:tcBorders>
            <w:shd w:val="clear" w:color="auto" w:fill="FADECB" w:themeFill="accent2" w:themeFillTint="3F"/>
          </w:tcPr>
          <w:p w14:paraId="4521FB65" w14:textId="77777777" w:rsidR="00D95EDA" w:rsidRDefault="001E5F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(32)</w:t>
            </w:r>
          </w:p>
        </w:tc>
      </w:tr>
    </w:tbl>
    <w:p w14:paraId="3E8B73C2" w14:textId="77777777" w:rsidR="00D95EDA" w:rsidRDefault="00D95EDA">
      <w:pPr>
        <w:tabs>
          <w:tab w:val="right" w:pos="8505"/>
          <w:tab w:val="right" w:pos="13608"/>
        </w:tabs>
        <w:snapToGrid w:val="0"/>
        <w:ind w:right="1"/>
        <w:rPr>
          <w:rFonts w:ascii="Times New Roman" w:eastAsia="Times New Roman" w:hAnsi="Times New Roman" w:cs="Times New Roman"/>
          <w:b/>
          <w:sz w:val="20"/>
          <w:szCs w:val="20"/>
          <w:u w:val="single"/>
        </w:rPr>
      </w:pPr>
    </w:p>
    <w:p w14:paraId="06E4C215" w14:textId="77777777" w:rsidR="00D95EDA" w:rsidRDefault="00D95EDA">
      <w:pPr>
        <w:tabs>
          <w:tab w:val="right" w:pos="8505"/>
          <w:tab w:val="right" w:pos="13608"/>
        </w:tabs>
        <w:snapToGrid w:val="0"/>
        <w:ind w:right="1"/>
        <w:rPr>
          <w:rFonts w:ascii="Times New Roman" w:eastAsia="Times New Roman" w:hAnsi="Times New Roman" w:cs="Times New Roman"/>
          <w:b/>
          <w:sz w:val="20"/>
          <w:szCs w:val="20"/>
          <w:u w:val="single"/>
        </w:rPr>
        <w:sectPr w:rsidR="00D95EDA">
          <w:type w:val="continuous"/>
          <w:pgSz w:w="12240" w:h="15839"/>
          <w:pgMar w:top="1440" w:right="1440" w:bottom="1440" w:left="1440" w:header="720" w:footer="720" w:gutter="0"/>
          <w:cols w:space="425"/>
          <w:titlePg/>
          <w:docGrid w:type="lines" w:linePitch="312"/>
        </w:sectPr>
      </w:pPr>
    </w:p>
    <w:p w14:paraId="10F642A0" w14:textId="77777777" w:rsidR="00D95EDA" w:rsidRDefault="001E5FDB">
      <w:pPr>
        <w:tabs>
          <w:tab w:val="right" w:pos="8505"/>
          <w:tab w:val="right" w:pos="13608"/>
        </w:tabs>
        <w:snapToGrid w:val="0"/>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Discussion</w:t>
      </w:r>
    </w:p>
    <w:p w14:paraId="5266A0EE" w14:textId="77777777" w:rsidR="00D95EDA" w:rsidRDefault="001E5FDB">
      <w:pPr>
        <w:tabs>
          <w:tab w:val="right" w:pos="8505"/>
          <w:tab w:val="right" w:pos="13608"/>
        </w:tabs>
        <w:snapToGrid w:val="0"/>
        <w:ind w:right="1"/>
        <w:rPr>
          <w:rFonts w:ascii="Times New Roman" w:hAnsi="Times New Roman" w:cs="Times New Roman"/>
          <w:i/>
          <w:iCs/>
          <w:sz w:val="20"/>
          <w:szCs w:val="20"/>
        </w:rPr>
      </w:pPr>
      <w:r>
        <w:rPr>
          <w:rFonts w:ascii="Times New Roman" w:eastAsia="Times New Roman" w:hAnsi="Times New Roman" w:cs="Times New Roman"/>
          <w:b/>
          <w:sz w:val="20"/>
          <w:szCs w:val="20"/>
        </w:rPr>
        <w:tab/>
        <w:t xml:space="preserve">         </w:t>
      </w:r>
      <w:r>
        <w:rPr>
          <w:rFonts w:ascii="Times New Roman" w:hAnsi="Times New Roman" w:cs="Times New Roman"/>
          <w:sz w:val="20"/>
          <w:szCs w:val="20"/>
        </w:rPr>
        <w:t xml:space="preserve"> </w:t>
      </w:r>
      <w:r>
        <w:rPr>
          <w:rFonts w:ascii="Times New Roman" w:hAnsi="Times New Roman" w:cs="Times New Roman"/>
          <w:sz w:val="20"/>
          <w:szCs w:val="20"/>
        </w:rPr>
        <w:t xml:space="preserve">Invasive fungal infections constitute a serious threat to an ever-growing population of immunocompromised individuals and other individuals at risk </w:t>
      </w:r>
      <w:r>
        <w:rPr>
          <w:rFonts w:ascii="Times New Roman" w:hAnsi="Times New Roman" w:cs="Times New Roman"/>
          <w:b/>
          <w:bCs/>
          <w:sz w:val="20"/>
          <w:szCs w:val="20"/>
        </w:rPr>
        <w:t xml:space="preserve">(Arvanitis et al., 2014). </w:t>
      </w:r>
      <w:r>
        <w:rPr>
          <w:rFonts w:ascii="Times New Roman" w:hAnsi="Times New Roman" w:cs="Times New Roman"/>
          <w:sz w:val="20"/>
          <w:szCs w:val="20"/>
        </w:rPr>
        <w:t>Blood culture remains the gold standard method for diagnosis of invasive fungal in</w:t>
      </w:r>
      <w:r>
        <w:rPr>
          <w:rFonts w:ascii="Times New Roman" w:hAnsi="Times New Roman" w:cs="Times New Roman"/>
          <w:sz w:val="20"/>
          <w:szCs w:val="20"/>
        </w:rPr>
        <w:t>fection although; the sensitivity of blood culture is controversial. Multiple or repeated blood cultures should be performed to increase the likelihood of detecting fungemia. Fungemia is rarely present in healthy individuals, however it is commonly found i</w:t>
      </w:r>
      <w:r>
        <w:rPr>
          <w:rFonts w:ascii="Times New Roman" w:hAnsi="Times New Roman" w:cs="Times New Roman"/>
          <w:sz w:val="20"/>
          <w:szCs w:val="20"/>
        </w:rPr>
        <w:t xml:space="preserve">n hospitalized patients, especially those with multiple risk factors such as cancer patients. </w:t>
      </w:r>
    </w:p>
    <w:p w14:paraId="4638BC21" w14:textId="77777777" w:rsidR="00D95EDA" w:rsidRDefault="001E5FDB">
      <w:pPr>
        <w:tabs>
          <w:tab w:val="right" w:pos="8505"/>
          <w:tab w:val="right" w:pos="13608"/>
        </w:tabs>
        <w:snapToGrid w:val="0"/>
        <w:ind w:right="1"/>
        <w:rPr>
          <w:rFonts w:ascii="Times New Roman" w:eastAsia="Times New Roman" w:hAnsi="Times New Roman" w:cs="Times New Roman"/>
          <w:b/>
          <w:sz w:val="20"/>
          <w:szCs w:val="20"/>
        </w:rPr>
      </w:pPr>
      <w:r>
        <w:rPr>
          <w:rFonts w:ascii="Times New Roman" w:hAnsi="Times New Roman" w:cs="Times New Roman"/>
          <w:i/>
          <w:iCs/>
          <w:sz w:val="20"/>
          <w:szCs w:val="20"/>
        </w:rPr>
        <w:tab/>
        <w:t xml:space="preserve">           Candida albicans</w:t>
      </w:r>
      <w:r>
        <w:rPr>
          <w:rFonts w:ascii="Times New Roman" w:hAnsi="Times New Roman" w:cs="Times New Roman"/>
          <w:sz w:val="20"/>
          <w:szCs w:val="20"/>
        </w:rPr>
        <w:t xml:space="preserve"> was the most common causative agent in 36.8% of all case. Non albicans </w:t>
      </w:r>
      <w:r>
        <w:rPr>
          <w:rFonts w:ascii="Times New Roman" w:hAnsi="Times New Roman" w:cs="Times New Roman"/>
          <w:i/>
          <w:iCs/>
          <w:sz w:val="20"/>
          <w:szCs w:val="20"/>
        </w:rPr>
        <w:t>Candida</w:t>
      </w:r>
      <w:r>
        <w:rPr>
          <w:rFonts w:ascii="Times New Roman" w:hAnsi="Times New Roman" w:cs="Times New Roman"/>
          <w:sz w:val="20"/>
          <w:szCs w:val="20"/>
        </w:rPr>
        <w:t xml:space="preserve"> species including </w:t>
      </w:r>
      <w:r>
        <w:rPr>
          <w:rFonts w:ascii="Times New Roman" w:hAnsi="Times New Roman" w:cs="Times New Roman"/>
          <w:i/>
          <w:iCs/>
          <w:sz w:val="20"/>
          <w:szCs w:val="20"/>
        </w:rPr>
        <w:t>C. krusei, C. tropicalis, C. paraps</w:t>
      </w:r>
      <w:r>
        <w:rPr>
          <w:rFonts w:ascii="Times New Roman" w:hAnsi="Times New Roman" w:cs="Times New Roman"/>
          <w:i/>
          <w:iCs/>
          <w:sz w:val="20"/>
          <w:szCs w:val="20"/>
        </w:rPr>
        <w:t>ilosis, and C. guilliermondii</w:t>
      </w:r>
      <w:r>
        <w:rPr>
          <w:rFonts w:ascii="Times New Roman" w:hAnsi="Times New Roman" w:cs="Times New Roman"/>
          <w:sz w:val="20"/>
          <w:szCs w:val="20"/>
        </w:rPr>
        <w:t xml:space="preserve"> accounted for 63.2%</w:t>
      </w:r>
      <w:r>
        <w:rPr>
          <w:rFonts w:ascii="Times New Roman" w:hAnsi="Times New Roman" w:cs="Times New Roman"/>
          <w:b/>
          <w:bCs/>
          <w:sz w:val="20"/>
          <w:szCs w:val="20"/>
        </w:rPr>
        <w:t xml:space="preserve"> </w:t>
      </w:r>
      <w:r>
        <w:rPr>
          <w:rFonts w:ascii="Times New Roman" w:hAnsi="Times New Roman" w:cs="Times New Roman"/>
          <w:sz w:val="20"/>
          <w:szCs w:val="20"/>
        </w:rPr>
        <w:t xml:space="preserve">of nosocomial candidemia. </w:t>
      </w:r>
      <w:r>
        <w:rPr>
          <w:rFonts w:ascii="Times New Roman" w:hAnsi="Times New Roman" w:cs="Times New Roman"/>
          <w:i/>
          <w:iCs/>
          <w:sz w:val="20"/>
          <w:szCs w:val="20"/>
        </w:rPr>
        <w:t>C. guilliermondii</w:t>
      </w:r>
      <w:r>
        <w:rPr>
          <w:rFonts w:ascii="Times New Roman" w:hAnsi="Times New Roman" w:cs="Times New Roman"/>
          <w:sz w:val="20"/>
          <w:szCs w:val="20"/>
        </w:rPr>
        <w:t xml:space="preserve"> is rarely isolated in fungemia cases, but it is emerging as a cause of candidemia in cancer patients </w:t>
      </w:r>
      <w:r>
        <w:rPr>
          <w:rFonts w:ascii="Times New Roman" w:hAnsi="Times New Roman" w:cs="Times New Roman"/>
          <w:b/>
          <w:bCs/>
          <w:sz w:val="20"/>
          <w:szCs w:val="20"/>
        </w:rPr>
        <w:t>(De Carvalho Parahym et al., 2009)</w:t>
      </w:r>
      <w:r>
        <w:rPr>
          <w:rFonts w:ascii="Times New Roman" w:hAnsi="Times New Roman" w:cs="Times New Roman"/>
          <w:sz w:val="20"/>
          <w:szCs w:val="20"/>
        </w:rPr>
        <w:t>.</w:t>
      </w:r>
      <w:r>
        <w:rPr>
          <w:rFonts w:ascii="Times New Roman" w:eastAsia="Times New Roman" w:hAnsi="Times New Roman" w:cs="Times New Roman"/>
          <w:sz w:val="20"/>
          <w:szCs w:val="20"/>
        </w:rPr>
        <w:t xml:space="preserve"> </w:t>
      </w:r>
      <w:r>
        <w:rPr>
          <w:rFonts w:ascii="Times New Roman" w:hAnsi="Times New Roman" w:cs="Times New Roman"/>
          <w:sz w:val="20"/>
          <w:szCs w:val="20"/>
        </w:rPr>
        <w:t xml:space="preserve">The increased rate of </w:t>
      </w:r>
      <w:r>
        <w:rPr>
          <w:rFonts w:ascii="Times New Roman" w:hAnsi="Times New Roman" w:cs="Times New Roman"/>
          <w:i/>
          <w:iCs/>
          <w:sz w:val="20"/>
          <w:szCs w:val="20"/>
        </w:rPr>
        <w:t xml:space="preserve">C. </w:t>
      </w:r>
      <w:r>
        <w:rPr>
          <w:rFonts w:ascii="Times New Roman" w:hAnsi="Times New Roman" w:cs="Times New Roman"/>
          <w:i/>
          <w:iCs/>
          <w:sz w:val="20"/>
          <w:szCs w:val="20"/>
        </w:rPr>
        <w:t>krusei, C. guilliermondii</w:t>
      </w:r>
      <w:r>
        <w:rPr>
          <w:rFonts w:ascii="Times New Roman" w:hAnsi="Times New Roman" w:cs="Times New Roman"/>
          <w:sz w:val="20"/>
          <w:szCs w:val="20"/>
        </w:rPr>
        <w:t xml:space="preserve"> and </w:t>
      </w:r>
      <w:r>
        <w:rPr>
          <w:rFonts w:ascii="Times New Roman" w:hAnsi="Times New Roman" w:cs="Times New Roman"/>
          <w:i/>
          <w:iCs/>
          <w:sz w:val="20"/>
          <w:szCs w:val="20"/>
        </w:rPr>
        <w:t>C. ciferrii</w:t>
      </w:r>
      <w:r>
        <w:rPr>
          <w:rFonts w:ascii="Times New Roman" w:hAnsi="Times New Roman" w:cs="Times New Roman"/>
          <w:sz w:val="20"/>
          <w:szCs w:val="20"/>
        </w:rPr>
        <w:t xml:space="preserve"> species isolation from blood culture over the recent years is of concern as serious health problem because these species are known to be drug-resistant </w:t>
      </w:r>
      <w:r>
        <w:rPr>
          <w:rFonts w:ascii="Times New Roman" w:hAnsi="Times New Roman" w:cs="Times New Roman"/>
          <w:b/>
          <w:bCs/>
          <w:sz w:val="20"/>
          <w:szCs w:val="20"/>
        </w:rPr>
        <w:t>(Aydemir et al., 2017).</w:t>
      </w:r>
      <w:hyperlink r:id="rId18" w:anchor="a1" w:history="1"/>
      <w:r>
        <w:rPr>
          <w:rFonts w:ascii="Times New Roman" w:hAnsi="Times New Roman" w:cs="Times New Roman"/>
          <w:b/>
          <w:bCs/>
          <w:sz w:val="20"/>
          <w:szCs w:val="20"/>
        </w:rPr>
        <w:t xml:space="preserve">  </w:t>
      </w:r>
    </w:p>
    <w:p w14:paraId="09960686" w14:textId="77777777" w:rsidR="00D95EDA" w:rsidRDefault="001E5FDB">
      <w:pPr>
        <w:tabs>
          <w:tab w:val="right" w:pos="13608"/>
        </w:tabs>
        <w:snapToGrid w:val="0"/>
        <w:ind w:right="1"/>
        <w:rPr>
          <w:rFonts w:ascii="Times New Roman" w:hAnsi="Times New Roman" w:cs="Times New Roman"/>
          <w:i/>
          <w:iCs/>
          <w:sz w:val="20"/>
          <w:szCs w:val="20"/>
        </w:rPr>
      </w:pPr>
      <w:r>
        <w:rPr>
          <w:rFonts w:ascii="Times New Roman" w:hAnsi="Times New Roman" w:cs="Times New Roman"/>
          <w:sz w:val="20"/>
          <w:szCs w:val="20"/>
        </w:rPr>
        <w:t xml:space="preserve">           Our results are consistent with the studies done by</w:t>
      </w:r>
      <w:r>
        <w:rPr>
          <w:rFonts w:ascii="Times New Roman" w:hAnsi="Times New Roman" w:cs="Times New Roman"/>
          <w:b/>
          <w:bCs/>
          <w:sz w:val="20"/>
          <w:szCs w:val="20"/>
        </w:rPr>
        <w:t xml:space="preserve"> Ding et al. (2015),</w:t>
      </w:r>
      <w:r>
        <w:rPr>
          <w:rFonts w:ascii="Times New Roman" w:hAnsi="Times New Roman" w:cs="Times New Roman"/>
          <w:sz w:val="20"/>
          <w:szCs w:val="20"/>
        </w:rPr>
        <w:t xml:space="preserve"> </w:t>
      </w:r>
      <w:r>
        <w:rPr>
          <w:rFonts w:ascii="Times New Roman" w:hAnsi="Times New Roman" w:cs="Times New Roman"/>
          <w:b/>
          <w:bCs/>
          <w:sz w:val="20"/>
          <w:szCs w:val="20"/>
        </w:rPr>
        <w:t xml:space="preserve">Sharma et al. (2017) </w:t>
      </w:r>
      <w:r>
        <w:rPr>
          <w:rFonts w:ascii="Times New Roman" w:hAnsi="Times New Roman" w:cs="Times New Roman"/>
          <w:sz w:val="20"/>
          <w:szCs w:val="20"/>
        </w:rPr>
        <w:t xml:space="preserve">and </w:t>
      </w:r>
      <w:r>
        <w:rPr>
          <w:rFonts w:ascii="Times New Roman" w:hAnsi="Times New Roman" w:cs="Times New Roman"/>
          <w:b/>
          <w:bCs/>
          <w:sz w:val="20"/>
          <w:szCs w:val="20"/>
        </w:rPr>
        <w:t xml:space="preserve">Akgun et al. (2018) </w:t>
      </w:r>
      <w:r>
        <w:rPr>
          <w:rFonts w:ascii="Times New Roman" w:hAnsi="Times New Roman" w:cs="Times New Roman"/>
          <w:sz w:val="20"/>
          <w:szCs w:val="20"/>
        </w:rPr>
        <w:t xml:space="preserve">in which non albicans </w:t>
      </w:r>
      <w:r>
        <w:rPr>
          <w:rFonts w:ascii="Times New Roman" w:hAnsi="Times New Roman" w:cs="Times New Roman"/>
          <w:i/>
          <w:iCs/>
          <w:sz w:val="20"/>
          <w:szCs w:val="20"/>
        </w:rPr>
        <w:t>Candida</w:t>
      </w:r>
      <w:r>
        <w:rPr>
          <w:rFonts w:ascii="Times New Roman" w:hAnsi="Times New Roman" w:cs="Times New Roman"/>
          <w:sz w:val="20"/>
          <w:szCs w:val="20"/>
        </w:rPr>
        <w:t xml:space="preserve"> species have been recovered from blood cultures with increased frequency.</w:t>
      </w:r>
    </w:p>
    <w:p w14:paraId="5B84EF8F" w14:textId="77777777" w:rsidR="00D95EDA" w:rsidRDefault="001E5FDB">
      <w:pPr>
        <w:snapToGrid w:val="0"/>
        <w:ind w:firstLine="720"/>
        <w:rPr>
          <w:rFonts w:ascii="Times New Roman" w:hAnsi="Times New Roman" w:cs="Times New Roman"/>
          <w:b/>
          <w:bCs/>
          <w:sz w:val="20"/>
          <w:szCs w:val="20"/>
        </w:rPr>
      </w:pPr>
      <w:r>
        <w:rPr>
          <w:rFonts w:ascii="Times New Roman" w:hAnsi="Times New Roman" w:cs="Times New Roman"/>
          <w:sz w:val="20"/>
          <w:szCs w:val="20"/>
        </w:rPr>
        <w:t>Serological tests for de</w:t>
      </w:r>
      <w:r>
        <w:rPr>
          <w:rFonts w:ascii="Times New Roman" w:hAnsi="Times New Roman" w:cs="Times New Roman"/>
          <w:sz w:val="20"/>
          <w:szCs w:val="20"/>
        </w:rPr>
        <w:t>tection of fungal antibodies can be difficult to interpret. For example, circulating antibodies to Candida</w:t>
      </w:r>
      <w:r>
        <w:rPr>
          <w:rFonts w:ascii="Times New Roman" w:hAnsi="Times New Roman" w:cs="Times New Roman"/>
          <w:i/>
          <w:iCs/>
          <w:sz w:val="20"/>
          <w:szCs w:val="20"/>
        </w:rPr>
        <w:t xml:space="preserve"> </w:t>
      </w:r>
      <w:r>
        <w:rPr>
          <w:rFonts w:ascii="Times New Roman" w:hAnsi="Times New Roman" w:cs="Times New Roman"/>
          <w:sz w:val="20"/>
          <w:szCs w:val="20"/>
        </w:rPr>
        <w:t>may occur as a result of commensal colonization of mucosal surfaces, antibody production in the immuno-compromised patient varies according to immune</w:t>
      </w:r>
      <w:r>
        <w:rPr>
          <w:rFonts w:ascii="Times New Roman" w:hAnsi="Times New Roman" w:cs="Times New Roman"/>
          <w:sz w:val="20"/>
          <w:szCs w:val="20"/>
        </w:rPr>
        <w:t xml:space="preserve"> status and false negative results occur. However, the antigen detection tests are more significant for diagnosis because they detect active infection.</w:t>
      </w:r>
      <w:r>
        <w:rPr>
          <w:rFonts w:ascii="Times New Roman" w:hAnsi="Times New Roman" w:cs="Times New Roman"/>
          <w:b/>
          <w:bCs/>
          <w:sz w:val="20"/>
          <w:szCs w:val="20"/>
        </w:rPr>
        <w:t xml:space="preserve"> </w:t>
      </w:r>
      <w:r>
        <w:rPr>
          <w:rFonts w:ascii="Times New Roman" w:hAnsi="Times New Roman" w:cs="Times New Roman"/>
          <w:sz w:val="20"/>
          <w:szCs w:val="20"/>
        </w:rPr>
        <w:t>Β-D-glucan (BDG) can be detected in invasive infections as a cell wall component of many pathogenic fung</w:t>
      </w:r>
      <w:r>
        <w:rPr>
          <w:rFonts w:ascii="Times New Roman" w:hAnsi="Times New Roman" w:cs="Times New Roman"/>
          <w:sz w:val="20"/>
          <w:szCs w:val="20"/>
        </w:rPr>
        <w:t xml:space="preserve">i. It is included as mycological criterion in the revised definitions of IFI from the EORTC/MSG consensus group </w:t>
      </w:r>
      <w:r>
        <w:rPr>
          <w:rFonts w:ascii="Times New Roman" w:hAnsi="Times New Roman" w:cs="Times New Roman"/>
          <w:b/>
          <w:bCs/>
          <w:sz w:val="20"/>
          <w:szCs w:val="20"/>
        </w:rPr>
        <w:t>(</w:t>
      </w:r>
      <w:hyperlink r:id="rId19" w:anchor="B15" w:history="1">
        <w:r>
          <w:rPr>
            <w:rFonts w:ascii="Times New Roman" w:hAnsi="Times New Roman" w:cs="Times New Roman"/>
            <w:b/>
            <w:bCs/>
            <w:sz w:val="20"/>
            <w:szCs w:val="20"/>
          </w:rPr>
          <w:t>De Pauw et al., 2008</w:t>
        </w:r>
      </w:hyperlink>
      <w:r>
        <w:rPr>
          <w:rFonts w:ascii="Times New Roman" w:hAnsi="Times New Roman" w:cs="Times New Roman"/>
          <w:b/>
          <w:bCs/>
          <w:sz w:val="20"/>
          <w:szCs w:val="20"/>
        </w:rPr>
        <w:t>).</w:t>
      </w:r>
    </w:p>
    <w:p w14:paraId="15E73996" w14:textId="77777777" w:rsidR="00D95EDA" w:rsidRDefault="001E5FDB">
      <w:pPr>
        <w:snapToGrid w:val="0"/>
        <w:ind w:firstLine="720"/>
        <w:rPr>
          <w:rFonts w:ascii="Times New Roman" w:hAnsi="Times New Roman" w:cs="Times New Roman"/>
          <w:sz w:val="20"/>
          <w:szCs w:val="20"/>
        </w:rPr>
      </w:pPr>
      <w:r>
        <w:rPr>
          <w:rStyle w:val="fontstyle01"/>
          <w:rFonts w:ascii="Times New Roman" w:hAnsi="Times New Roman" w:cs="Times New Roman"/>
          <w:sz w:val="20"/>
          <w:szCs w:val="20"/>
        </w:rPr>
        <w:t>PCR assay for the</w:t>
      </w:r>
      <w:r>
        <w:rPr>
          <w:rFonts w:ascii="Times New Roman" w:hAnsi="Times New Roman" w:cs="Times New Roman"/>
          <w:sz w:val="20"/>
          <w:szCs w:val="20"/>
        </w:rPr>
        <w:t xml:space="preserve"> </w:t>
      </w:r>
      <w:r>
        <w:rPr>
          <w:rStyle w:val="fontstyle01"/>
          <w:rFonts w:ascii="Times New Roman" w:hAnsi="Times New Roman" w:cs="Times New Roman"/>
          <w:sz w:val="20"/>
          <w:szCs w:val="20"/>
        </w:rPr>
        <w:t>detection of fungal nucleic acids appear to</w:t>
      </w:r>
      <w:r>
        <w:rPr>
          <w:rFonts w:ascii="Times New Roman" w:hAnsi="Times New Roman" w:cs="Times New Roman"/>
          <w:sz w:val="20"/>
          <w:szCs w:val="20"/>
        </w:rPr>
        <w:t xml:space="preserve"> </w:t>
      </w:r>
      <w:r>
        <w:rPr>
          <w:rStyle w:val="fontstyle01"/>
          <w:rFonts w:ascii="Times New Roman" w:hAnsi="Times New Roman" w:cs="Times New Roman"/>
          <w:sz w:val="20"/>
          <w:szCs w:val="20"/>
        </w:rPr>
        <w:t>be a promising diagnostic technique.</w:t>
      </w:r>
      <w:r>
        <w:rPr>
          <w:rFonts w:ascii="Times New Roman" w:hAnsi="Times New Roman" w:cs="Times New Roman"/>
          <w:sz w:val="20"/>
          <w:szCs w:val="20"/>
        </w:rPr>
        <w:t xml:space="preserve"> </w:t>
      </w:r>
      <w:r>
        <w:rPr>
          <w:rStyle w:val="fontstyle01"/>
          <w:rFonts w:ascii="Times New Roman" w:hAnsi="Times New Roman" w:cs="Times New Roman"/>
          <w:sz w:val="20"/>
          <w:szCs w:val="20"/>
        </w:rPr>
        <w:t>Many studies show a tendency of PCR</w:t>
      </w:r>
      <w:r>
        <w:rPr>
          <w:rFonts w:ascii="Times New Roman" w:hAnsi="Times New Roman" w:cs="Times New Roman"/>
          <w:sz w:val="20"/>
          <w:szCs w:val="20"/>
        </w:rPr>
        <w:t xml:space="preserve"> </w:t>
      </w:r>
      <w:r>
        <w:rPr>
          <w:rStyle w:val="fontstyle01"/>
          <w:rFonts w:ascii="Times New Roman" w:hAnsi="Times New Roman" w:cs="Times New Roman"/>
          <w:sz w:val="20"/>
          <w:szCs w:val="20"/>
        </w:rPr>
        <w:t>methods to detect fungal DNA in patients at</w:t>
      </w:r>
      <w:r>
        <w:rPr>
          <w:rFonts w:ascii="Times New Roman" w:hAnsi="Times New Roman" w:cs="Times New Roman"/>
          <w:sz w:val="20"/>
          <w:szCs w:val="20"/>
        </w:rPr>
        <w:t xml:space="preserve"> </w:t>
      </w:r>
      <w:r>
        <w:rPr>
          <w:rStyle w:val="fontstyle01"/>
          <w:rFonts w:ascii="Times New Roman" w:hAnsi="Times New Roman" w:cs="Times New Roman"/>
          <w:sz w:val="20"/>
          <w:szCs w:val="20"/>
        </w:rPr>
        <w:t>high risk of IFI with negative blood culture.</w:t>
      </w:r>
      <w:r>
        <w:rPr>
          <w:rFonts w:ascii="Times New Roman" w:hAnsi="Times New Roman" w:cs="Times New Roman"/>
          <w:sz w:val="20"/>
          <w:szCs w:val="20"/>
        </w:rPr>
        <w:t xml:space="preserve"> The detection of non-cultivable cells and circulating free fungal DNA by PCR, unlike in culture which needs viable cells. </w:t>
      </w:r>
      <w:r>
        <w:rPr>
          <w:rFonts w:ascii="Times New Roman" w:hAnsi="Times New Roman" w:cs="Times New Roman"/>
          <w:b/>
          <w:bCs/>
          <w:sz w:val="20"/>
          <w:szCs w:val="20"/>
        </w:rPr>
        <w:t>Wagner et al. (2018)</w:t>
      </w:r>
      <w:r>
        <w:rPr>
          <w:rFonts w:ascii="Times New Roman" w:hAnsi="Times New Roman" w:cs="Times New Roman"/>
          <w:sz w:val="20"/>
          <w:szCs w:val="20"/>
        </w:rPr>
        <w:t xml:space="preserve"> mentioned that the ability of pan-fungal PCR </w:t>
      </w:r>
      <w:r>
        <w:rPr>
          <w:rFonts w:ascii="Times New Roman" w:hAnsi="Times New Roman" w:cs="Times New Roman"/>
          <w:sz w:val="20"/>
          <w:szCs w:val="20"/>
        </w:rPr>
        <w:t>assays to detect a wide spectrum of fungi which is clearly an advan</w:t>
      </w:r>
      <w:r>
        <w:rPr>
          <w:rFonts w:ascii="Times New Roman" w:hAnsi="Times New Roman" w:cs="Times New Roman"/>
          <w:sz w:val="20"/>
          <w:szCs w:val="20"/>
        </w:rPr>
        <w:t xml:space="preserve">tage. Conversely, amplification of contaminating fungal nucleic acids present in the environment or laboratory can be a drawback. </w:t>
      </w:r>
    </w:p>
    <w:p w14:paraId="6298F3E6" w14:textId="77777777" w:rsidR="00D95EDA" w:rsidRDefault="001E5FDB">
      <w:pPr>
        <w:snapToGrid w:val="0"/>
        <w:ind w:firstLine="720"/>
        <w:rPr>
          <w:rFonts w:ascii="Times New Roman" w:hAnsi="Times New Roman" w:cs="Times New Roman"/>
          <w:sz w:val="20"/>
          <w:szCs w:val="20"/>
        </w:rPr>
      </w:pPr>
      <w:r>
        <w:rPr>
          <w:rFonts w:ascii="Times New Roman" w:eastAsia="Times New Roman" w:hAnsi="Times New Roman" w:cs="Times New Roman"/>
          <w:sz w:val="20"/>
          <w:szCs w:val="20"/>
        </w:rPr>
        <w:t>Comparing the results of different methods used for diagnosis of IFIs, 19 cases (27.1%) were positive blood culture. This num</w:t>
      </w:r>
      <w:r>
        <w:rPr>
          <w:rFonts w:ascii="Times New Roman" w:eastAsia="Times New Roman" w:hAnsi="Times New Roman" w:cs="Times New Roman"/>
          <w:sz w:val="20"/>
          <w:szCs w:val="20"/>
        </w:rPr>
        <w:t xml:space="preserve">ber increases to 38 (54.3%) by the use of Ag detection test and further increase to 45 (64.3%) cases out of the examined 70 patients by pan-fungal PCR. Accordingly, ELISA can detect all the blood culture positive cases and 22 of the blood culture negative </w:t>
      </w:r>
      <w:r>
        <w:rPr>
          <w:rFonts w:ascii="Times New Roman" w:eastAsia="Times New Roman" w:hAnsi="Times New Roman" w:cs="Times New Roman"/>
          <w:sz w:val="20"/>
          <w:szCs w:val="20"/>
        </w:rPr>
        <w:t>cases.</w:t>
      </w:r>
      <w:r>
        <w:rPr>
          <w:rFonts w:ascii="Times New Roman" w:hAnsi="Times New Roman" w:cs="Times New Roman"/>
          <w:sz w:val="20"/>
          <w:szCs w:val="20"/>
        </w:rPr>
        <w:t xml:space="preserve"> These results are coincident with the work of</w:t>
      </w:r>
      <w:r>
        <w:rPr>
          <w:rFonts w:ascii="Times New Roman" w:hAnsi="Times New Roman" w:cs="Times New Roman"/>
          <w:b/>
          <w:bCs/>
          <w:sz w:val="20"/>
          <w:szCs w:val="20"/>
        </w:rPr>
        <w:t xml:space="preserve"> </w:t>
      </w:r>
      <w:r>
        <w:rPr>
          <w:rFonts w:ascii="Times New Roman" w:hAnsi="Times New Roman" w:cs="Times New Roman"/>
          <w:b/>
          <w:bCs/>
          <w:sz w:val="20"/>
          <w:szCs w:val="20"/>
        </w:rPr>
        <w:t>Azab et al. (2015)</w:t>
      </w:r>
      <w:r>
        <w:rPr>
          <w:rFonts w:ascii="Times New Roman" w:hAnsi="Times New Roman" w:cs="Times New Roman"/>
          <w:sz w:val="20"/>
          <w:szCs w:val="20"/>
        </w:rPr>
        <w:t xml:space="preserve"> </w:t>
      </w:r>
      <w:r>
        <w:rPr>
          <w:rFonts w:ascii="Times New Roman" w:hAnsi="Times New Roman" w:cs="Times New Roman"/>
          <w:sz w:val="20"/>
          <w:szCs w:val="20"/>
        </w:rPr>
        <w:t>in which 24.1% of</w:t>
      </w:r>
      <w:r>
        <w:rPr>
          <w:rFonts w:ascii="Times New Roman" w:hAnsi="Times New Roman" w:cs="Times New Roman"/>
          <w:b/>
          <w:bCs/>
          <w:sz w:val="20"/>
          <w:szCs w:val="20"/>
        </w:rPr>
        <w:t xml:space="preserve"> </w:t>
      </w:r>
      <w:r>
        <w:rPr>
          <w:rFonts w:ascii="Times New Roman" w:hAnsi="Times New Roman" w:cs="Times New Roman"/>
          <w:sz w:val="20"/>
          <w:szCs w:val="20"/>
        </w:rPr>
        <w:t xml:space="preserve">patients were positive by blood culture </w:t>
      </w:r>
      <w:r>
        <w:rPr>
          <w:rFonts w:ascii="Times New Roman" w:hAnsi="Times New Roman" w:cs="Times New Roman"/>
          <w:sz w:val="20"/>
          <w:szCs w:val="20"/>
        </w:rPr>
        <w:t>increased to 51.9% of cases by the use of Ag detection test and further increased to 59.5% by pan-fungal PCR, with statistical</w:t>
      </w:r>
      <w:r>
        <w:rPr>
          <w:rFonts w:ascii="Times New Roman" w:hAnsi="Times New Roman" w:cs="Times New Roman"/>
          <w:sz w:val="20"/>
          <w:szCs w:val="20"/>
        </w:rPr>
        <w:t>ly significant difference</w:t>
      </w:r>
      <w:r>
        <w:rPr>
          <w:rFonts w:ascii="Times New Roman" w:hAnsi="Times New Roman" w:cs="Times New Roman"/>
          <w:sz w:val="20"/>
          <w:szCs w:val="20"/>
        </w:rPr>
        <w:t xml:space="preserve">. </w:t>
      </w:r>
      <w:r>
        <w:rPr>
          <w:rFonts w:ascii="Times New Roman" w:hAnsi="Times New Roman" w:cs="Times New Roman"/>
          <w:sz w:val="20"/>
          <w:szCs w:val="20"/>
        </w:rPr>
        <w:t xml:space="preserve">In a similar study by </w:t>
      </w:r>
      <w:r>
        <w:rPr>
          <w:rFonts w:ascii="Times New Roman" w:hAnsi="Times New Roman" w:cs="Times New Roman"/>
          <w:b/>
          <w:bCs/>
          <w:sz w:val="20"/>
          <w:szCs w:val="20"/>
        </w:rPr>
        <w:t>Nguyen et al.  (2012)</w:t>
      </w:r>
      <w:r>
        <w:rPr>
          <w:rFonts w:ascii="Times New Roman" w:hAnsi="Times New Roman" w:cs="Times New Roman"/>
          <w:sz w:val="20"/>
          <w:szCs w:val="20"/>
        </w:rPr>
        <w:t xml:space="preserve"> BDG and PCR results were both significantly more positive than blood cultures (62% and 88% vs 17%). </w:t>
      </w:r>
    </w:p>
    <w:p w14:paraId="20D1B88A" w14:textId="77777777" w:rsidR="00D95EDA" w:rsidRDefault="001E5FDB">
      <w:pPr>
        <w:snapToGrid w:val="0"/>
        <w:ind w:firstLine="720"/>
        <w:rPr>
          <w:rFonts w:ascii="Times New Roman" w:hAnsi="Times New Roman" w:cs="Times New Roman"/>
          <w:sz w:val="20"/>
          <w:szCs w:val="20"/>
        </w:rPr>
      </w:pPr>
      <w:r>
        <w:rPr>
          <w:rFonts w:ascii="Times New Roman" w:hAnsi="Times New Roman" w:cs="Times New Roman"/>
          <w:sz w:val="20"/>
          <w:szCs w:val="20"/>
        </w:rPr>
        <w:t>The diagnosis of patients with IFIs in the present study revealed a good agreement b</w:t>
      </w:r>
      <w:r>
        <w:rPr>
          <w:rFonts w:ascii="Times New Roman" w:hAnsi="Times New Roman" w:cs="Times New Roman"/>
          <w:sz w:val="20"/>
          <w:szCs w:val="20"/>
        </w:rPr>
        <w:t>etween Ag detection test of fungal antigen in serum by enzyme immunoassay and pan-fungal PCR. However, there is moderate agreement between the results of blood culture and Ag detection test. Additionally there is a fair agreement between the results of blo</w:t>
      </w:r>
      <w:r>
        <w:rPr>
          <w:rFonts w:ascii="Times New Roman" w:hAnsi="Times New Roman" w:cs="Times New Roman"/>
          <w:sz w:val="20"/>
          <w:szCs w:val="20"/>
        </w:rPr>
        <w:t>od culture and pan-fungal PCR. In accordance with our results A meta-Analysis by</w:t>
      </w:r>
      <w:r>
        <w:rPr>
          <w:rFonts w:ascii="Times New Roman" w:hAnsi="Times New Roman" w:cs="Times New Roman"/>
          <w:b/>
          <w:bCs/>
          <w:sz w:val="20"/>
          <w:szCs w:val="20"/>
        </w:rPr>
        <w:t xml:space="preserve"> Lehrnbecher et al. (2016) </w:t>
      </w:r>
      <w:r>
        <w:rPr>
          <w:rFonts w:ascii="Times New Roman" w:hAnsi="Times New Roman" w:cs="Times New Roman"/>
          <w:sz w:val="20"/>
          <w:szCs w:val="20"/>
        </w:rPr>
        <w:t xml:space="preserve">detected a very good agreement between the two non-culture based methods (PCR and ELISA). </w:t>
      </w:r>
    </w:p>
    <w:p w14:paraId="28A154E2" w14:textId="77777777" w:rsidR="00D95EDA" w:rsidRDefault="001E5FDB">
      <w:pPr>
        <w:snapToGrid w:val="0"/>
        <w:ind w:firstLine="720"/>
        <w:rPr>
          <w:rStyle w:val="fontstyle01"/>
          <w:rFonts w:ascii="Times New Roman" w:hAnsi="Times New Roman" w:cs="Times New Roman"/>
          <w:sz w:val="20"/>
          <w:szCs w:val="20"/>
        </w:rPr>
      </w:pPr>
      <w:r>
        <w:rPr>
          <w:rStyle w:val="fontstyle01"/>
          <w:rFonts w:ascii="Times New Roman" w:hAnsi="Times New Roman" w:cs="Times New Roman"/>
          <w:color w:val="auto"/>
          <w:sz w:val="20"/>
          <w:szCs w:val="20"/>
        </w:rPr>
        <w:t>Invasive fungal infections in our study were</w:t>
      </w:r>
      <w:r>
        <w:rPr>
          <w:rFonts w:ascii="Times New Roman" w:hAnsi="Times New Roman" w:cs="Times New Roman"/>
          <w:sz w:val="20"/>
          <w:szCs w:val="20"/>
        </w:rPr>
        <w:t xml:space="preserve"> </w:t>
      </w:r>
      <w:r>
        <w:rPr>
          <w:rStyle w:val="fontstyle01"/>
          <w:rFonts w:ascii="Times New Roman" w:hAnsi="Times New Roman" w:cs="Times New Roman"/>
          <w:color w:val="auto"/>
          <w:sz w:val="20"/>
          <w:szCs w:val="20"/>
        </w:rPr>
        <w:t>defined using</w:t>
      </w:r>
      <w:r>
        <w:rPr>
          <w:rStyle w:val="fontstyle01"/>
          <w:rFonts w:ascii="Times New Roman" w:hAnsi="Times New Roman" w:cs="Times New Roman"/>
          <w:color w:val="auto"/>
          <w:sz w:val="20"/>
          <w:szCs w:val="20"/>
        </w:rPr>
        <w:t xml:space="preserve"> revised EORTC/MSG Consensus</w:t>
      </w:r>
      <w:r>
        <w:rPr>
          <w:rFonts w:ascii="Times New Roman" w:hAnsi="Times New Roman" w:cs="Times New Roman"/>
          <w:sz w:val="20"/>
          <w:szCs w:val="20"/>
        </w:rPr>
        <w:t xml:space="preserve"> </w:t>
      </w:r>
      <w:r>
        <w:rPr>
          <w:rStyle w:val="fontstyle01"/>
          <w:rFonts w:ascii="Times New Roman" w:hAnsi="Times New Roman" w:cs="Times New Roman"/>
          <w:color w:val="auto"/>
          <w:sz w:val="20"/>
          <w:szCs w:val="20"/>
        </w:rPr>
        <w:t>Group criteria, and</w:t>
      </w:r>
      <w:r>
        <w:rPr>
          <w:rFonts w:ascii="Times New Roman" w:hAnsi="Times New Roman" w:cs="Times New Roman"/>
          <w:sz w:val="20"/>
          <w:szCs w:val="20"/>
        </w:rPr>
        <w:t xml:space="preserve"> </w:t>
      </w:r>
      <w:r>
        <w:rPr>
          <w:rStyle w:val="fontstyle01"/>
          <w:rFonts w:ascii="Times New Roman" w:hAnsi="Times New Roman" w:cs="Times New Roman"/>
          <w:color w:val="auto"/>
          <w:sz w:val="20"/>
          <w:szCs w:val="20"/>
        </w:rPr>
        <w:t>according to these criteria we found that</w:t>
      </w:r>
      <w:r>
        <w:rPr>
          <w:rFonts w:ascii="Times New Roman" w:hAnsi="Times New Roman" w:cs="Times New Roman"/>
          <w:sz w:val="20"/>
          <w:szCs w:val="20"/>
        </w:rPr>
        <w:t xml:space="preserve"> </w:t>
      </w:r>
      <w:r>
        <w:rPr>
          <w:rStyle w:val="fontstyle01"/>
          <w:rFonts w:ascii="Times New Roman" w:hAnsi="Times New Roman" w:cs="Times New Roman"/>
          <w:color w:val="auto"/>
          <w:sz w:val="20"/>
          <w:szCs w:val="20"/>
        </w:rPr>
        <w:t>19 cases were classified as proven IFI,</w:t>
      </w:r>
      <w:r>
        <w:rPr>
          <w:rFonts w:ascii="Times New Roman" w:hAnsi="Times New Roman" w:cs="Times New Roman"/>
          <w:sz w:val="20"/>
          <w:szCs w:val="20"/>
        </w:rPr>
        <w:t xml:space="preserve"> serological tests suggested probable invasive fungal infection in 49 patients whereas </w:t>
      </w:r>
      <w:r>
        <w:rPr>
          <w:rStyle w:val="fontstyle01"/>
          <w:rFonts w:ascii="Times New Roman" w:hAnsi="Times New Roman" w:cs="Times New Roman"/>
          <w:color w:val="auto"/>
          <w:sz w:val="20"/>
          <w:szCs w:val="20"/>
        </w:rPr>
        <w:t>70 cases were</w:t>
      </w:r>
      <w:r>
        <w:rPr>
          <w:rFonts w:ascii="Times New Roman" w:hAnsi="Times New Roman" w:cs="Times New Roman"/>
          <w:sz w:val="20"/>
          <w:szCs w:val="20"/>
        </w:rPr>
        <w:t xml:space="preserve"> </w:t>
      </w:r>
      <w:r>
        <w:rPr>
          <w:rStyle w:val="fontstyle01"/>
          <w:rFonts w:ascii="Times New Roman" w:hAnsi="Times New Roman" w:cs="Times New Roman"/>
          <w:color w:val="auto"/>
          <w:sz w:val="20"/>
          <w:szCs w:val="20"/>
        </w:rPr>
        <w:t xml:space="preserve">possible invasive fungal </w:t>
      </w:r>
      <w:r>
        <w:rPr>
          <w:rStyle w:val="fontstyle01"/>
          <w:rFonts w:ascii="Times New Roman" w:hAnsi="Times New Roman" w:cs="Times New Roman"/>
          <w:color w:val="auto"/>
          <w:sz w:val="20"/>
          <w:szCs w:val="20"/>
        </w:rPr>
        <w:t>diseases.</w:t>
      </w:r>
      <w:r>
        <w:rPr>
          <w:rStyle w:val="fontstyle01"/>
          <w:rFonts w:ascii="Times New Roman" w:hAnsi="Times New Roman" w:cs="Times New Roman"/>
          <w:sz w:val="20"/>
          <w:szCs w:val="20"/>
        </w:rPr>
        <w:t xml:space="preserve"> </w:t>
      </w:r>
      <w:r>
        <w:rPr>
          <w:rFonts w:ascii="Times New Roman" w:hAnsi="Times New Roman" w:cs="Times New Roman"/>
          <w:sz w:val="20"/>
          <w:szCs w:val="20"/>
        </w:rPr>
        <w:t xml:space="preserve">All the 38 proven/probable cases were positive by the pan-fungal PCR assay, and of the 32 </w:t>
      </w:r>
      <w:r>
        <w:rPr>
          <w:rFonts w:ascii="Times New Roman" w:hAnsi="Times New Roman" w:cs="Times New Roman"/>
          <w:sz w:val="20"/>
          <w:szCs w:val="20"/>
        </w:rPr>
        <w:lastRenderedPageBreak/>
        <w:t xml:space="preserve">possible cases, only 7 turned to be positive by the pan-fungal PCR assay. </w:t>
      </w:r>
      <w:r>
        <w:rPr>
          <w:rStyle w:val="fontstyle01"/>
          <w:rFonts w:ascii="Times New Roman" w:hAnsi="Times New Roman" w:cs="Times New Roman"/>
          <w:sz w:val="20"/>
          <w:szCs w:val="20"/>
        </w:rPr>
        <w:t>A study by</w:t>
      </w:r>
      <w:r>
        <w:rPr>
          <w:rStyle w:val="fontstyle01"/>
          <w:rFonts w:ascii="Times New Roman" w:hAnsi="Times New Roman" w:cs="Times New Roman"/>
          <w:b/>
          <w:bCs/>
          <w:sz w:val="20"/>
          <w:szCs w:val="20"/>
        </w:rPr>
        <w:t xml:space="preserve"> Landlinger </w:t>
      </w:r>
      <w:r>
        <w:rPr>
          <w:rStyle w:val="fontstyle21"/>
          <w:rFonts w:ascii="Times New Roman" w:hAnsi="Times New Roman" w:cs="Times New Roman"/>
          <w:b/>
          <w:bCs/>
          <w:i w:val="0"/>
          <w:iCs w:val="0"/>
          <w:sz w:val="20"/>
          <w:szCs w:val="20"/>
        </w:rPr>
        <w:t>et al</w:t>
      </w:r>
      <w:r>
        <w:rPr>
          <w:rStyle w:val="fontstyle21"/>
          <w:rFonts w:ascii="Times New Roman" w:hAnsi="Times New Roman" w:cs="Times New Roman"/>
          <w:b/>
          <w:bCs/>
          <w:sz w:val="20"/>
          <w:szCs w:val="20"/>
        </w:rPr>
        <w:t>.</w:t>
      </w:r>
      <w:r>
        <w:rPr>
          <w:rFonts w:ascii="Times New Roman" w:hAnsi="Times New Roman" w:cs="Times New Roman"/>
          <w:b/>
          <w:bCs/>
          <w:i/>
          <w:iCs/>
          <w:sz w:val="20"/>
          <w:szCs w:val="20"/>
        </w:rPr>
        <w:t xml:space="preserve"> </w:t>
      </w:r>
      <w:r>
        <w:rPr>
          <w:rStyle w:val="fontstyle01"/>
          <w:rFonts w:ascii="Times New Roman" w:hAnsi="Times New Roman" w:cs="Times New Roman"/>
          <w:b/>
          <w:bCs/>
          <w:sz w:val="20"/>
          <w:szCs w:val="20"/>
        </w:rPr>
        <w:t>(2010)</w:t>
      </w:r>
      <w:r>
        <w:rPr>
          <w:rStyle w:val="fontstyle01"/>
          <w:rFonts w:ascii="Times New Roman" w:hAnsi="Times New Roman" w:cs="Times New Roman"/>
          <w:sz w:val="20"/>
          <w:szCs w:val="20"/>
        </w:rPr>
        <w:t xml:space="preserve"> had focused on the correlation</w:t>
      </w:r>
      <w:r>
        <w:rPr>
          <w:rFonts w:ascii="Times New Roman" w:hAnsi="Times New Roman" w:cs="Times New Roman"/>
          <w:sz w:val="20"/>
          <w:szCs w:val="20"/>
        </w:rPr>
        <w:t xml:space="preserve"> </w:t>
      </w:r>
      <w:r>
        <w:rPr>
          <w:rStyle w:val="fontstyle01"/>
          <w:rFonts w:ascii="Times New Roman" w:hAnsi="Times New Roman" w:cs="Times New Roman"/>
          <w:sz w:val="20"/>
          <w:szCs w:val="20"/>
        </w:rPr>
        <w:t>between PCR positive patients and the</w:t>
      </w:r>
      <w:r>
        <w:rPr>
          <w:rFonts w:ascii="Times New Roman" w:hAnsi="Times New Roman" w:cs="Times New Roman"/>
          <w:sz w:val="20"/>
          <w:szCs w:val="20"/>
        </w:rPr>
        <w:t xml:space="preserve"> </w:t>
      </w:r>
      <w:r>
        <w:rPr>
          <w:rStyle w:val="fontstyle01"/>
          <w:rFonts w:ascii="Times New Roman" w:hAnsi="Times New Roman" w:cs="Times New Roman"/>
          <w:sz w:val="20"/>
          <w:szCs w:val="20"/>
        </w:rPr>
        <w:t>presence of proven, probable, and possible</w:t>
      </w:r>
      <w:r>
        <w:rPr>
          <w:rFonts w:ascii="Times New Roman" w:hAnsi="Times New Roman" w:cs="Times New Roman"/>
          <w:sz w:val="20"/>
          <w:szCs w:val="20"/>
        </w:rPr>
        <w:t xml:space="preserve"> </w:t>
      </w:r>
      <w:r>
        <w:rPr>
          <w:rStyle w:val="fontstyle01"/>
          <w:rFonts w:ascii="Times New Roman" w:hAnsi="Times New Roman" w:cs="Times New Roman"/>
          <w:sz w:val="20"/>
          <w:szCs w:val="20"/>
        </w:rPr>
        <w:t>criteria of IFI according to the EORTCMSG criteria; in his study,</w:t>
      </w:r>
      <w:r>
        <w:rPr>
          <w:rFonts w:ascii="Times New Roman" w:hAnsi="Times New Roman" w:cs="Times New Roman"/>
          <w:sz w:val="20"/>
          <w:szCs w:val="20"/>
        </w:rPr>
        <w:t xml:space="preserve"> </w:t>
      </w:r>
      <w:r>
        <w:rPr>
          <w:rStyle w:val="fontstyle01"/>
          <w:rFonts w:ascii="Times New Roman" w:hAnsi="Times New Roman" w:cs="Times New Roman"/>
          <w:sz w:val="20"/>
          <w:szCs w:val="20"/>
        </w:rPr>
        <w:t>all proven, probable IFI, and one case with</w:t>
      </w:r>
      <w:r>
        <w:rPr>
          <w:rFonts w:ascii="Times New Roman" w:hAnsi="Times New Roman" w:cs="Times New Roman"/>
          <w:sz w:val="20"/>
          <w:szCs w:val="20"/>
        </w:rPr>
        <w:t xml:space="preserve"> </w:t>
      </w:r>
      <w:r>
        <w:rPr>
          <w:rStyle w:val="fontstyle01"/>
          <w:rFonts w:ascii="Times New Roman" w:hAnsi="Times New Roman" w:cs="Times New Roman"/>
          <w:sz w:val="20"/>
          <w:szCs w:val="20"/>
        </w:rPr>
        <w:t>possible IFI were PCR positive.</w:t>
      </w:r>
      <w:r>
        <w:rPr>
          <w:rFonts w:ascii="Times New Roman" w:hAnsi="Times New Roman" w:cs="Times New Roman"/>
          <w:sz w:val="20"/>
          <w:szCs w:val="20"/>
        </w:rPr>
        <w:t xml:space="preserve"> </w:t>
      </w:r>
    </w:p>
    <w:p w14:paraId="50423845" w14:textId="77777777" w:rsidR="00D95EDA" w:rsidRDefault="00D95EDA">
      <w:pPr>
        <w:snapToGrid w:val="0"/>
        <w:ind w:firstLine="720"/>
        <w:rPr>
          <w:rStyle w:val="fontstyle01"/>
          <w:rFonts w:ascii="Times New Roman" w:hAnsi="Times New Roman" w:cs="Times New Roman"/>
          <w:sz w:val="20"/>
          <w:szCs w:val="20"/>
        </w:rPr>
      </w:pPr>
    </w:p>
    <w:p w14:paraId="17758490" w14:textId="77777777" w:rsidR="00D95EDA" w:rsidRDefault="001E5FDB">
      <w:pPr>
        <w:snapToGrid w:val="0"/>
        <w:ind w:firstLine="720"/>
        <w:rPr>
          <w:rFonts w:ascii="Times New Roman" w:hAnsi="Times New Roman" w:cs="Times New Roman"/>
          <w:sz w:val="20"/>
          <w:szCs w:val="20"/>
        </w:rPr>
      </w:pPr>
      <w:r>
        <w:rPr>
          <w:rFonts w:ascii="Times New Roman" w:hAnsi="Times New Roman" w:cs="Times New Roman"/>
          <w:sz w:val="20"/>
          <w:szCs w:val="20"/>
        </w:rPr>
        <w:t>Invasive fungal infections are better diagnosed by molecular assay due to the presence engulfed fungi within circulating phagocytes. Also, the time factor could offer another explanation for the observed differences in the results of blood culture and PCR</w:t>
      </w:r>
      <w:r>
        <w:rPr>
          <w:rFonts w:ascii="Times New Roman" w:hAnsi="Times New Roman" w:cs="Times New Roman"/>
          <w:sz w:val="20"/>
          <w:szCs w:val="20"/>
        </w:rPr>
        <w:t>. Concerning time taken by each method, blood culture method took the most time (up to 2 weeks) while PCR took the least time (2- 3 hours).</w:t>
      </w:r>
    </w:p>
    <w:p w14:paraId="126B4575" w14:textId="77777777" w:rsidR="00D95EDA" w:rsidRDefault="001E5FDB">
      <w:pPr>
        <w:tabs>
          <w:tab w:val="right" w:pos="8505"/>
          <w:tab w:val="right" w:pos="13608"/>
        </w:tabs>
        <w:snapToGrid w:val="0"/>
        <w:ind w:right="1"/>
        <w:rPr>
          <w:rFonts w:ascii="Times New Roman" w:eastAsia="Times New Roman" w:hAnsi="Times New Roman" w:cs="Times New Roman"/>
          <w:sz w:val="20"/>
          <w:szCs w:val="20"/>
          <w:u w:val="single"/>
        </w:rPr>
      </w:pPr>
      <w:r>
        <w:rPr>
          <w:rFonts w:ascii="Times New Roman" w:eastAsia="Times New Roman" w:hAnsi="Times New Roman" w:cs="Times New Roman"/>
          <w:b/>
          <w:sz w:val="20"/>
          <w:szCs w:val="20"/>
          <w:u w:val="single"/>
        </w:rPr>
        <w:t>Conclusion</w:t>
      </w:r>
      <w:r>
        <w:rPr>
          <w:rFonts w:ascii="Times New Roman" w:eastAsia="Times New Roman" w:hAnsi="Times New Roman" w:cs="Times New Roman"/>
          <w:sz w:val="20"/>
          <w:szCs w:val="20"/>
          <w:u w:val="single"/>
        </w:rPr>
        <w:t xml:space="preserve"> </w:t>
      </w:r>
    </w:p>
    <w:p w14:paraId="3854555F" w14:textId="77777777" w:rsidR="00D95EDA" w:rsidRDefault="001E5FDB">
      <w:pPr>
        <w:tabs>
          <w:tab w:val="right" w:pos="8505"/>
          <w:tab w:val="right" w:pos="13608"/>
        </w:tabs>
        <w:snapToGrid w:val="0"/>
        <w:ind w:right="1"/>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It was concluded that conventional diagnostic tests such as histology, microscopy, and culture remain the cornerstone of proving the presence of fungal disease, however they are slow and lack the desired sensitivity and specificity. While rapid dia</w:t>
      </w:r>
      <w:r>
        <w:rPr>
          <w:rFonts w:ascii="Times New Roman" w:eastAsia="Times New Roman" w:hAnsi="Times New Roman" w:cs="Times New Roman"/>
          <w:sz w:val="20"/>
          <w:szCs w:val="20"/>
        </w:rPr>
        <w:t>gnostic techniques such as ELISA and PCR offer an accurate and reproducible tool for early diagnosis and identification of fungal pathogens. It is important to consider standardization of fungal PCR so it can be included in the diagnostic criteria of invas</w:t>
      </w:r>
      <w:r>
        <w:rPr>
          <w:rFonts w:ascii="Times New Roman" w:eastAsia="Times New Roman" w:hAnsi="Times New Roman" w:cs="Times New Roman"/>
          <w:sz w:val="20"/>
          <w:szCs w:val="20"/>
        </w:rPr>
        <w:t>ive fungal diseases.</w:t>
      </w:r>
    </w:p>
    <w:p w14:paraId="165BFC60" w14:textId="77777777" w:rsidR="00D95EDA" w:rsidRDefault="001E5FDB">
      <w:pPr>
        <w:tabs>
          <w:tab w:val="right" w:pos="8505"/>
          <w:tab w:val="right" w:pos="13608"/>
        </w:tabs>
        <w:snapToGrid w:val="0"/>
        <w:ind w:right="1"/>
        <w:rPr>
          <w:rFonts w:ascii="Times New Roman" w:eastAsia="宋体" w:hAnsi="Times New Roman" w:cs="Times New Roman"/>
          <w:b/>
          <w:bCs/>
          <w:sz w:val="20"/>
          <w:szCs w:val="20"/>
        </w:rPr>
      </w:pPr>
      <w:r>
        <w:rPr>
          <w:rFonts w:ascii="Times New Roman" w:eastAsia="Times New Roman" w:hAnsi="Times New Roman" w:cs="Times New Roman"/>
          <w:b/>
          <w:bCs/>
          <w:sz w:val="20"/>
          <w:szCs w:val="20"/>
        </w:rPr>
        <w:t>Acknowledgments</w:t>
      </w:r>
    </w:p>
    <w:p w14:paraId="61EDA0B3" w14:textId="77777777" w:rsidR="00D95EDA" w:rsidRDefault="001E5FDB">
      <w:pPr>
        <w:tabs>
          <w:tab w:val="right" w:pos="8505"/>
          <w:tab w:val="right" w:pos="13608"/>
        </w:tabs>
        <w:snapToGrid w:val="0"/>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authors would like to thank the Clinical microbiology staff of Mansoura Oncology Center for providing facilities to this work.</w:t>
      </w:r>
    </w:p>
    <w:p w14:paraId="743AEB36" w14:textId="77777777" w:rsidR="00D95EDA" w:rsidRDefault="00D95EDA">
      <w:pPr>
        <w:tabs>
          <w:tab w:val="right" w:pos="8505"/>
          <w:tab w:val="right" w:pos="13608"/>
        </w:tabs>
        <w:snapToGrid w:val="0"/>
        <w:ind w:right="1"/>
        <w:rPr>
          <w:rFonts w:ascii="Times New Roman" w:eastAsia="Times New Roman" w:hAnsi="Times New Roman" w:cs="Times New Roman"/>
          <w:b/>
          <w:sz w:val="20"/>
          <w:szCs w:val="20"/>
        </w:rPr>
      </w:pPr>
    </w:p>
    <w:p w14:paraId="135E5DF2" w14:textId="77777777" w:rsidR="00D95EDA" w:rsidRDefault="001E5FDB">
      <w:pPr>
        <w:tabs>
          <w:tab w:val="right" w:pos="8505"/>
          <w:tab w:val="right" w:pos="13608"/>
        </w:tabs>
        <w:snapToGrid w:val="0"/>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Corresponding author:  </w:t>
      </w:r>
    </w:p>
    <w:p w14:paraId="2646D2F9" w14:textId="77777777" w:rsidR="00D95EDA" w:rsidRDefault="001E5FDB">
      <w:pPr>
        <w:tabs>
          <w:tab w:val="right" w:pos="8505"/>
          <w:tab w:val="right" w:pos="13608"/>
        </w:tabs>
        <w:snapToGrid w:val="0"/>
        <w:ind w:right="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Dr Mohamed Elshaer. </w:t>
      </w:r>
    </w:p>
    <w:p w14:paraId="06186DEE" w14:textId="77777777" w:rsidR="00D95EDA" w:rsidRDefault="001E5FDB">
      <w:pPr>
        <w:tabs>
          <w:tab w:val="right" w:pos="8505"/>
          <w:tab w:val="right" w:pos="13608"/>
        </w:tabs>
        <w:snapToGrid w:val="0"/>
        <w:ind w:right="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Lecturer assistant of Clinical Pa</w:t>
      </w:r>
      <w:r>
        <w:rPr>
          <w:rFonts w:ascii="Times New Roman" w:eastAsia="Times New Roman" w:hAnsi="Times New Roman" w:cs="Times New Roman"/>
          <w:bCs/>
          <w:sz w:val="20"/>
          <w:szCs w:val="20"/>
        </w:rPr>
        <w:t>thology</w:t>
      </w:r>
    </w:p>
    <w:p w14:paraId="723E0445" w14:textId="77777777" w:rsidR="00D95EDA" w:rsidRDefault="001E5FDB">
      <w:pPr>
        <w:tabs>
          <w:tab w:val="right" w:pos="8505"/>
          <w:tab w:val="right" w:pos="13608"/>
        </w:tabs>
        <w:snapToGrid w:val="0"/>
        <w:ind w:right="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El-Gohmouria Street, Mansoura university post.</w:t>
      </w:r>
    </w:p>
    <w:p w14:paraId="5036CFD7" w14:textId="77777777" w:rsidR="00D95EDA" w:rsidRDefault="001E5FDB">
      <w:pPr>
        <w:tabs>
          <w:tab w:val="right" w:pos="8505"/>
          <w:tab w:val="right" w:pos="13608"/>
        </w:tabs>
        <w:snapToGrid w:val="0"/>
        <w:ind w:right="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Tel: +21020480202.</w:t>
      </w:r>
    </w:p>
    <w:p w14:paraId="61D03FD9" w14:textId="77777777" w:rsidR="00D95EDA" w:rsidRDefault="001E5FDB">
      <w:pPr>
        <w:tabs>
          <w:tab w:val="right" w:pos="8505"/>
          <w:tab w:val="right" w:pos="13608"/>
        </w:tabs>
        <w:snapToGrid w:val="0"/>
        <w:ind w:right="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Email: </w:t>
      </w:r>
      <w:hyperlink r:id="rId20" w:history="1">
        <w:r>
          <w:rPr>
            <w:rStyle w:val="Hyperlink"/>
            <w:rFonts w:ascii="Times New Roman" w:eastAsia="Times New Roman" w:hAnsi="Times New Roman" w:cs="Times New Roman"/>
            <w:bCs/>
            <w:sz w:val="20"/>
            <w:szCs w:val="20"/>
            <w:u w:val="none"/>
          </w:rPr>
          <w:t>M_y_s_1985@outlook.com</w:t>
        </w:r>
      </w:hyperlink>
      <w:r>
        <w:rPr>
          <w:rFonts w:ascii="Times New Roman" w:eastAsia="Times New Roman" w:hAnsi="Times New Roman" w:cs="Times New Roman"/>
          <w:bCs/>
          <w:sz w:val="20"/>
          <w:szCs w:val="20"/>
        </w:rPr>
        <w:t>.</w:t>
      </w:r>
    </w:p>
    <w:p w14:paraId="0D2E5262" w14:textId="77777777" w:rsidR="00D95EDA" w:rsidRDefault="00D95EDA">
      <w:pPr>
        <w:snapToGrid w:val="0"/>
        <w:ind w:right="-720"/>
        <w:rPr>
          <w:rFonts w:ascii="Times New Roman" w:eastAsia="Times New Roman" w:hAnsi="Times New Roman" w:cs="Times New Roman"/>
          <w:b/>
          <w:bCs/>
          <w:sz w:val="20"/>
          <w:szCs w:val="20"/>
        </w:rPr>
      </w:pPr>
    </w:p>
    <w:p w14:paraId="451B3851" w14:textId="77777777" w:rsidR="00D95EDA" w:rsidRDefault="001E5FDB">
      <w:pPr>
        <w:snapToGrid w:val="0"/>
        <w:ind w:right="-720"/>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References</w:t>
      </w:r>
    </w:p>
    <w:p w14:paraId="404C568A" w14:textId="77777777" w:rsidR="00D95EDA" w:rsidRDefault="001E5FDB">
      <w:pPr>
        <w:numPr>
          <w:ilvl w:val="0"/>
          <w:numId w:val="3"/>
        </w:numPr>
        <w:tabs>
          <w:tab w:val="right" w:pos="993"/>
        </w:tabs>
        <w:autoSpaceDE w:val="0"/>
        <w:autoSpaceDN w:val="0"/>
        <w:adjustRightInd w:val="0"/>
        <w:snapToGri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Krishnan NS, Emerging Fungal Infections in Cancer Patients- A Brief Overview. </w:t>
      </w:r>
      <w:r>
        <w:rPr>
          <w:rFonts w:ascii="Times New Roman" w:eastAsia="Times New Roman" w:hAnsi="Times New Roman" w:cs="Times New Roman"/>
          <w:i/>
          <w:iCs/>
          <w:sz w:val="20"/>
          <w:szCs w:val="20"/>
        </w:rPr>
        <w:t>Med Mycol Open Access</w:t>
      </w:r>
      <w:r>
        <w:rPr>
          <w:rFonts w:ascii="Times New Roman" w:eastAsia="Times New Roman" w:hAnsi="Times New Roman" w:cs="Times New Roman"/>
          <w:sz w:val="20"/>
          <w:szCs w:val="20"/>
        </w:rPr>
        <w:t xml:space="preserve">. 2016; 2: 16. </w:t>
      </w:r>
      <w:hyperlink r:id="rId21" w:history="1">
        <w:r>
          <w:rPr>
            <w:rFonts w:ascii="Times New Roman" w:eastAsia="Times New Roman" w:hAnsi="Times New Roman" w:cs="Times New Roman"/>
            <w:color w:val="0000FF"/>
            <w:sz w:val="20"/>
            <w:szCs w:val="20"/>
          </w:rPr>
          <w:t>Doi: 10.21767/2471-8521.100016</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p>
    <w:p w14:paraId="4BA0C12D" w14:textId="77777777" w:rsidR="00D95EDA" w:rsidRDefault="001E5FDB">
      <w:pPr>
        <w:numPr>
          <w:ilvl w:val="0"/>
          <w:numId w:val="3"/>
        </w:numPr>
        <w:tabs>
          <w:tab w:val="right" w:pos="993"/>
        </w:tabs>
        <w:autoSpaceDE w:val="0"/>
        <w:autoSpaceDN w:val="0"/>
        <w:adjustRightInd w:val="0"/>
        <w:snapToGrid w:val="0"/>
        <w:rPr>
          <w:rFonts w:ascii="Times New Roman" w:eastAsia="Times New Roman" w:hAnsi="Times New Roman" w:cs="Times New Roman"/>
          <w:sz w:val="20"/>
          <w:szCs w:val="20"/>
        </w:rPr>
      </w:pPr>
      <w:r>
        <w:rPr>
          <w:rFonts w:ascii="Times New Roman" w:hAnsi="Times New Roman" w:cs="Times New Roman"/>
          <w:sz w:val="20"/>
          <w:szCs w:val="20"/>
        </w:rPr>
        <w:t>Hammond SP, Marty FM, Bryar JM, DeAngelo DJ, and</w:t>
      </w:r>
      <w:r>
        <w:rPr>
          <w:rFonts w:ascii="Times New Roman" w:hAnsi="Times New Roman" w:cs="Times New Roman"/>
          <w:sz w:val="20"/>
          <w:szCs w:val="20"/>
        </w:rPr>
        <w:t xml:space="preserve"> Baden LR, Invasive fungal disease in patients treated for newly diagnosed acute leukemia</w:t>
      </w:r>
      <w:r>
        <w:rPr>
          <w:rFonts w:ascii="Times New Roman" w:hAnsi="Times New Roman" w:cs="Times New Roman"/>
          <w:i/>
          <w:iCs/>
          <w:sz w:val="20"/>
          <w:szCs w:val="20"/>
        </w:rPr>
        <w:t>. Am J Hematol</w:t>
      </w:r>
      <w:r>
        <w:rPr>
          <w:rFonts w:ascii="Times New Roman" w:hAnsi="Times New Roman" w:cs="Times New Roman"/>
          <w:sz w:val="20"/>
          <w:szCs w:val="20"/>
        </w:rPr>
        <w:t xml:space="preserve">. 2010; 85(9): 695-699. </w:t>
      </w:r>
      <w:hyperlink r:id="rId22" w:history="1">
        <w:r>
          <w:rPr>
            <w:rStyle w:val="Hyperlink"/>
            <w:rFonts w:ascii="Times New Roman" w:hAnsi="Times New Roman" w:cs="Times New Roman"/>
            <w:sz w:val="20"/>
            <w:szCs w:val="20"/>
            <w:u w:val="none"/>
          </w:rPr>
          <w:t>Doi: 10.1002/ajh.21776</w:t>
        </w:r>
      </w:hyperlink>
      <w:r>
        <w:rPr>
          <w:rFonts w:ascii="Times New Roman" w:hAnsi="Times New Roman" w:cs="Times New Roman"/>
          <w:sz w:val="20"/>
          <w:szCs w:val="20"/>
        </w:rPr>
        <w:t>.</w:t>
      </w:r>
    </w:p>
    <w:p w14:paraId="711FBB67"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 xml:space="preserve">Pagano L, Caira M, Candoni A, Offidani M, </w:t>
      </w:r>
      <w:r>
        <w:rPr>
          <w:rFonts w:ascii="Times New Roman" w:hAnsi="Times New Roman" w:cs="Times New Roman"/>
          <w:sz w:val="20"/>
          <w:szCs w:val="20"/>
        </w:rPr>
        <w:t>Martino B, Specchia G, et al., Invasive aspergillosis in patients with acute myeloid leukemia: a SEIFEM-2008 registry study</w:t>
      </w:r>
      <w:r>
        <w:rPr>
          <w:rFonts w:ascii="Times New Roman" w:hAnsi="Times New Roman" w:cs="Times New Roman"/>
          <w:i/>
          <w:iCs/>
          <w:sz w:val="20"/>
          <w:szCs w:val="20"/>
        </w:rPr>
        <w:t>. Haematologica</w:t>
      </w:r>
      <w:r>
        <w:rPr>
          <w:rFonts w:ascii="Times New Roman" w:hAnsi="Times New Roman" w:cs="Times New Roman"/>
          <w:sz w:val="20"/>
          <w:szCs w:val="20"/>
        </w:rPr>
        <w:t xml:space="preserve">. 2010; </w:t>
      </w:r>
      <w:r>
        <w:rPr>
          <w:rFonts w:ascii="Times New Roman" w:hAnsi="Times New Roman" w:cs="Times New Roman"/>
          <w:b/>
          <w:bCs/>
          <w:sz w:val="20"/>
          <w:szCs w:val="20"/>
        </w:rPr>
        <w:t>95</w:t>
      </w:r>
      <w:r>
        <w:rPr>
          <w:rFonts w:ascii="Times New Roman" w:hAnsi="Times New Roman" w:cs="Times New Roman"/>
          <w:sz w:val="20"/>
          <w:szCs w:val="20"/>
        </w:rPr>
        <w:t xml:space="preserve">(4): 644-650. </w:t>
      </w:r>
      <w:hyperlink r:id="rId23" w:history="1">
        <w:r>
          <w:rPr>
            <w:rStyle w:val="Hyperlink"/>
            <w:rFonts w:ascii="Times New Roman" w:hAnsi="Times New Roman" w:cs="Times New Roman"/>
            <w:sz w:val="20"/>
            <w:szCs w:val="20"/>
            <w:u w:val="none"/>
          </w:rPr>
          <w:t>Doi: 10.3324/haematol.2009.012054</w:t>
        </w:r>
      </w:hyperlink>
      <w:r>
        <w:rPr>
          <w:rFonts w:ascii="Times New Roman" w:hAnsi="Times New Roman" w:cs="Times New Roman"/>
          <w:sz w:val="20"/>
          <w:szCs w:val="20"/>
        </w:rPr>
        <w:t>.</w:t>
      </w:r>
    </w:p>
    <w:p w14:paraId="69655960"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Ruhnke M and Schwartz S, Recent developments in the management of invasive fungal infections in patients with oncohematological diseases</w:t>
      </w:r>
      <w:r>
        <w:rPr>
          <w:rFonts w:ascii="Times New Roman" w:hAnsi="Times New Roman" w:cs="Times New Roman"/>
          <w:i/>
          <w:iCs/>
          <w:sz w:val="20"/>
          <w:szCs w:val="20"/>
        </w:rPr>
        <w:t>. Ther Adv Hematol</w:t>
      </w:r>
      <w:r>
        <w:rPr>
          <w:rFonts w:ascii="Times New Roman" w:hAnsi="Times New Roman" w:cs="Times New Roman"/>
          <w:sz w:val="20"/>
          <w:szCs w:val="20"/>
        </w:rPr>
        <w:t xml:space="preserve">. 2016; </w:t>
      </w:r>
      <w:r>
        <w:rPr>
          <w:rFonts w:ascii="Times New Roman" w:hAnsi="Times New Roman" w:cs="Times New Roman"/>
          <w:b/>
          <w:bCs/>
          <w:sz w:val="20"/>
          <w:szCs w:val="20"/>
        </w:rPr>
        <w:t>7</w:t>
      </w:r>
      <w:r>
        <w:rPr>
          <w:rFonts w:ascii="Times New Roman" w:hAnsi="Times New Roman" w:cs="Times New Roman"/>
          <w:sz w:val="20"/>
          <w:szCs w:val="20"/>
        </w:rPr>
        <w:t xml:space="preserve">(6): 345-359. </w:t>
      </w:r>
      <w:hyperlink r:id="rId24" w:history="1">
        <w:r>
          <w:rPr>
            <w:rStyle w:val="Hyperlink"/>
            <w:rFonts w:ascii="Times New Roman" w:hAnsi="Times New Roman" w:cs="Times New Roman"/>
            <w:sz w:val="20"/>
            <w:szCs w:val="20"/>
            <w:u w:val="none"/>
          </w:rPr>
          <w:t>Doi:10.1177/2040620</w:t>
        </w:r>
        <w:r>
          <w:rPr>
            <w:rStyle w:val="Hyperlink"/>
            <w:rFonts w:ascii="Times New Roman" w:hAnsi="Times New Roman" w:cs="Times New Roman"/>
            <w:sz w:val="20"/>
            <w:szCs w:val="20"/>
            <w:u w:val="none"/>
          </w:rPr>
          <w:t>716656381.</w:t>
        </w:r>
      </w:hyperlink>
    </w:p>
    <w:p w14:paraId="7022948F"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 xml:space="preserve">Cuenca-Estrella M, Bernal-Martinez L, Buitrago MJ, Castelli MV, Gomez-Lopez A, Zaragoza O, et </w:t>
      </w:r>
      <w:r>
        <w:rPr>
          <w:rFonts w:ascii="Times New Roman" w:hAnsi="Times New Roman" w:cs="Times New Roman"/>
          <w:sz w:val="20"/>
          <w:szCs w:val="20"/>
        </w:rPr>
        <w:t>al., Update on the epidemiology and diagnosis of invasive fungal infection</w:t>
      </w:r>
      <w:r>
        <w:rPr>
          <w:rFonts w:ascii="Times New Roman" w:hAnsi="Times New Roman" w:cs="Times New Roman"/>
          <w:i/>
          <w:iCs/>
          <w:sz w:val="20"/>
          <w:szCs w:val="20"/>
        </w:rPr>
        <w:t>. International Journal of Antimicrobial Agents</w:t>
      </w:r>
      <w:r>
        <w:rPr>
          <w:rFonts w:ascii="Times New Roman" w:hAnsi="Times New Roman" w:cs="Times New Roman"/>
          <w:sz w:val="20"/>
          <w:szCs w:val="20"/>
        </w:rPr>
        <w:t xml:space="preserve">. 2008; </w:t>
      </w:r>
      <w:r>
        <w:rPr>
          <w:rFonts w:ascii="Times New Roman" w:hAnsi="Times New Roman" w:cs="Times New Roman"/>
          <w:b/>
          <w:bCs/>
          <w:sz w:val="20"/>
          <w:szCs w:val="20"/>
        </w:rPr>
        <w:t>32</w:t>
      </w:r>
      <w:r>
        <w:rPr>
          <w:rFonts w:ascii="Times New Roman" w:hAnsi="Times New Roman" w:cs="Times New Roman"/>
          <w:sz w:val="20"/>
          <w:szCs w:val="20"/>
        </w:rPr>
        <w:t xml:space="preserve">: S143-S147. </w:t>
      </w:r>
      <w:hyperlink r:id="rId25" w:history="1">
        <w:r>
          <w:rPr>
            <w:rStyle w:val="Hyperlink"/>
            <w:rFonts w:ascii="Times New Roman" w:hAnsi="Times New Roman" w:cs="Times New Roman"/>
            <w:sz w:val="20"/>
            <w:szCs w:val="20"/>
            <w:u w:val="none"/>
          </w:rPr>
          <w:t>Doi: 10.1016/S0924-8579(08)70016-5</w:t>
        </w:r>
      </w:hyperlink>
      <w:r>
        <w:rPr>
          <w:rFonts w:ascii="Times New Roman" w:hAnsi="Times New Roman" w:cs="Times New Roman"/>
          <w:sz w:val="20"/>
          <w:szCs w:val="20"/>
        </w:rPr>
        <w:t>.</w:t>
      </w:r>
    </w:p>
    <w:p w14:paraId="79AA263C" w14:textId="77777777" w:rsidR="00D95EDA" w:rsidRDefault="00D95EDA">
      <w:pPr>
        <w:autoSpaceDE w:val="0"/>
        <w:autoSpaceDN w:val="0"/>
        <w:adjustRightInd w:val="0"/>
        <w:snapToGrid w:val="0"/>
        <w:ind w:left="720" w:hanging="720"/>
        <w:rPr>
          <w:rFonts w:ascii="Times New Roman" w:hAnsi="Times New Roman" w:cs="Times New Roman"/>
          <w:sz w:val="20"/>
          <w:szCs w:val="20"/>
        </w:rPr>
      </w:pPr>
    </w:p>
    <w:p w14:paraId="0F89C868" w14:textId="77777777" w:rsidR="00D95EDA" w:rsidRDefault="001E5FDB">
      <w:pPr>
        <w:numPr>
          <w:ilvl w:val="0"/>
          <w:numId w:val="3"/>
        </w:numPr>
        <w:tabs>
          <w:tab w:val="right" w:pos="993"/>
        </w:tabs>
        <w:autoSpaceDE w:val="0"/>
        <w:autoSpaceDN w:val="0"/>
        <w:adjustRightInd w:val="0"/>
        <w:snapToGri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Azab MM, Abo Taleb AF, Mohamed NAE and Omran FH, Rapid diagnosis of invasive fungal infections. </w:t>
      </w:r>
      <w:r>
        <w:rPr>
          <w:rFonts w:ascii="Times New Roman" w:eastAsia="Times New Roman" w:hAnsi="Times New Roman" w:cs="Times New Roman"/>
          <w:i/>
          <w:iCs/>
          <w:sz w:val="20"/>
          <w:szCs w:val="20"/>
        </w:rPr>
        <w:t>Int J Curr Microbiol App Sci</w:t>
      </w:r>
      <w:r>
        <w:rPr>
          <w:rFonts w:ascii="Times New Roman" w:eastAsia="Times New Roman" w:hAnsi="Times New Roman" w:cs="Times New Roman"/>
          <w:sz w:val="20"/>
          <w:szCs w:val="20"/>
        </w:rPr>
        <w:t>. 2015; 4: 470–486</w:t>
      </w:r>
      <w:r>
        <w:rPr>
          <w:rFonts w:ascii="Times New Roman" w:eastAsia="Times New Roman" w:hAnsi="Times New Roman" w:cs="Times New Roman"/>
          <w:sz w:val="20"/>
          <w:szCs w:val="20"/>
        </w:rPr>
        <w:t>. </w:t>
      </w:r>
    </w:p>
    <w:p w14:paraId="33D9F3F5"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Ribeiro P, Costa F, Monteiro A, Caldas J, Silva M, Ferreira G, et al., Polymerase chain reaction screening for fungemia and/or invasive fungal infections in patients with hematologic malignancies</w:t>
      </w:r>
      <w:r>
        <w:rPr>
          <w:rFonts w:ascii="Times New Roman" w:hAnsi="Times New Roman" w:cs="Times New Roman"/>
          <w:i/>
          <w:iCs/>
          <w:sz w:val="20"/>
          <w:szCs w:val="20"/>
        </w:rPr>
        <w:t>.Support Care Cancer</w:t>
      </w:r>
      <w:r>
        <w:rPr>
          <w:rFonts w:ascii="Times New Roman" w:hAnsi="Times New Roman" w:cs="Times New Roman"/>
          <w:sz w:val="20"/>
          <w:szCs w:val="20"/>
        </w:rPr>
        <w:t xml:space="preserve">. 2006; </w:t>
      </w:r>
      <w:r>
        <w:rPr>
          <w:rFonts w:ascii="Times New Roman" w:hAnsi="Times New Roman" w:cs="Times New Roman"/>
          <w:b/>
          <w:bCs/>
          <w:sz w:val="20"/>
          <w:szCs w:val="20"/>
        </w:rPr>
        <w:t>14</w:t>
      </w:r>
      <w:r>
        <w:rPr>
          <w:rFonts w:ascii="Times New Roman" w:hAnsi="Times New Roman" w:cs="Times New Roman"/>
          <w:sz w:val="20"/>
          <w:szCs w:val="20"/>
        </w:rPr>
        <w:t xml:space="preserve">(5): 469-474. </w:t>
      </w:r>
      <w:hyperlink r:id="rId26" w:history="1">
        <w:r>
          <w:rPr>
            <w:rStyle w:val="Hyperlink"/>
            <w:rFonts w:ascii="Times New Roman" w:hAnsi="Times New Roman" w:cs="Times New Roman"/>
            <w:sz w:val="20"/>
            <w:szCs w:val="20"/>
            <w:u w:val="none"/>
          </w:rPr>
          <w:t>Doi: 10.1007/s00520-005-0903-7.</w:t>
        </w:r>
      </w:hyperlink>
    </w:p>
    <w:p w14:paraId="4B70BDFE"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Arvanitis M, Anagnostou T, Fuchs BB, Caliendo AM, and Mylonakis E, Molecular and non-molecular diagnostic methods for invasive fungal infections</w:t>
      </w:r>
      <w:r>
        <w:rPr>
          <w:rFonts w:ascii="Times New Roman" w:hAnsi="Times New Roman" w:cs="Times New Roman"/>
          <w:i/>
          <w:iCs/>
          <w:sz w:val="20"/>
          <w:szCs w:val="20"/>
        </w:rPr>
        <w:t>. Clin Microbiol Rev</w:t>
      </w:r>
      <w:r>
        <w:rPr>
          <w:rFonts w:ascii="Times New Roman" w:hAnsi="Times New Roman" w:cs="Times New Roman"/>
          <w:sz w:val="20"/>
          <w:szCs w:val="20"/>
        </w:rPr>
        <w:t xml:space="preserve">. 2014; </w:t>
      </w:r>
      <w:r>
        <w:rPr>
          <w:rFonts w:ascii="Times New Roman" w:hAnsi="Times New Roman" w:cs="Times New Roman"/>
          <w:b/>
          <w:bCs/>
          <w:sz w:val="20"/>
          <w:szCs w:val="20"/>
        </w:rPr>
        <w:t>27</w:t>
      </w:r>
      <w:r>
        <w:rPr>
          <w:rFonts w:ascii="Times New Roman" w:hAnsi="Times New Roman" w:cs="Times New Roman"/>
          <w:sz w:val="20"/>
          <w:szCs w:val="20"/>
        </w:rPr>
        <w:t xml:space="preserve">(3): 490-526. </w:t>
      </w:r>
      <w:hyperlink r:id="rId27" w:history="1">
        <w:r>
          <w:rPr>
            <w:rStyle w:val="Hyperlink"/>
            <w:rFonts w:ascii="Times New Roman" w:hAnsi="Times New Roman" w:cs="Times New Roman"/>
            <w:sz w:val="20"/>
            <w:szCs w:val="20"/>
            <w:u w:val="none"/>
          </w:rPr>
          <w:t>Doi: 10.1128/cmr.00091-13.</w:t>
        </w:r>
      </w:hyperlink>
    </w:p>
    <w:p w14:paraId="3F3597C2" w14:textId="77777777" w:rsidR="00D95EDA" w:rsidRDefault="001E5FDB">
      <w:pPr>
        <w:numPr>
          <w:ilvl w:val="0"/>
          <w:numId w:val="3"/>
        </w:numPr>
        <w:autoSpaceDE w:val="0"/>
        <w:autoSpaceDN w:val="0"/>
        <w:adjustRightInd w:val="0"/>
        <w:snapToGrid w:val="0"/>
        <w:rPr>
          <w:rFonts w:ascii="Times New Roman" w:eastAsia="Times New Roman" w:hAnsi="Times New Roman" w:cs="Times New Roman"/>
          <w:sz w:val="20"/>
          <w:szCs w:val="20"/>
        </w:rPr>
      </w:pPr>
      <w:r>
        <w:rPr>
          <w:rFonts w:ascii="Times New Roman" w:hAnsi="Times New Roman" w:cs="Times New Roman"/>
          <w:sz w:val="20"/>
          <w:szCs w:val="20"/>
        </w:rPr>
        <w:t>De Carvalho Parahym, AM, LR De Melo, VL De Morais, and RP Neves, Candidiasis in pediatric patients with cancer interned in a university hospital</w:t>
      </w:r>
      <w:r>
        <w:rPr>
          <w:rFonts w:ascii="Times New Roman" w:hAnsi="Times New Roman" w:cs="Times New Roman"/>
          <w:i/>
          <w:iCs/>
          <w:sz w:val="20"/>
          <w:szCs w:val="20"/>
        </w:rPr>
        <w:t>. Braz</w:t>
      </w:r>
      <w:r>
        <w:rPr>
          <w:rFonts w:ascii="Times New Roman" w:hAnsi="Times New Roman" w:cs="Times New Roman"/>
          <w:i/>
          <w:iCs/>
          <w:sz w:val="20"/>
          <w:szCs w:val="20"/>
        </w:rPr>
        <w:t xml:space="preserve"> J Microbiol</w:t>
      </w:r>
      <w:r>
        <w:rPr>
          <w:rFonts w:ascii="Times New Roman" w:hAnsi="Times New Roman" w:cs="Times New Roman"/>
          <w:sz w:val="20"/>
          <w:szCs w:val="20"/>
        </w:rPr>
        <w:t xml:space="preserve">. 2009; 40(2): 321-324. </w:t>
      </w:r>
      <w:hyperlink r:id="rId28" w:history="1">
        <w:r>
          <w:rPr>
            <w:rStyle w:val="Hyperlink"/>
            <w:rFonts w:ascii="Times New Roman" w:hAnsi="Times New Roman" w:cs="Times New Roman"/>
            <w:sz w:val="20"/>
            <w:szCs w:val="20"/>
            <w:u w:val="none"/>
          </w:rPr>
          <w:t>Doi: 10.1590/s1517-838220090002000020.</w:t>
        </w:r>
      </w:hyperlink>
    </w:p>
    <w:p w14:paraId="060BC931" w14:textId="77777777" w:rsidR="00D95EDA" w:rsidRDefault="001E5FDB">
      <w:pPr>
        <w:numPr>
          <w:ilvl w:val="0"/>
          <w:numId w:val="3"/>
        </w:numPr>
        <w:autoSpaceDE w:val="0"/>
        <w:autoSpaceDN w:val="0"/>
        <w:adjustRightInd w:val="0"/>
        <w:snapToGrid w:val="0"/>
        <w:rPr>
          <w:rFonts w:ascii="Times New Roman" w:eastAsia="Times New Roman" w:hAnsi="Times New Roman" w:cs="Times New Roman"/>
          <w:sz w:val="20"/>
          <w:szCs w:val="20"/>
        </w:rPr>
      </w:pPr>
      <w:r>
        <w:rPr>
          <w:rFonts w:ascii="Times New Roman" w:eastAsia="Times New Roman" w:hAnsi="Times New Roman" w:cs="Times New Roman"/>
          <w:sz w:val="20"/>
          <w:szCs w:val="20"/>
        </w:rPr>
        <w:t>Aydemir Ö, Demiray T, Köroglu M, Aydemir Y, and Altindi M, Emerge of non-albicans Candida species; evaluation of C</w:t>
      </w:r>
      <w:r>
        <w:rPr>
          <w:rFonts w:ascii="Times New Roman" w:eastAsia="Times New Roman" w:hAnsi="Times New Roman" w:cs="Times New Roman"/>
          <w:sz w:val="20"/>
          <w:szCs w:val="20"/>
        </w:rPr>
        <w:t>andida species and antifungal susceptibilities according to years</w:t>
      </w:r>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Biomedical Research</w:t>
      </w:r>
      <w:r>
        <w:rPr>
          <w:rFonts w:ascii="Times New Roman" w:eastAsia="Times New Roman" w:hAnsi="Times New Roman" w:cs="Times New Roman"/>
          <w:sz w:val="20"/>
          <w:szCs w:val="20"/>
        </w:rPr>
        <w:t>. 2017; 28(6).</w:t>
      </w:r>
    </w:p>
    <w:p w14:paraId="0D321CDE"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eastAsia="Times New Roman" w:hAnsi="Times New Roman" w:cs="Times New Roman"/>
          <w:sz w:val="20"/>
          <w:szCs w:val="20"/>
        </w:rPr>
        <w:t>Ding X, Yan D, Sun W, Zeng Z, Su R and Su J, Epidemiology and risk factors for nosocomial Non-Candida albicans candidemia in adult patients at a tertiary c</w:t>
      </w:r>
      <w:r>
        <w:rPr>
          <w:rFonts w:ascii="Times New Roman" w:eastAsia="Times New Roman" w:hAnsi="Times New Roman" w:cs="Times New Roman"/>
          <w:sz w:val="20"/>
          <w:szCs w:val="20"/>
        </w:rPr>
        <w:t>are hospital in North China</w:t>
      </w:r>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Med Mycol</w:t>
      </w:r>
      <w:r>
        <w:rPr>
          <w:rFonts w:ascii="Times New Roman" w:eastAsia="Times New Roman" w:hAnsi="Times New Roman" w:cs="Times New Roman"/>
          <w:sz w:val="20"/>
          <w:szCs w:val="20"/>
        </w:rPr>
        <w:t xml:space="preserve">. 2015; 53(7): 684-90. </w:t>
      </w:r>
      <w:hyperlink r:id="rId29" w:history="1">
        <w:r>
          <w:rPr>
            <w:rFonts w:ascii="Times New Roman" w:eastAsia="Times New Roman" w:hAnsi="Times New Roman" w:cs="Times New Roman"/>
            <w:color w:val="0000FF"/>
            <w:sz w:val="20"/>
            <w:szCs w:val="20"/>
          </w:rPr>
          <w:t>Doi: 10.1093/mmy/myv060</w:t>
        </w:r>
      </w:hyperlink>
      <w:r>
        <w:rPr>
          <w:rFonts w:ascii="Times New Roman" w:hAnsi="Times New Roman" w:cs="Times New Roman"/>
          <w:sz w:val="20"/>
          <w:szCs w:val="20"/>
        </w:rPr>
        <w:t>.</w:t>
      </w:r>
    </w:p>
    <w:p w14:paraId="568A2FBD"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eastAsia="Times New Roman" w:hAnsi="Times New Roman" w:cs="Times New Roman"/>
          <w:sz w:val="20"/>
          <w:szCs w:val="20"/>
        </w:rPr>
        <w:t xml:space="preserve">Sharma Y, Chumber SK and M Kaur, Studying the Prevalence, Species Distribution, and Detection of In vitro </w:t>
      </w:r>
      <w:r>
        <w:rPr>
          <w:rFonts w:ascii="Times New Roman" w:eastAsia="Times New Roman" w:hAnsi="Times New Roman" w:cs="Times New Roman"/>
          <w:sz w:val="20"/>
          <w:szCs w:val="20"/>
        </w:rPr>
        <w:t>Production of Phospholipase from Candida Isolated from Cases of Invasive Candidiasis</w:t>
      </w:r>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J Glob Infect Dis</w:t>
      </w:r>
      <w:r>
        <w:rPr>
          <w:rFonts w:ascii="Times New Roman" w:eastAsia="Times New Roman" w:hAnsi="Times New Roman" w:cs="Times New Roman"/>
          <w:sz w:val="20"/>
          <w:szCs w:val="20"/>
        </w:rPr>
        <w:t xml:space="preserve">. 2017; 9(1): 8-11. </w:t>
      </w:r>
      <w:hyperlink r:id="rId30" w:history="1">
        <w:r>
          <w:rPr>
            <w:rFonts w:ascii="Times New Roman" w:eastAsia="Times New Roman" w:hAnsi="Times New Roman" w:cs="Times New Roman"/>
            <w:color w:val="0000FF"/>
            <w:sz w:val="20"/>
            <w:szCs w:val="20"/>
          </w:rPr>
          <w:t>Doi: 10.4103/0974-777x.199995.</w:t>
        </w:r>
      </w:hyperlink>
    </w:p>
    <w:p w14:paraId="0E563D41"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Akgun S, Sayiner HS, and Kayali S, Distribu</w:t>
      </w:r>
      <w:r>
        <w:rPr>
          <w:rFonts w:ascii="Times New Roman" w:hAnsi="Times New Roman" w:cs="Times New Roman"/>
          <w:sz w:val="20"/>
          <w:szCs w:val="20"/>
        </w:rPr>
        <w:t>tion of Candida Species Isolated from Blood Cultures Over a Period of Four Years</w:t>
      </w:r>
      <w:r>
        <w:rPr>
          <w:rFonts w:ascii="Times New Roman" w:hAnsi="Times New Roman" w:cs="Times New Roman"/>
          <w:i/>
          <w:iCs/>
          <w:sz w:val="20"/>
          <w:szCs w:val="20"/>
        </w:rPr>
        <w:t>. Eurasian Journal of Medical Investigation</w:t>
      </w:r>
      <w:r>
        <w:rPr>
          <w:rFonts w:ascii="Times New Roman" w:hAnsi="Times New Roman" w:cs="Times New Roman"/>
          <w:sz w:val="20"/>
          <w:szCs w:val="20"/>
        </w:rPr>
        <w:t xml:space="preserve">. </w:t>
      </w:r>
      <w:r>
        <w:rPr>
          <w:rFonts w:ascii="Times New Roman" w:hAnsi="Times New Roman" w:cs="Times New Roman"/>
          <w:b/>
          <w:bCs/>
          <w:sz w:val="20"/>
          <w:szCs w:val="20"/>
        </w:rPr>
        <w:t>2</w:t>
      </w:r>
      <w:r>
        <w:rPr>
          <w:rFonts w:ascii="Times New Roman" w:hAnsi="Times New Roman" w:cs="Times New Roman"/>
          <w:sz w:val="20"/>
          <w:szCs w:val="20"/>
        </w:rPr>
        <w:t xml:space="preserve">(1): 35-39. </w:t>
      </w:r>
      <w:hyperlink r:id="rId31" w:history="1">
        <w:r>
          <w:rPr>
            <w:rStyle w:val="Hyperlink"/>
            <w:rFonts w:ascii="Times New Roman" w:hAnsi="Times New Roman" w:cs="Times New Roman"/>
            <w:sz w:val="20"/>
            <w:szCs w:val="20"/>
            <w:u w:val="none"/>
          </w:rPr>
          <w:t>Doi: 10.14744/ejmi.2018.68077.</w:t>
        </w:r>
      </w:hyperlink>
    </w:p>
    <w:p w14:paraId="1D78A70E"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De Pauw B, Walsh TJ, Donnell</w:t>
      </w:r>
      <w:r>
        <w:rPr>
          <w:rFonts w:ascii="Times New Roman" w:hAnsi="Times New Roman" w:cs="Times New Roman"/>
          <w:sz w:val="20"/>
          <w:szCs w:val="20"/>
        </w:rPr>
        <w:t>y JP, Stevens DA, Edwards JE, Calandra T, et al., Revised Definitions of Invasive Fungal Disease from the European Organization for Research and Treatment of Cancer/Invasive Fungal Infections Cooperative Group and the National Institute of Allergy and Infe</w:t>
      </w:r>
      <w:r>
        <w:rPr>
          <w:rFonts w:ascii="Times New Roman" w:hAnsi="Times New Roman" w:cs="Times New Roman"/>
          <w:sz w:val="20"/>
          <w:szCs w:val="20"/>
        </w:rPr>
        <w:t>ctious Diseases Mycoses Study Group (EORTC/MSG) Consensus Group</w:t>
      </w:r>
      <w:r>
        <w:rPr>
          <w:rFonts w:ascii="Times New Roman" w:hAnsi="Times New Roman" w:cs="Times New Roman"/>
          <w:i/>
          <w:iCs/>
          <w:sz w:val="20"/>
          <w:szCs w:val="20"/>
        </w:rPr>
        <w:t xml:space="preserve">. Clinical </w:t>
      </w:r>
      <w:r>
        <w:rPr>
          <w:rFonts w:ascii="Times New Roman" w:hAnsi="Times New Roman" w:cs="Times New Roman"/>
          <w:i/>
          <w:iCs/>
          <w:sz w:val="20"/>
          <w:szCs w:val="20"/>
        </w:rPr>
        <w:lastRenderedPageBreak/>
        <w:t>Infectious Diseases</w:t>
      </w:r>
      <w:r>
        <w:rPr>
          <w:rFonts w:ascii="Times New Roman" w:hAnsi="Times New Roman" w:cs="Times New Roman"/>
          <w:sz w:val="20"/>
          <w:szCs w:val="20"/>
        </w:rPr>
        <w:t xml:space="preserve">. 2008; </w:t>
      </w:r>
      <w:r>
        <w:rPr>
          <w:rFonts w:ascii="Times New Roman" w:hAnsi="Times New Roman" w:cs="Times New Roman"/>
          <w:b/>
          <w:bCs/>
          <w:sz w:val="20"/>
          <w:szCs w:val="20"/>
        </w:rPr>
        <w:t>46</w:t>
      </w:r>
      <w:r>
        <w:rPr>
          <w:rFonts w:ascii="Times New Roman" w:hAnsi="Times New Roman" w:cs="Times New Roman"/>
          <w:sz w:val="20"/>
          <w:szCs w:val="20"/>
        </w:rPr>
        <w:t xml:space="preserve">(12): 1813-1821. </w:t>
      </w:r>
      <w:hyperlink r:id="rId32" w:history="1">
        <w:r>
          <w:rPr>
            <w:rStyle w:val="Hyperlink"/>
            <w:rFonts w:ascii="Times New Roman" w:hAnsi="Times New Roman" w:cs="Times New Roman"/>
            <w:sz w:val="20"/>
            <w:szCs w:val="20"/>
            <w:u w:val="none"/>
          </w:rPr>
          <w:t>Doi: 10.1086/588660</w:t>
        </w:r>
      </w:hyperlink>
      <w:r>
        <w:rPr>
          <w:rFonts w:ascii="Times New Roman" w:hAnsi="Times New Roman" w:cs="Times New Roman"/>
          <w:sz w:val="20"/>
          <w:szCs w:val="20"/>
        </w:rPr>
        <w:t>.</w:t>
      </w:r>
    </w:p>
    <w:p w14:paraId="38AD7FA8"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Wagner K, Springer B, Pires VP, and Keller PM, Molecular detection</w:t>
      </w:r>
      <w:r>
        <w:rPr>
          <w:rFonts w:ascii="Times New Roman" w:hAnsi="Times New Roman" w:cs="Times New Roman"/>
          <w:sz w:val="20"/>
          <w:szCs w:val="20"/>
        </w:rPr>
        <w:t xml:space="preserve"> of fungal pathogens in clinical specimens by 18S rDNA high-throughput screening in comparison to ITS PCR and culture</w:t>
      </w:r>
      <w:r>
        <w:rPr>
          <w:rFonts w:ascii="Times New Roman" w:hAnsi="Times New Roman" w:cs="Times New Roman"/>
          <w:i/>
          <w:iCs/>
          <w:sz w:val="20"/>
          <w:szCs w:val="20"/>
        </w:rPr>
        <w:t>. Scientific Reports</w:t>
      </w:r>
      <w:r>
        <w:rPr>
          <w:rFonts w:ascii="Times New Roman" w:hAnsi="Times New Roman" w:cs="Times New Roman"/>
          <w:sz w:val="20"/>
          <w:szCs w:val="20"/>
        </w:rPr>
        <w:t xml:space="preserve">. 2018; </w:t>
      </w:r>
      <w:r>
        <w:rPr>
          <w:rFonts w:ascii="Times New Roman" w:hAnsi="Times New Roman" w:cs="Times New Roman"/>
          <w:b/>
          <w:bCs/>
          <w:sz w:val="20"/>
          <w:szCs w:val="20"/>
        </w:rPr>
        <w:t>8</w:t>
      </w:r>
      <w:r>
        <w:rPr>
          <w:rFonts w:ascii="Times New Roman" w:hAnsi="Times New Roman" w:cs="Times New Roman"/>
          <w:sz w:val="20"/>
          <w:szCs w:val="20"/>
        </w:rPr>
        <w:t xml:space="preserve">(1): 6964. </w:t>
      </w:r>
      <w:hyperlink r:id="rId33" w:history="1">
        <w:r>
          <w:rPr>
            <w:rStyle w:val="Hyperlink"/>
            <w:rFonts w:ascii="Times New Roman" w:hAnsi="Times New Roman" w:cs="Times New Roman"/>
            <w:sz w:val="20"/>
            <w:szCs w:val="20"/>
            <w:u w:val="none"/>
          </w:rPr>
          <w:t>Doi: 10.1038/s41598-018-25129-w.</w:t>
        </w:r>
      </w:hyperlink>
    </w:p>
    <w:p w14:paraId="73071304"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Nguyen MH, Wissel MC, Shields RK, Salomoni MA, Hao B, Press EG, et al., Performance of Candida Real-time Polymerase Chain Reaction, β-D-Glucan Assay, and Blood Cu</w:t>
      </w:r>
      <w:r>
        <w:rPr>
          <w:rFonts w:ascii="Times New Roman" w:hAnsi="Times New Roman" w:cs="Times New Roman"/>
          <w:sz w:val="20"/>
          <w:szCs w:val="20"/>
        </w:rPr>
        <w:t>ltures in the Diagnosis of Invasive Candidiasis</w:t>
      </w:r>
      <w:r>
        <w:rPr>
          <w:rFonts w:ascii="Times New Roman" w:hAnsi="Times New Roman" w:cs="Times New Roman"/>
          <w:i/>
          <w:iCs/>
          <w:sz w:val="20"/>
          <w:szCs w:val="20"/>
        </w:rPr>
        <w:t>. Clinical Infectious Diseases</w:t>
      </w:r>
      <w:r>
        <w:rPr>
          <w:rFonts w:ascii="Times New Roman" w:hAnsi="Times New Roman" w:cs="Times New Roman"/>
          <w:sz w:val="20"/>
          <w:szCs w:val="20"/>
        </w:rPr>
        <w:t xml:space="preserve">. 2012; </w:t>
      </w:r>
      <w:r>
        <w:rPr>
          <w:rFonts w:ascii="Times New Roman" w:hAnsi="Times New Roman" w:cs="Times New Roman"/>
          <w:b/>
          <w:bCs/>
          <w:sz w:val="20"/>
          <w:szCs w:val="20"/>
        </w:rPr>
        <w:t>54</w:t>
      </w:r>
      <w:r>
        <w:rPr>
          <w:rFonts w:ascii="Times New Roman" w:hAnsi="Times New Roman" w:cs="Times New Roman"/>
          <w:sz w:val="20"/>
          <w:szCs w:val="20"/>
        </w:rPr>
        <w:t xml:space="preserve">(9): 1240-1248. </w:t>
      </w:r>
      <w:hyperlink r:id="rId34" w:history="1">
        <w:r>
          <w:rPr>
            <w:rStyle w:val="Hyperlink"/>
            <w:rFonts w:ascii="Times New Roman" w:hAnsi="Times New Roman" w:cs="Times New Roman"/>
            <w:sz w:val="20"/>
            <w:szCs w:val="20"/>
            <w:u w:val="none"/>
          </w:rPr>
          <w:t>Doi: 10.1093/cid/cis200.</w:t>
        </w:r>
      </w:hyperlink>
    </w:p>
    <w:p w14:paraId="71716920"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Lehrnbecher T, Robinson PD, Fisher BT, Castagnola E, Groll AH, Steinbach WJ</w:t>
      </w:r>
      <w:r>
        <w:rPr>
          <w:rFonts w:ascii="Times New Roman" w:hAnsi="Times New Roman" w:cs="Times New Roman"/>
          <w:sz w:val="20"/>
          <w:szCs w:val="20"/>
        </w:rPr>
        <w:t xml:space="preserve">, et al., </w:t>
      </w:r>
      <w:r>
        <w:rPr>
          <w:rFonts w:ascii="Times New Roman" w:hAnsi="Times New Roman" w:cs="Times New Roman"/>
          <w:sz w:val="20"/>
          <w:szCs w:val="20"/>
        </w:rPr>
        <w:t>Galactomannan, beta-D-Glucan, and Polymerase Chain Reaction-Based Assays for the Diagnosis of Invasive Fungal Disease in Pediatric Cancer and Hematopoietic Stem Cell Transplantation: A Systematic Review and Meta-Analysis</w:t>
      </w:r>
      <w:r>
        <w:rPr>
          <w:rFonts w:ascii="Times New Roman" w:hAnsi="Times New Roman" w:cs="Times New Roman"/>
          <w:i/>
          <w:iCs/>
          <w:sz w:val="20"/>
          <w:szCs w:val="20"/>
        </w:rPr>
        <w:t>. Clin Infect Dis</w:t>
      </w:r>
      <w:r>
        <w:rPr>
          <w:rFonts w:ascii="Times New Roman" w:hAnsi="Times New Roman" w:cs="Times New Roman"/>
          <w:sz w:val="20"/>
          <w:szCs w:val="20"/>
        </w:rPr>
        <w:t xml:space="preserve">. 2016; </w:t>
      </w:r>
      <w:r>
        <w:rPr>
          <w:rFonts w:ascii="Times New Roman" w:hAnsi="Times New Roman" w:cs="Times New Roman"/>
          <w:b/>
          <w:bCs/>
          <w:sz w:val="20"/>
          <w:szCs w:val="20"/>
        </w:rPr>
        <w:t>6</w:t>
      </w:r>
      <w:r>
        <w:rPr>
          <w:rFonts w:ascii="Times New Roman" w:hAnsi="Times New Roman" w:cs="Times New Roman"/>
          <w:b/>
          <w:bCs/>
          <w:sz w:val="20"/>
          <w:szCs w:val="20"/>
        </w:rPr>
        <w:t>3</w:t>
      </w:r>
      <w:r>
        <w:rPr>
          <w:rFonts w:ascii="Times New Roman" w:hAnsi="Times New Roman" w:cs="Times New Roman"/>
          <w:sz w:val="20"/>
          <w:szCs w:val="20"/>
        </w:rPr>
        <w:t xml:space="preserve">(10): 1340-1348. </w:t>
      </w:r>
      <w:hyperlink r:id="rId35" w:history="1">
        <w:r>
          <w:rPr>
            <w:rStyle w:val="Hyperlink"/>
            <w:rFonts w:ascii="Times New Roman" w:hAnsi="Times New Roman" w:cs="Times New Roman"/>
            <w:sz w:val="20"/>
            <w:szCs w:val="20"/>
            <w:u w:val="none"/>
          </w:rPr>
          <w:t>Doi: 10.1093/cid/ciw592.</w:t>
        </w:r>
      </w:hyperlink>
    </w:p>
    <w:p w14:paraId="26DAE763" w14:textId="77777777" w:rsidR="00D95EDA" w:rsidRDefault="001E5FDB">
      <w:pPr>
        <w:numPr>
          <w:ilvl w:val="0"/>
          <w:numId w:val="3"/>
        </w:numPr>
        <w:autoSpaceDE w:val="0"/>
        <w:autoSpaceDN w:val="0"/>
        <w:adjustRightInd w:val="0"/>
        <w:snapToGrid w:val="0"/>
        <w:rPr>
          <w:rFonts w:ascii="Times New Roman" w:hAnsi="Times New Roman" w:cs="Times New Roman"/>
          <w:sz w:val="20"/>
          <w:szCs w:val="20"/>
        </w:rPr>
      </w:pPr>
      <w:r>
        <w:rPr>
          <w:rFonts w:ascii="Times New Roman" w:hAnsi="Times New Roman" w:cs="Times New Roman"/>
          <w:sz w:val="20"/>
          <w:szCs w:val="20"/>
        </w:rPr>
        <w:t>Landlinger C, Preuner S, Baskova L, van Grotel M, Hartwig NG, Dworzak M, et al., Diagnosis of invasive fungal infections by a real-time panfungal PCR assay in i</w:t>
      </w:r>
      <w:r>
        <w:rPr>
          <w:rFonts w:ascii="Times New Roman" w:hAnsi="Times New Roman" w:cs="Times New Roman"/>
          <w:sz w:val="20"/>
          <w:szCs w:val="20"/>
        </w:rPr>
        <w:t>mmunocompromised pediatric patients</w:t>
      </w:r>
      <w:r>
        <w:rPr>
          <w:rFonts w:ascii="Times New Roman" w:hAnsi="Times New Roman" w:cs="Times New Roman"/>
          <w:i/>
          <w:iCs/>
          <w:sz w:val="20"/>
          <w:szCs w:val="20"/>
        </w:rPr>
        <w:t>. Leukemia</w:t>
      </w:r>
      <w:r>
        <w:rPr>
          <w:rFonts w:ascii="Times New Roman" w:hAnsi="Times New Roman" w:cs="Times New Roman"/>
          <w:sz w:val="20"/>
          <w:szCs w:val="20"/>
        </w:rPr>
        <w:t xml:space="preserve">. 2010; 24(12): 2032-2038. </w:t>
      </w:r>
      <w:hyperlink r:id="rId36" w:history="1">
        <w:r>
          <w:rPr>
            <w:rStyle w:val="Hyperlink"/>
            <w:rFonts w:ascii="Times New Roman" w:hAnsi="Times New Roman" w:cs="Times New Roman"/>
            <w:sz w:val="20"/>
            <w:szCs w:val="20"/>
            <w:u w:val="none"/>
          </w:rPr>
          <w:t>Doi: 10.1038/leu.2010.209</w:t>
        </w:r>
      </w:hyperlink>
      <w:r>
        <w:rPr>
          <w:rFonts w:ascii="Times New Roman" w:hAnsi="Times New Roman" w:cs="Times New Roman"/>
          <w:sz w:val="20"/>
          <w:szCs w:val="20"/>
        </w:rPr>
        <w:t>.</w:t>
      </w:r>
    </w:p>
    <w:p w14:paraId="36EB970F" w14:textId="77777777" w:rsidR="00D95EDA" w:rsidRDefault="00D95EDA">
      <w:pPr>
        <w:autoSpaceDE w:val="0"/>
        <w:autoSpaceDN w:val="0"/>
        <w:adjustRightInd w:val="0"/>
        <w:snapToGrid w:val="0"/>
        <w:contextualSpacing/>
        <w:jc w:val="right"/>
        <w:rPr>
          <w:rFonts w:ascii="Times New Roman" w:eastAsia="宋体" w:hAnsi="Times New Roman" w:cs="Times New Roman"/>
          <w:b/>
          <w:bCs/>
          <w:sz w:val="20"/>
          <w:szCs w:val="20"/>
        </w:rPr>
      </w:pPr>
    </w:p>
    <w:p w14:paraId="070EE8FA" w14:textId="77777777" w:rsidR="00D95EDA" w:rsidRDefault="001E5FDB">
      <w:pPr>
        <w:autoSpaceDE w:val="0"/>
        <w:autoSpaceDN w:val="0"/>
        <w:adjustRightInd w:val="0"/>
        <w:snapToGrid w:val="0"/>
        <w:contextualSpacing/>
        <w:jc w:val="right"/>
        <w:rPr>
          <w:rFonts w:ascii="Times New Roman" w:eastAsia="宋体" w:hAnsi="Times New Roman" w:cs="Times New Roman"/>
          <w:sz w:val="20"/>
          <w:szCs w:val="20"/>
        </w:rPr>
      </w:pPr>
      <w:r>
        <w:rPr>
          <w:rFonts w:ascii="Times New Roman" w:eastAsia="宋体" w:hAnsi="Times New Roman" w:cs="Times New Roman" w:hint="eastAsia"/>
          <w:sz w:val="20"/>
          <w:szCs w:val="20"/>
        </w:rPr>
        <w:t>12/15/2022</w:t>
      </w:r>
    </w:p>
    <w:p w14:paraId="620C8015" w14:textId="77777777" w:rsidR="00D95EDA" w:rsidRDefault="00D95EDA">
      <w:pPr>
        <w:snapToGrid w:val="0"/>
        <w:rPr>
          <w:rFonts w:ascii="Times New Roman" w:eastAsia="Times New Roman" w:hAnsi="Times New Roman" w:cs="Times New Roman"/>
          <w:sz w:val="20"/>
          <w:szCs w:val="20"/>
        </w:rPr>
        <w:sectPr w:rsidR="00D95EDA">
          <w:type w:val="continuous"/>
          <w:pgSz w:w="12240" w:h="15839"/>
          <w:pgMar w:top="1440" w:right="1440" w:bottom="1440" w:left="1440" w:header="720" w:footer="720" w:gutter="0"/>
          <w:cols w:num="2" w:space="720" w:equalWidth="0">
            <w:col w:w="4467" w:space="425"/>
            <w:col w:w="4467"/>
          </w:cols>
          <w:titlePg/>
          <w:docGrid w:type="lines" w:linePitch="312"/>
        </w:sectPr>
      </w:pPr>
    </w:p>
    <w:p w14:paraId="149A877D" w14:textId="77777777" w:rsidR="00D95EDA" w:rsidRDefault="00D95EDA">
      <w:pPr>
        <w:snapToGrid w:val="0"/>
        <w:rPr>
          <w:rFonts w:ascii="Times New Roman" w:eastAsia="Times New Roman" w:hAnsi="Times New Roman" w:cs="Times New Roman"/>
          <w:b/>
          <w:sz w:val="20"/>
          <w:szCs w:val="20"/>
        </w:rPr>
      </w:pPr>
    </w:p>
    <w:sectPr w:rsidR="00D95EDA">
      <w:type w:val="continuous"/>
      <w:pgSz w:w="12240" w:h="15839"/>
      <w:pgMar w:top="1440" w:right="1440" w:bottom="1440" w:left="1440" w:header="720" w:footer="72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A1E42" w14:textId="77777777" w:rsidR="001E5FDB" w:rsidRDefault="001E5FDB">
      <w:r>
        <w:separator/>
      </w:r>
    </w:p>
  </w:endnote>
  <w:endnote w:type="continuationSeparator" w:id="0">
    <w:p w14:paraId="1B772E52" w14:textId="77777777" w:rsidR="001E5FDB" w:rsidRDefault="001E5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onet">
    <w:altName w:val="Segoe Print"/>
    <w:charset w:val="00"/>
    <w:family w:val="script"/>
    <w:pitch w:val="default"/>
    <w:sig w:usb0="00000000" w:usb1="00000000" w:usb2="00000000" w:usb3="00000000" w:csb0="00000001" w:csb1="00000000"/>
  </w:font>
  <w:font w:name="QuarumBook">
    <w:altName w:val="Segoe Print"/>
    <w:charset w:val="00"/>
    <w:family w:val="roman"/>
    <w:pitch w:val="default"/>
  </w:font>
  <w:font w:name="Times-Italic">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364E" w14:textId="77777777" w:rsidR="00D95EDA" w:rsidRDefault="001E5FDB">
    <w:pPr>
      <w:pStyle w:val="Footer"/>
    </w:pPr>
    <w:r>
      <w:rPr>
        <w:noProof/>
      </w:rPr>
      <mc:AlternateContent>
        <mc:Choice Requires="wps">
          <w:drawing>
            <wp:anchor distT="0" distB="0" distL="114300" distR="114300" simplePos="0" relativeHeight="251660288" behindDoc="0" locked="0" layoutInCell="1" allowOverlap="1" wp14:anchorId="617EE21D" wp14:editId="5BB54B06">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0D5E0" w14:textId="77777777" w:rsidR="00D95EDA" w:rsidRDefault="001E5FDB">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2</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7EE21D" id="_x0000_t202" coordsize="21600,21600" o:spt="202" path="m,l,21600r21600,l21600,xe">
              <v:stroke joinstyle="miter"/>
              <v:path gradientshapeok="t" o:connecttype="rect"/>
            </v:shapetype>
            <v:shape id="文本框 2"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3220D5E0" w14:textId="77777777" w:rsidR="00D95EDA" w:rsidRDefault="001E5FDB">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2</w:t>
                    </w:r>
                    <w:r>
                      <w:rPr>
                        <w:rFonts w:ascii="Times New Roman" w:hAnsi="Times New Roman" w:cs="Times New Roman"/>
                        <w:sz w:val="20"/>
                        <w:szCs w:val="20"/>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7940" w14:textId="77777777" w:rsidR="00D95EDA" w:rsidRDefault="001E5FDB">
    <w:pPr>
      <w:pStyle w:val="Footer"/>
    </w:pPr>
    <w:r>
      <w:rPr>
        <w:noProof/>
      </w:rPr>
      <mc:AlternateContent>
        <mc:Choice Requires="wps">
          <w:drawing>
            <wp:anchor distT="0" distB="0" distL="114300" distR="114300" simplePos="0" relativeHeight="251661312" behindDoc="0" locked="0" layoutInCell="1" allowOverlap="1" wp14:anchorId="7C2515D2" wp14:editId="35C3246F">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CF63D" w14:textId="77777777" w:rsidR="00D95EDA" w:rsidRDefault="001E5FDB">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2515D2" id="_x0000_t202" coordsize="21600,21600" o:spt="202" path="m,l,21600r21600,l21600,xe">
              <v:stroke joinstyle="miter"/>
              <v:path gradientshapeok="t" o:connecttype="rect"/>
            </v:shapetype>
            <v:shape id="文本框 4"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FZAIAABE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mbsUVkAgAAEQUAAA4AAAAAAAAAAAAAAAAALgIAAGRycy9lMm9Eb2Mu&#10;eG1sUEsBAi0AFAAGAAgAAAAhAHGq0bnXAAAABQEAAA8AAAAAAAAAAAAAAAAAvgQAAGRycy9kb3du&#10;cmV2LnhtbFBLBQYAAAAABAAEAPMAAADCBQAAAAA=&#10;" filled="f" stroked="f" strokeweight=".5pt">
              <v:textbox style="mso-fit-shape-to-text:t" inset="0,0,0,0">
                <w:txbxContent>
                  <w:p w14:paraId="0C4CF63D" w14:textId="77777777" w:rsidR="00D95EDA" w:rsidRDefault="001E5FDB">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F006E" w14:textId="77777777" w:rsidR="001E5FDB" w:rsidRDefault="001E5FDB">
      <w:r>
        <w:separator/>
      </w:r>
    </w:p>
  </w:footnote>
  <w:footnote w:type="continuationSeparator" w:id="0">
    <w:p w14:paraId="05A649DF" w14:textId="77777777" w:rsidR="001E5FDB" w:rsidRDefault="001E5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81D9" w14:textId="77777777" w:rsidR="00D95EDA" w:rsidRDefault="001E5FDB">
    <w:pPr>
      <w:pStyle w:val="Header"/>
    </w:pPr>
    <w:r>
      <w:rPr>
        <w:noProof/>
      </w:rPr>
      <w:drawing>
        <wp:inline distT="0" distB="0" distL="0" distR="0" wp14:anchorId="550C12E0" wp14:editId="4B3CF237">
          <wp:extent cx="5961380" cy="762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6138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476F7"/>
    <w:multiLevelType w:val="multilevel"/>
    <w:tmpl w:val="079476F7"/>
    <w:lvl w:ilvl="0">
      <w:start w:val="1"/>
      <w:numFmt w:val="upperLetter"/>
      <w:lvlText w:val="%1."/>
      <w:lvlJc w:val="left"/>
      <w:pPr>
        <w:ind w:left="644"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66D079C"/>
    <w:multiLevelType w:val="multilevel"/>
    <w:tmpl w:val="166D079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5E80100B"/>
    <w:multiLevelType w:val="multilevel"/>
    <w:tmpl w:val="5E80100B"/>
    <w:lvl w:ilvl="0">
      <w:start w:val="1"/>
      <w:numFmt w:val="decimal"/>
      <w:lvlText w:val="[%1]."/>
      <w:lvlJc w:val="left"/>
      <w:pPr>
        <w:ind w:left="360" w:hanging="360"/>
      </w:pPr>
      <w:rPr>
        <w:rFonts w:ascii="宋体" w:eastAsia="宋体" w:hAnsi="宋体" w:cs="宋体"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dkYmE0MzY4NGFlMTBiZDlmNThmODdlODkwMTdiNjIifQ=="/>
  </w:docVars>
  <w:rsids>
    <w:rsidRoot w:val="00D95EDA"/>
    <w:rsid w:val="001A048E"/>
    <w:rsid w:val="001E5FDB"/>
    <w:rsid w:val="00B20531"/>
    <w:rsid w:val="00B365BA"/>
    <w:rsid w:val="00D95EDA"/>
    <w:rsid w:val="0B1F3F8B"/>
    <w:rsid w:val="41257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6435E2CF"/>
  <w15:docId w15:val="{FDFA748F-5D23-4896-BF1E-D3BE1B371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qFormat/>
    <w:pPr>
      <w:keepNext/>
      <w:jc w:val="center"/>
      <w:outlineLvl w:val="0"/>
    </w:pPr>
    <w:rPr>
      <w:rFonts w:ascii="Coronet" w:eastAsia="Coronet" w:hAnsi="Coronet" w:cs="Coronet"/>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LightShading-Accent2">
    <w:name w:val="Light Shading Accent 2"/>
    <w:basedOn w:val="TableNormal"/>
    <w:uiPriority w:val="60"/>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rPr>
      <w:rFonts w:ascii="QuarumBook" w:hAnsi="QuarumBook" w:hint="default"/>
      <w:color w:val="000000"/>
      <w:sz w:val="18"/>
      <w:szCs w:val="18"/>
    </w:rPr>
  </w:style>
  <w:style w:type="character" w:customStyle="1" w:styleId="fontstyle21">
    <w:name w:val="fontstyle21"/>
    <w:basedOn w:val="DefaultParagraphFont"/>
    <w:qFormat/>
    <w:rPr>
      <w:rFonts w:ascii="Times-Italic" w:hAnsi="Times-Italic" w:hint="default"/>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lliedacademies.org/articles/emerge-of-nonalbicans-candida-species-evaluation-of-candida-species-and-antifungal-susceptibilities-according-to-years.html" TargetMode="External"/><Relationship Id="rId26" Type="http://schemas.openxmlformats.org/officeDocument/2006/relationships/hyperlink" Target="http://dx.doi.org/10.1007/s00520-005-0903-7" TargetMode="External"/><Relationship Id="rId21" Type="http://schemas.openxmlformats.org/officeDocument/2006/relationships/hyperlink" Target="http://dx.doi.org/10.21767/2471-8521.100016" TargetMode="External"/><Relationship Id="rId34" Type="http://schemas.openxmlformats.org/officeDocument/2006/relationships/hyperlink" Target="http://dx.doi.org/10.1093/cid/cis20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dx.doi.org/10.1016/S0924-8579(08)70016-5" TargetMode="External"/><Relationship Id="rId33" Type="http://schemas.openxmlformats.org/officeDocument/2006/relationships/hyperlink" Target="http://dx.doi.org/10.1038/s41598-018-25129-w"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M_y_s_1985@outlook.com" TargetMode="External"/><Relationship Id="rId29" Type="http://schemas.openxmlformats.org/officeDocument/2006/relationships/hyperlink" Target="http://dx.doi.org/10.1093/mmy/myv0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x.doi.org/10.1177/2040620716656381" TargetMode="External"/><Relationship Id="rId32" Type="http://schemas.openxmlformats.org/officeDocument/2006/relationships/hyperlink" Target="http://dx.doi.org/10.1086/58866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dx.doi.org/10.3324/haematol.2009.012054" TargetMode="External"/><Relationship Id="rId28" Type="http://schemas.openxmlformats.org/officeDocument/2006/relationships/hyperlink" Target="http://dx.doi.org/10.1590/s1517-838220090002000020" TargetMode="External"/><Relationship Id="rId36" Type="http://schemas.openxmlformats.org/officeDocument/2006/relationships/hyperlink" Target="http://dx.doi.org/10.1038/leu.2010.209" TargetMode="External"/><Relationship Id="rId10" Type="http://schemas.openxmlformats.org/officeDocument/2006/relationships/hyperlink" Target="http://www.dx.doi.org/10.7537/marscbj120322.01" TargetMode="External"/><Relationship Id="rId19" Type="http://schemas.openxmlformats.org/officeDocument/2006/relationships/hyperlink" Target="https://www.frontiersin.org/articles/10.3389/fmicb.2018.00518/full" TargetMode="External"/><Relationship Id="rId31" Type="http://schemas.openxmlformats.org/officeDocument/2006/relationships/hyperlink" Target="http://dx.doi.org/10.14744/ejmi.2018.68077" TargetMode="External"/><Relationship Id="rId4" Type="http://schemas.openxmlformats.org/officeDocument/2006/relationships/settings" Target="settings.xml"/><Relationship Id="rId9" Type="http://schemas.openxmlformats.org/officeDocument/2006/relationships/hyperlink" Target="http://www.sciencepub.net/nature.%20%20x.doi" TargetMode="External"/><Relationship Id="rId14" Type="http://schemas.openxmlformats.org/officeDocument/2006/relationships/image" Target="media/image2.jpeg"/><Relationship Id="rId22" Type="http://schemas.openxmlformats.org/officeDocument/2006/relationships/hyperlink" Target="http://dx.doi.org/10.1002/ajh.21776" TargetMode="External"/><Relationship Id="rId27" Type="http://schemas.openxmlformats.org/officeDocument/2006/relationships/hyperlink" Target="http://dx.doi.org/10.1128/cmr.00091-13" TargetMode="External"/><Relationship Id="rId30" Type="http://schemas.openxmlformats.org/officeDocument/2006/relationships/hyperlink" Target="http://dx.doi.org/10.4103/0974-777x.199995" TargetMode="External"/><Relationship Id="rId35" Type="http://schemas.openxmlformats.org/officeDocument/2006/relationships/hyperlink" Target="http://dx.doi.org/10.1093/cid/ciw592" TargetMode="External"/><Relationship Id="rId8" Type="http://schemas.openxmlformats.org/officeDocument/2006/relationships/hyperlink" Target="http://www.cancerbio.net"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3532</Words>
  <Characters>20139</Characters>
  <Application>Microsoft Office Word</Application>
  <DocSecurity>0</DocSecurity>
  <Lines>167</Lines>
  <Paragraphs>47</Paragraphs>
  <ScaleCrop>false</ScaleCrop>
  <Company/>
  <LinksUpToDate>false</LinksUpToDate>
  <CharactersWithSpaces>23624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17184045362</cp:lastModifiedBy>
  <cp:revision>4</cp:revision>
  <cp:lastPrinted>2022-12-20T05:12:00Z</cp:lastPrinted>
  <dcterms:created xsi:type="dcterms:W3CDTF">2022-12-16T06:54:00Z</dcterms:created>
  <dcterms:modified xsi:type="dcterms:W3CDTF">2022-12-20T05:13:00Z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662C6DE3FB0E4C6EAC7B06033B4795DD</vt:lpwstr>
  </property>
</Properties>
</file>