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D17" w:rsidRDefault="00A53D17">
      <w:pPr>
        <w:jc w:val="center"/>
        <w:rPr>
          <w:rFonts w:asciiTheme="majorBidi" w:hAnsiTheme="majorBidi" w:cstheme="majorBidi"/>
          <w:b/>
          <w:bCs/>
          <w:sz w:val="20"/>
          <w:szCs w:val="20"/>
        </w:rPr>
      </w:pPr>
    </w:p>
    <w:p w:rsidR="00A53D17" w:rsidRDefault="0010573C">
      <w:pPr>
        <w:jc w:val="center"/>
        <w:rPr>
          <w:rFonts w:asciiTheme="majorBidi" w:hAnsiTheme="majorBidi" w:cstheme="majorBidi"/>
          <w:b/>
          <w:bCs/>
          <w:sz w:val="20"/>
          <w:szCs w:val="20"/>
        </w:rPr>
      </w:pPr>
      <w:r>
        <w:rPr>
          <w:rFonts w:asciiTheme="majorBidi" w:hAnsiTheme="majorBidi" w:cstheme="majorBidi"/>
          <w:b/>
          <w:bCs/>
          <w:sz w:val="20"/>
          <w:szCs w:val="20"/>
        </w:rPr>
        <w:t>Prognostic value of the inflammatory markers derived from peripheral blood cell counts in gallbladder cancer</w:t>
      </w:r>
    </w:p>
    <w:p w:rsidR="00A53D17" w:rsidRDefault="00A53D17">
      <w:pPr>
        <w:jc w:val="center"/>
        <w:rPr>
          <w:rFonts w:asciiTheme="majorBidi" w:hAnsiTheme="majorBidi" w:cstheme="majorBidi"/>
          <w:b/>
          <w:bCs/>
          <w:sz w:val="20"/>
          <w:szCs w:val="20"/>
          <w:u w:val="single"/>
        </w:rPr>
      </w:pPr>
    </w:p>
    <w:p w:rsidR="00A53D17" w:rsidRDefault="0010573C">
      <w:pPr>
        <w:jc w:val="center"/>
        <w:rPr>
          <w:rFonts w:asciiTheme="majorBidi" w:hAnsiTheme="majorBidi" w:cstheme="majorBidi"/>
          <w:sz w:val="20"/>
          <w:szCs w:val="20"/>
        </w:rPr>
      </w:pPr>
      <w:r>
        <w:rPr>
          <w:rFonts w:asciiTheme="majorBidi" w:hAnsiTheme="majorBidi" w:cstheme="majorBidi"/>
          <w:sz w:val="20"/>
          <w:szCs w:val="20"/>
        </w:rPr>
        <w:t>Walid Elmoghazy</w:t>
      </w:r>
      <w:r>
        <w:rPr>
          <w:rFonts w:asciiTheme="majorBidi" w:hAnsiTheme="majorBidi" w:cstheme="majorBidi"/>
          <w:sz w:val="20"/>
          <w:szCs w:val="20"/>
          <w:vertAlign w:val="superscript"/>
        </w:rPr>
        <w:t>1,2</w:t>
      </w:r>
      <w:r>
        <w:rPr>
          <w:rFonts w:asciiTheme="majorBidi" w:hAnsiTheme="majorBidi" w:cstheme="majorBidi"/>
          <w:sz w:val="20"/>
          <w:szCs w:val="20"/>
        </w:rPr>
        <w:t>, Rassoul Abu-Nuwar</w:t>
      </w:r>
      <w:r>
        <w:rPr>
          <w:rFonts w:asciiTheme="majorBidi" w:hAnsiTheme="majorBidi" w:cstheme="majorBidi"/>
          <w:sz w:val="20"/>
          <w:szCs w:val="20"/>
          <w:vertAlign w:val="superscript"/>
        </w:rPr>
        <w:t>1</w:t>
      </w:r>
      <w:r>
        <w:rPr>
          <w:rFonts w:asciiTheme="majorBidi" w:hAnsiTheme="majorBidi" w:cstheme="majorBidi"/>
          <w:sz w:val="20"/>
          <w:szCs w:val="20"/>
        </w:rPr>
        <w:t>, Ibnouf Sulieman</w:t>
      </w:r>
      <w:r>
        <w:rPr>
          <w:rFonts w:asciiTheme="majorBidi" w:hAnsiTheme="majorBidi" w:cstheme="majorBidi"/>
          <w:sz w:val="20"/>
          <w:szCs w:val="20"/>
          <w:vertAlign w:val="superscript"/>
        </w:rPr>
        <w:t>1</w:t>
      </w:r>
      <w:r>
        <w:rPr>
          <w:rFonts w:asciiTheme="majorBidi" w:hAnsiTheme="majorBidi" w:cstheme="majorBidi"/>
          <w:sz w:val="20"/>
          <w:szCs w:val="20"/>
        </w:rPr>
        <w:t>, Ammar Aleter</w:t>
      </w:r>
      <w:r>
        <w:rPr>
          <w:rFonts w:asciiTheme="majorBidi" w:hAnsiTheme="majorBidi" w:cstheme="majorBidi"/>
          <w:sz w:val="20"/>
          <w:szCs w:val="20"/>
          <w:vertAlign w:val="superscript"/>
        </w:rPr>
        <w:t>1</w:t>
      </w:r>
      <w:r>
        <w:rPr>
          <w:rFonts w:asciiTheme="majorBidi" w:hAnsiTheme="majorBidi" w:cstheme="majorBidi"/>
          <w:sz w:val="20"/>
          <w:szCs w:val="20"/>
        </w:rPr>
        <w:t>, Samah</w:t>
      </w:r>
      <w:r>
        <w:rPr>
          <w:rFonts w:asciiTheme="majorBidi" w:hAnsiTheme="majorBidi" w:cstheme="majorBidi"/>
          <w:sz w:val="20"/>
          <w:szCs w:val="20"/>
        </w:rPr>
        <w:t xml:space="preserve"> Mohamed</w:t>
      </w:r>
      <w:r>
        <w:rPr>
          <w:rFonts w:asciiTheme="majorBidi" w:hAnsiTheme="majorBidi" w:cstheme="majorBidi"/>
          <w:sz w:val="20"/>
          <w:szCs w:val="20"/>
          <w:vertAlign w:val="superscript"/>
        </w:rPr>
        <w:t>3,4</w:t>
      </w:r>
      <w:r>
        <w:rPr>
          <w:rFonts w:asciiTheme="majorBidi" w:hAnsiTheme="majorBidi" w:cstheme="majorBidi"/>
          <w:sz w:val="20"/>
          <w:szCs w:val="20"/>
        </w:rPr>
        <w:t>, Ahmed Elaffandi</w:t>
      </w:r>
      <w:r>
        <w:rPr>
          <w:rFonts w:asciiTheme="majorBidi" w:hAnsiTheme="majorBidi" w:cstheme="majorBidi"/>
          <w:sz w:val="20"/>
          <w:szCs w:val="20"/>
          <w:vertAlign w:val="superscript"/>
        </w:rPr>
        <w:t>1,5</w:t>
      </w:r>
      <w:r>
        <w:rPr>
          <w:rFonts w:asciiTheme="majorBidi" w:hAnsiTheme="majorBidi" w:cstheme="majorBidi"/>
          <w:sz w:val="20"/>
          <w:szCs w:val="20"/>
        </w:rPr>
        <w:t>, Hatem Khalaf</w:t>
      </w:r>
      <w:r>
        <w:rPr>
          <w:rFonts w:asciiTheme="majorBidi" w:hAnsiTheme="majorBidi" w:cstheme="majorBidi"/>
          <w:sz w:val="20"/>
          <w:szCs w:val="20"/>
          <w:vertAlign w:val="superscript"/>
        </w:rPr>
        <w:t>1</w:t>
      </w:r>
      <w:r>
        <w:rPr>
          <w:rFonts w:asciiTheme="majorBidi" w:hAnsiTheme="majorBidi" w:cstheme="majorBidi"/>
          <w:sz w:val="20"/>
          <w:szCs w:val="20"/>
        </w:rPr>
        <w:t>, Alshimaa Alaboudy</w:t>
      </w:r>
      <w:r>
        <w:rPr>
          <w:rFonts w:asciiTheme="majorBidi" w:hAnsiTheme="majorBidi" w:cstheme="majorBidi"/>
          <w:sz w:val="20"/>
          <w:szCs w:val="20"/>
          <w:vertAlign w:val="superscript"/>
        </w:rPr>
        <w:t>6</w:t>
      </w:r>
    </w:p>
    <w:p w:rsidR="00A53D17" w:rsidRDefault="00A53D17">
      <w:pPr>
        <w:jc w:val="center"/>
        <w:rPr>
          <w:rFonts w:asciiTheme="majorBidi" w:hAnsiTheme="majorBidi" w:cstheme="majorBidi"/>
          <w:b/>
          <w:bCs/>
          <w:sz w:val="20"/>
          <w:szCs w:val="20"/>
          <w:u w:val="single"/>
        </w:rPr>
      </w:pPr>
    </w:p>
    <w:p w:rsidR="00A53D17" w:rsidRDefault="0010573C">
      <w:pPr>
        <w:jc w:val="center"/>
        <w:rPr>
          <w:rFonts w:asciiTheme="majorBidi" w:hAnsiTheme="majorBidi" w:cstheme="majorBidi"/>
          <w:sz w:val="20"/>
          <w:szCs w:val="20"/>
        </w:rPr>
      </w:pPr>
      <w:r>
        <w:rPr>
          <w:rFonts w:asciiTheme="majorBidi" w:hAnsiTheme="majorBidi" w:cstheme="majorBidi"/>
          <w:sz w:val="20"/>
          <w:szCs w:val="20"/>
          <w:vertAlign w:val="superscript"/>
        </w:rPr>
        <w:t>1</w:t>
      </w:r>
      <w:r>
        <w:rPr>
          <w:rFonts w:asciiTheme="majorBidi" w:hAnsiTheme="majorBidi" w:cstheme="majorBidi"/>
          <w:sz w:val="20"/>
          <w:szCs w:val="20"/>
        </w:rPr>
        <w:t>Department of Surgery, Organ Transplant Section, Hamad Medical Corporation, Doha, Qatar</w:t>
      </w:r>
    </w:p>
    <w:p w:rsidR="00A53D17" w:rsidRDefault="0010573C">
      <w:pPr>
        <w:jc w:val="center"/>
        <w:rPr>
          <w:rFonts w:asciiTheme="majorBidi" w:hAnsiTheme="majorBidi" w:cstheme="majorBidi"/>
          <w:sz w:val="20"/>
          <w:szCs w:val="20"/>
        </w:rPr>
      </w:pPr>
      <w:r>
        <w:rPr>
          <w:rFonts w:asciiTheme="majorBidi" w:hAnsiTheme="majorBidi" w:cstheme="majorBidi"/>
          <w:sz w:val="20"/>
          <w:szCs w:val="20"/>
          <w:vertAlign w:val="superscript"/>
        </w:rPr>
        <w:t>2</w:t>
      </w:r>
      <w:r>
        <w:rPr>
          <w:rFonts w:asciiTheme="majorBidi" w:hAnsiTheme="majorBidi" w:cstheme="majorBidi"/>
          <w:sz w:val="20"/>
          <w:szCs w:val="20"/>
        </w:rPr>
        <w:t>Department of Surgery, Sohag University, Sohag, Egypt</w:t>
      </w:r>
    </w:p>
    <w:p w:rsidR="00A53D17" w:rsidRDefault="0010573C">
      <w:pPr>
        <w:jc w:val="center"/>
        <w:rPr>
          <w:rFonts w:asciiTheme="majorBidi" w:hAnsiTheme="majorBidi" w:cstheme="majorBidi"/>
          <w:sz w:val="20"/>
          <w:szCs w:val="20"/>
        </w:rPr>
      </w:pPr>
      <w:r>
        <w:rPr>
          <w:rFonts w:asciiTheme="majorBidi" w:hAnsiTheme="majorBidi" w:cstheme="majorBidi"/>
          <w:sz w:val="20"/>
          <w:szCs w:val="20"/>
          <w:vertAlign w:val="superscript"/>
        </w:rPr>
        <w:t>3</w:t>
      </w:r>
      <w:r>
        <w:rPr>
          <w:rFonts w:asciiTheme="majorBidi" w:hAnsiTheme="majorBidi" w:cstheme="majorBidi"/>
          <w:sz w:val="20"/>
          <w:szCs w:val="20"/>
        </w:rPr>
        <w:t>Diagnostic Radiology, Hamad Medical Corpora</w:t>
      </w:r>
      <w:r>
        <w:rPr>
          <w:rFonts w:asciiTheme="majorBidi" w:hAnsiTheme="majorBidi" w:cstheme="majorBidi"/>
          <w:sz w:val="20"/>
          <w:szCs w:val="20"/>
        </w:rPr>
        <w:t>tion, Doha, Qatar</w:t>
      </w:r>
    </w:p>
    <w:p w:rsidR="00A53D17" w:rsidRDefault="0010573C">
      <w:pPr>
        <w:jc w:val="center"/>
        <w:rPr>
          <w:rFonts w:asciiTheme="majorBidi" w:hAnsiTheme="majorBidi" w:cstheme="majorBidi"/>
          <w:sz w:val="20"/>
          <w:szCs w:val="20"/>
        </w:rPr>
      </w:pPr>
      <w:r>
        <w:rPr>
          <w:rFonts w:asciiTheme="majorBidi" w:hAnsiTheme="majorBidi" w:cstheme="majorBidi"/>
          <w:sz w:val="20"/>
          <w:szCs w:val="20"/>
          <w:vertAlign w:val="superscript"/>
        </w:rPr>
        <w:t>4</w:t>
      </w:r>
      <w:r>
        <w:rPr>
          <w:rFonts w:asciiTheme="majorBidi" w:hAnsiTheme="majorBidi" w:cstheme="majorBidi"/>
          <w:sz w:val="20"/>
          <w:szCs w:val="20"/>
        </w:rPr>
        <w:t>Diagnostic Radiology, National Cancer Institute, Cairo, Egypt</w:t>
      </w:r>
    </w:p>
    <w:p w:rsidR="00A53D17" w:rsidRDefault="0010573C">
      <w:pPr>
        <w:jc w:val="center"/>
        <w:rPr>
          <w:rFonts w:asciiTheme="majorBidi" w:hAnsiTheme="majorBidi" w:cstheme="majorBidi"/>
          <w:sz w:val="20"/>
          <w:szCs w:val="20"/>
        </w:rPr>
      </w:pPr>
      <w:r>
        <w:rPr>
          <w:rFonts w:asciiTheme="majorBidi" w:hAnsiTheme="majorBidi" w:cstheme="majorBidi"/>
          <w:sz w:val="20"/>
          <w:szCs w:val="20"/>
          <w:vertAlign w:val="superscript"/>
        </w:rPr>
        <w:t>5</w:t>
      </w:r>
      <w:r>
        <w:rPr>
          <w:rFonts w:asciiTheme="majorBidi" w:hAnsiTheme="majorBidi" w:cstheme="majorBidi"/>
          <w:sz w:val="20"/>
          <w:szCs w:val="20"/>
        </w:rPr>
        <w:t>Department of Surgical Oncology, National Cancer Institute, Cairo University, Egypt</w:t>
      </w:r>
    </w:p>
    <w:p w:rsidR="00A53D17" w:rsidRDefault="0010573C">
      <w:pPr>
        <w:jc w:val="center"/>
        <w:rPr>
          <w:rFonts w:asciiTheme="majorBidi" w:hAnsiTheme="majorBidi" w:cstheme="majorBidi"/>
          <w:sz w:val="20"/>
          <w:szCs w:val="20"/>
        </w:rPr>
      </w:pPr>
      <w:r>
        <w:rPr>
          <w:rFonts w:asciiTheme="majorBidi" w:hAnsiTheme="majorBidi" w:cstheme="majorBidi"/>
          <w:sz w:val="20"/>
          <w:szCs w:val="20"/>
          <w:vertAlign w:val="superscript"/>
        </w:rPr>
        <w:t>6</w:t>
      </w:r>
      <w:r>
        <w:rPr>
          <w:rFonts w:asciiTheme="majorBidi" w:hAnsiTheme="majorBidi" w:cstheme="majorBidi"/>
          <w:sz w:val="20"/>
          <w:szCs w:val="20"/>
        </w:rPr>
        <w:t>Department of Tropical Medicine and Gastroenterology, Faculty of Medicine, Sohag Universi</w:t>
      </w:r>
      <w:r>
        <w:rPr>
          <w:rFonts w:asciiTheme="majorBidi" w:hAnsiTheme="majorBidi" w:cstheme="majorBidi"/>
          <w:sz w:val="20"/>
          <w:szCs w:val="20"/>
        </w:rPr>
        <w:t>ty, Sohag, Egypt</w:t>
      </w:r>
    </w:p>
    <w:p w:rsidR="00A53D17" w:rsidRDefault="00A53D17">
      <w:pPr>
        <w:jc w:val="center"/>
        <w:rPr>
          <w:rFonts w:asciiTheme="majorBidi" w:hAnsiTheme="majorBidi" w:cstheme="majorBidi"/>
          <w:sz w:val="20"/>
          <w:szCs w:val="20"/>
        </w:rPr>
      </w:pPr>
      <w:hyperlink r:id="rId8" w:history="1">
        <w:r w:rsidR="0010573C">
          <w:rPr>
            <w:rFonts w:asciiTheme="majorBidi" w:hAnsiTheme="majorBidi" w:cstheme="majorBidi"/>
            <w:color w:val="0000EE"/>
            <w:sz w:val="20"/>
            <w:szCs w:val="20"/>
            <w:u w:val="single" w:color="0000EE"/>
          </w:rPr>
          <w:t>moghazyw@gmail.com</w:t>
        </w:r>
      </w:hyperlink>
      <w:r w:rsidR="0010573C">
        <w:rPr>
          <w:rFonts w:asciiTheme="majorBidi" w:hAnsiTheme="majorBidi" w:cstheme="majorBidi"/>
          <w:sz w:val="20"/>
          <w:szCs w:val="20"/>
        </w:rPr>
        <w:t xml:space="preserve">, </w:t>
      </w:r>
      <w:hyperlink r:id="rId9" w:history="1">
        <w:r w:rsidR="0010573C">
          <w:rPr>
            <w:rFonts w:asciiTheme="majorBidi" w:hAnsiTheme="majorBidi" w:cstheme="majorBidi"/>
            <w:color w:val="0000EE"/>
            <w:sz w:val="20"/>
            <w:szCs w:val="20"/>
            <w:u w:val="single" w:color="0000EE"/>
          </w:rPr>
          <w:t>rassoul87@hotmail.com</w:t>
        </w:r>
      </w:hyperlink>
      <w:r w:rsidR="0010573C">
        <w:rPr>
          <w:rFonts w:asciiTheme="majorBidi" w:hAnsiTheme="majorBidi" w:cstheme="majorBidi"/>
          <w:sz w:val="20"/>
          <w:szCs w:val="20"/>
        </w:rPr>
        <w:t xml:space="preserve">, </w:t>
      </w:r>
      <w:hyperlink r:id="rId10" w:history="1">
        <w:r w:rsidR="0010573C">
          <w:rPr>
            <w:rStyle w:val="Hyperlink"/>
            <w:rFonts w:asciiTheme="majorBidi" w:hAnsiTheme="majorBidi" w:cstheme="majorBidi"/>
            <w:sz w:val="20"/>
            <w:szCs w:val="20"/>
            <w:shd w:val="clear" w:color="auto" w:fill="FFFFFF"/>
          </w:rPr>
          <w:t>ibnouf_s@hotmail.com</w:t>
        </w:r>
      </w:hyperlink>
      <w:r w:rsidR="0010573C">
        <w:rPr>
          <w:rFonts w:asciiTheme="majorBidi" w:hAnsiTheme="majorBidi" w:cstheme="majorBidi"/>
          <w:sz w:val="20"/>
          <w:szCs w:val="20"/>
        </w:rPr>
        <w:t xml:space="preserve">, </w:t>
      </w:r>
      <w:hyperlink r:id="rId11" w:history="1">
        <w:r w:rsidR="0010573C">
          <w:rPr>
            <w:rStyle w:val="Hyperlink"/>
            <w:rFonts w:asciiTheme="majorBidi" w:hAnsiTheme="majorBidi" w:cstheme="majorBidi"/>
            <w:sz w:val="20"/>
            <w:szCs w:val="20"/>
          </w:rPr>
          <w:t>AAleter@hamad.qa</w:t>
        </w:r>
      </w:hyperlink>
      <w:r w:rsidR="0010573C">
        <w:rPr>
          <w:rFonts w:asciiTheme="majorBidi" w:hAnsiTheme="majorBidi" w:cstheme="majorBidi"/>
          <w:sz w:val="20"/>
          <w:szCs w:val="20"/>
        </w:rPr>
        <w:t xml:space="preserve">, </w:t>
      </w:r>
      <w:hyperlink r:id="rId12" w:history="1">
        <w:r w:rsidR="0010573C">
          <w:rPr>
            <w:rStyle w:val="Hyperlink"/>
            <w:rFonts w:asciiTheme="majorBidi" w:hAnsiTheme="majorBidi" w:cstheme="majorBidi"/>
            <w:sz w:val="20"/>
            <w:szCs w:val="20"/>
          </w:rPr>
          <w:t>saffandy2000@yahoo.co.uk</w:t>
        </w:r>
      </w:hyperlink>
      <w:r w:rsidR="0010573C">
        <w:rPr>
          <w:rFonts w:asciiTheme="majorBidi" w:hAnsiTheme="majorBidi" w:cstheme="majorBidi"/>
          <w:sz w:val="20"/>
          <w:szCs w:val="20"/>
        </w:rPr>
        <w:t xml:space="preserve">, </w:t>
      </w:r>
      <w:hyperlink r:id="rId13" w:history="1">
        <w:r w:rsidR="0010573C">
          <w:rPr>
            <w:rFonts w:asciiTheme="majorBidi" w:hAnsiTheme="majorBidi" w:cstheme="majorBidi"/>
            <w:color w:val="0000EE"/>
            <w:sz w:val="20"/>
            <w:szCs w:val="20"/>
            <w:u w:val="single" w:color="0000EE"/>
          </w:rPr>
          <w:t>ahmedaffandy@gmail.com</w:t>
        </w:r>
      </w:hyperlink>
      <w:r w:rsidR="0010573C">
        <w:rPr>
          <w:rFonts w:asciiTheme="majorBidi" w:hAnsiTheme="majorBidi" w:cstheme="majorBidi"/>
          <w:sz w:val="20"/>
          <w:szCs w:val="20"/>
        </w:rPr>
        <w:t xml:space="preserve">, </w:t>
      </w:r>
      <w:hyperlink r:id="rId14" w:history="1">
        <w:r w:rsidR="0010573C">
          <w:rPr>
            <w:rFonts w:asciiTheme="majorBidi" w:hAnsiTheme="majorBidi" w:cstheme="majorBidi"/>
            <w:color w:val="0000EE"/>
            <w:sz w:val="20"/>
            <w:szCs w:val="20"/>
            <w:u w:val="single" w:color="0000EE"/>
          </w:rPr>
          <w:t>hatem@khalaf.us</w:t>
        </w:r>
      </w:hyperlink>
      <w:r w:rsidR="0010573C">
        <w:rPr>
          <w:rFonts w:asciiTheme="majorBidi" w:hAnsiTheme="majorBidi" w:cstheme="majorBidi"/>
          <w:sz w:val="20"/>
          <w:szCs w:val="20"/>
        </w:rPr>
        <w:t xml:space="preserve">, </w:t>
      </w:r>
      <w:hyperlink r:id="rId15" w:history="1">
        <w:r w:rsidR="0010573C">
          <w:rPr>
            <w:rStyle w:val="Hyperlink"/>
            <w:rFonts w:asciiTheme="majorBidi" w:hAnsiTheme="majorBidi" w:cstheme="majorBidi"/>
            <w:sz w:val="20"/>
            <w:szCs w:val="20"/>
          </w:rPr>
          <w:t>alaboudysh@gmail.com</w:t>
        </w:r>
      </w:hyperlink>
    </w:p>
    <w:p w:rsidR="00A53D17" w:rsidRDefault="00A53D17">
      <w:pPr>
        <w:jc w:val="both"/>
        <w:rPr>
          <w:rFonts w:asciiTheme="majorBidi" w:hAnsiTheme="majorBidi" w:cstheme="majorBidi"/>
          <w:b/>
          <w:bCs/>
          <w:sz w:val="20"/>
          <w:szCs w:val="20"/>
          <w:u w:val="single"/>
        </w:rPr>
      </w:pPr>
    </w:p>
    <w:p w:rsidR="00A53D17" w:rsidRDefault="0010573C">
      <w:pPr>
        <w:jc w:val="both"/>
        <w:rPr>
          <w:rFonts w:asciiTheme="majorBidi" w:hAnsiTheme="majorBidi" w:cstheme="majorBidi"/>
          <w:sz w:val="20"/>
          <w:szCs w:val="20"/>
        </w:rPr>
      </w:pPr>
      <w:r>
        <w:rPr>
          <w:rFonts w:asciiTheme="majorBidi" w:hAnsiTheme="majorBidi" w:cstheme="majorBidi"/>
          <w:b/>
          <w:bCs/>
          <w:sz w:val="20"/>
          <w:szCs w:val="20"/>
        </w:rPr>
        <w:t>Abstract: Objective:</w:t>
      </w:r>
      <w:r>
        <w:rPr>
          <w:rFonts w:asciiTheme="majorBidi" w:hAnsiTheme="majorBidi" w:cstheme="majorBidi"/>
          <w:sz w:val="20"/>
          <w:szCs w:val="20"/>
        </w:rPr>
        <w:t xml:space="preserve"> To study the potential predictors of patient survival, including the inflammatory markers derived from peripheral blood cell counts, in gallbladder cancer.</w:t>
      </w:r>
      <w:r>
        <w:rPr>
          <w:rFonts w:asciiTheme="majorBidi" w:hAnsiTheme="majorBidi" w:cstheme="majorBidi" w:hint="eastAsia"/>
          <w:sz w:val="20"/>
          <w:szCs w:val="20"/>
          <w:lang w:eastAsia="zh-CN"/>
        </w:rPr>
        <w:t xml:space="preserve"> </w:t>
      </w:r>
      <w:r>
        <w:rPr>
          <w:rFonts w:asciiTheme="majorBidi" w:hAnsiTheme="majorBidi" w:cstheme="majorBidi"/>
          <w:b/>
          <w:bCs/>
          <w:sz w:val="20"/>
          <w:szCs w:val="20"/>
        </w:rPr>
        <w:t>Patients and methods:</w:t>
      </w:r>
      <w:r>
        <w:rPr>
          <w:rFonts w:asciiTheme="majorBidi" w:hAnsiTheme="majorBidi" w:cstheme="majorBidi"/>
          <w:sz w:val="20"/>
          <w:szCs w:val="20"/>
        </w:rPr>
        <w:t xml:space="preserve"> This study included patients diagnosed with gallbladder cancer and have follow up of at least 6 months. Patients who had cholangitis at diagnosis were excluded. The ratios of neutrophil to lymphocyte counts (NLR), platelet to lymphocyte counts (PLR), and </w:t>
      </w:r>
      <w:r>
        <w:rPr>
          <w:rFonts w:asciiTheme="majorBidi" w:hAnsiTheme="majorBidi" w:cstheme="majorBidi"/>
          <w:sz w:val="20"/>
          <w:szCs w:val="20"/>
        </w:rPr>
        <w:t>monocyte to lymphocyte counts (MLR) were calculated at the time of diagnosis.</w:t>
      </w:r>
      <w:r>
        <w:rPr>
          <w:rFonts w:asciiTheme="majorBidi" w:hAnsiTheme="majorBidi" w:cstheme="majorBidi" w:hint="eastAsia"/>
          <w:sz w:val="20"/>
          <w:szCs w:val="20"/>
          <w:lang w:eastAsia="zh-CN"/>
        </w:rPr>
        <w:t xml:space="preserve"> </w:t>
      </w:r>
      <w:r>
        <w:rPr>
          <w:rFonts w:asciiTheme="majorBidi" w:hAnsiTheme="majorBidi" w:cstheme="majorBidi"/>
          <w:b/>
          <w:bCs/>
          <w:sz w:val="20"/>
          <w:szCs w:val="20"/>
        </w:rPr>
        <w:t>Results:</w:t>
      </w:r>
      <w:r>
        <w:rPr>
          <w:rFonts w:asciiTheme="majorBidi" w:hAnsiTheme="majorBidi" w:cstheme="majorBidi"/>
          <w:sz w:val="20"/>
          <w:szCs w:val="20"/>
        </w:rPr>
        <w:t xml:space="preserve"> A total of 85 patients fulfilled the criteria and were involved in the analysis between July 2009 and January 2020. Thirty-five patients (41%) were females, and 50 (59%)</w:t>
      </w:r>
      <w:r>
        <w:rPr>
          <w:rFonts w:asciiTheme="majorBidi" w:hAnsiTheme="majorBidi" w:cstheme="majorBidi"/>
          <w:sz w:val="20"/>
          <w:szCs w:val="20"/>
        </w:rPr>
        <w:t xml:space="preserve"> were males. The mean age at the time of diagnosis with gallbladder cancer was 54 ± 12 years, and it ranged from 31 to 93 years. The mean follow-up period was 1.0 ± 0.7 years.</w:t>
      </w:r>
      <w:r>
        <w:rPr>
          <w:rFonts w:asciiTheme="majorBidi" w:hAnsiTheme="majorBidi" w:cstheme="majorBidi" w:hint="eastAsia"/>
          <w:sz w:val="20"/>
          <w:szCs w:val="20"/>
          <w:lang w:eastAsia="zh-CN"/>
        </w:rPr>
        <w:t xml:space="preserve"> </w:t>
      </w:r>
      <w:r>
        <w:rPr>
          <w:rFonts w:asciiTheme="majorBidi" w:hAnsiTheme="majorBidi" w:cstheme="majorBidi"/>
          <w:sz w:val="20"/>
          <w:szCs w:val="20"/>
        </w:rPr>
        <w:t xml:space="preserve">Patient survival from the time of diagnosis until the last follow-up was 44.7%, </w:t>
      </w:r>
      <w:r>
        <w:rPr>
          <w:rFonts w:asciiTheme="majorBidi" w:hAnsiTheme="majorBidi" w:cstheme="majorBidi"/>
          <w:sz w:val="20"/>
          <w:szCs w:val="20"/>
        </w:rPr>
        <w:t>with 47 patients died during the follow-up period; the median survival was 1.5 years. Cox's proportional hazard regression analyses were carried out and revealed that young age at diagnosis (HR=1.04, CI=1.01-1.07), PLR≤200 (HR=0.35, CI=0.17-0.70), and surg</w:t>
      </w:r>
      <w:r>
        <w:rPr>
          <w:rFonts w:asciiTheme="majorBidi" w:hAnsiTheme="majorBidi" w:cstheme="majorBidi"/>
          <w:sz w:val="20"/>
          <w:szCs w:val="20"/>
        </w:rPr>
        <w:t xml:space="preserve">ical resection (HR=0.10, CI=0.04-0.23) are associated with longer survival. </w:t>
      </w:r>
      <w:r>
        <w:rPr>
          <w:rFonts w:asciiTheme="majorBidi" w:hAnsiTheme="majorBidi" w:cstheme="majorBidi"/>
          <w:b/>
          <w:bCs/>
          <w:sz w:val="20"/>
          <w:szCs w:val="20"/>
        </w:rPr>
        <w:t>Conclusion:</w:t>
      </w:r>
      <w:r>
        <w:rPr>
          <w:rFonts w:asciiTheme="majorBidi" w:hAnsiTheme="majorBidi" w:cstheme="majorBidi"/>
          <w:sz w:val="20"/>
          <w:szCs w:val="20"/>
        </w:rPr>
        <w:t xml:space="preserve"> Platelet/lymphocyte ratio can be a valuable and straightforward prognostic marker of gallbladder cancer.</w:t>
      </w:r>
    </w:p>
    <w:p w:rsidR="00A53D17" w:rsidRDefault="0010573C">
      <w:pPr>
        <w:rPr>
          <w:iCs/>
          <w:color w:val="000000"/>
          <w:sz w:val="20"/>
          <w:szCs w:val="20"/>
          <w:lang w:eastAsia="zh-CN" w:bidi="ar-EG"/>
        </w:rPr>
      </w:pPr>
      <w:r>
        <w:rPr>
          <w:rFonts w:asciiTheme="majorBidi" w:hAnsiTheme="majorBidi" w:cstheme="majorBidi"/>
          <w:sz w:val="20"/>
          <w:szCs w:val="20"/>
        </w:rPr>
        <w:t>[Walid Elmoghazy, Rassoul Abu-Nuwar, Ibnouf Sulieman, Ammar Ale</w:t>
      </w:r>
      <w:r>
        <w:rPr>
          <w:rFonts w:asciiTheme="majorBidi" w:hAnsiTheme="majorBidi" w:cstheme="majorBidi"/>
          <w:sz w:val="20"/>
          <w:szCs w:val="20"/>
        </w:rPr>
        <w:t>ter, Samah Mohamed, Ahmed Elaffandi, Hatem Khalaf</w:t>
      </w:r>
      <w:r>
        <w:rPr>
          <w:rFonts w:asciiTheme="majorBidi" w:hAnsiTheme="majorBidi" w:cstheme="majorBidi"/>
          <w:sz w:val="20"/>
          <w:szCs w:val="20"/>
          <w:vertAlign w:val="superscript"/>
        </w:rPr>
        <w:t>1</w:t>
      </w:r>
      <w:r>
        <w:rPr>
          <w:rFonts w:asciiTheme="majorBidi" w:hAnsiTheme="majorBidi" w:cstheme="majorBidi"/>
          <w:sz w:val="20"/>
          <w:szCs w:val="20"/>
        </w:rPr>
        <w:t>, Alshimaa Alaboudy</w:t>
      </w:r>
      <w:r>
        <w:rPr>
          <w:rFonts w:asciiTheme="majorBidi" w:hAnsiTheme="majorBidi" w:cstheme="majorBidi"/>
          <w:b/>
          <w:bCs/>
          <w:sz w:val="20"/>
          <w:szCs w:val="20"/>
        </w:rPr>
        <w:t xml:space="preserve"> Prognostic value of the inflammatory markers derived from peripheral blood cell counts in gallbladder cancer</w:t>
      </w:r>
      <w:r>
        <w:rPr>
          <w:sz w:val="20"/>
          <w:szCs w:val="20"/>
        </w:rPr>
        <w:t xml:space="preserve"> </w:t>
      </w:r>
      <w:r>
        <w:rPr>
          <w:rFonts w:hint="eastAsia"/>
          <w:sz w:val="20"/>
          <w:szCs w:val="20"/>
          <w:lang w:eastAsia="zh-CN"/>
        </w:rPr>
        <w:t>.</w:t>
      </w:r>
      <w:r>
        <w:rPr>
          <w:sz w:val="20"/>
          <w:szCs w:val="20"/>
        </w:rPr>
        <w:t>Cancer Biology 202</w:t>
      </w:r>
      <w:r>
        <w:rPr>
          <w:rFonts w:hint="eastAsia"/>
          <w:sz w:val="20"/>
          <w:szCs w:val="20"/>
          <w:lang w:eastAsia="zh-CN"/>
        </w:rPr>
        <w:t>2</w:t>
      </w:r>
      <w:r>
        <w:rPr>
          <w:sz w:val="20"/>
          <w:szCs w:val="20"/>
        </w:rPr>
        <w:t>;1</w:t>
      </w:r>
      <w:r>
        <w:rPr>
          <w:rFonts w:hint="eastAsia"/>
          <w:sz w:val="20"/>
          <w:szCs w:val="20"/>
          <w:lang w:eastAsia="zh-CN"/>
        </w:rPr>
        <w:t>2</w:t>
      </w:r>
      <w:r>
        <w:rPr>
          <w:sz w:val="20"/>
          <w:szCs w:val="20"/>
        </w:rPr>
        <w:t>(</w:t>
      </w:r>
      <w:r>
        <w:rPr>
          <w:rFonts w:hint="eastAsia"/>
          <w:sz w:val="20"/>
          <w:szCs w:val="20"/>
          <w:lang w:eastAsia="zh-CN"/>
        </w:rPr>
        <w:t>1</w:t>
      </w:r>
      <w:r>
        <w:rPr>
          <w:sz w:val="20"/>
          <w:szCs w:val="20"/>
        </w:rPr>
        <w:t>):</w:t>
      </w:r>
      <w:r>
        <w:rPr>
          <w:sz w:val="20"/>
          <w:szCs w:val="20"/>
          <w:lang w:eastAsia="zh-CN"/>
        </w:rPr>
        <w:t>1</w:t>
      </w:r>
      <w:r>
        <w:rPr>
          <w:rFonts w:hint="eastAsia"/>
          <w:sz w:val="20"/>
          <w:szCs w:val="20"/>
          <w:lang w:eastAsia="zh-CN"/>
        </w:rPr>
        <w:t>3</w:t>
      </w:r>
      <w:r>
        <w:rPr>
          <w:sz w:val="20"/>
          <w:szCs w:val="20"/>
        </w:rPr>
        <w:t>-</w:t>
      </w:r>
      <w:r>
        <w:rPr>
          <w:rFonts w:hint="eastAsia"/>
          <w:sz w:val="20"/>
          <w:szCs w:val="20"/>
          <w:lang w:eastAsia="zh-CN"/>
        </w:rPr>
        <w:t>19</w:t>
      </w:r>
      <w:bookmarkStart w:id="0" w:name="_GoBack"/>
      <w:bookmarkEnd w:id="0"/>
      <w:r>
        <w:rPr>
          <w:sz w:val="20"/>
          <w:szCs w:val="20"/>
        </w:rPr>
        <w:t>].</w:t>
      </w:r>
      <w:r>
        <w:rPr>
          <w:sz w:val="20"/>
          <w:szCs w:val="20"/>
          <w:lang w:eastAsia="zh-CN"/>
        </w:rPr>
        <w:t xml:space="preserve"> </w:t>
      </w:r>
      <w:r>
        <w:rPr>
          <w:sz w:val="20"/>
          <w:szCs w:val="20"/>
        </w:rPr>
        <w:t>ISSN:</w:t>
      </w:r>
      <w:r>
        <w:rPr>
          <w:sz w:val="20"/>
          <w:szCs w:val="20"/>
          <w:lang w:eastAsia="zh-CN"/>
        </w:rPr>
        <w:t xml:space="preserve"> </w:t>
      </w:r>
      <w:r>
        <w:rPr>
          <w:sz w:val="20"/>
          <w:szCs w:val="20"/>
        </w:rPr>
        <w:t>2150-1041</w:t>
      </w:r>
      <w:r>
        <w:rPr>
          <w:sz w:val="20"/>
          <w:szCs w:val="20"/>
          <w:lang w:eastAsia="zh-CN"/>
        </w:rPr>
        <w:t xml:space="preserve"> </w:t>
      </w:r>
      <w:r>
        <w:rPr>
          <w:sz w:val="20"/>
          <w:szCs w:val="20"/>
        </w:rPr>
        <w:t>(print);</w:t>
      </w:r>
      <w:r>
        <w:rPr>
          <w:sz w:val="20"/>
          <w:szCs w:val="20"/>
          <w:lang w:eastAsia="zh-CN"/>
        </w:rPr>
        <w:t xml:space="preserve"> </w:t>
      </w:r>
      <w:r>
        <w:rPr>
          <w:sz w:val="20"/>
          <w:szCs w:val="20"/>
        </w:rPr>
        <w:t>ISSN:</w:t>
      </w:r>
      <w:r>
        <w:rPr>
          <w:sz w:val="20"/>
          <w:szCs w:val="20"/>
          <w:lang w:eastAsia="zh-CN"/>
        </w:rPr>
        <w:t xml:space="preserve"> </w:t>
      </w:r>
      <w:r>
        <w:rPr>
          <w:sz w:val="20"/>
          <w:szCs w:val="20"/>
        </w:rPr>
        <w:t>2150-105X</w:t>
      </w:r>
      <w:r>
        <w:rPr>
          <w:sz w:val="20"/>
          <w:szCs w:val="20"/>
          <w:lang w:eastAsia="zh-CN"/>
        </w:rPr>
        <w:t xml:space="preserve"> </w:t>
      </w:r>
      <w:r>
        <w:rPr>
          <w:sz w:val="20"/>
          <w:szCs w:val="20"/>
        </w:rPr>
        <w:t>(</w:t>
      </w:r>
      <w:r>
        <w:rPr>
          <w:sz w:val="20"/>
          <w:szCs w:val="20"/>
        </w:rPr>
        <w:t>online).</w:t>
      </w:r>
      <w:r>
        <w:rPr>
          <w:color w:val="355F91"/>
          <w:sz w:val="20"/>
          <w:szCs w:val="20"/>
        </w:rPr>
        <w:t xml:space="preserve"> </w:t>
      </w:r>
      <w:hyperlink r:id="rId16" w:history="1">
        <w:r>
          <w:rPr>
            <w:rStyle w:val="Hyperlink"/>
            <w:sz w:val="20"/>
            <w:szCs w:val="20"/>
          </w:rPr>
          <w:t>http://www.cancerbio.net</w:t>
        </w:r>
      </w:hyperlink>
      <w:r>
        <w:rPr>
          <w:rFonts w:hint="eastAsia"/>
          <w:color w:val="0000FF"/>
          <w:sz w:val="20"/>
          <w:szCs w:val="20"/>
          <w:u w:val="single" w:color="0000FF"/>
          <w:lang w:eastAsia="zh-CN"/>
        </w:rPr>
        <w:t xml:space="preserve"> </w:t>
      </w:r>
      <w:hyperlink r:id="rId17" w:history="1">
        <w:r>
          <w:rPr>
            <w:rStyle w:val="Hyperlink"/>
            <w:rFonts w:eastAsia="宋体"/>
            <w:sz w:val="20"/>
            <w:szCs w:val="20"/>
          </w:rPr>
          <w:t xml:space="preserve"> </w:t>
        </w:r>
        <w:r>
          <w:rPr>
            <w:rStyle w:val="Hyperlink"/>
            <w:rFonts w:hint="eastAsia"/>
            <w:color w:val="auto"/>
            <w:sz w:val="20"/>
            <w:szCs w:val="20"/>
            <w:u w:val="none"/>
            <w:lang w:eastAsia="zh-CN"/>
          </w:rPr>
          <w:t>3</w:t>
        </w:r>
        <w:r>
          <w:rPr>
            <w:rStyle w:val="Hyperlink"/>
            <w:color w:val="auto"/>
            <w:sz w:val="20"/>
            <w:szCs w:val="20"/>
            <w:u w:val="none"/>
          </w:rPr>
          <w:t>.</w:t>
        </w:r>
        <w:r>
          <w:rPr>
            <w:rStyle w:val="Hyperlink"/>
            <w:rFonts w:eastAsia="宋体"/>
            <w:color w:val="auto"/>
            <w:sz w:val="20"/>
            <w:szCs w:val="20"/>
            <w:u w:val="none"/>
            <w:shd w:val="clear" w:color="auto" w:fill="FFFFFF"/>
          </w:rPr>
          <w:t>doi</w:t>
        </w:r>
      </w:hyperlink>
      <w:r>
        <w:rPr>
          <w:rFonts w:eastAsia="宋体"/>
          <w:sz w:val="20"/>
          <w:szCs w:val="20"/>
          <w:shd w:val="clear" w:color="auto" w:fill="FFFFFF"/>
        </w:rPr>
        <w:t>:</w:t>
      </w:r>
      <w:hyperlink r:id="rId18" w:history="1">
        <w:r>
          <w:rPr>
            <w:rStyle w:val="Hyperlink"/>
            <w:rFonts w:eastAsia="宋体"/>
            <w:sz w:val="20"/>
            <w:szCs w:val="20"/>
            <w:shd w:val="clear" w:color="auto" w:fill="FFFFFF"/>
          </w:rPr>
          <w:t>10.7537/marscbj120122.03.</w:t>
        </w:r>
      </w:hyperlink>
    </w:p>
    <w:p w:rsidR="00A53D17" w:rsidRDefault="00A53D17">
      <w:pPr>
        <w:jc w:val="both"/>
        <w:rPr>
          <w:rFonts w:asciiTheme="majorBidi" w:hAnsiTheme="majorBidi" w:cstheme="majorBidi"/>
          <w:b/>
          <w:bCs/>
          <w:sz w:val="20"/>
          <w:szCs w:val="20"/>
          <w:u w:val="single"/>
        </w:rPr>
      </w:pPr>
    </w:p>
    <w:p w:rsidR="00A53D17" w:rsidRDefault="0010573C">
      <w:pPr>
        <w:jc w:val="both"/>
        <w:rPr>
          <w:rFonts w:asciiTheme="majorBidi" w:hAnsiTheme="majorBidi" w:cstheme="majorBidi"/>
          <w:sz w:val="20"/>
          <w:szCs w:val="20"/>
        </w:rPr>
      </w:pPr>
      <w:r>
        <w:rPr>
          <w:rFonts w:asciiTheme="majorBidi" w:hAnsiTheme="majorBidi" w:cstheme="majorBidi"/>
          <w:b/>
          <w:bCs/>
          <w:sz w:val="20"/>
          <w:szCs w:val="20"/>
        </w:rPr>
        <w:t>Keywords:</w:t>
      </w:r>
      <w:r>
        <w:rPr>
          <w:rFonts w:asciiTheme="majorBidi" w:hAnsiTheme="majorBidi" w:cstheme="majorBidi"/>
          <w:sz w:val="20"/>
          <w:szCs w:val="20"/>
        </w:rPr>
        <w:t xml:space="preserve"> Gallbladder, Malignancy, Outcome, Prognostic factors, Inflammatory markers, Survival</w:t>
      </w:r>
    </w:p>
    <w:p w:rsidR="00A53D17" w:rsidRDefault="00A53D17">
      <w:pPr>
        <w:jc w:val="both"/>
        <w:rPr>
          <w:rFonts w:asciiTheme="majorBidi" w:hAnsiTheme="majorBidi" w:cstheme="majorBidi"/>
          <w:b/>
          <w:bCs/>
          <w:sz w:val="20"/>
          <w:szCs w:val="20"/>
        </w:rPr>
      </w:pPr>
    </w:p>
    <w:p w:rsidR="00A53D17" w:rsidRDefault="00A53D17">
      <w:pPr>
        <w:jc w:val="both"/>
        <w:rPr>
          <w:rFonts w:asciiTheme="majorBidi" w:hAnsiTheme="majorBidi" w:cstheme="majorBidi"/>
          <w:b/>
          <w:bCs/>
          <w:sz w:val="20"/>
          <w:szCs w:val="20"/>
        </w:rPr>
        <w:sectPr w:rsidR="00A53D17">
          <w:headerReference w:type="default" r:id="rId19"/>
          <w:footerReference w:type="even" r:id="rId20"/>
          <w:footerReference w:type="default" r:id="rId21"/>
          <w:headerReference w:type="first" r:id="rId22"/>
          <w:footerReference w:type="first" r:id="rId23"/>
          <w:pgSz w:w="12240" w:h="15840"/>
          <w:pgMar w:top="1440" w:right="1440" w:bottom="1440" w:left="1440" w:header="709" w:footer="709" w:gutter="0"/>
          <w:pgNumType w:start="13"/>
          <w:cols w:space="708"/>
          <w:titlePg/>
          <w:docGrid w:linePitch="326"/>
        </w:sectPr>
      </w:pPr>
    </w:p>
    <w:p w:rsidR="00A53D17" w:rsidRDefault="0010573C">
      <w:pPr>
        <w:jc w:val="both"/>
        <w:rPr>
          <w:rFonts w:asciiTheme="majorBidi" w:hAnsiTheme="majorBidi" w:cstheme="majorBidi"/>
          <w:sz w:val="20"/>
          <w:szCs w:val="20"/>
        </w:rPr>
      </w:pPr>
      <w:r>
        <w:rPr>
          <w:rFonts w:asciiTheme="majorBidi" w:hAnsiTheme="majorBidi" w:cstheme="majorBidi"/>
          <w:b/>
          <w:bCs/>
          <w:sz w:val="20"/>
          <w:szCs w:val="20"/>
        </w:rPr>
        <w:lastRenderedPageBreak/>
        <w:t xml:space="preserve">1. Introduction: </w:t>
      </w:r>
    </w:p>
    <w:p w:rsidR="00A53D17" w:rsidRDefault="0010573C">
      <w:pPr>
        <w:ind w:firstLine="426"/>
        <w:jc w:val="both"/>
        <w:rPr>
          <w:rFonts w:asciiTheme="majorBidi" w:hAnsiTheme="majorBidi" w:cstheme="majorBidi"/>
          <w:sz w:val="20"/>
          <w:szCs w:val="20"/>
        </w:rPr>
      </w:pPr>
      <w:r>
        <w:rPr>
          <w:rFonts w:asciiTheme="majorBidi" w:hAnsiTheme="majorBidi" w:cstheme="majorBidi"/>
          <w:sz w:val="20"/>
          <w:szCs w:val="20"/>
        </w:rPr>
        <w:t xml:space="preserve">Gallbladder cancer (GBC) is a relatively uncommon cancer [1]. GBC is the most common among biliary tract cancers and has the worst prognosis [2]. Data from the Surveillance, Epidemiology and End Results program found the incidence of GBC </w:t>
      </w:r>
      <w:r>
        <w:rPr>
          <w:rFonts w:asciiTheme="majorBidi" w:hAnsiTheme="majorBidi" w:cstheme="majorBidi"/>
          <w:sz w:val="20"/>
          <w:szCs w:val="20"/>
        </w:rPr>
        <w:t>is approximately 2.5 per 100,000 persons; and accounts for 46% of biliary tract cancers. Symptoms are usually unspecific, leading to a delayed presentation or presenting a picture similar to gallstone disease. As a result, it is usually picked up on histop</w:t>
      </w:r>
      <w:r>
        <w:rPr>
          <w:rFonts w:asciiTheme="majorBidi" w:hAnsiTheme="majorBidi" w:cstheme="majorBidi"/>
          <w:sz w:val="20"/>
          <w:szCs w:val="20"/>
        </w:rPr>
        <w:t>athology for routine cholecystectomies [3]. Since the introduction of laparoscopy, diagnosis of GBC at an early stage has increased markedly [4]. The most important prognostic factor for Gallbladder cancer is the tumor stage [5]; yet, there still is no rel</w:t>
      </w:r>
      <w:r>
        <w:rPr>
          <w:rFonts w:asciiTheme="majorBidi" w:hAnsiTheme="majorBidi" w:cstheme="majorBidi"/>
          <w:sz w:val="20"/>
          <w:szCs w:val="20"/>
        </w:rPr>
        <w:t>iable markers identified for routine screening for early identification of Gallbladder cancer [6, 7]</w:t>
      </w:r>
    </w:p>
    <w:p w:rsidR="00A53D17" w:rsidRDefault="0010573C">
      <w:pPr>
        <w:ind w:firstLine="426"/>
        <w:jc w:val="both"/>
        <w:rPr>
          <w:rFonts w:asciiTheme="majorBidi" w:hAnsiTheme="majorBidi" w:cstheme="majorBidi"/>
          <w:sz w:val="20"/>
          <w:szCs w:val="20"/>
        </w:rPr>
      </w:pPr>
      <w:r>
        <w:rPr>
          <w:rFonts w:asciiTheme="majorBidi" w:hAnsiTheme="majorBidi" w:cstheme="majorBidi"/>
          <w:sz w:val="20"/>
          <w:szCs w:val="20"/>
        </w:rPr>
        <w:lastRenderedPageBreak/>
        <w:t>Over the past few years, interest has taken place in the role of inflammatory markers and their prognostic value in various cancers [8]. To date, there hav</w:t>
      </w:r>
      <w:r>
        <w:rPr>
          <w:rFonts w:asciiTheme="majorBidi" w:hAnsiTheme="majorBidi" w:cstheme="majorBidi"/>
          <w:sz w:val="20"/>
          <w:szCs w:val="20"/>
        </w:rPr>
        <w:t>e been many studies looking at the role of inflammatory markers as a prognostic indicatory in gallbladder cancer [9-15]. In addition, a clear tie has been demonstrated between the elevation of inflammatory markers, such as neutrophil to lymphocyte and plat</w:t>
      </w:r>
      <w:r>
        <w:rPr>
          <w:rFonts w:asciiTheme="majorBidi" w:hAnsiTheme="majorBidi" w:cstheme="majorBidi"/>
          <w:sz w:val="20"/>
          <w:szCs w:val="20"/>
        </w:rPr>
        <w:t xml:space="preserve">elet to lymphocyte ratios and decreased survival [9]. </w:t>
      </w:r>
    </w:p>
    <w:p w:rsidR="00A53D17" w:rsidRDefault="0010573C">
      <w:pPr>
        <w:ind w:firstLine="426"/>
        <w:jc w:val="both"/>
        <w:rPr>
          <w:rFonts w:asciiTheme="majorBidi" w:hAnsiTheme="majorBidi" w:cstheme="majorBidi"/>
          <w:sz w:val="20"/>
          <w:szCs w:val="20"/>
        </w:rPr>
      </w:pPr>
      <w:r>
        <w:rPr>
          <w:rFonts w:asciiTheme="majorBidi" w:hAnsiTheme="majorBidi" w:cstheme="majorBidi"/>
          <w:sz w:val="20"/>
          <w:szCs w:val="20"/>
        </w:rPr>
        <w:t>Given that complete R0 surgical resection is the only proven cure for gallbladder cancer, attempts must be made at finding better ways of picking up early lesions [16]. In addition, due to most cases b</w:t>
      </w:r>
      <w:r>
        <w:rPr>
          <w:rFonts w:asciiTheme="majorBidi" w:hAnsiTheme="majorBidi" w:cstheme="majorBidi"/>
          <w:sz w:val="20"/>
          <w:szCs w:val="20"/>
        </w:rPr>
        <w:t xml:space="preserve">eing discovered incidentally upon cholecystectomy and even in suspected cases, the depth of invasion can only be identified upon final histopathology. There is a clear need for additional prognostic tools </w:t>
      </w:r>
      <w:r>
        <w:rPr>
          <w:rFonts w:asciiTheme="majorBidi" w:hAnsiTheme="majorBidi" w:cstheme="majorBidi"/>
          <w:sz w:val="20"/>
          <w:szCs w:val="20"/>
        </w:rPr>
        <w:lastRenderedPageBreak/>
        <w:t>that can aid in making clinical decisions [3]. In t</w:t>
      </w:r>
      <w:r>
        <w:rPr>
          <w:rFonts w:asciiTheme="majorBidi" w:hAnsiTheme="majorBidi" w:cstheme="majorBidi"/>
          <w:sz w:val="20"/>
          <w:szCs w:val="20"/>
        </w:rPr>
        <w:t>his study, we aimed to study further the relationship between the inflammatory markers derived from peripheral blood cell counts, including neutrophil to lymphocyte (NLR), platelet to lymphocyte ratio (PLR), and monocyte to lymphocyte ratio (MLR) and gallb</w:t>
      </w:r>
      <w:r>
        <w:rPr>
          <w:rFonts w:asciiTheme="majorBidi" w:hAnsiTheme="majorBidi" w:cstheme="majorBidi"/>
          <w:sz w:val="20"/>
          <w:szCs w:val="20"/>
        </w:rPr>
        <w:t>ladder cancer, and their ability to predict patient survival.</w:t>
      </w:r>
    </w:p>
    <w:p w:rsidR="00A53D17" w:rsidRDefault="00A53D17">
      <w:pPr>
        <w:jc w:val="both"/>
        <w:rPr>
          <w:rFonts w:asciiTheme="majorBidi" w:hAnsiTheme="majorBidi" w:cstheme="majorBidi"/>
          <w:b/>
          <w:bCs/>
          <w:sz w:val="20"/>
          <w:szCs w:val="20"/>
        </w:rPr>
      </w:pPr>
    </w:p>
    <w:p w:rsidR="00A53D17" w:rsidRDefault="0010573C">
      <w:pPr>
        <w:jc w:val="both"/>
        <w:rPr>
          <w:rFonts w:asciiTheme="majorBidi" w:hAnsiTheme="majorBidi" w:cstheme="majorBidi"/>
          <w:sz w:val="20"/>
          <w:szCs w:val="20"/>
        </w:rPr>
      </w:pPr>
      <w:r>
        <w:rPr>
          <w:rFonts w:asciiTheme="majorBidi" w:hAnsiTheme="majorBidi" w:cstheme="majorBidi"/>
          <w:b/>
          <w:bCs/>
          <w:sz w:val="20"/>
          <w:szCs w:val="20"/>
        </w:rPr>
        <w:t>2. Methods:</w:t>
      </w:r>
    </w:p>
    <w:p w:rsidR="00A53D17" w:rsidRDefault="0010573C">
      <w:pPr>
        <w:ind w:firstLine="426"/>
        <w:jc w:val="both"/>
        <w:rPr>
          <w:rFonts w:asciiTheme="majorBidi" w:hAnsiTheme="majorBidi" w:cstheme="majorBidi"/>
          <w:sz w:val="20"/>
          <w:szCs w:val="20"/>
        </w:rPr>
      </w:pPr>
      <w:r>
        <w:rPr>
          <w:rFonts w:asciiTheme="majorBidi" w:hAnsiTheme="majorBidi" w:cstheme="majorBidi"/>
          <w:sz w:val="20"/>
          <w:szCs w:val="20"/>
        </w:rPr>
        <w:t>Our study is a retrospective analysis of prospectively collected data undertaken at Hamad General Hospital, a tertiary hospital in Doha, Qatar. The period under review was between J</w:t>
      </w:r>
      <w:r>
        <w:rPr>
          <w:rFonts w:asciiTheme="majorBidi" w:hAnsiTheme="majorBidi" w:cstheme="majorBidi"/>
          <w:sz w:val="20"/>
          <w:szCs w:val="20"/>
        </w:rPr>
        <w:t>uly 2009 and January 2020.</w:t>
      </w:r>
    </w:p>
    <w:p w:rsidR="00A53D17" w:rsidRDefault="0010573C">
      <w:pPr>
        <w:ind w:firstLine="426"/>
        <w:jc w:val="both"/>
        <w:rPr>
          <w:rFonts w:asciiTheme="majorBidi" w:hAnsiTheme="majorBidi" w:cstheme="majorBidi"/>
          <w:sz w:val="20"/>
          <w:szCs w:val="20"/>
        </w:rPr>
      </w:pPr>
      <w:r>
        <w:rPr>
          <w:rFonts w:asciiTheme="majorBidi" w:hAnsiTheme="majorBidi" w:cstheme="majorBidi"/>
          <w:sz w:val="20"/>
          <w:szCs w:val="20"/>
        </w:rPr>
        <w:t>Using our database from the hepatobiliary multidisciplinary team meeting, 88 cases were identified with at least 6 months of follow up from diagnosis, for recently diagnosed alive patients. Patients who had cholangitis at the tim</w:t>
      </w:r>
      <w:r>
        <w:rPr>
          <w:rFonts w:asciiTheme="majorBidi" w:hAnsiTheme="majorBidi" w:cstheme="majorBidi"/>
          <w:sz w:val="20"/>
          <w:szCs w:val="20"/>
        </w:rPr>
        <w:t xml:space="preserve">e of diagnosis were excluded. </w:t>
      </w:r>
    </w:p>
    <w:p w:rsidR="00A53D17" w:rsidRDefault="0010573C">
      <w:pPr>
        <w:ind w:firstLine="426"/>
        <w:jc w:val="both"/>
        <w:rPr>
          <w:rFonts w:asciiTheme="majorBidi" w:hAnsiTheme="majorBidi" w:cstheme="majorBidi"/>
          <w:sz w:val="20"/>
          <w:szCs w:val="20"/>
        </w:rPr>
      </w:pPr>
      <w:r>
        <w:rPr>
          <w:rFonts w:asciiTheme="majorBidi" w:hAnsiTheme="majorBidi" w:cstheme="majorBidi"/>
          <w:sz w:val="20"/>
          <w:szCs w:val="20"/>
        </w:rPr>
        <w:t>In patients with suspected GBC, the diagnosis was made through biopsy and imaging. The staging was done using multi-detector computed tomography (MDCT) or magnetic resonance imaging (MRI) and fluorodeoxyglucose-positron emiss</w:t>
      </w:r>
      <w:r>
        <w:rPr>
          <w:rFonts w:asciiTheme="majorBidi" w:hAnsiTheme="majorBidi" w:cstheme="majorBidi"/>
          <w:sz w:val="20"/>
          <w:szCs w:val="20"/>
        </w:rPr>
        <w:t>ion tomography (FDG-PET). According to the American Joint Committee on Cancer (AJCC) staging system [17].</w:t>
      </w:r>
    </w:p>
    <w:p w:rsidR="00A53D17" w:rsidRDefault="0010573C">
      <w:pPr>
        <w:ind w:firstLine="426"/>
        <w:jc w:val="both"/>
        <w:rPr>
          <w:rFonts w:asciiTheme="majorBidi" w:hAnsiTheme="majorBidi" w:cstheme="majorBidi"/>
          <w:sz w:val="20"/>
          <w:szCs w:val="20"/>
        </w:rPr>
      </w:pPr>
      <w:r>
        <w:rPr>
          <w:rFonts w:asciiTheme="majorBidi" w:hAnsiTheme="majorBidi" w:cstheme="majorBidi"/>
          <w:sz w:val="20"/>
          <w:szCs w:val="20"/>
        </w:rPr>
        <w:t>Patients were considered to have incidental GBC if malignancy was detected on histopathological examination without preoperative suspicion of GBC. The</w:t>
      </w:r>
      <w:r>
        <w:rPr>
          <w:rFonts w:asciiTheme="majorBidi" w:hAnsiTheme="majorBidi" w:cstheme="majorBidi"/>
          <w:sz w:val="20"/>
          <w:szCs w:val="20"/>
        </w:rPr>
        <w:t xml:space="preserve"> extent of the tumor was determined based on the pathological examination of the removed gallbladder, and proper staging was done using MDCT or MRI and FDG-PET to exclude metastatic disease.</w:t>
      </w:r>
    </w:p>
    <w:p w:rsidR="00A53D17" w:rsidRDefault="0010573C">
      <w:pPr>
        <w:ind w:firstLine="426"/>
        <w:jc w:val="both"/>
        <w:rPr>
          <w:rFonts w:asciiTheme="majorBidi" w:hAnsiTheme="majorBidi" w:cstheme="majorBidi"/>
          <w:sz w:val="20"/>
          <w:szCs w:val="20"/>
        </w:rPr>
      </w:pPr>
      <w:r>
        <w:rPr>
          <w:rFonts w:asciiTheme="majorBidi" w:hAnsiTheme="majorBidi" w:cstheme="majorBidi"/>
          <w:sz w:val="20"/>
          <w:szCs w:val="20"/>
        </w:rPr>
        <w:t>Simple cholecystectomy alone was felt to be adequate for patients</w:t>
      </w:r>
      <w:r>
        <w:rPr>
          <w:rFonts w:asciiTheme="majorBidi" w:hAnsiTheme="majorBidi" w:cstheme="majorBidi"/>
          <w:sz w:val="20"/>
          <w:szCs w:val="20"/>
        </w:rPr>
        <w:t xml:space="preserve"> with tumors that are limited to the lamina propria (T1a), while patients with a GBC &gt;T1a, completion hepatectomy was considered as shown below in detail. </w:t>
      </w:r>
    </w:p>
    <w:p w:rsidR="00A53D17" w:rsidRDefault="0010573C">
      <w:pPr>
        <w:jc w:val="both"/>
        <w:rPr>
          <w:rFonts w:asciiTheme="majorBidi" w:hAnsiTheme="majorBidi" w:cstheme="majorBidi"/>
          <w:b/>
          <w:bCs/>
          <w:sz w:val="20"/>
          <w:szCs w:val="20"/>
        </w:rPr>
      </w:pPr>
      <w:r>
        <w:rPr>
          <w:rFonts w:asciiTheme="majorBidi" w:hAnsiTheme="majorBidi" w:cstheme="majorBidi"/>
          <w:b/>
          <w:bCs/>
          <w:sz w:val="20"/>
          <w:szCs w:val="20"/>
        </w:rPr>
        <w:t>Surgical procedures:</w:t>
      </w:r>
    </w:p>
    <w:p w:rsidR="00A53D17" w:rsidRDefault="0010573C">
      <w:pPr>
        <w:ind w:firstLine="426"/>
        <w:jc w:val="both"/>
        <w:rPr>
          <w:rFonts w:asciiTheme="majorBidi" w:hAnsiTheme="majorBidi" w:cstheme="majorBidi"/>
          <w:sz w:val="20"/>
          <w:szCs w:val="20"/>
        </w:rPr>
      </w:pPr>
      <w:r>
        <w:rPr>
          <w:rFonts w:asciiTheme="majorBidi" w:hAnsiTheme="majorBidi" w:cstheme="majorBidi"/>
          <w:sz w:val="20"/>
          <w:szCs w:val="20"/>
        </w:rPr>
        <w:t>Patients, who were candidates for radical resection with proper radiological st</w:t>
      </w:r>
      <w:r>
        <w:rPr>
          <w:rFonts w:asciiTheme="majorBidi" w:hAnsiTheme="majorBidi" w:cstheme="majorBidi"/>
          <w:sz w:val="20"/>
          <w:szCs w:val="20"/>
        </w:rPr>
        <w:t>aging and no evidence of metastasis, underwent a diagnostic laparoscopy first. Completion hepatectomy included resection of segments IVb and V, excision of porta hepatis and supra-duodenal lymph nodes with or without bile duct resection, Roux-en-Y hepatico</w:t>
      </w:r>
      <w:r>
        <w:rPr>
          <w:rFonts w:asciiTheme="majorBidi" w:hAnsiTheme="majorBidi" w:cstheme="majorBidi"/>
          <w:sz w:val="20"/>
          <w:szCs w:val="20"/>
        </w:rPr>
        <w:t xml:space="preserve">jejunostomy, depending on the cystic duct margin. Resection was classified as R0, R1 or R2 depending on the margin status (R0 = no residual disease, R1 = microscopically positive margin, and R2 = macroscopic residual disease). </w:t>
      </w:r>
    </w:p>
    <w:p w:rsidR="00A53D17" w:rsidRDefault="0010573C">
      <w:pPr>
        <w:ind w:firstLine="426"/>
        <w:jc w:val="both"/>
        <w:rPr>
          <w:rFonts w:asciiTheme="majorBidi" w:hAnsiTheme="majorBidi" w:cstheme="majorBidi"/>
          <w:sz w:val="20"/>
          <w:szCs w:val="20"/>
        </w:rPr>
      </w:pPr>
      <w:r>
        <w:rPr>
          <w:rFonts w:asciiTheme="majorBidi" w:hAnsiTheme="majorBidi" w:cstheme="majorBidi"/>
          <w:sz w:val="20"/>
          <w:szCs w:val="20"/>
        </w:rPr>
        <w:t>Patient electronic files wer</w:t>
      </w:r>
      <w:r>
        <w:rPr>
          <w:rFonts w:asciiTheme="majorBidi" w:hAnsiTheme="majorBidi" w:cstheme="majorBidi"/>
          <w:sz w:val="20"/>
          <w:szCs w:val="20"/>
        </w:rPr>
        <w:t xml:space="preserve">e accessed and double-checked using our Electronic Medical Viewer. Collected data included age, gender, </w:t>
      </w:r>
      <w:r>
        <w:rPr>
          <w:rFonts w:asciiTheme="majorBidi" w:hAnsiTheme="majorBidi" w:cstheme="majorBidi"/>
          <w:sz w:val="20"/>
          <w:szCs w:val="20"/>
        </w:rPr>
        <w:lastRenderedPageBreak/>
        <w:t>ethnicity, laboratory results (blood cell count, liver and renal function tests, and tumor markers), American Society of Anesthesiologists Physical Stat</w:t>
      </w:r>
      <w:r>
        <w:rPr>
          <w:rFonts w:asciiTheme="majorBidi" w:hAnsiTheme="majorBidi" w:cstheme="majorBidi"/>
          <w:sz w:val="20"/>
          <w:szCs w:val="20"/>
        </w:rPr>
        <w:t>us Classification (</w:t>
      </w:r>
      <w:r>
        <w:rPr>
          <w:rFonts w:asciiTheme="majorBidi" w:hAnsiTheme="majorBidi" w:cstheme="majorBidi"/>
          <w:color w:val="000000" w:themeColor="text1"/>
          <w:sz w:val="20"/>
          <w:szCs w:val="20"/>
        </w:rPr>
        <w:t>ASA) (18</w:t>
      </w:r>
      <w:r>
        <w:rPr>
          <w:rFonts w:asciiTheme="majorBidi" w:hAnsiTheme="majorBidi" w:cstheme="majorBidi"/>
          <w:sz w:val="20"/>
          <w:szCs w:val="20"/>
        </w:rPr>
        <w:t>), clinical performance status (19), type of surgical intervention, lympho-vascular invasion, perineural invasion, stage, presence or absence of metastatic disease, and outcome.</w:t>
      </w:r>
    </w:p>
    <w:p w:rsidR="00A53D17" w:rsidRDefault="0010573C">
      <w:pPr>
        <w:ind w:firstLine="426"/>
        <w:jc w:val="both"/>
        <w:rPr>
          <w:rFonts w:asciiTheme="majorBidi" w:hAnsiTheme="majorBidi" w:cstheme="majorBidi"/>
          <w:sz w:val="20"/>
          <w:szCs w:val="20"/>
        </w:rPr>
      </w:pPr>
      <w:r>
        <w:rPr>
          <w:rFonts w:asciiTheme="majorBidi" w:hAnsiTheme="majorBidi" w:cstheme="majorBidi"/>
          <w:sz w:val="20"/>
          <w:szCs w:val="20"/>
        </w:rPr>
        <w:t xml:space="preserve">The NLR was defined as the absolute neutrophil </w:t>
      </w:r>
      <w:r>
        <w:rPr>
          <w:rFonts w:asciiTheme="majorBidi" w:hAnsiTheme="majorBidi" w:cstheme="majorBidi"/>
          <w:sz w:val="20"/>
          <w:szCs w:val="20"/>
        </w:rPr>
        <w:t>count in peripheral blood divided by the absolute lymphocyte count, PLR was defined as the platelet count divided by the absolute lymphocyte, and MLR was calculated as the absolute monocyte count divided by the absolute lymphocytic count. All ratios were c</w:t>
      </w:r>
      <w:r>
        <w:rPr>
          <w:rFonts w:asciiTheme="majorBidi" w:hAnsiTheme="majorBidi" w:cstheme="majorBidi"/>
          <w:sz w:val="20"/>
          <w:szCs w:val="20"/>
        </w:rPr>
        <w:t>alculated at the time of diagnosis. PLR of 200 was used as a cut off value [</w:t>
      </w:r>
      <w:r>
        <w:rPr>
          <w:rFonts w:asciiTheme="majorBidi" w:hAnsiTheme="majorBidi" w:cstheme="majorBidi"/>
          <w:color w:val="000000" w:themeColor="text1"/>
          <w:sz w:val="20"/>
          <w:szCs w:val="20"/>
        </w:rPr>
        <w:t>15</w:t>
      </w:r>
      <w:r>
        <w:rPr>
          <w:rFonts w:asciiTheme="majorBidi" w:hAnsiTheme="majorBidi" w:cstheme="majorBidi"/>
          <w:sz w:val="20"/>
          <w:szCs w:val="20"/>
        </w:rPr>
        <w:t>].</w:t>
      </w:r>
    </w:p>
    <w:p w:rsidR="00A53D17" w:rsidRDefault="0010573C">
      <w:pPr>
        <w:ind w:firstLine="426"/>
        <w:jc w:val="both"/>
        <w:rPr>
          <w:rFonts w:asciiTheme="majorBidi" w:hAnsiTheme="majorBidi" w:cstheme="majorBidi"/>
          <w:sz w:val="20"/>
          <w:szCs w:val="20"/>
        </w:rPr>
      </w:pPr>
      <w:r>
        <w:rPr>
          <w:rFonts w:asciiTheme="majorBidi" w:hAnsiTheme="majorBidi" w:cstheme="majorBidi"/>
          <w:sz w:val="20"/>
          <w:szCs w:val="20"/>
        </w:rPr>
        <w:t>The Ethical Committee approved our retrospective study for Human Research at our institute.</w:t>
      </w:r>
    </w:p>
    <w:p w:rsidR="00A53D17" w:rsidRDefault="0010573C">
      <w:pPr>
        <w:jc w:val="both"/>
        <w:rPr>
          <w:rFonts w:asciiTheme="majorBidi" w:hAnsiTheme="majorBidi" w:cstheme="majorBidi"/>
          <w:b/>
          <w:bCs/>
          <w:sz w:val="20"/>
          <w:szCs w:val="20"/>
        </w:rPr>
      </w:pPr>
      <w:r>
        <w:rPr>
          <w:rFonts w:asciiTheme="majorBidi" w:hAnsiTheme="majorBidi" w:cstheme="majorBidi"/>
          <w:b/>
          <w:bCs/>
          <w:sz w:val="20"/>
          <w:szCs w:val="20"/>
        </w:rPr>
        <w:t>Statistical analysis:</w:t>
      </w:r>
    </w:p>
    <w:p w:rsidR="00A53D17" w:rsidRDefault="0010573C">
      <w:pPr>
        <w:ind w:firstLine="426"/>
        <w:jc w:val="both"/>
        <w:rPr>
          <w:rFonts w:asciiTheme="majorBidi" w:hAnsiTheme="majorBidi" w:cstheme="majorBidi"/>
          <w:sz w:val="20"/>
          <w:szCs w:val="20"/>
        </w:rPr>
      </w:pPr>
      <w:r>
        <w:rPr>
          <w:rFonts w:asciiTheme="majorBidi" w:hAnsiTheme="majorBidi" w:cstheme="majorBidi"/>
          <w:sz w:val="20"/>
          <w:szCs w:val="20"/>
        </w:rPr>
        <w:t>Data were expressed as mean ± standard deviation and frequenc</w:t>
      </w:r>
      <w:r>
        <w:rPr>
          <w:rFonts w:asciiTheme="majorBidi" w:hAnsiTheme="majorBidi" w:cstheme="majorBidi"/>
          <w:sz w:val="20"/>
          <w:szCs w:val="20"/>
        </w:rPr>
        <w:t>y (percentage). Survival curves were drawn using the Kaplan-Meier method and log-rank test for comparison. Cox's proportional hazards regression was used to identify the predictors of patient survival. Patients who are still alive or lost the follow up wer</w:t>
      </w:r>
      <w:r>
        <w:rPr>
          <w:rFonts w:asciiTheme="majorBidi" w:hAnsiTheme="majorBidi" w:cstheme="majorBidi"/>
          <w:sz w:val="20"/>
          <w:szCs w:val="20"/>
        </w:rPr>
        <w:t>e considered censored.</w:t>
      </w:r>
    </w:p>
    <w:p w:rsidR="00A53D17" w:rsidRDefault="0010573C">
      <w:pPr>
        <w:ind w:firstLine="426"/>
        <w:jc w:val="both"/>
        <w:rPr>
          <w:rFonts w:asciiTheme="majorBidi" w:hAnsiTheme="majorBidi" w:cstheme="majorBidi"/>
          <w:sz w:val="20"/>
          <w:szCs w:val="20"/>
        </w:rPr>
      </w:pPr>
      <w:r>
        <w:rPr>
          <w:rFonts w:asciiTheme="majorBidi" w:hAnsiTheme="majorBidi" w:cstheme="majorBidi"/>
          <w:sz w:val="20"/>
          <w:szCs w:val="20"/>
        </w:rPr>
        <w:t xml:space="preserve">A </w:t>
      </w:r>
      <w:r>
        <w:rPr>
          <w:rFonts w:asciiTheme="majorBidi" w:hAnsiTheme="majorBidi" w:cstheme="majorBidi"/>
          <w:i/>
          <w:iCs/>
          <w:sz w:val="20"/>
          <w:szCs w:val="20"/>
        </w:rPr>
        <w:t>P</w:t>
      </w:r>
      <w:r>
        <w:rPr>
          <w:rFonts w:asciiTheme="majorBidi" w:hAnsiTheme="majorBidi" w:cstheme="majorBidi"/>
          <w:sz w:val="20"/>
          <w:szCs w:val="20"/>
        </w:rPr>
        <w:t xml:space="preserve">-value of &lt;0.05 was considered statistically significant. SPSS software (SPSS Inc., Chicago, USA, version 22) was used for analysis. </w:t>
      </w:r>
    </w:p>
    <w:p w:rsidR="00A53D17" w:rsidRDefault="00A53D17">
      <w:pPr>
        <w:jc w:val="both"/>
        <w:rPr>
          <w:rFonts w:asciiTheme="majorBidi" w:hAnsiTheme="majorBidi" w:cstheme="majorBidi"/>
          <w:b/>
          <w:bCs/>
          <w:sz w:val="20"/>
          <w:szCs w:val="20"/>
        </w:rPr>
      </w:pPr>
    </w:p>
    <w:p w:rsidR="00A53D17" w:rsidRDefault="0010573C">
      <w:pPr>
        <w:jc w:val="both"/>
        <w:rPr>
          <w:rFonts w:asciiTheme="majorBidi" w:hAnsiTheme="majorBidi" w:cstheme="majorBidi"/>
          <w:sz w:val="20"/>
          <w:szCs w:val="20"/>
        </w:rPr>
      </w:pPr>
      <w:r>
        <w:rPr>
          <w:rFonts w:asciiTheme="majorBidi" w:hAnsiTheme="majorBidi" w:cstheme="majorBidi"/>
          <w:b/>
          <w:bCs/>
          <w:sz w:val="20"/>
          <w:szCs w:val="20"/>
        </w:rPr>
        <w:t>3. Results:</w:t>
      </w:r>
    </w:p>
    <w:p w:rsidR="00A53D17" w:rsidRDefault="0010573C">
      <w:pPr>
        <w:ind w:firstLine="426"/>
        <w:jc w:val="both"/>
        <w:rPr>
          <w:rFonts w:asciiTheme="majorBidi" w:hAnsiTheme="majorBidi" w:cstheme="majorBidi"/>
          <w:sz w:val="20"/>
          <w:szCs w:val="20"/>
        </w:rPr>
      </w:pPr>
      <w:r>
        <w:rPr>
          <w:rFonts w:asciiTheme="majorBidi" w:hAnsiTheme="majorBidi" w:cstheme="majorBidi"/>
          <w:sz w:val="20"/>
          <w:szCs w:val="20"/>
        </w:rPr>
        <w:t>A total of 85 patients with gallbladder cancer met the criteria and were included i</w:t>
      </w:r>
      <w:r>
        <w:rPr>
          <w:rFonts w:asciiTheme="majorBidi" w:hAnsiTheme="majorBidi" w:cstheme="majorBidi"/>
          <w:sz w:val="20"/>
          <w:szCs w:val="20"/>
        </w:rPr>
        <w:t>n the analysis. Thirty-five patients (41%) were females, and 50 (59%) were males. The average age at the time of diagnosis was 54 ± 12 years, and it ranged from 31 to 93 years. The mean follow-up was 1.0 ± 0.7 years.</w:t>
      </w:r>
    </w:p>
    <w:p w:rsidR="00A53D17" w:rsidRDefault="0010573C">
      <w:pPr>
        <w:ind w:firstLine="426"/>
        <w:jc w:val="both"/>
        <w:rPr>
          <w:rFonts w:asciiTheme="majorBidi" w:hAnsiTheme="majorBidi" w:cstheme="majorBidi"/>
          <w:sz w:val="20"/>
          <w:szCs w:val="20"/>
        </w:rPr>
      </w:pPr>
      <w:r>
        <w:rPr>
          <w:rFonts w:asciiTheme="majorBidi" w:hAnsiTheme="majorBidi" w:cstheme="majorBidi"/>
          <w:sz w:val="20"/>
          <w:szCs w:val="20"/>
        </w:rPr>
        <w:t>Forty-eight patients (56.5%) were Asian</w:t>
      </w:r>
      <w:r>
        <w:rPr>
          <w:rFonts w:asciiTheme="majorBidi" w:hAnsiTheme="majorBidi" w:cstheme="majorBidi"/>
          <w:sz w:val="20"/>
          <w:szCs w:val="20"/>
        </w:rPr>
        <w:t>, mainly from India and Bangladesh, 33 (38.8%) were Middle Eastern, 3 patients (3.5%) were Africans, and 1 patient (1.2%) was European. Clinical performance was reported as status 0 for 59 patients, and 1 for 16 patients, while status 2, 3, and 4 were repo</w:t>
      </w:r>
      <w:r>
        <w:rPr>
          <w:rFonts w:asciiTheme="majorBidi" w:hAnsiTheme="majorBidi" w:cstheme="majorBidi"/>
          <w:sz w:val="20"/>
          <w:szCs w:val="20"/>
        </w:rPr>
        <w:t xml:space="preserve">rted in 6, 2, and 2 patients, respectively. </w:t>
      </w:r>
    </w:p>
    <w:p w:rsidR="00A53D17" w:rsidRDefault="0010573C">
      <w:pPr>
        <w:ind w:firstLine="426"/>
        <w:jc w:val="both"/>
        <w:rPr>
          <w:rFonts w:asciiTheme="majorBidi" w:hAnsiTheme="majorBidi" w:cstheme="majorBidi"/>
          <w:sz w:val="20"/>
          <w:szCs w:val="20"/>
        </w:rPr>
      </w:pPr>
      <w:r>
        <w:rPr>
          <w:rFonts w:asciiTheme="majorBidi" w:hAnsiTheme="majorBidi" w:cstheme="majorBidi"/>
          <w:sz w:val="20"/>
          <w:szCs w:val="20"/>
        </w:rPr>
        <w:t>TNM staging revealed that 2 patients had carcinoma-in-situ; 12 patients were stage 1, 20 patients were stage 2, and 7 patients were stage 3, while 44 patients were stage 4.</w:t>
      </w:r>
    </w:p>
    <w:p w:rsidR="00A53D17" w:rsidRDefault="0010573C">
      <w:pPr>
        <w:ind w:firstLine="426"/>
        <w:jc w:val="both"/>
        <w:rPr>
          <w:rFonts w:asciiTheme="majorBidi" w:hAnsiTheme="majorBidi" w:cstheme="majorBidi"/>
          <w:sz w:val="20"/>
          <w:szCs w:val="20"/>
        </w:rPr>
      </w:pPr>
      <w:r>
        <w:rPr>
          <w:rFonts w:asciiTheme="majorBidi" w:hAnsiTheme="majorBidi" w:cstheme="majorBidi"/>
          <w:sz w:val="20"/>
          <w:szCs w:val="20"/>
        </w:rPr>
        <w:t>Pathological examination showed well-d</w:t>
      </w:r>
      <w:r>
        <w:rPr>
          <w:rFonts w:asciiTheme="majorBidi" w:hAnsiTheme="majorBidi" w:cstheme="majorBidi"/>
          <w:sz w:val="20"/>
          <w:szCs w:val="20"/>
        </w:rPr>
        <w:t xml:space="preserve">ifferentiated gallbladder carcinoma in 19 patients; 28 patients had moderately differentiated carcinoma, 23 had poorly differentiated carcinoma, and 7 had undifferentiated carcinoma. </w:t>
      </w:r>
    </w:p>
    <w:p w:rsidR="00A53D17" w:rsidRDefault="0010573C">
      <w:pPr>
        <w:ind w:firstLine="426"/>
        <w:jc w:val="both"/>
        <w:rPr>
          <w:rFonts w:asciiTheme="majorBidi" w:hAnsiTheme="majorBidi" w:cstheme="majorBidi"/>
          <w:sz w:val="20"/>
          <w:szCs w:val="20"/>
        </w:rPr>
      </w:pPr>
      <w:r>
        <w:rPr>
          <w:rFonts w:asciiTheme="majorBidi" w:hAnsiTheme="majorBidi" w:cstheme="majorBidi"/>
          <w:sz w:val="20"/>
          <w:szCs w:val="20"/>
        </w:rPr>
        <w:t>A summary of patients’ characteristics can be found in Table 1.</w:t>
      </w:r>
    </w:p>
    <w:p w:rsidR="00A53D17" w:rsidRDefault="00A53D17">
      <w:pPr>
        <w:jc w:val="both"/>
        <w:rPr>
          <w:rFonts w:asciiTheme="majorBidi" w:hAnsiTheme="majorBidi" w:cstheme="majorBidi"/>
          <w:sz w:val="20"/>
          <w:szCs w:val="20"/>
        </w:rPr>
      </w:pPr>
    </w:p>
    <w:p w:rsidR="00A53D17" w:rsidRDefault="0010573C">
      <w:pPr>
        <w:jc w:val="both"/>
        <w:rPr>
          <w:rFonts w:asciiTheme="majorBidi" w:hAnsiTheme="majorBidi" w:cstheme="majorBidi"/>
          <w:sz w:val="20"/>
          <w:szCs w:val="20"/>
        </w:rPr>
      </w:pPr>
      <w:r>
        <w:rPr>
          <w:rFonts w:asciiTheme="majorBidi" w:hAnsiTheme="majorBidi" w:cstheme="majorBidi"/>
          <w:sz w:val="20"/>
          <w:szCs w:val="20"/>
        </w:rPr>
        <w:t>Table 1</w:t>
      </w:r>
      <w:r>
        <w:rPr>
          <w:rFonts w:asciiTheme="majorBidi" w:hAnsiTheme="majorBidi" w:cstheme="majorBidi"/>
          <w:sz w:val="20"/>
          <w:szCs w:val="20"/>
        </w:rPr>
        <w:t>: Patient Characteristics</w:t>
      </w:r>
    </w:p>
    <w:tbl>
      <w:tblPr>
        <w:tblStyle w:val="GridTable6Colorful"/>
        <w:tblW w:w="0" w:type="auto"/>
        <w:tblLook w:val="04A0"/>
      </w:tblPr>
      <w:tblGrid>
        <w:gridCol w:w="2997"/>
        <w:gridCol w:w="1544"/>
      </w:tblGrid>
      <w:tr w:rsidR="00A53D17" w:rsidTr="00A53D17">
        <w:trPr>
          <w:cnfStyle w:val="100000000000"/>
          <w:trHeight w:val="351"/>
        </w:trPr>
        <w:tc>
          <w:tcPr>
            <w:cnfStyle w:val="001000000000"/>
            <w:tcW w:w="3244" w:type="dxa"/>
            <w:vAlign w:val="center"/>
          </w:tcPr>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Characteristics</w:t>
            </w:r>
          </w:p>
        </w:tc>
        <w:tc>
          <w:tcPr>
            <w:tcW w:w="1668" w:type="dxa"/>
            <w:vAlign w:val="center"/>
          </w:tcPr>
          <w:p w:rsidR="00A53D17" w:rsidRDefault="0010573C">
            <w:pPr>
              <w:jc w:val="both"/>
              <w:cnfStyle w:val="100000000000"/>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 xml:space="preserve">Value </w:t>
            </w:r>
          </w:p>
        </w:tc>
      </w:tr>
      <w:tr w:rsidR="00A53D17" w:rsidTr="00A53D17">
        <w:trPr>
          <w:trHeight w:val="351"/>
        </w:trPr>
        <w:tc>
          <w:tcPr>
            <w:cnfStyle w:val="001000000000"/>
            <w:tcW w:w="3244" w:type="dxa"/>
            <w:shd w:val="clear" w:color="auto" w:fill="CCCCCC" w:themeFill="text1" w:themeFillTint="33"/>
            <w:vAlign w:val="center"/>
          </w:tcPr>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Age (years)</w:t>
            </w:r>
          </w:p>
        </w:tc>
        <w:tc>
          <w:tcPr>
            <w:tcW w:w="1668" w:type="dxa"/>
            <w:shd w:val="clear" w:color="auto" w:fill="CCCCCC" w:themeFill="text1" w:themeFillTint="33"/>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54 ± 12</w:t>
            </w:r>
          </w:p>
        </w:tc>
      </w:tr>
      <w:tr w:rsidR="00A53D17" w:rsidTr="00A53D17">
        <w:trPr>
          <w:trHeight w:val="351"/>
        </w:trPr>
        <w:tc>
          <w:tcPr>
            <w:cnfStyle w:val="001000000000"/>
            <w:tcW w:w="3244" w:type="dxa"/>
            <w:vAlign w:val="center"/>
          </w:tcPr>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Gender</w:t>
            </w:r>
          </w:p>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 xml:space="preserve">      Male</w:t>
            </w:r>
          </w:p>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 xml:space="preserve">      Female</w:t>
            </w:r>
          </w:p>
        </w:tc>
        <w:tc>
          <w:tcPr>
            <w:tcW w:w="1668" w:type="dxa"/>
            <w:vAlign w:val="center"/>
          </w:tcPr>
          <w:p w:rsidR="00A53D17" w:rsidRDefault="00A53D17">
            <w:pPr>
              <w:jc w:val="both"/>
              <w:cnfStyle w:val="000000000000"/>
              <w:rPr>
                <w:rFonts w:asciiTheme="majorBidi" w:eastAsiaTheme="minorHAnsi" w:hAnsiTheme="majorBidi" w:cstheme="majorBidi"/>
                <w:sz w:val="20"/>
                <w:szCs w:val="20"/>
              </w:rPr>
            </w:pPr>
          </w:p>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50 (59%)</w:t>
            </w:r>
          </w:p>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35 (41%)</w:t>
            </w:r>
          </w:p>
        </w:tc>
      </w:tr>
      <w:tr w:rsidR="00A53D17" w:rsidTr="00A53D17">
        <w:trPr>
          <w:trHeight w:val="351"/>
        </w:trPr>
        <w:tc>
          <w:tcPr>
            <w:cnfStyle w:val="001000000000"/>
            <w:tcW w:w="3244" w:type="dxa"/>
            <w:shd w:val="clear" w:color="auto" w:fill="CCCCCC" w:themeFill="text1" w:themeFillTint="33"/>
            <w:vAlign w:val="center"/>
          </w:tcPr>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Follow up (years)</w:t>
            </w:r>
          </w:p>
        </w:tc>
        <w:tc>
          <w:tcPr>
            <w:tcW w:w="1668" w:type="dxa"/>
            <w:shd w:val="clear" w:color="auto" w:fill="CCCCCC" w:themeFill="text1" w:themeFillTint="33"/>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 xml:space="preserve">1.0 ± 0.7 </w:t>
            </w:r>
          </w:p>
        </w:tc>
      </w:tr>
      <w:tr w:rsidR="00A53D17" w:rsidTr="00A53D17">
        <w:trPr>
          <w:trHeight w:val="439"/>
        </w:trPr>
        <w:tc>
          <w:tcPr>
            <w:cnfStyle w:val="001000000000"/>
            <w:tcW w:w="3244" w:type="dxa"/>
            <w:vAlign w:val="center"/>
          </w:tcPr>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Ethnicity</w:t>
            </w:r>
          </w:p>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Asian (mainly India and Bangladesh)</w:t>
            </w:r>
          </w:p>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Middle Eastern</w:t>
            </w:r>
          </w:p>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African</w:t>
            </w:r>
          </w:p>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European</w:t>
            </w:r>
          </w:p>
        </w:tc>
        <w:tc>
          <w:tcPr>
            <w:tcW w:w="1668" w:type="dxa"/>
            <w:vAlign w:val="center"/>
          </w:tcPr>
          <w:p w:rsidR="00A53D17" w:rsidRDefault="00A53D17">
            <w:pPr>
              <w:jc w:val="both"/>
              <w:cnfStyle w:val="000000000000"/>
              <w:rPr>
                <w:rFonts w:asciiTheme="majorBidi" w:eastAsiaTheme="minorHAnsi" w:hAnsiTheme="majorBidi" w:cstheme="majorBidi"/>
                <w:sz w:val="20"/>
                <w:szCs w:val="20"/>
              </w:rPr>
            </w:pPr>
          </w:p>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48 (56.5)</w:t>
            </w:r>
          </w:p>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33 (38.8)</w:t>
            </w:r>
          </w:p>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 xml:space="preserve">3 </w:t>
            </w:r>
            <w:r>
              <w:rPr>
                <w:rFonts w:asciiTheme="majorBidi" w:eastAsiaTheme="minorHAnsi" w:hAnsiTheme="majorBidi" w:cstheme="majorBidi"/>
                <w:sz w:val="20"/>
                <w:szCs w:val="20"/>
              </w:rPr>
              <w:t>(3.5)</w:t>
            </w:r>
          </w:p>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1 (1.2)</w:t>
            </w:r>
          </w:p>
        </w:tc>
      </w:tr>
      <w:tr w:rsidR="00A53D17" w:rsidTr="00A53D17">
        <w:trPr>
          <w:trHeight w:val="527"/>
        </w:trPr>
        <w:tc>
          <w:tcPr>
            <w:cnfStyle w:val="001000000000"/>
            <w:tcW w:w="3244" w:type="dxa"/>
            <w:shd w:val="clear" w:color="auto" w:fill="CCCCCC" w:themeFill="text1" w:themeFillTint="33"/>
            <w:vAlign w:val="center"/>
          </w:tcPr>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ASA*</w:t>
            </w:r>
          </w:p>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1</w:t>
            </w:r>
          </w:p>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2</w:t>
            </w:r>
          </w:p>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3</w:t>
            </w:r>
          </w:p>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4</w:t>
            </w:r>
          </w:p>
        </w:tc>
        <w:tc>
          <w:tcPr>
            <w:tcW w:w="1668" w:type="dxa"/>
            <w:shd w:val="clear" w:color="auto" w:fill="CCCCCC" w:themeFill="text1" w:themeFillTint="33"/>
            <w:vAlign w:val="center"/>
          </w:tcPr>
          <w:p w:rsidR="00A53D17" w:rsidRDefault="00A53D17">
            <w:pPr>
              <w:jc w:val="both"/>
              <w:cnfStyle w:val="000000000000"/>
              <w:rPr>
                <w:rFonts w:asciiTheme="majorBidi" w:eastAsiaTheme="minorHAnsi" w:hAnsiTheme="majorBidi" w:cstheme="majorBidi"/>
                <w:sz w:val="20"/>
                <w:szCs w:val="20"/>
              </w:rPr>
            </w:pPr>
          </w:p>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11</w:t>
            </w:r>
          </w:p>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36</w:t>
            </w:r>
          </w:p>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20</w:t>
            </w:r>
          </w:p>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9</w:t>
            </w:r>
          </w:p>
        </w:tc>
      </w:tr>
      <w:tr w:rsidR="00A53D17" w:rsidTr="00A53D17">
        <w:trPr>
          <w:trHeight w:val="527"/>
        </w:trPr>
        <w:tc>
          <w:tcPr>
            <w:cnfStyle w:val="001000000000"/>
            <w:tcW w:w="3244" w:type="dxa"/>
            <w:vAlign w:val="center"/>
          </w:tcPr>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Performance status</w:t>
            </w:r>
          </w:p>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0</w:t>
            </w:r>
          </w:p>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1</w:t>
            </w:r>
          </w:p>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2</w:t>
            </w:r>
          </w:p>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3</w:t>
            </w:r>
          </w:p>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4</w:t>
            </w:r>
          </w:p>
        </w:tc>
        <w:tc>
          <w:tcPr>
            <w:tcW w:w="1668" w:type="dxa"/>
            <w:vAlign w:val="center"/>
          </w:tcPr>
          <w:p w:rsidR="00A53D17" w:rsidRDefault="00A53D17">
            <w:pPr>
              <w:jc w:val="both"/>
              <w:cnfStyle w:val="000000000000"/>
              <w:rPr>
                <w:rFonts w:asciiTheme="majorBidi" w:eastAsiaTheme="minorHAnsi" w:hAnsiTheme="majorBidi" w:cstheme="majorBidi"/>
                <w:sz w:val="20"/>
                <w:szCs w:val="20"/>
              </w:rPr>
            </w:pPr>
          </w:p>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59</w:t>
            </w:r>
          </w:p>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16</w:t>
            </w:r>
          </w:p>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6</w:t>
            </w:r>
          </w:p>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2</w:t>
            </w:r>
          </w:p>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2</w:t>
            </w:r>
          </w:p>
        </w:tc>
      </w:tr>
      <w:tr w:rsidR="00A53D17" w:rsidTr="00A53D17">
        <w:trPr>
          <w:trHeight w:val="527"/>
        </w:trPr>
        <w:tc>
          <w:tcPr>
            <w:cnfStyle w:val="001000000000"/>
            <w:tcW w:w="3244" w:type="dxa"/>
            <w:shd w:val="clear" w:color="auto" w:fill="CCCCCC" w:themeFill="text1" w:themeFillTint="33"/>
            <w:vAlign w:val="center"/>
          </w:tcPr>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 xml:space="preserve">Stage </w:t>
            </w:r>
          </w:p>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 xml:space="preserve">  0 (In situ)</w:t>
            </w:r>
          </w:p>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 xml:space="preserve">    I</w:t>
            </w:r>
          </w:p>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 xml:space="preserve">    II</w:t>
            </w:r>
          </w:p>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 xml:space="preserve">    III</w:t>
            </w:r>
          </w:p>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 xml:space="preserve">    IV</w:t>
            </w:r>
          </w:p>
        </w:tc>
        <w:tc>
          <w:tcPr>
            <w:tcW w:w="1668" w:type="dxa"/>
            <w:shd w:val="clear" w:color="auto" w:fill="CCCCCC" w:themeFill="text1" w:themeFillTint="33"/>
            <w:vAlign w:val="center"/>
          </w:tcPr>
          <w:p w:rsidR="00A53D17" w:rsidRDefault="00A53D17">
            <w:pPr>
              <w:jc w:val="both"/>
              <w:cnfStyle w:val="000000000000"/>
              <w:rPr>
                <w:rFonts w:asciiTheme="majorBidi" w:eastAsiaTheme="minorHAnsi" w:hAnsiTheme="majorBidi" w:cstheme="majorBidi"/>
                <w:sz w:val="20"/>
                <w:szCs w:val="20"/>
              </w:rPr>
            </w:pPr>
          </w:p>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2 (2.4%)</w:t>
            </w:r>
          </w:p>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12 (14.1%)</w:t>
            </w:r>
          </w:p>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20 (23.5%)</w:t>
            </w:r>
          </w:p>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7 (8.2%)</w:t>
            </w:r>
          </w:p>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44 (51.8%)</w:t>
            </w:r>
          </w:p>
        </w:tc>
      </w:tr>
      <w:tr w:rsidR="00A53D17" w:rsidTr="00A53D17">
        <w:trPr>
          <w:trHeight w:val="527"/>
        </w:trPr>
        <w:tc>
          <w:tcPr>
            <w:cnfStyle w:val="001000000000"/>
            <w:tcW w:w="3244" w:type="dxa"/>
            <w:vAlign w:val="center"/>
          </w:tcPr>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Differentiation</w:t>
            </w:r>
          </w:p>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Well-differentiated</w:t>
            </w:r>
          </w:p>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Moderately differentiated</w:t>
            </w:r>
          </w:p>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 xml:space="preserve">Poorly </w:t>
            </w:r>
            <w:r>
              <w:rPr>
                <w:rFonts w:asciiTheme="majorBidi" w:eastAsiaTheme="minorHAnsi" w:hAnsiTheme="majorBidi" w:cstheme="majorBidi"/>
                <w:sz w:val="20"/>
                <w:szCs w:val="20"/>
              </w:rPr>
              <w:t>differentiated</w:t>
            </w:r>
          </w:p>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Undifferentiated</w:t>
            </w:r>
          </w:p>
        </w:tc>
        <w:tc>
          <w:tcPr>
            <w:tcW w:w="1668" w:type="dxa"/>
            <w:vAlign w:val="center"/>
          </w:tcPr>
          <w:p w:rsidR="00A53D17" w:rsidRDefault="00A53D17">
            <w:pPr>
              <w:jc w:val="both"/>
              <w:cnfStyle w:val="000000000000"/>
              <w:rPr>
                <w:rFonts w:asciiTheme="majorBidi" w:eastAsiaTheme="minorHAnsi" w:hAnsiTheme="majorBidi" w:cstheme="majorBidi"/>
                <w:sz w:val="20"/>
                <w:szCs w:val="20"/>
              </w:rPr>
            </w:pPr>
          </w:p>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19 (24.7)</w:t>
            </w:r>
          </w:p>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28 (36.3)</w:t>
            </w:r>
          </w:p>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23 (29.9)</w:t>
            </w:r>
          </w:p>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7 (9.1)</w:t>
            </w:r>
          </w:p>
        </w:tc>
      </w:tr>
    </w:tbl>
    <w:p w:rsidR="00A53D17" w:rsidRDefault="0010573C">
      <w:pPr>
        <w:jc w:val="both"/>
        <w:rPr>
          <w:rFonts w:asciiTheme="majorBidi" w:hAnsiTheme="majorBidi" w:cstheme="majorBidi"/>
          <w:sz w:val="20"/>
          <w:szCs w:val="20"/>
        </w:rPr>
      </w:pPr>
      <w:r>
        <w:rPr>
          <w:rFonts w:asciiTheme="majorBidi" w:hAnsiTheme="majorBidi" w:cstheme="majorBidi"/>
          <w:sz w:val="20"/>
          <w:szCs w:val="20"/>
        </w:rPr>
        <w:t>*ASA: The American Society of Anesthesiologists physical status classification system</w:t>
      </w:r>
    </w:p>
    <w:p w:rsidR="00A53D17" w:rsidRDefault="00A53D17">
      <w:pPr>
        <w:jc w:val="both"/>
        <w:rPr>
          <w:rFonts w:asciiTheme="majorBidi" w:hAnsiTheme="majorBidi" w:cstheme="majorBidi"/>
          <w:sz w:val="20"/>
          <w:szCs w:val="20"/>
          <w:u w:val="single"/>
        </w:rPr>
      </w:pPr>
    </w:p>
    <w:p w:rsidR="00A53D17" w:rsidRDefault="0010573C">
      <w:pPr>
        <w:jc w:val="both"/>
        <w:rPr>
          <w:rFonts w:asciiTheme="majorBidi" w:hAnsiTheme="majorBidi" w:cstheme="majorBidi"/>
          <w:b/>
          <w:bCs/>
          <w:sz w:val="20"/>
          <w:szCs w:val="20"/>
        </w:rPr>
      </w:pPr>
      <w:r>
        <w:rPr>
          <w:rFonts w:asciiTheme="majorBidi" w:hAnsiTheme="majorBidi" w:cstheme="majorBidi"/>
          <w:b/>
          <w:bCs/>
          <w:sz w:val="20"/>
          <w:szCs w:val="20"/>
        </w:rPr>
        <w:t>Surgical details:</w:t>
      </w:r>
    </w:p>
    <w:p w:rsidR="00A53D17" w:rsidRDefault="0010573C">
      <w:pPr>
        <w:ind w:firstLine="426"/>
        <w:jc w:val="both"/>
        <w:rPr>
          <w:rFonts w:asciiTheme="majorBidi" w:hAnsiTheme="majorBidi" w:cstheme="majorBidi"/>
          <w:sz w:val="20"/>
          <w:szCs w:val="20"/>
        </w:rPr>
      </w:pPr>
      <w:r>
        <w:rPr>
          <w:rFonts w:asciiTheme="majorBidi" w:hAnsiTheme="majorBidi" w:cstheme="majorBidi"/>
          <w:sz w:val="20"/>
          <w:szCs w:val="20"/>
        </w:rPr>
        <w:t xml:space="preserve">A total of 43 patients underwent surgery, 22 patients (51.2%) had laparoscopic </w:t>
      </w:r>
      <w:r>
        <w:rPr>
          <w:rFonts w:asciiTheme="majorBidi" w:hAnsiTheme="majorBidi" w:cstheme="majorBidi"/>
          <w:sz w:val="20"/>
          <w:szCs w:val="20"/>
        </w:rPr>
        <w:t>cholecystectomy for benign disease diagnosis. Based on the pathological findings, 4 out of 22 patients had carcinoma in situ or GBC stage 1A, and cholecystectomy alone was appropriate for them. In addition, 18 out of 22 patients required completion hepatec</w:t>
      </w:r>
      <w:r>
        <w:rPr>
          <w:rFonts w:asciiTheme="majorBidi" w:hAnsiTheme="majorBidi" w:cstheme="majorBidi"/>
          <w:sz w:val="20"/>
          <w:szCs w:val="20"/>
        </w:rPr>
        <w:t>tomy for resection of liver segments 4b and 5 in addition to lymphadenectomy. Only 8 patients underwent the planned resection, and 10 patients did not proceed due to poor general conditions or refused to travel back home.</w:t>
      </w:r>
    </w:p>
    <w:p w:rsidR="00A53D17" w:rsidRDefault="0010573C">
      <w:pPr>
        <w:ind w:firstLine="426"/>
        <w:jc w:val="both"/>
        <w:rPr>
          <w:rFonts w:asciiTheme="majorBidi" w:hAnsiTheme="majorBidi" w:cstheme="majorBidi"/>
          <w:sz w:val="20"/>
          <w:szCs w:val="20"/>
        </w:rPr>
      </w:pPr>
      <w:r>
        <w:rPr>
          <w:rFonts w:asciiTheme="majorBidi" w:hAnsiTheme="majorBidi" w:cstheme="majorBidi"/>
          <w:sz w:val="20"/>
          <w:szCs w:val="20"/>
        </w:rPr>
        <w:t>12 patients (27.9%) underwent exte</w:t>
      </w:r>
      <w:r>
        <w:rPr>
          <w:rFonts w:asciiTheme="majorBidi" w:hAnsiTheme="majorBidi" w:cstheme="majorBidi"/>
          <w:sz w:val="20"/>
          <w:szCs w:val="20"/>
        </w:rPr>
        <w:t xml:space="preserve">nded cholecystectomy including removal of the gallbladder </w:t>
      </w:r>
      <w:r>
        <w:rPr>
          <w:rFonts w:asciiTheme="majorBidi" w:hAnsiTheme="majorBidi" w:cstheme="majorBidi"/>
          <w:sz w:val="20"/>
          <w:szCs w:val="20"/>
        </w:rPr>
        <w:lastRenderedPageBreak/>
        <w:t>en-bloc with resection of liver segments 4b and 5 in addition to lymphadenectomy, 5 out of these 12 patients had minimal invasive approach.</w:t>
      </w:r>
    </w:p>
    <w:p w:rsidR="00A53D17" w:rsidRDefault="0010573C">
      <w:pPr>
        <w:ind w:firstLine="426"/>
        <w:jc w:val="both"/>
        <w:rPr>
          <w:rFonts w:asciiTheme="majorBidi" w:hAnsiTheme="majorBidi" w:cstheme="majorBidi"/>
          <w:sz w:val="20"/>
          <w:szCs w:val="20"/>
        </w:rPr>
      </w:pPr>
      <w:r>
        <w:rPr>
          <w:rFonts w:asciiTheme="majorBidi" w:hAnsiTheme="majorBidi" w:cstheme="majorBidi"/>
          <w:sz w:val="20"/>
          <w:szCs w:val="20"/>
        </w:rPr>
        <w:t>Four patients (9.3%) underwent central hepatectomy, includ</w:t>
      </w:r>
      <w:r>
        <w:rPr>
          <w:rFonts w:asciiTheme="majorBidi" w:hAnsiTheme="majorBidi" w:cstheme="majorBidi"/>
          <w:sz w:val="20"/>
          <w:szCs w:val="20"/>
        </w:rPr>
        <w:t xml:space="preserve">ing resection of liver segments 4 and 5 in addition to bile duct resection and biliary reconstruction with Roux-en-Y hepaticojejunostomy entero-enterostomy. </w:t>
      </w:r>
    </w:p>
    <w:p w:rsidR="00A53D17" w:rsidRDefault="0010573C">
      <w:pPr>
        <w:ind w:firstLine="426"/>
        <w:jc w:val="both"/>
        <w:rPr>
          <w:rFonts w:asciiTheme="majorBidi" w:hAnsiTheme="majorBidi" w:cstheme="majorBidi"/>
          <w:sz w:val="20"/>
          <w:szCs w:val="20"/>
        </w:rPr>
      </w:pPr>
      <w:r>
        <w:rPr>
          <w:rFonts w:asciiTheme="majorBidi" w:hAnsiTheme="majorBidi" w:cstheme="majorBidi"/>
          <w:sz w:val="20"/>
          <w:szCs w:val="20"/>
        </w:rPr>
        <w:t>Three patients (6.9%) underwent an extended right hepatectomy with excision of the bile duct and b</w:t>
      </w:r>
      <w:r>
        <w:rPr>
          <w:rFonts w:asciiTheme="majorBidi" w:hAnsiTheme="majorBidi" w:cstheme="majorBidi"/>
          <w:sz w:val="20"/>
          <w:szCs w:val="20"/>
        </w:rPr>
        <w:t xml:space="preserve">iliary reconstruction with Roux-en-Y hepaticojejunostomy entero-enterostomy. </w:t>
      </w:r>
    </w:p>
    <w:p w:rsidR="00A53D17" w:rsidRDefault="0010573C">
      <w:pPr>
        <w:ind w:firstLine="426"/>
        <w:jc w:val="both"/>
        <w:rPr>
          <w:rFonts w:asciiTheme="majorBidi" w:hAnsiTheme="majorBidi" w:cstheme="majorBidi"/>
          <w:sz w:val="20"/>
          <w:szCs w:val="20"/>
        </w:rPr>
      </w:pPr>
      <w:r>
        <w:rPr>
          <w:rFonts w:asciiTheme="majorBidi" w:hAnsiTheme="majorBidi" w:cstheme="majorBidi"/>
          <w:sz w:val="20"/>
          <w:szCs w:val="20"/>
        </w:rPr>
        <w:t>On diagnostic laparoscopy, two patients (4.7%) showed advanced disease with peritoneal and liver metastases, and surgery was aborted.</w:t>
      </w:r>
    </w:p>
    <w:p w:rsidR="00A53D17" w:rsidRDefault="0010573C">
      <w:pPr>
        <w:jc w:val="both"/>
        <w:rPr>
          <w:rFonts w:asciiTheme="majorBidi" w:hAnsiTheme="majorBidi" w:cstheme="majorBidi"/>
          <w:b/>
          <w:bCs/>
          <w:sz w:val="20"/>
          <w:szCs w:val="20"/>
        </w:rPr>
      </w:pPr>
      <w:r>
        <w:rPr>
          <w:rFonts w:asciiTheme="majorBidi" w:hAnsiTheme="majorBidi" w:cstheme="majorBidi"/>
          <w:b/>
          <w:bCs/>
          <w:sz w:val="20"/>
          <w:szCs w:val="20"/>
        </w:rPr>
        <w:t>Predictors of survival in gallbladder cancer</w:t>
      </w:r>
      <w:r>
        <w:rPr>
          <w:rFonts w:asciiTheme="majorBidi" w:hAnsiTheme="majorBidi" w:cstheme="majorBidi"/>
          <w:b/>
          <w:bCs/>
          <w:sz w:val="20"/>
          <w:szCs w:val="20"/>
        </w:rPr>
        <w:t xml:space="preserve"> patients:</w:t>
      </w:r>
    </w:p>
    <w:p w:rsidR="00A53D17" w:rsidRDefault="0010573C">
      <w:pPr>
        <w:ind w:firstLine="426"/>
        <w:jc w:val="both"/>
        <w:rPr>
          <w:rFonts w:asciiTheme="majorBidi" w:hAnsiTheme="majorBidi" w:cstheme="majorBidi"/>
          <w:sz w:val="20"/>
          <w:szCs w:val="20"/>
        </w:rPr>
      </w:pPr>
      <w:r>
        <w:rPr>
          <w:rFonts w:asciiTheme="majorBidi" w:hAnsiTheme="majorBidi" w:cstheme="majorBidi"/>
          <w:sz w:val="20"/>
          <w:szCs w:val="20"/>
        </w:rPr>
        <w:t xml:space="preserve">Patient survival from time of diagnosis until the last follow-up was 44.7%, with 47 patients died during the follow-up period; and the median survival was 1.5 years (Figure 1). </w:t>
      </w:r>
    </w:p>
    <w:p w:rsidR="00A53D17" w:rsidRDefault="0010573C">
      <w:pPr>
        <w:ind w:firstLine="426"/>
        <w:jc w:val="both"/>
        <w:rPr>
          <w:rFonts w:asciiTheme="majorBidi" w:hAnsiTheme="majorBidi" w:cstheme="majorBidi"/>
          <w:sz w:val="20"/>
          <w:szCs w:val="20"/>
        </w:rPr>
      </w:pPr>
      <w:r>
        <w:rPr>
          <w:rFonts w:asciiTheme="majorBidi" w:hAnsiTheme="majorBidi" w:cstheme="majorBidi"/>
          <w:sz w:val="20"/>
          <w:szCs w:val="20"/>
        </w:rPr>
        <w:t>Cox's proportional hazard regression analyses were carried out in r</w:t>
      </w:r>
      <w:r>
        <w:rPr>
          <w:rFonts w:asciiTheme="majorBidi" w:hAnsiTheme="majorBidi" w:cstheme="majorBidi"/>
          <w:sz w:val="20"/>
          <w:szCs w:val="20"/>
        </w:rPr>
        <w:t>elation to patient survival at 3 years from diagnosis.</w:t>
      </w:r>
    </w:p>
    <w:p w:rsidR="00A53D17" w:rsidRDefault="00A53D17">
      <w:pPr>
        <w:ind w:firstLine="426"/>
        <w:jc w:val="both"/>
        <w:rPr>
          <w:rFonts w:asciiTheme="majorBidi" w:hAnsiTheme="majorBidi" w:cstheme="majorBidi"/>
          <w:sz w:val="20"/>
          <w:szCs w:val="20"/>
        </w:rPr>
      </w:pPr>
    </w:p>
    <w:p w:rsidR="00A53D17" w:rsidRDefault="0010573C">
      <w:pPr>
        <w:jc w:val="both"/>
        <w:rPr>
          <w:rFonts w:asciiTheme="majorBidi" w:hAnsiTheme="majorBidi" w:cstheme="majorBidi"/>
          <w:b/>
          <w:bCs/>
          <w:sz w:val="20"/>
          <w:szCs w:val="20"/>
        </w:rPr>
      </w:pPr>
      <w:r>
        <w:rPr>
          <w:rFonts w:asciiTheme="majorBidi" w:hAnsiTheme="majorBidi" w:cstheme="majorBidi"/>
          <w:b/>
          <w:bCs/>
          <w:noProof/>
          <w:sz w:val="20"/>
          <w:szCs w:val="20"/>
          <w:lang w:eastAsia="zh-CN"/>
        </w:rPr>
        <w:drawing>
          <wp:inline distT="0" distB="0" distL="0" distR="0">
            <wp:extent cx="2686050" cy="1952437"/>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690151" cy="1955418"/>
                    </a:xfrm>
                    <a:prstGeom prst="rect">
                      <a:avLst/>
                    </a:prstGeom>
                    <a:noFill/>
                  </pic:spPr>
                </pic:pic>
              </a:graphicData>
            </a:graphic>
          </wp:inline>
        </w:drawing>
      </w:r>
    </w:p>
    <w:p w:rsidR="00A53D17" w:rsidRDefault="0010573C">
      <w:pPr>
        <w:jc w:val="both"/>
        <w:rPr>
          <w:rFonts w:asciiTheme="majorBidi" w:hAnsiTheme="majorBidi" w:cstheme="majorBidi"/>
          <w:sz w:val="20"/>
          <w:szCs w:val="20"/>
        </w:rPr>
      </w:pPr>
      <w:r>
        <w:rPr>
          <w:rFonts w:asciiTheme="majorBidi" w:hAnsiTheme="majorBidi" w:cstheme="majorBidi"/>
          <w:sz w:val="20"/>
          <w:szCs w:val="20"/>
        </w:rPr>
        <w:t>Figure 1: The overall patient survival from the time of diagnosis until the last follow up</w:t>
      </w:r>
    </w:p>
    <w:p w:rsidR="00A53D17" w:rsidRDefault="00A53D17">
      <w:pPr>
        <w:jc w:val="both"/>
        <w:rPr>
          <w:rFonts w:asciiTheme="majorBidi" w:hAnsiTheme="majorBidi" w:cstheme="majorBidi"/>
          <w:b/>
          <w:bCs/>
          <w:sz w:val="20"/>
          <w:szCs w:val="20"/>
        </w:rPr>
      </w:pPr>
    </w:p>
    <w:p w:rsidR="00A53D17" w:rsidRDefault="0010573C">
      <w:pPr>
        <w:jc w:val="both"/>
        <w:rPr>
          <w:rFonts w:asciiTheme="majorBidi" w:hAnsiTheme="majorBidi" w:cstheme="majorBidi"/>
          <w:b/>
          <w:bCs/>
          <w:sz w:val="20"/>
          <w:szCs w:val="20"/>
        </w:rPr>
      </w:pPr>
      <w:r>
        <w:rPr>
          <w:rFonts w:asciiTheme="majorBidi" w:hAnsiTheme="majorBidi" w:cstheme="majorBidi"/>
          <w:b/>
          <w:bCs/>
          <w:sz w:val="20"/>
          <w:szCs w:val="20"/>
        </w:rPr>
        <w:t>Univariate analysis:</w:t>
      </w:r>
    </w:p>
    <w:p w:rsidR="00A53D17" w:rsidRDefault="0010573C">
      <w:pPr>
        <w:ind w:firstLine="426"/>
        <w:jc w:val="both"/>
        <w:rPr>
          <w:rFonts w:asciiTheme="majorBidi" w:hAnsiTheme="majorBidi" w:cstheme="majorBidi"/>
          <w:sz w:val="20"/>
          <w:szCs w:val="20"/>
        </w:rPr>
      </w:pPr>
      <w:r>
        <w:rPr>
          <w:rFonts w:asciiTheme="majorBidi" w:hAnsiTheme="majorBidi" w:cstheme="majorBidi"/>
          <w:sz w:val="20"/>
          <w:szCs w:val="20"/>
        </w:rPr>
        <w:t xml:space="preserve">Univariate analysis revealed better survival for younger patients at time of diagnosis, PLR ≤200, early stage of the disease (stages 1 and 2), in addition to patients who underwent surgical resection with an intent-to-cure (Table 2). </w:t>
      </w:r>
    </w:p>
    <w:p w:rsidR="00A53D17" w:rsidRDefault="0010573C" w:rsidP="006A1E2C">
      <w:pPr>
        <w:ind w:firstLine="426"/>
        <w:jc w:val="both"/>
        <w:rPr>
          <w:rFonts w:asciiTheme="majorBidi" w:hAnsiTheme="majorBidi" w:cstheme="majorBidi"/>
          <w:sz w:val="20"/>
          <w:szCs w:val="20"/>
        </w:rPr>
      </w:pPr>
      <w:r>
        <w:rPr>
          <w:rFonts w:asciiTheme="majorBidi" w:hAnsiTheme="majorBidi" w:cstheme="majorBidi"/>
          <w:sz w:val="20"/>
          <w:szCs w:val="20"/>
        </w:rPr>
        <w:t>Other inflammatory ma</w:t>
      </w:r>
      <w:r>
        <w:rPr>
          <w:rFonts w:asciiTheme="majorBidi" w:hAnsiTheme="majorBidi" w:cstheme="majorBidi"/>
          <w:sz w:val="20"/>
          <w:szCs w:val="20"/>
        </w:rPr>
        <w:t>rkers, including NLR and MLR in addition to the tumor markers CA 19-9 and CEA did not significantly impact patients' survival at 3 years. Race of patients, ASA, and clinical performance status was checked but did show a relation to survival.</w:t>
      </w:r>
    </w:p>
    <w:p w:rsidR="00A53D17" w:rsidRDefault="00A53D17">
      <w:pPr>
        <w:jc w:val="both"/>
        <w:rPr>
          <w:rFonts w:asciiTheme="majorBidi" w:hAnsiTheme="majorBidi" w:cstheme="majorBidi" w:hint="eastAsia"/>
          <w:sz w:val="20"/>
          <w:szCs w:val="20"/>
          <w:lang w:eastAsia="zh-CN"/>
        </w:rPr>
      </w:pPr>
    </w:p>
    <w:p w:rsidR="006A1E2C" w:rsidRDefault="006A1E2C">
      <w:pPr>
        <w:jc w:val="both"/>
        <w:rPr>
          <w:rFonts w:asciiTheme="majorBidi" w:hAnsiTheme="majorBidi" w:cstheme="majorBidi" w:hint="eastAsia"/>
          <w:sz w:val="20"/>
          <w:szCs w:val="20"/>
          <w:lang w:eastAsia="zh-CN"/>
        </w:rPr>
      </w:pPr>
    </w:p>
    <w:p w:rsidR="006A1E2C" w:rsidRDefault="006A1E2C">
      <w:pPr>
        <w:jc w:val="both"/>
        <w:rPr>
          <w:rFonts w:asciiTheme="majorBidi" w:hAnsiTheme="majorBidi" w:cstheme="majorBidi" w:hint="eastAsia"/>
          <w:sz w:val="20"/>
          <w:szCs w:val="20"/>
          <w:lang w:eastAsia="zh-CN"/>
        </w:rPr>
      </w:pPr>
    </w:p>
    <w:p w:rsidR="00A53D17" w:rsidRDefault="0010573C">
      <w:pPr>
        <w:jc w:val="both"/>
        <w:rPr>
          <w:rFonts w:asciiTheme="majorBidi" w:hAnsiTheme="majorBidi" w:cstheme="majorBidi"/>
          <w:sz w:val="20"/>
          <w:szCs w:val="20"/>
        </w:rPr>
      </w:pPr>
      <w:r>
        <w:rPr>
          <w:rFonts w:asciiTheme="majorBidi" w:hAnsiTheme="majorBidi" w:cstheme="majorBidi"/>
          <w:sz w:val="20"/>
          <w:szCs w:val="20"/>
        </w:rPr>
        <w:t>Table 2: Pred</w:t>
      </w:r>
      <w:r>
        <w:rPr>
          <w:rFonts w:asciiTheme="majorBidi" w:hAnsiTheme="majorBidi" w:cstheme="majorBidi"/>
          <w:sz w:val="20"/>
          <w:szCs w:val="20"/>
        </w:rPr>
        <w:t>ictors of patient survival after 3 years</w:t>
      </w:r>
    </w:p>
    <w:tbl>
      <w:tblPr>
        <w:tblStyle w:val="GridTable6Colorful"/>
        <w:tblW w:w="0" w:type="auto"/>
        <w:tblLayout w:type="fixed"/>
        <w:tblLook w:val="04A0"/>
      </w:tblPr>
      <w:tblGrid>
        <w:gridCol w:w="1526"/>
        <w:gridCol w:w="850"/>
        <w:gridCol w:w="1359"/>
        <w:gridCol w:w="806"/>
      </w:tblGrid>
      <w:tr w:rsidR="00A53D17" w:rsidTr="00A53D17">
        <w:trPr>
          <w:cnfStyle w:val="100000000000"/>
          <w:trHeight w:val="260"/>
        </w:trPr>
        <w:tc>
          <w:tcPr>
            <w:cnfStyle w:val="001000000000"/>
            <w:tcW w:w="1526" w:type="dxa"/>
            <w:vAlign w:val="center"/>
          </w:tcPr>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Variables</w:t>
            </w:r>
          </w:p>
        </w:tc>
        <w:tc>
          <w:tcPr>
            <w:tcW w:w="850" w:type="dxa"/>
            <w:vAlign w:val="center"/>
          </w:tcPr>
          <w:p w:rsidR="00A53D17" w:rsidRDefault="0010573C">
            <w:pPr>
              <w:jc w:val="both"/>
              <w:cnfStyle w:val="100000000000"/>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Hazard ratio</w:t>
            </w:r>
          </w:p>
        </w:tc>
        <w:tc>
          <w:tcPr>
            <w:tcW w:w="1359" w:type="dxa"/>
            <w:vAlign w:val="center"/>
          </w:tcPr>
          <w:p w:rsidR="00A53D17" w:rsidRDefault="0010573C">
            <w:pPr>
              <w:jc w:val="both"/>
              <w:cnfStyle w:val="100000000000"/>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95% Confidence Interval</w:t>
            </w:r>
          </w:p>
        </w:tc>
        <w:tc>
          <w:tcPr>
            <w:tcW w:w="806" w:type="dxa"/>
            <w:vAlign w:val="center"/>
          </w:tcPr>
          <w:p w:rsidR="00A53D17" w:rsidRDefault="0010573C">
            <w:pPr>
              <w:jc w:val="both"/>
              <w:cnfStyle w:val="100000000000"/>
              <w:rPr>
                <w:rFonts w:asciiTheme="majorBidi" w:eastAsiaTheme="minorHAnsi" w:hAnsiTheme="majorBidi" w:cstheme="majorBidi"/>
                <w:b w:val="0"/>
                <w:bCs w:val="0"/>
                <w:sz w:val="20"/>
                <w:szCs w:val="20"/>
              </w:rPr>
            </w:pPr>
            <w:r>
              <w:rPr>
                <w:rFonts w:asciiTheme="majorBidi" w:eastAsiaTheme="minorHAnsi" w:hAnsiTheme="majorBidi" w:cstheme="majorBidi"/>
                <w:i/>
                <w:iCs/>
                <w:sz w:val="20"/>
                <w:szCs w:val="20"/>
              </w:rPr>
              <w:t>P</w:t>
            </w:r>
            <w:r>
              <w:rPr>
                <w:rFonts w:asciiTheme="majorBidi" w:eastAsiaTheme="minorHAnsi" w:hAnsiTheme="majorBidi" w:cstheme="majorBidi"/>
                <w:sz w:val="20"/>
                <w:szCs w:val="20"/>
              </w:rPr>
              <w:t>-value</w:t>
            </w:r>
          </w:p>
        </w:tc>
      </w:tr>
      <w:tr w:rsidR="00A53D17" w:rsidTr="00A53D17">
        <w:trPr>
          <w:trHeight w:val="260"/>
        </w:trPr>
        <w:tc>
          <w:tcPr>
            <w:cnfStyle w:val="001000000000"/>
            <w:tcW w:w="1526" w:type="dxa"/>
            <w:shd w:val="clear" w:color="auto" w:fill="CCCCCC" w:themeFill="text1" w:themeFillTint="33"/>
            <w:vAlign w:val="center"/>
          </w:tcPr>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Gender (male vs. female)</w:t>
            </w:r>
          </w:p>
        </w:tc>
        <w:tc>
          <w:tcPr>
            <w:tcW w:w="850" w:type="dxa"/>
            <w:shd w:val="clear" w:color="auto" w:fill="CCCCCC" w:themeFill="text1" w:themeFillTint="33"/>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0.99</w:t>
            </w:r>
          </w:p>
        </w:tc>
        <w:tc>
          <w:tcPr>
            <w:tcW w:w="1359" w:type="dxa"/>
            <w:shd w:val="clear" w:color="auto" w:fill="CCCCCC" w:themeFill="text1" w:themeFillTint="33"/>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0.500– 1.974</w:t>
            </w:r>
          </w:p>
        </w:tc>
        <w:tc>
          <w:tcPr>
            <w:tcW w:w="806" w:type="dxa"/>
            <w:shd w:val="clear" w:color="auto" w:fill="CCCCCC" w:themeFill="text1" w:themeFillTint="33"/>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0.986</w:t>
            </w:r>
          </w:p>
        </w:tc>
      </w:tr>
      <w:tr w:rsidR="00A53D17" w:rsidTr="00A53D17">
        <w:trPr>
          <w:trHeight w:val="260"/>
        </w:trPr>
        <w:tc>
          <w:tcPr>
            <w:cnfStyle w:val="001000000000"/>
            <w:tcW w:w="1526" w:type="dxa"/>
            <w:vAlign w:val="center"/>
          </w:tcPr>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Age</w:t>
            </w:r>
          </w:p>
        </w:tc>
        <w:tc>
          <w:tcPr>
            <w:tcW w:w="850" w:type="dxa"/>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1.05</w:t>
            </w:r>
          </w:p>
        </w:tc>
        <w:tc>
          <w:tcPr>
            <w:tcW w:w="1359" w:type="dxa"/>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1.020 – 1.081</w:t>
            </w:r>
          </w:p>
        </w:tc>
        <w:tc>
          <w:tcPr>
            <w:tcW w:w="806" w:type="dxa"/>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0.001</w:t>
            </w:r>
          </w:p>
        </w:tc>
      </w:tr>
      <w:tr w:rsidR="00A53D17" w:rsidTr="00A53D17">
        <w:trPr>
          <w:trHeight w:val="260"/>
        </w:trPr>
        <w:tc>
          <w:tcPr>
            <w:cnfStyle w:val="001000000000"/>
            <w:tcW w:w="1526" w:type="dxa"/>
            <w:shd w:val="clear" w:color="auto" w:fill="CCCCCC" w:themeFill="text1" w:themeFillTint="33"/>
            <w:vAlign w:val="center"/>
          </w:tcPr>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ASA</w:t>
            </w:r>
          </w:p>
        </w:tc>
        <w:tc>
          <w:tcPr>
            <w:tcW w:w="850" w:type="dxa"/>
            <w:shd w:val="clear" w:color="auto" w:fill="CCCCCC" w:themeFill="text1" w:themeFillTint="33"/>
            <w:vAlign w:val="center"/>
          </w:tcPr>
          <w:p w:rsidR="00A53D17" w:rsidRDefault="00A53D17">
            <w:pPr>
              <w:jc w:val="both"/>
              <w:cnfStyle w:val="000000000000"/>
              <w:rPr>
                <w:rFonts w:asciiTheme="majorBidi" w:eastAsiaTheme="minorHAnsi" w:hAnsiTheme="majorBidi" w:cstheme="majorBidi"/>
                <w:sz w:val="20"/>
                <w:szCs w:val="20"/>
              </w:rPr>
            </w:pPr>
          </w:p>
        </w:tc>
        <w:tc>
          <w:tcPr>
            <w:tcW w:w="1359" w:type="dxa"/>
            <w:shd w:val="clear" w:color="auto" w:fill="CCCCCC" w:themeFill="text1" w:themeFillTint="33"/>
            <w:vAlign w:val="center"/>
          </w:tcPr>
          <w:p w:rsidR="00A53D17" w:rsidRDefault="00A53D17">
            <w:pPr>
              <w:jc w:val="both"/>
              <w:cnfStyle w:val="000000000000"/>
              <w:rPr>
                <w:rFonts w:asciiTheme="majorBidi" w:eastAsiaTheme="minorHAnsi" w:hAnsiTheme="majorBidi" w:cstheme="majorBidi"/>
                <w:sz w:val="20"/>
                <w:szCs w:val="20"/>
              </w:rPr>
            </w:pPr>
          </w:p>
        </w:tc>
        <w:tc>
          <w:tcPr>
            <w:tcW w:w="806" w:type="dxa"/>
            <w:shd w:val="clear" w:color="auto" w:fill="CCCCCC" w:themeFill="text1" w:themeFillTint="33"/>
            <w:vAlign w:val="center"/>
          </w:tcPr>
          <w:p w:rsidR="00A53D17" w:rsidRDefault="00A53D17">
            <w:pPr>
              <w:jc w:val="both"/>
              <w:cnfStyle w:val="000000000000"/>
              <w:rPr>
                <w:rFonts w:asciiTheme="majorBidi" w:eastAsiaTheme="minorHAnsi" w:hAnsiTheme="majorBidi" w:cstheme="majorBidi"/>
                <w:sz w:val="20"/>
                <w:szCs w:val="20"/>
              </w:rPr>
            </w:pPr>
          </w:p>
        </w:tc>
      </w:tr>
      <w:tr w:rsidR="00A53D17" w:rsidTr="00A53D17">
        <w:trPr>
          <w:trHeight w:val="260"/>
        </w:trPr>
        <w:tc>
          <w:tcPr>
            <w:cnfStyle w:val="001000000000"/>
            <w:tcW w:w="1526" w:type="dxa"/>
            <w:vAlign w:val="center"/>
          </w:tcPr>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1</w:t>
            </w:r>
          </w:p>
        </w:tc>
        <w:tc>
          <w:tcPr>
            <w:tcW w:w="850" w:type="dxa"/>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1</w:t>
            </w:r>
          </w:p>
        </w:tc>
        <w:tc>
          <w:tcPr>
            <w:tcW w:w="1359" w:type="dxa"/>
            <w:vAlign w:val="center"/>
          </w:tcPr>
          <w:p w:rsidR="00A53D17" w:rsidRDefault="00A53D17">
            <w:pPr>
              <w:jc w:val="both"/>
              <w:cnfStyle w:val="000000000000"/>
              <w:rPr>
                <w:rFonts w:asciiTheme="majorBidi" w:eastAsiaTheme="minorHAnsi" w:hAnsiTheme="majorBidi" w:cstheme="majorBidi"/>
                <w:sz w:val="20"/>
                <w:szCs w:val="20"/>
              </w:rPr>
            </w:pPr>
          </w:p>
        </w:tc>
        <w:tc>
          <w:tcPr>
            <w:tcW w:w="806" w:type="dxa"/>
            <w:vAlign w:val="center"/>
          </w:tcPr>
          <w:p w:rsidR="00A53D17" w:rsidRDefault="00A53D17">
            <w:pPr>
              <w:jc w:val="both"/>
              <w:cnfStyle w:val="000000000000"/>
              <w:rPr>
                <w:rFonts w:asciiTheme="majorBidi" w:eastAsiaTheme="minorHAnsi" w:hAnsiTheme="majorBidi" w:cstheme="majorBidi"/>
                <w:sz w:val="20"/>
                <w:szCs w:val="20"/>
              </w:rPr>
            </w:pPr>
          </w:p>
        </w:tc>
      </w:tr>
      <w:tr w:rsidR="00A53D17" w:rsidTr="00A53D17">
        <w:trPr>
          <w:trHeight w:val="260"/>
        </w:trPr>
        <w:tc>
          <w:tcPr>
            <w:cnfStyle w:val="001000000000"/>
            <w:tcW w:w="1526" w:type="dxa"/>
            <w:shd w:val="clear" w:color="auto" w:fill="CCCCCC" w:themeFill="text1" w:themeFillTint="33"/>
            <w:vAlign w:val="center"/>
          </w:tcPr>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2</w:t>
            </w:r>
          </w:p>
        </w:tc>
        <w:tc>
          <w:tcPr>
            <w:tcW w:w="850" w:type="dxa"/>
            <w:shd w:val="clear" w:color="auto" w:fill="CCCCCC" w:themeFill="text1" w:themeFillTint="33"/>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1.89</w:t>
            </w:r>
          </w:p>
        </w:tc>
        <w:tc>
          <w:tcPr>
            <w:tcW w:w="1359" w:type="dxa"/>
            <w:shd w:val="clear" w:color="auto" w:fill="CCCCCC" w:themeFill="text1" w:themeFillTint="33"/>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0.478 – 3.230</w:t>
            </w:r>
          </w:p>
        </w:tc>
        <w:tc>
          <w:tcPr>
            <w:tcW w:w="806" w:type="dxa"/>
            <w:shd w:val="clear" w:color="auto" w:fill="CCCCCC" w:themeFill="text1" w:themeFillTint="33"/>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0.992</w:t>
            </w:r>
          </w:p>
        </w:tc>
      </w:tr>
      <w:tr w:rsidR="00A53D17" w:rsidTr="00A53D17">
        <w:trPr>
          <w:trHeight w:val="260"/>
        </w:trPr>
        <w:tc>
          <w:tcPr>
            <w:cnfStyle w:val="001000000000"/>
            <w:tcW w:w="1526" w:type="dxa"/>
            <w:vAlign w:val="center"/>
          </w:tcPr>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3</w:t>
            </w:r>
          </w:p>
        </w:tc>
        <w:tc>
          <w:tcPr>
            <w:tcW w:w="850" w:type="dxa"/>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1.04</w:t>
            </w:r>
          </w:p>
        </w:tc>
        <w:tc>
          <w:tcPr>
            <w:tcW w:w="1359" w:type="dxa"/>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0.304 – 3.331</w:t>
            </w:r>
          </w:p>
        </w:tc>
        <w:tc>
          <w:tcPr>
            <w:tcW w:w="806" w:type="dxa"/>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0.445</w:t>
            </w:r>
          </w:p>
        </w:tc>
      </w:tr>
      <w:tr w:rsidR="00A53D17" w:rsidTr="00A53D17">
        <w:trPr>
          <w:trHeight w:val="260"/>
        </w:trPr>
        <w:tc>
          <w:tcPr>
            <w:cnfStyle w:val="001000000000"/>
            <w:tcW w:w="1526" w:type="dxa"/>
            <w:shd w:val="clear" w:color="auto" w:fill="CCCCCC" w:themeFill="text1" w:themeFillTint="33"/>
            <w:vAlign w:val="center"/>
          </w:tcPr>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4</w:t>
            </w:r>
          </w:p>
        </w:tc>
        <w:tc>
          <w:tcPr>
            <w:tcW w:w="850" w:type="dxa"/>
            <w:shd w:val="clear" w:color="auto" w:fill="CCCCCC" w:themeFill="text1" w:themeFillTint="33"/>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2.64</w:t>
            </w:r>
          </w:p>
        </w:tc>
        <w:tc>
          <w:tcPr>
            <w:tcW w:w="1359" w:type="dxa"/>
            <w:shd w:val="clear" w:color="auto" w:fill="CCCCCC" w:themeFill="text1" w:themeFillTint="33"/>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0.610 – 25.201</w:t>
            </w:r>
          </w:p>
        </w:tc>
        <w:tc>
          <w:tcPr>
            <w:tcW w:w="806" w:type="dxa"/>
            <w:shd w:val="clear" w:color="auto" w:fill="CCCCCC" w:themeFill="text1" w:themeFillTint="33"/>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0.085</w:t>
            </w:r>
          </w:p>
        </w:tc>
      </w:tr>
      <w:tr w:rsidR="00A53D17" w:rsidTr="00A53D17">
        <w:trPr>
          <w:trHeight w:val="260"/>
        </w:trPr>
        <w:tc>
          <w:tcPr>
            <w:cnfStyle w:val="001000000000"/>
            <w:tcW w:w="1526" w:type="dxa"/>
            <w:vAlign w:val="center"/>
          </w:tcPr>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Early vs. late stage</w:t>
            </w:r>
          </w:p>
        </w:tc>
        <w:tc>
          <w:tcPr>
            <w:tcW w:w="850" w:type="dxa"/>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2.64</w:t>
            </w:r>
          </w:p>
        </w:tc>
        <w:tc>
          <w:tcPr>
            <w:tcW w:w="1359" w:type="dxa"/>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1.411 – 4.483</w:t>
            </w:r>
          </w:p>
        </w:tc>
        <w:tc>
          <w:tcPr>
            <w:tcW w:w="806" w:type="dxa"/>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&lt;0.001</w:t>
            </w:r>
          </w:p>
        </w:tc>
      </w:tr>
      <w:tr w:rsidR="00A53D17" w:rsidTr="00A53D17">
        <w:trPr>
          <w:trHeight w:val="260"/>
        </w:trPr>
        <w:tc>
          <w:tcPr>
            <w:cnfStyle w:val="001000000000"/>
            <w:tcW w:w="1526" w:type="dxa"/>
            <w:shd w:val="clear" w:color="auto" w:fill="CCCCCC" w:themeFill="text1" w:themeFillTint="33"/>
            <w:vAlign w:val="center"/>
          </w:tcPr>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Tumor differentiation</w:t>
            </w:r>
          </w:p>
        </w:tc>
        <w:tc>
          <w:tcPr>
            <w:tcW w:w="850" w:type="dxa"/>
            <w:shd w:val="clear" w:color="auto" w:fill="CCCCCC" w:themeFill="text1" w:themeFillTint="33"/>
            <w:vAlign w:val="center"/>
          </w:tcPr>
          <w:p w:rsidR="00A53D17" w:rsidRDefault="00A53D17">
            <w:pPr>
              <w:jc w:val="both"/>
              <w:cnfStyle w:val="000000000000"/>
              <w:rPr>
                <w:rFonts w:asciiTheme="majorBidi" w:eastAsiaTheme="minorHAnsi" w:hAnsiTheme="majorBidi" w:cstheme="majorBidi"/>
                <w:sz w:val="20"/>
                <w:szCs w:val="20"/>
              </w:rPr>
            </w:pPr>
          </w:p>
        </w:tc>
        <w:tc>
          <w:tcPr>
            <w:tcW w:w="1359" w:type="dxa"/>
            <w:shd w:val="clear" w:color="auto" w:fill="CCCCCC" w:themeFill="text1" w:themeFillTint="33"/>
            <w:vAlign w:val="center"/>
          </w:tcPr>
          <w:p w:rsidR="00A53D17" w:rsidRDefault="00A53D17">
            <w:pPr>
              <w:jc w:val="both"/>
              <w:cnfStyle w:val="000000000000"/>
              <w:rPr>
                <w:rFonts w:asciiTheme="majorBidi" w:eastAsiaTheme="minorHAnsi" w:hAnsiTheme="majorBidi" w:cstheme="majorBidi"/>
                <w:sz w:val="20"/>
                <w:szCs w:val="20"/>
              </w:rPr>
            </w:pPr>
          </w:p>
        </w:tc>
        <w:tc>
          <w:tcPr>
            <w:tcW w:w="806" w:type="dxa"/>
            <w:shd w:val="clear" w:color="auto" w:fill="CCCCCC" w:themeFill="text1" w:themeFillTint="33"/>
            <w:vAlign w:val="center"/>
          </w:tcPr>
          <w:p w:rsidR="00A53D17" w:rsidRDefault="00A53D17">
            <w:pPr>
              <w:jc w:val="both"/>
              <w:cnfStyle w:val="000000000000"/>
              <w:rPr>
                <w:rFonts w:asciiTheme="majorBidi" w:eastAsiaTheme="minorHAnsi" w:hAnsiTheme="majorBidi" w:cstheme="majorBidi"/>
                <w:sz w:val="20"/>
                <w:szCs w:val="20"/>
              </w:rPr>
            </w:pPr>
          </w:p>
        </w:tc>
      </w:tr>
      <w:tr w:rsidR="00A53D17" w:rsidTr="00A53D17">
        <w:trPr>
          <w:trHeight w:val="260"/>
        </w:trPr>
        <w:tc>
          <w:tcPr>
            <w:cnfStyle w:val="001000000000"/>
            <w:tcW w:w="1526" w:type="dxa"/>
            <w:vAlign w:val="center"/>
          </w:tcPr>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Well differentiated</w:t>
            </w:r>
          </w:p>
        </w:tc>
        <w:tc>
          <w:tcPr>
            <w:tcW w:w="850" w:type="dxa"/>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1</w:t>
            </w:r>
          </w:p>
        </w:tc>
        <w:tc>
          <w:tcPr>
            <w:tcW w:w="1359" w:type="dxa"/>
            <w:vAlign w:val="center"/>
          </w:tcPr>
          <w:p w:rsidR="00A53D17" w:rsidRDefault="00A53D17">
            <w:pPr>
              <w:jc w:val="both"/>
              <w:cnfStyle w:val="000000000000"/>
              <w:rPr>
                <w:rFonts w:asciiTheme="majorBidi" w:eastAsiaTheme="minorHAnsi" w:hAnsiTheme="majorBidi" w:cstheme="majorBidi"/>
                <w:sz w:val="20"/>
                <w:szCs w:val="20"/>
              </w:rPr>
            </w:pPr>
          </w:p>
        </w:tc>
        <w:tc>
          <w:tcPr>
            <w:tcW w:w="806" w:type="dxa"/>
            <w:vAlign w:val="center"/>
          </w:tcPr>
          <w:p w:rsidR="00A53D17" w:rsidRDefault="00A53D17">
            <w:pPr>
              <w:jc w:val="both"/>
              <w:cnfStyle w:val="000000000000"/>
              <w:rPr>
                <w:rFonts w:asciiTheme="majorBidi" w:eastAsiaTheme="minorHAnsi" w:hAnsiTheme="majorBidi" w:cstheme="majorBidi"/>
                <w:sz w:val="20"/>
                <w:szCs w:val="20"/>
              </w:rPr>
            </w:pPr>
          </w:p>
        </w:tc>
      </w:tr>
      <w:tr w:rsidR="00A53D17" w:rsidTr="00A53D17">
        <w:trPr>
          <w:trHeight w:val="260"/>
        </w:trPr>
        <w:tc>
          <w:tcPr>
            <w:cnfStyle w:val="001000000000"/>
            <w:tcW w:w="1526" w:type="dxa"/>
            <w:shd w:val="clear" w:color="auto" w:fill="CCCCCC" w:themeFill="text1" w:themeFillTint="33"/>
            <w:vAlign w:val="center"/>
          </w:tcPr>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Moderately differentiated</w:t>
            </w:r>
          </w:p>
        </w:tc>
        <w:tc>
          <w:tcPr>
            <w:tcW w:w="850" w:type="dxa"/>
            <w:shd w:val="clear" w:color="auto" w:fill="CCCCCC" w:themeFill="text1" w:themeFillTint="33"/>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0.93</w:t>
            </w:r>
          </w:p>
        </w:tc>
        <w:tc>
          <w:tcPr>
            <w:tcW w:w="1359" w:type="dxa"/>
            <w:shd w:val="clear" w:color="auto" w:fill="CCCCCC" w:themeFill="text1" w:themeFillTint="33"/>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0.374 – 2.401</w:t>
            </w:r>
          </w:p>
        </w:tc>
        <w:tc>
          <w:tcPr>
            <w:tcW w:w="806" w:type="dxa"/>
            <w:shd w:val="clear" w:color="auto" w:fill="CCCCCC" w:themeFill="text1" w:themeFillTint="33"/>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0.871</w:t>
            </w:r>
          </w:p>
        </w:tc>
      </w:tr>
      <w:tr w:rsidR="00A53D17" w:rsidTr="00A53D17">
        <w:trPr>
          <w:trHeight w:val="260"/>
        </w:trPr>
        <w:tc>
          <w:tcPr>
            <w:cnfStyle w:val="001000000000"/>
            <w:tcW w:w="1526" w:type="dxa"/>
            <w:vAlign w:val="center"/>
          </w:tcPr>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Poorly differentiated</w:t>
            </w:r>
          </w:p>
        </w:tc>
        <w:tc>
          <w:tcPr>
            <w:tcW w:w="850" w:type="dxa"/>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1.24</w:t>
            </w:r>
          </w:p>
        </w:tc>
        <w:tc>
          <w:tcPr>
            <w:tcW w:w="1359" w:type="dxa"/>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0.454 – 3.442</w:t>
            </w:r>
          </w:p>
        </w:tc>
        <w:tc>
          <w:tcPr>
            <w:tcW w:w="806" w:type="dxa"/>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0.667</w:t>
            </w:r>
          </w:p>
        </w:tc>
      </w:tr>
      <w:tr w:rsidR="00A53D17" w:rsidTr="00A53D17">
        <w:trPr>
          <w:trHeight w:val="260"/>
        </w:trPr>
        <w:tc>
          <w:tcPr>
            <w:cnfStyle w:val="001000000000"/>
            <w:tcW w:w="1526" w:type="dxa"/>
            <w:shd w:val="clear" w:color="auto" w:fill="CCCCCC" w:themeFill="text1" w:themeFillTint="33"/>
            <w:vAlign w:val="center"/>
          </w:tcPr>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Undifferentiated</w:t>
            </w:r>
          </w:p>
        </w:tc>
        <w:tc>
          <w:tcPr>
            <w:tcW w:w="850" w:type="dxa"/>
            <w:shd w:val="clear" w:color="auto" w:fill="CCCCCC" w:themeFill="text1" w:themeFillTint="33"/>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3.65</w:t>
            </w:r>
          </w:p>
        </w:tc>
        <w:tc>
          <w:tcPr>
            <w:tcW w:w="1359" w:type="dxa"/>
            <w:shd w:val="clear" w:color="auto" w:fill="CCCCCC" w:themeFill="text1" w:themeFillTint="33"/>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 xml:space="preserve">0.612 – </w:t>
            </w:r>
            <w:r>
              <w:rPr>
                <w:rFonts w:asciiTheme="majorBidi" w:eastAsiaTheme="minorHAnsi" w:hAnsiTheme="majorBidi" w:cstheme="majorBidi"/>
                <w:sz w:val="20"/>
                <w:szCs w:val="20"/>
              </w:rPr>
              <w:t>16.120</w:t>
            </w:r>
          </w:p>
        </w:tc>
        <w:tc>
          <w:tcPr>
            <w:tcW w:w="806" w:type="dxa"/>
            <w:shd w:val="clear" w:color="auto" w:fill="CCCCCC" w:themeFill="text1" w:themeFillTint="33"/>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0.091</w:t>
            </w:r>
          </w:p>
        </w:tc>
      </w:tr>
      <w:tr w:rsidR="00A53D17" w:rsidTr="00A53D17">
        <w:trPr>
          <w:trHeight w:val="260"/>
        </w:trPr>
        <w:tc>
          <w:tcPr>
            <w:cnfStyle w:val="001000000000"/>
            <w:tcW w:w="1526" w:type="dxa"/>
            <w:vAlign w:val="center"/>
          </w:tcPr>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NLR</w:t>
            </w:r>
          </w:p>
        </w:tc>
        <w:tc>
          <w:tcPr>
            <w:tcW w:w="850" w:type="dxa"/>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1.03</w:t>
            </w:r>
          </w:p>
        </w:tc>
        <w:tc>
          <w:tcPr>
            <w:tcW w:w="1359" w:type="dxa"/>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0.965 – 1.120</w:t>
            </w:r>
          </w:p>
        </w:tc>
        <w:tc>
          <w:tcPr>
            <w:tcW w:w="806" w:type="dxa"/>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0.191</w:t>
            </w:r>
          </w:p>
        </w:tc>
      </w:tr>
      <w:tr w:rsidR="00A53D17" w:rsidTr="00A53D17">
        <w:trPr>
          <w:trHeight w:val="260"/>
        </w:trPr>
        <w:tc>
          <w:tcPr>
            <w:cnfStyle w:val="001000000000"/>
            <w:tcW w:w="1526" w:type="dxa"/>
            <w:shd w:val="clear" w:color="auto" w:fill="CCCCCC" w:themeFill="text1" w:themeFillTint="33"/>
            <w:vAlign w:val="center"/>
          </w:tcPr>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PLR</w:t>
            </w:r>
          </w:p>
        </w:tc>
        <w:tc>
          <w:tcPr>
            <w:tcW w:w="850" w:type="dxa"/>
            <w:shd w:val="clear" w:color="auto" w:fill="CCCCCC" w:themeFill="text1" w:themeFillTint="33"/>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1.05</w:t>
            </w:r>
          </w:p>
        </w:tc>
        <w:tc>
          <w:tcPr>
            <w:tcW w:w="1359" w:type="dxa"/>
            <w:shd w:val="clear" w:color="auto" w:fill="CCCCCC" w:themeFill="text1" w:themeFillTint="33"/>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1.012 – 1.059</w:t>
            </w:r>
          </w:p>
        </w:tc>
        <w:tc>
          <w:tcPr>
            <w:tcW w:w="806" w:type="dxa"/>
            <w:shd w:val="clear" w:color="auto" w:fill="CCCCCC" w:themeFill="text1" w:themeFillTint="33"/>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0.009</w:t>
            </w:r>
          </w:p>
        </w:tc>
      </w:tr>
      <w:tr w:rsidR="00A53D17" w:rsidTr="00A53D17">
        <w:trPr>
          <w:trHeight w:val="260"/>
        </w:trPr>
        <w:tc>
          <w:tcPr>
            <w:cnfStyle w:val="001000000000"/>
            <w:tcW w:w="1526" w:type="dxa"/>
            <w:vAlign w:val="center"/>
          </w:tcPr>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MLR</w:t>
            </w:r>
          </w:p>
        </w:tc>
        <w:tc>
          <w:tcPr>
            <w:tcW w:w="850" w:type="dxa"/>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1.45</w:t>
            </w:r>
          </w:p>
        </w:tc>
        <w:tc>
          <w:tcPr>
            <w:tcW w:w="1359" w:type="dxa"/>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0.496 – 4.256</w:t>
            </w:r>
          </w:p>
        </w:tc>
        <w:tc>
          <w:tcPr>
            <w:tcW w:w="806" w:type="dxa"/>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0.495</w:t>
            </w:r>
          </w:p>
        </w:tc>
      </w:tr>
      <w:tr w:rsidR="00A53D17" w:rsidTr="00A53D17">
        <w:trPr>
          <w:trHeight w:val="260"/>
        </w:trPr>
        <w:tc>
          <w:tcPr>
            <w:cnfStyle w:val="001000000000"/>
            <w:tcW w:w="1526" w:type="dxa"/>
            <w:shd w:val="clear" w:color="auto" w:fill="CCCCCC" w:themeFill="text1" w:themeFillTint="33"/>
            <w:vAlign w:val="center"/>
          </w:tcPr>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Surgical resection</w:t>
            </w:r>
          </w:p>
        </w:tc>
        <w:tc>
          <w:tcPr>
            <w:tcW w:w="850" w:type="dxa"/>
            <w:shd w:val="clear" w:color="auto" w:fill="CCCCCC" w:themeFill="text1" w:themeFillTint="33"/>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0.10</w:t>
            </w:r>
          </w:p>
        </w:tc>
        <w:tc>
          <w:tcPr>
            <w:tcW w:w="1359" w:type="dxa"/>
            <w:shd w:val="clear" w:color="auto" w:fill="CCCCCC" w:themeFill="text1" w:themeFillTint="33"/>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0.038 - 0.225</w:t>
            </w:r>
          </w:p>
        </w:tc>
        <w:tc>
          <w:tcPr>
            <w:tcW w:w="806" w:type="dxa"/>
            <w:shd w:val="clear" w:color="auto" w:fill="CCCCCC" w:themeFill="text1" w:themeFillTint="33"/>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&lt;0.001</w:t>
            </w:r>
          </w:p>
        </w:tc>
      </w:tr>
    </w:tbl>
    <w:p w:rsidR="00A53D17" w:rsidRDefault="0010573C">
      <w:pPr>
        <w:jc w:val="both"/>
        <w:rPr>
          <w:rFonts w:asciiTheme="majorBidi" w:hAnsiTheme="majorBidi" w:cstheme="majorBidi"/>
          <w:sz w:val="20"/>
          <w:szCs w:val="20"/>
        </w:rPr>
      </w:pPr>
      <w:r>
        <w:rPr>
          <w:rFonts w:asciiTheme="majorBidi" w:hAnsiTheme="majorBidi" w:cstheme="majorBidi"/>
          <w:sz w:val="20"/>
          <w:szCs w:val="20"/>
        </w:rPr>
        <w:t xml:space="preserve">ASA, The American Society of Anesthesiologists physical status classification system; NLR, </w:t>
      </w:r>
      <w:r>
        <w:rPr>
          <w:rFonts w:asciiTheme="majorBidi" w:hAnsiTheme="majorBidi" w:cstheme="majorBidi"/>
          <w:sz w:val="20"/>
          <w:szCs w:val="20"/>
        </w:rPr>
        <w:t>neutrophil/lymphocyte ratio; PLR, platelet/lymphocyte ratio; MLR, monocyte/lymphocyte ratio.</w:t>
      </w:r>
    </w:p>
    <w:p w:rsidR="00A53D17" w:rsidRDefault="00A53D17">
      <w:pPr>
        <w:jc w:val="both"/>
        <w:rPr>
          <w:rFonts w:asciiTheme="majorBidi" w:hAnsiTheme="majorBidi" w:cstheme="majorBidi" w:hint="eastAsia"/>
          <w:sz w:val="20"/>
          <w:szCs w:val="20"/>
          <w:u w:val="single"/>
          <w:lang w:eastAsia="zh-CN"/>
        </w:rPr>
      </w:pPr>
    </w:p>
    <w:p w:rsidR="006A1E2C" w:rsidRDefault="006A1E2C">
      <w:pPr>
        <w:jc w:val="both"/>
        <w:rPr>
          <w:rFonts w:asciiTheme="majorBidi" w:hAnsiTheme="majorBidi" w:cstheme="majorBidi" w:hint="eastAsia"/>
          <w:sz w:val="20"/>
          <w:szCs w:val="20"/>
          <w:u w:val="single"/>
          <w:lang w:eastAsia="zh-CN"/>
        </w:rPr>
      </w:pPr>
    </w:p>
    <w:p w:rsidR="00A53D17" w:rsidRDefault="0010573C">
      <w:pPr>
        <w:jc w:val="both"/>
        <w:rPr>
          <w:rFonts w:asciiTheme="majorBidi" w:hAnsiTheme="majorBidi" w:cstheme="majorBidi"/>
          <w:b/>
          <w:bCs/>
          <w:sz w:val="20"/>
          <w:szCs w:val="20"/>
        </w:rPr>
      </w:pPr>
      <w:r>
        <w:rPr>
          <w:rFonts w:asciiTheme="majorBidi" w:hAnsiTheme="majorBidi" w:cstheme="majorBidi"/>
          <w:b/>
          <w:bCs/>
          <w:sz w:val="20"/>
          <w:szCs w:val="20"/>
        </w:rPr>
        <w:t>Multivariate analysis:</w:t>
      </w:r>
    </w:p>
    <w:p w:rsidR="00A53D17" w:rsidRDefault="0010573C">
      <w:pPr>
        <w:ind w:firstLine="426"/>
        <w:jc w:val="both"/>
        <w:rPr>
          <w:rFonts w:asciiTheme="majorBidi" w:hAnsiTheme="majorBidi" w:cstheme="majorBidi"/>
          <w:sz w:val="20"/>
          <w:szCs w:val="20"/>
        </w:rPr>
      </w:pPr>
      <w:r>
        <w:rPr>
          <w:rFonts w:asciiTheme="majorBidi" w:hAnsiTheme="majorBidi" w:cstheme="majorBidi"/>
          <w:sz w:val="20"/>
          <w:szCs w:val="20"/>
        </w:rPr>
        <w:t xml:space="preserve">Factors identified during univariate analysis were examined together under multivariate analysis after adjusting for the stage of the disease, PLR cut-off value of 200 was used in the multivariate analysis to assess the potential hazard risk for practical </w:t>
      </w:r>
      <w:r>
        <w:rPr>
          <w:rFonts w:asciiTheme="majorBidi" w:hAnsiTheme="majorBidi" w:cstheme="majorBidi"/>
          <w:sz w:val="20"/>
          <w:szCs w:val="20"/>
        </w:rPr>
        <w:t xml:space="preserve">application. Age at diagnosis (HR=1.04, CI=1.01-1.07), PLR≤200 (HR=0.35, CI=0.17-0.70), and surgical resection (HR=0.10, CI=0.04-0.23) (Figure 2), and surgical resection with an intent-to-cure </w:t>
      </w:r>
      <w:r>
        <w:rPr>
          <w:rFonts w:asciiTheme="majorBidi" w:hAnsiTheme="majorBidi" w:cstheme="majorBidi"/>
          <w:color w:val="000000" w:themeColor="text1"/>
          <w:sz w:val="20"/>
          <w:szCs w:val="20"/>
        </w:rPr>
        <w:t>(HR=0.10, CI=0.038-0.225)</w:t>
      </w:r>
      <w:r>
        <w:rPr>
          <w:rFonts w:asciiTheme="majorBidi" w:hAnsiTheme="majorBidi" w:cstheme="majorBidi"/>
          <w:sz w:val="20"/>
          <w:szCs w:val="20"/>
        </w:rPr>
        <w:t xml:space="preserve"> (Figure 3) were independent predictor</w:t>
      </w:r>
      <w:r>
        <w:rPr>
          <w:rFonts w:asciiTheme="majorBidi" w:hAnsiTheme="majorBidi" w:cstheme="majorBidi"/>
          <w:sz w:val="20"/>
          <w:szCs w:val="20"/>
        </w:rPr>
        <w:t>s of a better survival at 3 years (Table 3).</w:t>
      </w:r>
    </w:p>
    <w:p w:rsidR="00A53D17" w:rsidRDefault="00A53D17">
      <w:pPr>
        <w:jc w:val="both"/>
        <w:rPr>
          <w:rFonts w:asciiTheme="majorBidi" w:hAnsiTheme="majorBidi" w:cstheme="majorBidi" w:hint="eastAsia"/>
          <w:sz w:val="20"/>
          <w:szCs w:val="20"/>
          <w:lang w:eastAsia="zh-CN"/>
        </w:rPr>
      </w:pPr>
    </w:p>
    <w:p w:rsidR="006A1E2C" w:rsidRDefault="006A1E2C">
      <w:pPr>
        <w:jc w:val="both"/>
        <w:rPr>
          <w:rFonts w:asciiTheme="majorBidi" w:hAnsiTheme="majorBidi" w:cstheme="majorBidi" w:hint="eastAsia"/>
          <w:sz w:val="20"/>
          <w:szCs w:val="20"/>
          <w:lang w:eastAsia="zh-CN"/>
        </w:rPr>
      </w:pPr>
    </w:p>
    <w:p w:rsidR="006A1E2C" w:rsidRDefault="006A1E2C">
      <w:pPr>
        <w:jc w:val="both"/>
        <w:rPr>
          <w:rFonts w:asciiTheme="majorBidi" w:hAnsiTheme="majorBidi" w:cstheme="majorBidi" w:hint="eastAsia"/>
          <w:sz w:val="20"/>
          <w:szCs w:val="20"/>
          <w:lang w:eastAsia="zh-CN"/>
        </w:rPr>
      </w:pPr>
    </w:p>
    <w:p w:rsidR="006A1E2C" w:rsidRDefault="006A1E2C">
      <w:pPr>
        <w:jc w:val="both"/>
        <w:rPr>
          <w:rFonts w:asciiTheme="majorBidi" w:hAnsiTheme="majorBidi" w:cstheme="majorBidi" w:hint="eastAsia"/>
          <w:sz w:val="20"/>
          <w:szCs w:val="20"/>
          <w:lang w:eastAsia="zh-CN"/>
        </w:rPr>
      </w:pPr>
    </w:p>
    <w:p w:rsidR="00A53D17" w:rsidRDefault="0010573C">
      <w:pPr>
        <w:jc w:val="center"/>
        <w:rPr>
          <w:rFonts w:asciiTheme="majorBidi" w:hAnsiTheme="majorBidi" w:cstheme="majorBidi"/>
          <w:sz w:val="20"/>
          <w:szCs w:val="20"/>
        </w:rPr>
      </w:pPr>
      <w:r>
        <w:rPr>
          <w:rFonts w:asciiTheme="majorBidi" w:hAnsiTheme="majorBidi" w:cstheme="majorBidi"/>
          <w:noProof/>
          <w:sz w:val="20"/>
          <w:szCs w:val="20"/>
          <w:lang w:eastAsia="zh-CN"/>
        </w:rPr>
        <w:drawing>
          <wp:inline distT="0" distB="0" distL="0" distR="0">
            <wp:extent cx="2663190" cy="1785620"/>
            <wp:effectExtent l="0" t="0" r="381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672400" cy="1791794"/>
                    </a:xfrm>
                    <a:prstGeom prst="rect">
                      <a:avLst/>
                    </a:prstGeom>
                    <a:noFill/>
                  </pic:spPr>
                </pic:pic>
              </a:graphicData>
            </a:graphic>
          </wp:inline>
        </w:drawing>
      </w:r>
    </w:p>
    <w:p w:rsidR="00A53D17" w:rsidRDefault="0010573C">
      <w:pPr>
        <w:jc w:val="both"/>
        <w:rPr>
          <w:rFonts w:asciiTheme="majorBidi" w:hAnsiTheme="majorBidi" w:cstheme="majorBidi"/>
          <w:sz w:val="20"/>
          <w:szCs w:val="20"/>
        </w:rPr>
      </w:pPr>
      <w:r>
        <w:rPr>
          <w:rFonts w:asciiTheme="majorBidi" w:hAnsiTheme="majorBidi" w:cstheme="majorBidi"/>
          <w:sz w:val="20"/>
          <w:szCs w:val="20"/>
        </w:rPr>
        <w:t>Figure 2: The survival analysis of patients with GBC. The Kaplan–Meier curve analysis shows higher survival rates at 3 years of follow up for the patients presenting with PLR≤200 compared to those with PLR&gt;20</w:t>
      </w:r>
      <w:r>
        <w:rPr>
          <w:rFonts w:asciiTheme="majorBidi" w:hAnsiTheme="majorBidi" w:cstheme="majorBidi"/>
          <w:sz w:val="20"/>
          <w:szCs w:val="20"/>
        </w:rPr>
        <w:t>0</w:t>
      </w:r>
    </w:p>
    <w:p w:rsidR="00A53D17" w:rsidRDefault="00A53D17">
      <w:pPr>
        <w:jc w:val="both"/>
        <w:rPr>
          <w:rFonts w:asciiTheme="majorBidi" w:hAnsiTheme="majorBidi" w:cstheme="majorBidi"/>
          <w:sz w:val="20"/>
          <w:szCs w:val="20"/>
        </w:rPr>
      </w:pPr>
    </w:p>
    <w:p w:rsidR="00A53D17" w:rsidRDefault="0010573C">
      <w:pPr>
        <w:jc w:val="center"/>
        <w:rPr>
          <w:rFonts w:asciiTheme="majorBidi" w:hAnsiTheme="majorBidi" w:cstheme="majorBidi"/>
          <w:sz w:val="20"/>
          <w:szCs w:val="20"/>
        </w:rPr>
      </w:pPr>
      <w:r>
        <w:rPr>
          <w:rFonts w:asciiTheme="majorBidi" w:hAnsiTheme="majorBidi" w:cstheme="majorBidi"/>
          <w:noProof/>
          <w:sz w:val="20"/>
          <w:szCs w:val="20"/>
          <w:lang w:eastAsia="zh-CN"/>
        </w:rPr>
        <w:drawing>
          <wp:inline distT="0" distB="0" distL="0" distR="0">
            <wp:extent cx="2635250" cy="175069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642552" cy="1755896"/>
                    </a:xfrm>
                    <a:prstGeom prst="rect">
                      <a:avLst/>
                    </a:prstGeom>
                    <a:noFill/>
                  </pic:spPr>
                </pic:pic>
              </a:graphicData>
            </a:graphic>
          </wp:inline>
        </w:drawing>
      </w:r>
    </w:p>
    <w:p w:rsidR="00A53D17" w:rsidRDefault="0010573C">
      <w:pPr>
        <w:jc w:val="both"/>
        <w:rPr>
          <w:rFonts w:asciiTheme="majorBidi" w:hAnsiTheme="majorBidi" w:cstheme="majorBidi"/>
          <w:sz w:val="20"/>
          <w:szCs w:val="20"/>
        </w:rPr>
      </w:pPr>
      <w:r>
        <w:rPr>
          <w:rFonts w:asciiTheme="majorBidi" w:hAnsiTheme="majorBidi" w:cstheme="majorBidi"/>
          <w:sz w:val="20"/>
          <w:szCs w:val="20"/>
        </w:rPr>
        <w:t>Figure 3: The survival analysis of patients with GBC. The Kaplan–Meier curve analysis shows higher survival rates at 3 years of follow up for the patients who underwent surgical resection with an intent-to-cure</w:t>
      </w:r>
    </w:p>
    <w:p w:rsidR="00A53D17" w:rsidRDefault="00A53D17">
      <w:pPr>
        <w:jc w:val="both"/>
        <w:rPr>
          <w:rFonts w:asciiTheme="majorBidi" w:hAnsiTheme="majorBidi" w:cstheme="majorBidi"/>
          <w:sz w:val="20"/>
          <w:szCs w:val="20"/>
        </w:rPr>
      </w:pPr>
    </w:p>
    <w:p w:rsidR="00A53D17" w:rsidRDefault="0010573C">
      <w:pPr>
        <w:jc w:val="both"/>
        <w:rPr>
          <w:rFonts w:asciiTheme="majorBidi" w:hAnsiTheme="majorBidi" w:cstheme="majorBidi"/>
          <w:sz w:val="20"/>
          <w:szCs w:val="20"/>
        </w:rPr>
      </w:pPr>
      <w:r>
        <w:rPr>
          <w:rFonts w:asciiTheme="majorBidi" w:hAnsiTheme="majorBidi" w:cstheme="majorBidi"/>
          <w:sz w:val="20"/>
          <w:szCs w:val="20"/>
        </w:rPr>
        <w:t>Table 3: Multivariate analysis</w:t>
      </w:r>
    </w:p>
    <w:tbl>
      <w:tblPr>
        <w:tblStyle w:val="GridTable6Colorful"/>
        <w:tblW w:w="0" w:type="auto"/>
        <w:tblLook w:val="04A0"/>
      </w:tblPr>
      <w:tblGrid>
        <w:gridCol w:w="1497"/>
        <w:gridCol w:w="861"/>
        <w:gridCol w:w="1183"/>
        <w:gridCol w:w="672"/>
      </w:tblGrid>
      <w:tr w:rsidR="00A53D17" w:rsidTr="00A53D17">
        <w:trPr>
          <w:cnfStyle w:val="100000000000"/>
          <w:trHeight w:val="260"/>
        </w:trPr>
        <w:tc>
          <w:tcPr>
            <w:cnfStyle w:val="001000000000"/>
            <w:tcW w:w="1497" w:type="dxa"/>
            <w:vAlign w:val="center"/>
          </w:tcPr>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Variables</w:t>
            </w:r>
          </w:p>
        </w:tc>
        <w:tc>
          <w:tcPr>
            <w:tcW w:w="770" w:type="dxa"/>
            <w:vAlign w:val="center"/>
          </w:tcPr>
          <w:p w:rsidR="00A53D17" w:rsidRDefault="0010573C">
            <w:pPr>
              <w:jc w:val="both"/>
              <w:cnfStyle w:val="100000000000"/>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Hazard Ratio</w:t>
            </w:r>
          </w:p>
        </w:tc>
        <w:tc>
          <w:tcPr>
            <w:tcW w:w="1177" w:type="dxa"/>
            <w:vAlign w:val="center"/>
          </w:tcPr>
          <w:p w:rsidR="00A53D17" w:rsidRDefault="0010573C">
            <w:pPr>
              <w:jc w:val="both"/>
              <w:cnfStyle w:val="100000000000"/>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95% Confidence Interval</w:t>
            </w:r>
          </w:p>
        </w:tc>
        <w:tc>
          <w:tcPr>
            <w:tcW w:w="612" w:type="dxa"/>
            <w:vAlign w:val="center"/>
          </w:tcPr>
          <w:p w:rsidR="00A53D17" w:rsidRDefault="0010573C">
            <w:pPr>
              <w:jc w:val="both"/>
              <w:cnfStyle w:val="100000000000"/>
              <w:rPr>
                <w:rFonts w:asciiTheme="majorBidi" w:eastAsiaTheme="minorHAnsi" w:hAnsiTheme="majorBidi" w:cstheme="majorBidi"/>
                <w:b w:val="0"/>
                <w:bCs w:val="0"/>
                <w:sz w:val="20"/>
                <w:szCs w:val="20"/>
              </w:rPr>
            </w:pPr>
            <w:r>
              <w:rPr>
                <w:rFonts w:asciiTheme="majorBidi" w:eastAsiaTheme="minorHAnsi" w:hAnsiTheme="majorBidi" w:cstheme="majorBidi"/>
                <w:i/>
                <w:iCs/>
                <w:sz w:val="20"/>
                <w:szCs w:val="20"/>
              </w:rPr>
              <w:t>P</w:t>
            </w:r>
            <w:r>
              <w:rPr>
                <w:rFonts w:asciiTheme="majorBidi" w:eastAsiaTheme="minorHAnsi" w:hAnsiTheme="majorBidi" w:cstheme="majorBidi"/>
                <w:sz w:val="20"/>
                <w:szCs w:val="20"/>
              </w:rPr>
              <w:t>-value</w:t>
            </w:r>
          </w:p>
        </w:tc>
      </w:tr>
      <w:tr w:rsidR="00A53D17" w:rsidTr="00A53D17">
        <w:trPr>
          <w:trHeight w:val="260"/>
        </w:trPr>
        <w:tc>
          <w:tcPr>
            <w:cnfStyle w:val="001000000000"/>
            <w:tcW w:w="1497" w:type="dxa"/>
            <w:shd w:val="clear" w:color="auto" w:fill="CCCCCC" w:themeFill="text1" w:themeFillTint="33"/>
            <w:vAlign w:val="center"/>
          </w:tcPr>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Age</w:t>
            </w:r>
          </w:p>
        </w:tc>
        <w:tc>
          <w:tcPr>
            <w:tcW w:w="770" w:type="dxa"/>
            <w:shd w:val="clear" w:color="auto" w:fill="CCCCCC" w:themeFill="text1" w:themeFillTint="33"/>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1.04</w:t>
            </w:r>
          </w:p>
        </w:tc>
        <w:tc>
          <w:tcPr>
            <w:tcW w:w="1177" w:type="dxa"/>
            <w:shd w:val="clear" w:color="auto" w:fill="CCCCCC" w:themeFill="text1" w:themeFillTint="33"/>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1.01 – 1.07</w:t>
            </w:r>
          </w:p>
        </w:tc>
        <w:tc>
          <w:tcPr>
            <w:tcW w:w="612" w:type="dxa"/>
            <w:shd w:val="clear" w:color="auto" w:fill="CCCCCC" w:themeFill="text1" w:themeFillTint="33"/>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0.003</w:t>
            </w:r>
          </w:p>
        </w:tc>
      </w:tr>
      <w:tr w:rsidR="00A53D17" w:rsidTr="00A53D17">
        <w:trPr>
          <w:trHeight w:val="260"/>
        </w:trPr>
        <w:tc>
          <w:tcPr>
            <w:cnfStyle w:val="001000000000"/>
            <w:tcW w:w="1497" w:type="dxa"/>
            <w:vAlign w:val="center"/>
          </w:tcPr>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Surgical resection (Yes vs. No)</w:t>
            </w:r>
          </w:p>
        </w:tc>
        <w:tc>
          <w:tcPr>
            <w:tcW w:w="770" w:type="dxa"/>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4.30</w:t>
            </w:r>
          </w:p>
        </w:tc>
        <w:tc>
          <w:tcPr>
            <w:tcW w:w="1177" w:type="dxa"/>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1.52 – 13.4</w:t>
            </w:r>
          </w:p>
        </w:tc>
        <w:tc>
          <w:tcPr>
            <w:tcW w:w="612" w:type="dxa"/>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0.008</w:t>
            </w:r>
          </w:p>
        </w:tc>
      </w:tr>
      <w:tr w:rsidR="00A53D17" w:rsidTr="00A53D17">
        <w:trPr>
          <w:trHeight w:val="260"/>
        </w:trPr>
        <w:tc>
          <w:tcPr>
            <w:cnfStyle w:val="001000000000"/>
            <w:tcW w:w="1497" w:type="dxa"/>
            <w:shd w:val="clear" w:color="auto" w:fill="CCCCCC" w:themeFill="text1" w:themeFillTint="33"/>
            <w:vAlign w:val="center"/>
          </w:tcPr>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Early vs. late stage</w:t>
            </w:r>
          </w:p>
        </w:tc>
        <w:tc>
          <w:tcPr>
            <w:tcW w:w="770" w:type="dxa"/>
            <w:shd w:val="clear" w:color="auto" w:fill="CCCCCC" w:themeFill="text1" w:themeFillTint="33"/>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1.89</w:t>
            </w:r>
          </w:p>
        </w:tc>
        <w:tc>
          <w:tcPr>
            <w:tcW w:w="1177" w:type="dxa"/>
            <w:shd w:val="clear" w:color="auto" w:fill="CCCCCC" w:themeFill="text1" w:themeFillTint="33"/>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0.39 – 9.20</w:t>
            </w:r>
          </w:p>
        </w:tc>
        <w:tc>
          <w:tcPr>
            <w:tcW w:w="612" w:type="dxa"/>
            <w:shd w:val="clear" w:color="auto" w:fill="CCCCCC" w:themeFill="text1" w:themeFillTint="33"/>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0.892</w:t>
            </w:r>
          </w:p>
        </w:tc>
      </w:tr>
      <w:tr w:rsidR="00A53D17" w:rsidTr="00A53D17">
        <w:trPr>
          <w:trHeight w:val="260"/>
        </w:trPr>
        <w:tc>
          <w:tcPr>
            <w:cnfStyle w:val="001000000000"/>
            <w:tcW w:w="1497" w:type="dxa"/>
            <w:vAlign w:val="center"/>
          </w:tcPr>
          <w:p w:rsidR="00A53D17" w:rsidRDefault="0010573C">
            <w:pPr>
              <w:jc w:val="both"/>
              <w:rPr>
                <w:rFonts w:asciiTheme="majorBidi" w:eastAsiaTheme="minorHAnsi" w:hAnsiTheme="majorBidi" w:cstheme="majorBidi"/>
                <w:b w:val="0"/>
                <w:bCs w:val="0"/>
                <w:sz w:val="20"/>
                <w:szCs w:val="20"/>
              </w:rPr>
            </w:pPr>
            <w:r>
              <w:rPr>
                <w:rFonts w:asciiTheme="majorBidi" w:eastAsiaTheme="minorHAnsi" w:hAnsiTheme="majorBidi" w:cstheme="majorBidi"/>
                <w:sz w:val="20"/>
                <w:szCs w:val="20"/>
              </w:rPr>
              <w:t>PLR (≤200 vs. &gt;200)</w:t>
            </w:r>
          </w:p>
        </w:tc>
        <w:tc>
          <w:tcPr>
            <w:tcW w:w="770" w:type="dxa"/>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2.86</w:t>
            </w:r>
          </w:p>
        </w:tc>
        <w:tc>
          <w:tcPr>
            <w:tcW w:w="1177" w:type="dxa"/>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1.92 – 5.96</w:t>
            </w:r>
          </w:p>
        </w:tc>
        <w:tc>
          <w:tcPr>
            <w:tcW w:w="612" w:type="dxa"/>
            <w:vAlign w:val="center"/>
          </w:tcPr>
          <w:p w:rsidR="00A53D17" w:rsidRDefault="0010573C">
            <w:pPr>
              <w:jc w:val="both"/>
              <w:cnfStyle w:val="000000000000"/>
              <w:rPr>
                <w:rFonts w:asciiTheme="majorBidi" w:eastAsiaTheme="minorHAnsi" w:hAnsiTheme="majorBidi" w:cstheme="majorBidi"/>
                <w:sz w:val="20"/>
                <w:szCs w:val="20"/>
              </w:rPr>
            </w:pPr>
            <w:r>
              <w:rPr>
                <w:rFonts w:asciiTheme="majorBidi" w:eastAsiaTheme="minorHAnsi" w:hAnsiTheme="majorBidi" w:cstheme="majorBidi"/>
                <w:sz w:val="20"/>
                <w:szCs w:val="20"/>
              </w:rPr>
              <w:t>0.024</w:t>
            </w:r>
          </w:p>
        </w:tc>
      </w:tr>
    </w:tbl>
    <w:p w:rsidR="00A53D17" w:rsidRDefault="00A53D17">
      <w:pPr>
        <w:jc w:val="both"/>
        <w:rPr>
          <w:rFonts w:asciiTheme="majorBidi" w:hAnsiTheme="majorBidi" w:cstheme="majorBidi"/>
          <w:b/>
          <w:bCs/>
          <w:sz w:val="20"/>
          <w:szCs w:val="20"/>
        </w:rPr>
      </w:pPr>
    </w:p>
    <w:p w:rsidR="00A53D17" w:rsidRDefault="0010573C">
      <w:pPr>
        <w:jc w:val="both"/>
        <w:rPr>
          <w:rFonts w:asciiTheme="majorBidi" w:hAnsiTheme="majorBidi" w:cstheme="majorBidi"/>
          <w:sz w:val="20"/>
          <w:szCs w:val="20"/>
        </w:rPr>
      </w:pPr>
      <w:r>
        <w:rPr>
          <w:rFonts w:asciiTheme="majorBidi" w:hAnsiTheme="majorBidi" w:cstheme="majorBidi"/>
          <w:b/>
          <w:bCs/>
          <w:sz w:val="20"/>
          <w:szCs w:val="20"/>
        </w:rPr>
        <w:t>4. Discussion:</w:t>
      </w:r>
    </w:p>
    <w:p w:rsidR="00A53D17" w:rsidRDefault="0010573C">
      <w:pPr>
        <w:ind w:firstLine="426"/>
        <w:jc w:val="both"/>
        <w:rPr>
          <w:rFonts w:asciiTheme="majorBidi" w:hAnsiTheme="majorBidi" w:cstheme="majorBidi"/>
          <w:sz w:val="20"/>
          <w:szCs w:val="20"/>
        </w:rPr>
      </w:pPr>
      <w:r>
        <w:rPr>
          <w:rFonts w:asciiTheme="majorBidi" w:hAnsiTheme="majorBidi" w:cstheme="majorBidi"/>
          <w:sz w:val="20"/>
          <w:szCs w:val="20"/>
        </w:rPr>
        <w:t>Gallbladder</w:t>
      </w:r>
      <w:r>
        <w:rPr>
          <w:rFonts w:asciiTheme="majorBidi" w:hAnsiTheme="majorBidi" w:cstheme="majorBidi"/>
          <w:sz w:val="20"/>
          <w:szCs w:val="20"/>
        </w:rPr>
        <w:t xml:space="preserve"> cancer remains the most common biliary tract cancer with an incidence of 2.5 per 100,000 persons; and, generally, is the most aggressive and confers the worst prognosis [2]. With </w:t>
      </w:r>
      <w:r>
        <w:rPr>
          <w:rFonts w:asciiTheme="majorBidi" w:hAnsiTheme="majorBidi" w:cstheme="majorBidi"/>
          <w:sz w:val="20"/>
          <w:szCs w:val="20"/>
        </w:rPr>
        <w:lastRenderedPageBreak/>
        <w:t>an R0 surgical resection remaining as the most successful treatment modality</w:t>
      </w:r>
      <w:r>
        <w:rPr>
          <w:rFonts w:asciiTheme="majorBidi" w:hAnsiTheme="majorBidi" w:cstheme="majorBidi"/>
          <w:sz w:val="20"/>
          <w:szCs w:val="20"/>
        </w:rPr>
        <w:t>, an attempt must be made to identify this pathology at earlier stages. However, to date, it is incidentally found in most patients who undergo cholecystectomy with a benign condition in mind [4]. Furthermore, with a lack of reliable markers identified for</w:t>
      </w:r>
      <w:r>
        <w:rPr>
          <w:rFonts w:asciiTheme="majorBidi" w:hAnsiTheme="majorBidi" w:cstheme="majorBidi"/>
          <w:sz w:val="20"/>
          <w:szCs w:val="20"/>
        </w:rPr>
        <w:t xml:space="preserve"> routine screening, many prognostic factors confer an increased relationship with malignancy, such as, large stones and multiple polyps [6, 20]. Therefore, attempts must be made to identify additional prognostic factors or identify a reliable screening mar</w:t>
      </w:r>
      <w:r>
        <w:rPr>
          <w:rFonts w:asciiTheme="majorBidi" w:hAnsiTheme="majorBidi" w:cstheme="majorBidi"/>
          <w:sz w:val="20"/>
          <w:szCs w:val="20"/>
        </w:rPr>
        <w:t>ker.</w:t>
      </w:r>
    </w:p>
    <w:p w:rsidR="00A53D17" w:rsidRDefault="0010573C">
      <w:pPr>
        <w:ind w:firstLine="426"/>
        <w:jc w:val="both"/>
        <w:rPr>
          <w:rFonts w:asciiTheme="majorBidi" w:hAnsiTheme="majorBidi" w:cstheme="majorBidi"/>
          <w:sz w:val="20"/>
          <w:szCs w:val="20"/>
        </w:rPr>
      </w:pPr>
      <w:r>
        <w:rPr>
          <w:rFonts w:asciiTheme="majorBidi" w:hAnsiTheme="majorBidi" w:cstheme="majorBidi"/>
          <w:sz w:val="20"/>
          <w:szCs w:val="20"/>
        </w:rPr>
        <w:t xml:space="preserve">Over the past decade, inflammatory markers have been extensively studied about their value in various solid tumors ranging from uterine cancer to pancreato-biliary malignancies [7]. The pathophysiology behind the relation is multifaceted and involves </w:t>
      </w:r>
      <w:r>
        <w:rPr>
          <w:rFonts w:asciiTheme="majorBidi" w:hAnsiTheme="majorBidi" w:cstheme="majorBidi"/>
          <w:sz w:val="20"/>
          <w:szCs w:val="20"/>
        </w:rPr>
        <w:t>the systemic response to multiple factors, including Interleukins, tumor necrosis factors, and granulocyte colony-stimulating factors, which eventually leads to neutrophilia, thrombophilia and lymphopenia [21]. A second step occurs, wherein neutrophilia re</w:t>
      </w:r>
      <w:r>
        <w:rPr>
          <w:rFonts w:asciiTheme="majorBidi" w:hAnsiTheme="majorBidi" w:cstheme="majorBidi"/>
          <w:sz w:val="20"/>
          <w:szCs w:val="20"/>
        </w:rPr>
        <w:t>leases harmful cellular compounds resulting in surrounding tissue necrosis, facilitating the extension of the tumor cells. The related lymphopenia further promotes tumor cell growth by decreasing circulating NK cells [21]. More so over the prognostic value</w:t>
      </w:r>
      <w:r>
        <w:rPr>
          <w:rFonts w:asciiTheme="majorBidi" w:hAnsiTheme="majorBidi" w:cstheme="majorBidi"/>
          <w:sz w:val="20"/>
          <w:szCs w:val="20"/>
        </w:rPr>
        <w:t xml:space="preserve"> of an elevated NLR and PLR in gallbladder cancer has been demonstrated in multiple studies [11, 16, 22]. </w:t>
      </w:r>
    </w:p>
    <w:p w:rsidR="00A53D17" w:rsidRDefault="0010573C">
      <w:pPr>
        <w:ind w:firstLine="426"/>
        <w:jc w:val="both"/>
        <w:rPr>
          <w:rFonts w:asciiTheme="majorBidi" w:hAnsiTheme="majorBidi" w:cstheme="majorBidi"/>
          <w:sz w:val="20"/>
          <w:szCs w:val="20"/>
        </w:rPr>
      </w:pPr>
      <w:r>
        <w:rPr>
          <w:rFonts w:asciiTheme="majorBidi" w:hAnsiTheme="majorBidi" w:cstheme="majorBidi"/>
          <w:sz w:val="20"/>
          <w:szCs w:val="20"/>
        </w:rPr>
        <w:t>This study looked at the potential predictors of patient survival at 3 years from diagnosis, including the inflammatory markers derived from peripher</w:t>
      </w:r>
      <w:r>
        <w:rPr>
          <w:rFonts w:asciiTheme="majorBidi" w:hAnsiTheme="majorBidi" w:cstheme="majorBidi"/>
          <w:sz w:val="20"/>
          <w:szCs w:val="20"/>
        </w:rPr>
        <w:t>al blood cell counts (NLR, PLR, and MLR). PLR ≤200 was associated with significantly longer survival. Various studies had used different values to attain significance; however, a cutoff value of 200 seemed most in line with most published studies [9, 12, 1</w:t>
      </w:r>
      <w:r>
        <w:rPr>
          <w:rFonts w:asciiTheme="majorBidi" w:hAnsiTheme="majorBidi" w:cstheme="majorBidi"/>
          <w:sz w:val="20"/>
          <w:szCs w:val="20"/>
        </w:rPr>
        <w:t>4]. In our study, PLR at diagnosis is a predictor of patient survival. These results agree with published studies [12, 15] concerning PLR; however, in the study by Beal et al. [15], no statistical significance was found pertaining to PLR. Similarly, in lit</w:t>
      </w:r>
      <w:r>
        <w:rPr>
          <w:rFonts w:asciiTheme="majorBidi" w:hAnsiTheme="majorBidi" w:cstheme="majorBidi"/>
          <w:sz w:val="20"/>
          <w:szCs w:val="20"/>
        </w:rPr>
        <w:t xml:space="preserve">erature, it was found that an elevated NLR was associated with worse overall survival in samples drawn both prior to and after surgical resection [10, 15]. However, in our cohort, NLR does not impact patients’ survival. MLR was found be closely associated </w:t>
      </w:r>
      <w:r>
        <w:rPr>
          <w:rFonts w:asciiTheme="majorBidi" w:hAnsiTheme="majorBidi" w:cstheme="majorBidi"/>
          <w:sz w:val="20"/>
          <w:szCs w:val="20"/>
        </w:rPr>
        <w:t xml:space="preserve">with inflammation in cancer patients, hence it has been studied in relation to patients’ outcomes </w:t>
      </w:r>
      <w:r>
        <w:rPr>
          <w:rFonts w:asciiTheme="majorBidi" w:hAnsiTheme="majorBidi" w:cstheme="majorBidi"/>
          <w:color w:val="000000" w:themeColor="text1"/>
          <w:sz w:val="20"/>
          <w:szCs w:val="20"/>
        </w:rPr>
        <w:t>(23).</w:t>
      </w:r>
      <w:r>
        <w:rPr>
          <w:rFonts w:asciiTheme="majorBidi" w:hAnsiTheme="majorBidi" w:cstheme="majorBidi"/>
          <w:sz w:val="20"/>
          <w:szCs w:val="20"/>
        </w:rPr>
        <w:t xml:space="preserve"> In our study, we did not find a relation between MLR and patients’ survival.</w:t>
      </w:r>
    </w:p>
    <w:p w:rsidR="00A53D17" w:rsidRDefault="0010573C">
      <w:pPr>
        <w:ind w:firstLine="426"/>
        <w:jc w:val="both"/>
        <w:rPr>
          <w:rFonts w:asciiTheme="majorBidi" w:hAnsiTheme="majorBidi" w:cstheme="majorBidi"/>
          <w:sz w:val="20"/>
          <w:szCs w:val="20"/>
        </w:rPr>
      </w:pPr>
      <w:r>
        <w:rPr>
          <w:rFonts w:asciiTheme="majorBidi" w:hAnsiTheme="majorBidi" w:cstheme="majorBidi"/>
          <w:sz w:val="20"/>
          <w:szCs w:val="20"/>
        </w:rPr>
        <w:t>In addition to the inflammatory markers, surgical resection with an intent-</w:t>
      </w:r>
      <w:r>
        <w:rPr>
          <w:rFonts w:asciiTheme="majorBidi" w:hAnsiTheme="majorBidi" w:cstheme="majorBidi"/>
          <w:sz w:val="20"/>
          <w:szCs w:val="20"/>
        </w:rPr>
        <w:t xml:space="preserve">to-cure is strongly associated with better survival using the multivariate analysis, similar to published literature results [10, </w:t>
      </w:r>
      <w:r>
        <w:rPr>
          <w:rFonts w:asciiTheme="majorBidi" w:hAnsiTheme="majorBidi" w:cstheme="majorBidi"/>
          <w:sz w:val="20"/>
          <w:szCs w:val="20"/>
        </w:rPr>
        <w:lastRenderedPageBreak/>
        <w:t>12]. Patient age was an independent predictor of survival. The older the patient, the higher risk of mortality. The precise me</w:t>
      </w:r>
      <w:r>
        <w:rPr>
          <w:rFonts w:asciiTheme="majorBidi" w:hAnsiTheme="majorBidi" w:cstheme="majorBidi"/>
          <w:sz w:val="20"/>
          <w:szCs w:val="20"/>
        </w:rPr>
        <w:t xml:space="preserve">chanism remains unclear, but it might be due impairment of the immune response with advancing age </w:t>
      </w:r>
      <w:r>
        <w:rPr>
          <w:rFonts w:asciiTheme="majorBidi" w:hAnsiTheme="majorBidi" w:cstheme="majorBidi"/>
          <w:color w:val="000000" w:themeColor="text1"/>
          <w:sz w:val="20"/>
          <w:szCs w:val="20"/>
        </w:rPr>
        <w:t>(24).</w:t>
      </w:r>
    </w:p>
    <w:p w:rsidR="00A53D17" w:rsidRDefault="0010573C">
      <w:pPr>
        <w:ind w:firstLine="426"/>
        <w:jc w:val="both"/>
        <w:rPr>
          <w:rFonts w:asciiTheme="majorBidi" w:hAnsiTheme="majorBidi" w:cstheme="majorBidi"/>
          <w:sz w:val="20"/>
          <w:szCs w:val="20"/>
        </w:rPr>
      </w:pPr>
      <w:r>
        <w:rPr>
          <w:rFonts w:asciiTheme="majorBidi" w:hAnsiTheme="majorBidi" w:cstheme="majorBidi"/>
          <w:sz w:val="20"/>
          <w:szCs w:val="20"/>
        </w:rPr>
        <w:t>In our cohort, patients diagnosed with metastatic disease showed significantly higher NLR and PLR at diagnosis. These results come in concordance with a</w:t>
      </w:r>
      <w:r>
        <w:rPr>
          <w:rFonts w:asciiTheme="majorBidi" w:hAnsiTheme="majorBidi" w:cstheme="majorBidi"/>
          <w:sz w:val="20"/>
          <w:szCs w:val="20"/>
        </w:rPr>
        <w:t xml:space="preserve"> study by Zhang et al., who similarly found that elevated NLR was related to the presence of metastasis [12]. However, in their study, they failed to demonstrate a significant value of PLR in relation to metastasis, which contrasts our findings where an el</w:t>
      </w:r>
      <w:r>
        <w:rPr>
          <w:rFonts w:asciiTheme="majorBidi" w:hAnsiTheme="majorBidi" w:cstheme="majorBidi"/>
          <w:sz w:val="20"/>
          <w:szCs w:val="20"/>
        </w:rPr>
        <w:t>evated PLR was significantly related to the presence of metastasis.</w:t>
      </w:r>
    </w:p>
    <w:p w:rsidR="00A53D17" w:rsidRDefault="0010573C">
      <w:pPr>
        <w:ind w:firstLine="426"/>
        <w:jc w:val="both"/>
        <w:rPr>
          <w:rFonts w:asciiTheme="majorBidi" w:hAnsiTheme="majorBidi" w:cstheme="majorBidi"/>
          <w:sz w:val="20"/>
          <w:szCs w:val="20"/>
        </w:rPr>
      </w:pPr>
      <w:r>
        <w:rPr>
          <w:rFonts w:asciiTheme="majorBidi" w:hAnsiTheme="majorBidi" w:cstheme="majorBidi"/>
          <w:sz w:val="20"/>
          <w:szCs w:val="20"/>
        </w:rPr>
        <w:t>Given the findings and the established value of inflammatory markers across a multitude of cancers it is within reason to assume that an inflammatory response starts well before the clinic</w:t>
      </w:r>
      <w:r>
        <w:rPr>
          <w:rFonts w:asciiTheme="majorBidi" w:hAnsiTheme="majorBidi" w:cstheme="majorBidi"/>
          <w:sz w:val="20"/>
          <w:szCs w:val="20"/>
        </w:rPr>
        <w:t>al detection of malignancy. The presence of an early elevation of inflammatory markers may reflect the microenvironment of said tumor and be an indicator of tumor growth and extension.</w:t>
      </w:r>
    </w:p>
    <w:p w:rsidR="00A53D17" w:rsidRDefault="0010573C">
      <w:pPr>
        <w:ind w:firstLine="426"/>
        <w:jc w:val="both"/>
        <w:rPr>
          <w:rFonts w:asciiTheme="majorBidi" w:hAnsiTheme="majorBidi" w:cstheme="majorBidi"/>
          <w:sz w:val="20"/>
          <w:szCs w:val="20"/>
        </w:rPr>
      </w:pPr>
      <w:r>
        <w:rPr>
          <w:rFonts w:asciiTheme="majorBidi" w:hAnsiTheme="majorBidi" w:cstheme="majorBidi"/>
          <w:sz w:val="20"/>
          <w:szCs w:val="20"/>
        </w:rPr>
        <w:t>In companionship with the lack of reliable biochemical markers and scre</w:t>
      </w:r>
      <w:r>
        <w:rPr>
          <w:rFonts w:asciiTheme="majorBidi" w:hAnsiTheme="majorBidi" w:cstheme="majorBidi"/>
          <w:sz w:val="20"/>
          <w:szCs w:val="20"/>
        </w:rPr>
        <w:t>ening tools in detecting gallbladder cancer, we propose the value of PLR in patients presenting with biliary symptoms. It is a cheap and easily attainable value [6, 22] and improves risk stratification, facilitating better patient selection for decision ma</w:t>
      </w:r>
      <w:r>
        <w:rPr>
          <w:rFonts w:asciiTheme="majorBidi" w:hAnsiTheme="majorBidi" w:cstheme="majorBidi"/>
          <w:sz w:val="20"/>
          <w:szCs w:val="20"/>
        </w:rPr>
        <w:t xml:space="preserve">king in surgical resection or aggressive chemotherapy in gallbladder cancer patients [25]. </w:t>
      </w:r>
    </w:p>
    <w:p w:rsidR="00A53D17" w:rsidRDefault="0010573C">
      <w:pPr>
        <w:ind w:firstLine="426"/>
        <w:jc w:val="both"/>
        <w:rPr>
          <w:rFonts w:asciiTheme="majorBidi" w:hAnsiTheme="majorBidi" w:cstheme="majorBidi"/>
          <w:sz w:val="20"/>
          <w:szCs w:val="20"/>
        </w:rPr>
      </w:pPr>
      <w:r>
        <w:rPr>
          <w:rFonts w:asciiTheme="majorBidi" w:hAnsiTheme="majorBidi" w:cstheme="majorBidi"/>
          <w:sz w:val="20"/>
          <w:szCs w:val="20"/>
        </w:rPr>
        <w:t>Limitations of this study come from the retrospective nature, and the lack of a control arm concerning the value of inflammatory markers in patients with benign bil</w:t>
      </w:r>
      <w:r>
        <w:rPr>
          <w:rFonts w:asciiTheme="majorBidi" w:hAnsiTheme="majorBidi" w:cstheme="majorBidi"/>
          <w:sz w:val="20"/>
          <w:szCs w:val="20"/>
        </w:rPr>
        <w:t>iary diseases. A prospective study is better equipped to ascertain better the prognostic value of screening PLR or its value as an indicator for prophylactic cholecystectomy.</w:t>
      </w:r>
    </w:p>
    <w:p w:rsidR="00A53D17" w:rsidRDefault="0010573C">
      <w:pPr>
        <w:ind w:firstLine="426"/>
        <w:jc w:val="both"/>
        <w:rPr>
          <w:rFonts w:asciiTheme="majorBidi" w:hAnsiTheme="majorBidi" w:cstheme="majorBidi"/>
          <w:sz w:val="20"/>
          <w:szCs w:val="20"/>
        </w:rPr>
      </w:pPr>
      <w:r>
        <w:rPr>
          <w:rFonts w:asciiTheme="majorBidi" w:hAnsiTheme="majorBidi" w:cstheme="majorBidi"/>
          <w:sz w:val="20"/>
          <w:szCs w:val="20"/>
        </w:rPr>
        <w:t xml:space="preserve">In conclusion, </w:t>
      </w:r>
      <w:bookmarkStart w:id="1" w:name="_Hlk93821587"/>
      <w:r>
        <w:rPr>
          <w:rFonts w:asciiTheme="majorBidi" w:hAnsiTheme="majorBidi" w:cstheme="majorBidi"/>
          <w:sz w:val="20"/>
          <w:szCs w:val="20"/>
        </w:rPr>
        <w:t>platelet/lymphocyte ratio can be a valuable and straightforward pr</w:t>
      </w:r>
      <w:r>
        <w:rPr>
          <w:rFonts w:asciiTheme="majorBidi" w:hAnsiTheme="majorBidi" w:cstheme="majorBidi"/>
          <w:sz w:val="20"/>
          <w:szCs w:val="20"/>
        </w:rPr>
        <w:t>ognostic marker of gallbladder cancer.</w:t>
      </w:r>
    </w:p>
    <w:bookmarkEnd w:id="1"/>
    <w:p w:rsidR="00A53D17" w:rsidRDefault="00A53D17">
      <w:pPr>
        <w:jc w:val="both"/>
        <w:rPr>
          <w:rFonts w:asciiTheme="majorBidi" w:hAnsiTheme="majorBidi" w:cstheme="majorBidi"/>
          <w:b/>
          <w:bCs/>
          <w:sz w:val="20"/>
          <w:szCs w:val="20"/>
        </w:rPr>
      </w:pPr>
    </w:p>
    <w:p w:rsidR="00A53D17" w:rsidRDefault="0010573C">
      <w:pPr>
        <w:jc w:val="both"/>
        <w:rPr>
          <w:rFonts w:asciiTheme="majorBidi" w:hAnsiTheme="majorBidi" w:cstheme="majorBidi"/>
          <w:sz w:val="20"/>
          <w:szCs w:val="20"/>
        </w:rPr>
      </w:pPr>
      <w:r>
        <w:rPr>
          <w:rFonts w:asciiTheme="majorBidi" w:hAnsiTheme="majorBidi" w:cstheme="majorBidi"/>
          <w:b/>
          <w:bCs/>
          <w:sz w:val="20"/>
          <w:szCs w:val="20"/>
        </w:rPr>
        <w:t>Corresponding author</w:t>
      </w:r>
    </w:p>
    <w:p w:rsidR="00A53D17" w:rsidRDefault="0010573C">
      <w:pPr>
        <w:jc w:val="both"/>
        <w:rPr>
          <w:rFonts w:asciiTheme="majorBidi" w:hAnsiTheme="majorBidi" w:cstheme="majorBidi"/>
          <w:sz w:val="20"/>
          <w:szCs w:val="20"/>
        </w:rPr>
      </w:pPr>
      <w:r>
        <w:rPr>
          <w:rFonts w:asciiTheme="majorBidi" w:hAnsiTheme="majorBidi" w:cstheme="majorBidi"/>
          <w:sz w:val="20"/>
          <w:szCs w:val="20"/>
        </w:rPr>
        <w:t>Walid Elmoghazy MD, MSc, PhD, FACS</w:t>
      </w:r>
    </w:p>
    <w:p w:rsidR="00A53D17" w:rsidRDefault="0010573C">
      <w:pPr>
        <w:jc w:val="both"/>
        <w:rPr>
          <w:rFonts w:asciiTheme="majorBidi" w:hAnsiTheme="majorBidi" w:cstheme="majorBidi"/>
          <w:sz w:val="20"/>
          <w:szCs w:val="20"/>
        </w:rPr>
      </w:pPr>
      <w:r>
        <w:rPr>
          <w:rFonts w:asciiTheme="majorBidi" w:hAnsiTheme="majorBidi" w:cstheme="majorBidi"/>
          <w:sz w:val="20"/>
          <w:szCs w:val="20"/>
        </w:rPr>
        <w:t>Consultant of Hepatobiliary and Liver Transplant Surgery</w:t>
      </w:r>
    </w:p>
    <w:p w:rsidR="00A53D17" w:rsidRDefault="0010573C">
      <w:pPr>
        <w:jc w:val="both"/>
        <w:rPr>
          <w:rFonts w:asciiTheme="majorBidi" w:hAnsiTheme="majorBidi" w:cstheme="majorBidi"/>
          <w:sz w:val="20"/>
          <w:szCs w:val="20"/>
        </w:rPr>
      </w:pPr>
      <w:r>
        <w:rPr>
          <w:rFonts w:asciiTheme="majorBidi" w:hAnsiTheme="majorBidi" w:cstheme="majorBidi"/>
          <w:sz w:val="20"/>
          <w:szCs w:val="20"/>
        </w:rPr>
        <w:t>Hamad Medical Corporation (HMC), P.O. Box 3050, Doha, Qatar</w:t>
      </w:r>
    </w:p>
    <w:p w:rsidR="00A53D17" w:rsidRDefault="0010573C">
      <w:pPr>
        <w:jc w:val="both"/>
        <w:rPr>
          <w:rFonts w:asciiTheme="majorBidi" w:hAnsiTheme="majorBidi" w:cstheme="majorBidi"/>
          <w:sz w:val="20"/>
          <w:szCs w:val="20"/>
        </w:rPr>
      </w:pPr>
      <w:r>
        <w:rPr>
          <w:rFonts w:asciiTheme="majorBidi" w:hAnsiTheme="majorBidi" w:cstheme="majorBidi"/>
          <w:sz w:val="20"/>
          <w:szCs w:val="20"/>
        </w:rPr>
        <w:t xml:space="preserve">Assistant Professor of Clinical Surgery, </w:t>
      </w:r>
      <w:r>
        <w:rPr>
          <w:rFonts w:asciiTheme="majorBidi" w:hAnsiTheme="majorBidi" w:cstheme="majorBidi"/>
          <w:sz w:val="20"/>
          <w:szCs w:val="20"/>
        </w:rPr>
        <w:t>Weill-Cornell Medical College in Qatar</w:t>
      </w:r>
    </w:p>
    <w:p w:rsidR="00A53D17" w:rsidRDefault="0010573C">
      <w:pPr>
        <w:jc w:val="both"/>
        <w:rPr>
          <w:rFonts w:asciiTheme="majorBidi" w:hAnsiTheme="majorBidi" w:cstheme="majorBidi"/>
          <w:sz w:val="20"/>
          <w:szCs w:val="20"/>
        </w:rPr>
      </w:pPr>
      <w:r>
        <w:rPr>
          <w:rFonts w:asciiTheme="majorBidi" w:hAnsiTheme="majorBidi" w:cstheme="majorBidi"/>
          <w:b/>
          <w:bCs/>
          <w:sz w:val="20"/>
          <w:szCs w:val="20"/>
        </w:rPr>
        <w:t>Declarations:</w:t>
      </w:r>
    </w:p>
    <w:p w:rsidR="00A53D17" w:rsidRDefault="0010573C">
      <w:pPr>
        <w:ind w:firstLine="426"/>
        <w:jc w:val="both"/>
        <w:rPr>
          <w:rFonts w:asciiTheme="majorBidi" w:hAnsiTheme="majorBidi" w:cstheme="majorBidi"/>
          <w:sz w:val="20"/>
          <w:szCs w:val="20"/>
        </w:rPr>
      </w:pPr>
      <w:r>
        <w:rPr>
          <w:rFonts w:asciiTheme="majorBidi" w:hAnsiTheme="majorBidi" w:cstheme="majorBidi"/>
          <w:sz w:val="20"/>
          <w:szCs w:val="20"/>
        </w:rPr>
        <w:t>Competing interests: "The authors declare that they have no competing interests."</w:t>
      </w:r>
    </w:p>
    <w:p w:rsidR="00A53D17" w:rsidRDefault="0010573C">
      <w:pPr>
        <w:jc w:val="both"/>
        <w:rPr>
          <w:rFonts w:asciiTheme="majorBidi" w:hAnsiTheme="majorBidi" w:cstheme="majorBidi"/>
          <w:sz w:val="20"/>
          <w:szCs w:val="20"/>
        </w:rPr>
      </w:pPr>
      <w:r>
        <w:rPr>
          <w:rFonts w:asciiTheme="majorBidi" w:hAnsiTheme="majorBidi" w:cstheme="majorBidi"/>
          <w:sz w:val="20"/>
          <w:szCs w:val="20"/>
        </w:rPr>
        <w:t xml:space="preserve">Funding: "None" </w:t>
      </w:r>
    </w:p>
    <w:p w:rsidR="00A53D17" w:rsidRDefault="00A53D17">
      <w:pPr>
        <w:jc w:val="both"/>
        <w:rPr>
          <w:rFonts w:asciiTheme="majorBidi" w:hAnsiTheme="majorBidi" w:cstheme="majorBidi"/>
          <w:b/>
          <w:bCs/>
          <w:sz w:val="20"/>
          <w:szCs w:val="20"/>
        </w:rPr>
      </w:pPr>
    </w:p>
    <w:p w:rsidR="00A53D17" w:rsidRDefault="0010573C">
      <w:pPr>
        <w:jc w:val="both"/>
        <w:rPr>
          <w:rFonts w:asciiTheme="majorBidi" w:hAnsiTheme="majorBidi" w:cstheme="majorBidi"/>
          <w:sz w:val="20"/>
          <w:szCs w:val="20"/>
        </w:rPr>
      </w:pPr>
      <w:r>
        <w:rPr>
          <w:rFonts w:asciiTheme="majorBidi" w:hAnsiTheme="majorBidi" w:cstheme="majorBidi"/>
          <w:b/>
          <w:bCs/>
          <w:sz w:val="20"/>
          <w:szCs w:val="20"/>
        </w:rPr>
        <w:lastRenderedPageBreak/>
        <w:t>References:</w:t>
      </w:r>
    </w:p>
    <w:p w:rsidR="00A53D17" w:rsidRDefault="0010573C" w:rsidP="006A1E2C">
      <w:pPr>
        <w:pStyle w:val="ListParagraph"/>
        <w:numPr>
          <w:ilvl w:val="0"/>
          <w:numId w:val="1"/>
        </w:numPr>
        <w:ind w:hanging="578"/>
        <w:jc w:val="both"/>
        <w:rPr>
          <w:rFonts w:asciiTheme="majorBidi" w:hAnsiTheme="majorBidi" w:cstheme="majorBidi"/>
          <w:sz w:val="20"/>
          <w:szCs w:val="20"/>
        </w:rPr>
      </w:pPr>
      <w:r>
        <w:rPr>
          <w:rFonts w:asciiTheme="majorBidi" w:hAnsiTheme="majorBidi" w:cstheme="majorBidi"/>
          <w:sz w:val="20"/>
          <w:szCs w:val="20"/>
        </w:rPr>
        <w:t>Foster JM, Hoshi H, Gibbs JF, Iyer R, Javle M, Chu Q, et al. Gallbladder cancer: Defining t</w:t>
      </w:r>
      <w:r>
        <w:rPr>
          <w:rFonts w:asciiTheme="majorBidi" w:hAnsiTheme="majorBidi" w:cstheme="majorBidi"/>
          <w:sz w:val="20"/>
          <w:szCs w:val="20"/>
        </w:rPr>
        <w:t xml:space="preserve">he indications for primary radical resection and radical re-resection. Ann Surg Oncol. 2007;14(2):833-40.  doi: 10.1245/s10434-006-9097-6. </w:t>
      </w:r>
    </w:p>
    <w:p w:rsidR="00A53D17" w:rsidRDefault="0010573C" w:rsidP="006A1E2C">
      <w:pPr>
        <w:pStyle w:val="ListParagraph"/>
        <w:numPr>
          <w:ilvl w:val="0"/>
          <w:numId w:val="1"/>
        </w:numPr>
        <w:ind w:hanging="578"/>
        <w:jc w:val="both"/>
        <w:rPr>
          <w:rFonts w:asciiTheme="majorBidi" w:hAnsiTheme="majorBidi" w:cstheme="majorBidi"/>
          <w:sz w:val="20"/>
          <w:szCs w:val="20"/>
        </w:rPr>
      </w:pPr>
      <w:r>
        <w:rPr>
          <w:rFonts w:asciiTheme="majorBidi" w:hAnsiTheme="majorBidi" w:cstheme="majorBidi"/>
          <w:sz w:val="20"/>
          <w:szCs w:val="20"/>
        </w:rPr>
        <w:t>Fong Y, Wagman L, Gonen M, Crawford J, Reed W, Swanson R, et al. Evidence-based gallbladder cancer staging: changing</w:t>
      </w:r>
      <w:r>
        <w:rPr>
          <w:rFonts w:asciiTheme="majorBidi" w:hAnsiTheme="majorBidi" w:cstheme="majorBidi"/>
          <w:sz w:val="20"/>
          <w:szCs w:val="20"/>
        </w:rPr>
        <w:t xml:space="preserve"> cancer staging by analysis of data from the National Cancer Database. Ann Surg. 2006;243(6):767-71;discussion 771-4. doi: 10.1097/01.sla.0000219737.81943.4e.</w:t>
      </w:r>
    </w:p>
    <w:p w:rsidR="00A53D17" w:rsidRDefault="0010573C" w:rsidP="006A1E2C">
      <w:pPr>
        <w:pStyle w:val="ListParagraph"/>
        <w:numPr>
          <w:ilvl w:val="0"/>
          <w:numId w:val="1"/>
        </w:numPr>
        <w:ind w:hanging="578"/>
        <w:jc w:val="both"/>
        <w:rPr>
          <w:rFonts w:asciiTheme="majorBidi" w:hAnsiTheme="majorBidi" w:cstheme="majorBidi"/>
          <w:sz w:val="20"/>
          <w:szCs w:val="20"/>
        </w:rPr>
      </w:pPr>
      <w:r>
        <w:rPr>
          <w:rFonts w:asciiTheme="majorBidi" w:hAnsiTheme="majorBidi" w:cstheme="majorBidi"/>
          <w:sz w:val="20"/>
          <w:szCs w:val="20"/>
        </w:rPr>
        <w:t>Yamaguchi K, Chijiiwa K, Saiki S, Nishihara K, Takashima M, Kawakami K, et al. Retrospective anal</w:t>
      </w:r>
      <w:r>
        <w:rPr>
          <w:rFonts w:asciiTheme="majorBidi" w:hAnsiTheme="majorBidi" w:cstheme="majorBidi"/>
          <w:sz w:val="20"/>
          <w:szCs w:val="20"/>
        </w:rPr>
        <w:t xml:space="preserve">ysis of 70 operations for gallbladder carcinoma. Br J Surg. 1997;84(2):200-4. </w:t>
      </w:r>
    </w:p>
    <w:p w:rsidR="00A53D17" w:rsidRDefault="0010573C" w:rsidP="006A1E2C">
      <w:pPr>
        <w:pStyle w:val="ListParagraph"/>
        <w:numPr>
          <w:ilvl w:val="0"/>
          <w:numId w:val="1"/>
        </w:numPr>
        <w:ind w:hanging="578"/>
        <w:jc w:val="both"/>
        <w:rPr>
          <w:rFonts w:asciiTheme="majorBidi" w:hAnsiTheme="majorBidi" w:cstheme="majorBidi"/>
          <w:sz w:val="20"/>
          <w:szCs w:val="20"/>
        </w:rPr>
      </w:pPr>
      <w:r>
        <w:rPr>
          <w:rFonts w:asciiTheme="majorBidi" w:hAnsiTheme="majorBidi" w:cstheme="majorBidi"/>
          <w:sz w:val="20"/>
          <w:szCs w:val="20"/>
        </w:rPr>
        <w:t>Perpetuo MD, Valdivieso M, Heilbrun LK, Nelson RS, Connor T, Bodey GP. Natural history study of gallbladder cancer: a review of 36 years experience at M. D. Anderson Hospital an</w:t>
      </w:r>
      <w:r>
        <w:rPr>
          <w:rFonts w:asciiTheme="majorBidi" w:hAnsiTheme="majorBidi" w:cstheme="majorBidi"/>
          <w:sz w:val="20"/>
          <w:szCs w:val="20"/>
        </w:rPr>
        <w:t xml:space="preserve">d Tumor Institute. Cancer. 1978;42(1):330-5. doi: 10.1002/1097-0142(197807)42:1&lt;330::aid-cncr2820420150&gt;3.0.co;2-f. </w:t>
      </w:r>
    </w:p>
    <w:p w:rsidR="00A53D17" w:rsidRDefault="0010573C" w:rsidP="006A1E2C">
      <w:pPr>
        <w:pStyle w:val="ListParagraph"/>
        <w:numPr>
          <w:ilvl w:val="0"/>
          <w:numId w:val="1"/>
        </w:numPr>
        <w:ind w:hanging="578"/>
        <w:jc w:val="both"/>
        <w:rPr>
          <w:rFonts w:asciiTheme="majorBidi" w:hAnsiTheme="majorBidi" w:cstheme="majorBidi"/>
          <w:sz w:val="20"/>
          <w:szCs w:val="20"/>
        </w:rPr>
      </w:pPr>
      <w:r>
        <w:rPr>
          <w:rFonts w:asciiTheme="majorBidi" w:hAnsiTheme="majorBidi" w:cstheme="majorBidi"/>
          <w:sz w:val="20"/>
          <w:szCs w:val="20"/>
        </w:rPr>
        <w:t>Hueman MT, Vollmer CM Jr, Pawlik TM. Evolving treatment strategies for gallbladder cancer. Ann Surg Oncol. 2009;16(8):2101-15.  doi: 10.124</w:t>
      </w:r>
      <w:r>
        <w:rPr>
          <w:rFonts w:asciiTheme="majorBidi" w:hAnsiTheme="majorBidi" w:cstheme="majorBidi"/>
          <w:sz w:val="20"/>
          <w:szCs w:val="20"/>
        </w:rPr>
        <w:t>5/s10434-009-0538-x</w:t>
      </w:r>
    </w:p>
    <w:p w:rsidR="00A53D17" w:rsidRDefault="0010573C" w:rsidP="006A1E2C">
      <w:pPr>
        <w:pStyle w:val="ListParagraph"/>
        <w:numPr>
          <w:ilvl w:val="0"/>
          <w:numId w:val="1"/>
        </w:numPr>
        <w:ind w:hanging="578"/>
        <w:jc w:val="both"/>
        <w:rPr>
          <w:rFonts w:asciiTheme="majorBidi" w:hAnsiTheme="majorBidi" w:cstheme="majorBidi"/>
          <w:sz w:val="20"/>
          <w:szCs w:val="20"/>
        </w:rPr>
      </w:pPr>
      <w:r>
        <w:rPr>
          <w:rFonts w:asciiTheme="majorBidi" w:hAnsiTheme="majorBidi" w:cstheme="majorBidi"/>
          <w:sz w:val="20"/>
          <w:szCs w:val="20"/>
        </w:rPr>
        <w:t xml:space="preserve">Srivastava K, Srivastava A, Mittal B. Potential biomarkers in gallbladder cancer: present status and future directions. Biomarkers. 2013;18(1):1-9.  doi: 10.3109/1354750X.2012.717105. </w:t>
      </w:r>
    </w:p>
    <w:p w:rsidR="00A53D17" w:rsidRDefault="0010573C" w:rsidP="006A1E2C">
      <w:pPr>
        <w:pStyle w:val="ListParagraph"/>
        <w:numPr>
          <w:ilvl w:val="0"/>
          <w:numId w:val="1"/>
        </w:numPr>
        <w:ind w:hanging="578"/>
        <w:jc w:val="both"/>
        <w:rPr>
          <w:rFonts w:asciiTheme="majorBidi" w:hAnsiTheme="majorBidi" w:cstheme="majorBidi"/>
          <w:sz w:val="20"/>
          <w:szCs w:val="20"/>
        </w:rPr>
      </w:pPr>
      <w:r>
        <w:rPr>
          <w:rFonts w:asciiTheme="majorBidi" w:hAnsiTheme="majorBidi" w:cstheme="majorBidi"/>
          <w:sz w:val="20"/>
          <w:szCs w:val="20"/>
        </w:rPr>
        <w:t>Zhang L, Miao R, Zhang X, Chen W, Zhou Y, Wang R, Z</w:t>
      </w:r>
      <w:r>
        <w:rPr>
          <w:rFonts w:asciiTheme="majorBidi" w:hAnsiTheme="majorBidi" w:cstheme="majorBidi"/>
          <w:sz w:val="20"/>
          <w:szCs w:val="20"/>
        </w:rPr>
        <w:t xml:space="preserve">hang R, Pang Q, Xu X, Liu C. Exploring the diagnosis markers for gallbladder cancer based on clinical data. Front Med. 2015;9(3):350-5.  doi: 10.1007/s11684-015-0402-2. </w:t>
      </w:r>
    </w:p>
    <w:p w:rsidR="00A53D17" w:rsidRDefault="0010573C" w:rsidP="006A1E2C">
      <w:pPr>
        <w:pStyle w:val="ListParagraph"/>
        <w:numPr>
          <w:ilvl w:val="0"/>
          <w:numId w:val="1"/>
        </w:numPr>
        <w:ind w:hanging="578"/>
        <w:jc w:val="both"/>
        <w:rPr>
          <w:rFonts w:asciiTheme="majorBidi" w:hAnsiTheme="majorBidi" w:cstheme="majorBidi"/>
          <w:sz w:val="20"/>
          <w:szCs w:val="20"/>
        </w:rPr>
      </w:pPr>
      <w:r>
        <w:rPr>
          <w:rFonts w:asciiTheme="majorBidi" w:hAnsiTheme="majorBidi" w:cstheme="majorBidi"/>
          <w:sz w:val="20"/>
          <w:szCs w:val="20"/>
        </w:rPr>
        <w:t>Paramanathan A, Saxena A, Morris DL. A systematic review and meta-analysis on the impa</w:t>
      </w:r>
      <w:r>
        <w:rPr>
          <w:rFonts w:asciiTheme="majorBidi" w:hAnsiTheme="majorBidi" w:cstheme="majorBidi"/>
          <w:sz w:val="20"/>
          <w:szCs w:val="20"/>
        </w:rPr>
        <w:t xml:space="preserve">ct of pre-operative neutrophil lymphocyte ratio on long term outcomes after curative intent resection of solid tumours. Surg Oncol. 2014;23(1):31-9. doi: 10.1016/j.suronc.2013.12.001. </w:t>
      </w:r>
    </w:p>
    <w:p w:rsidR="00A53D17" w:rsidRDefault="0010573C" w:rsidP="006A1E2C">
      <w:pPr>
        <w:pStyle w:val="ListParagraph"/>
        <w:numPr>
          <w:ilvl w:val="0"/>
          <w:numId w:val="1"/>
        </w:numPr>
        <w:ind w:hanging="578"/>
        <w:jc w:val="both"/>
        <w:rPr>
          <w:rFonts w:asciiTheme="majorBidi" w:hAnsiTheme="majorBidi" w:cstheme="majorBidi"/>
          <w:sz w:val="20"/>
          <w:szCs w:val="20"/>
        </w:rPr>
      </w:pPr>
      <w:r>
        <w:rPr>
          <w:rFonts w:asciiTheme="majorBidi" w:hAnsiTheme="majorBidi" w:cstheme="majorBidi"/>
          <w:sz w:val="20"/>
          <w:szCs w:val="20"/>
        </w:rPr>
        <w:t>Ong SL, Garcea G, Thomasset SC, Neal CP, Lloyd DM, Berry DP, Dennison A</w:t>
      </w:r>
      <w:r>
        <w:rPr>
          <w:rFonts w:asciiTheme="majorBidi" w:hAnsiTheme="majorBidi" w:cstheme="majorBidi"/>
          <w:sz w:val="20"/>
          <w:szCs w:val="20"/>
        </w:rPr>
        <w:t xml:space="preserve">R. Ten-year experience in the management of gallbladder cancer from a single hepatobiliary and pancreatic centre with review of the literature. HPB (Oxford). </w:t>
      </w:r>
      <w:r>
        <w:rPr>
          <w:rFonts w:asciiTheme="majorBidi" w:hAnsiTheme="majorBidi" w:cstheme="majorBidi"/>
          <w:sz w:val="20"/>
          <w:szCs w:val="20"/>
        </w:rPr>
        <w:lastRenderedPageBreak/>
        <w:t xml:space="preserve">2008;10(6):446-58. doi: 10.1080/13651820802392346. </w:t>
      </w:r>
    </w:p>
    <w:p w:rsidR="00A53D17" w:rsidRDefault="0010573C" w:rsidP="006A1E2C">
      <w:pPr>
        <w:pStyle w:val="ListParagraph"/>
        <w:numPr>
          <w:ilvl w:val="0"/>
          <w:numId w:val="1"/>
        </w:numPr>
        <w:ind w:hanging="578"/>
        <w:jc w:val="both"/>
        <w:rPr>
          <w:rFonts w:asciiTheme="majorBidi" w:hAnsiTheme="majorBidi" w:cstheme="majorBidi"/>
          <w:sz w:val="20"/>
          <w:szCs w:val="20"/>
        </w:rPr>
      </w:pPr>
      <w:r>
        <w:rPr>
          <w:rFonts w:asciiTheme="majorBidi" w:hAnsiTheme="majorBidi" w:cstheme="majorBidi"/>
          <w:sz w:val="20"/>
          <w:szCs w:val="20"/>
        </w:rPr>
        <w:t>Spolverato G, Maqsood H, Kim Y, Margonis G, Lu</w:t>
      </w:r>
      <w:r>
        <w:rPr>
          <w:rFonts w:asciiTheme="majorBidi" w:hAnsiTheme="majorBidi" w:cstheme="majorBidi"/>
          <w:sz w:val="20"/>
          <w:szCs w:val="20"/>
        </w:rPr>
        <w:t xml:space="preserve">o T, Ejaz A, et al. Neutrophil-lymphocyte and platelet-lymphocyte ratio in patients after resection for hepato-pancreatico-biliary malignancies. J Surg Oncol. 2015;111(7):868-74. doi: 10.1002/jso.23900. </w:t>
      </w:r>
    </w:p>
    <w:p w:rsidR="00A53D17" w:rsidRDefault="0010573C" w:rsidP="006A1E2C">
      <w:pPr>
        <w:pStyle w:val="ListParagraph"/>
        <w:numPr>
          <w:ilvl w:val="0"/>
          <w:numId w:val="1"/>
        </w:numPr>
        <w:ind w:hanging="578"/>
        <w:jc w:val="both"/>
        <w:rPr>
          <w:rFonts w:asciiTheme="majorBidi" w:hAnsiTheme="majorBidi" w:cstheme="majorBidi"/>
          <w:sz w:val="20"/>
          <w:szCs w:val="20"/>
        </w:rPr>
      </w:pPr>
      <w:r>
        <w:rPr>
          <w:rFonts w:asciiTheme="majorBidi" w:hAnsiTheme="majorBidi" w:cstheme="majorBidi"/>
          <w:sz w:val="20"/>
          <w:szCs w:val="20"/>
        </w:rPr>
        <w:t>Koshiol J, Castro F, Kemp TJ, Gao YT, Roa JC, Wang B</w:t>
      </w:r>
      <w:r>
        <w:rPr>
          <w:rFonts w:asciiTheme="majorBidi" w:hAnsiTheme="majorBidi" w:cstheme="majorBidi"/>
          <w:sz w:val="20"/>
          <w:szCs w:val="20"/>
        </w:rPr>
        <w:t xml:space="preserve">, et al. Association of inflammatory and other immune markers with gallbladder cancer: Results from two independent case-control studies. Cytokine. 2016;83:217-225. doi: 10.1016/j.cyto.2016.05.003. </w:t>
      </w:r>
    </w:p>
    <w:p w:rsidR="00A53D17" w:rsidRDefault="0010573C" w:rsidP="006A1E2C">
      <w:pPr>
        <w:pStyle w:val="ListParagraph"/>
        <w:numPr>
          <w:ilvl w:val="0"/>
          <w:numId w:val="1"/>
        </w:numPr>
        <w:ind w:hanging="578"/>
        <w:jc w:val="both"/>
        <w:rPr>
          <w:rFonts w:asciiTheme="majorBidi" w:hAnsiTheme="majorBidi" w:cstheme="majorBidi"/>
          <w:sz w:val="20"/>
          <w:szCs w:val="20"/>
        </w:rPr>
      </w:pPr>
      <w:r>
        <w:rPr>
          <w:rFonts w:asciiTheme="majorBidi" w:hAnsiTheme="majorBidi" w:cstheme="majorBidi"/>
          <w:sz w:val="20"/>
          <w:szCs w:val="20"/>
        </w:rPr>
        <w:t>Zhang Y, Jiang C, Li J, Sun J, Qu X. Prognostic significa</w:t>
      </w:r>
      <w:r>
        <w:rPr>
          <w:rFonts w:asciiTheme="majorBidi" w:hAnsiTheme="majorBidi" w:cstheme="majorBidi"/>
          <w:sz w:val="20"/>
          <w:szCs w:val="20"/>
        </w:rPr>
        <w:t xml:space="preserve">nce of preoperative neutrophil/lymphocyte ratio and platelet/lymphocyte ratio in patients with gallbladder carcinoma. Clin Transl Oncol. 2015;17(10):810-8.  doi: 10.1007/s12094-015-1310-2. </w:t>
      </w:r>
    </w:p>
    <w:p w:rsidR="00A53D17" w:rsidRDefault="0010573C" w:rsidP="006A1E2C">
      <w:pPr>
        <w:pStyle w:val="ListParagraph"/>
        <w:numPr>
          <w:ilvl w:val="0"/>
          <w:numId w:val="1"/>
        </w:numPr>
        <w:ind w:hanging="578"/>
        <w:jc w:val="both"/>
        <w:rPr>
          <w:rFonts w:asciiTheme="majorBidi" w:hAnsiTheme="majorBidi" w:cstheme="majorBidi"/>
          <w:sz w:val="20"/>
          <w:szCs w:val="20"/>
        </w:rPr>
      </w:pPr>
      <w:r>
        <w:rPr>
          <w:rFonts w:asciiTheme="majorBidi" w:hAnsiTheme="majorBidi" w:cstheme="majorBidi"/>
          <w:sz w:val="20"/>
          <w:szCs w:val="20"/>
        </w:rPr>
        <w:t>McNamara MG, Templeton AJ, Maganti M, Walter T, Horgan AM, McKeeve</w:t>
      </w:r>
      <w:r>
        <w:rPr>
          <w:rFonts w:asciiTheme="majorBidi" w:hAnsiTheme="majorBidi" w:cstheme="majorBidi"/>
          <w:sz w:val="20"/>
          <w:szCs w:val="20"/>
        </w:rPr>
        <w:t xml:space="preserve">r L, Min T, Amir E, Knox JJ. Neutrophil/lymphocyte ratio as a prognostic factor in biliary tract cancer. Eur J Cancer. 2014;50(9):1581-9.  doi: 10.1016/j.ejca.2014.02.015. </w:t>
      </w:r>
    </w:p>
    <w:p w:rsidR="00A53D17" w:rsidRDefault="0010573C" w:rsidP="006A1E2C">
      <w:pPr>
        <w:pStyle w:val="ListParagraph"/>
        <w:numPr>
          <w:ilvl w:val="0"/>
          <w:numId w:val="1"/>
        </w:numPr>
        <w:ind w:hanging="578"/>
        <w:jc w:val="both"/>
        <w:rPr>
          <w:rFonts w:asciiTheme="majorBidi" w:hAnsiTheme="majorBidi" w:cstheme="majorBidi"/>
          <w:sz w:val="20"/>
          <w:szCs w:val="20"/>
        </w:rPr>
      </w:pPr>
      <w:r>
        <w:rPr>
          <w:rFonts w:asciiTheme="majorBidi" w:hAnsiTheme="majorBidi" w:cstheme="majorBidi"/>
          <w:sz w:val="20"/>
          <w:szCs w:val="20"/>
        </w:rPr>
        <w:t>Zhang L, Wang R, Chen W, Xu X, Dong S, Fan H, et al. Prognostic significance of neu</w:t>
      </w:r>
      <w:r>
        <w:rPr>
          <w:rFonts w:asciiTheme="majorBidi" w:hAnsiTheme="majorBidi" w:cstheme="majorBidi"/>
          <w:sz w:val="20"/>
          <w:szCs w:val="20"/>
        </w:rPr>
        <w:t xml:space="preserve">trophil to lymphocyte ratio in patients with gallbladder carcinoma. HPB (Oxford). 2016;18(7):600-7.  doi: 10.1016/j.hpb.2016.03.608. </w:t>
      </w:r>
    </w:p>
    <w:p w:rsidR="00A53D17" w:rsidRDefault="0010573C" w:rsidP="006A1E2C">
      <w:pPr>
        <w:pStyle w:val="ListParagraph"/>
        <w:numPr>
          <w:ilvl w:val="0"/>
          <w:numId w:val="1"/>
        </w:numPr>
        <w:ind w:hanging="578"/>
        <w:jc w:val="both"/>
        <w:rPr>
          <w:rFonts w:asciiTheme="majorBidi" w:hAnsiTheme="majorBidi" w:cstheme="majorBidi"/>
          <w:sz w:val="20"/>
          <w:szCs w:val="20"/>
        </w:rPr>
      </w:pPr>
      <w:r>
        <w:rPr>
          <w:rFonts w:asciiTheme="majorBidi" w:hAnsiTheme="majorBidi" w:cstheme="majorBidi"/>
          <w:sz w:val="20"/>
          <w:szCs w:val="20"/>
        </w:rPr>
        <w:t xml:space="preserve">Beal, E.W., et al., </w:t>
      </w:r>
      <w:r>
        <w:rPr>
          <w:rFonts w:asciiTheme="majorBidi" w:hAnsiTheme="majorBidi" w:cstheme="majorBidi"/>
          <w:i/>
          <w:iCs/>
          <w:sz w:val="20"/>
          <w:szCs w:val="20"/>
        </w:rPr>
        <w:t>Elevated NLR in gallbladder cancer and cholangiocarcinoma - making bad cancers even worse: results fro</w:t>
      </w:r>
      <w:r>
        <w:rPr>
          <w:rFonts w:asciiTheme="majorBidi" w:hAnsiTheme="majorBidi" w:cstheme="majorBidi"/>
          <w:i/>
          <w:iCs/>
          <w:sz w:val="20"/>
          <w:szCs w:val="20"/>
        </w:rPr>
        <w:t>m the US Extrahepatic Biliary Malignancy Consortium</w:t>
      </w:r>
      <w:r>
        <w:rPr>
          <w:rFonts w:asciiTheme="majorBidi" w:hAnsiTheme="majorBidi" w:cstheme="majorBidi"/>
          <w:sz w:val="20"/>
          <w:szCs w:val="20"/>
        </w:rPr>
        <w:t xml:space="preserve"> </w:t>
      </w:r>
    </w:p>
    <w:p w:rsidR="00A53D17" w:rsidRDefault="0010573C" w:rsidP="006A1E2C">
      <w:pPr>
        <w:pStyle w:val="ListParagraph"/>
        <w:numPr>
          <w:ilvl w:val="0"/>
          <w:numId w:val="1"/>
        </w:numPr>
        <w:ind w:hanging="578"/>
        <w:jc w:val="both"/>
        <w:rPr>
          <w:rFonts w:asciiTheme="majorBidi" w:hAnsiTheme="majorBidi" w:cstheme="majorBidi"/>
          <w:sz w:val="20"/>
          <w:szCs w:val="20"/>
        </w:rPr>
      </w:pPr>
      <w:r>
        <w:rPr>
          <w:rFonts w:asciiTheme="majorBidi" w:hAnsiTheme="majorBidi" w:cstheme="majorBidi"/>
          <w:sz w:val="20"/>
          <w:szCs w:val="20"/>
        </w:rPr>
        <w:t xml:space="preserve">Rupesh, P., P. Manoj, and S. Vijay Kumar, </w:t>
      </w:r>
      <w:r>
        <w:rPr>
          <w:rFonts w:asciiTheme="majorBidi" w:hAnsiTheme="majorBidi" w:cstheme="majorBidi"/>
          <w:i/>
          <w:iCs/>
          <w:sz w:val="20"/>
          <w:szCs w:val="20"/>
        </w:rPr>
        <w:t>Biomarkers in carcinoma of the gallbladder.</w:t>
      </w:r>
      <w:r>
        <w:rPr>
          <w:rFonts w:asciiTheme="majorBidi" w:hAnsiTheme="majorBidi" w:cstheme="majorBidi"/>
          <w:sz w:val="20"/>
          <w:szCs w:val="20"/>
        </w:rPr>
        <w:t xml:space="preserve"> Expert Opin Med Diagn. 2008;</w:t>
      </w:r>
      <w:r>
        <w:rPr>
          <w:rFonts w:asciiTheme="majorBidi" w:hAnsiTheme="majorBidi" w:cstheme="majorBidi"/>
          <w:b/>
          <w:bCs/>
          <w:sz w:val="20"/>
          <w:szCs w:val="20"/>
        </w:rPr>
        <w:t>2</w:t>
      </w:r>
      <w:r>
        <w:rPr>
          <w:rFonts w:asciiTheme="majorBidi" w:hAnsiTheme="majorBidi" w:cstheme="majorBidi"/>
          <w:sz w:val="20"/>
          <w:szCs w:val="20"/>
        </w:rPr>
        <w:t>(5):511-26.</w:t>
      </w:r>
    </w:p>
    <w:p w:rsidR="00A53D17" w:rsidRDefault="0010573C" w:rsidP="006A1E2C">
      <w:pPr>
        <w:pStyle w:val="ListParagraph"/>
        <w:numPr>
          <w:ilvl w:val="0"/>
          <w:numId w:val="1"/>
        </w:numPr>
        <w:ind w:hanging="578"/>
        <w:jc w:val="both"/>
        <w:rPr>
          <w:rFonts w:asciiTheme="majorBidi" w:hAnsiTheme="majorBidi" w:cstheme="majorBidi"/>
          <w:sz w:val="20"/>
          <w:szCs w:val="20"/>
        </w:rPr>
      </w:pPr>
      <w:r>
        <w:rPr>
          <w:rFonts w:asciiTheme="majorBidi" w:hAnsiTheme="majorBidi" w:cstheme="majorBidi"/>
          <w:sz w:val="20"/>
          <w:szCs w:val="20"/>
        </w:rPr>
        <w:t xml:space="preserve">Kohya N, Kitahara K, Miyazaki K. Rational therapeutic strategy for T2 </w:t>
      </w:r>
      <w:r>
        <w:rPr>
          <w:rFonts w:asciiTheme="majorBidi" w:hAnsiTheme="majorBidi" w:cstheme="majorBidi"/>
          <w:sz w:val="20"/>
          <w:szCs w:val="20"/>
        </w:rPr>
        <w:t>gallbladder carcinoma based on tumor spread. World J Gastroenterol. 2010;16(28):3567-72.  doi: 10.3748/wjg.v16.i28.3567.</w:t>
      </w:r>
    </w:p>
    <w:p w:rsidR="00A53D17" w:rsidRDefault="0010573C" w:rsidP="006A1E2C">
      <w:pPr>
        <w:pStyle w:val="ListParagraph"/>
        <w:numPr>
          <w:ilvl w:val="0"/>
          <w:numId w:val="1"/>
        </w:numPr>
        <w:ind w:hanging="578"/>
        <w:jc w:val="both"/>
        <w:rPr>
          <w:rFonts w:asciiTheme="majorBidi" w:hAnsiTheme="majorBidi" w:cstheme="majorBidi"/>
          <w:sz w:val="20"/>
          <w:szCs w:val="20"/>
        </w:rPr>
      </w:pPr>
      <w:r>
        <w:rPr>
          <w:rFonts w:asciiTheme="majorBidi" w:hAnsiTheme="majorBidi" w:cstheme="majorBidi"/>
          <w:sz w:val="20"/>
          <w:szCs w:val="20"/>
        </w:rPr>
        <w:t>Jering MZ, Marolen KN, Shotwell MS, Denton JN, Sandberg WS, Ehrenfeld JM. Combining the ASA Physical Classification System and Continuo</w:t>
      </w:r>
      <w:r>
        <w:rPr>
          <w:rFonts w:asciiTheme="majorBidi" w:hAnsiTheme="majorBidi" w:cstheme="majorBidi"/>
          <w:sz w:val="20"/>
          <w:szCs w:val="20"/>
        </w:rPr>
        <w:t xml:space="preserve">us Intraoperative Surgical Apgar Score Measurement in Predicting Postoperative Risk. J Med Syst. </w:t>
      </w:r>
      <w:r>
        <w:rPr>
          <w:rFonts w:asciiTheme="majorBidi" w:hAnsiTheme="majorBidi" w:cstheme="majorBidi"/>
          <w:sz w:val="20"/>
          <w:szCs w:val="20"/>
        </w:rPr>
        <w:lastRenderedPageBreak/>
        <w:t xml:space="preserve">2015;39(11):147.  doi: 10.1007/s10916-015-0332-1. </w:t>
      </w:r>
    </w:p>
    <w:p w:rsidR="00A53D17" w:rsidRDefault="0010573C" w:rsidP="006A1E2C">
      <w:pPr>
        <w:pStyle w:val="ListParagraph"/>
        <w:numPr>
          <w:ilvl w:val="0"/>
          <w:numId w:val="1"/>
        </w:numPr>
        <w:ind w:hanging="578"/>
        <w:jc w:val="both"/>
        <w:rPr>
          <w:rFonts w:asciiTheme="majorBidi" w:hAnsiTheme="majorBidi" w:cstheme="majorBidi"/>
          <w:sz w:val="20"/>
          <w:szCs w:val="20"/>
        </w:rPr>
      </w:pPr>
      <w:r>
        <w:rPr>
          <w:rFonts w:asciiTheme="majorBidi" w:hAnsiTheme="majorBidi" w:cstheme="majorBidi"/>
          <w:sz w:val="20"/>
          <w:szCs w:val="20"/>
        </w:rPr>
        <w:t>West HJ, Jin JO. JAMA Oncology Patient Page. Performance Status in Patients With Cancer. JAMA Oncol. 2015;1(</w:t>
      </w:r>
      <w:r>
        <w:rPr>
          <w:rFonts w:asciiTheme="majorBidi" w:hAnsiTheme="majorBidi" w:cstheme="majorBidi"/>
          <w:sz w:val="20"/>
          <w:szCs w:val="20"/>
        </w:rPr>
        <w:t xml:space="preserve">7):998.  doi: 10.1001/jamaoncol.2015.3113. </w:t>
      </w:r>
    </w:p>
    <w:p w:rsidR="00A53D17" w:rsidRDefault="0010573C" w:rsidP="006A1E2C">
      <w:pPr>
        <w:pStyle w:val="ListParagraph"/>
        <w:numPr>
          <w:ilvl w:val="0"/>
          <w:numId w:val="1"/>
        </w:numPr>
        <w:ind w:hanging="578"/>
        <w:jc w:val="both"/>
        <w:rPr>
          <w:rFonts w:asciiTheme="majorBidi" w:hAnsiTheme="majorBidi" w:cstheme="majorBidi"/>
          <w:sz w:val="20"/>
          <w:szCs w:val="20"/>
        </w:rPr>
      </w:pPr>
      <w:r>
        <w:rPr>
          <w:rFonts w:asciiTheme="majorBidi" w:hAnsiTheme="majorBidi" w:cstheme="majorBidi"/>
          <w:sz w:val="20"/>
          <w:szCs w:val="20"/>
        </w:rPr>
        <w:t xml:space="preserve">Shaffer EA. Gallstone disease: Epidemiology of gallbladder stone disease. Best Pract Res Clin Gastroenterol. 2006;20(6):981-96. doi: 10.1016/j.bpg.2006.05.004. </w:t>
      </w:r>
    </w:p>
    <w:p w:rsidR="00A53D17" w:rsidRDefault="0010573C" w:rsidP="006A1E2C">
      <w:pPr>
        <w:pStyle w:val="ListParagraph"/>
        <w:numPr>
          <w:ilvl w:val="0"/>
          <w:numId w:val="1"/>
        </w:numPr>
        <w:ind w:hanging="578"/>
        <w:jc w:val="both"/>
        <w:rPr>
          <w:rFonts w:asciiTheme="majorBidi" w:hAnsiTheme="majorBidi" w:cstheme="majorBidi"/>
          <w:sz w:val="20"/>
          <w:szCs w:val="20"/>
        </w:rPr>
      </w:pPr>
      <w:r>
        <w:rPr>
          <w:rFonts w:asciiTheme="majorBidi" w:hAnsiTheme="majorBidi" w:cstheme="majorBidi"/>
          <w:sz w:val="20"/>
          <w:szCs w:val="20"/>
        </w:rPr>
        <w:t xml:space="preserve">Bhatti I, Peacock O, Lloyd G, Larvin M, Hall RI. Preoperative hematologic markers as independent predictors of prognosis in resected pancreatic ductal adenocarcinoma: neutrophil-lymphocyte versus platelet-lymphocyte ratio. Am J Surg. 2010; 200(2):197-203. </w:t>
      </w:r>
      <w:r>
        <w:rPr>
          <w:rFonts w:asciiTheme="majorBidi" w:hAnsiTheme="majorBidi" w:cstheme="majorBidi"/>
          <w:sz w:val="20"/>
          <w:szCs w:val="20"/>
        </w:rPr>
        <w:t xml:space="preserve">doi: 10.1016/j.amjsurg.2009.08.041. </w:t>
      </w:r>
    </w:p>
    <w:p w:rsidR="00A53D17" w:rsidRDefault="0010573C" w:rsidP="006A1E2C">
      <w:pPr>
        <w:pStyle w:val="ListParagraph"/>
        <w:numPr>
          <w:ilvl w:val="0"/>
          <w:numId w:val="1"/>
        </w:numPr>
        <w:ind w:hanging="578"/>
        <w:jc w:val="both"/>
        <w:rPr>
          <w:rFonts w:asciiTheme="majorBidi" w:hAnsiTheme="majorBidi" w:cstheme="majorBidi"/>
          <w:sz w:val="20"/>
          <w:szCs w:val="20"/>
        </w:rPr>
      </w:pPr>
      <w:r>
        <w:rPr>
          <w:rFonts w:asciiTheme="majorBidi" w:hAnsiTheme="majorBidi" w:cstheme="majorBidi"/>
          <w:sz w:val="20"/>
          <w:szCs w:val="20"/>
        </w:rPr>
        <w:t xml:space="preserve">Wang YF, Feng FL, Zhao XH, Ye ZX, Zeng HP, Li Z, et al. Combined detection tumor markers for diagnosis and prognosis of </w:t>
      </w:r>
      <w:r>
        <w:rPr>
          <w:rFonts w:asciiTheme="majorBidi" w:hAnsiTheme="majorBidi" w:cstheme="majorBidi"/>
          <w:sz w:val="20"/>
          <w:szCs w:val="20"/>
        </w:rPr>
        <w:lastRenderedPageBreak/>
        <w:t xml:space="preserve">gallbladder cancer. World J Gastroenterol. 2014;20(14):4085-92. doi: 10.3748/wjg.v20.i14.4085. </w:t>
      </w:r>
    </w:p>
    <w:p w:rsidR="00A53D17" w:rsidRDefault="0010573C" w:rsidP="006A1E2C">
      <w:pPr>
        <w:pStyle w:val="ListParagraph"/>
        <w:numPr>
          <w:ilvl w:val="0"/>
          <w:numId w:val="1"/>
        </w:numPr>
        <w:ind w:hanging="578"/>
        <w:jc w:val="both"/>
        <w:rPr>
          <w:rFonts w:asciiTheme="majorBidi" w:hAnsiTheme="majorBidi" w:cstheme="majorBidi"/>
          <w:color w:val="212121"/>
          <w:sz w:val="20"/>
          <w:szCs w:val="20"/>
          <w:shd w:val="clear" w:color="auto" w:fill="FFFFFF"/>
        </w:rPr>
      </w:pPr>
      <w:r>
        <w:rPr>
          <w:rFonts w:asciiTheme="majorBidi" w:hAnsiTheme="majorBidi" w:cstheme="majorBidi"/>
          <w:color w:val="212121"/>
          <w:sz w:val="20"/>
          <w:szCs w:val="20"/>
          <w:shd w:val="clear" w:color="auto" w:fill="FFFFFF"/>
        </w:rPr>
        <w:t>Cui</w:t>
      </w:r>
      <w:r>
        <w:rPr>
          <w:rFonts w:asciiTheme="majorBidi" w:hAnsiTheme="majorBidi" w:cstheme="majorBidi"/>
          <w:color w:val="212121"/>
          <w:sz w:val="20"/>
          <w:szCs w:val="20"/>
          <w:shd w:val="clear" w:color="auto" w:fill="FFFFFF"/>
        </w:rPr>
        <w:t xml:space="preserve"> X, Zhu S, Tao Z, Deng X, Wang Y, Gao Y, et al. Long-term outcomes and prognostic markers in gallbladder cancer. Medicine (Baltimore). 2018;97(28):e11396. doi: 10.1097/MD.0000000000011396. </w:t>
      </w:r>
    </w:p>
    <w:p w:rsidR="00A53D17" w:rsidRDefault="0010573C" w:rsidP="006A1E2C">
      <w:pPr>
        <w:pStyle w:val="ListParagraph"/>
        <w:numPr>
          <w:ilvl w:val="0"/>
          <w:numId w:val="1"/>
        </w:numPr>
        <w:ind w:hanging="578"/>
        <w:jc w:val="both"/>
        <w:rPr>
          <w:rFonts w:asciiTheme="majorBidi" w:hAnsiTheme="majorBidi" w:cstheme="majorBidi"/>
          <w:sz w:val="20"/>
          <w:szCs w:val="20"/>
        </w:rPr>
      </w:pPr>
      <w:r>
        <w:rPr>
          <w:rFonts w:asciiTheme="majorBidi" w:hAnsiTheme="majorBidi" w:cstheme="majorBidi"/>
          <w:sz w:val="20"/>
          <w:szCs w:val="20"/>
        </w:rPr>
        <w:t>Han D, Yang J, Xu F, Huang Q, Bai L, Wei YL, et al. Prognostic fac</w:t>
      </w:r>
      <w:r>
        <w:rPr>
          <w:rFonts w:asciiTheme="majorBidi" w:hAnsiTheme="majorBidi" w:cstheme="majorBidi"/>
          <w:sz w:val="20"/>
          <w:szCs w:val="20"/>
        </w:rPr>
        <w:t xml:space="preserve">tors in patients with gallbladder adenocarcinoma identified using competing-risks analysis: A study of cases in the SEER database. Medicine (Baltimore). 2020;99(31):e21322. doi: 10.1097/MD.0000000000021322. </w:t>
      </w:r>
    </w:p>
    <w:p w:rsidR="00A53D17" w:rsidRDefault="0010573C" w:rsidP="006A1E2C">
      <w:pPr>
        <w:pStyle w:val="ListParagraph"/>
        <w:numPr>
          <w:ilvl w:val="0"/>
          <w:numId w:val="1"/>
        </w:numPr>
        <w:ind w:hanging="578"/>
        <w:jc w:val="both"/>
        <w:rPr>
          <w:rFonts w:asciiTheme="majorBidi" w:hAnsiTheme="majorBidi" w:cstheme="majorBidi"/>
          <w:sz w:val="20"/>
          <w:szCs w:val="20"/>
        </w:rPr>
        <w:sectPr w:rsidR="00A53D17">
          <w:type w:val="continuous"/>
          <w:pgSz w:w="12240" w:h="15840"/>
          <w:pgMar w:top="1440" w:right="1440" w:bottom="1440" w:left="1440" w:header="709" w:footer="709" w:gutter="0"/>
          <w:cols w:num="2" w:space="709"/>
          <w:titlePg/>
          <w:docGrid w:linePitch="326"/>
        </w:sectPr>
      </w:pPr>
      <w:r>
        <w:rPr>
          <w:rFonts w:asciiTheme="majorBidi" w:hAnsiTheme="majorBidi" w:cstheme="majorBidi"/>
          <w:sz w:val="20"/>
          <w:szCs w:val="20"/>
        </w:rPr>
        <w:t>Xu B, Chen Z, Zhang J, Chang J</w:t>
      </w:r>
      <w:r>
        <w:rPr>
          <w:rFonts w:asciiTheme="majorBidi" w:hAnsiTheme="majorBidi" w:cstheme="majorBidi"/>
          <w:sz w:val="20"/>
          <w:szCs w:val="20"/>
        </w:rPr>
        <w:t>, Zhao W, Dong Z, et al. Prognostic Value of Peripheral Whole Blood Cell Counts Derived Indexes in Gallbladder Carcinoma: A Systematic Review and Meta-Analysis. Front Oncol. 2021;28(11):707742. doi: 10.3389/fonc.2021.707742.</w:t>
      </w:r>
    </w:p>
    <w:p w:rsidR="00A53D17" w:rsidRDefault="00A53D17">
      <w:pPr>
        <w:ind w:left="360"/>
        <w:rPr>
          <w:rFonts w:asciiTheme="majorBidi" w:hAnsiTheme="majorBidi" w:cstheme="majorBidi"/>
          <w:sz w:val="20"/>
          <w:szCs w:val="20"/>
          <w:lang w:eastAsia="zh-CN"/>
        </w:rPr>
      </w:pPr>
    </w:p>
    <w:p w:rsidR="00A53D17" w:rsidRDefault="00A53D17">
      <w:pPr>
        <w:jc w:val="both"/>
        <w:rPr>
          <w:rFonts w:asciiTheme="majorBidi" w:hAnsiTheme="majorBidi" w:cstheme="majorBidi"/>
          <w:sz w:val="20"/>
          <w:szCs w:val="20"/>
        </w:rPr>
      </w:pPr>
    </w:p>
    <w:p w:rsidR="00A53D17" w:rsidRDefault="00A53D17">
      <w:pPr>
        <w:jc w:val="both"/>
        <w:rPr>
          <w:rFonts w:asciiTheme="majorBidi" w:hAnsiTheme="majorBidi" w:cstheme="majorBidi"/>
          <w:sz w:val="20"/>
          <w:szCs w:val="20"/>
        </w:rPr>
      </w:pPr>
    </w:p>
    <w:p w:rsidR="00A53D17" w:rsidRDefault="00A53D17">
      <w:pPr>
        <w:jc w:val="both"/>
        <w:rPr>
          <w:rFonts w:asciiTheme="majorBidi" w:hAnsiTheme="majorBidi" w:cstheme="majorBidi"/>
          <w:sz w:val="20"/>
          <w:szCs w:val="20"/>
        </w:rPr>
      </w:pPr>
    </w:p>
    <w:p w:rsidR="00A53D17" w:rsidRDefault="00A53D17">
      <w:pPr>
        <w:jc w:val="both"/>
        <w:rPr>
          <w:rFonts w:asciiTheme="majorBidi" w:hAnsiTheme="majorBidi" w:cstheme="majorBidi"/>
          <w:sz w:val="20"/>
          <w:szCs w:val="20"/>
        </w:rPr>
      </w:pPr>
    </w:p>
    <w:p w:rsidR="00A53D17" w:rsidRPr="006A1E2C" w:rsidRDefault="006A1E2C">
      <w:pPr>
        <w:jc w:val="both"/>
        <w:rPr>
          <w:rFonts w:asciiTheme="majorBidi" w:hAnsiTheme="majorBidi" w:cstheme="majorBidi"/>
          <w:b/>
          <w:sz w:val="20"/>
          <w:szCs w:val="20"/>
        </w:rPr>
      </w:pPr>
      <w:r>
        <w:rPr>
          <w:sz w:val="20"/>
          <w:szCs w:val="20"/>
        </w:rPr>
        <w:t>3/22/2022</w:t>
      </w:r>
    </w:p>
    <w:sectPr w:rsidR="00A53D17" w:rsidRPr="006A1E2C" w:rsidSect="00A53D17">
      <w:type w:val="continuous"/>
      <w:pgSz w:w="12240" w:h="15840"/>
      <w:pgMar w:top="1440" w:right="1440" w:bottom="1440" w:left="1440" w:header="709" w:footer="709"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73C" w:rsidRDefault="0010573C" w:rsidP="00A53D17">
      <w:r>
        <w:separator/>
      </w:r>
    </w:p>
  </w:endnote>
  <w:endnote w:type="continuationSeparator" w:id="0">
    <w:p w:rsidR="0010573C" w:rsidRDefault="0010573C" w:rsidP="00A53D1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517896253"/>
      <w:docPartObj>
        <w:docPartGallery w:val="AutoText"/>
      </w:docPartObj>
    </w:sdtPr>
    <w:sdtContent>
      <w:p w:rsidR="00A53D17" w:rsidRDefault="00A53D17">
        <w:pPr>
          <w:pStyle w:val="Footer"/>
          <w:framePr w:wrap="auto" w:vAnchor="text" w:hAnchor="margin" w:xAlign="right" w:y="1"/>
          <w:rPr>
            <w:rStyle w:val="PageNumber"/>
          </w:rPr>
        </w:pPr>
        <w:r>
          <w:rPr>
            <w:rStyle w:val="PageNumber"/>
          </w:rPr>
          <w:fldChar w:fldCharType="begin"/>
        </w:r>
        <w:r w:rsidR="0010573C">
          <w:rPr>
            <w:rStyle w:val="PageNumber"/>
          </w:rPr>
          <w:instrText xml:space="preserve"> PAGE </w:instrText>
        </w:r>
        <w:r>
          <w:rPr>
            <w:rStyle w:val="PageNumber"/>
          </w:rPr>
          <w:fldChar w:fldCharType="end"/>
        </w:r>
      </w:p>
    </w:sdtContent>
  </w:sdt>
  <w:p w:rsidR="00A53D17" w:rsidRDefault="00A53D1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D17" w:rsidRDefault="00A53D17">
    <w:pPr>
      <w:pStyle w:val="Footer"/>
      <w:ind w:right="360"/>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v:textbox style="mso-fit-shape-to-text:t" inset="0,0,0,0">
            <w:txbxContent>
              <w:sdt>
                <w:sdtPr>
                  <w:rPr>
                    <w:rStyle w:val="PageNumber"/>
                  </w:rPr>
                  <w:id w:val="-2091760357"/>
                </w:sdtPr>
                <w:sdtContent>
                  <w:p w:rsidR="00A53D17" w:rsidRDefault="00A53D17">
                    <w:pPr>
                      <w:pStyle w:val="Footer"/>
                      <w:rPr>
                        <w:rStyle w:val="PageNumber"/>
                      </w:rPr>
                    </w:pPr>
                    <w:r>
                      <w:rPr>
                        <w:rStyle w:val="PageNumber"/>
                        <w:sz w:val="20"/>
                        <w:szCs w:val="20"/>
                      </w:rPr>
                      <w:fldChar w:fldCharType="begin"/>
                    </w:r>
                    <w:r w:rsidR="0010573C">
                      <w:rPr>
                        <w:rStyle w:val="PageNumber"/>
                        <w:sz w:val="20"/>
                        <w:szCs w:val="20"/>
                      </w:rPr>
                      <w:instrText xml:space="preserve"> PAGE </w:instrText>
                    </w:r>
                    <w:r>
                      <w:rPr>
                        <w:rStyle w:val="PageNumber"/>
                        <w:sz w:val="20"/>
                        <w:szCs w:val="20"/>
                      </w:rPr>
                      <w:fldChar w:fldCharType="separate"/>
                    </w:r>
                    <w:r w:rsidR="006A1E2C">
                      <w:rPr>
                        <w:rStyle w:val="PageNumber"/>
                        <w:noProof/>
                        <w:sz w:val="20"/>
                        <w:szCs w:val="20"/>
                      </w:rPr>
                      <w:t>17</w:t>
                    </w:r>
                    <w:r>
                      <w:rPr>
                        <w:rStyle w:val="PageNumber"/>
                        <w:sz w:val="20"/>
                        <w:szCs w:val="20"/>
                      </w:rPr>
                      <w:fldChar w:fldCharType="end"/>
                    </w:r>
                  </w:p>
                </w:sdtContent>
              </w:sdt>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D17" w:rsidRDefault="00A53D17">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A53D17" w:rsidRDefault="00A53D17">
                <w:pPr>
                  <w:pStyle w:val="Footer"/>
                </w:pPr>
                <w:r>
                  <w:rPr>
                    <w:sz w:val="20"/>
                    <w:szCs w:val="20"/>
                  </w:rPr>
                  <w:fldChar w:fldCharType="begin"/>
                </w:r>
                <w:r w:rsidR="0010573C">
                  <w:rPr>
                    <w:sz w:val="20"/>
                    <w:szCs w:val="20"/>
                  </w:rPr>
                  <w:instrText xml:space="preserve"> PAGE  \* MERGEFORMAT </w:instrText>
                </w:r>
                <w:r>
                  <w:rPr>
                    <w:sz w:val="20"/>
                    <w:szCs w:val="20"/>
                  </w:rPr>
                  <w:fldChar w:fldCharType="separate"/>
                </w:r>
                <w:r w:rsidR="006A1E2C">
                  <w:rPr>
                    <w:noProof/>
                    <w:sz w:val="20"/>
                    <w:szCs w:val="20"/>
                  </w:rPr>
                  <w:t>13</w:t>
                </w:r>
                <w:r>
                  <w:rPr>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73C" w:rsidRDefault="0010573C" w:rsidP="00A53D17">
      <w:r>
        <w:separator/>
      </w:r>
    </w:p>
  </w:footnote>
  <w:footnote w:type="continuationSeparator" w:id="0">
    <w:p w:rsidR="0010573C" w:rsidRDefault="0010573C" w:rsidP="00A53D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D17" w:rsidRDefault="0010573C">
    <w:pPr>
      <w:pBdr>
        <w:bottom w:val="thinThickMediumGap" w:sz="12" w:space="1" w:color="auto"/>
      </w:pBdr>
      <w:tabs>
        <w:tab w:val="left" w:pos="851"/>
        <w:tab w:val="right" w:pos="8364"/>
      </w:tabs>
      <w:adjustRightInd w:val="0"/>
      <w:snapToGrid w:val="0"/>
      <w:jc w:val="both"/>
      <w:rPr>
        <w:rFonts w:ascii="Calibri" w:eastAsia="Calibri" w:hAnsi="Calibri" w:cs="Arial"/>
        <w:sz w:val="22"/>
        <w:szCs w:val="22"/>
      </w:rPr>
    </w:pPr>
    <w:r>
      <w:rPr>
        <w:rFonts w:eastAsia="Calibri"/>
        <w:iCs/>
        <w:color w:val="000000"/>
        <w:sz w:val="20"/>
        <w:szCs w:val="20"/>
      </w:rPr>
      <w:tab/>
    </w:r>
    <w:r>
      <w:rPr>
        <w:rFonts w:eastAsia="Calibri"/>
        <w:sz w:val="20"/>
        <w:szCs w:val="20"/>
      </w:rPr>
      <w:t>Cancer Biology 2022;12(</w:t>
    </w:r>
    <w:r>
      <w:rPr>
        <w:rFonts w:eastAsia="Calibri" w:hint="eastAsia"/>
        <w:sz w:val="20"/>
        <w:szCs w:val="20"/>
        <w:lang w:eastAsia="zh-CN"/>
      </w:rPr>
      <w:t>1</w:t>
    </w:r>
    <w:r>
      <w:rPr>
        <w:rFonts w:eastAsia="Calibri"/>
        <w:sz w:val="20"/>
        <w:szCs w:val="20"/>
      </w:rPr>
      <w:t xml:space="preserve">) </w:t>
    </w:r>
    <w:r>
      <w:rPr>
        <w:rFonts w:eastAsia="Calibri"/>
        <w:color w:val="000000"/>
        <w:sz w:val="20"/>
        <w:szCs w:val="20"/>
      </w:rPr>
      <w:t xml:space="preserve"> </w:t>
    </w:r>
    <w:r>
      <w:rPr>
        <w:rFonts w:eastAsia="宋体"/>
        <w:color w:val="000000"/>
        <w:sz w:val="20"/>
        <w:szCs w:val="20"/>
        <w:lang w:eastAsia="zh-CN"/>
      </w:rPr>
      <w:t xml:space="preserve">      </w:t>
    </w:r>
    <w:r>
      <w:rPr>
        <w:rFonts w:eastAsia="宋体" w:hint="eastAsia"/>
        <w:color w:val="000000"/>
        <w:sz w:val="20"/>
        <w:szCs w:val="20"/>
        <w:lang w:eastAsia="zh-CN"/>
      </w:rPr>
      <w:t xml:space="preserve">     </w:t>
    </w:r>
    <w:r>
      <w:rPr>
        <w:rFonts w:eastAsia="Calibri"/>
        <w:color w:val="000000"/>
        <w:sz w:val="20"/>
        <w:szCs w:val="20"/>
      </w:rPr>
      <w:tab/>
      <w:t xml:space="preserve"> </w:t>
    </w:r>
    <w:r>
      <w:rPr>
        <w:rFonts w:eastAsia="宋体" w:hint="eastAsia"/>
        <w:color w:val="000000"/>
        <w:sz w:val="20"/>
        <w:szCs w:val="20"/>
        <w:lang w:eastAsia="zh-CN"/>
      </w:rPr>
      <w:t xml:space="preserve">       </w:t>
    </w:r>
    <w:r>
      <w:rPr>
        <w:rFonts w:eastAsia="宋体"/>
        <w:color w:val="000000"/>
        <w:sz w:val="20"/>
        <w:szCs w:val="20"/>
        <w:lang w:eastAsia="zh-CN"/>
      </w:rPr>
      <w:t xml:space="preserve">  </w:t>
    </w:r>
    <w:r>
      <w:rPr>
        <w:rFonts w:eastAsia="Calibri"/>
        <w:color w:val="0000FF"/>
        <w:sz w:val="20"/>
        <w:szCs w:val="20"/>
        <w:u w:val="single" w:color="0000FF"/>
      </w:rPr>
      <w:t>http://www.cancerbio.net</w:t>
    </w:r>
    <w:r>
      <w:rPr>
        <w:rFonts w:eastAsia="Calibri"/>
        <w:sz w:val="20"/>
        <w:szCs w:val="20"/>
      </w:rPr>
      <w:t xml:space="preserve">   </w:t>
    </w:r>
    <w:r>
      <w:rPr>
        <w:rFonts w:eastAsia="Calibri"/>
        <w:b/>
        <w:i/>
        <w:color w:val="FF0000"/>
        <w:sz w:val="20"/>
        <w:szCs w:val="20"/>
        <w:bdr w:val="single" w:sz="8" w:space="0" w:color="FF0000"/>
      </w:rPr>
      <w:t>CBJ</w:t>
    </w:r>
  </w:p>
  <w:p w:rsidR="00A53D17" w:rsidRDefault="00A53D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D17" w:rsidRDefault="0010573C">
    <w:pPr>
      <w:pStyle w:val="Header"/>
    </w:pPr>
    <w:r>
      <w:rPr>
        <w:noProof/>
        <w:lang w:eastAsia="zh-CN"/>
      </w:rPr>
      <w:drawing>
        <wp:inline distT="0" distB="0" distL="0" distR="0">
          <wp:extent cx="5974080" cy="765175"/>
          <wp:effectExtent l="0" t="0" r="7620" b="158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974080" cy="7651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0ACFF"/>
    <w:multiLevelType w:val="multilevel"/>
    <w:tmpl w:val="5130ACFF"/>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D37FD1"/>
    <w:rsid w:val="00010630"/>
    <w:rsid w:val="00030B6C"/>
    <w:rsid w:val="000400BF"/>
    <w:rsid w:val="00044979"/>
    <w:rsid w:val="000500B8"/>
    <w:rsid w:val="000659AF"/>
    <w:rsid w:val="000E0FC7"/>
    <w:rsid w:val="000F3087"/>
    <w:rsid w:val="0010573C"/>
    <w:rsid w:val="00125477"/>
    <w:rsid w:val="0012755A"/>
    <w:rsid w:val="00135AE5"/>
    <w:rsid w:val="001432A4"/>
    <w:rsid w:val="00144C1D"/>
    <w:rsid w:val="00167273"/>
    <w:rsid w:val="00172F99"/>
    <w:rsid w:val="00173392"/>
    <w:rsid w:val="001A37F9"/>
    <w:rsid w:val="001A428B"/>
    <w:rsid w:val="001A4E9D"/>
    <w:rsid w:val="001B3408"/>
    <w:rsid w:val="001C517B"/>
    <w:rsid w:val="001F6597"/>
    <w:rsid w:val="002046A3"/>
    <w:rsid w:val="00220502"/>
    <w:rsid w:val="00255FEB"/>
    <w:rsid w:val="002D2ABB"/>
    <w:rsid w:val="002D2F4D"/>
    <w:rsid w:val="002F344B"/>
    <w:rsid w:val="00313A0B"/>
    <w:rsid w:val="00320721"/>
    <w:rsid w:val="00330C04"/>
    <w:rsid w:val="003D03F2"/>
    <w:rsid w:val="003D08C6"/>
    <w:rsid w:val="003E16DF"/>
    <w:rsid w:val="004143AD"/>
    <w:rsid w:val="004169DC"/>
    <w:rsid w:val="0042431B"/>
    <w:rsid w:val="0043162E"/>
    <w:rsid w:val="00441351"/>
    <w:rsid w:val="004657FF"/>
    <w:rsid w:val="00471D76"/>
    <w:rsid w:val="004A5278"/>
    <w:rsid w:val="004B6209"/>
    <w:rsid w:val="004C5348"/>
    <w:rsid w:val="004E5587"/>
    <w:rsid w:val="004F2CB0"/>
    <w:rsid w:val="00520A8B"/>
    <w:rsid w:val="0053513D"/>
    <w:rsid w:val="00537293"/>
    <w:rsid w:val="00553AE2"/>
    <w:rsid w:val="00575D92"/>
    <w:rsid w:val="00581472"/>
    <w:rsid w:val="00595B3B"/>
    <w:rsid w:val="005A43C7"/>
    <w:rsid w:val="005C5DE0"/>
    <w:rsid w:val="005F4BC7"/>
    <w:rsid w:val="00636FF3"/>
    <w:rsid w:val="00637635"/>
    <w:rsid w:val="0065046E"/>
    <w:rsid w:val="00684146"/>
    <w:rsid w:val="006956DE"/>
    <w:rsid w:val="006A1E2C"/>
    <w:rsid w:val="006A22F3"/>
    <w:rsid w:val="006A32E6"/>
    <w:rsid w:val="006A6C4C"/>
    <w:rsid w:val="006B0CEA"/>
    <w:rsid w:val="006D2435"/>
    <w:rsid w:val="006E2A7C"/>
    <w:rsid w:val="006E6F0B"/>
    <w:rsid w:val="006E7621"/>
    <w:rsid w:val="00753382"/>
    <w:rsid w:val="00783DEA"/>
    <w:rsid w:val="00793329"/>
    <w:rsid w:val="00793461"/>
    <w:rsid w:val="007C745E"/>
    <w:rsid w:val="007D32AD"/>
    <w:rsid w:val="007F5608"/>
    <w:rsid w:val="00807EB9"/>
    <w:rsid w:val="0081027C"/>
    <w:rsid w:val="0082510C"/>
    <w:rsid w:val="00830930"/>
    <w:rsid w:val="008667B0"/>
    <w:rsid w:val="008A0A93"/>
    <w:rsid w:val="008D12F5"/>
    <w:rsid w:val="009015CC"/>
    <w:rsid w:val="00915A26"/>
    <w:rsid w:val="00943C13"/>
    <w:rsid w:val="0094440D"/>
    <w:rsid w:val="00984755"/>
    <w:rsid w:val="009C5384"/>
    <w:rsid w:val="009C7E84"/>
    <w:rsid w:val="009D72B0"/>
    <w:rsid w:val="009E6655"/>
    <w:rsid w:val="00A01BC1"/>
    <w:rsid w:val="00A124AA"/>
    <w:rsid w:val="00A44C05"/>
    <w:rsid w:val="00A53D17"/>
    <w:rsid w:val="00A865FB"/>
    <w:rsid w:val="00AA229F"/>
    <w:rsid w:val="00AB5219"/>
    <w:rsid w:val="00AD43F1"/>
    <w:rsid w:val="00AD559F"/>
    <w:rsid w:val="00AE4AAA"/>
    <w:rsid w:val="00AF69C7"/>
    <w:rsid w:val="00B20B99"/>
    <w:rsid w:val="00B308D0"/>
    <w:rsid w:val="00B4012A"/>
    <w:rsid w:val="00B62E7C"/>
    <w:rsid w:val="00B650AB"/>
    <w:rsid w:val="00B96D73"/>
    <w:rsid w:val="00B97C88"/>
    <w:rsid w:val="00BA6A68"/>
    <w:rsid w:val="00BF380F"/>
    <w:rsid w:val="00BF6133"/>
    <w:rsid w:val="00C02249"/>
    <w:rsid w:val="00C068A2"/>
    <w:rsid w:val="00C1059A"/>
    <w:rsid w:val="00C112BE"/>
    <w:rsid w:val="00C25EB4"/>
    <w:rsid w:val="00CD2F4D"/>
    <w:rsid w:val="00CF64C1"/>
    <w:rsid w:val="00D37FD1"/>
    <w:rsid w:val="00D45B0B"/>
    <w:rsid w:val="00D92D2C"/>
    <w:rsid w:val="00DA41F1"/>
    <w:rsid w:val="00DE5157"/>
    <w:rsid w:val="00DE588F"/>
    <w:rsid w:val="00E15CC4"/>
    <w:rsid w:val="00E342D7"/>
    <w:rsid w:val="00E4530E"/>
    <w:rsid w:val="00E45350"/>
    <w:rsid w:val="00E54C65"/>
    <w:rsid w:val="00E6177A"/>
    <w:rsid w:val="00E93A92"/>
    <w:rsid w:val="00EC5FF3"/>
    <w:rsid w:val="00EC6226"/>
    <w:rsid w:val="00ED6ECF"/>
    <w:rsid w:val="00F05462"/>
    <w:rsid w:val="00F05D98"/>
    <w:rsid w:val="00F21005"/>
    <w:rsid w:val="00F33C5F"/>
    <w:rsid w:val="00F36B9B"/>
    <w:rsid w:val="00F734A7"/>
    <w:rsid w:val="00F75ECD"/>
    <w:rsid w:val="00F82914"/>
    <w:rsid w:val="00FC138F"/>
    <w:rsid w:val="00FF51DF"/>
    <w:rsid w:val="2EAF7656"/>
    <w:rsid w:val="46663BC0"/>
    <w:rsid w:val="7F343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D17"/>
    <w:rPr>
      <w:sz w:val="24"/>
      <w:szCs w:val="24"/>
      <w:lang w:eastAsia="en-US"/>
    </w:rPr>
  </w:style>
  <w:style w:type="paragraph" w:styleId="Heading1">
    <w:name w:val="heading 1"/>
    <w:basedOn w:val="Normal"/>
    <w:next w:val="Normal"/>
    <w:link w:val="Heading1Char"/>
    <w:uiPriority w:val="9"/>
    <w:qFormat/>
    <w:rsid w:val="00A53D17"/>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A53D17"/>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A53D17"/>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A53D17"/>
    <w:pPr>
      <w:keepNext/>
      <w:keepLines/>
      <w:spacing w:before="40"/>
      <w:outlineLvl w:val="3"/>
    </w:pPr>
    <w:rPr>
      <w:b/>
      <w:bCs/>
      <w:iCs/>
      <w:color w:val="2F5496"/>
    </w:rPr>
  </w:style>
  <w:style w:type="paragraph" w:styleId="Heading5">
    <w:name w:val="heading 5"/>
    <w:basedOn w:val="Normal"/>
    <w:next w:val="Normal"/>
    <w:link w:val="Heading5Char"/>
    <w:uiPriority w:val="9"/>
    <w:qFormat/>
    <w:rsid w:val="00A53D17"/>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A53D17"/>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3D17"/>
    <w:rPr>
      <w:rFonts w:ascii="Tahoma" w:hAnsi="Tahoma" w:cs="Tahoma"/>
      <w:sz w:val="16"/>
      <w:szCs w:val="16"/>
    </w:rPr>
  </w:style>
  <w:style w:type="paragraph" w:styleId="Footer">
    <w:name w:val="footer"/>
    <w:basedOn w:val="Normal"/>
    <w:link w:val="FooterChar"/>
    <w:uiPriority w:val="99"/>
    <w:unhideWhenUsed/>
    <w:rsid w:val="00A53D17"/>
    <w:pPr>
      <w:tabs>
        <w:tab w:val="center" w:pos="4680"/>
        <w:tab w:val="right" w:pos="9360"/>
      </w:tabs>
    </w:pPr>
  </w:style>
  <w:style w:type="paragraph" w:styleId="Header">
    <w:name w:val="header"/>
    <w:basedOn w:val="Normal"/>
    <w:link w:val="HeaderChar"/>
    <w:uiPriority w:val="99"/>
    <w:unhideWhenUsed/>
    <w:rsid w:val="00A53D17"/>
    <w:pPr>
      <w:tabs>
        <w:tab w:val="center" w:pos="4153"/>
        <w:tab w:val="right" w:pos="8306"/>
      </w:tabs>
    </w:pPr>
  </w:style>
  <w:style w:type="character" w:styleId="PageNumber">
    <w:name w:val="page number"/>
    <w:basedOn w:val="DefaultParagraphFont"/>
    <w:uiPriority w:val="99"/>
    <w:semiHidden/>
    <w:unhideWhenUsed/>
    <w:rsid w:val="00A53D17"/>
  </w:style>
  <w:style w:type="character" w:styleId="Hyperlink">
    <w:name w:val="Hyperlink"/>
    <w:basedOn w:val="DefaultParagraphFont"/>
    <w:uiPriority w:val="99"/>
    <w:unhideWhenUsed/>
    <w:rsid w:val="00A53D17"/>
    <w:rPr>
      <w:color w:val="0000FF" w:themeColor="hyperlink"/>
      <w:u w:val="single"/>
    </w:rPr>
  </w:style>
  <w:style w:type="character" w:customStyle="1" w:styleId="Heading1Char">
    <w:name w:val="Heading 1 Char"/>
    <w:basedOn w:val="DefaultParagraphFont"/>
    <w:link w:val="Heading1"/>
    <w:uiPriority w:val="9"/>
    <w:rsid w:val="00A53D17"/>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A53D17"/>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A53D17"/>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A53D17"/>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A53D17"/>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A53D17"/>
    <w:rPr>
      <w:rFonts w:ascii="Calibri Light" w:eastAsia="Times New Roman" w:hAnsi="Calibri Light" w:cs="Times New Roman"/>
      <w:color w:val="1F3763"/>
    </w:rPr>
  </w:style>
  <w:style w:type="character" w:customStyle="1" w:styleId="FooterChar">
    <w:name w:val="Footer Char"/>
    <w:basedOn w:val="DefaultParagraphFont"/>
    <w:link w:val="Footer"/>
    <w:uiPriority w:val="99"/>
    <w:rsid w:val="00A53D17"/>
    <w:rPr>
      <w:sz w:val="24"/>
      <w:szCs w:val="24"/>
    </w:rPr>
  </w:style>
  <w:style w:type="table" w:customStyle="1" w:styleId="GridTable6Colorful">
    <w:name w:val="Grid Table 6 Colorful"/>
    <w:basedOn w:val="TableNormal"/>
    <w:uiPriority w:val="51"/>
    <w:rsid w:val="00A53D17"/>
    <w:rPr>
      <w:rFonts w:asciiTheme="minorHAnsi" w:eastAsiaTheme="minorHAnsi" w:hAnsiTheme="minorHAnsi" w:cstheme="minorBidi"/>
      <w:color w:val="000000" w:themeColor="text1"/>
      <w:sz w:val="24"/>
      <w:szCs w:val="24"/>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DefaultParagraphFont"/>
    <w:uiPriority w:val="99"/>
    <w:semiHidden/>
    <w:unhideWhenUsed/>
    <w:rsid w:val="00A53D17"/>
    <w:rPr>
      <w:color w:val="605E5C"/>
      <w:shd w:val="clear" w:color="auto" w:fill="E1DFDD"/>
    </w:rPr>
  </w:style>
  <w:style w:type="paragraph" w:styleId="ListParagraph">
    <w:name w:val="List Paragraph"/>
    <w:basedOn w:val="Normal"/>
    <w:uiPriority w:val="34"/>
    <w:qFormat/>
    <w:rsid w:val="00A53D17"/>
    <w:pPr>
      <w:ind w:left="720"/>
      <w:contextualSpacing/>
    </w:pPr>
  </w:style>
  <w:style w:type="character" w:customStyle="1" w:styleId="BalloonTextChar">
    <w:name w:val="Balloon Text Char"/>
    <w:basedOn w:val="DefaultParagraphFont"/>
    <w:link w:val="BalloonText"/>
    <w:uiPriority w:val="99"/>
    <w:semiHidden/>
    <w:rsid w:val="00A53D17"/>
    <w:rPr>
      <w:rFonts w:ascii="Tahoma" w:hAnsi="Tahoma" w:cs="Tahoma"/>
      <w:sz w:val="16"/>
      <w:szCs w:val="16"/>
    </w:rPr>
  </w:style>
  <w:style w:type="character" w:customStyle="1" w:styleId="HeaderChar">
    <w:name w:val="Header Char"/>
    <w:basedOn w:val="DefaultParagraphFont"/>
    <w:link w:val="Header"/>
    <w:uiPriority w:val="99"/>
    <w:rsid w:val="00A53D17"/>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oghazyw@gmail.com" TargetMode="External"/><Relationship Id="rId13" Type="http://schemas.openxmlformats.org/officeDocument/2006/relationships/hyperlink" Target="mailto:ahmedaffandy@gmail.com" TargetMode="External"/><Relationship Id="rId18" Type="http://schemas.openxmlformats.org/officeDocument/2006/relationships/hyperlink" Target="http://www.dx.doi.org/10.7537/marscbj120122.03"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saffandy2000@yahoo.co.uk" TargetMode="External"/><Relationship Id="rId17" Type="http://schemas.openxmlformats.org/officeDocument/2006/relationships/hyperlink" Target="http://www.sciencepub.net/nature.%20%20x.doi"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cancerbio.n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leter@hamad.qa"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alaboudysh@gmail.com"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mailto:ibnouf_s@hot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ssoul87@hotmail.com" TargetMode="External"/><Relationship Id="rId14" Type="http://schemas.openxmlformats.org/officeDocument/2006/relationships/hyperlink" Target="mailto:hatem@khalaf.us"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3879</Words>
  <Characters>22115</Characters>
  <Application>Microsoft Office Word</Application>
  <DocSecurity>0</DocSecurity>
  <Lines>184</Lines>
  <Paragraphs>51</Paragraphs>
  <ScaleCrop>false</ScaleCrop>
  <Company/>
  <LinksUpToDate>false</LinksUpToDate>
  <CharactersWithSpaces>25943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Walid Mohamed E. Shehata</dc:creator>
  <cp:lastModifiedBy>Administrator</cp:lastModifiedBy>
  <cp:revision>5</cp:revision>
  <dcterms:created xsi:type="dcterms:W3CDTF">2022-04-04T23:49:00Z</dcterms:created>
  <dcterms:modified xsi:type="dcterms:W3CDTF">2022-04-14T00:10:00Z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3f5887-035d-4765-8d10-97aaac8deb4a_Enabled">
    <vt:lpwstr>true</vt:lpwstr>
  </property>
  <property fmtid="{D5CDD505-2E9C-101B-9397-08002B2CF9AE}" pid="3" name="MSIP_Label_573f5887-035d-4765-8d10-97aaac8deb4a_SetDate">
    <vt:lpwstr>2022-01-23T05:51:55Z</vt:lpwstr>
  </property>
  <property fmtid="{D5CDD505-2E9C-101B-9397-08002B2CF9AE}" pid="4" name="MSIP_Label_573f5887-035d-4765-8d10-97aaac8deb4a_Method">
    <vt:lpwstr>Standard</vt:lpwstr>
  </property>
  <property fmtid="{D5CDD505-2E9C-101B-9397-08002B2CF9AE}" pid="5" name="MSIP_Label_573f5887-035d-4765-8d10-97aaac8deb4a_Name">
    <vt:lpwstr>Public</vt:lpwstr>
  </property>
  <property fmtid="{D5CDD505-2E9C-101B-9397-08002B2CF9AE}" pid="6" name="MSIP_Label_573f5887-035d-4765-8d10-97aaac8deb4a_SiteId">
    <vt:lpwstr>f08ae827-76a0-4eda-8325-df208f3835ab</vt:lpwstr>
  </property>
  <property fmtid="{D5CDD505-2E9C-101B-9397-08002B2CF9AE}" pid="7" name="MSIP_Label_573f5887-035d-4765-8d10-97aaac8deb4a_ActionId">
    <vt:lpwstr>3a8d05bd-9b4f-49c7-8b74-2b847465555a</vt:lpwstr>
  </property>
  <property fmtid="{D5CDD505-2E9C-101B-9397-08002B2CF9AE}" pid="8" name="MSIP_Label_573f5887-035d-4765-8d10-97aaac8deb4a_ContentBits">
    <vt:lpwstr>0</vt:lpwstr>
  </property>
  <property fmtid="{D5CDD505-2E9C-101B-9397-08002B2CF9AE}" pid="9" name="KSOProductBuildVer">
    <vt:lpwstr>2052-11.1.0.11365</vt:lpwstr>
  </property>
  <property fmtid="{D5CDD505-2E9C-101B-9397-08002B2CF9AE}" pid="10" name="ICV">
    <vt:lpwstr>67030931714C49F28418BD40F2C0F8CF</vt:lpwstr>
  </property>
</Properties>
</file>