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835" w:rsidRDefault="00616835" w:rsidP="00616835">
      <w:pPr>
        <w:adjustRightInd w:val="0"/>
        <w:snapToGrid w:val="0"/>
        <w:spacing w:after="0" w:line="240" w:lineRule="auto"/>
        <w:jc w:val="center"/>
        <w:rPr>
          <w:rFonts w:ascii="Times New Roman" w:hAnsi="Times New Roman" w:cs="Times New Roman" w:hint="eastAsia"/>
          <w:b/>
          <w:bCs/>
          <w:sz w:val="20"/>
          <w:szCs w:val="20"/>
          <w:lang w:eastAsia="zh-CN"/>
        </w:rPr>
      </w:pPr>
    </w:p>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Performance, Serum Biochemical And Haematological Response Of Broiler Chicken Fed Mixture Of Ginger (Zingiber Officinale) And Garlic (Allium Sativum) In Diets</w:t>
      </w:r>
    </w:p>
    <w:p w:rsidR="00D835C2" w:rsidRDefault="00D835C2" w:rsidP="00616835">
      <w:pPr>
        <w:adjustRightInd w:val="0"/>
        <w:snapToGrid w:val="0"/>
        <w:spacing w:after="0" w:line="240" w:lineRule="auto"/>
        <w:jc w:val="center"/>
        <w:rPr>
          <w:rFonts w:ascii="Times New Roman" w:hAnsi="Times New Roman" w:cs="Times New Roman"/>
          <w:sz w:val="20"/>
          <w:szCs w:val="20"/>
        </w:rPr>
      </w:pPr>
    </w:p>
    <w:p w:rsidR="00D835C2" w:rsidRDefault="00A9105A" w:rsidP="00616835">
      <w:pPr>
        <w:adjustRightInd w:val="0"/>
        <w:snapToGrid w:val="0"/>
        <w:spacing w:after="0" w:line="240" w:lineRule="auto"/>
        <w:jc w:val="center"/>
        <w:rPr>
          <w:rFonts w:ascii="Times New Roman" w:hAnsi="Times New Roman" w:cs="Times New Roman" w:hint="eastAsia"/>
          <w:sz w:val="20"/>
          <w:szCs w:val="20"/>
          <w:lang w:eastAsia="zh-CN"/>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Umoru, J. I. A. and </w:t>
      </w:r>
      <w:r>
        <w:rPr>
          <w:rFonts w:ascii="Times New Roman" w:hAnsi="Times New Roman" w:cs="Times New Roman"/>
          <w:sz w:val="20"/>
          <w:szCs w:val="20"/>
          <w:vertAlign w:val="superscript"/>
        </w:rPr>
        <w:t>2</w:t>
      </w:r>
      <w:r>
        <w:rPr>
          <w:rFonts w:ascii="Times New Roman" w:hAnsi="Times New Roman" w:cs="Times New Roman"/>
          <w:sz w:val="20"/>
          <w:szCs w:val="20"/>
        </w:rPr>
        <w:t xml:space="preserve">Agbaye </w:t>
      </w:r>
      <w:r>
        <w:rPr>
          <w:rFonts w:ascii="Times New Roman" w:hAnsi="Times New Roman" w:cs="Times New Roman"/>
          <w:sz w:val="20"/>
          <w:szCs w:val="20"/>
        </w:rPr>
        <w:t>F. P.</w:t>
      </w:r>
    </w:p>
    <w:p w:rsidR="00616835" w:rsidRDefault="00616835" w:rsidP="00616835">
      <w:pPr>
        <w:adjustRightInd w:val="0"/>
        <w:snapToGrid w:val="0"/>
        <w:spacing w:after="0" w:line="240" w:lineRule="auto"/>
        <w:jc w:val="center"/>
        <w:rPr>
          <w:rFonts w:ascii="Times New Roman" w:hAnsi="Times New Roman" w:cs="Times New Roman" w:hint="eastAsia"/>
          <w:sz w:val="20"/>
          <w:szCs w:val="20"/>
          <w:lang w:eastAsia="zh-CN"/>
        </w:rPr>
      </w:pPr>
    </w:p>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Federal College of Education (Technical) Akoka, Lagos</w:t>
      </w:r>
    </w:p>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Lagos State Polytechnic, Ikorodu, Lagos.</w:t>
      </w:r>
    </w:p>
    <w:p w:rsidR="00D835C2" w:rsidRDefault="00D835C2" w:rsidP="00616835">
      <w:pPr>
        <w:adjustRightInd w:val="0"/>
        <w:snapToGrid w:val="0"/>
        <w:spacing w:after="0" w:line="240" w:lineRule="auto"/>
        <w:jc w:val="center"/>
        <w:rPr>
          <w:rFonts w:ascii="Times New Roman" w:hAnsi="Times New Roman" w:cs="Times New Roman"/>
          <w:sz w:val="20"/>
          <w:szCs w:val="20"/>
        </w:rPr>
      </w:pPr>
    </w:p>
    <w:p w:rsidR="00D835C2" w:rsidRDefault="00A9105A" w:rsidP="00616835">
      <w:pPr>
        <w:widowControl w:val="0"/>
        <w:adjustRightInd w:val="0"/>
        <w:snapToGrid w:val="0"/>
        <w:spacing w:after="0" w:line="240" w:lineRule="auto"/>
        <w:jc w:val="both"/>
        <w:rPr>
          <w:rFonts w:ascii="Times New Roman" w:hAnsi="Times New Roman" w:cs="Times New Roman"/>
          <w:iCs/>
          <w:sz w:val="20"/>
          <w:szCs w:val="20"/>
        </w:rPr>
      </w:pPr>
      <w:r>
        <w:rPr>
          <w:rFonts w:ascii="Times New Roman" w:hAnsi="Times New Roman" w:cs="Times New Roman"/>
          <w:b/>
          <w:bCs/>
          <w:sz w:val="20"/>
          <w:szCs w:val="20"/>
        </w:rPr>
        <w:t>Abstract</w:t>
      </w:r>
      <w:r>
        <w:rPr>
          <w:rFonts w:ascii="Times New Roman" w:hAnsi="Times New Roman" w:cs="Times New Roman"/>
          <w:b/>
          <w:bCs/>
          <w:sz w:val="20"/>
          <w:szCs w:val="20"/>
          <w:lang w:eastAsia="zh-CN"/>
        </w:rPr>
        <w:t xml:space="preserve">: </w:t>
      </w:r>
      <w:r>
        <w:rPr>
          <w:rFonts w:ascii="Times New Roman" w:hAnsi="Times New Roman" w:cs="Times New Roman"/>
          <w:iCs/>
          <w:sz w:val="20"/>
          <w:szCs w:val="20"/>
        </w:rPr>
        <w:t>Performance, serum biochemical and haematological response of broiler chicken fed mixture of ginger (Zingiber officinale) and garlic (Allium s</w:t>
      </w:r>
      <w:r>
        <w:rPr>
          <w:rFonts w:ascii="Times New Roman" w:hAnsi="Times New Roman" w:cs="Times New Roman"/>
          <w:iCs/>
          <w:sz w:val="20"/>
          <w:szCs w:val="20"/>
        </w:rPr>
        <w:t xml:space="preserve">ativum) in diets was investigated in a feeding trials using completely randomised design that lasted for eight weeks. A total of 135 1-day broiler chicks of Abor acre strain were randomly allotted to three dietary treatments of 45 chicks per treatment and </w:t>
      </w:r>
      <w:r>
        <w:rPr>
          <w:rFonts w:ascii="Times New Roman" w:hAnsi="Times New Roman" w:cs="Times New Roman"/>
          <w:iCs/>
          <w:sz w:val="20"/>
          <w:szCs w:val="20"/>
        </w:rPr>
        <w:t>replicated 15 chicks per treatment Three isocaloric and isonitrogenous diets were formulated and fed. Control diet was without mixture of ginger and garlic. The two other diets were T</w:t>
      </w:r>
      <w:r>
        <w:rPr>
          <w:rFonts w:ascii="Times New Roman" w:hAnsi="Times New Roman" w:cs="Times New Roman"/>
          <w:iCs/>
          <w:sz w:val="20"/>
          <w:szCs w:val="20"/>
          <w:vertAlign w:val="subscript"/>
        </w:rPr>
        <w:t>1</w:t>
      </w:r>
      <w:r>
        <w:rPr>
          <w:rFonts w:ascii="Times New Roman" w:hAnsi="Times New Roman" w:cs="Times New Roman"/>
          <w:iCs/>
          <w:sz w:val="20"/>
          <w:szCs w:val="20"/>
        </w:rPr>
        <w:t xml:space="preserve"> 7.5g Ginger plus 7.5g Garlic mixture/25</w:t>
      </w:r>
      <w:r w:rsidR="00616835">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kg</w:t>
      </w:r>
      <w:r w:rsidR="00616835">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diet and T</w:t>
      </w:r>
      <w:r>
        <w:rPr>
          <w:rFonts w:ascii="Times New Roman" w:hAnsi="Times New Roman" w:cs="Times New Roman"/>
          <w:iCs/>
          <w:sz w:val="20"/>
          <w:szCs w:val="20"/>
          <w:vertAlign w:val="subscript"/>
        </w:rPr>
        <w:t>2</w:t>
      </w:r>
      <w:r>
        <w:rPr>
          <w:rFonts w:ascii="Times New Roman" w:hAnsi="Times New Roman" w:cs="Times New Roman"/>
          <w:iCs/>
          <w:sz w:val="20"/>
          <w:szCs w:val="20"/>
        </w:rPr>
        <w:t xml:space="preserve"> 15g Ginger plus 15</w:t>
      </w:r>
      <w:r>
        <w:rPr>
          <w:rFonts w:ascii="Times New Roman" w:hAnsi="Times New Roman" w:cs="Times New Roman"/>
          <w:iCs/>
          <w:sz w:val="20"/>
          <w:szCs w:val="20"/>
        </w:rPr>
        <w:t>g Garlic mixture/25</w:t>
      </w:r>
      <w:r w:rsidR="00616835">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kg</w:t>
      </w:r>
      <w:r w:rsidR="00616835">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diet. The experimental diets were offered to the respective birds with water ad libitum. The body weight gain (Kg) feed intake and feed conversion ratio (FCR) of birds control, T</w:t>
      </w:r>
      <w:r>
        <w:rPr>
          <w:rFonts w:ascii="Times New Roman" w:hAnsi="Times New Roman" w:cs="Times New Roman"/>
          <w:iCs/>
          <w:sz w:val="20"/>
          <w:szCs w:val="20"/>
          <w:vertAlign w:val="subscript"/>
        </w:rPr>
        <w:t>1</w:t>
      </w:r>
      <w:r>
        <w:rPr>
          <w:rFonts w:ascii="Times New Roman" w:hAnsi="Times New Roman" w:cs="Times New Roman"/>
          <w:iCs/>
          <w:sz w:val="20"/>
          <w:szCs w:val="20"/>
        </w:rPr>
        <w:t xml:space="preserve"> and T</w:t>
      </w:r>
      <w:r>
        <w:rPr>
          <w:rFonts w:ascii="Times New Roman" w:hAnsi="Times New Roman" w:cs="Times New Roman"/>
          <w:iCs/>
          <w:sz w:val="20"/>
          <w:szCs w:val="20"/>
          <w:vertAlign w:val="subscript"/>
        </w:rPr>
        <w:t>2</w:t>
      </w:r>
      <w:r>
        <w:rPr>
          <w:rFonts w:ascii="Times New Roman" w:hAnsi="Times New Roman" w:cs="Times New Roman"/>
          <w:iCs/>
          <w:sz w:val="20"/>
          <w:szCs w:val="20"/>
        </w:rPr>
        <w:t xml:space="preserve"> respectively were similar (p&gt; 0.05). Birds on di</w:t>
      </w:r>
      <w:r>
        <w:rPr>
          <w:rFonts w:ascii="Times New Roman" w:hAnsi="Times New Roman" w:cs="Times New Roman"/>
          <w:iCs/>
          <w:sz w:val="20"/>
          <w:szCs w:val="20"/>
        </w:rPr>
        <w:t>et. T</w:t>
      </w:r>
      <w:r>
        <w:rPr>
          <w:rFonts w:ascii="Times New Roman" w:hAnsi="Times New Roman" w:cs="Times New Roman"/>
          <w:iCs/>
          <w:sz w:val="20"/>
          <w:szCs w:val="20"/>
          <w:vertAlign w:val="subscript"/>
        </w:rPr>
        <w:t>2</w:t>
      </w:r>
      <w:r>
        <w:rPr>
          <w:rFonts w:ascii="Times New Roman" w:hAnsi="Times New Roman" w:cs="Times New Roman"/>
          <w:iCs/>
          <w:sz w:val="20"/>
          <w:szCs w:val="20"/>
        </w:rPr>
        <w:t xml:space="preserve"> recorded the highest live ability percentage (96 Mixture of ginger and garlic in ratio 1:1 up to 7.5</w:t>
      </w:r>
      <w:r w:rsidR="00616835">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g each in 25</w:t>
      </w:r>
      <w:r w:rsidR="00616835">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kg diets slightly but insignificantly (p&gt;0,05) increased performance body weight gain and live ability improved feed conversion ratio (FR</w:t>
      </w:r>
      <w:r>
        <w:rPr>
          <w:rFonts w:ascii="Times New Roman" w:hAnsi="Times New Roman" w:cs="Times New Roman"/>
          <w:iCs/>
          <w:sz w:val="20"/>
          <w:szCs w:val="20"/>
        </w:rPr>
        <w:t>C) but reduced feed intake. Variation in the experimental diets had no significant (p&gt;0.05) difference on serum biochemical and haematological indices except for Glucose and Alkaline Phosphate, and White Blood Cell count Lymphocytes and Basophil which show</w:t>
      </w:r>
      <w:r>
        <w:rPr>
          <w:rFonts w:ascii="Times New Roman" w:hAnsi="Times New Roman" w:cs="Times New Roman"/>
          <w:iCs/>
          <w:sz w:val="20"/>
          <w:szCs w:val="20"/>
        </w:rPr>
        <w:t>ed significant (p&lt;0.05) difference with the level mixture of ginger and garlic ip diets. Mixture of ginger and garlic in the diets of broiler chicken had no adverse effect on the serum biochemical and haematological indices.</w:t>
      </w:r>
    </w:p>
    <w:p w:rsidR="00D835C2" w:rsidRDefault="00A9105A" w:rsidP="00616835">
      <w:pPr>
        <w:widowControl w:val="0"/>
        <w:adjustRightInd w:val="0"/>
        <w:snapToGrid w:val="0"/>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iCs/>
          <w:color w:val="000000"/>
          <w:sz w:val="20"/>
          <w:szCs w:val="20"/>
        </w:rPr>
        <w:t>[</w:t>
      </w:r>
      <w:r>
        <w:rPr>
          <w:rFonts w:ascii="Times New Roman" w:hAnsi="Times New Roman" w:cs="Times New Roman"/>
          <w:sz w:val="20"/>
          <w:szCs w:val="20"/>
        </w:rPr>
        <w:t xml:space="preserve">Umoru, J. I. A. and </w:t>
      </w:r>
      <w:r>
        <w:rPr>
          <w:rFonts w:ascii="Times New Roman" w:hAnsi="Times New Roman" w:cs="Times New Roman" w:hint="eastAsia"/>
          <w:sz w:val="20"/>
          <w:szCs w:val="20"/>
          <w:lang w:eastAsia="zh-CN"/>
        </w:rPr>
        <w:t xml:space="preserve"> </w:t>
      </w:r>
      <w:r>
        <w:rPr>
          <w:rFonts w:ascii="Times New Roman" w:hAnsi="Times New Roman" w:cs="Times New Roman"/>
          <w:sz w:val="20"/>
          <w:szCs w:val="20"/>
        </w:rPr>
        <w:t>Agbaye F.</w:t>
      </w:r>
      <w:r>
        <w:rPr>
          <w:rFonts w:ascii="Times New Roman" w:hAnsi="Times New Roman" w:cs="Times New Roman"/>
          <w:sz w:val="20"/>
          <w:szCs w:val="20"/>
        </w:rPr>
        <w:t xml:space="preserve"> P.</w:t>
      </w:r>
      <w:r w:rsidR="00616835">
        <w:rPr>
          <w:rFonts w:ascii="Times New Roman" w:hAnsi="Times New Roman" w:cs="Times New Roman" w:hint="eastAsia"/>
          <w:sz w:val="20"/>
          <w:szCs w:val="20"/>
          <w:lang w:eastAsia="zh-CN"/>
        </w:rPr>
        <w:t xml:space="preserve"> </w:t>
      </w:r>
      <w:r>
        <w:rPr>
          <w:rFonts w:ascii="Times New Roman" w:hAnsi="Times New Roman" w:cs="Times New Roman"/>
          <w:b/>
          <w:bCs/>
          <w:sz w:val="20"/>
          <w:szCs w:val="20"/>
        </w:rPr>
        <w:t>Performance, Serum Biochemical And Haematological Response Of Broiler Chicken Fed Mixture Of Ginger (Zingiber Officinale) And Garlic (Allium Sativum) In Diets</w:t>
      </w:r>
      <w:r>
        <w:rPr>
          <w:rFonts w:ascii="Times New Roman" w:hAnsi="Times New Roman" w:cs="Times New Roman"/>
          <w:sz w:val="20"/>
          <w:szCs w:val="20"/>
          <w:lang w:eastAsia="zh-CN"/>
        </w:rPr>
        <w:t>.</w:t>
      </w:r>
      <w:r>
        <w:rPr>
          <w:rFonts w:ascii="Times New Roman" w:hAnsi="Times New Roman" w:cs="Times New Roman"/>
          <w:sz w:val="20"/>
          <w:szCs w:val="20"/>
        </w:rPr>
        <w:t xml:space="preserve"> Cancer Biology 202</w:t>
      </w:r>
      <w:r>
        <w:rPr>
          <w:rFonts w:ascii="Times New Roman" w:hAnsi="Times New Roman" w:cs="Times New Roman"/>
          <w:sz w:val="20"/>
          <w:szCs w:val="20"/>
          <w:lang w:eastAsia="zh-CN"/>
        </w:rPr>
        <w:t>2</w:t>
      </w:r>
      <w:r>
        <w:rPr>
          <w:rFonts w:ascii="Times New Roman" w:hAnsi="Times New Roman" w:cs="Times New Roman"/>
          <w:sz w:val="20"/>
          <w:szCs w:val="20"/>
        </w:rPr>
        <w:t>;1</w:t>
      </w:r>
      <w:r>
        <w:rPr>
          <w:rFonts w:ascii="Times New Roman" w:hAnsi="Times New Roman" w:cs="Times New Roman"/>
          <w:sz w:val="20"/>
          <w:szCs w:val="20"/>
          <w:lang w:eastAsia="zh-CN"/>
        </w:rPr>
        <w:t>2</w:t>
      </w:r>
      <w:r>
        <w:rPr>
          <w:rFonts w:ascii="Times New Roman" w:hAnsi="Times New Roman" w:cs="Times New Roman"/>
          <w:sz w:val="20"/>
          <w:szCs w:val="20"/>
        </w:rPr>
        <w:t>(</w:t>
      </w:r>
      <w:r>
        <w:rPr>
          <w:rFonts w:ascii="Times New Roman" w:hAnsi="Times New Roman" w:cs="Times New Roman"/>
          <w:sz w:val="20"/>
          <w:szCs w:val="20"/>
          <w:lang w:eastAsia="zh-CN"/>
        </w:rPr>
        <w:t>1</w:t>
      </w:r>
      <w:r>
        <w:rPr>
          <w:rFonts w:ascii="Times New Roman" w:hAnsi="Times New Roman" w:cs="Times New Roman"/>
          <w:sz w:val="20"/>
          <w:szCs w:val="20"/>
        </w:rPr>
        <w:t>):</w:t>
      </w:r>
      <w:r>
        <w:rPr>
          <w:rFonts w:ascii="Times New Roman" w:hAnsi="Times New Roman" w:cs="Times New Roman" w:hint="eastAsia"/>
          <w:sz w:val="20"/>
          <w:szCs w:val="20"/>
          <w:lang w:eastAsia="zh-CN"/>
        </w:rPr>
        <w:t>8</w:t>
      </w:r>
      <w:r>
        <w:rPr>
          <w:rFonts w:ascii="Times New Roman" w:hAnsi="Times New Roman" w:cs="Times New Roman"/>
          <w:sz w:val="20"/>
          <w:szCs w:val="20"/>
        </w:rPr>
        <w:t>-</w:t>
      </w:r>
      <w:r>
        <w:rPr>
          <w:rFonts w:ascii="Times New Roman" w:hAnsi="Times New Roman" w:cs="Times New Roman" w:hint="eastAsia"/>
          <w:sz w:val="20"/>
          <w:szCs w:val="20"/>
          <w:lang w:eastAsia="zh-CN"/>
        </w:rPr>
        <w:t>12</w:t>
      </w:r>
      <w:r>
        <w:rPr>
          <w:rFonts w:ascii="Times New Roman" w:hAnsi="Times New Roman" w:cs="Times New Roman"/>
          <w:sz w:val="20"/>
          <w:szCs w:val="20"/>
        </w:rPr>
        <w:t>].</w:t>
      </w:r>
      <w:r>
        <w:rPr>
          <w:rFonts w:ascii="Times New Roman" w:hAnsi="Times New Roman" w:cs="Times New Roman"/>
          <w:sz w:val="20"/>
          <w:szCs w:val="20"/>
          <w:lang w:eastAsia="zh-CN"/>
        </w:rPr>
        <w:t xml:space="preserve"> </w:t>
      </w:r>
      <w:r>
        <w:rPr>
          <w:rFonts w:ascii="Times New Roman" w:hAnsi="Times New Roman" w:cs="Times New Roman"/>
          <w:sz w:val="20"/>
          <w:szCs w:val="20"/>
        </w:rPr>
        <w:t>ISSN:</w:t>
      </w:r>
      <w:r>
        <w:rPr>
          <w:rFonts w:ascii="Times New Roman" w:hAnsi="Times New Roman" w:cs="Times New Roman"/>
          <w:sz w:val="20"/>
          <w:szCs w:val="20"/>
          <w:lang w:eastAsia="zh-CN"/>
        </w:rPr>
        <w:t xml:space="preserve"> </w:t>
      </w:r>
      <w:r>
        <w:rPr>
          <w:rFonts w:ascii="Times New Roman" w:hAnsi="Times New Roman" w:cs="Times New Roman"/>
          <w:sz w:val="20"/>
          <w:szCs w:val="20"/>
        </w:rPr>
        <w:t>2150-1041</w:t>
      </w:r>
      <w:r>
        <w:rPr>
          <w:rFonts w:ascii="Times New Roman" w:hAnsi="Times New Roman" w:cs="Times New Roman"/>
          <w:sz w:val="20"/>
          <w:szCs w:val="20"/>
          <w:lang w:eastAsia="zh-CN"/>
        </w:rPr>
        <w:t xml:space="preserve"> </w:t>
      </w:r>
      <w:r>
        <w:rPr>
          <w:rFonts w:ascii="Times New Roman" w:hAnsi="Times New Roman" w:cs="Times New Roman"/>
          <w:sz w:val="20"/>
          <w:szCs w:val="20"/>
        </w:rPr>
        <w:t>(print);</w:t>
      </w:r>
      <w:r>
        <w:rPr>
          <w:rFonts w:ascii="Times New Roman" w:hAnsi="Times New Roman" w:cs="Times New Roman"/>
          <w:sz w:val="20"/>
          <w:szCs w:val="20"/>
          <w:lang w:eastAsia="zh-CN"/>
        </w:rPr>
        <w:t xml:space="preserve"> </w:t>
      </w:r>
      <w:r>
        <w:rPr>
          <w:rFonts w:ascii="Times New Roman" w:hAnsi="Times New Roman" w:cs="Times New Roman"/>
          <w:sz w:val="20"/>
          <w:szCs w:val="20"/>
        </w:rPr>
        <w:t>ISSN:</w:t>
      </w:r>
      <w:r>
        <w:rPr>
          <w:rFonts w:ascii="Times New Roman" w:hAnsi="Times New Roman" w:cs="Times New Roman"/>
          <w:sz w:val="20"/>
          <w:szCs w:val="20"/>
          <w:lang w:eastAsia="zh-CN"/>
        </w:rPr>
        <w:t xml:space="preserve"> </w:t>
      </w:r>
      <w:r>
        <w:rPr>
          <w:rFonts w:ascii="Times New Roman" w:hAnsi="Times New Roman" w:cs="Times New Roman"/>
          <w:sz w:val="20"/>
          <w:szCs w:val="20"/>
        </w:rPr>
        <w:t>2150-105X</w:t>
      </w:r>
      <w:r>
        <w:rPr>
          <w:rFonts w:ascii="Times New Roman" w:hAnsi="Times New Roman" w:cs="Times New Roman"/>
          <w:sz w:val="20"/>
          <w:szCs w:val="20"/>
          <w:lang w:eastAsia="zh-CN"/>
        </w:rPr>
        <w:t xml:space="preserve"> </w:t>
      </w:r>
      <w:r>
        <w:rPr>
          <w:rFonts w:ascii="Times New Roman" w:hAnsi="Times New Roman" w:cs="Times New Roman"/>
          <w:sz w:val="20"/>
          <w:szCs w:val="20"/>
        </w:rPr>
        <w:t>(online).</w:t>
      </w:r>
      <w:r>
        <w:rPr>
          <w:rFonts w:ascii="Times New Roman" w:hAnsi="Times New Roman" w:cs="Times New Roman"/>
          <w:color w:val="355F91"/>
          <w:sz w:val="20"/>
          <w:szCs w:val="20"/>
        </w:rPr>
        <w:t xml:space="preserve"> </w:t>
      </w:r>
      <w:hyperlink r:id="rId8" w:history="1">
        <w:r>
          <w:rPr>
            <w:rStyle w:val="Hyperlink"/>
            <w:rFonts w:ascii="Times New Roman" w:hAnsi="Times New Roman" w:cs="Times New Roman"/>
            <w:sz w:val="20"/>
            <w:szCs w:val="20"/>
          </w:rPr>
          <w:t>http://www.cancerbio.net</w:t>
        </w:r>
      </w:hyperlink>
      <w:r>
        <w:rPr>
          <w:rFonts w:ascii="Times New Roman" w:hAnsi="Times New Roman" w:cs="Times New Roman"/>
          <w:color w:val="0000FF"/>
          <w:sz w:val="20"/>
          <w:szCs w:val="20"/>
          <w:u w:val="single" w:color="0000FF"/>
          <w:lang w:eastAsia="zh-CN"/>
        </w:rPr>
        <w:t xml:space="preserve"> </w:t>
      </w:r>
      <w:hyperlink r:id="rId9" w:history="1">
        <w:r>
          <w:rPr>
            <w:rStyle w:val="Hyperlink"/>
            <w:rFonts w:ascii="Times New Roman" w:hAnsi="Times New Roman" w:cs="Times New Roman"/>
            <w:sz w:val="20"/>
            <w:szCs w:val="20"/>
          </w:rPr>
          <w:t xml:space="preserve"> </w:t>
        </w:r>
        <w:r>
          <w:rPr>
            <w:rStyle w:val="Hyperlink"/>
            <w:rFonts w:ascii="Times New Roman" w:hAnsi="Times New Roman" w:cs="Times New Roman" w:hint="eastAsia"/>
            <w:color w:val="auto"/>
            <w:sz w:val="20"/>
            <w:szCs w:val="20"/>
            <w:u w:val="none"/>
            <w:lang w:eastAsia="zh-CN"/>
          </w:rPr>
          <w:t>2</w:t>
        </w:r>
        <w:r>
          <w:rPr>
            <w:rStyle w:val="Hyperlink"/>
            <w:rFonts w:ascii="Times New Roman" w:hAnsi="Times New Roman" w:cs="Times New Roman"/>
            <w:color w:val="auto"/>
            <w:sz w:val="20"/>
            <w:szCs w:val="20"/>
            <w:u w:val="none"/>
          </w:rPr>
          <w:t>.</w:t>
        </w:r>
        <w:r>
          <w:rPr>
            <w:rStyle w:val="Hyperlink"/>
            <w:rFonts w:ascii="Times New Roman" w:hAnsi="Times New Roman" w:cs="Times New Roman"/>
            <w:color w:val="auto"/>
            <w:sz w:val="20"/>
            <w:szCs w:val="20"/>
            <w:u w:val="none"/>
            <w:shd w:val="clear" w:color="auto" w:fill="FFFFFF"/>
          </w:rPr>
          <w:t>doi</w:t>
        </w:r>
      </w:hyperlink>
      <w:r>
        <w:rPr>
          <w:rFonts w:ascii="Times New Roman" w:hAnsi="Times New Roman" w:cs="Times New Roman"/>
          <w:sz w:val="20"/>
          <w:szCs w:val="20"/>
          <w:shd w:val="clear" w:color="auto" w:fill="FFFFFF"/>
        </w:rPr>
        <w:t>:</w:t>
      </w:r>
      <w:hyperlink r:id="rId10" w:history="1">
        <w:r>
          <w:rPr>
            <w:rStyle w:val="Hyperlink"/>
            <w:rFonts w:ascii="Times New Roman" w:hAnsi="Times New Roman" w:cs="Times New Roman"/>
            <w:sz w:val="20"/>
            <w:szCs w:val="20"/>
            <w:shd w:val="clear" w:color="auto" w:fill="FFFFFF"/>
          </w:rPr>
          <w:t>10.7537/marscbj120122.02.</w:t>
        </w:r>
      </w:hyperlink>
    </w:p>
    <w:p w:rsidR="00D835C2" w:rsidRDefault="00D835C2" w:rsidP="00616835">
      <w:pPr>
        <w:widowControl w:val="0"/>
        <w:adjustRightInd w:val="0"/>
        <w:snapToGrid w:val="0"/>
        <w:spacing w:after="0" w:line="240" w:lineRule="auto"/>
        <w:jc w:val="both"/>
        <w:rPr>
          <w:rFonts w:ascii="Times New Roman" w:hAnsi="Times New Roman" w:cs="Times New Roman"/>
          <w:sz w:val="20"/>
          <w:szCs w:val="20"/>
          <w:shd w:val="clear" w:color="auto" w:fill="FFFFFF"/>
        </w:rPr>
      </w:pPr>
    </w:p>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Keywords:</w:t>
      </w:r>
      <w:r>
        <w:rPr>
          <w:rFonts w:ascii="Times New Roman" w:hAnsi="Times New Roman" w:cs="Times New Roman"/>
          <w:sz w:val="20"/>
          <w:szCs w:val="20"/>
        </w:rPr>
        <w:t xml:space="preserve"> performance body weight, serum </w:t>
      </w:r>
      <w:r w:rsidR="00616835">
        <w:rPr>
          <w:rFonts w:ascii="Times New Roman" w:hAnsi="Times New Roman" w:cs="Times New Roman"/>
          <w:sz w:val="20"/>
          <w:szCs w:val="20"/>
        </w:rPr>
        <w:t>biochemical</w:t>
      </w:r>
      <w:r>
        <w:rPr>
          <w:rFonts w:ascii="Times New Roman" w:hAnsi="Times New Roman" w:cs="Times New Roman"/>
          <w:sz w:val="20"/>
          <w:szCs w:val="20"/>
        </w:rPr>
        <w:t xml:space="preserve"> and haematological indices, Allium sativum, Zingiber officinale</w:t>
      </w: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16835" w:rsidRDefault="00616835"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sectPr w:rsidR="006F7917">
          <w:headerReference w:type="default" r:id="rId11"/>
          <w:footerReference w:type="default" r:id="rId12"/>
          <w:headerReference w:type="first" r:id="rId13"/>
          <w:footerReference w:type="first" r:id="rId14"/>
          <w:pgSz w:w="12240" w:h="15840"/>
          <w:pgMar w:top="1440" w:right="1440" w:bottom="1440" w:left="1440" w:header="720" w:footer="720" w:gutter="0"/>
          <w:pgNumType w:start="8"/>
          <w:cols w:space="720"/>
          <w:titlePg/>
          <w:docGrid w:linePitch="360"/>
        </w:sectPr>
      </w:pPr>
    </w:p>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Introduction</w:t>
      </w:r>
    </w:p>
    <w:p w:rsidR="00D835C2" w:rsidRDefault="00A9105A" w:rsidP="00616835">
      <w:pPr>
        <w:adjustRightInd w:val="0"/>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pursuit of improved broilers health and in order to </w:t>
      </w:r>
      <w:r w:rsidR="00616835">
        <w:rPr>
          <w:rFonts w:ascii="Times New Roman" w:hAnsi="Times New Roman" w:cs="Times New Roman"/>
          <w:sz w:val="20"/>
          <w:szCs w:val="20"/>
        </w:rPr>
        <w:t>fulfill</w:t>
      </w:r>
      <w:r>
        <w:rPr>
          <w:rFonts w:ascii="Times New Roman" w:hAnsi="Times New Roman" w:cs="Times New Roman"/>
          <w:sz w:val="20"/>
          <w:szCs w:val="20"/>
        </w:rPr>
        <w:t xml:space="preserve"> consumer expectation in relation to food quality, poultry farmers include natural herbal materials in the diet of their stock (Gardzielewska </w:t>
      </w:r>
      <w:r>
        <w:rPr>
          <w:rFonts w:ascii="Times New Roman" w:hAnsi="Times New Roman" w:cs="Times New Roman"/>
          <w:i/>
          <w:sz w:val="20"/>
          <w:szCs w:val="20"/>
        </w:rPr>
        <w:t>et al</w:t>
      </w:r>
      <w:r>
        <w:rPr>
          <w:rFonts w:ascii="Times New Roman" w:hAnsi="Times New Roman" w:cs="Times New Roman"/>
          <w:sz w:val="20"/>
          <w:szCs w:val="20"/>
        </w:rPr>
        <w:t xml:space="preserve">; 2003). The use </w:t>
      </w:r>
      <w:r>
        <w:rPr>
          <w:rFonts w:ascii="Times New Roman" w:hAnsi="Times New Roman" w:cs="Times New Roman"/>
          <w:sz w:val="20"/>
          <w:szCs w:val="20"/>
        </w:rPr>
        <w:t xml:space="preserve">of blood examination to assess physiological, Brea pathological, and nutritional and health status animals have been well documented (Muhammed </w:t>
      </w:r>
      <w:r>
        <w:rPr>
          <w:rFonts w:ascii="Times New Roman" w:hAnsi="Times New Roman" w:cs="Times New Roman"/>
          <w:i/>
          <w:sz w:val="20"/>
          <w:szCs w:val="20"/>
        </w:rPr>
        <w:t>et al</w:t>
      </w:r>
      <w:r>
        <w:rPr>
          <w:rFonts w:ascii="Times New Roman" w:hAnsi="Times New Roman" w:cs="Times New Roman"/>
          <w:sz w:val="20"/>
          <w:szCs w:val="20"/>
        </w:rPr>
        <w:t>. 2004). The routine collection and processing of blood samples allow the evaluation of serum biochemical an</w:t>
      </w:r>
      <w:r>
        <w:rPr>
          <w:rFonts w:ascii="Times New Roman" w:hAnsi="Times New Roman" w:cs="Times New Roman"/>
          <w:sz w:val="20"/>
          <w:szCs w:val="20"/>
        </w:rPr>
        <w:t>d haematological response to nutrition and disease (Howlet and Jaime, 2008). Blood examination can be used to detect nutritional disorder since it provide information on animal health, nutritional deficiency and changes in growth with time. The nutritional</w:t>
      </w:r>
      <w:r>
        <w:rPr>
          <w:rFonts w:ascii="Times New Roman" w:hAnsi="Times New Roman" w:cs="Times New Roman"/>
          <w:sz w:val="20"/>
          <w:szCs w:val="20"/>
        </w:rPr>
        <w:t xml:space="preserve"> value of diets could be a reflection through changes in performance, serum biochemical and haematological indices animal base on treatment effects. Ginger, (Z</w:t>
      </w:r>
      <w:r>
        <w:rPr>
          <w:rFonts w:ascii="Times New Roman" w:hAnsi="Times New Roman" w:cs="Times New Roman"/>
          <w:i/>
          <w:iCs/>
          <w:sz w:val="20"/>
          <w:szCs w:val="20"/>
        </w:rPr>
        <w:t xml:space="preserve">ingiberofficinale </w:t>
      </w:r>
      <w:r>
        <w:rPr>
          <w:rFonts w:ascii="Times New Roman" w:hAnsi="Times New Roman" w:cs="Times New Roman"/>
          <w:i/>
          <w:sz w:val="20"/>
          <w:szCs w:val="20"/>
        </w:rPr>
        <w:t>Zingbeacea</w:t>
      </w:r>
      <w:r>
        <w:rPr>
          <w:rFonts w:ascii="Times New Roman" w:hAnsi="Times New Roman" w:cs="Times New Roman"/>
          <w:sz w:val="20"/>
          <w:szCs w:val="20"/>
        </w:rPr>
        <w:t>) and Garlic, Allium sativum, (</w:t>
      </w:r>
      <w:r>
        <w:rPr>
          <w:rFonts w:ascii="Times New Roman" w:hAnsi="Times New Roman" w:cs="Times New Roman"/>
          <w:i/>
          <w:sz w:val="20"/>
          <w:szCs w:val="20"/>
        </w:rPr>
        <w:t>Liliaceae)</w:t>
      </w:r>
      <w:r>
        <w:rPr>
          <w:rFonts w:ascii="Times New Roman" w:hAnsi="Times New Roman" w:cs="Times New Roman"/>
          <w:sz w:val="20"/>
          <w:szCs w:val="20"/>
        </w:rPr>
        <w:t xml:space="preserve"> are herbal materials </w:t>
      </w:r>
      <w:r>
        <w:rPr>
          <w:rFonts w:ascii="Times New Roman" w:hAnsi="Times New Roman" w:cs="Times New Roman"/>
          <w:sz w:val="20"/>
          <w:szCs w:val="20"/>
        </w:rPr>
        <w:lastRenderedPageBreak/>
        <w:t>with g</w:t>
      </w:r>
      <w:r>
        <w:rPr>
          <w:rFonts w:ascii="Times New Roman" w:hAnsi="Times New Roman" w:cs="Times New Roman"/>
          <w:sz w:val="20"/>
          <w:szCs w:val="20"/>
        </w:rPr>
        <w:t xml:space="preserve">ood nutritional and medicinal properties. The plants and their extract possess antioxidant, anticancer, immune-modulatory, anti-inflammatory hypoglycaemic, antifungal, antiviral, anti-dental caries and cardiovascular effects (Gbenga </w:t>
      </w:r>
      <w:r>
        <w:rPr>
          <w:rFonts w:ascii="Times New Roman" w:hAnsi="Times New Roman" w:cs="Times New Roman"/>
          <w:i/>
          <w:sz w:val="20"/>
          <w:szCs w:val="20"/>
        </w:rPr>
        <w:t>et al</w:t>
      </w:r>
      <w:r>
        <w:rPr>
          <w:rFonts w:ascii="Times New Roman" w:hAnsi="Times New Roman" w:cs="Times New Roman"/>
          <w:sz w:val="20"/>
          <w:szCs w:val="20"/>
        </w:rPr>
        <w:t>., 2009). Previous</w:t>
      </w:r>
      <w:r>
        <w:rPr>
          <w:rFonts w:ascii="Times New Roman" w:hAnsi="Times New Roman" w:cs="Times New Roman"/>
          <w:sz w:val="20"/>
          <w:szCs w:val="20"/>
        </w:rPr>
        <w:t xml:space="preserve"> study has demonstrated positive effects of herbal materials on the performance, serum biochemical and haematological indices of birds (Iskiwenu </w:t>
      </w:r>
      <w:r>
        <w:rPr>
          <w:rFonts w:ascii="Times New Roman" w:hAnsi="Times New Roman" w:cs="Times New Roman"/>
          <w:i/>
          <w:sz w:val="20"/>
          <w:szCs w:val="20"/>
        </w:rPr>
        <w:t>et al</w:t>
      </w:r>
      <w:r>
        <w:rPr>
          <w:rFonts w:ascii="Times New Roman" w:hAnsi="Times New Roman" w:cs="Times New Roman"/>
          <w:sz w:val="20"/>
          <w:szCs w:val="20"/>
        </w:rPr>
        <w:t>. 2008). In the present study, mixture of ginger and garlic was added to broiler diets in two graded level</w:t>
      </w:r>
      <w:r>
        <w:rPr>
          <w:rFonts w:ascii="Times New Roman" w:hAnsi="Times New Roman" w:cs="Times New Roman"/>
          <w:sz w:val="20"/>
          <w:szCs w:val="20"/>
        </w:rPr>
        <w:t>s to evaluate effects on the performance, serum biochemical and haematological indices.</w:t>
      </w:r>
    </w:p>
    <w:p w:rsidR="00616835" w:rsidRDefault="00616835"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Materials and Methods</w:t>
      </w:r>
    </w:p>
    <w:p w:rsidR="00D835C2" w:rsidRDefault="00A9105A" w:rsidP="00616835">
      <w:pPr>
        <w:adjustRightInd w:val="0"/>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This study was carried out at Teaching Farm, Department of Agricultural Education, Federal College of Education (Technical) Akoka-Yaba Lagos. A to</w:t>
      </w:r>
      <w:r>
        <w:rPr>
          <w:rFonts w:ascii="Times New Roman" w:hAnsi="Times New Roman" w:cs="Times New Roman"/>
          <w:sz w:val="20"/>
          <w:szCs w:val="20"/>
        </w:rPr>
        <w:t xml:space="preserve">tal of 135 1-day broiler chicks of Abor acre strain (45 chicks per treatment and 15. chicks per replicate), reared in an open-sided deep litter pen previously </w:t>
      </w:r>
      <w:r>
        <w:rPr>
          <w:rFonts w:ascii="Times New Roman" w:hAnsi="Times New Roman" w:cs="Times New Roman"/>
          <w:sz w:val="20"/>
          <w:szCs w:val="20"/>
        </w:rPr>
        <w:lastRenderedPageBreak/>
        <w:t xml:space="preserve">cleaned, disinfected fumigated and covered with wood shavings to 5 m depth before their arrival. </w:t>
      </w:r>
      <w:r>
        <w:rPr>
          <w:rFonts w:ascii="Times New Roman" w:hAnsi="Times New Roman" w:cs="Times New Roman"/>
          <w:sz w:val="20"/>
          <w:szCs w:val="20"/>
        </w:rPr>
        <w:t xml:space="preserve">The chicks on arrival were allowed to adapt to their new environment for 7 days in order to reduce variation in performance due to hatchery and t high mortality due to treatment effects. The test materials, ginger and Garlic were purchased </w:t>
      </w:r>
      <w:r>
        <w:rPr>
          <w:rFonts w:ascii="Times New Roman" w:hAnsi="Times New Roman" w:cs="Times New Roman"/>
          <w:sz w:val="20"/>
          <w:szCs w:val="20"/>
        </w:rPr>
        <w:t xml:space="preserve">from the open </w:t>
      </w:r>
      <w:r>
        <w:rPr>
          <w:rFonts w:ascii="Times New Roman" w:hAnsi="Times New Roman" w:cs="Times New Roman"/>
          <w:sz w:val="20"/>
          <w:szCs w:val="20"/>
        </w:rPr>
        <w:t xml:space="preserve">markets in Lagos metropolis, </w:t>
      </w:r>
      <w:r w:rsidR="00616835">
        <w:rPr>
          <w:rFonts w:ascii="Times New Roman" w:hAnsi="Times New Roman" w:cs="Times New Roman"/>
          <w:sz w:val="20"/>
          <w:szCs w:val="20"/>
        </w:rPr>
        <w:t>rinsed</w:t>
      </w:r>
      <w:r>
        <w:rPr>
          <w:rFonts w:ascii="Times New Roman" w:hAnsi="Times New Roman" w:cs="Times New Roman"/>
          <w:sz w:val="20"/>
          <w:szCs w:val="20"/>
        </w:rPr>
        <w:t xml:space="preserve"> using distilled water, sundried for 5 days and blended using an electric Mortal &amp; Pestle miller (Model MR 200 Pascall) into powdered form. The "milled powdered materials was packed inside transparent polythene bags and a</w:t>
      </w:r>
      <w:r>
        <w:rPr>
          <w:rFonts w:ascii="Times New Roman" w:hAnsi="Times New Roman" w:cs="Times New Roman"/>
          <w:sz w:val="20"/>
          <w:szCs w:val="20"/>
        </w:rPr>
        <w:t>dded broiler starter and finisher diets in ration 1:1 of ginger and garlic. Dietary treatments. were T: 7.5g ginger plus 7.5g garlic/25kg diet and T.: 15g ginger plus 15g garlic/25kg diet. The gross composition of starter and finisher diets are shown in Ta</w:t>
      </w:r>
      <w:r>
        <w:rPr>
          <w:rFonts w:ascii="Times New Roman" w:hAnsi="Times New Roman" w:cs="Times New Roman"/>
          <w:sz w:val="20"/>
          <w:szCs w:val="20"/>
        </w:rPr>
        <w:t>ble 1. The birds were allotted to the two treatment groups in a completely randomized design with three replicates per group containing 15 birds each. The experimental diets were made. isonitrogenous and isocaloric. Recommended vaccination and medication s</w:t>
      </w:r>
      <w:r>
        <w:rPr>
          <w:rFonts w:ascii="Times New Roman" w:hAnsi="Times New Roman" w:cs="Times New Roman"/>
          <w:sz w:val="20"/>
          <w:szCs w:val="20"/>
        </w:rPr>
        <w:t>chedules from the hatchery were strictly observed. Starter diets was fed for 4weeks (0-4weeks) and finisher 4weeks (5-8weeks). Experimental diets water was provided ad-libitum throughout 52 days of the study. Body weight changes and feed intake were measur</w:t>
      </w:r>
      <w:r>
        <w:rPr>
          <w:rFonts w:ascii="Times New Roman" w:hAnsi="Times New Roman" w:cs="Times New Roman"/>
          <w:sz w:val="20"/>
          <w:szCs w:val="20"/>
        </w:rPr>
        <w:t>ed on weekly basis to determine body weight gain and feed conversion ratio. At the end of week 8 of feeding trials, two (2) birds from each dietary treatment per replicate were randomly sampled to determine serum biochemical and haematological responses. 5</w:t>
      </w:r>
      <w:r>
        <w:rPr>
          <w:rFonts w:ascii="Times New Roman" w:hAnsi="Times New Roman" w:cs="Times New Roman"/>
          <w:sz w:val="20"/>
          <w:szCs w:val="20"/>
        </w:rPr>
        <w:t xml:space="preserve">ml </w:t>
      </w:r>
      <w:r>
        <w:rPr>
          <w:rFonts w:ascii="Times New Roman" w:hAnsi="Times New Roman" w:cs="Times New Roman"/>
          <w:sz w:val="20"/>
          <w:szCs w:val="20"/>
        </w:rPr>
        <w:lastRenderedPageBreak/>
        <w:t xml:space="preserve">samples of blood were taken from the wing vein of randomly sampled birds from each dietary treatment per replicate. 2.5ml of the sampled blood was put in </w:t>
      </w:r>
      <w:r w:rsidR="00616835">
        <w:rPr>
          <w:rFonts w:ascii="Times New Roman" w:hAnsi="Times New Roman" w:cs="Times New Roman"/>
          <w:sz w:val="20"/>
          <w:szCs w:val="20"/>
        </w:rPr>
        <w:t>labeled</w:t>
      </w:r>
      <w:r>
        <w:rPr>
          <w:rFonts w:ascii="Times New Roman" w:hAnsi="Times New Roman" w:cs="Times New Roman"/>
          <w:sz w:val="20"/>
          <w:szCs w:val="20"/>
        </w:rPr>
        <w:t xml:space="preserve"> Sterile Universal Bottles containing anti-coagulant (Ethyl </w:t>
      </w:r>
      <w:proofErr w:type="spellStart"/>
      <w:r>
        <w:rPr>
          <w:rFonts w:ascii="Times New Roman" w:hAnsi="Times New Roman" w:cs="Times New Roman"/>
          <w:sz w:val="20"/>
          <w:szCs w:val="20"/>
        </w:rPr>
        <w:t>Diamine</w:t>
      </w:r>
      <w:proofErr w:type="spellEnd"/>
      <w:r>
        <w:rPr>
          <w:rFonts w:ascii="Times New Roman" w:hAnsi="Times New Roman" w:cs="Times New Roman"/>
          <w:sz w:val="20"/>
          <w:szCs w:val="20"/>
        </w:rPr>
        <w:t>-Tetra-Acetate powder (E</w:t>
      </w:r>
      <w:r>
        <w:rPr>
          <w:rFonts w:ascii="Times New Roman" w:hAnsi="Times New Roman" w:cs="Times New Roman"/>
          <w:sz w:val="20"/>
          <w:szCs w:val="20"/>
        </w:rPr>
        <w:t>DTA</w:t>
      </w:r>
      <w:r>
        <w:rPr>
          <w:rFonts w:ascii="Times New Roman" w:hAnsi="Times New Roman" w:cs="Times New Roman"/>
          <w:sz w:val="20"/>
          <w:szCs w:val="20"/>
        </w:rPr>
        <w:t>)</w:t>
      </w:r>
      <w:r>
        <w:rPr>
          <w:rFonts w:ascii="Times New Roman" w:hAnsi="Times New Roman" w:cs="Times New Roman"/>
          <w:sz w:val="20"/>
          <w:szCs w:val="20"/>
        </w:rPr>
        <w:t>) to determine haematological indices. aematological indices such as Packed Cell Volume (PCV) (56), Red Blood Cells (RBC) (T/L) and White Blood Cells (WBC) (G/L), Haemoglobin (g/1), Neutrophils (%), Basophils (%), Lymphocytes (9), Eosinophil (%). Monoc</w:t>
      </w:r>
      <w:r>
        <w:rPr>
          <w:rFonts w:ascii="Times New Roman" w:hAnsi="Times New Roman" w:cs="Times New Roman"/>
          <w:sz w:val="20"/>
          <w:szCs w:val="20"/>
        </w:rPr>
        <w:t>ytes (6), Mean Corpuscular Volume (MCV) (1), Mean Corpuscular Haemoglobin (MCH) (pg) and Mean Corpuscular Haemoglobin Concentration (MCHC) (g/dl) according to the procedure of</w:t>
      </w:r>
      <w:r w:rsidR="006F7917">
        <w:rPr>
          <w:rFonts w:ascii="Times New Roman" w:hAnsi="Times New Roman" w:cs="Times New Roman" w:hint="eastAsia"/>
          <w:sz w:val="20"/>
          <w:szCs w:val="20"/>
          <w:lang w:eastAsia="zh-CN"/>
        </w:rPr>
        <w:t xml:space="preserve"> </w:t>
      </w:r>
      <w:r>
        <w:rPr>
          <w:rFonts w:ascii="Times New Roman" w:hAnsi="Times New Roman" w:cs="Times New Roman"/>
          <w:sz w:val="20"/>
          <w:szCs w:val="20"/>
        </w:rPr>
        <w:t>Jaime and Howlett (2008). The remaining</w:t>
      </w:r>
      <w:r w:rsidR="006F7917">
        <w:rPr>
          <w:rFonts w:ascii="Times New Roman" w:hAnsi="Times New Roman" w:cs="Times New Roman" w:hint="eastAsia"/>
          <w:sz w:val="20"/>
          <w:szCs w:val="20"/>
          <w:lang w:eastAsia="zh-CN"/>
        </w:rPr>
        <w:t xml:space="preserve"> </w:t>
      </w:r>
      <w:r>
        <w:rPr>
          <w:rFonts w:ascii="Times New Roman" w:hAnsi="Times New Roman" w:cs="Times New Roman"/>
          <w:sz w:val="20"/>
          <w:szCs w:val="20"/>
        </w:rPr>
        <w:t xml:space="preserve">2.5ml of the sampled blood was put in </w:t>
      </w:r>
      <w:r w:rsidR="00616835">
        <w:rPr>
          <w:rFonts w:ascii="Times New Roman" w:hAnsi="Times New Roman" w:cs="Times New Roman"/>
          <w:sz w:val="20"/>
          <w:szCs w:val="20"/>
        </w:rPr>
        <w:t>labeled</w:t>
      </w:r>
      <w:r>
        <w:rPr>
          <w:rFonts w:ascii="Times New Roman" w:hAnsi="Times New Roman" w:cs="Times New Roman"/>
          <w:sz w:val="20"/>
          <w:szCs w:val="20"/>
        </w:rPr>
        <w:t xml:space="preserve"> Sterile Universal Bottles without anti-</w:t>
      </w:r>
      <w:r w:rsidR="00616835">
        <w:rPr>
          <w:rFonts w:ascii="Times New Roman" w:hAnsi="Times New Roman" w:cs="Times New Roman"/>
          <w:sz w:val="20"/>
          <w:szCs w:val="20"/>
        </w:rPr>
        <w:t>coagulant to</w:t>
      </w:r>
      <w:r>
        <w:rPr>
          <w:rFonts w:ascii="Times New Roman" w:hAnsi="Times New Roman" w:cs="Times New Roman"/>
          <w:sz w:val="20"/>
          <w:szCs w:val="20"/>
        </w:rPr>
        <w:t xml:space="preserve">: determine serum biochemical indices such as Total Protein (mg/dl), Albumin (g/dl), Alkaline Phosphate (ALP) (u/l) and Ureic acid (mg/dl) and Glucose (mg/dl). Data obtained were subjected analysis of </w:t>
      </w:r>
      <w:r>
        <w:rPr>
          <w:rFonts w:ascii="Times New Roman" w:hAnsi="Times New Roman" w:cs="Times New Roman"/>
          <w:sz w:val="20"/>
          <w:szCs w:val="20"/>
        </w:rPr>
        <w:t>variance and significant means were separated using statistical package ASSISTAT Version 7.7 beta (2013).</w:t>
      </w:r>
    </w:p>
    <w:p w:rsidR="00616835" w:rsidRDefault="00616835"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Results and Discussion</w:t>
      </w:r>
    </w:p>
    <w:p w:rsidR="00D835C2" w:rsidRDefault="00A9105A" w:rsidP="00616835">
      <w:pPr>
        <w:adjustRightInd w:val="0"/>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composition and calculated analysis of starter and finisher diets are shown in Table 1. The crude protein and metabolizable</w:t>
      </w:r>
      <w:r>
        <w:rPr>
          <w:rFonts w:ascii="Times New Roman" w:hAnsi="Times New Roman" w:cs="Times New Roman"/>
          <w:sz w:val="20"/>
          <w:szCs w:val="20"/>
        </w:rPr>
        <w:t xml:space="preserve"> energy content diets respectively were within the range recommended by Oluyemi and Robert (2000).</w:t>
      </w:r>
    </w:p>
    <w:p w:rsidR="00D835C2" w:rsidRDefault="00D835C2" w:rsidP="00616835">
      <w:pPr>
        <w:adjustRightInd w:val="0"/>
        <w:snapToGrid w:val="0"/>
        <w:spacing w:after="0" w:line="240" w:lineRule="auto"/>
        <w:jc w:val="both"/>
        <w:rPr>
          <w:rFonts w:ascii="Times New Roman" w:hAnsi="Times New Roman" w:cs="Times New Roman"/>
          <w:b/>
          <w:bCs/>
          <w:sz w:val="20"/>
          <w:szCs w:val="20"/>
        </w:rPr>
      </w:pPr>
    </w:p>
    <w:p w:rsidR="00D835C2" w:rsidRDefault="00D835C2" w:rsidP="00616835">
      <w:pPr>
        <w:adjustRightInd w:val="0"/>
        <w:snapToGrid w:val="0"/>
        <w:spacing w:after="0" w:line="240" w:lineRule="auto"/>
        <w:jc w:val="both"/>
        <w:rPr>
          <w:rFonts w:ascii="Times New Roman" w:hAnsi="Times New Roman" w:cs="Times New Roman"/>
          <w:b/>
          <w:bCs/>
          <w:sz w:val="20"/>
          <w:szCs w:val="20"/>
        </w:rPr>
        <w:sectPr w:rsidR="00D835C2">
          <w:type w:val="continuous"/>
          <w:pgSz w:w="12240" w:h="15840"/>
          <w:pgMar w:top="1440" w:right="1440" w:bottom="1440" w:left="1440" w:header="720" w:footer="720" w:gutter="0"/>
          <w:cols w:num="2" w:space="720" w:equalWidth="0">
            <w:col w:w="4467" w:space="425"/>
            <w:col w:w="4467"/>
          </w:cols>
          <w:docGrid w:linePitch="360"/>
        </w:sectPr>
      </w:pPr>
    </w:p>
    <w:p w:rsidR="00D835C2" w:rsidRDefault="00D835C2" w:rsidP="00616835">
      <w:pPr>
        <w:adjustRightInd w:val="0"/>
        <w:snapToGrid w:val="0"/>
        <w:spacing w:after="0" w:line="240" w:lineRule="auto"/>
        <w:jc w:val="center"/>
        <w:rPr>
          <w:rFonts w:ascii="Times New Roman" w:hAnsi="Times New Roman" w:cs="Times New Roman"/>
          <w:b/>
          <w:bCs/>
          <w:sz w:val="20"/>
          <w:szCs w:val="20"/>
        </w:rPr>
      </w:pPr>
    </w:p>
    <w:p w:rsidR="006F7917" w:rsidRDefault="006F7917" w:rsidP="00616835">
      <w:pPr>
        <w:adjustRightInd w:val="0"/>
        <w:snapToGrid w:val="0"/>
        <w:spacing w:after="0" w:line="240" w:lineRule="auto"/>
        <w:jc w:val="center"/>
        <w:rPr>
          <w:rFonts w:ascii="Times New Roman" w:hAnsi="Times New Roman" w:cs="Times New Roman" w:hint="eastAsia"/>
          <w:b/>
          <w:bCs/>
          <w:sz w:val="20"/>
          <w:szCs w:val="20"/>
          <w:lang w:eastAsia="zh-CN"/>
        </w:rPr>
      </w:pPr>
    </w:p>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1: Gross Composition of Starter and Finisher Diets</w:t>
      </w:r>
    </w:p>
    <w:tbl>
      <w:tblPr>
        <w:tblStyle w:val="TableGrid"/>
        <w:tblW w:w="0" w:type="auto"/>
        <w:jc w:val="center"/>
        <w:tblBorders>
          <w:insideH w:val="none" w:sz="0" w:space="0" w:color="auto"/>
          <w:insideV w:val="none" w:sz="0" w:space="0" w:color="auto"/>
        </w:tblBorders>
        <w:tblLook w:val="04A0"/>
      </w:tblPr>
      <w:tblGrid>
        <w:gridCol w:w="4534"/>
        <w:gridCol w:w="2536"/>
        <w:gridCol w:w="2409"/>
      </w:tblGrid>
      <w:tr w:rsidR="00D835C2">
        <w:trPr>
          <w:trHeight w:val="208"/>
          <w:jc w:val="center"/>
        </w:trPr>
        <w:tc>
          <w:tcPr>
            <w:tcW w:w="4534" w:type="dxa"/>
            <w:tcBorders>
              <w:top w:val="single" w:sz="4" w:space="0" w:color="auto"/>
              <w:bottom w:val="single" w:sz="4" w:space="0" w:color="auto"/>
            </w:tcBorders>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Feed Ingredients</w:t>
            </w:r>
          </w:p>
        </w:tc>
        <w:tc>
          <w:tcPr>
            <w:tcW w:w="2536" w:type="dxa"/>
            <w:tcBorders>
              <w:top w:val="single" w:sz="4" w:space="0" w:color="auto"/>
              <w:bottom w:val="single" w:sz="4" w:space="0" w:color="auto"/>
            </w:tcBorders>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Starter Diet</w:t>
            </w:r>
          </w:p>
        </w:tc>
        <w:tc>
          <w:tcPr>
            <w:tcW w:w="2409" w:type="dxa"/>
            <w:tcBorders>
              <w:top w:val="single" w:sz="4" w:space="0" w:color="auto"/>
              <w:bottom w:val="single" w:sz="4" w:space="0" w:color="auto"/>
            </w:tcBorders>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Finisher Diet</w:t>
            </w:r>
          </w:p>
        </w:tc>
      </w:tr>
      <w:tr w:rsidR="00D835C2">
        <w:trPr>
          <w:trHeight w:val="190"/>
          <w:jc w:val="center"/>
        </w:trPr>
        <w:tc>
          <w:tcPr>
            <w:tcW w:w="4534" w:type="dxa"/>
            <w:tcBorders>
              <w:top w:val="single" w:sz="4" w:space="0" w:color="auto"/>
            </w:tcBorders>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Maize</w:t>
            </w:r>
          </w:p>
        </w:tc>
        <w:tc>
          <w:tcPr>
            <w:tcW w:w="2536" w:type="dxa"/>
            <w:tcBorders>
              <w:top w:val="single" w:sz="4" w:space="0" w:color="auto"/>
            </w:tcBorders>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46.71</w:t>
            </w:r>
          </w:p>
        </w:tc>
        <w:tc>
          <w:tcPr>
            <w:tcW w:w="2409" w:type="dxa"/>
            <w:tcBorders>
              <w:top w:val="single" w:sz="4" w:space="0" w:color="auto"/>
            </w:tcBorders>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61.00</w:t>
            </w:r>
          </w:p>
        </w:tc>
      </w:tr>
      <w:tr w:rsidR="00D835C2">
        <w:trPr>
          <w:trHeight w:val="182"/>
          <w:jc w:val="center"/>
        </w:trPr>
        <w:tc>
          <w:tcPr>
            <w:tcW w:w="4534" w:type="dxa"/>
          </w:tcPr>
          <w:p w:rsidR="00D835C2" w:rsidRDefault="00616835"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Soybean</w:t>
            </w:r>
            <w:r w:rsidR="00A9105A">
              <w:rPr>
                <w:rFonts w:ascii="Times New Roman" w:hAnsi="Times New Roman" w:cs="Times New Roman"/>
                <w:sz w:val="20"/>
                <w:szCs w:val="20"/>
              </w:rPr>
              <w:t xml:space="preserve"> meal</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21.29</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17.00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Groundnut cake</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15.00</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12.00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Fish meal (72%)</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Wheat offal</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Di-calcium Phosphate</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Limestome</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Lysine</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Methionine</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Broiler Premix</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Salt</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100.00</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100.00</w:t>
            </w:r>
          </w:p>
        </w:tc>
      </w:tr>
      <w:tr w:rsidR="00D835C2">
        <w:trPr>
          <w:trHeight w:val="182"/>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Calculated Analysis</w:t>
            </w:r>
          </w:p>
        </w:tc>
        <w:tc>
          <w:tcPr>
            <w:tcW w:w="2536" w:type="dxa"/>
          </w:tcPr>
          <w:p w:rsidR="00D835C2" w:rsidRDefault="00D835C2" w:rsidP="00616835">
            <w:pPr>
              <w:adjustRightInd w:val="0"/>
              <w:snapToGrid w:val="0"/>
              <w:spacing w:after="0" w:line="240" w:lineRule="auto"/>
              <w:jc w:val="center"/>
              <w:rPr>
                <w:rFonts w:ascii="Times New Roman" w:hAnsi="Times New Roman" w:cs="Times New Roman"/>
                <w:sz w:val="20"/>
                <w:szCs w:val="20"/>
              </w:rPr>
            </w:pPr>
          </w:p>
        </w:tc>
        <w:tc>
          <w:tcPr>
            <w:tcW w:w="2409" w:type="dxa"/>
          </w:tcPr>
          <w:p w:rsidR="00D835C2" w:rsidRDefault="00D835C2" w:rsidP="00616835">
            <w:pPr>
              <w:adjustRightInd w:val="0"/>
              <w:snapToGrid w:val="0"/>
              <w:spacing w:after="0" w:line="240" w:lineRule="auto"/>
              <w:jc w:val="center"/>
              <w:rPr>
                <w:rFonts w:ascii="Times New Roman" w:hAnsi="Times New Roman" w:cs="Times New Roman"/>
                <w:sz w:val="20"/>
                <w:szCs w:val="20"/>
              </w:rPr>
            </w:pPr>
          </w:p>
        </w:tc>
      </w:tr>
      <w:tr w:rsidR="00D835C2">
        <w:trPr>
          <w:trHeight w:val="185"/>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Metabolizable Energy (kcal/kg)</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2713.41</w:t>
            </w:r>
          </w:p>
        </w:tc>
        <w:tc>
          <w:tcPr>
            <w:tcW w:w="2409"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2918.76</w:t>
            </w:r>
          </w:p>
        </w:tc>
      </w:tr>
      <w:tr w:rsidR="00D835C2">
        <w:trPr>
          <w:trHeight w:val="208"/>
          <w:jc w:val="center"/>
        </w:trPr>
        <w:tc>
          <w:tcPr>
            <w:tcW w:w="4534"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Crude Protein (%)</w:t>
            </w:r>
          </w:p>
        </w:tc>
        <w:tc>
          <w:tcPr>
            <w:tcW w:w="2536"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24.00     20.37</w:t>
            </w:r>
          </w:p>
        </w:tc>
        <w:tc>
          <w:tcPr>
            <w:tcW w:w="2409" w:type="dxa"/>
          </w:tcPr>
          <w:p w:rsidR="00D835C2" w:rsidRDefault="00D835C2" w:rsidP="00616835">
            <w:pPr>
              <w:adjustRightInd w:val="0"/>
              <w:snapToGrid w:val="0"/>
              <w:spacing w:after="0" w:line="240" w:lineRule="auto"/>
              <w:jc w:val="center"/>
              <w:rPr>
                <w:rFonts w:ascii="Times New Roman" w:hAnsi="Times New Roman" w:cs="Times New Roman"/>
                <w:sz w:val="20"/>
                <w:szCs w:val="20"/>
              </w:rPr>
            </w:pPr>
          </w:p>
        </w:tc>
      </w:tr>
    </w:tbl>
    <w:p w:rsidR="00D835C2" w:rsidRDefault="00D835C2" w:rsidP="00616835">
      <w:pPr>
        <w:adjustRightInd w:val="0"/>
        <w:snapToGrid w:val="0"/>
        <w:spacing w:after="0" w:line="240" w:lineRule="auto"/>
        <w:jc w:val="both"/>
        <w:rPr>
          <w:rFonts w:ascii="Times New Roman" w:hAnsi="Times New Roman" w:cs="Times New Roman" w:hint="eastAsia"/>
          <w:sz w:val="20"/>
          <w:szCs w:val="20"/>
          <w:lang w:eastAsia="zh-CN"/>
        </w:rPr>
      </w:pPr>
    </w:p>
    <w:p w:rsidR="00616835" w:rsidRDefault="00616835"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sectPr w:rsidR="006F7917">
          <w:type w:val="continuous"/>
          <w:pgSz w:w="12240" w:h="15840"/>
          <w:pgMar w:top="1440" w:right="1440" w:bottom="1440" w:left="1440" w:header="720" w:footer="720" w:gutter="0"/>
          <w:cols w:space="425"/>
          <w:docGrid w:linePitch="360"/>
        </w:sectPr>
      </w:pPr>
    </w:p>
    <w:p w:rsidR="00D835C2" w:rsidRDefault="00A9105A" w:rsidP="00616835">
      <w:pPr>
        <w:adjustRightInd w:val="0"/>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The effect of mixture of ginger and garlic in diets on the body weight development of broiler. chicken is presented in Table 2. The final</w:t>
      </w:r>
      <w:r>
        <w:rPr>
          <w:rFonts w:ascii="Times New Roman" w:hAnsi="Times New Roman" w:cs="Times New Roman"/>
          <w:sz w:val="20"/>
          <w:szCs w:val="20"/>
        </w:rPr>
        <w:t xml:space="preserve"> mean body </w:t>
      </w:r>
      <w:r>
        <w:rPr>
          <w:rFonts w:ascii="Times New Roman" w:hAnsi="Times New Roman" w:cs="Times New Roman"/>
          <w:sz w:val="20"/>
          <w:szCs w:val="20"/>
        </w:rPr>
        <w:lastRenderedPageBreak/>
        <w:t>weight gain and feed intake (kg) and feed conversion ratio (FCR) values (kg)for birds on control, T</w:t>
      </w:r>
      <w:r>
        <w:rPr>
          <w:rFonts w:ascii="Times New Roman" w:hAnsi="Times New Roman" w:cs="Times New Roman"/>
          <w:sz w:val="20"/>
          <w:szCs w:val="20"/>
          <w:vertAlign w:val="subscript"/>
        </w:rPr>
        <w:t>1</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 xml:space="preserve">2 </w:t>
      </w:r>
      <w:r>
        <w:rPr>
          <w:rFonts w:ascii="Times New Roman" w:hAnsi="Times New Roman" w:cs="Times New Roman"/>
          <w:sz w:val="20"/>
          <w:szCs w:val="20"/>
        </w:rPr>
        <w:t xml:space="preserve">diets respectively were similar (p&gt;0.05). Inclusion of </w:t>
      </w:r>
      <w:r>
        <w:rPr>
          <w:rFonts w:ascii="Times New Roman" w:hAnsi="Times New Roman" w:cs="Times New Roman"/>
          <w:sz w:val="20"/>
          <w:szCs w:val="20"/>
        </w:rPr>
        <w:lastRenderedPageBreak/>
        <w:t>mixture of 7.5g ginger plus</w:t>
      </w:r>
      <w:r w:rsidR="00616835">
        <w:rPr>
          <w:rFonts w:ascii="Times New Roman" w:hAnsi="Times New Roman" w:cs="Times New Roman" w:hint="eastAsia"/>
          <w:sz w:val="20"/>
          <w:szCs w:val="20"/>
          <w:lang w:eastAsia="zh-CN"/>
        </w:rPr>
        <w:t xml:space="preserve"> </w:t>
      </w:r>
      <w:r>
        <w:rPr>
          <w:rFonts w:ascii="Times New Roman" w:hAnsi="Times New Roman" w:cs="Times New Roman"/>
          <w:sz w:val="20"/>
          <w:szCs w:val="20"/>
        </w:rPr>
        <w:t>7.5</w:t>
      </w:r>
      <w:r w:rsidR="00616835">
        <w:rPr>
          <w:rFonts w:ascii="Times New Roman" w:hAnsi="Times New Roman" w:cs="Times New Roman" w:hint="eastAsia"/>
          <w:sz w:val="20"/>
          <w:szCs w:val="20"/>
          <w:lang w:eastAsia="zh-CN"/>
        </w:rPr>
        <w:t xml:space="preserve"> </w:t>
      </w:r>
      <w:r>
        <w:rPr>
          <w:rFonts w:ascii="Times New Roman" w:hAnsi="Times New Roman" w:cs="Times New Roman"/>
          <w:sz w:val="20"/>
          <w:szCs w:val="20"/>
        </w:rPr>
        <w:t>g garlic mixture 25</w:t>
      </w:r>
      <w:r w:rsidR="00616835">
        <w:rPr>
          <w:rFonts w:ascii="Times New Roman" w:hAnsi="Times New Roman" w:cs="Times New Roman" w:hint="eastAsia"/>
          <w:sz w:val="20"/>
          <w:szCs w:val="20"/>
          <w:lang w:eastAsia="zh-CN"/>
        </w:rPr>
        <w:t xml:space="preserve"> </w:t>
      </w:r>
      <w:r>
        <w:rPr>
          <w:rFonts w:ascii="Times New Roman" w:hAnsi="Times New Roman" w:cs="Times New Roman"/>
          <w:sz w:val="20"/>
          <w:szCs w:val="20"/>
        </w:rPr>
        <w:t>kg diet slightly increased body w</w:t>
      </w:r>
      <w:r>
        <w:rPr>
          <w:rFonts w:ascii="Times New Roman" w:hAnsi="Times New Roman" w:cs="Times New Roman"/>
          <w:sz w:val="20"/>
          <w:szCs w:val="20"/>
        </w:rPr>
        <w:t>eight gain of birds. Bird fed. 15g ginger plus 15g garlic mixture/ 25kg diets had the lowest body weight gain due to higher level the mixture. Broiler chicken fed control diets increased in weekly body weight gain rapidly between 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and 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week, and decl</w:t>
      </w:r>
      <w:r>
        <w:rPr>
          <w:rFonts w:ascii="Times New Roman" w:hAnsi="Times New Roman" w:cs="Times New Roman"/>
          <w:sz w:val="20"/>
          <w:szCs w:val="20"/>
        </w:rPr>
        <w:t>ine from week 7 Birds fed T</w:t>
      </w:r>
      <w:r>
        <w:rPr>
          <w:rFonts w:ascii="Times New Roman" w:hAnsi="Times New Roman" w:cs="Times New Roman"/>
          <w:sz w:val="20"/>
          <w:szCs w:val="20"/>
          <w:vertAlign w:val="subscript"/>
        </w:rPr>
        <w:t>1</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2</w:t>
      </w:r>
      <w:r>
        <w:rPr>
          <w:rFonts w:ascii="Times New Roman" w:hAnsi="Times New Roman" w:cs="Times New Roman"/>
          <w:sz w:val="20"/>
          <w:szCs w:val="20"/>
        </w:rPr>
        <w:t xml:space="preserve"> diets steadily increase in weekly body weight gain behind those fed control diet (See Fig. 1). The differences in weekly body weight gain could be attributed probably to high fiber and some anti </w:t>
      </w:r>
      <w:r>
        <w:rPr>
          <w:rFonts w:ascii="Times New Roman" w:hAnsi="Times New Roman" w:cs="Times New Roman"/>
          <w:sz w:val="20"/>
          <w:szCs w:val="20"/>
        </w:rPr>
        <w:lastRenderedPageBreak/>
        <w:t>nutritional factor in the</w:t>
      </w:r>
      <w:r>
        <w:rPr>
          <w:rFonts w:ascii="Times New Roman" w:hAnsi="Times New Roman" w:cs="Times New Roman"/>
          <w:sz w:val="20"/>
          <w:szCs w:val="20"/>
        </w:rPr>
        <w:t xml:space="preserve"> mixture of ginger and garlic included in the diets. The increasing positive beneficial growth potential of birds on T</w:t>
      </w:r>
      <w:r>
        <w:rPr>
          <w:rFonts w:ascii="Times New Roman" w:hAnsi="Times New Roman" w:cs="Times New Roman"/>
          <w:sz w:val="20"/>
          <w:szCs w:val="20"/>
          <w:vertAlign w:val="subscript"/>
        </w:rPr>
        <w:t>1</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2</w:t>
      </w:r>
      <w:r>
        <w:rPr>
          <w:rFonts w:ascii="Times New Roman" w:hAnsi="Times New Roman" w:cs="Times New Roman"/>
          <w:sz w:val="20"/>
          <w:szCs w:val="20"/>
        </w:rPr>
        <w:t xml:space="preserve"> diets could possibly due to improvement in feed digestion, additive. advantage of nutrients and anti-microbial property of the mi</w:t>
      </w:r>
      <w:r>
        <w:rPr>
          <w:rFonts w:ascii="Times New Roman" w:hAnsi="Times New Roman" w:cs="Times New Roman"/>
          <w:sz w:val="20"/>
          <w:szCs w:val="20"/>
        </w:rPr>
        <w:t>xture of ginger and garlic in the diets (Tekeli et al., 2008; Gbenga et al., 2009). Mortality was moderate and evenly spread. ranging from 9-4 percent. Birds on diet T, survived the most (96% live ability) suggestive of the advantage of the antibiotic prop</w:t>
      </w:r>
      <w:r>
        <w:rPr>
          <w:rFonts w:ascii="Times New Roman" w:hAnsi="Times New Roman" w:cs="Times New Roman"/>
          <w:sz w:val="20"/>
          <w:szCs w:val="20"/>
        </w:rPr>
        <w:t>erty of mixture of ginger and garlic in the diets.</w:t>
      </w:r>
    </w:p>
    <w:p w:rsidR="00D835C2" w:rsidRDefault="00D835C2" w:rsidP="00616835">
      <w:pPr>
        <w:adjustRightInd w:val="0"/>
        <w:snapToGrid w:val="0"/>
        <w:spacing w:after="0" w:line="240" w:lineRule="auto"/>
        <w:jc w:val="both"/>
        <w:rPr>
          <w:rFonts w:ascii="Times New Roman" w:hAnsi="Times New Roman" w:cs="Times New Roman"/>
          <w:b/>
          <w:bCs/>
          <w:sz w:val="20"/>
          <w:szCs w:val="20"/>
        </w:rPr>
        <w:sectPr w:rsidR="00D835C2">
          <w:type w:val="continuous"/>
          <w:pgSz w:w="12240" w:h="15840"/>
          <w:pgMar w:top="1440" w:right="1440" w:bottom="1440" w:left="1440" w:header="720" w:footer="720" w:gutter="0"/>
          <w:cols w:num="2" w:space="720" w:equalWidth="0">
            <w:col w:w="4467" w:space="425"/>
            <w:col w:w="4467"/>
          </w:cols>
          <w:docGrid w:linePitch="360"/>
        </w:sectPr>
      </w:pPr>
    </w:p>
    <w:p w:rsidR="00D835C2" w:rsidRDefault="00D835C2" w:rsidP="00616835">
      <w:pPr>
        <w:adjustRightInd w:val="0"/>
        <w:snapToGrid w:val="0"/>
        <w:spacing w:after="0" w:line="240" w:lineRule="auto"/>
        <w:jc w:val="both"/>
        <w:rPr>
          <w:rFonts w:ascii="Times New Roman" w:hAnsi="Times New Roman" w:cs="Times New Roman"/>
          <w:b/>
          <w:bCs/>
          <w:sz w:val="20"/>
          <w:szCs w:val="20"/>
        </w:rPr>
      </w:pPr>
    </w:p>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2 body weight of broiler chicken fed mixture of ginger and garlic in diet</w:t>
      </w:r>
    </w:p>
    <w:tbl>
      <w:tblPr>
        <w:tblStyle w:val="TableGrid"/>
        <w:tblW w:w="9238" w:type="dxa"/>
        <w:jc w:val="center"/>
        <w:tblBorders>
          <w:insideH w:val="none" w:sz="0" w:space="0" w:color="auto"/>
        </w:tblBorders>
        <w:tblLook w:val="04A0"/>
      </w:tblPr>
      <w:tblGrid>
        <w:gridCol w:w="3483"/>
        <w:gridCol w:w="1495"/>
        <w:gridCol w:w="1432"/>
        <w:gridCol w:w="1432"/>
        <w:gridCol w:w="1396"/>
      </w:tblGrid>
      <w:tr w:rsidR="00D835C2" w:rsidTr="00616835">
        <w:trPr>
          <w:trHeight w:val="244"/>
          <w:jc w:val="center"/>
        </w:trPr>
        <w:tc>
          <w:tcPr>
            <w:tcW w:w="3483" w:type="dxa"/>
            <w:tcBorders>
              <w:top w:val="single" w:sz="4" w:space="0" w:color="auto"/>
              <w:bottom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Parameters </w:t>
            </w:r>
          </w:p>
        </w:tc>
        <w:tc>
          <w:tcPr>
            <w:tcW w:w="1495" w:type="dxa"/>
            <w:tcBorders>
              <w:top w:val="single" w:sz="4" w:space="0" w:color="auto"/>
              <w:bottom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Control </w:t>
            </w:r>
          </w:p>
        </w:tc>
        <w:tc>
          <w:tcPr>
            <w:tcW w:w="1432" w:type="dxa"/>
            <w:tcBorders>
              <w:top w:val="single" w:sz="4" w:space="0" w:color="auto"/>
              <w:bottom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T</w:t>
            </w:r>
            <w:r>
              <w:rPr>
                <w:rFonts w:ascii="Times New Roman" w:hAnsi="Times New Roman" w:cs="Times New Roman"/>
                <w:b/>
                <w:bCs/>
                <w:sz w:val="20"/>
                <w:szCs w:val="20"/>
                <w:vertAlign w:val="subscript"/>
              </w:rPr>
              <w:t>1</w:t>
            </w:r>
          </w:p>
        </w:tc>
        <w:tc>
          <w:tcPr>
            <w:tcW w:w="1432" w:type="dxa"/>
            <w:tcBorders>
              <w:top w:val="single" w:sz="4" w:space="0" w:color="auto"/>
              <w:bottom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T</w:t>
            </w:r>
            <w:r>
              <w:rPr>
                <w:rFonts w:ascii="Times New Roman" w:hAnsi="Times New Roman" w:cs="Times New Roman"/>
                <w:b/>
                <w:bCs/>
                <w:sz w:val="20"/>
                <w:szCs w:val="20"/>
                <w:vertAlign w:val="subscript"/>
              </w:rPr>
              <w:t>2</w:t>
            </w:r>
          </w:p>
        </w:tc>
        <w:tc>
          <w:tcPr>
            <w:tcW w:w="1396" w:type="dxa"/>
            <w:tcBorders>
              <w:top w:val="single" w:sz="4" w:space="0" w:color="auto"/>
              <w:bottom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SEM</w:t>
            </w:r>
          </w:p>
        </w:tc>
      </w:tr>
      <w:tr w:rsidR="00D835C2" w:rsidTr="00616835">
        <w:trPr>
          <w:trHeight w:val="244"/>
          <w:jc w:val="center"/>
        </w:trPr>
        <w:tc>
          <w:tcPr>
            <w:tcW w:w="3483" w:type="dxa"/>
            <w:tcBorders>
              <w:top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Initial weight (g) @ 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week</w:t>
            </w:r>
          </w:p>
        </w:tc>
        <w:tc>
          <w:tcPr>
            <w:tcW w:w="1495" w:type="dxa"/>
            <w:tcBorders>
              <w:top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0.17</w:t>
            </w:r>
          </w:p>
        </w:tc>
        <w:tc>
          <w:tcPr>
            <w:tcW w:w="1432" w:type="dxa"/>
            <w:tcBorders>
              <w:top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0.16</w:t>
            </w:r>
          </w:p>
        </w:tc>
        <w:tc>
          <w:tcPr>
            <w:tcW w:w="1432" w:type="dxa"/>
            <w:tcBorders>
              <w:top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0.18</w:t>
            </w:r>
          </w:p>
        </w:tc>
        <w:tc>
          <w:tcPr>
            <w:tcW w:w="1396" w:type="dxa"/>
            <w:tcBorders>
              <w:top w:val="single" w:sz="4" w:space="0" w:color="auto"/>
            </w:tcBorders>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0.01</w:t>
            </w:r>
          </w:p>
        </w:tc>
      </w:tr>
      <w:tr w:rsidR="00D835C2" w:rsidTr="00616835">
        <w:trPr>
          <w:trHeight w:val="234"/>
          <w:jc w:val="center"/>
        </w:trPr>
        <w:tc>
          <w:tcPr>
            <w:tcW w:w="3483"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Final weight (kg) </w:t>
            </w:r>
          </w:p>
        </w:tc>
        <w:tc>
          <w:tcPr>
            <w:tcW w:w="1495"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2.02</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2.06</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1.92</w:t>
            </w:r>
          </w:p>
        </w:tc>
        <w:tc>
          <w:tcPr>
            <w:tcW w:w="139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0.91</w:t>
            </w:r>
          </w:p>
        </w:tc>
      </w:tr>
      <w:tr w:rsidR="00D835C2" w:rsidTr="00616835">
        <w:trPr>
          <w:trHeight w:val="234"/>
          <w:jc w:val="center"/>
        </w:trPr>
        <w:tc>
          <w:tcPr>
            <w:tcW w:w="3483"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Weight gain (kg) </w:t>
            </w:r>
          </w:p>
        </w:tc>
        <w:tc>
          <w:tcPr>
            <w:tcW w:w="1495"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1.85</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1.90</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1.74</w:t>
            </w:r>
          </w:p>
        </w:tc>
        <w:tc>
          <w:tcPr>
            <w:tcW w:w="139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0.07</w:t>
            </w:r>
          </w:p>
        </w:tc>
      </w:tr>
      <w:tr w:rsidR="00D835C2" w:rsidTr="00616835">
        <w:trPr>
          <w:trHeight w:val="234"/>
          <w:jc w:val="center"/>
        </w:trPr>
        <w:tc>
          <w:tcPr>
            <w:tcW w:w="3483"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Feed intake (kg) </w:t>
            </w:r>
          </w:p>
        </w:tc>
        <w:tc>
          <w:tcPr>
            <w:tcW w:w="1495"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4.77</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4.22</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4.02</w:t>
            </w:r>
          </w:p>
        </w:tc>
        <w:tc>
          <w:tcPr>
            <w:tcW w:w="139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0.32</w:t>
            </w:r>
          </w:p>
        </w:tc>
      </w:tr>
      <w:tr w:rsidR="00D835C2" w:rsidTr="006F7917">
        <w:trPr>
          <w:trHeight w:val="177"/>
          <w:jc w:val="center"/>
        </w:trPr>
        <w:tc>
          <w:tcPr>
            <w:tcW w:w="3483" w:type="dxa"/>
          </w:tcPr>
          <w:p w:rsidR="00D835C2" w:rsidRDefault="00A9105A" w:rsidP="00616835">
            <w:pPr>
              <w:adjustRightInd w:val="0"/>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Feed conversation ratio (feed/weight) </w:t>
            </w:r>
          </w:p>
        </w:tc>
        <w:tc>
          <w:tcPr>
            <w:tcW w:w="1495"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2.70</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2.22</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2.31</w:t>
            </w:r>
          </w:p>
        </w:tc>
        <w:tc>
          <w:tcPr>
            <w:tcW w:w="139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0.21</w:t>
            </w:r>
          </w:p>
        </w:tc>
      </w:tr>
      <w:tr w:rsidR="00D835C2" w:rsidTr="00616835">
        <w:trPr>
          <w:trHeight w:val="244"/>
          <w:jc w:val="center"/>
        </w:trPr>
        <w:tc>
          <w:tcPr>
            <w:tcW w:w="3483"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Live ability </w:t>
            </w:r>
          </w:p>
        </w:tc>
        <w:tc>
          <w:tcPr>
            <w:tcW w:w="1495"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91.00</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96.00</w:t>
            </w:r>
          </w:p>
        </w:tc>
        <w:tc>
          <w:tcPr>
            <w:tcW w:w="143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92.00</w:t>
            </w:r>
          </w:p>
        </w:tc>
        <w:tc>
          <w:tcPr>
            <w:tcW w:w="139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1.49</w:t>
            </w:r>
          </w:p>
        </w:tc>
      </w:tr>
    </w:tbl>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noProof/>
          <w:sz w:val="20"/>
          <w:szCs w:val="20"/>
          <w:lang w:eastAsia="zh-CN"/>
        </w:rPr>
        <w:drawing>
          <wp:anchor distT="0" distB="0" distL="114300" distR="114300" simplePos="0" relativeHeight="251659264" behindDoc="0" locked="0" layoutInCell="1" allowOverlap="1">
            <wp:simplePos x="0" y="0"/>
            <wp:positionH relativeFrom="column">
              <wp:posOffset>3810</wp:posOffset>
            </wp:positionH>
            <wp:positionV relativeFrom="paragraph">
              <wp:posOffset>396240</wp:posOffset>
            </wp:positionV>
            <wp:extent cx="5964555" cy="1911350"/>
            <wp:effectExtent l="0" t="0" r="1714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aturation sat="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23" t="58664" r="11591" b="23911"/>
                    <a:stretch>
                      <a:fillRect/>
                    </a:stretch>
                  </pic:blipFill>
                  <pic:spPr>
                    <a:xfrm>
                      <a:off x="0" y="0"/>
                      <a:ext cx="5964555" cy="1911350"/>
                    </a:xfrm>
                    <a:prstGeom prst="rect">
                      <a:avLst/>
                    </a:prstGeom>
                    <a:noFill/>
                    <a:ln>
                      <a:noFill/>
                    </a:ln>
                  </pic:spPr>
                </pic:pic>
              </a:graphicData>
            </a:graphic>
          </wp:anchor>
        </w:drawing>
      </w:r>
      <w:r>
        <w:rPr>
          <w:rFonts w:ascii="Times New Roman" w:hAnsi="Times New Roman" w:cs="Times New Roman"/>
          <w:b/>
          <w:bCs/>
          <w:sz w:val="20"/>
          <w:szCs w:val="20"/>
        </w:rPr>
        <w:t>Control: experiential diet T</w:t>
      </w:r>
      <w:r>
        <w:rPr>
          <w:rFonts w:ascii="Times New Roman" w:hAnsi="Times New Roman" w:cs="Times New Roman"/>
          <w:b/>
          <w:bCs/>
          <w:sz w:val="20"/>
          <w:szCs w:val="20"/>
          <w:vertAlign w:val="subscript"/>
        </w:rPr>
        <w:t>1</w:t>
      </w:r>
      <w:r>
        <w:rPr>
          <w:rFonts w:ascii="Times New Roman" w:hAnsi="Times New Roman" w:cs="Times New Roman"/>
          <w:b/>
          <w:bCs/>
          <w:sz w:val="20"/>
          <w:szCs w:val="20"/>
        </w:rPr>
        <w:t xml:space="preserve">: (7.5g ginger + 7.5g garlic/25kg experimental diet); t2: (15g ginger+15g garlic/25kg experimental diet </w:t>
      </w:r>
    </w:p>
    <w:p w:rsidR="00D835C2" w:rsidRDefault="00D835C2" w:rsidP="00616835">
      <w:pPr>
        <w:adjustRightInd w:val="0"/>
        <w:snapToGrid w:val="0"/>
        <w:spacing w:after="0" w:line="240" w:lineRule="auto"/>
        <w:jc w:val="both"/>
        <w:rPr>
          <w:rFonts w:ascii="Times New Roman" w:hAnsi="Times New Roman" w:cs="Times New Roman"/>
          <w:b/>
          <w:bCs/>
          <w:sz w:val="20"/>
          <w:szCs w:val="20"/>
        </w:rPr>
      </w:pP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D835C2" w:rsidP="00616835">
      <w:pPr>
        <w:adjustRightInd w:val="0"/>
        <w:snapToGrid w:val="0"/>
        <w:spacing w:after="0" w:line="240" w:lineRule="auto"/>
        <w:jc w:val="both"/>
        <w:rPr>
          <w:rFonts w:ascii="Times New Roman" w:hAnsi="Times New Roman" w:cs="Times New Roman"/>
          <w:b/>
          <w:bCs/>
          <w:sz w:val="20"/>
          <w:szCs w:val="20"/>
        </w:rPr>
        <w:sectPr w:rsidR="00D835C2">
          <w:type w:val="continuous"/>
          <w:pgSz w:w="12240" w:h="15840"/>
          <w:pgMar w:top="1440" w:right="1440" w:bottom="1440" w:left="1440" w:header="720" w:footer="720" w:gutter="0"/>
          <w:cols w:space="425"/>
          <w:docGrid w:linePitch="360"/>
        </w:sectPr>
      </w:pPr>
    </w:p>
    <w:p w:rsidR="00D835C2" w:rsidRDefault="00D835C2" w:rsidP="00616835">
      <w:pPr>
        <w:adjustRightInd w:val="0"/>
        <w:snapToGrid w:val="0"/>
        <w:spacing w:after="0" w:line="240" w:lineRule="auto"/>
        <w:jc w:val="center"/>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center"/>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center"/>
        <w:rPr>
          <w:rFonts w:ascii="Times New Roman" w:hAnsi="Times New Roman" w:cs="Times New Roman" w:hint="eastAsia"/>
          <w:sz w:val="20"/>
          <w:szCs w:val="20"/>
          <w:lang w:eastAsia="zh-CN"/>
        </w:rPr>
      </w:pPr>
    </w:p>
    <w:p w:rsidR="00D835C2" w:rsidRDefault="00D835C2" w:rsidP="00616835">
      <w:pPr>
        <w:adjustRightInd w:val="0"/>
        <w:snapToGrid w:val="0"/>
        <w:spacing w:after="0" w:line="240" w:lineRule="auto"/>
        <w:jc w:val="center"/>
        <w:rPr>
          <w:rFonts w:ascii="Times New Roman" w:hAnsi="Times New Roman" w:cs="Times New Roman"/>
          <w:sz w:val="20"/>
          <w:szCs w:val="20"/>
        </w:rPr>
      </w:pPr>
    </w:p>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 1 weekly body weight (kg) gain of broiler chicken</w:t>
      </w:r>
    </w:p>
    <w:p w:rsidR="00D835C2" w:rsidRDefault="00D835C2"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sectPr w:rsidR="006F7917">
          <w:type w:val="continuous"/>
          <w:pgSz w:w="12240" w:h="15840"/>
          <w:pgMar w:top="1440" w:right="1440" w:bottom="1440" w:left="1440" w:header="720" w:footer="720" w:gutter="0"/>
          <w:cols w:space="425"/>
          <w:docGrid w:linePitch="360"/>
        </w:sectPr>
      </w:pPr>
    </w:p>
    <w:p w:rsidR="00D835C2" w:rsidRDefault="00A9105A" w:rsidP="006F7917">
      <w:pPr>
        <w:adjustRightInd w:val="0"/>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The results of serum biochemical and haematological indices are </w:t>
      </w:r>
      <w:r>
        <w:rPr>
          <w:rFonts w:ascii="Times New Roman" w:hAnsi="Times New Roman" w:cs="Times New Roman"/>
          <w:sz w:val="20"/>
          <w:szCs w:val="20"/>
        </w:rPr>
        <w:t>presented in Tables 3&amp;4 respectively. Variation in the experimental diets had no significant (p&gt;0.05) difference on TP, UA and Alb except for Glu and ALP which showed significant (p&lt;0.05) difference</w:t>
      </w:r>
      <w:r w:rsidR="006F7917">
        <w:rPr>
          <w:rFonts w:ascii="Times New Roman" w:hAnsi="Times New Roman" w:cs="Times New Roman" w:hint="eastAsia"/>
          <w:sz w:val="20"/>
          <w:szCs w:val="20"/>
          <w:lang w:eastAsia="zh-CN"/>
        </w:rPr>
        <w:t xml:space="preserve"> </w:t>
      </w:r>
      <w:r>
        <w:rPr>
          <w:rFonts w:ascii="Times New Roman" w:hAnsi="Times New Roman" w:cs="Times New Roman"/>
          <w:sz w:val="20"/>
          <w:szCs w:val="20"/>
        </w:rPr>
        <w:t>with the level mixture of ginger and garlic in diets. The</w:t>
      </w:r>
      <w:r>
        <w:rPr>
          <w:rFonts w:ascii="Times New Roman" w:hAnsi="Times New Roman" w:cs="Times New Roman"/>
          <w:sz w:val="20"/>
          <w:szCs w:val="20"/>
        </w:rPr>
        <w:t xml:space="preserve"> haematological indices (HB, RBC, PVC, MCV, MCH. MCHC, Neut, Mon and Eos) of all treatment were similar except for WBC, Lymp and Baso which were significantly (p&gt;0.05) different. The values of serum biochemical and haematological </w:t>
      </w:r>
      <w:r>
        <w:rPr>
          <w:rFonts w:ascii="Times New Roman" w:hAnsi="Times New Roman" w:cs="Times New Roman"/>
          <w:sz w:val="20"/>
          <w:szCs w:val="20"/>
        </w:rPr>
        <w:lastRenderedPageBreak/>
        <w:t>indices obtained in this s</w:t>
      </w:r>
      <w:r>
        <w:rPr>
          <w:rFonts w:ascii="Times New Roman" w:hAnsi="Times New Roman" w:cs="Times New Roman"/>
          <w:sz w:val="20"/>
          <w:szCs w:val="20"/>
        </w:rPr>
        <w:t>tudy are comparable with similar results (Muhammed</w:t>
      </w:r>
      <w:r w:rsidR="00616835">
        <w:rPr>
          <w:rFonts w:ascii="Times New Roman" w:hAnsi="Times New Roman" w:cs="Times New Roman" w:hint="eastAsia"/>
          <w:sz w:val="20"/>
          <w:szCs w:val="20"/>
          <w:lang w:eastAsia="zh-CN"/>
        </w:rPr>
        <w:t xml:space="preserve"> </w:t>
      </w:r>
      <w:r>
        <w:rPr>
          <w:rFonts w:ascii="Times New Roman" w:hAnsi="Times New Roman" w:cs="Times New Roman"/>
          <w:sz w:val="20"/>
          <w:szCs w:val="20"/>
        </w:rPr>
        <w:t>et al., 2004). The progressive decreases in Hb value could indicate nutritional inadequacies as the level of mixture of ginger and garlic increased in the diets. This is in agreement with the decreased feed</w:t>
      </w:r>
      <w:r>
        <w:rPr>
          <w:rFonts w:ascii="Times New Roman" w:hAnsi="Times New Roman" w:cs="Times New Roman"/>
          <w:sz w:val="20"/>
          <w:szCs w:val="20"/>
        </w:rPr>
        <w:t xml:space="preserve"> intake of bird as mixture of ginger and garlic increased in the diets. the nutrient intake restriction effect of decreased voluntary feed intake may have  result in the deficiency of blood nutrient composition.</w:t>
      </w:r>
    </w:p>
    <w:p w:rsidR="00D835C2" w:rsidRDefault="00D835C2" w:rsidP="00616835">
      <w:pPr>
        <w:adjustRightInd w:val="0"/>
        <w:snapToGrid w:val="0"/>
        <w:spacing w:after="0" w:line="240" w:lineRule="auto"/>
        <w:jc w:val="both"/>
        <w:rPr>
          <w:rFonts w:ascii="Times New Roman" w:hAnsi="Times New Roman" w:cs="Times New Roman"/>
          <w:b/>
          <w:bCs/>
          <w:sz w:val="20"/>
          <w:szCs w:val="20"/>
        </w:rPr>
        <w:sectPr w:rsidR="00D835C2">
          <w:type w:val="continuous"/>
          <w:pgSz w:w="12240" w:h="15840"/>
          <w:pgMar w:top="1440" w:right="1440" w:bottom="1440" w:left="1440" w:header="720" w:footer="720" w:gutter="0"/>
          <w:cols w:num="2" w:space="720" w:equalWidth="0">
            <w:col w:w="4467" w:space="425"/>
            <w:col w:w="4467"/>
          </w:cols>
          <w:docGrid w:linePitch="360"/>
        </w:sect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Table 3. serum biochemical indices of broiler chicken fed mixture of ginger and garlic in diet </w:t>
      </w:r>
    </w:p>
    <w:tbl>
      <w:tblPr>
        <w:tblStyle w:val="TableGrid"/>
        <w:tblW w:w="0" w:type="auto"/>
        <w:jc w:val="center"/>
        <w:tblLook w:val="04A0"/>
      </w:tblPr>
      <w:tblGrid>
        <w:gridCol w:w="4062"/>
        <w:gridCol w:w="1436"/>
        <w:gridCol w:w="1407"/>
        <w:gridCol w:w="1407"/>
        <w:gridCol w:w="1046"/>
      </w:tblGrid>
      <w:tr w:rsidR="00D835C2">
        <w:trPr>
          <w:trHeight w:val="248"/>
          <w:jc w:val="center"/>
        </w:trPr>
        <w:tc>
          <w:tcPr>
            <w:tcW w:w="4062" w:type="dxa"/>
          </w:tcPr>
          <w:p w:rsidR="00D835C2" w:rsidRDefault="00A9105A" w:rsidP="00616835">
            <w:pPr>
              <w:adjustRightInd w:val="0"/>
              <w:snapToGrid w:val="0"/>
              <w:spacing w:after="0" w:line="240" w:lineRule="auto"/>
              <w:jc w:val="both"/>
              <w:rPr>
                <w:rFonts w:ascii="Times New Roman" w:hAnsi="Times New Roman" w:cs="Times New Roman"/>
                <w:b/>
                <w:bCs/>
                <w:sz w:val="20"/>
                <w:szCs w:val="20"/>
              </w:rPr>
            </w:pPr>
            <w:bookmarkStart w:id="0" w:name="_GoBack"/>
            <w:r>
              <w:rPr>
                <w:rFonts w:ascii="Times New Roman" w:hAnsi="Times New Roman" w:cs="Times New Roman"/>
                <w:b/>
                <w:bCs/>
                <w:sz w:val="20"/>
                <w:szCs w:val="20"/>
              </w:rPr>
              <w:t xml:space="preserve">Parameters </w:t>
            </w:r>
          </w:p>
        </w:tc>
        <w:tc>
          <w:tcPr>
            <w:tcW w:w="1436" w:type="dxa"/>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Control </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T</w:t>
            </w:r>
            <w:r>
              <w:rPr>
                <w:rFonts w:ascii="Times New Roman" w:hAnsi="Times New Roman" w:cs="Times New Roman"/>
                <w:b/>
                <w:bCs/>
                <w:sz w:val="20"/>
                <w:szCs w:val="20"/>
                <w:vertAlign w:val="subscript"/>
              </w:rPr>
              <w:t>1</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T</w:t>
            </w:r>
            <w:r>
              <w:rPr>
                <w:rFonts w:ascii="Times New Roman" w:hAnsi="Times New Roman" w:cs="Times New Roman"/>
                <w:b/>
                <w:bCs/>
                <w:sz w:val="20"/>
                <w:szCs w:val="20"/>
                <w:vertAlign w:val="subscript"/>
              </w:rPr>
              <w:t>2</w:t>
            </w:r>
          </w:p>
        </w:tc>
        <w:tc>
          <w:tcPr>
            <w:tcW w:w="1046" w:type="dxa"/>
          </w:tcPr>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SEM</w:t>
            </w:r>
          </w:p>
        </w:tc>
      </w:tr>
      <w:tr w:rsidR="00D835C2">
        <w:trPr>
          <w:trHeight w:val="248"/>
          <w:jc w:val="center"/>
        </w:trPr>
        <w:tc>
          <w:tcPr>
            <w:tcW w:w="406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 P (g/dl)</w:t>
            </w:r>
          </w:p>
        </w:tc>
        <w:tc>
          <w:tcPr>
            <w:tcW w:w="143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32.81</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37.90</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35.27</w:t>
            </w:r>
          </w:p>
        </w:tc>
        <w:tc>
          <w:tcPr>
            <w:tcW w:w="104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1.47</w:t>
            </w:r>
          </w:p>
        </w:tc>
      </w:tr>
      <w:tr w:rsidR="00D835C2">
        <w:trPr>
          <w:trHeight w:val="248"/>
          <w:jc w:val="center"/>
        </w:trPr>
        <w:tc>
          <w:tcPr>
            <w:tcW w:w="406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Glu (mg/dl)</w:t>
            </w:r>
          </w:p>
        </w:tc>
        <w:tc>
          <w:tcPr>
            <w:tcW w:w="143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213.93</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290.91</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228.85</w:t>
            </w:r>
            <w:r>
              <w:rPr>
                <w:rFonts w:ascii="Times New Roman" w:hAnsi="Times New Roman" w:cs="Times New Roman"/>
                <w:sz w:val="20"/>
                <w:szCs w:val="20"/>
                <w:vertAlign w:val="superscript"/>
              </w:rPr>
              <w:t>a</w:t>
            </w:r>
          </w:p>
        </w:tc>
        <w:tc>
          <w:tcPr>
            <w:tcW w:w="104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23.57</w:t>
            </w:r>
          </w:p>
        </w:tc>
      </w:tr>
      <w:tr w:rsidR="00D835C2">
        <w:trPr>
          <w:trHeight w:val="248"/>
          <w:jc w:val="center"/>
        </w:trPr>
        <w:tc>
          <w:tcPr>
            <w:tcW w:w="406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UA (mg/dl)</w:t>
            </w:r>
          </w:p>
        </w:tc>
        <w:tc>
          <w:tcPr>
            <w:tcW w:w="143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6.27</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5.22</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7.00</w:t>
            </w:r>
          </w:p>
        </w:tc>
        <w:tc>
          <w:tcPr>
            <w:tcW w:w="104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0.52</w:t>
            </w:r>
          </w:p>
        </w:tc>
      </w:tr>
      <w:tr w:rsidR="00D835C2">
        <w:trPr>
          <w:trHeight w:val="248"/>
          <w:jc w:val="center"/>
        </w:trPr>
        <w:tc>
          <w:tcPr>
            <w:tcW w:w="406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ALB</w:t>
            </w:r>
          </w:p>
        </w:tc>
        <w:tc>
          <w:tcPr>
            <w:tcW w:w="143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2.32</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1.59</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1.48</w:t>
            </w:r>
          </w:p>
        </w:tc>
        <w:tc>
          <w:tcPr>
            <w:tcW w:w="104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0.26</w:t>
            </w:r>
          </w:p>
        </w:tc>
      </w:tr>
      <w:tr w:rsidR="00D835C2">
        <w:trPr>
          <w:trHeight w:val="259"/>
          <w:jc w:val="center"/>
        </w:trPr>
        <w:tc>
          <w:tcPr>
            <w:tcW w:w="4062"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ALP (u/l)</w:t>
            </w:r>
          </w:p>
        </w:tc>
        <w:tc>
          <w:tcPr>
            <w:tcW w:w="143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1134.36</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1450.38</w:t>
            </w:r>
          </w:p>
        </w:tc>
        <w:tc>
          <w:tcPr>
            <w:tcW w:w="1407"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1261.32</w:t>
            </w:r>
            <w:r>
              <w:rPr>
                <w:rFonts w:ascii="Times New Roman" w:hAnsi="Times New Roman" w:cs="Times New Roman"/>
                <w:sz w:val="20"/>
                <w:szCs w:val="20"/>
                <w:vertAlign w:val="superscript"/>
              </w:rPr>
              <w:t>a</w:t>
            </w:r>
          </w:p>
        </w:tc>
        <w:tc>
          <w:tcPr>
            <w:tcW w:w="1046" w:type="dxa"/>
          </w:tcPr>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91.81</w:t>
            </w:r>
          </w:p>
        </w:tc>
      </w:tr>
      <w:bookmarkEnd w:id="0"/>
    </w:tbl>
    <w:p w:rsidR="00D835C2" w:rsidRDefault="00D835C2" w:rsidP="00616835">
      <w:pPr>
        <w:adjustRightInd w:val="0"/>
        <w:snapToGrid w:val="0"/>
        <w:spacing w:after="0" w:line="240" w:lineRule="auto"/>
        <w:jc w:val="both"/>
        <w:rPr>
          <w:rFonts w:ascii="Times New Roman" w:hAnsi="Times New Roman" w:cs="Times New Roman"/>
          <w:sz w:val="20"/>
          <w:szCs w:val="20"/>
          <w:vertAlign w:val="superscript"/>
        </w:rPr>
        <w:sectPr w:rsidR="00D835C2">
          <w:type w:val="continuous"/>
          <w:pgSz w:w="12240" w:h="15840"/>
          <w:pgMar w:top="1440" w:right="1440" w:bottom="1440" w:left="1440" w:header="720" w:footer="720" w:gutter="0"/>
          <w:cols w:space="425"/>
          <w:docGrid w:linePitch="360"/>
        </w:sectPr>
      </w:pPr>
    </w:p>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lastRenderedPageBreak/>
        <w:t>a.b</w:t>
      </w:r>
      <w:r>
        <w:rPr>
          <w:rFonts w:ascii="Times New Roman" w:hAnsi="Times New Roman" w:cs="Times New Roman"/>
          <w:sz w:val="20"/>
          <w:szCs w:val="20"/>
        </w:rPr>
        <w:t xml:space="preserve"> Means with different superscripts in the same row are significantly (p&lt;0.05) different. TP-Total protein, Glu Glucose, UA-Uric Acid, Alb-Albumin, ALP-Alkaline phosphate</w:t>
      </w:r>
    </w:p>
    <w:p w:rsidR="00D835C2" w:rsidRDefault="00D835C2"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sectPr w:rsidR="006F7917">
          <w:type w:val="continuous"/>
          <w:pgSz w:w="12240" w:h="15840"/>
          <w:pgMar w:top="1440" w:right="1440" w:bottom="1440" w:left="1440" w:header="720" w:footer="720" w:gutter="0"/>
          <w:cols w:space="425"/>
          <w:docGrid w:linePitch="360"/>
        </w:sectPr>
      </w:pPr>
    </w:p>
    <w:p w:rsidR="00D835C2" w:rsidRDefault="00A9105A" w:rsidP="006F7917">
      <w:pPr>
        <w:adjustRightInd w:val="0"/>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The </w:t>
      </w:r>
      <w:r>
        <w:rPr>
          <w:rFonts w:ascii="Times New Roman" w:hAnsi="Times New Roman" w:cs="Times New Roman"/>
          <w:sz w:val="20"/>
          <w:szCs w:val="20"/>
        </w:rPr>
        <w:t>similarity of the PCV values obtained indicates that the treatment had no adverse: effect on the blood level and birds were not anaemic RBC values were similar for all treatment and shows that the blood level and immunity status of birds were not negativel</w:t>
      </w:r>
      <w:r>
        <w:rPr>
          <w:rFonts w:ascii="Times New Roman" w:hAnsi="Times New Roman" w:cs="Times New Roman"/>
          <w:sz w:val="20"/>
          <w:szCs w:val="20"/>
        </w:rPr>
        <w:t>y affected by experimental diets. However, WBC values significantly (p&gt; 0.05) increased with increasing level of mixture of ginger and garlic in diets. The values of RBC and WBC obtained in this study are comparable with those reported by Iskiwenu et al. (</w:t>
      </w:r>
      <w:r>
        <w:rPr>
          <w:rFonts w:ascii="Times New Roman" w:hAnsi="Times New Roman" w:cs="Times New Roman"/>
          <w:sz w:val="20"/>
          <w:szCs w:val="20"/>
        </w:rPr>
        <w:t xml:space="preserve">2008) and are </w:t>
      </w:r>
      <w:r>
        <w:rPr>
          <w:rFonts w:ascii="Times New Roman" w:hAnsi="Times New Roman" w:cs="Times New Roman"/>
          <w:sz w:val="20"/>
          <w:szCs w:val="20"/>
        </w:rPr>
        <w:lastRenderedPageBreak/>
        <w:t>within the normal range values Variation in the level of mixture of ginger and garlic in the diets had no significant (p&gt;0.05)</w:t>
      </w:r>
      <w:r w:rsidR="006F7917">
        <w:rPr>
          <w:rFonts w:ascii="Times New Roman" w:hAnsi="Times New Roman" w:cs="Times New Roman" w:hint="eastAsia"/>
          <w:sz w:val="20"/>
          <w:szCs w:val="20"/>
          <w:lang w:eastAsia="zh-CN"/>
        </w:rPr>
        <w:t xml:space="preserve"> </w:t>
      </w:r>
      <w:r>
        <w:rPr>
          <w:rFonts w:ascii="Times New Roman" w:hAnsi="Times New Roman" w:cs="Times New Roman"/>
          <w:sz w:val="20"/>
          <w:szCs w:val="20"/>
        </w:rPr>
        <w:t xml:space="preserve">on serum biochemical (TP. UA and Alb) and haematological (HB, RBC, PVC, MCV, MCH, MCHC, Neut, Mon and Eos) indices. </w:t>
      </w:r>
      <w:r>
        <w:rPr>
          <w:rFonts w:ascii="Times New Roman" w:hAnsi="Times New Roman" w:cs="Times New Roman"/>
          <w:sz w:val="20"/>
          <w:szCs w:val="20"/>
        </w:rPr>
        <w:t>This is an indication that mixture of ginger and garlic in diets does not contain factors that are deleterious to the normal blood formation, and does not impart negatively on the physiological, pathological and nutritional status of broiler chicken.</w:t>
      </w:r>
    </w:p>
    <w:p w:rsidR="00D835C2" w:rsidRDefault="00D835C2" w:rsidP="00616835">
      <w:pPr>
        <w:adjustRightInd w:val="0"/>
        <w:snapToGrid w:val="0"/>
        <w:spacing w:after="0" w:line="240" w:lineRule="auto"/>
        <w:jc w:val="both"/>
        <w:rPr>
          <w:rFonts w:ascii="Times New Roman" w:hAnsi="Times New Roman" w:cs="Times New Roman"/>
          <w:b/>
          <w:bCs/>
          <w:sz w:val="20"/>
          <w:szCs w:val="20"/>
        </w:rPr>
        <w:sectPr w:rsidR="00D835C2">
          <w:type w:val="continuous"/>
          <w:pgSz w:w="12240" w:h="15840"/>
          <w:pgMar w:top="1440" w:right="1440" w:bottom="1440" w:left="1440" w:header="720" w:footer="720" w:gutter="0"/>
          <w:cols w:num="2" w:space="720" w:equalWidth="0">
            <w:col w:w="4467" w:space="425"/>
            <w:col w:w="4467"/>
          </w:cols>
          <w:docGrid w:linePitch="360"/>
        </w:sectPr>
      </w:pPr>
    </w:p>
    <w:p w:rsidR="00D835C2" w:rsidRDefault="00D835C2" w:rsidP="00616835">
      <w:pPr>
        <w:adjustRightInd w:val="0"/>
        <w:snapToGrid w:val="0"/>
        <w:spacing w:after="0" w:line="240" w:lineRule="auto"/>
        <w:jc w:val="center"/>
        <w:rPr>
          <w:rFonts w:ascii="Times New Roman" w:hAnsi="Times New Roman" w:cs="Times New Roman"/>
          <w:b/>
          <w:bCs/>
          <w:sz w:val="20"/>
          <w:szCs w:val="20"/>
        </w:rPr>
      </w:pPr>
    </w:p>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4 haematological indices of broiler chicken fed mixture of ginger and garlic in diets</w:t>
      </w:r>
    </w:p>
    <w:tbl>
      <w:tblPr>
        <w:tblStyle w:val="TableGrid"/>
        <w:tblW w:w="0" w:type="auto"/>
        <w:tblLook w:val="04A0"/>
      </w:tblPr>
      <w:tblGrid>
        <w:gridCol w:w="3528"/>
        <w:gridCol w:w="1472"/>
        <w:gridCol w:w="1668"/>
        <w:gridCol w:w="1472"/>
        <w:gridCol w:w="1358"/>
      </w:tblGrid>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Parameters</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Control</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w:t>
            </w:r>
            <w:r>
              <w:rPr>
                <w:rFonts w:ascii="Times New Roman" w:hAnsi="Times New Roman" w:cs="Times New Roman"/>
                <w:b/>
                <w:bCs/>
                <w:sz w:val="20"/>
                <w:szCs w:val="20"/>
                <w:vertAlign w:val="subscript"/>
              </w:rPr>
              <w:t>1</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w:t>
            </w:r>
            <w:r>
              <w:rPr>
                <w:rFonts w:ascii="Times New Roman" w:hAnsi="Times New Roman" w:cs="Times New Roman"/>
                <w:b/>
                <w:bCs/>
                <w:sz w:val="20"/>
                <w:szCs w:val="20"/>
                <w:vertAlign w:val="subscript"/>
              </w:rPr>
              <w:t>2</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SEM</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(Hb) gl)</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75.00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71.42</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51.44</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7.33</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RBC (T/L)</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2.55</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2.45</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1.65</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0.29</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WBC (G/L)</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16.16</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23.24</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19.60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2.04</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PCV (%)</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22.50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21.50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15.50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2.19</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MCV (f/l) 88.19</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87.96</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104.50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5.48</w:t>
            </w:r>
          </w:p>
        </w:tc>
        <w:tc>
          <w:tcPr>
            <w:tcW w:w="1358" w:type="dxa"/>
          </w:tcPr>
          <w:p w:rsidR="00D835C2" w:rsidRDefault="00D835C2" w:rsidP="00616835">
            <w:pPr>
              <w:adjustRightInd w:val="0"/>
              <w:snapToGrid w:val="0"/>
              <w:spacing w:after="0" w:line="240" w:lineRule="auto"/>
              <w:jc w:val="center"/>
              <w:rPr>
                <w:rFonts w:ascii="Times New Roman" w:hAnsi="Times New Roman" w:cs="Times New Roman"/>
                <w:sz w:val="20"/>
                <w:szCs w:val="20"/>
              </w:rPr>
            </w:pP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MCH (pg) 29.48</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29.23</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34.70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1.80</w:t>
            </w:r>
          </w:p>
        </w:tc>
        <w:tc>
          <w:tcPr>
            <w:tcW w:w="1358" w:type="dxa"/>
          </w:tcPr>
          <w:p w:rsidR="00D835C2" w:rsidRDefault="00D835C2" w:rsidP="00616835">
            <w:pPr>
              <w:adjustRightInd w:val="0"/>
              <w:snapToGrid w:val="0"/>
              <w:spacing w:after="0" w:line="240" w:lineRule="auto"/>
              <w:jc w:val="center"/>
              <w:rPr>
                <w:rFonts w:ascii="Times New Roman" w:hAnsi="Times New Roman" w:cs="Times New Roman"/>
                <w:sz w:val="20"/>
                <w:szCs w:val="20"/>
              </w:rPr>
            </w:pP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MCHC (g/dl)</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333.38</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332.213</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32.22</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0.39</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Neut (%)</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32.50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31.00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3.78</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Lymp (%)</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46.00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62.50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62.50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5.50</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Mon (%)</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6.50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0.93</w:t>
            </w:r>
          </w:p>
        </w:tc>
      </w:tr>
      <w:tr w:rsidR="00D835C2">
        <w:trPr>
          <w:trHeight w:val="31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Eos (%)</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0.44</w:t>
            </w:r>
          </w:p>
        </w:tc>
      </w:tr>
      <w:tr w:rsidR="00D835C2">
        <w:trPr>
          <w:trHeight w:val="322"/>
        </w:trPr>
        <w:tc>
          <w:tcPr>
            <w:tcW w:w="352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Baso</w:t>
            </w:r>
            <w:r>
              <w:rPr>
                <w:rFonts w:ascii="Times New Roman" w:hAnsi="Times New Roman" w:cs="Times New Roman"/>
                <w:sz w:val="20"/>
                <w:szCs w:val="20"/>
              </w:rPr>
              <w:t xml:space="preserve"> (%)</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166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472"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58" w:type="dxa"/>
          </w:tcPr>
          <w:p w:rsidR="00D835C2" w:rsidRDefault="00A9105A" w:rsidP="00616835">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0.50</w:t>
            </w:r>
          </w:p>
        </w:tc>
      </w:tr>
    </w:tbl>
    <w:p w:rsidR="00D835C2" w:rsidRDefault="00D835C2" w:rsidP="00616835">
      <w:pPr>
        <w:adjustRightInd w:val="0"/>
        <w:snapToGrid w:val="0"/>
        <w:spacing w:after="0" w:line="240" w:lineRule="auto"/>
        <w:jc w:val="both"/>
        <w:rPr>
          <w:rFonts w:ascii="Times New Roman" w:hAnsi="Times New Roman" w:cs="Times New Roman"/>
          <w:sz w:val="20"/>
          <w:szCs w:val="20"/>
          <w:vertAlign w:val="superscript"/>
        </w:rPr>
        <w:sectPr w:rsidR="00D835C2">
          <w:type w:val="continuous"/>
          <w:pgSz w:w="12240" w:h="15840"/>
          <w:pgMar w:top="1440" w:right="1440" w:bottom="1440" w:left="1440" w:header="720" w:footer="720" w:gutter="0"/>
          <w:cols w:space="425"/>
          <w:docGrid w:linePitch="360"/>
        </w:sectPr>
      </w:pPr>
    </w:p>
    <w:p w:rsidR="00D835C2" w:rsidRDefault="00A9105A" w:rsidP="00616835">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lastRenderedPageBreak/>
        <w:t>a,b</w:t>
      </w:r>
      <w:r>
        <w:rPr>
          <w:rFonts w:ascii="Times New Roman" w:hAnsi="Times New Roman" w:cs="Times New Roman"/>
          <w:sz w:val="20"/>
          <w:szCs w:val="20"/>
        </w:rPr>
        <w:t xml:space="preserve"> Means with different superscripts in the same row are significantly (p&lt;</w:t>
      </w:r>
      <w:r>
        <w:rPr>
          <w:rFonts w:ascii="Times New Roman" w:hAnsi="Times New Roman" w:cs="Times New Roman"/>
          <w:sz w:val="20"/>
          <w:szCs w:val="20"/>
        </w:rPr>
        <w:t>0.05) different. Hb. - Haemoglobin, RBC-Red Blood Cells, WBC-White Blood Cells, PCV-Packed Cell Volume, MCV-Mean Corpuscular Volume, MCH-Mean Corpuscular Haemoglobin, MCHC-Mean Corpuscular Haemoglobin Concentration, Neut-Neutrophils</w:t>
      </w:r>
      <w:r>
        <w:rPr>
          <w:rFonts w:ascii="Times New Roman" w:hAnsi="Times New Roman" w:cs="Times New Roman"/>
          <w:sz w:val="20"/>
          <w:szCs w:val="20"/>
        </w:rPr>
        <w:t>,</w:t>
      </w:r>
      <w:r w:rsidR="00616835">
        <w:rPr>
          <w:rFonts w:ascii="Times New Roman" w:hAnsi="Times New Roman" w:cs="Times New Roman" w:hint="eastAsia"/>
          <w:sz w:val="20"/>
          <w:szCs w:val="20"/>
          <w:lang w:eastAsia="zh-CN"/>
        </w:rPr>
        <w:t xml:space="preserve"> </w:t>
      </w:r>
      <w:r>
        <w:rPr>
          <w:rFonts w:ascii="Times New Roman" w:hAnsi="Times New Roman" w:cs="Times New Roman"/>
          <w:sz w:val="20"/>
          <w:szCs w:val="20"/>
        </w:rPr>
        <w:t>Lymp-Lymphocytes, Mon-</w:t>
      </w:r>
      <w:r>
        <w:rPr>
          <w:rFonts w:ascii="Times New Roman" w:hAnsi="Times New Roman" w:cs="Times New Roman"/>
          <w:sz w:val="20"/>
          <w:szCs w:val="20"/>
        </w:rPr>
        <w:t>Monocytes, Eos-Eosinophil, Baso-Basophils.</w:t>
      </w:r>
    </w:p>
    <w:p w:rsidR="00D835C2" w:rsidRDefault="00D835C2" w:rsidP="00616835">
      <w:pPr>
        <w:adjustRightInd w:val="0"/>
        <w:snapToGrid w:val="0"/>
        <w:spacing w:after="0" w:line="240" w:lineRule="auto"/>
        <w:jc w:val="both"/>
        <w:rPr>
          <w:rFonts w:ascii="Times New Roman" w:hAnsi="Times New Roman" w:cs="Times New Roman" w:hint="eastAsia"/>
          <w:b/>
          <w:bCs/>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b/>
          <w:bCs/>
          <w:sz w:val="20"/>
          <w:szCs w:val="20"/>
          <w:lang w:eastAsia="zh-CN"/>
        </w:rPr>
        <w:sectPr w:rsidR="006F7917">
          <w:type w:val="continuous"/>
          <w:pgSz w:w="12240" w:h="15840"/>
          <w:pgMar w:top="1440" w:right="1440" w:bottom="1440" w:left="1440" w:header="720" w:footer="720" w:gutter="0"/>
          <w:cols w:space="425"/>
          <w:docGrid w:linePitch="360"/>
        </w:sectPr>
      </w:pPr>
    </w:p>
    <w:p w:rsidR="00D835C2" w:rsidRDefault="00A9105A" w:rsidP="00616835">
      <w:pPr>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Conclusion </w:t>
      </w:r>
    </w:p>
    <w:p w:rsidR="00D835C2" w:rsidRDefault="00A9105A" w:rsidP="006F7917">
      <w:pPr>
        <w:adjustRightInd w:val="0"/>
        <w:snapToGrid w:val="0"/>
        <w:spacing w:after="0"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The findings from this study shows that mixture of ginger and garlic (in ratio 1:1) up to 7.5g each in 25kg broiler chicken diets slightly but I insignificantly (p&gt;0.05) increased final bod</w:t>
      </w:r>
      <w:r>
        <w:rPr>
          <w:rFonts w:ascii="Times New Roman" w:hAnsi="Times New Roman" w:cs="Times New Roman"/>
          <w:sz w:val="20"/>
          <w:szCs w:val="20"/>
        </w:rPr>
        <w:t xml:space="preserve">y weight performance and live ability, improved feed conversion ratio (FGR) but reduced feed intake. Also, mixture of ginger and garlic at same quantity had no adverse </w:t>
      </w:r>
      <w:r>
        <w:rPr>
          <w:rFonts w:ascii="Times New Roman" w:hAnsi="Times New Roman" w:cs="Times New Roman"/>
          <w:sz w:val="20"/>
          <w:szCs w:val="20"/>
        </w:rPr>
        <w:lastRenderedPageBreak/>
        <w:t>effect on the serum biochemical and haematological indices of broiler chicken.</w:t>
      </w:r>
    </w:p>
    <w:p w:rsidR="006F7917" w:rsidRDefault="006F7917" w:rsidP="006F7917">
      <w:pPr>
        <w:adjustRightInd w:val="0"/>
        <w:snapToGrid w:val="0"/>
        <w:spacing w:after="0" w:line="240" w:lineRule="auto"/>
        <w:rPr>
          <w:rFonts w:ascii="Times New Roman" w:hAnsi="Times New Roman" w:cs="Times New Roman" w:hint="eastAsia"/>
          <w:b/>
          <w:bCs/>
          <w:sz w:val="20"/>
          <w:szCs w:val="20"/>
          <w:lang w:eastAsia="zh-CN"/>
        </w:rPr>
      </w:pPr>
    </w:p>
    <w:p w:rsidR="00D835C2" w:rsidRDefault="00A9105A" w:rsidP="006F7917">
      <w:pPr>
        <w:adjustRightInd w:val="0"/>
        <w:snapToGri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REFERENCE</w:t>
      </w:r>
      <w:r>
        <w:rPr>
          <w:rFonts w:ascii="Times New Roman" w:hAnsi="Times New Roman" w:cs="Times New Roman"/>
          <w:b/>
          <w:bCs/>
          <w:sz w:val="20"/>
          <w:szCs w:val="20"/>
        </w:rPr>
        <w:t>S</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t>ASSISTAT Version 7.7 beta (2013)</w:t>
      </w:r>
      <w:r w:rsidRPr="006F7917">
        <w:rPr>
          <w:rFonts w:ascii="Times New Roman" w:hAnsi="Times New Roman" w:cs="Times New Roman"/>
          <w:sz w:val="20"/>
          <w:szCs w:val="20"/>
        </w:rPr>
        <w:t xml:space="preserve"> - Website http://www.assistat.com by Francisco de A.S.e Silva DEAG-CTRN-UFCG Updated on 08/04/2013</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lastRenderedPageBreak/>
        <w:t>GARDZIELEWSKA, J., PUDYSZAK, K.; MAJEWSKA, T: JAKUBOWSKA, M. AND POMIANOWSKI, J (2003)</w:t>
      </w:r>
      <w:r w:rsidRPr="006F7917">
        <w:rPr>
          <w:rFonts w:ascii="Times New Roman" w:hAnsi="Times New Roman" w:cs="Times New Roman"/>
          <w:sz w:val="20"/>
          <w:szCs w:val="20"/>
        </w:rPr>
        <w:t xml:space="preserve"> Effect of plant-supplemented feedin</w:t>
      </w:r>
      <w:r w:rsidRPr="006F7917">
        <w:rPr>
          <w:rFonts w:ascii="Times New Roman" w:hAnsi="Times New Roman" w:cs="Times New Roman"/>
          <w:sz w:val="20"/>
          <w:szCs w:val="20"/>
        </w:rPr>
        <w:t>g on fresh and frozen storage quality of broiler chicken meat, Electronic J. Polish Agric Univ, 6: 12-12.</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t>GBENGA, O.E.; ADEBISI, O.E.; FAJEMISIN, A.N. AND. ADETUNJI, A.V (2009)</w:t>
      </w:r>
      <w:r w:rsidRPr="006F7917">
        <w:rPr>
          <w:rFonts w:ascii="Times New Roman" w:hAnsi="Times New Roman" w:cs="Times New Roman"/>
          <w:sz w:val="20"/>
          <w:szCs w:val="20"/>
        </w:rPr>
        <w:t xml:space="preserve"> Response of broiler chickens in terms of performance and meat quality to garlic</w:t>
      </w:r>
      <w:r w:rsidRPr="006F7917">
        <w:rPr>
          <w:rFonts w:ascii="Times New Roman" w:hAnsi="Times New Roman" w:cs="Times New Roman"/>
          <w:sz w:val="20"/>
          <w:szCs w:val="20"/>
        </w:rPr>
        <w:t xml:space="preserve"> Allium sativum supplementation. Afr J. Agric Res, 4:511-517,</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t>HOWLETT, J. C. AND JAIME, S. (2008)</w:t>
      </w:r>
      <w:r w:rsidRPr="006F7917">
        <w:rPr>
          <w:rFonts w:ascii="Times New Roman" w:hAnsi="Times New Roman" w:cs="Times New Roman"/>
          <w:sz w:val="20"/>
          <w:szCs w:val="20"/>
        </w:rPr>
        <w:t xml:space="preserve"> Avian medicine. Mosly Elevier (2) pp. 46 </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t>ISKIWENU, J. O., OMEJE, S. I... OKAGBARE, G., AND APODIETE, O. J. (2008)</w:t>
      </w:r>
      <w:r w:rsidRPr="006F7917">
        <w:rPr>
          <w:rFonts w:ascii="Times New Roman" w:hAnsi="Times New Roman" w:cs="Times New Roman"/>
          <w:sz w:val="20"/>
          <w:szCs w:val="20"/>
        </w:rPr>
        <w:t xml:space="preserve"> Effect of replacing groundnut cake with urea fermented brewer's dried grains in broiler chicks' diets. Anim. Res. Int. 5:795 800</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t>MUHAMMED, N. O., OLOYEDE, O. B., OWOYELE, B. O. AND OLAJIDE, J. E. (2004)</w:t>
      </w:r>
      <w:r w:rsidRPr="006F7917">
        <w:rPr>
          <w:rFonts w:ascii="Times New Roman" w:hAnsi="Times New Roman" w:cs="Times New Roman"/>
          <w:sz w:val="20"/>
          <w:szCs w:val="20"/>
        </w:rPr>
        <w:t xml:space="preserve"> Deleterious effect of defatted Terminaliacatappa see</w:t>
      </w:r>
      <w:r w:rsidRPr="006F7917">
        <w:rPr>
          <w:rFonts w:ascii="Times New Roman" w:hAnsi="Times New Roman" w:cs="Times New Roman"/>
          <w:sz w:val="20"/>
          <w:szCs w:val="20"/>
        </w:rPr>
        <w:t xml:space="preserve">d meal-based diets on haematological and urinary parameters of Albino ratNISEPJ.4(2) 51-57 </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rPr>
      </w:pPr>
      <w:r w:rsidRPr="006F7917">
        <w:rPr>
          <w:rFonts w:ascii="Times New Roman" w:hAnsi="Times New Roman" w:cs="Times New Roman"/>
          <w:b/>
          <w:bCs/>
          <w:sz w:val="20"/>
          <w:szCs w:val="20"/>
        </w:rPr>
        <w:t>OLUYEMI, J.A. AND ROBERT, F.A. (2000)</w:t>
      </w:r>
      <w:r w:rsidRPr="006F7917">
        <w:rPr>
          <w:rFonts w:ascii="Times New Roman" w:hAnsi="Times New Roman" w:cs="Times New Roman"/>
          <w:sz w:val="20"/>
          <w:szCs w:val="20"/>
        </w:rPr>
        <w:t xml:space="preserve"> Poultry production in the warm wet climate (2Edn), Macmillan Press Ltd, London </w:t>
      </w:r>
    </w:p>
    <w:p w:rsidR="00D835C2" w:rsidRPr="006F7917" w:rsidRDefault="00A9105A" w:rsidP="006F7917">
      <w:pPr>
        <w:pStyle w:val="ListParagraph"/>
        <w:numPr>
          <w:ilvl w:val="0"/>
          <w:numId w:val="1"/>
        </w:numPr>
        <w:adjustRightInd w:val="0"/>
        <w:snapToGrid w:val="0"/>
        <w:spacing w:after="0" w:line="240" w:lineRule="auto"/>
        <w:ind w:left="426"/>
        <w:jc w:val="both"/>
        <w:rPr>
          <w:rFonts w:ascii="Times New Roman" w:hAnsi="Times New Roman" w:cs="Times New Roman"/>
          <w:sz w:val="20"/>
          <w:szCs w:val="20"/>
          <w:lang w:eastAsia="zh-CN"/>
        </w:rPr>
      </w:pPr>
      <w:r w:rsidRPr="006F7917">
        <w:rPr>
          <w:rFonts w:ascii="Times New Roman" w:hAnsi="Times New Roman" w:cs="Times New Roman"/>
          <w:b/>
          <w:bCs/>
          <w:sz w:val="20"/>
          <w:szCs w:val="20"/>
        </w:rPr>
        <w:t>TEKELI, A., KUTLU, H.R. CELIK, L. VAR, I. YURD</w:t>
      </w:r>
      <w:r w:rsidRPr="006F7917">
        <w:rPr>
          <w:rFonts w:ascii="Times New Roman" w:hAnsi="Times New Roman" w:cs="Times New Roman"/>
          <w:b/>
          <w:bCs/>
          <w:sz w:val="20"/>
          <w:szCs w:val="20"/>
        </w:rPr>
        <w:t>AKUL, E. AND AVCI, A. (2008)</w:t>
      </w:r>
      <w:r w:rsidRPr="006F7917">
        <w:rPr>
          <w:rFonts w:ascii="Times New Roman" w:hAnsi="Times New Roman" w:cs="Times New Roman"/>
          <w:sz w:val="20"/>
          <w:szCs w:val="20"/>
        </w:rPr>
        <w:t xml:space="preserve"> The use of Propolis as an alternative to antibiotic growth promoters in broiler diets. Proceedings of 23rd World's Poultry Congress, June 30-July 4, Brisbane, Australia, pp. 482</w:t>
      </w:r>
      <w:r w:rsidRPr="006F7917">
        <w:rPr>
          <w:rFonts w:ascii="Times New Roman" w:hAnsi="Times New Roman" w:cs="Times New Roman"/>
          <w:sz w:val="20"/>
          <w:szCs w:val="20"/>
          <w:lang w:eastAsia="zh-CN"/>
        </w:rPr>
        <w:t>.</w:t>
      </w: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pPr>
    </w:p>
    <w:p w:rsidR="006F7917" w:rsidRDefault="006F7917" w:rsidP="00616835">
      <w:pPr>
        <w:adjustRightInd w:val="0"/>
        <w:snapToGrid w:val="0"/>
        <w:spacing w:after="0" w:line="240" w:lineRule="auto"/>
        <w:jc w:val="both"/>
        <w:rPr>
          <w:rFonts w:ascii="Times New Roman" w:hAnsi="Times New Roman" w:cs="Times New Roman" w:hint="eastAsia"/>
          <w:sz w:val="20"/>
          <w:szCs w:val="20"/>
          <w:lang w:eastAsia="zh-CN"/>
        </w:rPr>
      </w:pPr>
    </w:p>
    <w:p w:rsidR="00D835C2" w:rsidRDefault="00A9105A" w:rsidP="00616835">
      <w:pPr>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3/22/2022</w:t>
      </w:r>
    </w:p>
    <w:sectPr w:rsidR="00D835C2" w:rsidSect="00D835C2">
      <w:type w:val="continuous"/>
      <w:pgSz w:w="12240" w:h="15840"/>
      <w:pgMar w:top="1440" w:right="1440" w:bottom="1440" w:left="1440" w:header="720" w:footer="720" w:gutter="0"/>
      <w:cols w:num="2" w:space="720" w:equalWidth="0">
        <w:col w:w="4467" w:space="425"/>
        <w:col w:w="446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05A" w:rsidRDefault="00A9105A">
      <w:pPr>
        <w:spacing w:line="240" w:lineRule="auto"/>
      </w:pPr>
      <w:r>
        <w:separator/>
      </w:r>
    </w:p>
  </w:endnote>
  <w:endnote w:type="continuationSeparator" w:id="0">
    <w:p w:rsidR="00A9105A" w:rsidRDefault="00A910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等线">
    <w:charset w:val="86"/>
    <w:family w:val="auto"/>
    <w:pitch w:val="default"/>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2" w:rsidRDefault="00D835C2">
    <w:pPr>
      <w:pStyle w:val="Footer"/>
    </w:pPr>
    <w:r>
      <w:pict>
        <v:shapetype id="_x0000_t202" coordsize="21600,21600" o:spt="202" path="m,l,21600r21600,l21600,xe">
          <v:stroke joinstyle="miter"/>
          <v:path gradientshapeok="t" o:connecttype="rect"/>
        </v:shapetype>
        <v:shape id="_x0000_s2049" type="#_x0000_t202" style="position:absolute;margin-left:229pt;margin-top:6.75pt;width:2in;height:2in;z-index:251659264;mso-wrap-style:none;mso-position-horizontal-relative:margin" filled="f" stroked="f">
          <v:textbox style="mso-fit-shape-to-text:t" inset="0,0,0,0">
            <w:txbxContent>
              <w:p w:rsidR="00D835C2" w:rsidRDefault="00D835C2">
                <w:pPr>
                  <w:pStyle w:val="Footer"/>
                </w:pPr>
                <w:r>
                  <w:rPr>
                    <w:rFonts w:ascii="Times New Roman" w:hAnsi="Times New Roman" w:cs="Times New Roman"/>
                    <w:sz w:val="20"/>
                    <w:szCs w:val="20"/>
                  </w:rPr>
                  <w:fldChar w:fldCharType="begin"/>
                </w:r>
                <w:r w:rsidR="00A9105A">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6F7917">
                  <w:rPr>
                    <w:rFonts w:ascii="Times New Roman" w:hAnsi="Times New Roman" w:cs="Times New Roman"/>
                    <w:noProof/>
                    <w:sz w:val="20"/>
                    <w:szCs w:val="20"/>
                  </w:rPr>
                  <w:t>12</w:t>
                </w:r>
                <w:r>
                  <w:rPr>
                    <w:rFonts w:ascii="Times New Roman" w:hAnsi="Times New Roman" w:cs="Times New Roman"/>
                    <w:sz w:val="20"/>
                    <w:szCs w:val="20"/>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2" w:rsidRDefault="00D835C2">
    <w:pPr>
      <w:pStyle w:val="Footer"/>
    </w:pPr>
    <w:r>
      <w:pict>
        <v:shapetype id="_x0000_t202" coordsize="21600,21600" o:spt="202" path="m,l,21600r21600,l21600,xe">
          <v:stroke joinstyle="miter"/>
          <v:path gradientshapeok="t" o:connecttype="rect"/>
        </v:shapetype>
        <v:shape id="_x0000_s2050" type="#_x0000_t202" style="position:absolute;margin-left:230.75pt;margin-top:3pt;width:2in;height:2in;z-index:251660288;mso-wrap-style:none;mso-position-horizontal-relative:margin" filled="f" stroked="f">
          <v:textbox style="mso-fit-shape-to-text:t" inset="0,0,0,0">
            <w:txbxContent>
              <w:p w:rsidR="00D835C2" w:rsidRDefault="00D835C2">
                <w:pPr>
                  <w:pStyle w:val="Footer"/>
                </w:pPr>
                <w:r>
                  <w:rPr>
                    <w:rFonts w:ascii="Times New Roman" w:hAnsi="Times New Roman" w:cs="Times New Roman"/>
                    <w:sz w:val="20"/>
                    <w:szCs w:val="20"/>
                  </w:rPr>
                  <w:fldChar w:fldCharType="begin"/>
                </w:r>
                <w:r w:rsidR="00A9105A">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6F7917">
                  <w:rPr>
                    <w:rFonts w:ascii="Times New Roman" w:hAnsi="Times New Roman" w:cs="Times New Roman"/>
                    <w:noProof/>
                    <w:sz w:val="20"/>
                    <w:szCs w:val="20"/>
                  </w:rPr>
                  <w:t>8</w:t>
                </w:r>
                <w:r>
                  <w:rPr>
                    <w:rFonts w:ascii="Times New Roman" w:hAnsi="Times New Roman" w:cs="Times New Roman"/>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05A" w:rsidRDefault="00A9105A">
      <w:pPr>
        <w:spacing w:after="0"/>
      </w:pPr>
      <w:r>
        <w:separator/>
      </w:r>
    </w:p>
  </w:footnote>
  <w:footnote w:type="continuationSeparator" w:id="0">
    <w:p w:rsidR="00A9105A" w:rsidRDefault="00A9105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2" w:rsidRDefault="00A9105A">
    <w:pPr>
      <w:pBdr>
        <w:bottom w:val="thinThickMediumGap" w:sz="12" w:space="1" w:color="auto"/>
      </w:pBdr>
      <w:tabs>
        <w:tab w:val="left" w:pos="851"/>
        <w:tab w:val="right" w:pos="8364"/>
      </w:tabs>
      <w:adjustRightInd w:val="0"/>
      <w:snapToGrid w:val="0"/>
      <w:jc w:val="both"/>
    </w:pPr>
    <w:r>
      <w:rPr>
        <w:rFonts w:eastAsia="Calibri"/>
        <w:iCs/>
        <w:color w:val="000000"/>
        <w:sz w:val="20"/>
        <w:szCs w:val="20"/>
      </w:rPr>
      <w:tab/>
    </w:r>
    <w:r>
      <w:rPr>
        <w:rFonts w:eastAsia="Calibri"/>
        <w:sz w:val="20"/>
        <w:szCs w:val="20"/>
      </w:rPr>
      <w:t>Cancer Biology 202</w:t>
    </w:r>
    <w:r>
      <w:rPr>
        <w:rFonts w:hint="eastAsia"/>
        <w:sz w:val="20"/>
        <w:szCs w:val="20"/>
        <w:lang w:eastAsia="zh-CN"/>
      </w:rPr>
      <w:t>2</w:t>
    </w:r>
    <w:r>
      <w:rPr>
        <w:rFonts w:eastAsia="Calibri"/>
        <w:sz w:val="20"/>
        <w:szCs w:val="20"/>
      </w:rPr>
      <w:t>;1</w:t>
    </w:r>
    <w:r>
      <w:rPr>
        <w:rFonts w:hint="eastAsia"/>
        <w:sz w:val="20"/>
        <w:szCs w:val="20"/>
        <w:lang w:eastAsia="zh-CN"/>
      </w:rPr>
      <w:t>2</w:t>
    </w:r>
    <w:r>
      <w:rPr>
        <w:rFonts w:eastAsia="Calibri"/>
        <w:sz w:val="20"/>
        <w:szCs w:val="20"/>
      </w:rPr>
      <w:t>(</w:t>
    </w:r>
    <w:r>
      <w:rPr>
        <w:rFonts w:eastAsia="Calibri" w:hint="eastAsia"/>
        <w:sz w:val="20"/>
        <w:szCs w:val="20"/>
        <w:lang w:eastAsia="zh-CN"/>
      </w:rPr>
      <w:t>1</w:t>
    </w:r>
    <w:r>
      <w:rPr>
        <w:rFonts w:eastAsia="Calibri"/>
        <w:sz w:val="20"/>
        <w:szCs w:val="20"/>
      </w:rPr>
      <w:t xml:space="preserve">) </w:t>
    </w:r>
    <w:r>
      <w:rPr>
        <w:rFonts w:eastAsia="Calibri"/>
        <w:color w:val="000000"/>
        <w:sz w:val="20"/>
        <w:szCs w:val="20"/>
      </w:rPr>
      <w:t xml:space="preserve"> </w:t>
    </w:r>
    <w:r>
      <w:rPr>
        <w:color w:val="000000"/>
        <w:sz w:val="20"/>
        <w:szCs w:val="20"/>
        <w:lang w:eastAsia="zh-CN"/>
      </w:rPr>
      <w:t xml:space="preserve">      </w:t>
    </w:r>
    <w:r>
      <w:rPr>
        <w:rFonts w:hint="eastAsia"/>
        <w:color w:val="000000"/>
        <w:sz w:val="20"/>
        <w:szCs w:val="20"/>
        <w:lang w:eastAsia="zh-CN"/>
      </w:rPr>
      <w:t xml:space="preserve">      </w:t>
    </w:r>
    <w:r>
      <w:rPr>
        <w:rFonts w:eastAsia="Calibri"/>
        <w:color w:val="000000"/>
        <w:sz w:val="20"/>
        <w:szCs w:val="20"/>
      </w:rPr>
      <w:tab/>
      <w:t xml:space="preserve"> </w:t>
    </w:r>
    <w:r>
      <w:rPr>
        <w:rFonts w:hint="eastAsia"/>
        <w:color w:val="000000"/>
        <w:sz w:val="20"/>
        <w:szCs w:val="20"/>
        <w:lang w:eastAsia="zh-CN"/>
      </w:rPr>
      <w:t xml:space="preserve">             </w:t>
    </w:r>
    <w:r>
      <w:rPr>
        <w:color w:val="000000"/>
        <w:sz w:val="20"/>
        <w:szCs w:val="20"/>
        <w:lang w:eastAsia="zh-CN"/>
      </w:rPr>
      <w:t xml:space="preserve">  </w:t>
    </w:r>
    <w:r>
      <w:rPr>
        <w:rFonts w:eastAsia="Calibri"/>
        <w:color w:val="0000FF"/>
        <w:sz w:val="20"/>
        <w:szCs w:val="20"/>
        <w:u w:val="single" w:color="0000FF"/>
      </w:rPr>
      <w:t>http://www.cancerbio.net</w:t>
    </w:r>
    <w:r>
      <w:rPr>
        <w:rFonts w:eastAsia="Calibri"/>
        <w:b/>
        <w:i/>
        <w:color w:val="FF0000"/>
        <w:sz w:val="20"/>
        <w:szCs w:val="20"/>
        <w:bdr w:val="single" w:sz="8" w:space="0" w:color="FF0000"/>
      </w:rPr>
      <w:t>CBJ</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2" w:rsidRDefault="00A9105A">
    <w:pPr>
      <w:pStyle w:val="Header"/>
    </w:pPr>
    <w:r>
      <w:rPr>
        <w:noProof/>
        <w:lang w:eastAsia="zh-CN"/>
      </w:rPr>
      <w:drawing>
        <wp:inline distT="0" distB="0" distL="0" distR="0">
          <wp:extent cx="5967095" cy="771525"/>
          <wp:effectExtent l="0" t="0" r="1460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5967095" cy="771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E19D6"/>
    <w:multiLevelType w:val="hybridMultilevel"/>
    <w:tmpl w:val="99CEE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useFELayout/>
  </w:compat>
  <w:rsids>
    <w:rsidRoot w:val="000B0069"/>
    <w:rsid w:val="00012431"/>
    <w:rsid w:val="000B0069"/>
    <w:rsid w:val="00111722"/>
    <w:rsid w:val="00134CFD"/>
    <w:rsid w:val="001F7AF2"/>
    <w:rsid w:val="00211726"/>
    <w:rsid w:val="002D4B6C"/>
    <w:rsid w:val="002F431D"/>
    <w:rsid w:val="003D6EF8"/>
    <w:rsid w:val="00407245"/>
    <w:rsid w:val="004910D0"/>
    <w:rsid w:val="004D4A28"/>
    <w:rsid w:val="005302C5"/>
    <w:rsid w:val="00543F5F"/>
    <w:rsid w:val="005F28D8"/>
    <w:rsid w:val="00614613"/>
    <w:rsid w:val="00616835"/>
    <w:rsid w:val="00684C54"/>
    <w:rsid w:val="006F7917"/>
    <w:rsid w:val="007644C3"/>
    <w:rsid w:val="007703FE"/>
    <w:rsid w:val="0078770E"/>
    <w:rsid w:val="007902C2"/>
    <w:rsid w:val="007E3A84"/>
    <w:rsid w:val="009210E3"/>
    <w:rsid w:val="009230A2"/>
    <w:rsid w:val="00A75789"/>
    <w:rsid w:val="00A9105A"/>
    <w:rsid w:val="00A955AF"/>
    <w:rsid w:val="00AC0A24"/>
    <w:rsid w:val="00AE7BC9"/>
    <w:rsid w:val="00B40F27"/>
    <w:rsid w:val="00B8073C"/>
    <w:rsid w:val="00C92B79"/>
    <w:rsid w:val="00CF7744"/>
    <w:rsid w:val="00D0453E"/>
    <w:rsid w:val="00D462FA"/>
    <w:rsid w:val="00D835C2"/>
    <w:rsid w:val="00D92CAB"/>
    <w:rsid w:val="00DB3D76"/>
    <w:rsid w:val="00EE7417"/>
    <w:rsid w:val="00EF6886"/>
    <w:rsid w:val="453440EE"/>
    <w:rsid w:val="4E940244"/>
    <w:rsid w:val="536B7631"/>
    <w:rsid w:val="5AFE2E41"/>
    <w:rsid w:val="616D26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5C2"/>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rsid w:val="00D835C2"/>
    <w:pPr>
      <w:tabs>
        <w:tab w:val="center" w:pos="4153"/>
        <w:tab w:val="right" w:pos="8306"/>
      </w:tabs>
      <w:snapToGrid w:val="0"/>
    </w:pPr>
    <w:rPr>
      <w:sz w:val="18"/>
    </w:rPr>
  </w:style>
  <w:style w:type="paragraph" w:styleId="Header">
    <w:name w:val="header"/>
    <w:basedOn w:val="Normal"/>
    <w:uiPriority w:val="99"/>
    <w:semiHidden/>
    <w:unhideWhenUsed/>
    <w:rsid w:val="00D835C2"/>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table" w:styleId="TableGrid">
    <w:name w:val="Table Grid"/>
    <w:basedOn w:val="TableNormal"/>
    <w:uiPriority w:val="39"/>
    <w:rsid w:val="00D8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835C2"/>
    <w:rPr>
      <w:color w:val="0563C1" w:themeColor="hyperlink"/>
      <w:u w:val="single"/>
    </w:rPr>
  </w:style>
  <w:style w:type="paragraph" w:styleId="ListParagraph">
    <w:name w:val="List Paragraph"/>
    <w:basedOn w:val="Normal"/>
    <w:uiPriority w:val="34"/>
    <w:qFormat/>
    <w:rsid w:val="00D835C2"/>
    <w:pPr>
      <w:ind w:left="720"/>
      <w:contextualSpacing/>
    </w:pPr>
  </w:style>
  <w:style w:type="character" w:customStyle="1" w:styleId="UnresolvedMention">
    <w:name w:val="Unresolved Mention"/>
    <w:basedOn w:val="DefaultParagraphFont"/>
    <w:uiPriority w:val="99"/>
    <w:semiHidden/>
    <w:unhideWhenUsed/>
    <w:rsid w:val="00D835C2"/>
    <w:rPr>
      <w:color w:val="605E5C"/>
      <w:shd w:val="clear" w:color="auto" w:fill="E1DFDD"/>
    </w:rPr>
  </w:style>
  <w:style w:type="paragraph" w:styleId="BalloonText">
    <w:name w:val="Balloon Text"/>
    <w:basedOn w:val="Normal"/>
    <w:link w:val="BalloonTextChar"/>
    <w:uiPriority w:val="99"/>
    <w:semiHidden/>
    <w:unhideWhenUsed/>
    <w:rsid w:val="00616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83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image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dx.doi.org/10.7537/marscbj120122.02" TargetMode="External"/><Relationship Id="rId4" Type="http://schemas.openxmlformats.org/officeDocument/2006/relationships/settings" Target="settings.xml"/><Relationship Id="rId9" Type="http://schemas.openxmlformats.org/officeDocument/2006/relationships/hyperlink" Target="http://www.sciencepub.net/nature.%20%20x.doi"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DSTi-Op</dc:creator>
  <cp:lastModifiedBy>Administrator</cp:lastModifiedBy>
  <cp:revision>4</cp:revision>
  <cp:lastPrinted>2022-02-23T17:27:00Z</cp:lastPrinted>
  <dcterms:created xsi:type="dcterms:W3CDTF">2022-02-25T01:37:00Z</dcterms:created>
  <dcterms:modified xsi:type="dcterms:W3CDTF">2022-03-29T03:54:00Z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F6CB0294798E4D6FBE7B64F189CCCC53</vt:lpwstr>
  </property>
</Properties>
</file>