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AC" w:rsidRPr="00A72154" w:rsidRDefault="00AC61AC" w:rsidP="00AC61AC">
      <w:pPr>
        <w:snapToGrid w:val="0"/>
        <w:spacing w:after="0"/>
        <w:jc w:val="center"/>
        <w:rPr>
          <w:rFonts w:eastAsiaTheme="minorEastAsia"/>
          <w:b/>
          <w:bCs/>
          <w:sz w:val="20"/>
          <w:szCs w:val="20"/>
          <w:lang w:eastAsia="zh-CN"/>
        </w:rPr>
      </w:pPr>
    </w:p>
    <w:p w:rsidR="00514171" w:rsidRPr="00A72154" w:rsidRDefault="007C381C" w:rsidP="00AC61AC">
      <w:pPr>
        <w:snapToGrid w:val="0"/>
        <w:spacing w:after="0"/>
        <w:jc w:val="center"/>
        <w:rPr>
          <w:b/>
          <w:bCs/>
          <w:sz w:val="20"/>
          <w:szCs w:val="20"/>
        </w:rPr>
      </w:pPr>
      <w:r w:rsidRPr="00A72154">
        <w:rPr>
          <w:b/>
          <w:bCs/>
          <w:sz w:val="20"/>
          <w:szCs w:val="20"/>
        </w:rPr>
        <w:t xml:space="preserve">Chlamydia Trachomatis and Waddlia Chondrophila </w:t>
      </w:r>
      <w:r w:rsidR="00B45E0F" w:rsidRPr="00A72154">
        <w:rPr>
          <w:b/>
          <w:bCs/>
          <w:sz w:val="20"/>
          <w:szCs w:val="20"/>
        </w:rPr>
        <w:t>among</w:t>
      </w:r>
      <w:r w:rsidRPr="00A72154">
        <w:rPr>
          <w:b/>
          <w:bCs/>
          <w:sz w:val="20"/>
          <w:szCs w:val="20"/>
        </w:rPr>
        <w:t xml:space="preserve"> Women</w:t>
      </w:r>
      <w:r w:rsidR="00964E42" w:rsidRPr="00A72154">
        <w:rPr>
          <w:b/>
          <w:bCs/>
          <w:sz w:val="20"/>
          <w:szCs w:val="20"/>
        </w:rPr>
        <w:t xml:space="preserve"> </w:t>
      </w:r>
      <w:r w:rsidR="00B45E0F" w:rsidRPr="00A72154">
        <w:rPr>
          <w:b/>
          <w:bCs/>
          <w:sz w:val="20"/>
          <w:szCs w:val="20"/>
        </w:rPr>
        <w:t>with</w:t>
      </w:r>
      <w:r w:rsidRPr="00A72154">
        <w:rPr>
          <w:b/>
          <w:bCs/>
          <w:sz w:val="20"/>
          <w:szCs w:val="20"/>
        </w:rPr>
        <w:t xml:space="preserve"> Unexplained Early Miscarriage: Case-Control Study</w:t>
      </w:r>
    </w:p>
    <w:p w:rsidR="00514171" w:rsidRPr="00A72154" w:rsidRDefault="00514171" w:rsidP="00AC61AC">
      <w:pPr>
        <w:snapToGrid w:val="0"/>
        <w:spacing w:after="0"/>
        <w:jc w:val="center"/>
        <w:rPr>
          <w:b/>
          <w:bCs/>
          <w:sz w:val="20"/>
          <w:szCs w:val="20"/>
        </w:rPr>
      </w:pPr>
    </w:p>
    <w:p w:rsidR="00514171" w:rsidRPr="00A72154" w:rsidRDefault="007C381C" w:rsidP="00AC61AC">
      <w:pPr>
        <w:snapToGrid w:val="0"/>
        <w:spacing w:after="0"/>
        <w:jc w:val="center"/>
        <w:rPr>
          <w:rFonts w:eastAsiaTheme="minorEastAsia"/>
          <w:sz w:val="20"/>
          <w:szCs w:val="20"/>
          <w:vertAlign w:val="superscript"/>
          <w:lang w:eastAsia="zh-CN"/>
        </w:rPr>
      </w:pPr>
      <w:r w:rsidRPr="00A72154">
        <w:rPr>
          <w:sz w:val="20"/>
          <w:szCs w:val="20"/>
        </w:rPr>
        <w:t>Mohamed Sobhy Bakry M.D</w:t>
      </w:r>
      <w:r w:rsidR="003A419F" w:rsidRPr="00A72154">
        <w:rPr>
          <w:sz w:val="20"/>
          <w:szCs w:val="20"/>
          <w:vertAlign w:val="superscript"/>
        </w:rPr>
        <w:t>1</w:t>
      </w:r>
      <w:r w:rsidR="00B45E0F" w:rsidRPr="00A72154">
        <w:rPr>
          <w:sz w:val="20"/>
          <w:szCs w:val="20"/>
        </w:rPr>
        <w:t>,</w:t>
      </w:r>
      <w:r w:rsidR="007A0937" w:rsidRPr="00A72154">
        <w:rPr>
          <w:sz w:val="20"/>
          <w:szCs w:val="20"/>
        </w:rPr>
        <w:t xml:space="preserve"> </w:t>
      </w:r>
      <w:r w:rsidR="00B45E0F" w:rsidRPr="00A72154">
        <w:rPr>
          <w:sz w:val="20"/>
          <w:szCs w:val="20"/>
        </w:rPr>
        <w:t>Laila Ezzat M.D</w:t>
      </w:r>
      <w:r w:rsidR="00B45E0F" w:rsidRPr="00A72154">
        <w:rPr>
          <w:sz w:val="20"/>
          <w:szCs w:val="20"/>
          <w:vertAlign w:val="superscript"/>
        </w:rPr>
        <w:t>1*</w:t>
      </w:r>
      <w:r w:rsidR="00B45E0F" w:rsidRPr="00A72154">
        <w:rPr>
          <w:sz w:val="20"/>
          <w:szCs w:val="20"/>
        </w:rPr>
        <w:t>, Eman E Mahmoud M.D</w:t>
      </w:r>
      <w:r w:rsidR="00B45E0F" w:rsidRPr="00A72154">
        <w:rPr>
          <w:sz w:val="20"/>
          <w:szCs w:val="20"/>
          <w:vertAlign w:val="superscript"/>
        </w:rPr>
        <w:t>2</w:t>
      </w:r>
      <w:r w:rsidR="00AC61AC" w:rsidRPr="00A72154">
        <w:rPr>
          <w:sz w:val="20"/>
          <w:szCs w:val="20"/>
        </w:rPr>
        <w:t>, S</w:t>
      </w:r>
      <w:r w:rsidR="00B45E0F" w:rsidRPr="00A72154">
        <w:rPr>
          <w:sz w:val="20"/>
          <w:szCs w:val="20"/>
        </w:rPr>
        <w:t>ylvana N. Gaber M.D</w:t>
      </w:r>
      <w:r w:rsidR="00B45E0F" w:rsidRPr="00A72154">
        <w:rPr>
          <w:sz w:val="20"/>
          <w:szCs w:val="20"/>
          <w:vertAlign w:val="superscript"/>
        </w:rPr>
        <w:t>3</w:t>
      </w:r>
      <w:r w:rsidR="00B45E0F" w:rsidRPr="00A72154">
        <w:rPr>
          <w:sz w:val="20"/>
          <w:szCs w:val="20"/>
        </w:rPr>
        <w:t>, Almandouh H Bosilah M.D</w:t>
      </w:r>
      <w:r w:rsidR="00B45E0F" w:rsidRPr="00A72154">
        <w:rPr>
          <w:sz w:val="20"/>
          <w:szCs w:val="20"/>
          <w:vertAlign w:val="superscript"/>
        </w:rPr>
        <w:t>1</w:t>
      </w:r>
    </w:p>
    <w:p w:rsidR="00514171" w:rsidRPr="00A72154" w:rsidRDefault="00514171" w:rsidP="00AC61AC">
      <w:pPr>
        <w:snapToGrid w:val="0"/>
        <w:spacing w:after="0"/>
        <w:jc w:val="center"/>
        <w:rPr>
          <w:rFonts w:eastAsiaTheme="minorEastAsia"/>
          <w:sz w:val="20"/>
          <w:szCs w:val="20"/>
          <w:vertAlign w:val="superscript"/>
          <w:lang w:eastAsia="zh-CN"/>
        </w:rPr>
      </w:pPr>
    </w:p>
    <w:p w:rsidR="00303D36" w:rsidRPr="00A72154" w:rsidRDefault="00B45E0F" w:rsidP="00AC61AC">
      <w:pPr>
        <w:snapToGrid w:val="0"/>
        <w:spacing w:after="0"/>
        <w:jc w:val="center"/>
        <w:rPr>
          <w:sz w:val="20"/>
          <w:szCs w:val="20"/>
        </w:rPr>
      </w:pPr>
      <w:r w:rsidRPr="00A72154">
        <w:rPr>
          <w:sz w:val="20"/>
          <w:szCs w:val="20"/>
          <w:vertAlign w:val="superscript"/>
        </w:rPr>
        <w:t>1</w:t>
      </w:r>
      <w:r w:rsidRPr="00A72154">
        <w:rPr>
          <w:sz w:val="20"/>
          <w:szCs w:val="20"/>
        </w:rPr>
        <w:t>Obstetrics</w:t>
      </w:r>
      <w:r w:rsidR="007C381C" w:rsidRPr="00A72154">
        <w:rPr>
          <w:sz w:val="20"/>
          <w:szCs w:val="20"/>
        </w:rPr>
        <w:t xml:space="preserve"> and Gynecology </w:t>
      </w:r>
      <w:r w:rsidRPr="00A72154">
        <w:rPr>
          <w:sz w:val="20"/>
          <w:szCs w:val="20"/>
        </w:rPr>
        <w:t>D</w:t>
      </w:r>
      <w:r w:rsidR="007C381C" w:rsidRPr="00A72154">
        <w:rPr>
          <w:sz w:val="20"/>
          <w:szCs w:val="20"/>
        </w:rPr>
        <w:t>epartment</w:t>
      </w:r>
      <w:r w:rsidRPr="00A72154">
        <w:rPr>
          <w:sz w:val="20"/>
          <w:szCs w:val="20"/>
        </w:rPr>
        <w:t>, Faculty of Medicine,</w:t>
      </w:r>
      <w:r w:rsidR="007C381C" w:rsidRPr="00A72154">
        <w:rPr>
          <w:sz w:val="20"/>
          <w:szCs w:val="20"/>
        </w:rPr>
        <w:t xml:space="preserve"> Fayoum University, Fayoum, Egypt</w:t>
      </w:r>
    </w:p>
    <w:p w:rsidR="00303D36" w:rsidRPr="00A72154" w:rsidRDefault="00B45E0F" w:rsidP="00AC61AC">
      <w:pPr>
        <w:snapToGrid w:val="0"/>
        <w:spacing w:after="0"/>
        <w:jc w:val="center"/>
        <w:rPr>
          <w:sz w:val="20"/>
          <w:szCs w:val="20"/>
        </w:rPr>
      </w:pPr>
      <w:r w:rsidRPr="00A72154">
        <w:rPr>
          <w:sz w:val="20"/>
          <w:szCs w:val="20"/>
          <w:vertAlign w:val="superscript"/>
        </w:rPr>
        <w:t>2</w:t>
      </w:r>
      <w:r w:rsidR="007C381C" w:rsidRPr="00A72154">
        <w:rPr>
          <w:sz w:val="20"/>
          <w:szCs w:val="20"/>
        </w:rPr>
        <w:t xml:space="preserve">Clinical and Chemical Pathology </w:t>
      </w:r>
      <w:r w:rsidRPr="00A72154">
        <w:rPr>
          <w:sz w:val="20"/>
          <w:szCs w:val="20"/>
        </w:rPr>
        <w:t>Department, Faculty of Medicine,</w:t>
      </w:r>
      <w:r w:rsidR="007C381C" w:rsidRPr="00A72154">
        <w:rPr>
          <w:sz w:val="20"/>
          <w:szCs w:val="20"/>
        </w:rPr>
        <w:t xml:space="preserve"> Fayoum University, Fayoum</w:t>
      </w:r>
      <w:r w:rsidRPr="00A72154">
        <w:rPr>
          <w:sz w:val="20"/>
          <w:szCs w:val="20"/>
        </w:rPr>
        <w:t>, Egypt</w:t>
      </w:r>
    </w:p>
    <w:p w:rsidR="00303D36" w:rsidRPr="00A72154" w:rsidRDefault="00B45E0F" w:rsidP="00AC61AC">
      <w:pPr>
        <w:snapToGrid w:val="0"/>
        <w:spacing w:after="0"/>
        <w:jc w:val="center"/>
        <w:rPr>
          <w:sz w:val="20"/>
          <w:szCs w:val="20"/>
        </w:rPr>
      </w:pPr>
      <w:r w:rsidRPr="00A72154">
        <w:rPr>
          <w:sz w:val="20"/>
          <w:szCs w:val="20"/>
          <w:vertAlign w:val="superscript"/>
        </w:rPr>
        <w:t>3</w:t>
      </w:r>
      <w:r w:rsidR="007C381C" w:rsidRPr="00A72154">
        <w:rPr>
          <w:sz w:val="20"/>
          <w:szCs w:val="20"/>
        </w:rPr>
        <w:t xml:space="preserve">Medical Microbiology and Immunology </w:t>
      </w:r>
      <w:r w:rsidRPr="00A72154">
        <w:rPr>
          <w:sz w:val="20"/>
          <w:szCs w:val="20"/>
        </w:rPr>
        <w:t>Department, Faculty of Medicine,</w:t>
      </w:r>
      <w:r w:rsidR="00735868" w:rsidRPr="00A72154">
        <w:rPr>
          <w:rFonts w:eastAsiaTheme="minorEastAsia" w:hint="eastAsia"/>
          <w:sz w:val="20"/>
          <w:szCs w:val="20"/>
          <w:lang w:eastAsia="zh-CN"/>
        </w:rPr>
        <w:t xml:space="preserve"> </w:t>
      </w:r>
      <w:r w:rsidR="007C381C" w:rsidRPr="00A72154">
        <w:rPr>
          <w:sz w:val="20"/>
          <w:szCs w:val="20"/>
        </w:rPr>
        <w:t>Fayoum University</w:t>
      </w:r>
      <w:r w:rsidRPr="00A72154">
        <w:rPr>
          <w:sz w:val="20"/>
          <w:szCs w:val="20"/>
        </w:rPr>
        <w:t>, Fayoum, Egypt</w:t>
      </w:r>
    </w:p>
    <w:p w:rsidR="00514171" w:rsidRPr="00A72154" w:rsidRDefault="00106894" w:rsidP="00AC61AC">
      <w:pPr>
        <w:snapToGrid w:val="0"/>
        <w:spacing w:after="0"/>
        <w:jc w:val="center"/>
        <w:rPr>
          <w:rFonts w:eastAsia="宋体"/>
          <w:color w:val="000000"/>
          <w:sz w:val="20"/>
          <w:szCs w:val="20"/>
        </w:rPr>
      </w:pPr>
      <w:hyperlink r:id="rId7">
        <w:r w:rsidR="007A0937" w:rsidRPr="00A72154">
          <w:rPr>
            <w:rStyle w:val="Hyperlink"/>
            <w:rFonts w:eastAsia="宋体"/>
            <w:sz w:val="20"/>
            <w:szCs w:val="20"/>
          </w:rPr>
          <w:t>msobhy7@yahoo.com</w:t>
        </w:r>
      </w:hyperlink>
      <w:r w:rsidR="007A0937" w:rsidRPr="00A72154">
        <w:rPr>
          <w:rFonts w:eastAsia="宋体"/>
          <w:color w:val="000000"/>
          <w:sz w:val="20"/>
          <w:szCs w:val="20"/>
        </w:rPr>
        <w:t>,</w:t>
      </w:r>
      <w:r w:rsidR="00735868" w:rsidRPr="00A72154">
        <w:rPr>
          <w:rFonts w:eastAsia="宋体" w:hint="eastAsia"/>
          <w:color w:val="000000"/>
          <w:sz w:val="20"/>
          <w:szCs w:val="20"/>
          <w:lang w:eastAsia="zh-CN"/>
        </w:rPr>
        <w:t xml:space="preserve"> </w:t>
      </w:r>
      <w:hyperlink r:id="rId8" w:history="1">
        <w:r w:rsidR="007A0937" w:rsidRPr="00A72154">
          <w:rPr>
            <w:rStyle w:val="Hyperlink"/>
            <w:sz w:val="20"/>
            <w:szCs w:val="20"/>
          </w:rPr>
          <w:t>lailaezzat9720000@gmail.com</w:t>
        </w:r>
      </w:hyperlink>
      <w:r w:rsidR="007A0937" w:rsidRPr="00A72154">
        <w:rPr>
          <w:sz w:val="20"/>
          <w:szCs w:val="20"/>
          <w:vertAlign w:val="superscript"/>
        </w:rPr>
        <w:t>*</w:t>
      </w:r>
      <w:r w:rsidR="007A0937" w:rsidRPr="00A72154">
        <w:rPr>
          <w:sz w:val="20"/>
          <w:szCs w:val="20"/>
        </w:rPr>
        <w:t xml:space="preserve">, </w:t>
      </w:r>
      <w:hyperlink r:id="rId9">
        <w:r w:rsidR="007A0937" w:rsidRPr="00A72154">
          <w:rPr>
            <w:rStyle w:val="Hyperlink"/>
            <w:rFonts w:eastAsia="宋体"/>
            <w:sz w:val="20"/>
            <w:szCs w:val="20"/>
          </w:rPr>
          <w:t>esm02@fayoum.edu.eg</w:t>
        </w:r>
      </w:hyperlink>
      <w:r w:rsidR="007A0937" w:rsidRPr="00A72154">
        <w:rPr>
          <w:rFonts w:eastAsia="宋体"/>
          <w:color w:val="000000"/>
          <w:sz w:val="20"/>
          <w:szCs w:val="20"/>
        </w:rPr>
        <w:t>,</w:t>
      </w:r>
      <w:r w:rsidR="00735868" w:rsidRPr="00A72154">
        <w:rPr>
          <w:rFonts w:eastAsia="宋体" w:hint="eastAsia"/>
          <w:color w:val="000000"/>
          <w:sz w:val="20"/>
          <w:szCs w:val="20"/>
          <w:lang w:eastAsia="zh-CN"/>
        </w:rPr>
        <w:t xml:space="preserve"> </w:t>
      </w:r>
      <w:hyperlink r:id="rId10">
        <w:r w:rsidR="007A0937" w:rsidRPr="00A72154">
          <w:rPr>
            <w:rStyle w:val="Hyperlink"/>
            <w:rFonts w:eastAsia="宋体"/>
            <w:sz w:val="20"/>
            <w:szCs w:val="20"/>
          </w:rPr>
          <w:t>drsylvy80@gmail.com</w:t>
        </w:r>
      </w:hyperlink>
      <w:r w:rsidR="007A0937" w:rsidRPr="00A72154">
        <w:rPr>
          <w:rStyle w:val="Hyperlink"/>
          <w:rFonts w:eastAsia="宋体"/>
          <w:color w:val="000000"/>
          <w:sz w:val="20"/>
          <w:szCs w:val="20"/>
          <w:u w:val="none"/>
        </w:rPr>
        <w:t xml:space="preserve">, </w:t>
      </w:r>
      <w:hyperlink r:id="rId11">
        <w:r w:rsidR="007A0937" w:rsidRPr="00A72154">
          <w:rPr>
            <w:rStyle w:val="Hyperlink"/>
            <w:rFonts w:eastAsia="宋体"/>
            <w:sz w:val="20"/>
            <w:szCs w:val="20"/>
          </w:rPr>
          <w:t>almandohhussen@yahoo.com</w:t>
        </w:r>
      </w:hyperlink>
    </w:p>
    <w:p w:rsidR="00514171" w:rsidRPr="00A72154" w:rsidRDefault="00514171" w:rsidP="00AC61AC">
      <w:pPr>
        <w:snapToGrid w:val="0"/>
        <w:spacing w:after="0"/>
        <w:jc w:val="center"/>
        <w:rPr>
          <w:rFonts w:eastAsia="宋体"/>
          <w:color w:val="000000"/>
          <w:sz w:val="20"/>
          <w:szCs w:val="20"/>
        </w:rPr>
      </w:pPr>
    </w:p>
    <w:p w:rsidR="00303D36" w:rsidRPr="00A72154" w:rsidRDefault="007C381C" w:rsidP="00AC61AC">
      <w:pPr>
        <w:snapToGrid w:val="0"/>
        <w:spacing w:after="0"/>
        <w:jc w:val="both"/>
        <w:rPr>
          <w:sz w:val="20"/>
          <w:szCs w:val="20"/>
        </w:rPr>
      </w:pPr>
      <w:r w:rsidRPr="00A72154">
        <w:rPr>
          <w:b/>
          <w:bCs/>
          <w:sz w:val="20"/>
          <w:szCs w:val="20"/>
        </w:rPr>
        <w:t>Abstract</w:t>
      </w:r>
      <w:r w:rsidR="00D92EC2" w:rsidRPr="00A72154">
        <w:rPr>
          <w:b/>
          <w:bCs/>
          <w:sz w:val="20"/>
          <w:szCs w:val="20"/>
        </w:rPr>
        <w:t xml:space="preserve">: </w:t>
      </w:r>
      <w:r w:rsidRPr="00A72154">
        <w:rPr>
          <w:b/>
          <w:bCs/>
          <w:sz w:val="20"/>
          <w:szCs w:val="20"/>
        </w:rPr>
        <w:t>Objective:</w:t>
      </w:r>
      <w:r w:rsidRPr="00A72154">
        <w:rPr>
          <w:sz w:val="20"/>
          <w:szCs w:val="20"/>
        </w:rPr>
        <w:t xml:space="preserve"> To determine the prevalence of </w:t>
      </w:r>
      <w:r w:rsidRPr="00A72154">
        <w:rPr>
          <w:i/>
          <w:iCs/>
          <w:sz w:val="20"/>
          <w:szCs w:val="20"/>
        </w:rPr>
        <w:t>Chlamydia trachomatis</w:t>
      </w:r>
      <w:r w:rsidRPr="00A72154">
        <w:rPr>
          <w:sz w:val="20"/>
          <w:szCs w:val="20"/>
        </w:rPr>
        <w:t xml:space="preserve"> and other infections of the genital tract and its relation to the incidence of early unexplained spontaneous miscarriages. </w:t>
      </w:r>
      <w:r w:rsidRPr="00A72154">
        <w:rPr>
          <w:b/>
          <w:bCs/>
          <w:sz w:val="20"/>
          <w:szCs w:val="20"/>
        </w:rPr>
        <w:t>Design:</w:t>
      </w:r>
      <w:r w:rsidRPr="00A72154">
        <w:rPr>
          <w:sz w:val="20"/>
          <w:szCs w:val="20"/>
        </w:rPr>
        <w:t xml:space="preserve"> a case-control study. </w:t>
      </w:r>
      <w:r w:rsidRPr="00A72154">
        <w:rPr>
          <w:b/>
          <w:bCs/>
          <w:sz w:val="20"/>
          <w:szCs w:val="20"/>
        </w:rPr>
        <w:t xml:space="preserve">Setting: </w:t>
      </w:r>
      <w:r w:rsidRPr="00A72154">
        <w:rPr>
          <w:rFonts w:eastAsia="宋体"/>
          <w:sz w:val="20"/>
          <w:szCs w:val="20"/>
        </w:rPr>
        <w:t xml:space="preserve">Fayoum University hospital. </w:t>
      </w:r>
      <w:r w:rsidRPr="00A72154">
        <w:rPr>
          <w:b/>
          <w:bCs/>
          <w:sz w:val="20"/>
          <w:szCs w:val="20"/>
        </w:rPr>
        <w:t>Patients:</w:t>
      </w:r>
      <w:r w:rsidRPr="00A72154">
        <w:rPr>
          <w:sz w:val="20"/>
          <w:szCs w:val="20"/>
        </w:rPr>
        <w:t xml:space="preserve"> The study group included 300 women presenting with unexplained spontaneous miscarriage or missed abortion of gestational age 8-14 weeks. The control group included 300 women with normal pregnancy of the same gestational</w:t>
      </w:r>
      <w:r w:rsidRPr="00A72154">
        <w:rPr>
          <w:rFonts w:eastAsia="宋体"/>
          <w:sz w:val="20"/>
          <w:szCs w:val="20"/>
        </w:rPr>
        <w:t xml:space="preserve"> age. </w:t>
      </w:r>
      <w:r w:rsidRPr="00A72154">
        <w:rPr>
          <w:rFonts w:eastAsia="TimesNewRoman"/>
          <w:b/>
          <w:bCs/>
          <w:sz w:val="20"/>
          <w:szCs w:val="20"/>
        </w:rPr>
        <w:t>Intervention:</w:t>
      </w:r>
      <w:r w:rsidR="00735868" w:rsidRPr="00A72154">
        <w:rPr>
          <w:rFonts w:eastAsiaTheme="minorEastAsia" w:hint="eastAsia"/>
          <w:b/>
          <w:bCs/>
          <w:sz w:val="20"/>
          <w:szCs w:val="20"/>
          <w:lang w:eastAsia="zh-CN"/>
        </w:rPr>
        <w:t xml:space="preserve"> </w:t>
      </w:r>
      <w:r w:rsidRPr="00A72154">
        <w:rPr>
          <w:rFonts w:eastAsia="宋体"/>
          <w:sz w:val="20"/>
          <w:szCs w:val="20"/>
        </w:rPr>
        <w:t xml:space="preserve">All participants of both groups were subjected to 3 </w:t>
      </w:r>
      <w:r w:rsidRPr="00A72154">
        <w:rPr>
          <w:sz w:val="20"/>
          <w:szCs w:val="20"/>
        </w:rPr>
        <w:t>cervicovaginal swabs</w:t>
      </w:r>
      <w:r w:rsidRPr="00A72154">
        <w:rPr>
          <w:rFonts w:eastAsia="宋体"/>
          <w:sz w:val="20"/>
          <w:szCs w:val="20"/>
        </w:rPr>
        <w:t xml:space="preserve"> and placental sampling was added from the study group. </w:t>
      </w:r>
      <w:r w:rsidRPr="00A72154">
        <w:rPr>
          <w:sz w:val="20"/>
          <w:szCs w:val="20"/>
        </w:rPr>
        <w:t>One swab was used for a smear test of vaginal fluid pH evaluation and direct microscopy. The second swabs, cultured for aerobic bacteria and yeasts. The third swab of both groups and placental samples from the study group were cultured for aerobic and anaerobic bacteria and used for DNA extraction. The extracted DNA was subjected to a pan-</w:t>
      </w:r>
      <w:r w:rsidRPr="00A72154">
        <w:rPr>
          <w:i/>
          <w:iCs/>
          <w:sz w:val="20"/>
          <w:szCs w:val="20"/>
        </w:rPr>
        <w:t>Chlamydiales</w:t>
      </w:r>
      <w:r w:rsidRPr="00A72154">
        <w:rPr>
          <w:sz w:val="20"/>
          <w:szCs w:val="20"/>
        </w:rPr>
        <w:t xml:space="preserve"> qPCR and positive samples were subjected to qPCR specific for </w:t>
      </w:r>
      <w:r w:rsidRPr="00A72154">
        <w:rPr>
          <w:i/>
          <w:iCs/>
          <w:sz w:val="20"/>
          <w:szCs w:val="20"/>
        </w:rPr>
        <w:t>Chlamydia trachomatis, Waddlia chondrophila and Parachlamydia acanthamoebae</w:t>
      </w:r>
      <w:r w:rsidRPr="00A72154">
        <w:rPr>
          <w:sz w:val="20"/>
          <w:szCs w:val="20"/>
        </w:rPr>
        <w:t xml:space="preserve">. </w:t>
      </w:r>
      <w:r w:rsidRPr="00A72154">
        <w:rPr>
          <w:b/>
          <w:bCs/>
          <w:sz w:val="20"/>
          <w:szCs w:val="20"/>
        </w:rPr>
        <w:t>Results:</w:t>
      </w:r>
      <w:r w:rsidR="00735868" w:rsidRPr="00A72154">
        <w:rPr>
          <w:rFonts w:eastAsiaTheme="minorEastAsia" w:hint="eastAsia"/>
          <w:b/>
          <w:bCs/>
          <w:sz w:val="20"/>
          <w:szCs w:val="20"/>
          <w:lang w:eastAsia="zh-CN"/>
        </w:rPr>
        <w:t xml:space="preserve"> </w:t>
      </w:r>
      <w:r w:rsidRPr="00A72154">
        <w:rPr>
          <w:i/>
          <w:iCs/>
          <w:sz w:val="20"/>
          <w:szCs w:val="20"/>
        </w:rPr>
        <w:t>Candida</w:t>
      </w:r>
      <w:r w:rsidRPr="00A72154">
        <w:rPr>
          <w:sz w:val="20"/>
          <w:szCs w:val="20"/>
        </w:rPr>
        <w:t xml:space="preserve"> infection and </w:t>
      </w:r>
      <w:r w:rsidRPr="00A72154">
        <w:rPr>
          <w:i/>
          <w:iCs/>
          <w:sz w:val="20"/>
          <w:szCs w:val="20"/>
        </w:rPr>
        <w:t>Trichomonas vaginalis</w:t>
      </w:r>
      <w:r w:rsidRPr="00A72154">
        <w:rPr>
          <w:sz w:val="20"/>
          <w:szCs w:val="20"/>
        </w:rPr>
        <w:t xml:space="preserve"> represented the main infections in both groups without a statistically significant difference between both groups. Placental samples were positive in 20%, 21 cases were positive by culture and 39 cases by PCR. Pan- </w:t>
      </w:r>
      <w:r w:rsidRPr="00A72154">
        <w:rPr>
          <w:i/>
          <w:iCs/>
          <w:sz w:val="20"/>
          <w:szCs w:val="20"/>
        </w:rPr>
        <w:t>Chlamydiales</w:t>
      </w:r>
      <w:r w:rsidRPr="00A72154">
        <w:rPr>
          <w:sz w:val="20"/>
          <w:szCs w:val="20"/>
        </w:rPr>
        <w:t xml:space="preserve"> were detected in 92 cervicovaginal samples of both groups and 39 placental samples of study group with a statistically significant difference between both groups (p &lt;0.041). </w:t>
      </w:r>
      <w:r w:rsidRPr="00A72154">
        <w:rPr>
          <w:i/>
          <w:iCs/>
          <w:sz w:val="20"/>
          <w:szCs w:val="20"/>
        </w:rPr>
        <w:t>Chlamydia trachomatis</w:t>
      </w:r>
      <w:r w:rsidRPr="00A72154">
        <w:rPr>
          <w:sz w:val="20"/>
          <w:szCs w:val="20"/>
        </w:rPr>
        <w:t xml:space="preserve"> qPCR was detected in cervicovaginal samples in 54 patients of the study group and 36 patients of control group, that was a statistically significant difference (p &lt;0.04), and 31 placental samples of study group, representing 92.3% of all chlamydial infections. </w:t>
      </w:r>
      <w:r w:rsidRPr="00A72154">
        <w:rPr>
          <w:i/>
          <w:iCs/>
          <w:sz w:val="20"/>
          <w:szCs w:val="20"/>
        </w:rPr>
        <w:t xml:space="preserve">Waddlia chondrophila </w:t>
      </w:r>
      <w:r w:rsidRPr="00A72154">
        <w:rPr>
          <w:sz w:val="20"/>
          <w:szCs w:val="20"/>
        </w:rPr>
        <w:t>was detected in 2 cervicovaginal samples of both groups and 8 placental samples of the study group, representing 7.6% of all chlamydial infection, that was statistically insignificant difference between both groups (p=1). No Parachlamydia</w:t>
      </w:r>
      <w:r w:rsidRPr="00A72154">
        <w:rPr>
          <w:i/>
          <w:iCs/>
          <w:sz w:val="20"/>
          <w:szCs w:val="20"/>
        </w:rPr>
        <w:t xml:space="preserve"> acanthamoebae</w:t>
      </w:r>
      <w:r w:rsidRPr="00A72154">
        <w:rPr>
          <w:sz w:val="20"/>
          <w:szCs w:val="20"/>
        </w:rPr>
        <w:t xml:space="preserve"> detected in both groups. </w:t>
      </w:r>
      <w:r w:rsidRPr="00A72154">
        <w:rPr>
          <w:b/>
          <w:bCs/>
          <w:sz w:val="20"/>
          <w:szCs w:val="20"/>
        </w:rPr>
        <w:t>Conclusion:</w:t>
      </w:r>
      <w:r w:rsidR="00735868" w:rsidRPr="00A72154">
        <w:rPr>
          <w:rFonts w:eastAsiaTheme="minorEastAsia" w:hint="eastAsia"/>
          <w:b/>
          <w:bCs/>
          <w:sz w:val="20"/>
          <w:szCs w:val="20"/>
          <w:lang w:eastAsia="zh-CN"/>
        </w:rPr>
        <w:t xml:space="preserve"> </w:t>
      </w:r>
      <w:r w:rsidRPr="00A72154">
        <w:rPr>
          <w:i/>
          <w:iCs/>
          <w:sz w:val="20"/>
          <w:szCs w:val="20"/>
        </w:rPr>
        <w:t>Chlamydia trachomatis</w:t>
      </w:r>
      <w:r w:rsidRPr="00A72154">
        <w:rPr>
          <w:sz w:val="20"/>
          <w:szCs w:val="20"/>
        </w:rPr>
        <w:t xml:space="preserve"> and </w:t>
      </w:r>
      <w:r w:rsidRPr="00A72154">
        <w:rPr>
          <w:i/>
          <w:iCs/>
          <w:sz w:val="20"/>
          <w:szCs w:val="20"/>
        </w:rPr>
        <w:t xml:space="preserve">Waddlia chondrophila </w:t>
      </w:r>
      <w:r w:rsidRPr="00A72154">
        <w:rPr>
          <w:sz w:val="20"/>
          <w:szCs w:val="20"/>
        </w:rPr>
        <w:t>infections are possible factors for miscarriage as their prevalence was higher in cervicovaginal and placental samples of women with unexplained early miscarriage.</w:t>
      </w:r>
    </w:p>
    <w:p w:rsidR="00AC61AC" w:rsidRPr="00A72154" w:rsidRDefault="007A0937" w:rsidP="00AC61AC">
      <w:pPr>
        <w:snapToGrid w:val="0"/>
        <w:spacing w:after="0"/>
        <w:jc w:val="both"/>
        <w:rPr>
          <w:b/>
          <w:bCs/>
          <w:sz w:val="20"/>
          <w:szCs w:val="20"/>
        </w:rPr>
      </w:pPr>
      <w:r w:rsidRPr="00A72154">
        <w:rPr>
          <w:sz w:val="20"/>
          <w:szCs w:val="20"/>
        </w:rPr>
        <w:t>[</w:t>
      </w:r>
      <w:r w:rsidR="00D92EC2" w:rsidRPr="00A72154">
        <w:rPr>
          <w:sz w:val="20"/>
          <w:szCs w:val="20"/>
        </w:rPr>
        <w:t>Mohamed Sobhy Bakry,</w:t>
      </w:r>
      <w:r w:rsidRPr="00A72154">
        <w:rPr>
          <w:sz w:val="20"/>
          <w:szCs w:val="20"/>
        </w:rPr>
        <w:t xml:space="preserve"> </w:t>
      </w:r>
      <w:r w:rsidR="00D92EC2" w:rsidRPr="00A72154">
        <w:rPr>
          <w:sz w:val="20"/>
          <w:szCs w:val="20"/>
        </w:rPr>
        <w:t>Laila Ezzat, Eman E Mahmoud,</w:t>
      </w:r>
      <w:r w:rsidRPr="00A72154">
        <w:rPr>
          <w:sz w:val="20"/>
          <w:szCs w:val="20"/>
        </w:rPr>
        <w:t xml:space="preserve"> </w:t>
      </w:r>
      <w:r w:rsidR="00D92EC2" w:rsidRPr="00A72154">
        <w:rPr>
          <w:sz w:val="20"/>
          <w:szCs w:val="20"/>
        </w:rPr>
        <w:t>Sylvana N. Gaber, Almandouh H Bosilah</w:t>
      </w:r>
      <w:r w:rsidR="00AC61AC" w:rsidRPr="00A72154">
        <w:rPr>
          <w:sz w:val="20"/>
          <w:szCs w:val="20"/>
        </w:rPr>
        <w:t xml:space="preserve">. </w:t>
      </w:r>
      <w:r w:rsidR="00AC61AC" w:rsidRPr="00A72154">
        <w:rPr>
          <w:b/>
          <w:bCs/>
          <w:sz w:val="20"/>
          <w:szCs w:val="20"/>
        </w:rPr>
        <w:t>Chlamydia Trachomatis and Waddlia Chondrophila among Women with Unexplained Early Miscarriage: Case-Control Study</w:t>
      </w:r>
      <w:r w:rsidR="00AC61AC" w:rsidRPr="00A72154">
        <w:rPr>
          <w:b/>
          <w:bCs/>
          <w:sz w:val="20"/>
          <w:szCs w:val="20"/>
          <w:lang w:bidi="fa-IR"/>
        </w:rPr>
        <w:t>.</w:t>
      </w:r>
      <w:r w:rsidR="00AC61AC" w:rsidRPr="00A72154">
        <w:rPr>
          <w:i/>
          <w:sz w:val="20"/>
          <w:szCs w:val="20"/>
        </w:rPr>
        <w:t xml:space="preserve"> Cancer Biology</w:t>
      </w:r>
      <w:r w:rsidR="00AC61AC" w:rsidRPr="00A72154">
        <w:rPr>
          <w:sz w:val="20"/>
          <w:szCs w:val="20"/>
        </w:rPr>
        <w:t xml:space="preserve"> 20</w:t>
      </w:r>
      <w:r w:rsidR="00AC61AC" w:rsidRPr="00A72154">
        <w:rPr>
          <w:rFonts w:hint="eastAsia"/>
          <w:sz w:val="20"/>
          <w:szCs w:val="20"/>
        </w:rPr>
        <w:t>20</w:t>
      </w:r>
      <w:r w:rsidR="00AC61AC" w:rsidRPr="00A72154">
        <w:rPr>
          <w:sz w:val="20"/>
          <w:szCs w:val="20"/>
        </w:rPr>
        <w:t>;</w:t>
      </w:r>
      <w:r w:rsidR="00AC61AC" w:rsidRPr="00A72154">
        <w:rPr>
          <w:rFonts w:hint="eastAsia"/>
          <w:sz w:val="20"/>
          <w:szCs w:val="20"/>
        </w:rPr>
        <w:t>10</w:t>
      </w:r>
      <w:r w:rsidR="00AC61AC" w:rsidRPr="00A72154">
        <w:rPr>
          <w:sz w:val="20"/>
          <w:szCs w:val="20"/>
        </w:rPr>
        <w:t>(</w:t>
      </w:r>
      <w:r w:rsidR="00AC61AC" w:rsidRPr="00A72154">
        <w:rPr>
          <w:rFonts w:hint="eastAsia"/>
          <w:sz w:val="20"/>
          <w:szCs w:val="20"/>
        </w:rPr>
        <w:t>4</w:t>
      </w:r>
      <w:r w:rsidR="00AC61AC" w:rsidRPr="00A72154">
        <w:rPr>
          <w:sz w:val="20"/>
          <w:szCs w:val="20"/>
        </w:rPr>
        <w:t>):</w:t>
      </w:r>
      <w:r w:rsidR="00A72154">
        <w:rPr>
          <w:rFonts w:eastAsiaTheme="minorEastAsia" w:hint="eastAsia"/>
          <w:sz w:val="20"/>
          <w:szCs w:val="20"/>
          <w:lang w:eastAsia="zh-CN"/>
        </w:rPr>
        <w:t>7-</w:t>
      </w:r>
      <w:r w:rsidR="00420329" w:rsidRPr="00A72154">
        <w:rPr>
          <w:rFonts w:eastAsiaTheme="minorEastAsia" w:hint="eastAsia"/>
          <w:noProof/>
          <w:color w:val="000000"/>
          <w:sz w:val="20"/>
          <w:szCs w:val="20"/>
          <w:lang w:eastAsia="zh-CN"/>
        </w:rPr>
        <w:t>1</w:t>
      </w:r>
      <w:r w:rsidR="00A72154">
        <w:rPr>
          <w:rFonts w:eastAsiaTheme="minorEastAsia" w:hint="eastAsia"/>
          <w:noProof/>
          <w:color w:val="000000"/>
          <w:sz w:val="20"/>
          <w:szCs w:val="20"/>
          <w:lang w:eastAsia="zh-CN"/>
        </w:rPr>
        <w:t>6</w:t>
      </w:r>
      <w:r w:rsidR="00AC61AC" w:rsidRPr="00A72154">
        <w:rPr>
          <w:sz w:val="20"/>
          <w:szCs w:val="20"/>
        </w:rPr>
        <w:t xml:space="preserve">]. </w:t>
      </w:r>
      <w:r w:rsidR="00AC61AC" w:rsidRPr="00A72154">
        <w:rPr>
          <w:rStyle w:val="msonormal0"/>
          <w:rFonts w:eastAsia="宋"/>
          <w:sz w:val="20"/>
          <w:szCs w:val="20"/>
        </w:rPr>
        <w:t>ISSN: 2150-1041 (print); ISSN: 2150-105X (online)</w:t>
      </w:r>
      <w:r w:rsidR="00AC61AC" w:rsidRPr="00A72154">
        <w:rPr>
          <w:sz w:val="20"/>
          <w:szCs w:val="20"/>
        </w:rPr>
        <w:t xml:space="preserve">. </w:t>
      </w:r>
      <w:hyperlink r:id="rId12" w:history="1">
        <w:r w:rsidR="00AC61AC" w:rsidRPr="00A72154">
          <w:rPr>
            <w:rStyle w:val="Hyperlink"/>
            <w:sz w:val="20"/>
            <w:szCs w:val="20"/>
          </w:rPr>
          <w:t>http://www.cancerbio.net</w:t>
        </w:r>
      </w:hyperlink>
      <w:r w:rsidR="00AC61AC" w:rsidRPr="00A72154">
        <w:rPr>
          <w:sz w:val="20"/>
          <w:szCs w:val="20"/>
        </w:rPr>
        <w:t>.</w:t>
      </w:r>
      <w:r w:rsidR="00AC61AC" w:rsidRPr="00A72154">
        <w:rPr>
          <w:rFonts w:hint="eastAsia"/>
          <w:sz w:val="20"/>
          <w:szCs w:val="20"/>
        </w:rPr>
        <w:t xml:space="preserve"> </w:t>
      </w:r>
      <w:r w:rsidR="00AC61AC" w:rsidRPr="00A72154">
        <w:rPr>
          <w:rFonts w:eastAsiaTheme="minorEastAsia" w:hint="eastAsia"/>
          <w:sz w:val="20"/>
          <w:szCs w:val="20"/>
          <w:lang w:eastAsia="zh-CN"/>
        </w:rPr>
        <w:t>2</w:t>
      </w:r>
      <w:r w:rsidR="00AC61AC" w:rsidRPr="00A72154">
        <w:rPr>
          <w:rFonts w:hint="eastAsia"/>
          <w:sz w:val="20"/>
          <w:szCs w:val="20"/>
        </w:rPr>
        <w:t xml:space="preserve">. </w:t>
      </w:r>
      <w:r w:rsidR="00AC61AC" w:rsidRPr="00A72154">
        <w:rPr>
          <w:color w:val="000000"/>
          <w:sz w:val="20"/>
          <w:szCs w:val="20"/>
          <w:shd w:val="clear" w:color="auto" w:fill="FFFFFF"/>
        </w:rPr>
        <w:t>doi:</w:t>
      </w:r>
      <w:hyperlink r:id="rId13" w:history="1">
        <w:r w:rsidR="00AC61AC" w:rsidRPr="00A72154">
          <w:rPr>
            <w:rStyle w:val="Hyperlink"/>
            <w:sz w:val="20"/>
            <w:szCs w:val="20"/>
            <w:shd w:val="clear" w:color="auto" w:fill="FFFFFF"/>
          </w:rPr>
          <w:t>10.7537/mars</w:t>
        </w:r>
        <w:r w:rsidR="00AC61AC" w:rsidRPr="00A72154">
          <w:rPr>
            <w:rStyle w:val="Hyperlink"/>
            <w:rFonts w:hint="eastAsia"/>
            <w:sz w:val="20"/>
            <w:szCs w:val="20"/>
            <w:shd w:val="clear" w:color="auto" w:fill="FFFFFF"/>
          </w:rPr>
          <w:t>cbj100420.</w:t>
        </w:r>
        <w:r w:rsidR="00AC61AC" w:rsidRPr="00A72154">
          <w:rPr>
            <w:rStyle w:val="Hyperlink"/>
            <w:sz w:val="20"/>
            <w:szCs w:val="20"/>
            <w:shd w:val="clear" w:color="auto" w:fill="FFFFFF"/>
          </w:rPr>
          <w:t>0</w:t>
        </w:r>
        <w:r w:rsidR="00AC61AC" w:rsidRPr="00A72154">
          <w:rPr>
            <w:rStyle w:val="Hyperlink"/>
            <w:rFonts w:eastAsiaTheme="minorEastAsia" w:hint="eastAsia"/>
            <w:sz w:val="20"/>
            <w:szCs w:val="20"/>
            <w:shd w:val="clear" w:color="auto" w:fill="FFFFFF"/>
            <w:lang w:eastAsia="zh-CN"/>
          </w:rPr>
          <w:t>2</w:t>
        </w:r>
      </w:hyperlink>
      <w:r w:rsidR="00AC61AC" w:rsidRPr="00A72154">
        <w:rPr>
          <w:color w:val="000000"/>
          <w:sz w:val="20"/>
          <w:szCs w:val="20"/>
          <w:shd w:val="clear" w:color="auto" w:fill="FFFFFF"/>
        </w:rPr>
        <w:t>.</w:t>
      </w:r>
    </w:p>
    <w:p w:rsidR="00D92EC2" w:rsidRPr="00A72154" w:rsidRDefault="00D92EC2" w:rsidP="00AC61AC">
      <w:pPr>
        <w:snapToGrid w:val="0"/>
        <w:spacing w:after="0"/>
        <w:jc w:val="both"/>
        <w:rPr>
          <w:sz w:val="20"/>
          <w:szCs w:val="20"/>
        </w:rPr>
      </w:pPr>
    </w:p>
    <w:p w:rsidR="00B45E0F" w:rsidRPr="00A72154" w:rsidRDefault="00B45E0F" w:rsidP="00AC61AC">
      <w:pPr>
        <w:snapToGrid w:val="0"/>
        <w:spacing w:after="0"/>
        <w:jc w:val="both"/>
        <w:rPr>
          <w:sz w:val="20"/>
          <w:szCs w:val="20"/>
        </w:rPr>
      </w:pPr>
      <w:r w:rsidRPr="00A72154">
        <w:rPr>
          <w:b/>
          <w:bCs/>
          <w:sz w:val="20"/>
          <w:szCs w:val="20"/>
        </w:rPr>
        <w:t>Key Words:</w:t>
      </w:r>
      <w:r w:rsidRPr="00A72154">
        <w:rPr>
          <w:sz w:val="20"/>
          <w:szCs w:val="20"/>
        </w:rPr>
        <w:t xml:space="preserve"> </w:t>
      </w:r>
      <w:r w:rsidR="007A0937" w:rsidRPr="00A72154">
        <w:rPr>
          <w:sz w:val="20"/>
          <w:szCs w:val="20"/>
        </w:rPr>
        <w:t>M</w:t>
      </w:r>
      <w:r w:rsidRPr="00A72154">
        <w:rPr>
          <w:sz w:val="20"/>
          <w:szCs w:val="20"/>
        </w:rPr>
        <w:t>iscarriage,</w:t>
      </w:r>
      <w:r w:rsidRPr="00A72154">
        <w:rPr>
          <w:i/>
          <w:iCs/>
          <w:sz w:val="20"/>
          <w:szCs w:val="20"/>
        </w:rPr>
        <w:t xml:space="preserve"> Chlamydia trachomatis, Waddlia chondrophila, Parachlamydia acanthamoebae,</w:t>
      </w:r>
      <w:r w:rsidRPr="00A72154">
        <w:rPr>
          <w:sz w:val="20"/>
          <w:szCs w:val="20"/>
        </w:rPr>
        <w:t xml:space="preserve"> placental samples.</w:t>
      </w:r>
    </w:p>
    <w:p w:rsidR="00B45E0F" w:rsidRPr="00A72154" w:rsidRDefault="00B45E0F" w:rsidP="00AC61AC">
      <w:pPr>
        <w:snapToGrid w:val="0"/>
        <w:spacing w:after="0"/>
        <w:jc w:val="both"/>
        <w:rPr>
          <w:b/>
          <w:bCs/>
          <w:sz w:val="20"/>
          <w:szCs w:val="20"/>
        </w:rPr>
      </w:pPr>
    </w:p>
    <w:p w:rsidR="00AC61AC" w:rsidRPr="00A72154" w:rsidRDefault="00AC61AC" w:rsidP="00AC61AC">
      <w:pPr>
        <w:snapToGrid w:val="0"/>
        <w:spacing w:after="0"/>
        <w:jc w:val="both"/>
        <w:rPr>
          <w:b/>
          <w:bCs/>
          <w:sz w:val="20"/>
          <w:szCs w:val="20"/>
        </w:rPr>
        <w:sectPr w:rsidR="00AC61AC" w:rsidRPr="00A72154" w:rsidSect="00E13F66">
          <w:headerReference w:type="default" r:id="rId14"/>
          <w:footerReference w:type="default" r:id="rId15"/>
          <w:type w:val="continuous"/>
          <w:pgSz w:w="12240" w:h="15840"/>
          <w:pgMar w:top="1440" w:right="1440" w:bottom="1440" w:left="1440" w:header="720" w:footer="720" w:gutter="0"/>
          <w:pgNumType w:start="7"/>
          <w:cols w:space="720"/>
          <w:docGrid w:linePitch="326"/>
        </w:sectPr>
      </w:pPr>
    </w:p>
    <w:p w:rsidR="00303D36" w:rsidRPr="00A72154" w:rsidRDefault="00B45E0F" w:rsidP="00AC61AC">
      <w:pPr>
        <w:snapToGrid w:val="0"/>
        <w:spacing w:after="0"/>
        <w:jc w:val="both"/>
        <w:rPr>
          <w:b/>
          <w:bCs/>
          <w:sz w:val="20"/>
          <w:szCs w:val="20"/>
        </w:rPr>
      </w:pPr>
      <w:r w:rsidRPr="00A72154">
        <w:rPr>
          <w:b/>
          <w:bCs/>
          <w:sz w:val="20"/>
          <w:szCs w:val="20"/>
        </w:rPr>
        <w:lastRenderedPageBreak/>
        <w:t xml:space="preserve">1. </w:t>
      </w:r>
      <w:r w:rsidR="007C381C" w:rsidRPr="00A72154">
        <w:rPr>
          <w:b/>
          <w:bCs/>
          <w:sz w:val="20"/>
          <w:szCs w:val="20"/>
        </w:rPr>
        <w:t>Introduction</w:t>
      </w:r>
    </w:p>
    <w:p w:rsidR="00303D36" w:rsidRPr="00A72154" w:rsidRDefault="007C381C" w:rsidP="00AC61AC">
      <w:pPr>
        <w:snapToGrid w:val="0"/>
        <w:spacing w:after="0"/>
        <w:ind w:firstLine="425"/>
        <w:jc w:val="both"/>
        <w:rPr>
          <w:sz w:val="20"/>
          <w:szCs w:val="20"/>
        </w:rPr>
      </w:pPr>
      <w:r w:rsidRPr="00A72154">
        <w:rPr>
          <w:sz w:val="20"/>
          <w:szCs w:val="20"/>
        </w:rPr>
        <w:t xml:space="preserve">Miscarriage, one of the commonly seen unfavorable pregnancy outcomes, is defined as the spontaneous pregnancy loss before viability and throughout the first 24 weeks of pregnancy </w:t>
      </w:r>
      <w:r w:rsidRPr="00A72154">
        <w:rPr>
          <w:sz w:val="20"/>
          <w:szCs w:val="20"/>
          <w:vertAlign w:val="superscript"/>
        </w:rPr>
        <w:t>(1)</w:t>
      </w:r>
      <w:r w:rsidRPr="00A72154">
        <w:rPr>
          <w:sz w:val="20"/>
          <w:szCs w:val="20"/>
        </w:rPr>
        <w:t xml:space="preserve">. Early miscarriage, defined as loss of pregnancy of less than 12 weeks, occurs in up to 20% of pregnancies. Late miscarriage occurring in 1–2% of pregnancies, is defined as pregnancy loss during the second trimester (12–24 weeks). </w:t>
      </w:r>
      <w:r w:rsidRPr="00A72154">
        <w:rPr>
          <w:sz w:val="20"/>
          <w:szCs w:val="20"/>
          <w:vertAlign w:val="superscript"/>
        </w:rPr>
        <w:t>(2)</w:t>
      </w:r>
    </w:p>
    <w:p w:rsidR="00303D36" w:rsidRPr="00A72154" w:rsidRDefault="007C381C" w:rsidP="00AC61AC">
      <w:pPr>
        <w:snapToGrid w:val="0"/>
        <w:spacing w:after="0"/>
        <w:ind w:firstLine="425"/>
        <w:jc w:val="both"/>
        <w:rPr>
          <w:sz w:val="20"/>
          <w:szCs w:val="20"/>
        </w:rPr>
      </w:pPr>
      <w:r w:rsidRPr="00A72154">
        <w:rPr>
          <w:sz w:val="20"/>
          <w:szCs w:val="20"/>
        </w:rPr>
        <w:lastRenderedPageBreak/>
        <w:t xml:space="preserve">The prevalence of spontaneous abortion is not precisely known and worldwide figures are variable as it is altered by the identification method. </w:t>
      </w:r>
      <w:r w:rsidRPr="00A72154">
        <w:rPr>
          <w:sz w:val="20"/>
          <w:szCs w:val="20"/>
          <w:vertAlign w:val="superscript"/>
        </w:rPr>
        <w:t>(1)</w:t>
      </w:r>
      <w:r w:rsidRPr="00A72154">
        <w:rPr>
          <w:sz w:val="20"/>
          <w:szCs w:val="20"/>
        </w:rPr>
        <w:t xml:space="preserve"> In 1988, Wilcox and colleagues declared an incidence of pregnancy loss of 31 % after nidation of which over 2/3 were clinically silent </w:t>
      </w:r>
      <w:r w:rsidRPr="00A72154">
        <w:rPr>
          <w:sz w:val="20"/>
          <w:szCs w:val="20"/>
          <w:vertAlign w:val="superscript"/>
        </w:rPr>
        <w:t>(3)</w:t>
      </w:r>
      <w:r w:rsidRPr="00A72154">
        <w:rPr>
          <w:sz w:val="20"/>
          <w:szCs w:val="20"/>
        </w:rPr>
        <w:t>.</w:t>
      </w:r>
    </w:p>
    <w:p w:rsidR="00E13F66" w:rsidRPr="00A72154" w:rsidRDefault="007C381C" w:rsidP="00AC61AC">
      <w:pPr>
        <w:snapToGrid w:val="0"/>
        <w:spacing w:after="0"/>
        <w:ind w:firstLine="425"/>
        <w:jc w:val="both"/>
        <w:rPr>
          <w:rFonts w:eastAsia="Calibri"/>
          <w:sz w:val="20"/>
          <w:szCs w:val="20"/>
        </w:rPr>
        <w:sectPr w:rsidR="00E13F66" w:rsidRPr="00A72154" w:rsidSect="00AC61AC">
          <w:type w:val="continuous"/>
          <w:pgSz w:w="12240" w:h="15840"/>
          <w:pgMar w:top="1440" w:right="1440" w:bottom="1440" w:left="1440" w:header="720" w:footer="720" w:gutter="0"/>
          <w:cols w:num="2" w:space="600"/>
          <w:docGrid w:linePitch="326"/>
        </w:sectPr>
      </w:pPr>
      <w:r w:rsidRPr="00A72154">
        <w:rPr>
          <w:sz w:val="20"/>
          <w:szCs w:val="20"/>
        </w:rPr>
        <w:t xml:space="preserve">Bacterial, viral, and other lower genital tract infections that can reach the fetoplacental units either locally or through blood-born spread was suggested as a cause of spontaneous miscarriage </w:t>
      </w:r>
      <w:r w:rsidRPr="00A72154">
        <w:rPr>
          <w:sz w:val="20"/>
          <w:szCs w:val="20"/>
          <w:vertAlign w:val="superscript"/>
        </w:rPr>
        <w:t>(4)</w:t>
      </w:r>
      <w:r w:rsidRPr="00A72154">
        <w:rPr>
          <w:sz w:val="20"/>
          <w:szCs w:val="20"/>
        </w:rPr>
        <w:t xml:space="preserve">. However, </w:t>
      </w:r>
      <w:r w:rsidRPr="00A72154">
        <w:rPr>
          <w:rFonts w:eastAsia="Calibri"/>
          <w:sz w:val="20"/>
          <w:szCs w:val="20"/>
        </w:rPr>
        <w:t xml:space="preserve">there </w:t>
      </w:r>
    </w:p>
    <w:p w:rsidR="00303D36" w:rsidRPr="00A72154" w:rsidRDefault="007C381C" w:rsidP="00E13F66">
      <w:pPr>
        <w:snapToGrid w:val="0"/>
        <w:spacing w:after="0"/>
        <w:jc w:val="both"/>
        <w:rPr>
          <w:rFonts w:eastAsia="Calibri"/>
          <w:sz w:val="20"/>
          <w:szCs w:val="20"/>
        </w:rPr>
      </w:pPr>
      <w:r w:rsidRPr="00A72154">
        <w:rPr>
          <w:rFonts w:eastAsia="Calibri"/>
          <w:sz w:val="20"/>
          <w:szCs w:val="20"/>
        </w:rPr>
        <w:lastRenderedPageBreak/>
        <w:t xml:space="preserve">are conflicting data regarding the link between infections and abortion rate. Some reported a 2-4 fold increase in miscarriage with polymicrobial infection </w:t>
      </w:r>
      <w:r w:rsidRPr="00A72154">
        <w:rPr>
          <w:rFonts w:eastAsia="Calibri"/>
          <w:sz w:val="20"/>
          <w:szCs w:val="20"/>
          <w:vertAlign w:val="superscript"/>
        </w:rPr>
        <w:t>(5)</w:t>
      </w:r>
      <w:r w:rsidRPr="00A72154">
        <w:rPr>
          <w:rFonts w:eastAsia="Calibri"/>
          <w:sz w:val="20"/>
          <w:szCs w:val="20"/>
        </w:rPr>
        <w:t xml:space="preserve">, while others declined first-trimester association and reported a relationship between only second-trimester pregnancy loss and Bacterial vaginosis. </w:t>
      </w:r>
      <w:r w:rsidRPr="00A72154">
        <w:rPr>
          <w:rFonts w:eastAsia="Calibri"/>
          <w:sz w:val="20"/>
          <w:szCs w:val="20"/>
          <w:vertAlign w:val="superscript"/>
        </w:rPr>
        <w:t>(6)</w:t>
      </w:r>
      <w:r w:rsidR="00A72154" w:rsidRPr="00A72154">
        <w:rPr>
          <w:rFonts w:eastAsiaTheme="minorEastAsia" w:hint="eastAsia"/>
          <w:sz w:val="20"/>
          <w:szCs w:val="20"/>
          <w:vertAlign w:val="superscript"/>
          <w:lang w:eastAsia="zh-CN"/>
        </w:rPr>
        <w:t xml:space="preserve"> </w:t>
      </w:r>
      <w:r w:rsidRPr="00A72154">
        <w:rPr>
          <w:sz w:val="20"/>
          <w:szCs w:val="20"/>
        </w:rPr>
        <w:t>These infections were reported in 15 and 66% of early and late</w:t>
      </w:r>
      <w:r w:rsidR="00A72154" w:rsidRPr="00A72154">
        <w:rPr>
          <w:rFonts w:eastAsiaTheme="minorEastAsia" w:hint="eastAsia"/>
          <w:sz w:val="20"/>
          <w:szCs w:val="20"/>
          <w:lang w:eastAsia="zh-CN"/>
        </w:rPr>
        <w:t xml:space="preserve"> </w:t>
      </w:r>
      <w:r w:rsidRPr="00A72154">
        <w:rPr>
          <w:sz w:val="20"/>
          <w:szCs w:val="20"/>
        </w:rPr>
        <w:t xml:space="preserve">miscarriages respectively. </w:t>
      </w:r>
      <w:r w:rsidRPr="00A72154">
        <w:rPr>
          <w:sz w:val="20"/>
          <w:szCs w:val="20"/>
          <w:vertAlign w:val="superscript"/>
        </w:rPr>
        <w:t>(7,8)</w:t>
      </w:r>
    </w:p>
    <w:p w:rsidR="00303D36" w:rsidRPr="00A72154" w:rsidRDefault="007C381C" w:rsidP="00AC61AC">
      <w:pPr>
        <w:snapToGrid w:val="0"/>
        <w:spacing w:after="0"/>
        <w:ind w:firstLine="425"/>
        <w:jc w:val="both"/>
        <w:rPr>
          <w:dstrike/>
          <w:sz w:val="20"/>
          <w:szCs w:val="20"/>
        </w:rPr>
      </w:pPr>
      <w:r w:rsidRPr="00A72154">
        <w:rPr>
          <w:i/>
          <w:iCs/>
          <w:sz w:val="20"/>
          <w:szCs w:val="20"/>
        </w:rPr>
        <w:t>Chlamydia trachomatis</w:t>
      </w:r>
      <w:r w:rsidRPr="00A72154">
        <w:rPr>
          <w:sz w:val="20"/>
          <w:szCs w:val="20"/>
        </w:rPr>
        <w:t xml:space="preserve"> (CT), a gram-negative non-motile bacterium, is an obligate intracellular parasite for humans and animals that tend to proliferate in epithelial cells </w:t>
      </w:r>
      <w:r w:rsidRPr="00A72154">
        <w:rPr>
          <w:sz w:val="20"/>
          <w:szCs w:val="20"/>
          <w:vertAlign w:val="superscript"/>
        </w:rPr>
        <w:t>(9)</w:t>
      </w:r>
      <w:r w:rsidRPr="00A72154">
        <w:rPr>
          <w:sz w:val="20"/>
          <w:szCs w:val="20"/>
        </w:rPr>
        <w:t xml:space="preserve">. It is responsible for </w:t>
      </w:r>
      <w:r w:rsidRPr="00A72154">
        <w:rPr>
          <w:rFonts w:eastAsia="TimesNewRomanPSMT"/>
          <w:sz w:val="20"/>
          <w:szCs w:val="20"/>
        </w:rPr>
        <w:t xml:space="preserve">many </w:t>
      </w:r>
      <w:r w:rsidRPr="00A72154">
        <w:rPr>
          <w:sz w:val="20"/>
          <w:szCs w:val="20"/>
        </w:rPr>
        <w:t>disastrous pregnancy complications as ectopic pregnancy, premature delivery,</w:t>
      </w:r>
      <w:r w:rsidRPr="00A72154">
        <w:rPr>
          <w:rFonts w:eastAsia="TimesNewRomanPSMT"/>
          <w:sz w:val="20"/>
          <w:szCs w:val="20"/>
        </w:rPr>
        <w:t xml:space="preserve"> premature rupture of </w:t>
      </w:r>
      <w:r w:rsidRPr="00A72154">
        <w:rPr>
          <w:sz w:val="20"/>
          <w:szCs w:val="20"/>
        </w:rPr>
        <w:t>membranes and low birth weight</w:t>
      </w:r>
      <w:r w:rsidRPr="00A72154">
        <w:rPr>
          <w:rFonts w:eastAsia="TimesNewRomanPSMT"/>
          <w:sz w:val="20"/>
          <w:szCs w:val="20"/>
        </w:rPr>
        <w:t xml:space="preserve"> and </w:t>
      </w:r>
      <w:r w:rsidRPr="00A72154">
        <w:rPr>
          <w:sz w:val="20"/>
          <w:szCs w:val="20"/>
        </w:rPr>
        <w:t xml:space="preserve">many </w:t>
      </w:r>
      <w:r w:rsidRPr="00A72154">
        <w:rPr>
          <w:rFonts w:eastAsia="TimesNewRomanPSMT"/>
          <w:sz w:val="20"/>
          <w:szCs w:val="20"/>
        </w:rPr>
        <w:t>gynecological conditions as pelvic inflammatory disease and infertility as well</w:t>
      </w:r>
      <w:r w:rsidRPr="00A72154">
        <w:rPr>
          <w:sz w:val="20"/>
          <w:szCs w:val="20"/>
        </w:rPr>
        <w:t xml:space="preserve">. </w:t>
      </w:r>
      <w:r w:rsidRPr="00A72154">
        <w:rPr>
          <w:sz w:val="20"/>
          <w:szCs w:val="20"/>
          <w:vertAlign w:val="superscript"/>
        </w:rPr>
        <w:t>(8)</w:t>
      </w:r>
    </w:p>
    <w:p w:rsidR="00303D36" w:rsidRPr="00A72154" w:rsidRDefault="007C381C" w:rsidP="00AC61AC">
      <w:pPr>
        <w:snapToGrid w:val="0"/>
        <w:spacing w:after="0"/>
        <w:ind w:firstLine="425"/>
        <w:jc w:val="both"/>
        <w:rPr>
          <w:sz w:val="20"/>
          <w:szCs w:val="20"/>
        </w:rPr>
      </w:pPr>
      <w:r w:rsidRPr="00A72154">
        <w:rPr>
          <w:sz w:val="20"/>
          <w:szCs w:val="20"/>
        </w:rPr>
        <w:t xml:space="preserve">Recently, the incidence of </w:t>
      </w:r>
      <w:r w:rsidRPr="00A72154">
        <w:rPr>
          <w:i/>
          <w:iCs/>
          <w:sz w:val="20"/>
          <w:szCs w:val="20"/>
        </w:rPr>
        <w:t>Chlamydia trachomatis</w:t>
      </w:r>
      <w:r w:rsidRPr="00A72154">
        <w:rPr>
          <w:sz w:val="20"/>
          <w:szCs w:val="20"/>
        </w:rPr>
        <w:t xml:space="preserve"> infection was dramatically increased and this increase may be due to lack of education or prevention, variations in sexual conduct or better and improved diagnostic techniques. </w:t>
      </w:r>
      <w:r w:rsidRPr="00A72154">
        <w:rPr>
          <w:sz w:val="20"/>
          <w:szCs w:val="20"/>
          <w:vertAlign w:val="superscript"/>
        </w:rPr>
        <w:t>(10)</w:t>
      </w:r>
    </w:p>
    <w:p w:rsidR="00303D36" w:rsidRPr="00A72154" w:rsidRDefault="007C381C" w:rsidP="00AC61AC">
      <w:pPr>
        <w:snapToGrid w:val="0"/>
        <w:spacing w:after="0"/>
        <w:ind w:firstLine="425"/>
        <w:jc w:val="both"/>
        <w:rPr>
          <w:rFonts w:eastAsia="TimesNewRomanPSMT"/>
          <w:sz w:val="20"/>
          <w:szCs w:val="20"/>
        </w:rPr>
      </w:pPr>
      <w:r w:rsidRPr="00A72154">
        <w:rPr>
          <w:rFonts w:eastAsia="TimesNewRomanPSMT"/>
          <w:sz w:val="20"/>
          <w:szCs w:val="20"/>
        </w:rPr>
        <w:t xml:space="preserve">Although the role of </w:t>
      </w:r>
      <w:r w:rsidRPr="00A72154">
        <w:rPr>
          <w:rFonts w:eastAsia="TimesNewRomanPSMT"/>
          <w:i/>
          <w:iCs/>
          <w:sz w:val="20"/>
          <w:szCs w:val="20"/>
        </w:rPr>
        <w:t>Chlamydia trachomatis</w:t>
      </w:r>
      <w:r w:rsidRPr="00A72154">
        <w:rPr>
          <w:rFonts w:eastAsia="TimesNewRomanPSMT"/>
          <w:sz w:val="20"/>
          <w:szCs w:val="20"/>
        </w:rPr>
        <w:t xml:space="preserve"> in miscarriage has been investigated widely over the last three decades, the available data are conflicting and</w:t>
      </w:r>
      <w:r w:rsidRPr="00A72154">
        <w:rPr>
          <w:sz w:val="20"/>
          <w:szCs w:val="20"/>
        </w:rPr>
        <w:t xml:space="preserve"> its relation to early pregnancy loss remains unrecognized </w:t>
      </w:r>
      <w:r w:rsidRPr="00A72154">
        <w:rPr>
          <w:sz w:val="20"/>
          <w:szCs w:val="20"/>
          <w:vertAlign w:val="superscript"/>
        </w:rPr>
        <w:t>(1,9)</w:t>
      </w:r>
      <w:r w:rsidRPr="00A72154">
        <w:rPr>
          <w:rFonts w:eastAsia="TimesNewRomanPSMT"/>
          <w:sz w:val="20"/>
          <w:szCs w:val="20"/>
        </w:rPr>
        <w:t xml:space="preserve">. While Feist et al in their study didn’t find an indicator of placental contagion in patients with serological grounds of </w:t>
      </w:r>
      <w:r w:rsidRPr="00A72154">
        <w:rPr>
          <w:rFonts w:eastAsia="TimesNewRomanPSMT"/>
          <w:i/>
          <w:iCs/>
          <w:sz w:val="20"/>
          <w:szCs w:val="20"/>
        </w:rPr>
        <w:t>Chlamydia trachomatis</w:t>
      </w:r>
      <w:r w:rsidRPr="00A72154">
        <w:rPr>
          <w:rFonts w:eastAsia="TimesNewRomanPSMT"/>
          <w:sz w:val="20"/>
          <w:szCs w:val="20"/>
        </w:rPr>
        <w:t xml:space="preserve"> and showed absence of direct involvement of </w:t>
      </w:r>
      <w:r w:rsidRPr="00A72154">
        <w:rPr>
          <w:rFonts w:eastAsia="TimesNewRomanPSMT"/>
          <w:i/>
          <w:iCs/>
          <w:sz w:val="20"/>
          <w:szCs w:val="20"/>
        </w:rPr>
        <w:t xml:space="preserve">Chlamydia </w:t>
      </w:r>
      <w:r w:rsidRPr="00A72154">
        <w:rPr>
          <w:rFonts w:eastAsia="TimesNewRomanPSMT"/>
          <w:sz w:val="20"/>
          <w:szCs w:val="20"/>
        </w:rPr>
        <w:t xml:space="preserve">in the miscarriage cases examined </w:t>
      </w:r>
      <w:r w:rsidRPr="00A72154">
        <w:rPr>
          <w:rFonts w:eastAsia="TimesNewRomanPSMT"/>
          <w:sz w:val="20"/>
          <w:szCs w:val="20"/>
          <w:vertAlign w:val="superscript"/>
        </w:rPr>
        <w:t>(11)</w:t>
      </w:r>
      <w:r w:rsidRPr="00A72154">
        <w:rPr>
          <w:rFonts w:eastAsia="TimesNewRomanPSMT"/>
          <w:sz w:val="20"/>
          <w:szCs w:val="20"/>
        </w:rPr>
        <w:t xml:space="preserve">, Baud and </w:t>
      </w:r>
      <w:r w:rsidRPr="00A72154">
        <w:rPr>
          <w:rFonts w:eastAsia="AdvOTaf232193"/>
          <w:sz w:val="20"/>
          <w:szCs w:val="20"/>
        </w:rPr>
        <w:t>Greub</w:t>
      </w:r>
      <w:r w:rsidRPr="00A72154">
        <w:rPr>
          <w:rFonts w:eastAsia="TimesNewRomanPSMT"/>
          <w:sz w:val="20"/>
          <w:szCs w:val="20"/>
        </w:rPr>
        <w:t xml:space="preserve"> detected </w:t>
      </w:r>
      <w:r w:rsidRPr="00A72154">
        <w:rPr>
          <w:rFonts w:eastAsia="TimesNewRomanPSMT"/>
          <w:i/>
          <w:iCs/>
          <w:sz w:val="20"/>
          <w:szCs w:val="20"/>
        </w:rPr>
        <w:t>Chlamydia trachomatis</w:t>
      </w:r>
      <w:r w:rsidRPr="00A72154">
        <w:rPr>
          <w:rFonts w:eastAsia="TimesNewRomanPSMT"/>
          <w:sz w:val="20"/>
          <w:szCs w:val="20"/>
        </w:rPr>
        <w:t xml:space="preserve"> in less than 1 percent of controls compared to 4% of miscarriage cases </w:t>
      </w:r>
      <w:r w:rsidRPr="00A72154">
        <w:rPr>
          <w:rFonts w:eastAsia="TimesNewRomanPSMT"/>
          <w:sz w:val="20"/>
          <w:szCs w:val="20"/>
          <w:vertAlign w:val="superscript"/>
        </w:rPr>
        <w:t>(12)</w:t>
      </w:r>
      <w:r w:rsidRPr="00A72154">
        <w:rPr>
          <w:rFonts w:eastAsia="TimesNewRomanPSMT"/>
          <w:sz w:val="20"/>
          <w:szCs w:val="20"/>
        </w:rPr>
        <w:t xml:space="preserve">. Moreover, Baud et al in their earlier study reported a higher prevalence of immunoglobulin G against </w:t>
      </w:r>
      <w:r w:rsidRPr="00A72154">
        <w:rPr>
          <w:rFonts w:eastAsia="TimesNewRomanPSMT"/>
          <w:i/>
          <w:iCs/>
          <w:sz w:val="20"/>
          <w:szCs w:val="20"/>
        </w:rPr>
        <w:t>Chlamydia trachomatis</w:t>
      </w:r>
      <w:r w:rsidRPr="00A72154">
        <w:rPr>
          <w:rFonts w:eastAsia="TimesNewRomanPSMT"/>
          <w:sz w:val="20"/>
          <w:szCs w:val="20"/>
        </w:rPr>
        <w:t xml:space="preserve"> in the miscarriage group than in the control group (15.2% vs. 7.3%; </w:t>
      </w:r>
      <w:r w:rsidRPr="00A72154">
        <w:rPr>
          <w:rFonts w:eastAsia="TimesNewRomanPSMT"/>
          <w:i/>
          <w:iCs/>
          <w:sz w:val="20"/>
          <w:szCs w:val="20"/>
        </w:rPr>
        <w:t>p</w:t>
      </w:r>
      <w:r w:rsidRPr="00A72154">
        <w:rPr>
          <w:rFonts w:eastAsia="TimesNewRomanPSMT"/>
          <w:sz w:val="20"/>
          <w:szCs w:val="20"/>
        </w:rPr>
        <w:t xml:space="preserve"> = 0.018) that remained significant after adjustment for age, origin, education, and number of sex partners</w:t>
      </w:r>
      <w:r w:rsidR="00514171" w:rsidRPr="00A72154">
        <w:rPr>
          <w:rFonts w:eastAsia="TimesNewRomanPSMT"/>
          <w:sz w:val="20"/>
          <w:szCs w:val="20"/>
        </w:rPr>
        <w:t xml:space="preserve">. </w:t>
      </w:r>
      <w:r w:rsidR="00514171" w:rsidRPr="00A72154">
        <w:rPr>
          <w:rFonts w:eastAsia="TimesNewRomanPSMT"/>
          <w:sz w:val="20"/>
          <w:szCs w:val="20"/>
          <w:vertAlign w:val="superscript"/>
        </w:rPr>
        <w:t>(</w:t>
      </w:r>
      <w:r w:rsidRPr="00A72154">
        <w:rPr>
          <w:rFonts w:eastAsia="TimesNewRomanPSMT"/>
          <w:sz w:val="20"/>
          <w:szCs w:val="20"/>
          <w:vertAlign w:val="superscript"/>
        </w:rPr>
        <w:t>8)</w:t>
      </w:r>
    </w:p>
    <w:p w:rsidR="00303D36" w:rsidRPr="00A72154" w:rsidRDefault="007C381C" w:rsidP="00AC61AC">
      <w:pPr>
        <w:snapToGrid w:val="0"/>
        <w:spacing w:after="0"/>
        <w:ind w:firstLine="425"/>
        <w:jc w:val="both"/>
        <w:rPr>
          <w:b/>
          <w:bCs/>
          <w:sz w:val="20"/>
          <w:szCs w:val="20"/>
        </w:rPr>
      </w:pPr>
      <w:r w:rsidRPr="00A72154">
        <w:rPr>
          <w:i/>
          <w:iCs/>
          <w:sz w:val="20"/>
          <w:szCs w:val="20"/>
        </w:rPr>
        <w:t>Waddlia chondrophila</w:t>
      </w:r>
      <w:r w:rsidRPr="00A72154">
        <w:rPr>
          <w:sz w:val="20"/>
          <w:szCs w:val="20"/>
        </w:rPr>
        <w:t xml:space="preserve"> and </w:t>
      </w:r>
      <w:r w:rsidRPr="00A72154">
        <w:rPr>
          <w:i/>
          <w:iCs/>
          <w:sz w:val="20"/>
          <w:szCs w:val="20"/>
        </w:rPr>
        <w:t>Parachlamydia acanthamoebae</w:t>
      </w:r>
      <w:r w:rsidRPr="00A72154">
        <w:rPr>
          <w:sz w:val="20"/>
          <w:szCs w:val="20"/>
        </w:rPr>
        <w:t xml:space="preserve"> are newly identified family-level </w:t>
      </w:r>
      <w:hyperlink r:id="rId16">
        <w:r w:rsidRPr="00A72154">
          <w:rPr>
            <w:sz w:val="20"/>
            <w:szCs w:val="20"/>
          </w:rPr>
          <w:t>progenies</w:t>
        </w:r>
      </w:hyperlink>
      <w:r w:rsidRPr="00A72154">
        <w:rPr>
          <w:sz w:val="20"/>
          <w:szCs w:val="20"/>
        </w:rPr>
        <w:t xml:space="preserve"> that have 80–90%  </w:t>
      </w:r>
      <w:hyperlink r:id="rId17">
        <w:r w:rsidRPr="00A72154">
          <w:rPr>
            <w:sz w:val="20"/>
            <w:szCs w:val="20"/>
          </w:rPr>
          <w:t>indistinguishable</w:t>
        </w:r>
      </w:hyperlink>
      <w:r w:rsidRPr="00A72154">
        <w:rPr>
          <w:sz w:val="20"/>
          <w:szCs w:val="20"/>
        </w:rPr>
        <w:t xml:space="preserve"> 16S rRNA-encoding gene sequence with members of the </w:t>
      </w:r>
      <w:r w:rsidRPr="00A72154">
        <w:rPr>
          <w:i/>
          <w:iCs/>
          <w:sz w:val="20"/>
          <w:szCs w:val="20"/>
        </w:rPr>
        <w:t>Chlamydiaceae</w:t>
      </w:r>
      <w:r w:rsidRPr="00A72154">
        <w:rPr>
          <w:sz w:val="20"/>
          <w:szCs w:val="20"/>
        </w:rPr>
        <w:t xml:space="preserve">, and display a </w:t>
      </w:r>
      <w:r w:rsidRPr="00A72154">
        <w:rPr>
          <w:i/>
          <w:iCs/>
          <w:sz w:val="20"/>
          <w:szCs w:val="20"/>
        </w:rPr>
        <w:t>Chlamydia-</w:t>
      </w:r>
      <w:r w:rsidRPr="00A72154">
        <w:rPr>
          <w:sz w:val="20"/>
          <w:szCs w:val="20"/>
        </w:rPr>
        <w:t>likereplicative cycle within human macrophages</w:t>
      </w:r>
      <w:r w:rsidR="00514171" w:rsidRPr="00A72154">
        <w:rPr>
          <w:sz w:val="20"/>
          <w:szCs w:val="20"/>
        </w:rPr>
        <w:t xml:space="preserve">. </w:t>
      </w:r>
      <w:r w:rsidR="00514171" w:rsidRPr="00A72154">
        <w:rPr>
          <w:sz w:val="20"/>
          <w:szCs w:val="20"/>
          <w:vertAlign w:val="superscript"/>
        </w:rPr>
        <w:t>(</w:t>
      </w:r>
      <w:r w:rsidRPr="00A72154">
        <w:rPr>
          <w:sz w:val="20"/>
          <w:szCs w:val="20"/>
          <w:vertAlign w:val="superscript"/>
        </w:rPr>
        <w:t>13)</w:t>
      </w:r>
      <w:r w:rsidRPr="00A72154">
        <w:rPr>
          <w:sz w:val="20"/>
          <w:szCs w:val="20"/>
        </w:rPr>
        <w:t xml:space="preserve"> Baud et al in 2007 reported a strong association between miscarriage and the presence of anti-</w:t>
      </w:r>
      <w:r w:rsidRPr="00A72154">
        <w:rPr>
          <w:i/>
          <w:iCs/>
          <w:sz w:val="20"/>
          <w:szCs w:val="20"/>
        </w:rPr>
        <w:t xml:space="preserve">Waddlia </w:t>
      </w:r>
      <w:r w:rsidRPr="00A72154">
        <w:rPr>
          <w:sz w:val="20"/>
          <w:szCs w:val="20"/>
        </w:rPr>
        <w:t>antibodies</w:t>
      </w:r>
      <w:r w:rsidR="00514171" w:rsidRPr="00A72154">
        <w:rPr>
          <w:sz w:val="20"/>
          <w:szCs w:val="20"/>
        </w:rPr>
        <w:t xml:space="preserve">. </w:t>
      </w:r>
      <w:r w:rsidR="00514171" w:rsidRPr="00A72154">
        <w:rPr>
          <w:sz w:val="20"/>
          <w:szCs w:val="20"/>
          <w:vertAlign w:val="superscript"/>
        </w:rPr>
        <w:t>(</w:t>
      </w:r>
      <w:r w:rsidRPr="00A72154">
        <w:rPr>
          <w:sz w:val="20"/>
          <w:szCs w:val="20"/>
          <w:vertAlign w:val="superscript"/>
        </w:rPr>
        <w:t xml:space="preserve">14) </w:t>
      </w:r>
      <w:r w:rsidRPr="00A72154">
        <w:rPr>
          <w:sz w:val="20"/>
          <w:szCs w:val="20"/>
        </w:rPr>
        <w:t xml:space="preserve">Later in 2017, in </w:t>
      </w:r>
      <w:r w:rsidRPr="00A72154">
        <w:rPr>
          <w:i/>
          <w:iCs/>
          <w:sz w:val="20"/>
          <w:szCs w:val="20"/>
        </w:rPr>
        <w:t>Chlamydiales</w:t>
      </w:r>
      <w:r w:rsidRPr="00A72154">
        <w:rPr>
          <w:sz w:val="20"/>
          <w:szCs w:val="20"/>
        </w:rPr>
        <w:t xml:space="preserve">-associated miscarriage, Reid et al demonstrated the direct presence of </w:t>
      </w:r>
      <w:r w:rsidRPr="00A72154">
        <w:rPr>
          <w:i/>
          <w:iCs/>
          <w:sz w:val="20"/>
          <w:szCs w:val="20"/>
        </w:rPr>
        <w:t>Waddlia</w:t>
      </w:r>
      <w:r w:rsidRPr="00A72154">
        <w:rPr>
          <w:sz w:val="20"/>
          <w:szCs w:val="20"/>
        </w:rPr>
        <w:t xml:space="preserve"> in the placenta and cervicovaginal secretions and by immunohistochemistry and polymerase chain reaction (PCR)</w:t>
      </w:r>
      <w:r w:rsidR="00514171" w:rsidRPr="00A72154">
        <w:rPr>
          <w:sz w:val="20"/>
          <w:szCs w:val="20"/>
        </w:rPr>
        <w:t xml:space="preserve">. </w:t>
      </w:r>
      <w:r w:rsidR="00514171" w:rsidRPr="00A72154">
        <w:rPr>
          <w:sz w:val="20"/>
          <w:szCs w:val="20"/>
          <w:vertAlign w:val="superscript"/>
        </w:rPr>
        <w:t>(</w:t>
      </w:r>
      <w:r w:rsidRPr="00A72154">
        <w:rPr>
          <w:sz w:val="20"/>
          <w:szCs w:val="20"/>
          <w:vertAlign w:val="superscript"/>
        </w:rPr>
        <w:t>15)</w:t>
      </w:r>
      <w:r w:rsidR="00A72154" w:rsidRPr="00A72154">
        <w:rPr>
          <w:rFonts w:eastAsiaTheme="minorEastAsia" w:hint="eastAsia"/>
          <w:sz w:val="20"/>
          <w:szCs w:val="20"/>
          <w:vertAlign w:val="superscript"/>
          <w:lang w:eastAsia="zh-CN"/>
        </w:rPr>
        <w:t xml:space="preserve"> </w:t>
      </w:r>
      <w:r w:rsidRPr="00A72154">
        <w:rPr>
          <w:sz w:val="20"/>
          <w:szCs w:val="20"/>
        </w:rPr>
        <w:t xml:space="preserve">However, the pathogenesis of adverse pregnancy events caused by </w:t>
      </w:r>
      <w:r w:rsidRPr="00A72154">
        <w:rPr>
          <w:i/>
          <w:iCs/>
          <w:sz w:val="20"/>
          <w:szCs w:val="20"/>
        </w:rPr>
        <w:t>Parachlamydia</w:t>
      </w:r>
      <w:r w:rsidRPr="00A72154">
        <w:rPr>
          <w:sz w:val="20"/>
          <w:szCs w:val="20"/>
        </w:rPr>
        <w:t xml:space="preserve"> and </w:t>
      </w:r>
      <w:r w:rsidRPr="00A72154">
        <w:rPr>
          <w:i/>
          <w:iCs/>
          <w:sz w:val="20"/>
          <w:szCs w:val="20"/>
        </w:rPr>
        <w:t>Waddlia</w:t>
      </w:r>
      <w:r w:rsidRPr="00A72154">
        <w:rPr>
          <w:sz w:val="20"/>
          <w:szCs w:val="20"/>
        </w:rPr>
        <w:t xml:space="preserve"> needs to be clarified.</w:t>
      </w:r>
    </w:p>
    <w:p w:rsidR="00303D36" w:rsidRPr="00A72154" w:rsidRDefault="007C381C" w:rsidP="00AC61AC">
      <w:pPr>
        <w:snapToGrid w:val="0"/>
        <w:spacing w:after="0"/>
        <w:ind w:firstLine="425"/>
        <w:jc w:val="both"/>
        <w:rPr>
          <w:rFonts w:eastAsia="TimesNewRomanPSMT"/>
          <w:sz w:val="20"/>
          <w:szCs w:val="20"/>
        </w:rPr>
      </w:pPr>
      <w:r w:rsidRPr="00A72154">
        <w:rPr>
          <w:rFonts w:eastAsia="TimesNewRomanPSMT"/>
          <w:sz w:val="20"/>
          <w:szCs w:val="20"/>
        </w:rPr>
        <w:lastRenderedPageBreak/>
        <w:t xml:space="preserve">Detection of </w:t>
      </w:r>
      <w:r w:rsidRPr="00A72154">
        <w:rPr>
          <w:rFonts w:eastAsia="TimesNewRomanPSMT"/>
          <w:i/>
          <w:iCs/>
          <w:sz w:val="20"/>
          <w:szCs w:val="20"/>
        </w:rPr>
        <w:t>Chlamydia trachomatis</w:t>
      </w:r>
      <w:r w:rsidRPr="00A72154">
        <w:rPr>
          <w:rFonts w:eastAsia="TimesNewRomanPSMT"/>
          <w:sz w:val="20"/>
          <w:szCs w:val="20"/>
        </w:rPr>
        <w:t xml:space="preserve"> and </w:t>
      </w:r>
      <w:r w:rsidRPr="00A72154">
        <w:rPr>
          <w:rFonts w:eastAsia="TimesNewRomanPSMT"/>
          <w:i/>
          <w:iCs/>
          <w:sz w:val="20"/>
          <w:szCs w:val="20"/>
        </w:rPr>
        <w:t>Chlamydia</w:t>
      </w:r>
      <w:r w:rsidRPr="00A72154">
        <w:rPr>
          <w:rFonts w:eastAsia="TimesNewRomanPSMT"/>
          <w:sz w:val="20"/>
          <w:szCs w:val="20"/>
        </w:rPr>
        <w:t xml:space="preserve">-like organism infections involve direct and indirect procedures. Although direct detection of the organism by culture was long considered the gold standard test for </w:t>
      </w:r>
      <w:r w:rsidRPr="00A72154">
        <w:rPr>
          <w:rFonts w:eastAsia="TimesNewRomanPSMT"/>
          <w:i/>
          <w:iCs/>
          <w:sz w:val="20"/>
          <w:szCs w:val="20"/>
        </w:rPr>
        <w:t>Chlamydia trachomatis</w:t>
      </w:r>
      <w:r w:rsidRPr="00A72154">
        <w:rPr>
          <w:rFonts w:eastAsia="TimesNewRomanPSMT"/>
          <w:sz w:val="20"/>
          <w:szCs w:val="20"/>
        </w:rPr>
        <w:t xml:space="preserve"> detection, it is rarely used nowadays in diagnostic laboratories because of difficult standardization, storage and transfer, and insufficient collection of specimens. On the other hand, indirect detection of infection by measuring antibodies against </w:t>
      </w:r>
      <w:r w:rsidRPr="00A72154">
        <w:rPr>
          <w:rFonts w:eastAsia="TimesNewRomanPSMT"/>
          <w:i/>
          <w:iCs/>
          <w:sz w:val="20"/>
          <w:szCs w:val="20"/>
        </w:rPr>
        <w:t>Chlamydia trachomatis</w:t>
      </w:r>
      <w:r w:rsidRPr="00A72154">
        <w:rPr>
          <w:rFonts w:eastAsia="TimesNewRomanPSMT"/>
          <w:sz w:val="20"/>
          <w:szCs w:val="20"/>
        </w:rPr>
        <w:t xml:space="preserve"> is not suitable for diagnosing acute infection, as the antibody response is only discovered after weeks of infection and often less sharp. </w:t>
      </w:r>
    </w:p>
    <w:p w:rsidR="00303D36" w:rsidRPr="00A72154" w:rsidRDefault="007C381C" w:rsidP="00AC61AC">
      <w:pPr>
        <w:snapToGrid w:val="0"/>
        <w:spacing w:after="0"/>
        <w:ind w:firstLine="425"/>
        <w:jc w:val="both"/>
        <w:rPr>
          <w:rFonts w:eastAsia="TimesNewRomanPSMT"/>
          <w:sz w:val="20"/>
          <w:szCs w:val="20"/>
        </w:rPr>
      </w:pPr>
      <w:r w:rsidRPr="00A72154">
        <w:rPr>
          <w:rFonts w:eastAsia="TimesNewRomanPSMT"/>
          <w:sz w:val="20"/>
          <w:szCs w:val="20"/>
        </w:rPr>
        <w:t>Moreover, serology can diagnose only chronic or invasive infections as the organism is no longer detectable in swabs</w:t>
      </w:r>
      <w:r w:rsidR="00514171" w:rsidRPr="00A72154">
        <w:rPr>
          <w:rFonts w:eastAsia="TimesNewRomanPSMT"/>
          <w:sz w:val="20"/>
          <w:szCs w:val="20"/>
        </w:rPr>
        <w:t xml:space="preserve">. </w:t>
      </w:r>
      <w:r w:rsidR="00514171" w:rsidRPr="00A72154">
        <w:rPr>
          <w:rFonts w:eastAsia="TimesNewRomanPSMT"/>
          <w:sz w:val="20"/>
          <w:szCs w:val="20"/>
          <w:vertAlign w:val="superscript"/>
        </w:rPr>
        <w:t>(</w:t>
      </w:r>
      <w:r w:rsidRPr="00A72154">
        <w:rPr>
          <w:rFonts w:eastAsia="TimesNewRomanPSMT"/>
          <w:sz w:val="20"/>
          <w:szCs w:val="20"/>
          <w:vertAlign w:val="superscript"/>
        </w:rPr>
        <w:t>10)</w:t>
      </w:r>
    </w:p>
    <w:p w:rsidR="00303D36" w:rsidRPr="00A72154" w:rsidRDefault="007C381C" w:rsidP="00AC61AC">
      <w:pPr>
        <w:snapToGrid w:val="0"/>
        <w:spacing w:after="0"/>
        <w:ind w:firstLine="425"/>
        <w:jc w:val="both"/>
        <w:rPr>
          <w:b/>
          <w:bCs/>
          <w:sz w:val="20"/>
          <w:szCs w:val="20"/>
        </w:rPr>
      </w:pPr>
      <w:r w:rsidRPr="00A72154">
        <w:rPr>
          <w:sz w:val="20"/>
          <w:szCs w:val="20"/>
        </w:rPr>
        <w:t xml:space="preserve">The high sensitivity (&gt;97%) and speciﬁcity (&gt;99%) provided by nucleic acid ampliﬁcation largely replaced cell culture and serological methods and is mostly used for the detection of </w:t>
      </w:r>
      <w:r w:rsidRPr="00A72154">
        <w:rPr>
          <w:rFonts w:eastAsia="TimesNewRomanPSMT"/>
          <w:i/>
          <w:iCs/>
          <w:sz w:val="20"/>
          <w:szCs w:val="20"/>
        </w:rPr>
        <w:t>Chlamydia trachomatis</w:t>
      </w:r>
      <w:r w:rsidRPr="00A72154">
        <w:rPr>
          <w:sz w:val="20"/>
          <w:szCs w:val="20"/>
        </w:rPr>
        <w:t xml:space="preserve">nowadays. </w:t>
      </w:r>
      <w:r w:rsidRPr="00A72154">
        <w:rPr>
          <w:sz w:val="20"/>
          <w:szCs w:val="20"/>
          <w:vertAlign w:val="superscript"/>
        </w:rPr>
        <w:t>(9,16)</w:t>
      </w:r>
      <w:r w:rsidRPr="00A72154">
        <w:rPr>
          <w:sz w:val="20"/>
          <w:szCs w:val="20"/>
        </w:rPr>
        <w:t xml:space="preserve"> Moreover, the recent </w:t>
      </w:r>
      <w:hyperlink r:id="rId18">
        <w:r w:rsidRPr="00A72154">
          <w:rPr>
            <w:sz w:val="20"/>
            <w:szCs w:val="20"/>
          </w:rPr>
          <w:t>availableness</w:t>
        </w:r>
      </w:hyperlink>
      <w:r w:rsidRPr="00A72154">
        <w:rPr>
          <w:sz w:val="20"/>
          <w:szCs w:val="20"/>
        </w:rPr>
        <w:t xml:space="preserve"> of the </w:t>
      </w:r>
      <w:r w:rsidRPr="00A72154">
        <w:rPr>
          <w:i/>
          <w:iCs/>
          <w:sz w:val="20"/>
          <w:szCs w:val="20"/>
        </w:rPr>
        <w:t xml:space="preserve">Waddlia </w:t>
      </w:r>
      <w:r w:rsidRPr="00A72154">
        <w:rPr>
          <w:sz w:val="20"/>
          <w:szCs w:val="20"/>
        </w:rPr>
        <w:t xml:space="preserve">and </w:t>
      </w:r>
      <w:r w:rsidRPr="00A72154">
        <w:rPr>
          <w:i/>
          <w:iCs/>
          <w:sz w:val="20"/>
          <w:szCs w:val="20"/>
        </w:rPr>
        <w:t xml:space="preserve">Parachlamydia </w:t>
      </w:r>
      <w:r w:rsidRPr="00A72154">
        <w:rPr>
          <w:sz w:val="20"/>
          <w:szCs w:val="20"/>
        </w:rPr>
        <w:t xml:space="preserve">genomes opened new research perspectives. </w:t>
      </w:r>
      <w:r w:rsidRPr="00A72154">
        <w:rPr>
          <w:sz w:val="20"/>
          <w:szCs w:val="20"/>
          <w:vertAlign w:val="superscript"/>
        </w:rPr>
        <w:t>(17)</w:t>
      </w:r>
    </w:p>
    <w:p w:rsidR="00303D36" w:rsidRPr="00A72154" w:rsidRDefault="007C381C" w:rsidP="00AC61AC">
      <w:pPr>
        <w:snapToGrid w:val="0"/>
        <w:spacing w:after="0"/>
        <w:ind w:firstLine="425"/>
        <w:jc w:val="both"/>
        <w:rPr>
          <w:sz w:val="20"/>
          <w:szCs w:val="20"/>
        </w:rPr>
      </w:pPr>
      <w:r w:rsidRPr="00A72154">
        <w:rPr>
          <w:sz w:val="20"/>
          <w:szCs w:val="20"/>
        </w:rPr>
        <w:t xml:space="preserve">The present study is designed to determine the prevalence of </w:t>
      </w:r>
      <w:r w:rsidRPr="00A72154">
        <w:rPr>
          <w:rFonts w:eastAsia="TimesNewRomanPSMT"/>
          <w:i/>
          <w:iCs/>
          <w:sz w:val="20"/>
          <w:szCs w:val="20"/>
        </w:rPr>
        <w:t>Chlamydia trachomatis</w:t>
      </w:r>
      <w:r w:rsidR="00782970" w:rsidRPr="00A72154">
        <w:rPr>
          <w:rFonts w:eastAsiaTheme="minorEastAsia" w:hint="eastAsia"/>
          <w:i/>
          <w:iCs/>
          <w:sz w:val="20"/>
          <w:szCs w:val="20"/>
          <w:lang w:eastAsia="zh-CN"/>
        </w:rPr>
        <w:t xml:space="preserve"> </w:t>
      </w:r>
      <w:r w:rsidRPr="00A72154">
        <w:rPr>
          <w:sz w:val="20"/>
          <w:szCs w:val="20"/>
        </w:rPr>
        <w:t>and other infections of the genital tract and its relation to the occurrence of early miscarriage in women with early unexplained spontaneous miscarriages.</w:t>
      </w:r>
    </w:p>
    <w:p w:rsidR="00B45E0F" w:rsidRPr="00A72154" w:rsidRDefault="00B45E0F" w:rsidP="00AC61AC">
      <w:pPr>
        <w:snapToGrid w:val="0"/>
        <w:spacing w:after="0"/>
        <w:jc w:val="both"/>
        <w:rPr>
          <w:b/>
          <w:bCs/>
          <w:sz w:val="20"/>
          <w:szCs w:val="20"/>
        </w:rPr>
      </w:pPr>
    </w:p>
    <w:p w:rsidR="00303D36" w:rsidRPr="00A72154" w:rsidRDefault="00B45E0F" w:rsidP="00AC61AC">
      <w:pPr>
        <w:snapToGrid w:val="0"/>
        <w:spacing w:after="0"/>
        <w:jc w:val="both"/>
        <w:rPr>
          <w:b/>
          <w:bCs/>
          <w:sz w:val="20"/>
          <w:szCs w:val="20"/>
        </w:rPr>
      </w:pPr>
      <w:r w:rsidRPr="00A72154">
        <w:rPr>
          <w:b/>
          <w:bCs/>
          <w:sz w:val="20"/>
          <w:szCs w:val="20"/>
        </w:rPr>
        <w:t xml:space="preserve">2. </w:t>
      </w:r>
      <w:r w:rsidR="007C381C" w:rsidRPr="00A72154">
        <w:rPr>
          <w:b/>
          <w:bCs/>
          <w:sz w:val="20"/>
          <w:szCs w:val="20"/>
        </w:rPr>
        <w:t>Patient and methods</w:t>
      </w:r>
    </w:p>
    <w:p w:rsidR="00D92EC2" w:rsidRPr="00A72154" w:rsidRDefault="007C381C" w:rsidP="00AC61AC">
      <w:pPr>
        <w:snapToGrid w:val="0"/>
        <w:spacing w:after="0"/>
        <w:jc w:val="both"/>
        <w:rPr>
          <w:rFonts w:eastAsia="宋体"/>
          <w:sz w:val="20"/>
          <w:szCs w:val="20"/>
        </w:rPr>
      </w:pPr>
      <w:r w:rsidRPr="00A72154">
        <w:rPr>
          <w:rFonts w:eastAsia="宋体"/>
          <w:b/>
          <w:bCs/>
          <w:sz w:val="20"/>
          <w:szCs w:val="20"/>
        </w:rPr>
        <w:t>Design:</w:t>
      </w:r>
    </w:p>
    <w:p w:rsidR="00AC61AC" w:rsidRPr="00A72154" w:rsidRDefault="007C381C" w:rsidP="00AC61AC">
      <w:pPr>
        <w:snapToGrid w:val="0"/>
        <w:spacing w:after="0"/>
        <w:ind w:firstLine="425"/>
        <w:jc w:val="both"/>
        <w:rPr>
          <w:rFonts w:eastAsia="宋体"/>
          <w:sz w:val="20"/>
          <w:szCs w:val="20"/>
        </w:rPr>
      </w:pPr>
      <w:r w:rsidRPr="00A72154">
        <w:rPr>
          <w:rFonts w:eastAsia="宋体"/>
          <w:sz w:val="20"/>
          <w:szCs w:val="20"/>
        </w:rPr>
        <w:t>A case-control stud</w:t>
      </w:r>
      <w:r w:rsidR="00AC61AC" w:rsidRPr="00A72154">
        <w:rPr>
          <w:rFonts w:eastAsia="宋体"/>
          <w:sz w:val="20"/>
          <w:szCs w:val="20"/>
        </w:rPr>
        <w:t>y.</w:t>
      </w:r>
    </w:p>
    <w:p w:rsidR="00D92EC2" w:rsidRPr="00A72154" w:rsidRDefault="007C381C" w:rsidP="00AC61AC">
      <w:pPr>
        <w:snapToGrid w:val="0"/>
        <w:spacing w:after="0"/>
        <w:jc w:val="both"/>
        <w:rPr>
          <w:rFonts w:eastAsia="宋体"/>
          <w:sz w:val="20"/>
          <w:szCs w:val="20"/>
        </w:rPr>
      </w:pPr>
      <w:r w:rsidRPr="00A72154">
        <w:rPr>
          <w:rFonts w:eastAsia="宋体"/>
          <w:b/>
          <w:bCs/>
          <w:sz w:val="20"/>
          <w:szCs w:val="20"/>
        </w:rPr>
        <w:t>Setting:</w:t>
      </w:r>
    </w:p>
    <w:p w:rsidR="00303D36" w:rsidRPr="00A72154" w:rsidRDefault="00D92EC2" w:rsidP="00AC61AC">
      <w:pPr>
        <w:snapToGrid w:val="0"/>
        <w:spacing w:after="0"/>
        <w:ind w:firstLine="425"/>
        <w:jc w:val="both"/>
        <w:rPr>
          <w:rFonts w:eastAsia="宋体"/>
          <w:sz w:val="20"/>
          <w:szCs w:val="20"/>
        </w:rPr>
      </w:pPr>
      <w:r w:rsidRPr="00A72154">
        <w:rPr>
          <w:rFonts w:eastAsia="宋体"/>
          <w:sz w:val="20"/>
          <w:szCs w:val="20"/>
        </w:rPr>
        <w:t>Conducted</w:t>
      </w:r>
      <w:r w:rsidR="007C381C" w:rsidRPr="00A72154">
        <w:rPr>
          <w:rFonts w:eastAsia="宋体"/>
          <w:sz w:val="20"/>
          <w:szCs w:val="20"/>
        </w:rPr>
        <w:t xml:space="preserve"> at Fayoum university hospital after approval of the local Fayoum University ethics committee between September 2017 and September 2019. Informed written consent was signed by all women after explanation of the aim and benefits of the study. </w:t>
      </w:r>
    </w:p>
    <w:p w:rsidR="00D92EC2" w:rsidRPr="00A72154" w:rsidRDefault="007C381C" w:rsidP="00AC61AC">
      <w:pPr>
        <w:snapToGrid w:val="0"/>
        <w:spacing w:after="0"/>
        <w:jc w:val="both"/>
        <w:rPr>
          <w:rFonts w:eastAsia="宋体"/>
          <w:b/>
          <w:bCs/>
          <w:sz w:val="20"/>
          <w:szCs w:val="20"/>
        </w:rPr>
      </w:pPr>
      <w:r w:rsidRPr="00A72154">
        <w:rPr>
          <w:rFonts w:eastAsia="宋体"/>
          <w:b/>
          <w:bCs/>
          <w:sz w:val="20"/>
          <w:szCs w:val="20"/>
        </w:rPr>
        <w:t xml:space="preserve">Patients: </w:t>
      </w:r>
    </w:p>
    <w:p w:rsidR="00303D36" w:rsidRPr="00A72154" w:rsidRDefault="00D92EC2" w:rsidP="00AC61AC">
      <w:pPr>
        <w:snapToGrid w:val="0"/>
        <w:spacing w:after="0"/>
        <w:ind w:firstLine="425"/>
        <w:jc w:val="both"/>
        <w:rPr>
          <w:rFonts w:eastAsia="宋体"/>
          <w:sz w:val="20"/>
          <w:szCs w:val="20"/>
        </w:rPr>
      </w:pPr>
      <w:r w:rsidRPr="00A72154">
        <w:rPr>
          <w:rFonts w:eastAsia="宋体"/>
          <w:sz w:val="20"/>
          <w:szCs w:val="20"/>
        </w:rPr>
        <w:t>The</w:t>
      </w:r>
      <w:r w:rsidR="007C381C" w:rsidRPr="00A72154">
        <w:rPr>
          <w:rFonts w:eastAsia="宋体"/>
          <w:sz w:val="20"/>
          <w:szCs w:val="20"/>
        </w:rPr>
        <w:t xml:space="preserve"> study group included 300 women presenting with unexplained spontaneous miscarriage or missed abortion of gestational age 8-14 weeks. The control group included 300 women with normal pregnancy of the same gestational age 8-14 weeks, recruited from women attending the antenatal clinic. Women included aged between 18 to 45 years old. </w:t>
      </w:r>
    </w:p>
    <w:p w:rsidR="00303D36" w:rsidRPr="00A72154" w:rsidRDefault="007C381C" w:rsidP="00AC61AC">
      <w:pPr>
        <w:snapToGrid w:val="0"/>
        <w:spacing w:after="0"/>
        <w:ind w:firstLine="425"/>
        <w:jc w:val="both"/>
        <w:rPr>
          <w:rFonts w:eastAsia="宋体"/>
          <w:sz w:val="20"/>
          <w:szCs w:val="20"/>
        </w:rPr>
      </w:pPr>
      <w:r w:rsidRPr="00A72154">
        <w:rPr>
          <w:rFonts w:eastAsia="宋体"/>
          <w:sz w:val="20"/>
          <w:szCs w:val="20"/>
        </w:rPr>
        <w:t>The exclusion criteria included women with a miscarriage at a gestational age of more than 14 weeks, those with documented causes of miscarriage as antiphospholipid syndrome, endocrine factors (diabetes, thyroid dysfunction</w:t>
      </w:r>
      <w:r w:rsidR="00AC61AC" w:rsidRPr="00A72154">
        <w:rPr>
          <w:rFonts w:eastAsia="宋体" w:hint="eastAsia"/>
          <w:sz w:val="20"/>
          <w:szCs w:val="20"/>
          <w:lang w:eastAsia="zh-CN"/>
        </w:rPr>
        <w:t>.</w:t>
      </w:r>
      <w:r w:rsidR="00AC61AC" w:rsidRPr="00A72154">
        <w:rPr>
          <w:rFonts w:eastAsia="宋体"/>
          <w:sz w:val="20"/>
          <w:szCs w:val="20"/>
        </w:rPr>
        <w:t xml:space="preserve"> e</w:t>
      </w:r>
      <w:r w:rsidRPr="00A72154">
        <w:rPr>
          <w:rFonts w:eastAsia="宋体"/>
          <w:sz w:val="20"/>
          <w:szCs w:val="20"/>
        </w:rPr>
        <w:t>tc) or fetal or uterine anomalies, hypertension, morbid obesity, and women who received a recent antibiotic, antifungal or antiprotozoal treatment.</w:t>
      </w:r>
    </w:p>
    <w:p w:rsidR="00303D36" w:rsidRPr="00A72154" w:rsidRDefault="007C381C" w:rsidP="00AC61AC">
      <w:pPr>
        <w:snapToGrid w:val="0"/>
        <w:spacing w:after="0"/>
        <w:ind w:firstLine="425"/>
        <w:jc w:val="both"/>
        <w:rPr>
          <w:rFonts w:eastAsia="宋体"/>
          <w:sz w:val="20"/>
          <w:szCs w:val="20"/>
        </w:rPr>
      </w:pPr>
      <w:r w:rsidRPr="00A72154">
        <w:rPr>
          <w:rFonts w:eastAsia="宋体"/>
          <w:sz w:val="20"/>
          <w:szCs w:val="20"/>
        </w:rPr>
        <w:lastRenderedPageBreak/>
        <w:t xml:space="preserve">All participants were subjected to full history, careful general and abdominal examination, </w:t>
      </w:r>
      <w:r w:rsidRPr="00A72154">
        <w:rPr>
          <w:sz w:val="20"/>
          <w:szCs w:val="20"/>
        </w:rPr>
        <w:t>cervicovaginal swabs</w:t>
      </w:r>
      <w:r w:rsidRPr="00A72154">
        <w:rPr>
          <w:rFonts w:eastAsia="宋体"/>
          <w:sz w:val="20"/>
          <w:szCs w:val="20"/>
        </w:rPr>
        <w:t xml:space="preserve"> in addition to placental sampling from the study group. </w:t>
      </w:r>
      <w:r w:rsidRPr="00A72154">
        <w:rPr>
          <w:sz w:val="20"/>
          <w:szCs w:val="20"/>
        </w:rPr>
        <w:t xml:space="preserve">The specimens were immediately transported to the local university lab and processed within 2 hours. Culture and qPCR of different samples were performed for both groups as described in Figure 1. </w:t>
      </w:r>
    </w:p>
    <w:p w:rsidR="00303D36" w:rsidRPr="00A72154" w:rsidRDefault="007C381C" w:rsidP="00AC61AC">
      <w:pPr>
        <w:snapToGrid w:val="0"/>
        <w:spacing w:after="0"/>
        <w:ind w:firstLine="425"/>
        <w:jc w:val="both"/>
        <w:rPr>
          <w:sz w:val="20"/>
          <w:szCs w:val="20"/>
        </w:rPr>
      </w:pPr>
      <w:bookmarkStart w:id="0" w:name="_Hlk34328114"/>
      <w:r w:rsidRPr="00A72154">
        <w:rPr>
          <w:sz w:val="20"/>
          <w:szCs w:val="20"/>
        </w:rPr>
        <w:t xml:space="preserve">From each patient, three cervicovaginal swabs were obtained; </w:t>
      </w:r>
      <w:bookmarkStart w:id="1" w:name="_Hlk34328058"/>
      <w:r w:rsidRPr="00A72154">
        <w:rPr>
          <w:sz w:val="20"/>
          <w:szCs w:val="20"/>
        </w:rPr>
        <w:t xml:space="preserve">one was used for a </w:t>
      </w:r>
      <w:bookmarkStart w:id="2" w:name="_Hlk34396395"/>
      <w:r w:rsidRPr="00A72154">
        <w:rPr>
          <w:sz w:val="20"/>
          <w:szCs w:val="20"/>
        </w:rPr>
        <w:t>smear test of vaginal fluid pH evaluation and direct microscopy</w:t>
      </w:r>
      <w:bookmarkEnd w:id="2"/>
      <w:r w:rsidRPr="00A72154">
        <w:rPr>
          <w:sz w:val="20"/>
          <w:szCs w:val="20"/>
        </w:rPr>
        <w:t>. The second swabs, cultured for aerobic bacteria and yeasts, were inoculated on Sabouraud Dextrose Agar (SDA) (Oxoid, UK) for detection of candida species, Blood aga</w:t>
      </w:r>
      <w:r w:rsidR="00514171" w:rsidRPr="00A72154">
        <w:rPr>
          <w:sz w:val="20"/>
          <w:szCs w:val="20"/>
        </w:rPr>
        <w:t>r (</w:t>
      </w:r>
      <w:r w:rsidRPr="00A72154">
        <w:rPr>
          <w:sz w:val="20"/>
          <w:szCs w:val="20"/>
        </w:rPr>
        <w:t xml:space="preserve"> Sheep blood) (Oxiod), Chocolate agar ( Sheep blood) (Oxiod) on CO2 and MacConkey agars (Oxiod, UK) at 35-37°C for 24-48 hrs for detection of residual microflora, </w:t>
      </w:r>
      <w:r w:rsidRPr="00A72154">
        <w:rPr>
          <w:i/>
          <w:iCs/>
          <w:sz w:val="20"/>
          <w:szCs w:val="20"/>
        </w:rPr>
        <w:t>Gardnerella</w:t>
      </w:r>
      <w:r w:rsidRPr="00A72154">
        <w:rPr>
          <w:sz w:val="20"/>
          <w:szCs w:val="20"/>
        </w:rPr>
        <w:t xml:space="preserve"> selective supplement (Oxiod, UK) for </w:t>
      </w:r>
      <w:r w:rsidRPr="00A72154">
        <w:rPr>
          <w:i/>
          <w:iCs/>
          <w:sz w:val="20"/>
          <w:szCs w:val="20"/>
        </w:rPr>
        <w:t xml:space="preserve">Gardnerella vaginalis </w:t>
      </w:r>
      <w:r w:rsidRPr="00A72154">
        <w:rPr>
          <w:sz w:val="20"/>
          <w:szCs w:val="20"/>
        </w:rPr>
        <w:t xml:space="preserve">and Thayer–Martin agar plates (Oxoid Ltd., Hampshire, United Kingdom) for the detection of </w:t>
      </w:r>
      <w:r w:rsidRPr="00A72154">
        <w:rPr>
          <w:i/>
          <w:iCs/>
          <w:sz w:val="20"/>
          <w:szCs w:val="20"/>
        </w:rPr>
        <w:t>Neisseria gonorrhea</w:t>
      </w:r>
      <w:r w:rsidRPr="00A72154">
        <w:rPr>
          <w:sz w:val="20"/>
          <w:szCs w:val="20"/>
        </w:rPr>
        <w:t xml:space="preserve">. The cultured plates for the detection of </w:t>
      </w:r>
      <w:r w:rsidRPr="00A72154">
        <w:rPr>
          <w:i/>
          <w:iCs/>
          <w:sz w:val="20"/>
          <w:szCs w:val="20"/>
        </w:rPr>
        <w:t xml:space="preserve">Gardnerella vaginalis </w:t>
      </w:r>
      <w:r w:rsidRPr="00A72154">
        <w:rPr>
          <w:sz w:val="20"/>
          <w:szCs w:val="20"/>
        </w:rPr>
        <w:t xml:space="preserve">and </w:t>
      </w:r>
      <w:r w:rsidRPr="00A72154">
        <w:rPr>
          <w:i/>
          <w:iCs/>
          <w:sz w:val="20"/>
          <w:szCs w:val="20"/>
        </w:rPr>
        <w:t>Neisseria gonorrhea</w:t>
      </w:r>
      <w:r w:rsidRPr="00A72154">
        <w:rPr>
          <w:sz w:val="20"/>
          <w:szCs w:val="20"/>
        </w:rPr>
        <w:t xml:space="preserve"> were incubated at 35-37°C in a moist atmosphere enriched with carbon dioxide (CO</w:t>
      </w:r>
      <w:r w:rsidRPr="00A72154">
        <w:rPr>
          <w:sz w:val="20"/>
          <w:szCs w:val="20"/>
          <w:vertAlign w:val="subscript"/>
        </w:rPr>
        <w:t>2</w:t>
      </w:r>
      <w:r w:rsidRPr="00A72154">
        <w:rPr>
          <w:sz w:val="20"/>
          <w:szCs w:val="20"/>
        </w:rPr>
        <w:t xml:space="preserve"> 3-7%) for a maximum of 48 hrs. </w:t>
      </w:r>
    </w:p>
    <w:p w:rsidR="00303D36" w:rsidRPr="00A72154" w:rsidRDefault="007C381C" w:rsidP="00AC61AC">
      <w:pPr>
        <w:snapToGrid w:val="0"/>
        <w:spacing w:after="0"/>
        <w:ind w:firstLine="425"/>
        <w:jc w:val="both"/>
        <w:rPr>
          <w:sz w:val="20"/>
          <w:szCs w:val="20"/>
        </w:rPr>
      </w:pPr>
      <w:r w:rsidRPr="00A72154">
        <w:rPr>
          <w:sz w:val="20"/>
          <w:szCs w:val="20"/>
        </w:rPr>
        <w:t>The third swab was eluted in 2-sucrose-phosphate (2SP) based transport medium. Placental samples from the study group were obtained by aspiration in 132 cases (44 %) among the study group while the 168 remaining cases, an endometrial curettage was done. The samples were placed into a sterile Petri dish and a portion approximately 1 cm square of each tissue specimen was removed and put in sterile vials containing</w:t>
      </w:r>
      <w:r w:rsidR="00514171" w:rsidRPr="00A72154">
        <w:rPr>
          <w:sz w:val="20"/>
          <w:szCs w:val="20"/>
        </w:rPr>
        <w:t xml:space="preserve"> </w:t>
      </w:r>
      <w:r w:rsidRPr="00A72154">
        <w:rPr>
          <w:sz w:val="20"/>
          <w:szCs w:val="20"/>
        </w:rPr>
        <w:t>sterile phosphate buffered saline (PBS), or</w:t>
      </w:r>
      <w:r w:rsidR="00514171" w:rsidRPr="00A72154">
        <w:rPr>
          <w:sz w:val="20"/>
          <w:szCs w:val="20"/>
        </w:rPr>
        <w:t xml:space="preserve"> </w:t>
      </w:r>
      <w:r w:rsidRPr="00A72154">
        <w:rPr>
          <w:sz w:val="20"/>
          <w:szCs w:val="20"/>
        </w:rPr>
        <w:t xml:space="preserve">homogenized mechanically by grinding using autoclavable Mortar and pestle and then cultured for aerobic and anaerobic bacteria on blood agar, blood-chocolate agar incubated in aerobic and anaerobic conditions at 37°C for 48 hours. </w:t>
      </w:r>
      <w:r w:rsidRPr="00A72154">
        <w:rPr>
          <w:color w:val="000000"/>
          <w:sz w:val="20"/>
          <w:szCs w:val="20"/>
          <w:shd w:val="clear" w:color="auto" w:fill="FFFFFF"/>
        </w:rPr>
        <w:t>The rest of placental samples and the eluted third swab were stored at the temperature of −80°C until conducting DNA testin</w:t>
      </w:r>
      <w:r w:rsidR="00514171" w:rsidRPr="00A72154">
        <w:rPr>
          <w:color w:val="000000"/>
          <w:sz w:val="20"/>
          <w:szCs w:val="20"/>
          <w:shd w:val="clear" w:color="auto" w:fill="FFFFFF"/>
        </w:rPr>
        <w:t xml:space="preserve">g </w:t>
      </w:r>
      <w:r w:rsidR="00514171" w:rsidRPr="00A72154">
        <w:rPr>
          <w:color w:val="000000"/>
          <w:sz w:val="20"/>
          <w:szCs w:val="20"/>
          <w:shd w:val="clear" w:color="auto" w:fill="FFFFFF"/>
          <w:vertAlign w:val="superscript"/>
        </w:rPr>
        <w:t>(</w:t>
      </w:r>
      <w:r w:rsidRPr="00A72154">
        <w:rPr>
          <w:color w:val="000000"/>
          <w:sz w:val="20"/>
          <w:szCs w:val="20"/>
          <w:shd w:val="clear" w:color="auto" w:fill="FFFFFF"/>
          <w:vertAlign w:val="superscript"/>
        </w:rPr>
        <w:t>18,19)</w:t>
      </w:r>
      <w:r w:rsidRPr="00A72154">
        <w:rPr>
          <w:color w:val="000000"/>
          <w:sz w:val="20"/>
          <w:szCs w:val="20"/>
          <w:shd w:val="clear" w:color="auto" w:fill="FFFFFF"/>
        </w:rPr>
        <w:t>.</w:t>
      </w:r>
    </w:p>
    <w:bookmarkEnd w:id="1"/>
    <w:p w:rsidR="00303D36" w:rsidRPr="00A72154" w:rsidRDefault="007C381C" w:rsidP="00AC61AC">
      <w:pPr>
        <w:snapToGrid w:val="0"/>
        <w:spacing w:after="0"/>
        <w:ind w:firstLine="425"/>
        <w:jc w:val="both"/>
        <w:rPr>
          <w:sz w:val="20"/>
          <w:szCs w:val="20"/>
        </w:rPr>
      </w:pPr>
      <w:r w:rsidRPr="00A72154">
        <w:rPr>
          <w:sz w:val="20"/>
          <w:szCs w:val="20"/>
        </w:rPr>
        <w:t xml:space="preserve">Identification of the isolates was performed by examination of colony morphology, microscopic examination of Gram-stained preparations and biochemical characterization using BioMerieux API kits (Marcy l’Etoile, France). Gram smears were also morphologically evaluated under oil immersion (1000x magnification) for the presence of </w:t>
      </w:r>
      <w:r w:rsidRPr="00A72154">
        <w:rPr>
          <w:i/>
          <w:iCs/>
          <w:sz w:val="20"/>
          <w:szCs w:val="20"/>
        </w:rPr>
        <w:t>lactobacillus, Gardinella vaginalis, Bacteroides species</w:t>
      </w:r>
      <w:r w:rsidRPr="00A72154">
        <w:rPr>
          <w:sz w:val="20"/>
          <w:szCs w:val="20"/>
        </w:rPr>
        <w:t>, and</w:t>
      </w:r>
      <w:r w:rsidRPr="00A72154">
        <w:rPr>
          <w:i/>
          <w:iCs/>
          <w:sz w:val="20"/>
          <w:szCs w:val="20"/>
        </w:rPr>
        <w:t xml:space="preserve"> Mobiluncus</w:t>
      </w:r>
      <w:r w:rsidRPr="00A72154">
        <w:rPr>
          <w:sz w:val="20"/>
          <w:szCs w:val="20"/>
        </w:rPr>
        <w:t xml:space="preserve"> species. A Nugent score system and Amsel’s composite criteria for the diagnosis of Bacterial vaginosis were used. A Nugent score system (</w:t>
      </w:r>
      <w:r w:rsidR="00D92EC2" w:rsidRPr="00A72154">
        <w:rPr>
          <w:sz w:val="20"/>
          <w:szCs w:val="20"/>
        </w:rPr>
        <w:t>NS)</w:t>
      </w:r>
      <w:r w:rsidRPr="00A72154">
        <w:rPr>
          <w:sz w:val="20"/>
          <w:szCs w:val="20"/>
        </w:rPr>
        <w:t xml:space="preserve"> of 7-10 was classified as Bacterial vaginosis,4-6 as intermediate vaginal flora and 0-3</w:t>
      </w:r>
      <w:r w:rsidR="00514171" w:rsidRPr="00A72154">
        <w:rPr>
          <w:sz w:val="20"/>
          <w:szCs w:val="20"/>
        </w:rPr>
        <w:t xml:space="preserve"> </w:t>
      </w:r>
      <w:r w:rsidRPr="00A72154">
        <w:rPr>
          <w:sz w:val="20"/>
          <w:szCs w:val="20"/>
        </w:rPr>
        <w:t xml:space="preserve">as normal. </w:t>
      </w:r>
      <w:r w:rsidRPr="00A72154">
        <w:rPr>
          <w:sz w:val="20"/>
          <w:szCs w:val="20"/>
          <w:vertAlign w:val="superscript"/>
        </w:rPr>
        <w:t>(20)</w:t>
      </w:r>
      <w:r w:rsidRPr="00A72154">
        <w:rPr>
          <w:sz w:val="20"/>
          <w:szCs w:val="20"/>
        </w:rPr>
        <w:t xml:space="preserve"> Amsel's composite criteria including </w:t>
      </w:r>
      <w:r w:rsidRPr="00A72154">
        <w:rPr>
          <w:sz w:val="20"/>
          <w:szCs w:val="20"/>
        </w:rPr>
        <w:lastRenderedPageBreak/>
        <w:t>vagnial PH &gt;4.5, homogenous thin discharge, positive whiff test or the positive amine odor after the addition of 10 percent KOH, absence of lactobacilli and the presence of clue cell in wet mount vaginal discharge under microscopic evaluation.</w:t>
      </w:r>
      <w:r w:rsidRPr="00A72154">
        <w:rPr>
          <w:sz w:val="20"/>
          <w:szCs w:val="20"/>
          <w:vertAlign w:val="superscript"/>
        </w:rPr>
        <w:t xml:space="preserve"> (21) </w:t>
      </w:r>
      <w:r w:rsidRPr="00A72154">
        <w:rPr>
          <w:sz w:val="20"/>
          <w:szCs w:val="20"/>
        </w:rPr>
        <w:t xml:space="preserve">In the presence of three of four Amsel criteria, Bacterial vaginosis diagnosis was confirmed with a test characteristic (sensitivity/ specificity) 93-99%. </w:t>
      </w:r>
    </w:p>
    <w:p w:rsidR="00303D36" w:rsidRPr="00A72154" w:rsidRDefault="007C381C" w:rsidP="00AC61AC">
      <w:pPr>
        <w:snapToGrid w:val="0"/>
        <w:spacing w:after="0"/>
        <w:ind w:firstLine="425"/>
        <w:jc w:val="both"/>
        <w:rPr>
          <w:sz w:val="20"/>
          <w:szCs w:val="20"/>
        </w:rPr>
      </w:pPr>
      <w:r w:rsidRPr="00A72154">
        <w:rPr>
          <w:color w:val="000000"/>
          <w:sz w:val="20"/>
          <w:szCs w:val="20"/>
          <w:shd w:val="clear" w:color="auto" w:fill="FFFFFF"/>
        </w:rPr>
        <w:t>For DNA extraction, placenta samples were left to thaw and about 25 g of the placenta samples were cut in sterilized conditions.</w:t>
      </w:r>
      <w:r w:rsidRPr="00A72154">
        <w:rPr>
          <w:sz w:val="20"/>
          <w:szCs w:val="20"/>
        </w:rPr>
        <w:t xml:space="preserve"> DNA extraction from placental samples and 2SP medium was carried by QIAamp DNA Mini KIT (QIAGEN Inc., Valencia, CA) according to the manufacturer's recommendation</w:t>
      </w:r>
      <w:r w:rsidR="00514171" w:rsidRPr="00A72154">
        <w:rPr>
          <w:sz w:val="20"/>
          <w:szCs w:val="20"/>
        </w:rPr>
        <w:t xml:space="preserve">s </w:t>
      </w:r>
      <w:r w:rsidR="00514171" w:rsidRPr="00A72154">
        <w:rPr>
          <w:sz w:val="20"/>
          <w:szCs w:val="20"/>
          <w:vertAlign w:val="superscript"/>
        </w:rPr>
        <w:t>(</w:t>
      </w:r>
      <w:r w:rsidRPr="00A72154">
        <w:rPr>
          <w:sz w:val="20"/>
          <w:szCs w:val="20"/>
          <w:vertAlign w:val="superscript"/>
        </w:rPr>
        <w:t>22)</w:t>
      </w:r>
      <w:r w:rsidRPr="00A72154">
        <w:rPr>
          <w:sz w:val="20"/>
          <w:szCs w:val="20"/>
        </w:rPr>
        <w:t xml:space="preserve">. To determine the concentration, yield and purity of DNA samples we used Thermo Scientific NanoDrop instrument (Thermo Fisher Scientific, USA). </w:t>
      </w:r>
    </w:p>
    <w:p w:rsidR="00303D36" w:rsidRPr="00A72154" w:rsidRDefault="007C381C" w:rsidP="00AC61AC">
      <w:pPr>
        <w:snapToGrid w:val="0"/>
        <w:spacing w:after="0"/>
        <w:ind w:firstLine="425"/>
        <w:jc w:val="both"/>
        <w:rPr>
          <w:sz w:val="20"/>
          <w:szCs w:val="20"/>
        </w:rPr>
      </w:pPr>
      <w:r w:rsidRPr="00A72154">
        <w:rPr>
          <w:sz w:val="20"/>
          <w:szCs w:val="20"/>
        </w:rPr>
        <w:t>The extracted DNA was subjected to several specific qPCR assays to detect the DNA of Chlamydial DNA using a pan-</w:t>
      </w:r>
      <w:r w:rsidRPr="00A72154">
        <w:rPr>
          <w:i/>
          <w:iCs/>
          <w:sz w:val="20"/>
          <w:szCs w:val="20"/>
        </w:rPr>
        <w:t>Chlamydiales</w:t>
      </w:r>
      <w:r w:rsidRPr="00A72154">
        <w:rPr>
          <w:sz w:val="20"/>
          <w:szCs w:val="20"/>
        </w:rPr>
        <w:t xml:space="preserve"> qPCR and positive samples were subjected to qPCR specific for </w:t>
      </w:r>
      <w:r w:rsidRPr="00A72154">
        <w:rPr>
          <w:i/>
          <w:iCs/>
          <w:sz w:val="20"/>
          <w:szCs w:val="20"/>
        </w:rPr>
        <w:t xml:space="preserve">Chlamydia trachomatis, Waddlia chondrophila, </w:t>
      </w:r>
      <w:r w:rsidRPr="00A72154">
        <w:rPr>
          <w:sz w:val="20"/>
          <w:szCs w:val="20"/>
        </w:rPr>
        <w:t>and</w:t>
      </w:r>
      <w:r w:rsidRPr="00A72154">
        <w:rPr>
          <w:i/>
          <w:iCs/>
          <w:sz w:val="20"/>
          <w:szCs w:val="20"/>
        </w:rPr>
        <w:t xml:space="preserve"> Parachlamydia acanthamoebeae</w:t>
      </w:r>
      <w:r w:rsidRPr="00A72154">
        <w:rPr>
          <w:sz w:val="20"/>
          <w:szCs w:val="20"/>
        </w:rPr>
        <w:t>. Primers and probes used for qPCR are listed in table 1. The primers and probe were prepared by Applied Biosystems (Foster City, California, USA). The Ct cut-off values were fixed at 35 for all qPCRs</w:t>
      </w:r>
      <w:r w:rsidR="00AC61AC" w:rsidRPr="00A72154">
        <w:rPr>
          <w:sz w:val="20"/>
          <w:szCs w:val="20"/>
        </w:rPr>
        <w:t>. A</w:t>
      </w:r>
      <w:r w:rsidRPr="00A72154">
        <w:rPr>
          <w:sz w:val="20"/>
          <w:szCs w:val="20"/>
        </w:rPr>
        <w:t>mplification and PCR product detection were performed with the ABI prism 7500 real time-PCR System (Applied Biosystems, USA).</w:t>
      </w:r>
    </w:p>
    <w:bookmarkEnd w:id="0"/>
    <w:p w:rsidR="00303D36" w:rsidRPr="00A72154" w:rsidRDefault="007C381C" w:rsidP="00AC61AC">
      <w:pPr>
        <w:snapToGrid w:val="0"/>
        <w:spacing w:after="0"/>
        <w:ind w:firstLine="425"/>
        <w:jc w:val="both"/>
        <w:rPr>
          <w:sz w:val="20"/>
          <w:szCs w:val="20"/>
        </w:rPr>
      </w:pPr>
      <w:r w:rsidRPr="00A72154">
        <w:rPr>
          <w:sz w:val="20"/>
          <w:szCs w:val="20"/>
        </w:rPr>
        <w:t>The primary outcome parameter was the association of lower genital tract infection with spontaneous unexplained miscarriage.</w:t>
      </w:r>
    </w:p>
    <w:p w:rsidR="00303D36" w:rsidRPr="00A72154" w:rsidRDefault="007C381C" w:rsidP="00AC61AC">
      <w:pPr>
        <w:snapToGrid w:val="0"/>
        <w:spacing w:after="0"/>
        <w:ind w:firstLine="425"/>
        <w:jc w:val="both"/>
        <w:rPr>
          <w:rFonts w:eastAsia="宋体"/>
          <w:sz w:val="20"/>
          <w:szCs w:val="20"/>
        </w:rPr>
      </w:pPr>
      <w:r w:rsidRPr="00A72154">
        <w:rPr>
          <w:rFonts w:eastAsia="宋体"/>
          <w:sz w:val="20"/>
          <w:szCs w:val="20"/>
        </w:rPr>
        <w:t xml:space="preserve">Sample size calculation was done using the comparison of the prevalence of chlamydial infection between cases with spontaneous unexplained miscarriage and matched women with no miscarriage. The calculation was done based on comparing 2 proportions from independent samples in a case-control study using Chi test, the α-error level was fixed at 0.05, the power was set at 80% and the case: control ratio was set at 1. As previously published by Baud et al 2014, the prevalence of chlamydial infection among the miscarriage group was 30.4% while it was 13.8% in control mothers </w:t>
      </w:r>
      <w:r w:rsidRPr="00A72154">
        <w:rPr>
          <w:rFonts w:eastAsia="宋体"/>
          <w:sz w:val="20"/>
          <w:szCs w:val="20"/>
          <w:vertAlign w:val="superscript"/>
        </w:rPr>
        <w:t>(23)</w:t>
      </w:r>
      <w:r w:rsidRPr="00A72154">
        <w:rPr>
          <w:rFonts w:eastAsia="宋体"/>
          <w:sz w:val="20"/>
          <w:szCs w:val="20"/>
        </w:rPr>
        <w:t>. Accordingly, the minimum optimum sample size should be 296 participants in each group to detect a 10% difference in chlamydial prevalence between the groups. Sample size calculation was done using PS Power and Sample Size Calculations software, version 3.0.11 for MS Windows (William D. Dupont and Walton D., Vanderbilt University, Nashville, Tennessee, USA).</w:t>
      </w:r>
    </w:p>
    <w:p w:rsidR="00303D36" w:rsidRPr="00A72154" w:rsidRDefault="007C381C" w:rsidP="00AC61AC">
      <w:pPr>
        <w:pStyle w:val="NormalIndent"/>
        <w:snapToGrid w:val="0"/>
        <w:spacing w:after="0" w:line="240" w:lineRule="auto"/>
        <w:ind w:firstLine="425"/>
        <w:jc w:val="both"/>
        <w:rPr>
          <w:sz w:val="20"/>
          <w:szCs w:val="20"/>
        </w:rPr>
      </w:pPr>
      <w:r w:rsidRPr="00A72154">
        <w:rPr>
          <w:sz w:val="20"/>
          <w:szCs w:val="20"/>
        </w:rPr>
        <w:t xml:space="preserve">Data were statistically described in terms of mean </w:t>
      </w:r>
      <w:r w:rsidRPr="00A72154">
        <w:rPr>
          <w:sz w:val="20"/>
          <w:szCs w:val="20"/>
        </w:rPr>
        <w:sym w:font="Symbol" w:char="F0B1"/>
      </w:r>
      <w:r w:rsidRPr="00A72154">
        <w:rPr>
          <w:sz w:val="20"/>
          <w:szCs w:val="20"/>
        </w:rPr>
        <w:t xml:space="preserve"> standard deviation (</w:t>
      </w:r>
      <w:r w:rsidRPr="00A72154">
        <w:rPr>
          <w:sz w:val="20"/>
          <w:szCs w:val="20"/>
        </w:rPr>
        <w:sym w:font="Symbol" w:char="F0B1"/>
      </w:r>
      <w:r w:rsidRPr="00A72154">
        <w:rPr>
          <w:sz w:val="20"/>
          <w:szCs w:val="20"/>
        </w:rPr>
        <w:t xml:space="preserve">SD), or frequencies </w:t>
      </w:r>
      <w:r w:rsidRPr="00A72154">
        <w:rPr>
          <w:sz w:val="20"/>
          <w:szCs w:val="20"/>
        </w:rPr>
        <w:lastRenderedPageBreak/>
        <w:t>(number of cases) and percentages when appropriate. Comparison of numerical variables between the study groups was done using Student t test for independent samples. For comparing categorical data, Chi-square (</w:t>
      </w:r>
      <w:r w:rsidRPr="00A72154">
        <w:rPr>
          <w:sz w:val="20"/>
          <w:szCs w:val="20"/>
        </w:rPr>
        <w:sym w:font="Symbol" w:char="F063"/>
      </w:r>
      <w:r w:rsidRPr="00A72154">
        <w:rPr>
          <w:sz w:val="20"/>
          <w:szCs w:val="20"/>
          <w:vertAlign w:val="superscript"/>
        </w:rPr>
        <w:t>2</w:t>
      </w:r>
      <w:r w:rsidRPr="00A72154">
        <w:rPr>
          <w:sz w:val="20"/>
          <w:szCs w:val="20"/>
        </w:rPr>
        <w:t>) test was performed. Exact test was used instead when the expected frequency is less than 5. p values less than 0.05 were considered statistically significant.</w:t>
      </w:r>
      <w:r w:rsidRPr="00A72154">
        <w:rPr>
          <w:rFonts w:eastAsia="宋体"/>
          <w:sz w:val="20"/>
          <w:szCs w:val="20"/>
          <w:vertAlign w:val="superscript"/>
        </w:rPr>
        <w:t xml:space="preserve"> (24)</w:t>
      </w:r>
      <w:r w:rsidRPr="00A72154">
        <w:rPr>
          <w:sz w:val="20"/>
          <w:szCs w:val="20"/>
        </w:rPr>
        <w:t xml:space="preserve"> All statistical calculations were done using computer program IBM SPSS (Statistical Package for the Social Science; IBM Corp, Armonk, NY, USA) release 22 for Microsoft Windows.</w:t>
      </w:r>
    </w:p>
    <w:p w:rsidR="00B45E0F" w:rsidRPr="00A72154" w:rsidRDefault="00B45E0F" w:rsidP="00AC61AC">
      <w:pPr>
        <w:snapToGrid w:val="0"/>
        <w:spacing w:after="0"/>
        <w:jc w:val="both"/>
        <w:rPr>
          <w:b/>
          <w:bCs/>
          <w:sz w:val="20"/>
          <w:szCs w:val="20"/>
        </w:rPr>
      </w:pPr>
    </w:p>
    <w:p w:rsidR="00303D36" w:rsidRPr="00A72154" w:rsidRDefault="00B45E0F" w:rsidP="00AC61AC">
      <w:pPr>
        <w:snapToGrid w:val="0"/>
        <w:spacing w:after="0"/>
        <w:jc w:val="both"/>
        <w:rPr>
          <w:b/>
          <w:bCs/>
          <w:sz w:val="20"/>
          <w:szCs w:val="20"/>
        </w:rPr>
      </w:pPr>
      <w:r w:rsidRPr="00A72154">
        <w:rPr>
          <w:b/>
          <w:bCs/>
          <w:sz w:val="20"/>
          <w:szCs w:val="20"/>
        </w:rPr>
        <w:t xml:space="preserve">3. </w:t>
      </w:r>
      <w:r w:rsidR="007C381C" w:rsidRPr="00A72154">
        <w:rPr>
          <w:b/>
          <w:bCs/>
          <w:sz w:val="20"/>
          <w:szCs w:val="20"/>
        </w:rPr>
        <w:t>Results</w:t>
      </w:r>
    </w:p>
    <w:p w:rsidR="00303D36" w:rsidRPr="00A72154" w:rsidRDefault="007C381C" w:rsidP="00AC61AC">
      <w:pPr>
        <w:snapToGrid w:val="0"/>
        <w:spacing w:after="0"/>
        <w:ind w:firstLine="425"/>
        <w:jc w:val="both"/>
        <w:rPr>
          <w:sz w:val="20"/>
          <w:szCs w:val="20"/>
        </w:rPr>
      </w:pPr>
      <w:r w:rsidRPr="00A72154">
        <w:rPr>
          <w:sz w:val="20"/>
          <w:szCs w:val="20"/>
        </w:rPr>
        <w:t>Flow chart of participants is shown in Figure 1.</w:t>
      </w:r>
    </w:p>
    <w:p w:rsidR="00303D36" w:rsidRPr="00A72154" w:rsidRDefault="007C381C" w:rsidP="00AC61AC">
      <w:pPr>
        <w:pStyle w:val="Default"/>
        <w:snapToGrid w:val="0"/>
        <w:ind w:firstLine="425"/>
        <w:jc w:val="both"/>
        <w:rPr>
          <w:color w:val="auto"/>
          <w:sz w:val="20"/>
          <w:szCs w:val="20"/>
        </w:rPr>
      </w:pPr>
      <w:r w:rsidRPr="00A72154">
        <w:rPr>
          <w:color w:val="auto"/>
          <w:sz w:val="20"/>
          <w:szCs w:val="20"/>
        </w:rPr>
        <w:lastRenderedPageBreak/>
        <w:t xml:space="preserve">As regards basic characteristics between both groups there was no statistical difference in age, parity, BMI and gestational age at recruitment (Table 2). As regard mode of termination a </w:t>
      </w:r>
      <w:r w:rsidRPr="00A72154">
        <w:rPr>
          <w:sz w:val="20"/>
          <w:szCs w:val="20"/>
          <w:shd w:val="clear" w:color="auto" w:fill="FFFFFF"/>
        </w:rPr>
        <w:t>statistically significant difference of vaginal infection was noted with spontaneous miscarriage compared to surgical or medical procedures in the study group (</w:t>
      </w:r>
      <w:r w:rsidRPr="00A72154">
        <w:rPr>
          <w:i/>
          <w:iCs/>
          <w:sz w:val="20"/>
          <w:szCs w:val="20"/>
          <w:shd w:val="clear" w:color="auto" w:fill="FFFFFF"/>
        </w:rPr>
        <w:t>p</w:t>
      </w:r>
      <w:r w:rsidRPr="00A72154">
        <w:rPr>
          <w:sz w:val="20"/>
          <w:szCs w:val="20"/>
          <w:shd w:val="clear" w:color="auto" w:fill="FFFFFF"/>
        </w:rPr>
        <w:t xml:space="preserve"> 0.001)</w:t>
      </w:r>
      <w:r w:rsidRPr="00A72154">
        <w:rPr>
          <w:color w:val="auto"/>
          <w:sz w:val="20"/>
          <w:szCs w:val="20"/>
        </w:rPr>
        <w:t>. (Table 2)</w:t>
      </w:r>
    </w:p>
    <w:p w:rsidR="00303D36" w:rsidRPr="00A72154" w:rsidRDefault="007C381C" w:rsidP="00AC61AC">
      <w:pPr>
        <w:snapToGrid w:val="0"/>
        <w:spacing w:after="0"/>
        <w:ind w:firstLine="425"/>
        <w:jc w:val="both"/>
        <w:rPr>
          <w:sz w:val="20"/>
          <w:szCs w:val="20"/>
        </w:rPr>
      </w:pPr>
      <w:r w:rsidRPr="00A72154">
        <w:rPr>
          <w:sz w:val="20"/>
          <w:szCs w:val="20"/>
        </w:rPr>
        <w:t>Cultures of cervicovaginal swabs were positive in 128 cases (42.7%) of the study group (n=300) and 117 cases (39%) of the control group (n= 300) with a prevalence of 40.8% but with no statistically significant difference between both groups (</w:t>
      </w:r>
      <w:r w:rsidRPr="00A72154">
        <w:rPr>
          <w:i/>
          <w:iCs/>
          <w:sz w:val="20"/>
          <w:szCs w:val="20"/>
        </w:rPr>
        <w:t xml:space="preserve">p </w:t>
      </w:r>
      <w:r w:rsidRPr="00A72154">
        <w:rPr>
          <w:sz w:val="20"/>
          <w:szCs w:val="20"/>
        </w:rPr>
        <w:t>= 0.361). (Table 3)</w:t>
      </w:r>
    </w:p>
    <w:p w:rsidR="00AC61AC" w:rsidRPr="00A72154" w:rsidRDefault="00AC61AC" w:rsidP="00AC61AC">
      <w:pPr>
        <w:snapToGrid w:val="0"/>
        <w:spacing w:after="0"/>
        <w:jc w:val="center"/>
        <w:rPr>
          <w:sz w:val="20"/>
          <w:szCs w:val="20"/>
        </w:rPr>
        <w:sectPr w:rsidR="00AC61AC" w:rsidRPr="00A72154" w:rsidSect="00E13F66">
          <w:headerReference w:type="default" r:id="rId19"/>
          <w:pgSz w:w="12240" w:h="15840"/>
          <w:pgMar w:top="1440" w:right="1440" w:bottom="1440" w:left="1440" w:header="720" w:footer="720" w:gutter="0"/>
          <w:cols w:num="2" w:space="600"/>
          <w:docGrid w:linePitch="326"/>
        </w:sectPr>
      </w:pPr>
    </w:p>
    <w:p w:rsidR="00D92EC2" w:rsidRPr="00A72154" w:rsidRDefault="008012AC" w:rsidP="00AC61AC">
      <w:pPr>
        <w:snapToGrid w:val="0"/>
        <w:spacing w:after="0"/>
        <w:jc w:val="center"/>
        <w:rPr>
          <w:sz w:val="20"/>
          <w:szCs w:val="20"/>
        </w:rPr>
      </w:pPr>
      <w:r w:rsidRPr="00A72154">
        <w:rPr>
          <w:noProof/>
          <w:sz w:val="20"/>
          <w:szCs w:val="20"/>
          <w:lang w:eastAsia="zh-CN"/>
        </w:rPr>
        <w:lastRenderedPageBreak/>
        <w:drawing>
          <wp:inline distT="0" distB="0" distL="0" distR="0">
            <wp:extent cx="5198343" cy="5701085"/>
            <wp:effectExtent l="19050" t="0" r="230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200018" cy="5702922"/>
                    </a:xfrm>
                    <a:prstGeom prst="rect">
                      <a:avLst/>
                    </a:prstGeom>
                    <a:noFill/>
                    <a:ln w="9525">
                      <a:noFill/>
                      <a:miter lim="800000"/>
                      <a:headEnd/>
                      <a:tailEnd/>
                    </a:ln>
                  </pic:spPr>
                </pic:pic>
              </a:graphicData>
            </a:graphic>
          </wp:inline>
        </w:drawing>
      </w:r>
    </w:p>
    <w:p w:rsidR="00AC61AC" w:rsidRPr="00A72154" w:rsidRDefault="00D92EC2" w:rsidP="00AC61AC">
      <w:pPr>
        <w:snapToGrid w:val="0"/>
        <w:spacing w:after="0"/>
        <w:jc w:val="center"/>
        <w:rPr>
          <w:sz w:val="20"/>
          <w:szCs w:val="20"/>
        </w:rPr>
      </w:pPr>
      <w:r w:rsidRPr="00A72154">
        <w:rPr>
          <w:sz w:val="20"/>
          <w:szCs w:val="20"/>
        </w:rPr>
        <w:t>Figure 1 flow chart</w:t>
      </w:r>
    </w:p>
    <w:p w:rsidR="00A72154" w:rsidRPr="00A72154" w:rsidRDefault="00A72154" w:rsidP="00AC61AC">
      <w:pPr>
        <w:snapToGrid w:val="0"/>
        <w:spacing w:after="0"/>
        <w:jc w:val="center"/>
        <w:rPr>
          <w:rFonts w:eastAsiaTheme="minorEastAsia" w:hint="eastAsia"/>
          <w:sz w:val="20"/>
          <w:szCs w:val="20"/>
          <w:lang w:eastAsia="zh-CN"/>
        </w:rPr>
      </w:pPr>
    </w:p>
    <w:p w:rsidR="00A72154" w:rsidRPr="00A72154" w:rsidRDefault="00A72154" w:rsidP="00AC61AC">
      <w:pPr>
        <w:snapToGrid w:val="0"/>
        <w:spacing w:after="0"/>
        <w:jc w:val="center"/>
        <w:rPr>
          <w:rFonts w:eastAsiaTheme="minorEastAsia" w:hint="eastAsia"/>
          <w:sz w:val="20"/>
          <w:szCs w:val="20"/>
          <w:lang w:eastAsia="zh-CN"/>
        </w:rPr>
      </w:pPr>
    </w:p>
    <w:p w:rsidR="00A72154" w:rsidRDefault="00A72154" w:rsidP="00AC61AC">
      <w:pPr>
        <w:snapToGrid w:val="0"/>
        <w:spacing w:after="0"/>
        <w:jc w:val="center"/>
        <w:rPr>
          <w:rFonts w:eastAsiaTheme="minorEastAsia" w:hint="eastAsia"/>
          <w:sz w:val="20"/>
          <w:szCs w:val="20"/>
          <w:lang w:eastAsia="zh-CN"/>
        </w:rPr>
      </w:pPr>
    </w:p>
    <w:p w:rsidR="00A72154" w:rsidRDefault="00A72154" w:rsidP="00AC61AC">
      <w:pPr>
        <w:snapToGrid w:val="0"/>
        <w:spacing w:after="0"/>
        <w:jc w:val="center"/>
        <w:rPr>
          <w:rFonts w:eastAsiaTheme="minorEastAsia" w:hint="eastAsia"/>
          <w:sz w:val="20"/>
          <w:szCs w:val="20"/>
          <w:lang w:eastAsia="zh-CN"/>
        </w:rPr>
      </w:pPr>
    </w:p>
    <w:p w:rsidR="00A72154" w:rsidRDefault="00A72154" w:rsidP="00AC61AC">
      <w:pPr>
        <w:snapToGrid w:val="0"/>
        <w:spacing w:after="0"/>
        <w:jc w:val="center"/>
        <w:rPr>
          <w:rFonts w:eastAsiaTheme="minorEastAsia" w:hint="eastAsia"/>
          <w:sz w:val="20"/>
          <w:szCs w:val="20"/>
          <w:lang w:eastAsia="zh-CN"/>
        </w:rPr>
      </w:pPr>
    </w:p>
    <w:p w:rsidR="00D92EC2" w:rsidRPr="00A72154" w:rsidRDefault="00D92EC2" w:rsidP="00AC61AC">
      <w:pPr>
        <w:snapToGrid w:val="0"/>
        <w:spacing w:after="0"/>
        <w:jc w:val="center"/>
        <w:rPr>
          <w:rFonts w:eastAsia="AdvOTaf232193"/>
          <w:sz w:val="20"/>
          <w:szCs w:val="20"/>
        </w:rPr>
      </w:pPr>
      <w:r w:rsidRPr="00A72154">
        <w:rPr>
          <w:rFonts w:eastAsia="AdvOTaf232193"/>
          <w:sz w:val="20"/>
          <w:szCs w:val="20"/>
        </w:rPr>
        <w:t>Table 1: Primers and probes used for qPCR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35"/>
        <w:gridCol w:w="877"/>
        <w:gridCol w:w="4261"/>
        <w:gridCol w:w="891"/>
        <w:gridCol w:w="885"/>
        <w:gridCol w:w="925"/>
      </w:tblGrid>
      <w:tr w:rsidR="00D92EC2" w:rsidRPr="00A72154" w:rsidTr="00AC61AC">
        <w:trPr>
          <w:jc w:val="center"/>
        </w:trPr>
        <w:tc>
          <w:tcPr>
            <w:tcW w:w="0" w:type="auto"/>
            <w:shd w:val="clear" w:color="auto" w:fill="FFFFFF"/>
            <w:vAlign w:val="center"/>
          </w:tcPr>
          <w:p w:rsidR="00D92EC2" w:rsidRPr="00A72154" w:rsidRDefault="00D92EC2" w:rsidP="00A72154">
            <w:pPr>
              <w:snapToGrid w:val="0"/>
              <w:spacing w:after="0"/>
              <w:rPr>
                <w:sz w:val="20"/>
                <w:szCs w:val="20"/>
              </w:rPr>
            </w:pPr>
            <w:r w:rsidRPr="00A72154">
              <w:rPr>
                <w:sz w:val="20"/>
                <w:szCs w:val="20"/>
              </w:rPr>
              <w:t>Bacteria</w:t>
            </w:r>
          </w:p>
        </w:tc>
        <w:tc>
          <w:tcPr>
            <w:tcW w:w="0" w:type="auto"/>
            <w:shd w:val="clear" w:color="auto" w:fill="FFFFFF"/>
            <w:vAlign w:val="center"/>
          </w:tcPr>
          <w:p w:rsidR="00D92EC2" w:rsidRPr="00A72154" w:rsidRDefault="00D92EC2" w:rsidP="00A72154">
            <w:pPr>
              <w:snapToGrid w:val="0"/>
              <w:spacing w:after="0"/>
              <w:rPr>
                <w:sz w:val="20"/>
                <w:szCs w:val="20"/>
              </w:rPr>
            </w:pPr>
            <w:r w:rsidRPr="00A72154">
              <w:rPr>
                <w:sz w:val="20"/>
                <w:szCs w:val="20"/>
              </w:rPr>
              <w:t>Primer</w:t>
            </w:r>
            <w:r w:rsidR="00AC61AC" w:rsidRPr="00A72154">
              <w:rPr>
                <w:sz w:val="20"/>
                <w:szCs w:val="20"/>
              </w:rPr>
              <w:t xml:space="preserve"> </w:t>
            </w:r>
            <w:r w:rsidRPr="00A72154">
              <w:rPr>
                <w:sz w:val="20"/>
                <w:szCs w:val="20"/>
              </w:rPr>
              <w:t>/probe</w:t>
            </w:r>
          </w:p>
        </w:tc>
        <w:tc>
          <w:tcPr>
            <w:tcW w:w="0" w:type="auto"/>
            <w:shd w:val="clear" w:color="auto" w:fill="FFFFFF"/>
            <w:vAlign w:val="center"/>
          </w:tcPr>
          <w:p w:rsidR="00D92EC2" w:rsidRPr="00A72154" w:rsidRDefault="00D92EC2" w:rsidP="00A72154">
            <w:pPr>
              <w:snapToGrid w:val="0"/>
              <w:spacing w:after="0"/>
              <w:rPr>
                <w:sz w:val="20"/>
                <w:szCs w:val="20"/>
              </w:rPr>
            </w:pPr>
            <w:r w:rsidRPr="00A72154">
              <w:rPr>
                <w:sz w:val="20"/>
                <w:szCs w:val="20"/>
              </w:rPr>
              <w:t>Oligonucleotide</w:t>
            </w:r>
            <w:r w:rsidR="00AC61AC" w:rsidRPr="00A72154">
              <w:rPr>
                <w:sz w:val="20"/>
                <w:szCs w:val="20"/>
              </w:rPr>
              <w:t xml:space="preserve"> </w:t>
            </w:r>
            <w:r w:rsidRPr="00A72154">
              <w:rPr>
                <w:sz w:val="20"/>
                <w:szCs w:val="20"/>
              </w:rPr>
              <w:t>sequence (5’ 3’)</w:t>
            </w:r>
          </w:p>
        </w:tc>
        <w:tc>
          <w:tcPr>
            <w:tcW w:w="0" w:type="auto"/>
            <w:tcBorders>
              <w:bottom w:val="single" w:sz="4" w:space="0" w:color="auto"/>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Target</w:t>
            </w:r>
            <w:r w:rsidR="00AC61AC" w:rsidRPr="00A72154">
              <w:rPr>
                <w:sz w:val="20"/>
                <w:szCs w:val="20"/>
              </w:rPr>
              <w:t xml:space="preserve"> </w:t>
            </w:r>
            <w:r w:rsidRPr="00A72154">
              <w:rPr>
                <w:sz w:val="20"/>
                <w:szCs w:val="20"/>
              </w:rPr>
              <w:t>gene</w:t>
            </w:r>
          </w:p>
        </w:tc>
        <w:tc>
          <w:tcPr>
            <w:tcW w:w="0" w:type="auto"/>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Product</w:t>
            </w:r>
            <w:r w:rsidR="00AC61AC" w:rsidRPr="00A72154">
              <w:rPr>
                <w:sz w:val="20"/>
                <w:szCs w:val="20"/>
              </w:rPr>
              <w:t xml:space="preserve"> </w:t>
            </w:r>
            <w:r w:rsidRPr="00A72154">
              <w:rPr>
                <w:sz w:val="20"/>
                <w:szCs w:val="20"/>
              </w:rPr>
              <w:t>size (bp)</w:t>
            </w:r>
          </w:p>
        </w:tc>
        <w:tc>
          <w:tcPr>
            <w:tcW w:w="0" w:type="auto"/>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Reference</w:t>
            </w:r>
          </w:p>
        </w:tc>
      </w:tr>
      <w:tr w:rsidR="00D92EC2" w:rsidRPr="00A72154" w:rsidTr="00AC61AC">
        <w:trPr>
          <w:jc w:val="center"/>
        </w:trPr>
        <w:tc>
          <w:tcPr>
            <w:tcW w:w="0" w:type="auto"/>
            <w:vMerge w:val="restart"/>
            <w:shd w:val="clear" w:color="auto" w:fill="auto"/>
            <w:vAlign w:val="center"/>
          </w:tcPr>
          <w:p w:rsidR="00D92EC2" w:rsidRPr="00A72154" w:rsidRDefault="00D92EC2" w:rsidP="00A72154">
            <w:pPr>
              <w:snapToGrid w:val="0"/>
              <w:spacing w:after="0"/>
              <w:rPr>
                <w:i/>
                <w:iCs/>
                <w:sz w:val="20"/>
                <w:szCs w:val="20"/>
              </w:rPr>
            </w:pPr>
            <w:r w:rsidRPr="00A72154">
              <w:rPr>
                <w:i/>
                <w:iCs/>
                <w:sz w:val="20"/>
                <w:szCs w:val="20"/>
              </w:rPr>
              <w:t>Chlamydia trachomatis</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Forward</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5′-CATGAAAACTCGTTCCGAAATAGAA-3′</w:t>
            </w:r>
          </w:p>
        </w:tc>
        <w:tc>
          <w:tcPr>
            <w:tcW w:w="0" w:type="auto"/>
            <w:vMerge w:val="restart"/>
            <w:shd w:val="clear" w:color="auto" w:fill="auto"/>
            <w:vAlign w:val="center"/>
          </w:tcPr>
          <w:p w:rsidR="00D92EC2" w:rsidRPr="00A72154" w:rsidRDefault="00D92EC2" w:rsidP="00A72154">
            <w:pPr>
              <w:snapToGrid w:val="0"/>
              <w:spacing w:after="0"/>
              <w:rPr>
                <w:sz w:val="20"/>
                <w:szCs w:val="20"/>
              </w:rPr>
            </w:pPr>
            <w:r w:rsidRPr="00A72154">
              <w:rPr>
                <w:sz w:val="20"/>
                <w:szCs w:val="20"/>
              </w:rPr>
              <w:t>Cryptic</w:t>
            </w:r>
          </w:p>
          <w:p w:rsidR="00D92EC2" w:rsidRPr="00A72154" w:rsidRDefault="00D92EC2" w:rsidP="00A72154">
            <w:pPr>
              <w:snapToGrid w:val="0"/>
              <w:spacing w:after="0"/>
              <w:rPr>
                <w:sz w:val="20"/>
                <w:szCs w:val="20"/>
              </w:rPr>
            </w:pPr>
            <w:r w:rsidRPr="00A72154">
              <w:rPr>
                <w:sz w:val="20"/>
                <w:szCs w:val="20"/>
              </w:rPr>
              <w:t>plasmid</w:t>
            </w:r>
          </w:p>
        </w:tc>
        <w:tc>
          <w:tcPr>
            <w:tcW w:w="0" w:type="auto"/>
            <w:vMerge w:val="restar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149</w:t>
            </w:r>
          </w:p>
        </w:tc>
        <w:tc>
          <w:tcPr>
            <w:tcW w:w="0" w:type="auto"/>
            <w:vMerge w:val="restar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34</w:t>
            </w:r>
          </w:p>
        </w:tc>
      </w:tr>
      <w:tr w:rsidR="00D92EC2" w:rsidRPr="00A72154" w:rsidTr="00AC61AC">
        <w:trPr>
          <w:jc w:val="center"/>
        </w:trPr>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Reverse</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5′-TCAGAGCTTTAC CTAACAACGCATA-3′</w:t>
            </w:r>
          </w:p>
        </w:tc>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r>
      <w:tr w:rsidR="00D92EC2" w:rsidRPr="00A72154" w:rsidTr="00AC61AC">
        <w:trPr>
          <w:jc w:val="center"/>
        </w:trPr>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Probe</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w:t>
            </w:r>
            <w:r w:rsidRPr="00A72154">
              <w:rPr>
                <w:b/>
                <w:bCs/>
                <w:sz w:val="20"/>
                <w:szCs w:val="20"/>
              </w:rPr>
              <w:t xml:space="preserve"> FAM</w:t>
            </w:r>
            <w:r w:rsidRPr="00A72154">
              <w:rPr>
                <w:sz w:val="20"/>
                <w:szCs w:val="20"/>
              </w:rPr>
              <w:t xml:space="preserve"> TCGCATG- CAAGATATCGA-3’</w:t>
            </w:r>
          </w:p>
        </w:tc>
        <w:tc>
          <w:tcPr>
            <w:tcW w:w="0" w:type="auto"/>
            <w:vMerge/>
            <w:tcBorders>
              <w:bottom w:val="single" w:sz="4" w:space="0" w:color="auto"/>
            </w:tcBorders>
            <w:shd w:val="clear" w:color="auto" w:fill="auto"/>
            <w:vAlign w:val="center"/>
          </w:tcPr>
          <w:p w:rsidR="00D92EC2" w:rsidRPr="00A72154" w:rsidRDefault="00D92EC2" w:rsidP="00A72154">
            <w:pPr>
              <w:snapToGrid w:val="0"/>
              <w:spacing w:after="0"/>
              <w:rPr>
                <w:sz w:val="20"/>
                <w:szCs w:val="20"/>
              </w:rPr>
            </w:pP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r>
      <w:tr w:rsidR="00D92EC2" w:rsidRPr="00A72154" w:rsidTr="00AC61AC">
        <w:trPr>
          <w:jc w:val="center"/>
        </w:trPr>
        <w:tc>
          <w:tcPr>
            <w:tcW w:w="0" w:type="auto"/>
            <w:vMerge w:val="restart"/>
            <w:shd w:val="clear" w:color="auto" w:fill="auto"/>
            <w:vAlign w:val="center"/>
          </w:tcPr>
          <w:p w:rsidR="00D92EC2" w:rsidRPr="00A72154" w:rsidRDefault="00D92EC2" w:rsidP="00A72154">
            <w:pPr>
              <w:snapToGrid w:val="0"/>
              <w:spacing w:after="0"/>
              <w:rPr>
                <w:sz w:val="20"/>
                <w:szCs w:val="20"/>
              </w:rPr>
            </w:pPr>
            <w:r w:rsidRPr="00A72154">
              <w:rPr>
                <w:sz w:val="20"/>
                <w:szCs w:val="20"/>
              </w:rPr>
              <w:t>Pan</w:t>
            </w:r>
            <w:r w:rsidRPr="00A72154">
              <w:rPr>
                <w:i/>
                <w:iCs/>
                <w:sz w:val="20"/>
                <w:szCs w:val="20"/>
              </w:rPr>
              <w:t>-Clamydiales</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Forward</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5′-CCGCCAACACTGGGACT-3′</w:t>
            </w:r>
          </w:p>
        </w:tc>
        <w:tc>
          <w:tcPr>
            <w:tcW w:w="0" w:type="auto"/>
            <w:tcBorders>
              <w:bottom w:val="none" w:sz="0" w:space="0" w:color="000000"/>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16S</w:t>
            </w:r>
          </w:p>
        </w:tc>
        <w:tc>
          <w:tcPr>
            <w:tcW w:w="0" w:type="auto"/>
            <w:vMerge w:val="restar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207</w:t>
            </w:r>
          </w:p>
          <w:p w:rsidR="00D92EC2" w:rsidRPr="00A72154" w:rsidRDefault="00D92EC2" w:rsidP="00AC61AC">
            <w:pPr>
              <w:snapToGrid w:val="0"/>
              <w:spacing w:after="0"/>
              <w:jc w:val="both"/>
              <w:rPr>
                <w:sz w:val="20"/>
                <w:szCs w:val="20"/>
              </w:rPr>
            </w:pPr>
            <w:r w:rsidRPr="00A72154">
              <w:rPr>
                <w:sz w:val="20"/>
                <w:szCs w:val="20"/>
              </w:rPr>
              <w:t>to</w:t>
            </w:r>
          </w:p>
          <w:p w:rsidR="00D92EC2" w:rsidRPr="00A72154" w:rsidRDefault="00D92EC2" w:rsidP="00AC61AC">
            <w:pPr>
              <w:snapToGrid w:val="0"/>
              <w:spacing w:after="0"/>
              <w:jc w:val="both"/>
              <w:rPr>
                <w:sz w:val="20"/>
                <w:szCs w:val="20"/>
              </w:rPr>
            </w:pPr>
            <w:r w:rsidRPr="00A72154">
              <w:rPr>
                <w:sz w:val="20"/>
                <w:szCs w:val="20"/>
              </w:rPr>
              <w:t>215</w:t>
            </w:r>
          </w:p>
        </w:tc>
        <w:tc>
          <w:tcPr>
            <w:tcW w:w="0" w:type="auto"/>
            <w:vMerge w:val="restar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35</w:t>
            </w:r>
          </w:p>
        </w:tc>
      </w:tr>
      <w:tr w:rsidR="00D92EC2" w:rsidRPr="00A72154" w:rsidTr="00AC61AC">
        <w:trPr>
          <w:jc w:val="center"/>
        </w:trPr>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Reverse</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5′-GGAGTTAGCCGGTGCTTCTTTAC-3′</w:t>
            </w:r>
          </w:p>
        </w:tc>
        <w:tc>
          <w:tcPr>
            <w:tcW w:w="0" w:type="auto"/>
            <w:tcBorders>
              <w:top w:val="none" w:sz="0" w:space="0" w:color="000000"/>
              <w:bottom w:val="none" w:sz="0" w:space="0" w:color="000000"/>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rRNA</w:t>
            </w: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r>
      <w:tr w:rsidR="00D92EC2" w:rsidRPr="00A72154" w:rsidTr="00AC61AC">
        <w:trPr>
          <w:jc w:val="center"/>
        </w:trPr>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Probe</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 xml:space="preserve">5′- </w:t>
            </w:r>
            <w:r w:rsidRPr="00A72154">
              <w:rPr>
                <w:b/>
                <w:bCs/>
                <w:sz w:val="20"/>
                <w:szCs w:val="20"/>
              </w:rPr>
              <w:t>FAM</w:t>
            </w:r>
            <w:r w:rsidRPr="00A72154">
              <w:rPr>
                <w:sz w:val="20"/>
                <w:szCs w:val="20"/>
              </w:rPr>
              <w:t xml:space="preserve"> CTACGGGAGGCTGCAGTCGAGAATC</w:t>
            </w:r>
            <w:r w:rsidRPr="00A72154">
              <w:rPr>
                <w:b/>
                <w:bCs/>
                <w:sz w:val="20"/>
                <w:szCs w:val="20"/>
              </w:rPr>
              <w:t>BHQ</w:t>
            </w:r>
            <w:r w:rsidRPr="00A72154">
              <w:rPr>
                <w:sz w:val="20"/>
                <w:szCs w:val="20"/>
              </w:rPr>
              <w:t>-3′</w:t>
            </w:r>
          </w:p>
        </w:tc>
        <w:tc>
          <w:tcPr>
            <w:tcW w:w="0" w:type="auto"/>
            <w:tcBorders>
              <w:top w:val="none" w:sz="0" w:space="0" w:color="000000"/>
              <w:bottom w:val="single" w:sz="4" w:space="0" w:color="auto"/>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gene</w:t>
            </w: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r>
      <w:tr w:rsidR="00D92EC2" w:rsidRPr="00A72154" w:rsidTr="00AC61AC">
        <w:trPr>
          <w:jc w:val="center"/>
        </w:trPr>
        <w:tc>
          <w:tcPr>
            <w:tcW w:w="0" w:type="auto"/>
            <w:vMerge w:val="restart"/>
            <w:shd w:val="clear" w:color="auto" w:fill="auto"/>
            <w:vAlign w:val="center"/>
          </w:tcPr>
          <w:p w:rsidR="00D92EC2" w:rsidRPr="00A72154" w:rsidRDefault="00D92EC2" w:rsidP="00A72154">
            <w:pPr>
              <w:snapToGrid w:val="0"/>
              <w:spacing w:after="0"/>
              <w:rPr>
                <w:i/>
                <w:iCs/>
                <w:sz w:val="20"/>
                <w:szCs w:val="20"/>
              </w:rPr>
            </w:pPr>
            <w:r w:rsidRPr="00A72154">
              <w:rPr>
                <w:i/>
                <w:iCs/>
                <w:sz w:val="20"/>
                <w:szCs w:val="20"/>
              </w:rPr>
              <w:t>Waddlia chondrophila</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Forward</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5′-GGCCCTTGGGTCGTAAAGTTCT-3′</w:t>
            </w:r>
          </w:p>
        </w:tc>
        <w:tc>
          <w:tcPr>
            <w:tcW w:w="0" w:type="auto"/>
            <w:tcBorders>
              <w:bottom w:val="none" w:sz="0" w:space="0" w:color="000000"/>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16S</w:t>
            </w:r>
          </w:p>
        </w:tc>
        <w:tc>
          <w:tcPr>
            <w:tcW w:w="0" w:type="auto"/>
            <w:vMerge w:val="restart"/>
            <w:shd w:val="clear" w:color="auto" w:fill="FFFFFF"/>
            <w:vAlign w:val="center"/>
          </w:tcPr>
          <w:p w:rsidR="00D92EC2" w:rsidRPr="00A72154" w:rsidRDefault="00D92EC2" w:rsidP="00AC61AC">
            <w:pPr>
              <w:snapToGrid w:val="0"/>
              <w:spacing w:after="0"/>
              <w:jc w:val="both"/>
              <w:rPr>
                <w:sz w:val="20"/>
                <w:szCs w:val="20"/>
              </w:rPr>
            </w:pPr>
            <w:r w:rsidRPr="00A72154">
              <w:rPr>
                <w:sz w:val="20"/>
                <w:szCs w:val="20"/>
              </w:rPr>
              <w:t>101</w:t>
            </w:r>
          </w:p>
        </w:tc>
        <w:tc>
          <w:tcPr>
            <w:tcW w:w="0" w:type="auto"/>
            <w:vMerge w:val="restar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36</w:t>
            </w:r>
          </w:p>
        </w:tc>
      </w:tr>
      <w:tr w:rsidR="00D92EC2" w:rsidRPr="00A72154" w:rsidTr="00AC61AC">
        <w:trPr>
          <w:jc w:val="center"/>
        </w:trPr>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Reverse</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5′CGGAGTTAGCCGGTGCTTCT-3′</w:t>
            </w:r>
          </w:p>
        </w:tc>
        <w:tc>
          <w:tcPr>
            <w:tcW w:w="0" w:type="auto"/>
            <w:tcBorders>
              <w:top w:val="none" w:sz="0" w:space="0" w:color="000000"/>
              <w:bottom w:val="none" w:sz="0" w:space="0" w:color="000000"/>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rRNA</w:t>
            </w:r>
          </w:p>
        </w:tc>
        <w:tc>
          <w:tcPr>
            <w:tcW w:w="0" w:type="auto"/>
            <w:vMerge/>
            <w:shd w:val="clear" w:color="auto" w:fill="FFFFFF"/>
            <w:vAlign w:val="center"/>
          </w:tcPr>
          <w:p w:rsidR="00D92EC2" w:rsidRPr="00A72154" w:rsidRDefault="00D92EC2" w:rsidP="00AC61AC">
            <w:pPr>
              <w:snapToGrid w:val="0"/>
              <w:spacing w:after="0"/>
              <w:jc w:val="both"/>
              <w:rPr>
                <w:sz w:val="20"/>
                <w:szCs w:val="20"/>
              </w:rPr>
            </w:pP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r>
      <w:tr w:rsidR="00D92EC2" w:rsidRPr="00A72154" w:rsidTr="00AC61AC">
        <w:trPr>
          <w:jc w:val="center"/>
        </w:trPr>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Probe</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w:t>
            </w:r>
            <w:r w:rsidRPr="00A72154">
              <w:rPr>
                <w:b/>
                <w:bCs/>
                <w:sz w:val="20"/>
                <w:szCs w:val="20"/>
              </w:rPr>
              <w:t>FAM</w:t>
            </w:r>
            <w:r w:rsidRPr="00A72154">
              <w:rPr>
                <w:sz w:val="20"/>
                <w:szCs w:val="20"/>
              </w:rPr>
              <w:t>-CATGGGAACAAGAGAAGGATG-</w:t>
            </w:r>
            <w:r w:rsidRPr="00A72154">
              <w:rPr>
                <w:b/>
                <w:bCs/>
                <w:sz w:val="20"/>
                <w:szCs w:val="20"/>
              </w:rPr>
              <w:t>BHQ</w:t>
            </w:r>
            <w:r w:rsidRPr="00A72154">
              <w:rPr>
                <w:sz w:val="20"/>
                <w:szCs w:val="20"/>
              </w:rPr>
              <w:t>-3′</w:t>
            </w:r>
          </w:p>
        </w:tc>
        <w:tc>
          <w:tcPr>
            <w:tcW w:w="0" w:type="auto"/>
            <w:tcBorders>
              <w:top w:val="none" w:sz="0" w:space="0" w:color="000000"/>
              <w:bottom w:val="single" w:sz="4" w:space="0" w:color="auto"/>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gene</w:t>
            </w:r>
          </w:p>
        </w:tc>
        <w:tc>
          <w:tcPr>
            <w:tcW w:w="0" w:type="auto"/>
            <w:vMerge/>
            <w:shd w:val="clear" w:color="auto" w:fill="FFFFFF"/>
            <w:vAlign w:val="center"/>
          </w:tcPr>
          <w:p w:rsidR="00D92EC2" w:rsidRPr="00A72154" w:rsidRDefault="00D92EC2" w:rsidP="00AC61AC">
            <w:pPr>
              <w:snapToGrid w:val="0"/>
              <w:spacing w:after="0"/>
              <w:jc w:val="both"/>
              <w:rPr>
                <w:sz w:val="20"/>
                <w:szCs w:val="20"/>
              </w:rPr>
            </w:pPr>
          </w:p>
        </w:tc>
        <w:tc>
          <w:tcPr>
            <w:tcW w:w="0" w:type="auto"/>
            <w:vMerge/>
            <w:shd w:val="clear" w:color="auto" w:fill="auto"/>
            <w:vAlign w:val="center"/>
          </w:tcPr>
          <w:p w:rsidR="00D92EC2" w:rsidRPr="00A72154" w:rsidRDefault="00D92EC2" w:rsidP="00AC61AC">
            <w:pPr>
              <w:snapToGrid w:val="0"/>
              <w:spacing w:after="0"/>
              <w:jc w:val="both"/>
              <w:rPr>
                <w:sz w:val="20"/>
                <w:szCs w:val="20"/>
              </w:rPr>
            </w:pPr>
          </w:p>
        </w:tc>
      </w:tr>
      <w:tr w:rsidR="00D92EC2" w:rsidRPr="00A72154" w:rsidTr="00AC61AC">
        <w:trPr>
          <w:jc w:val="center"/>
        </w:trPr>
        <w:tc>
          <w:tcPr>
            <w:tcW w:w="0" w:type="auto"/>
            <w:vMerge w:val="restart"/>
            <w:shd w:val="clear" w:color="auto" w:fill="auto"/>
            <w:vAlign w:val="center"/>
          </w:tcPr>
          <w:p w:rsidR="00D92EC2" w:rsidRPr="00A72154" w:rsidRDefault="00D92EC2" w:rsidP="00A72154">
            <w:pPr>
              <w:snapToGrid w:val="0"/>
              <w:spacing w:after="0"/>
              <w:rPr>
                <w:sz w:val="20"/>
                <w:szCs w:val="20"/>
              </w:rPr>
            </w:pPr>
            <w:r w:rsidRPr="00A72154">
              <w:rPr>
                <w:i/>
                <w:iCs/>
                <w:sz w:val="20"/>
                <w:szCs w:val="20"/>
              </w:rPr>
              <w:t>Parachlamydia acanthamoebae</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Forward</w:t>
            </w: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5′-GGT CCG GGT AAT CTT TGC AAA-3′</w:t>
            </w:r>
          </w:p>
        </w:tc>
        <w:tc>
          <w:tcPr>
            <w:tcW w:w="0" w:type="auto"/>
            <w:tcBorders>
              <w:bottom w:val="none" w:sz="0" w:space="0" w:color="000000"/>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18S rRNA-</w:t>
            </w:r>
          </w:p>
        </w:tc>
        <w:tc>
          <w:tcPr>
            <w:tcW w:w="0" w:type="auto"/>
            <w:vMerge w:val="restart"/>
            <w:shd w:val="clear" w:color="auto" w:fill="FFFFFF"/>
            <w:vAlign w:val="center"/>
          </w:tcPr>
          <w:p w:rsidR="00D92EC2" w:rsidRPr="00A72154" w:rsidRDefault="00D92EC2" w:rsidP="00AC61AC">
            <w:pPr>
              <w:snapToGrid w:val="0"/>
              <w:spacing w:after="0"/>
              <w:jc w:val="both"/>
              <w:rPr>
                <w:sz w:val="20"/>
                <w:szCs w:val="20"/>
              </w:rPr>
            </w:pPr>
            <w:r w:rsidRPr="00A72154">
              <w:rPr>
                <w:sz w:val="20"/>
                <w:szCs w:val="20"/>
              </w:rPr>
              <w:t>126</w:t>
            </w:r>
          </w:p>
        </w:tc>
        <w:tc>
          <w:tcPr>
            <w:tcW w:w="0" w:type="auto"/>
            <w:vMerge w:val="restar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37</w:t>
            </w:r>
          </w:p>
        </w:tc>
      </w:tr>
      <w:tr w:rsidR="00D92EC2" w:rsidRPr="00A72154" w:rsidTr="00AC61AC">
        <w:trPr>
          <w:jc w:val="center"/>
        </w:trPr>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Reverse</w:t>
            </w:r>
          </w:p>
        </w:tc>
        <w:tc>
          <w:tcPr>
            <w:tcW w:w="0" w:type="auto"/>
            <w:shd w:val="clear" w:color="auto" w:fill="auto"/>
            <w:vAlign w:val="center"/>
          </w:tcPr>
          <w:p w:rsidR="00D92EC2" w:rsidRPr="00A72154" w:rsidRDefault="00D92EC2" w:rsidP="00A72154">
            <w:pPr>
              <w:snapToGrid w:val="0"/>
              <w:spacing w:after="0"/>
              <w:rPr>
                <w:b/>
                <w:bCs/>
                <w:sz w:val="20"/>
                <w:szCs w:val="20"/>
              </w:rPr>
            </w:pPr>
            <w:r w:rsidRPr="00A72154">
              <w:rPr>
                <w:sz w:val="20"/>
                <w:szCs w:val="20"/>
              </w:rPr>
              <w:t>5′-GTA CAA AGG GCA GGG ACG TAA TCA AC-3′</w:t>
            </w:r>
          </w:p>
        </w:tc>
        <w:tc>
          <w:tcPr>
            <w:tcW w:w="0" w:type="auto"/>
            <w:tcBorders>
              <w:top w:val="none" w:sz="0" w:space="0" w:color="000000"/>
              <w:bottom w:val="none" w:sz="0" w:space="0" w:color="000000"/>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encoding</w:t>
            </w:r>
          </w:p>
        </w:tc>
        <w:tc>
          <w:tcPr>
            <w:tcW w:w="0" w:type="auto"/>
            <w:vMerge/>
            <w:shd w:val="clear" w:color="auto" w:fill="FFFFFF"/>
            <w:vAlign w:val="center"/>
          </w:tcPr>
          <w:p w:rsidR="00D92EC2" w:rsidRPr="00A72154" w:rsidRDefault="00D92EC2" w:rsidP="00AC61AC">
            <w:pPr>
              <w:snapToGrid w:val="0"/>
              <w:spacing w:after="0"/>
              <w:jc w:val="both"/>
              <w:rPr>
                <w:b/>
                <w:bCs/>
                <w:sz w:val="20"/>
                <w:szCs w:val="20"/>
              </w:rPr>
            </w:pPr>
          </w:p>
        </w:tc>
        <w:tc>
          <w:tcPr>
            <w:tcW w:w="0" w:type="auto"/>
            <w:vMerge/>
            <w:shd w:val="clear" w:color="auto" w:fill="auto"/>
            <w:vAlign w:val="center"/>
          </w:tcPr>
          <w:p w:rsidR="00D92EC2" w:rsidRPr="00A72154" w:rsidRDefault="00D92EC2" w:rsidP="00AC61AC">
            <w:pPr>
              <w:snapToGrid w:val="0"/>
              <w:spacing w:after="0"/>
              <w:jc w:val="both"/>
              <w:rPr>
                <w:b/>
                <w:bCs/>
                <w:sz w:val="20"/>
                <w:szCs w:val="20"/>
              </w:rPr>
            </w:pPr>
          </w:p>
        </w:tc>
      </w:tr>
      <w:tr w:rsidR="00D92EC2" w:rsidRPr="00A72154" w:rsidTr="00AC61AC">
        <w:trPr>
          <w:jc w:val="center"/>
        </w:trPr>
        <w:tc>
          <w:tcPr>
            <w:tcW w:w="0" w:type="auto"/>
            <w:vMerge/>
            <w:shd w:val="clear" w:color="auto" w:fill="auto"/>
            <w:vAlign w:val="center"/>
          </w:tcPr>
          <w:p w:rsidR="00D92EC2" w:rsidRPr="00A72154" w:rsidRDefault="00D92EC2" w:rsidP="00A72154">
            <w:pPr>
              <w:snapToGrid w:val="0"/>
              <w:spacing w:after="0"/>
              <w:rPr>
                <w:sz w:val="20"/>
                <w:szCs w:val="20"/>
              </w:rPr>
            </w:pPr>
          </w:p>
        </w:tc>
        <w:tc>
          <w:tcPr>
            <w:tcW w:w="0" w:type="auto"/>
            <w:shd w:val="clear" w:color="auto" w:fill="auto"/>
            <w:vAlign w:val="center"/>
          </w:tcPr>
          <w:p w:rsidR="00D92EC2" w:rsidRPr="00A72154" w:rsidRDefault="00D92EC2" w:rsidP="00A72154">
            <w:pPr>
              <w:snapToGrid w:val="0"/>
              <w:spacing w:after="0"/>
              <w:rPr>
                <w:sz w:val="20"/>
                <w:szCs w:val="20"/>
              </w:rPr>
            </w:pPr>
            <w:r w:rsidRPr="00A72154">
              <w:rPr>
                <w:sz w:val="20"/>
                <w:szCs w:val="20"/>
              </w:rPr>
              <w:t>Probe</w:t>
            </w:r>
          </w:p>
        </w:tc>
        <w:tc>
          <w:tcPr>
            <w:tcW w:w="0" w:type="auto"/>
            <w:shd w:val="clear" w:color="auto" w:fill="auto"/>
            <w:vAlign w:val="center"/>
          </w:tcPr>
          <w:p w:rsidR="00D92EC2" w:rsidRPr="00A72154" w:rsidRDefault="00D92EC2" w:rsidP="00A72154">
            <w:pPr>
              <w:snapToGrid w:val="0"/>
              <w:spacing w:after="0"/>
              <w:rPr>
                <w:b/>
                <w:bCs/>
                <w:sz w:val="20"/>
                <w:szCs w:val="20"/>
              </w:rPr>
            </w:pPr>
            <w:r w:rsidRPr="00A72154">
              <w:rPr>
                <w:b/>
                <w:bCs/>
                <w:sz w:val="20"/>
                <w:szCs w:val="20"/>
              </w:rPr>
              <w:t>5′-VIC-</w:t>
            </w:r>
            <w:r w:rsidRPr="00A72154">
              <w:rPr>
                <w:sz w:val="20"/>
                <w:szCs w:val="20"/>
              </w:rPr>
              <w:t>TAAGCGCGAGTCATC</w:t>
            </w:r>
            <w:r w:rsidRPr="00A72154">
              <w:rPr>
                <w:b/>
                <w:bCs/>
                <w:sz w:val="20"/>
                <w:szCs w:val="20"/>
              </w:rPr>
              <w:t>-MGB-</w:t>
            </w:r>
            <w:r w:rsidRPr="00A72154">
              <w:rPr>
                <w:sz w:val="20"/>
                <w:szCs w:val="20"/>
              </w:rPr>
              <w:t>3′</w:t>
            </w:r>
          </w:p>
        </w:tc>
        <w:tc>
          <w:tcPr>
            <w:tcW w:w="0" w:type="auto"/>
            <w:tcBorders>
              <w:top w:val="none" w:sz="0" w:space="0" w:color="000000"/>
            </w:tcBorders>
            <w:shd w:val="clear" w:color="auto" w:fill="auto"/>
            <w:vAlign w:val="center"/>
          </w:tcPr>
          <w:p w:rsidR="00D92EC2" w:rsidRPr="00A72154" w:rsidRDefault="00D92EC2" w:rsidP="00A72154">
            <w:pPr>
              <w:snapToGrid w:val="0"/>
              <w:spacing w:after="0"/>
              <w:rPr>
                <w:sz w:val="20"/>
                <w:szCs w:val="20"/>
              </w:rPr>
            </w:pPr>
            <w:r w:rsidRPr="00A72154">
              <w:rPr>
                <w:sz w:val="20"/>
                <w:szCs w:val="20"/>
              </w:rPr>
              <w:t>gene</w:t>
            </w:r>
          </w:p>
        </w:tc>
        <w:tc>
          <w:tcPr>
            <w:tcW w:w="0" w:type="auto"/>
            <w:vMerge/>
            <w:shd w:val="clear" w:color="auto" w:fill="FFFFFF"/>
            <w:vAlign w:val="center"/>
          </w:tcPr>
          <w:p w:rsidR="00D92EC2" w:rsidRPr="00A72154" w:rsidRDefault="00D92EC2" w:rsidP="00AC61AC">
            <w:pPr>
              <w:snapToGrid w:val="0"/>
              <w:spacing w:after="0"/>
              <w:jc w:val="both"/>
              <w:rPr>
                <w:b/>
                <w:bCs/>
                <w:sz w:val="20"/>
                <w:szCs w:val="20"/>
              </w:rPr>
            </w:pPr>
          </w:p>
        </w:tc>
        <w:tc>
          <w:tcPr>
            <w:tcW w:w="0" w:type="auto"/>
            <w:vMerge/>
            <w:shd w:val="clear" w:color="auto" w:fill="auto"/>
            <w:vAlign w:val="center"/>
          </w:tcPr>
          <w:p w:rsidR="00D92EC2" w:rsidRPr="00A72154" w:rsidRDefault="00D92EC2" w:rsidP="00AC61AC">
            <w:pPr>
              <w:snapToGrid w:val="0"/>
              <w:spacing w:after="0"/>
              <w:jc w:val="both"/>
              <w:rPr>
                <w:b/>
                <w:bCs/>
                <w:sz w:val="20"/>
                <w:szCs w:val="20"/>
              </w:rPr>
            </w:pPr>
          </w:p>
        </w:tc>
      </w:tr>
    </w:tbl>
    <w:p w:rsidR="00AC61AC" w:rsidRDefault="00AC61AC" w:rsidP="00AC61AC">
      <w:pPr>
        <w:snapToGrid w:val="0"/>
        <w:spacing w:after="0"/>
        <w:jc w:val="both"/>
        <w:rPr>
          <w:rFonts w:eastAsiaTheme="minorEastAsia" w:hint="eastAsia"/>
          <w:b/>
          <w:bCs/>
          <w:sz w:val="20"/>
          <w:szCs w:val="20"/>
          <w:lang w:eastAsia="zh-CN"/>
        </w:rPr>
      </w:pPr>
    </w:p>
    <w:p w:rsidR="00A72154" w:rsidRDefault="00A72154" w:rsidP="00AC61AC">
      <w:pPr>
        <w:snapToGrid w:val="0"/>
        <w:spacing w:after="0"/>
        <w:jc w:val="both"/>
        <w:rPr>
          <w:rFonts w:eastAsiaTheme="minorEastAsia" w:hint="eastAsia"/>
          <w:b/>
          <w:bCs/>
          <w:sz w:val="20"/>
          <w:szCs w:val="20"/>
          <w:lang w:eastAsia="zh-CN"/>
        </w:rPr>
      </w:pPr>
    </w:p>
    <w:p w:rsidR="00A72154" w:rsidRPr="00A72154" w:rsidRDefault="00A72154" w:rsidP="00AC61AC">
      <w:pPr>
        <w:snapToGrid w:val="0"/>
        <w:spacing w:after="0"/>
        <w:jc w:val="both"/>
        <w:rPr>
          <w:rFonts w:eastAsiaTheme="minorEastAsia"/>
          <w:b/>
          <w:bCs/>
          <w:sz w:val="20"/>
          <w:szCs w:val="20"/>
          <w:lang w:eastAsia="zh-CN"/>
        </w:rPr>
      </w:pPr>
    </w:p>
    <w:p w:rsidR="00D92EC2" w:rsidRPr="00A72154" w:rsidRDefault="00D92EC2" w:rsidP="00AC61AC">
      <w:pPr>
        <w:snapToGrid w:val="0"/>
        <w:spacing w:after="0"/>
        <w:jc w:val="center"/>
        <w:rPr>
          <w:b/>
          <w:bCs/>
          <w:sz w:val="20"/>
          <w:szCs w:val="20"/>
        </w:rPr>
      </w:pPr>
      <w:r w:rsidRPr="00A72154">
        <w:rPr>
          <w:b/>
          <w:bCs/>
          <w:sz w:val="20"/>
          <w:szCs w:val="20"/>
        </w:rPr>
        <w:t>Table (2): Basic characteristics of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68"/>
        <w:gridCol w:w="2164"/>
        <w:gridCol w:w="2346"/>
        <w:gridCol w:w="796"/>
      </w:tblGrid>
      <w:tr w:rsidR="00D92EC2" w:rsidRPr="00A72154" w:rsidTr="00514171">
        <w:trPr>
          <w:jc w:val="center"/>
        </w:trPr>
        <w:tc>
          <w:tcPr>
            <w:tcW w:w="2200"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b/>
                <w:bCs/>
                <w:sz w:val="20"/>
                <w:szCs w:val="20"/>
              </w:rPr>
            </w:pPr>
            <w:r w:rsidRPr="00A72154">
              <w:rPr>
                <w:b/>
                <w:bCs/>
                <w:sz w:val="20"/>
                <w:szCs w:val="20"/>
              </w:rPr>
              <w:t>Study grou</w:t>
            </w:r>
            <w:r w:rsidR="00514171" w:rsidRPr="00A72154">
              <w:rPr>
                <w:b/>
                <w:bCs/>
                <w:sz w:val="20"/>
                <w:szCs w:val="20"/>
              </w:rPr>
              <w:t>p (</w:t>
            </w:r>
            <w:r w:rsidRPr="00A72154">
              <w:rPr>
                <w:b/>
                <w:bCs/>
                <w:sz w:val="20"/>
                <w:szCs w:val="20"/>
              </w:rPr>
              <w:t>n = 300)</w:t>
            </w:r>
          </w:p>
        </w:tc>
        <w:tc>
          <w:tcPr>
            <w:tcW w:w="1238"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b/>
                <w:bCs/>
                <w:sz w:val="20"/>
                <w:szCs w:val="20"/>
              </w:rPr>
            </w:pPr>
            <w:r w:rsidRPr="00A72154">
              <w:rPr>
                <w:b/>
                <w:bCs/>
                <w:sz w:val="20"/>
                <w:szCs w:val="20"/>
              </w:rPr>
              <w:t>Control grou</w:t>
            </w:r>
            <w:r w:rsidR="00514171" w:rsidRPr="00A72154">
              <w:rPr>
                <w:b/>
                <w:bCs/>
                <w:sz w:val="20"/>
                <w:szCs w:val="20"/>
              </w:rPr>
              <w:t>p (</w:t>
            </w:r>
            <w:r w:rsidRPr="00A72154">
              <w:rPr>
                <w:b/>
                <w:bCs/>
                <w:sz w:val="20"/>
                <w:szCs w:val="20"/>
              </w:rPr>
              <w:t>n = 300)</w:t>
            </w:r>
          </w:p>
        </w:tc>
        <w:tc>
          <w:tcPr>
            <w:tcW w:w="421"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b/>
                <w:bCs/>
                <w:sz w:val="20"/>
                <w:szCs w:val="20"/>
              </w:rPr>
            </w:pPr>
            <w:r w:rsidRPr="00A72154">
              <w:rPr>
                <w:b/>
                <w:bCs/>
                <w:sz w:val="20"/>
                <w:szCs w:val="20"/>
              </w:rPr>
              <w:t>p value</w:t>
            </w:r>
          </w:p>
        </w:tc>
      </w:tr>
      <w:tr w:rsidR="00D92EC2" w:rsidRPr="00A72154" w:rsidTr="00514171">
        <w:trPr>
          <w:jc w:val="center"/>
        </w:trPr>
        <w:tc>
          <w:tcPr>
            <w:tcW w:w="2200"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b/>
                <w:bCs/>
                <w:sz w:val="20"/>
                <w:szCs w:val="20"/>
                <w:vertAlign w:val="superscript"/>
              </w:rPr>
            </w:pPr>
            <w:r w:rsidRPr="00A72154">
              <w:rPr>
                <w:b/>
                <w:bCs/>
                <w:sz w:val="20"/>
                <w:szCs w:val="20"/>
              </w:rPr>
              <w:t>Age (years)</w:t>
            </w:r>
            <w:r w:rsidRPr="00A72154">
              <w:rPr>
                <w:b/>
                <w:bCs/>
                <w:sz w:val="20"/>
                <w:szCs w:val="20"/>
                <w:vertAlign w:val="superscript"/>
              </w:rPr>
              <w:t>*1</w:t>
            </w:r>
          </w:p>
        </w:tc>
        <w:tc>
          <w:tcPr>
            <w:tcW w:w="1142"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r w:rsidRPr="00A72154">
              <w:rPr>
                <w:sz w:val="20"/>
                <w:szCs w:val="20"/>
              </w:rPr>
              <w:t>27.8±6</w:t>
            </w:r>
          </w:p>
        </w:tc>
        <w:tc>
          <w:tcPr>
            <w:tcW w:w="1238"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r w:rsidRPr="00A72154">
              <w:rPr>
                <w:sz w:val="20"/>
                <w:szCs w:val="20"/>
              </w:rPr>
              <w:t>28.3±5.8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0.337</w:t>
            </w:r>
          </w:p>
        </w:tc>
      </w:tr>
      <w:tr w:rsidR="00D92EC2" w:rsidRPr="00A72154" w:rsidTr="00514171">
        <w:trPr>
          <w:jc w:val="center"/>
        </w:trPr>
        <w:tc>
          <w:tcPr>
            <w:tcW w:w="2200"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b/>
                <w:bCs/>
                <w:sz w:val="20"/>
                <w:szCs w:val="20"/>
                <w:vertAlign w:val="superscript"/>
              </w:rPr>
            </w:pPr>
            <w:r w:rsidRPr="00A72154">
              <w:rPr>
                <w:b/>
                <w:bCs/>
                <w:sz w:val="20"/>
                <w:szCs w:val="20"/>
              </w:rPr>
              <w:t>Parity</w:t>
            </w:r>
            <w:r w:rsidRPr="00A72154">
              <w:rPr>
                <w:b/>
                <w:bCs/>
                <w:sz w:val="20"/>
                <w:szCs w:val="20"/>
                <w:vertAlign w:val="superscript"/>
              </w:rPr>
              <w:t>*1</w:t>
            </w:r>
          </w:p>
        </w:tc>
        <w:tc>
          <w:tcPr>
            <w:tcW w:w="1142"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r w:rsidRPr="00A72154">
              <w:rPr>
                <w:sz w:val="20"/>
                <w:szCs w:val="20"/>
              </w:rPr>
              <w:t>1.3±1.1</w:t>
            </w:r>
          </w:p>
        </w:tc>
        <w:tc>
          <w:tcPr>
            <w:tcW w:w="1238"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r w:rsidRPr="00A72154">
              <w:rPr>
                <w:sz w:val="20"/>
                <w:szCs w:val="20"/>
              </w:rPr>
              <w:t>1.4±1.2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0.181</w:t>
            </w:r>
          </w:p>
        </w:tc>
      </w:tr>
      <w:tr w:rsidR="00D92EC2" w:rsidRPr="00A72154" w:rsidTr="00514171">
        <w:trPr>
          <w:jc w:val="center"/>
        </w:trPr>
        <w:tc>
          <w:tcPr>
            <w:tcW w:w="2200"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b/>
                <w:bCs/>
                <w:sz w:val="20"/>
                <w:szCs w:val="20"/>
                <w:vertAlign w:val="superscript"/>
              </w:rPr>
            </w:pPr>
            <w:r w:rsidRPr="00A72154">
              <w:rPr>
                <w:b/>
                <w:bCs/>
                <w:sz w:val="20"/>
                <w:szCs w:val="20"/>
              </w:rPr>
              <w:t>BMI (kg/m</w:t>
            </w:r>
            <w:r w:rsidRPr="00A72154">
              <w:rPr>
                <w:b/>
                <w:bCs/>
                <w:sz w:val="20"/>
                <w:szCs w:val="20"/>
                <w:vertAlign w:val="superscript"/>
              </w:rPr>
              <w:t>2</w:t>
            </w:r>
            <w:r w:rsidRPr="00A72154">
              <w:rPr>
                <w:b/>
                <w:bCs/>
                <w:sz w:val="20"/>
                <w:szCs w:val="20"/>
              </w:rPr>
              <w:t>)</w:t>
            </w:r>
            <w:r w:rsidRPr="00A72154">
              <w:rPr>
                <w:b/>
                <w:bCs/>
                <w:sz w:val="20"/>
                <w:szCs w:val="20"/>
                <w:vertAlign w:val="superscript"/>
              </w:rPr>
              <w:t>*2</w:t>
            </w:r>
          </w:p>
        </w:tc>
        <w:tc>
          <w:tcPr>
            <w:tcW w:w="1142"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r w:rsidRPr="00A72154">
              <w:rPr>
                <w:sz w:val="20"/>
                <w:szCs w:val="20"/>
              </w:rPr>
              <w:t>28.8±4.9</w:t>
            </w:r>
          </w:p>
        </w:tc>
        <w:tc>
          <w:tcPr>
            <w:tcW w:w="1238"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r w:rsidRPr="00A72154">
              <w:rPr>
                <w:sz w:val="20"/>
                <w:szCs w:val="20"/>
              </w:rPr>
              <w:t>29.1±4.7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0.466</w:t>
            </w:r>
          </w:p>
        </w:tc>
      </w:tr>
      <w:tr w:rsidR="00D92EC2" w:rsidRPr="00A72154" w:rsidTr="00514171">
        <w:trPr>
          <w:jc w:val="center"/>
        </w:trPr>
        <w:tc>
          <w:tcPr>
            <w:tcW w:w="2200"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b/>
                <w:bCs/>
                <w:sz w:val="20"/>
                <w:szCs w:val="20"/>
              </w:rPr>
            </w:pPr>
            <w:r w:rsidRPr="00A72154">
              <w:rPr>
                <w:b/>
                <w:bCs/>
                <w:sz w:val="20"/>
                <w:szCs w:val="20"/>
              </w:rPr>
              <w:t>Gestational age (weeks)</w:t>
            </w:r>
            <w:r w:rsidRPr="00A72154">
              <w:rPr>
                <w:b/>
                <w:bCs/>
                <w:sz w:val="20"/>
                <w:szCs w:val="20"/>
                <w:vertAlign w:val="superscript"/>
              </w:rPr>
              <w:t>1</w:t>
            </w:r>
          </w:p>
        </w:tc>
        <w:tc>
          <w:tcPr>
            <w:tcW w:w="1142"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r w:rsidRPr="00A72154">
              <w:rPr>
                <w:sz w:val="20"/>
                <w:szCs w:val="20"/>
              </w:rPr>
              <w:t>12.1±1.8</w:t>
            </w:r>
          </w:p>
        </w:tc>
        <w:tc>
          <w:tcPr>
            <w:tcW w:w="1238"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r w:rsidRPr="00A72154">
              <w:rPr>
                <w:sz w:val="20"/>
                <w:szCs w:val="20"/>
              </w:rPr>
              <w:t>12.1±1.4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0.721</w:t>
            </w:r>
          </w:p>
        </w:tc>
      </w:tr>
      <w:tr w:rsidR="00D92EC2" w:rsidRPr="00A72154" w:rsidTr="00514171">
        <w:trPr>
          <w:jc w:val="center"/>
        </w:trPr>
        <w:tc>
          <w:tcPr>
            <w:tcW w:w="2200"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b/>
                <w:bCs/>
                <w:sz w:val="20"/>
                <w:szCs w:val="20"/>
              </w:rPr>
            </w:pPr>
            <w:r w:rsidRPr="00A72154">
              <w:rPr>
                <w:b/>
                <w:bCs/>
                <w:sz w:val="20"/>
                <w:szCs w:val="20"/>
              </w:rPr>
              <w:t>Method of termination</w:t>
            </w:r>
            <w:r w:rsidRPr="00A72154">
              <w:rPr>
                <w:sz w:val="20"/>
                <w:szCs w:val="20"/>
                <w:vertAlign w:val="superscript"/>
              </w:rPr>
              <w:t>†</w:t>
            </w:r>
            <w:r w:rsidRPr="00A72154">
              <w:rPr>
                <w:b/>
                <w:bCs/>
                <w:sz w:val="20"/>
                <w:szCs w:val="20"/>
              </w:rPr>
              <w:t>:</w:t>
            </w:r>
          </w:p>
          <w:p w:rsidR="00D92EC2" w:rsidRPr="00A72154" w:rsidRDefault="00D92EC2" w:rsidP="00AC61AC">
            <w:pPr>
              <w:pStyle w:val="ListParagraph"/>
              <w:numPr>
                <w:ilvl w:val="0"/>
                <w:numId w:val="4"/>
              </w:numPr>
              <w:snapToGrid w:val="0"/>
              <w:spacing w:after="0" w:line="240" w:lineRule="auto"/>
              <w:ind w:left="0" w:firstLine="0"/>
              <w:jc w:val="both"/>
              <w:rPr>
                <w:rFonts w:ascii="Times New Roman" w:hAnsi="Times New Roman" w:cs="Times New Roman"/>
                <w:b/>
                <w:bCs/>
                <w:sz w:val="20"/>
                <w:szCs w:val="20"/>
              </w:rPr>
            </w:pPr>
            <w:r w:rsidRPr="00A72154">
              <w:rPr>
                <w:rFonts w:ascii="Times New Roman" w:hAnsi="Times New Roman" w:cs="Times New Roman"/>
                <w:b/>
                <w:bCs/>
                <w:sz w:val="20"/>
                <w:szCs w:val="20"/>
              </w:rPr>
              <w:t>Medical evacuation</w:t>
            </w:r>
          </w:p>
          <w:p w:rsidR="00D92EC2" w:rsidRPr="00A72154" w:rsidRDefault="00D92EC2" w:rsidP="00AC61AC">
            <w:pPr>
              <w:pStyle w:val="ListParagraph"/>
              <w:numPr>
                <w:ilvl w:val="0"/>
                <w:numId w:val="4"/>
              </w:numPr>
              <w:snapToGrid w:val="0"/>
              <w:spacing w:after="0" w:line="240" w:lineRule="auto"/>
              <w:ind w:left="0" w:firstLine="0"/>
              <w:jc w:val="both"/>
              <w:rPr>
                <w:rFonts w:ascii="Times New Roman" w:hAnsi="Times New Roman" w:cs="Times New Roman"/>
                <w:b/>
                <w:bCs/>
                <w:sz w:val="20"/>
                <w:szCs w:val="20"/>
              </w:rPr>
            </w:pPr>
            <w:r w:rsidRPr="00A72154">
              <w:rPr>
                <w:rFonts w:ascii="Times New Roman" w:hAnsi="Times New Roman" w:cs="Times New Roman"/>
                <w:b/>
                <w:bCs/>
                <w:sz w:val="20"/>
                <w:szCs w:val="20"/>
              </w:rPr>
              <w:t>Surgical evacuation</w:t>
            </w:r>
          </w:p>
          <w:p w:rsidR="00D92EC2" w:rsidRPr="00A72154" w:rsidRDefault="00D92EC2" w:rsidP="00AC61AC">
            <w:pPr>
              <w:pStyle w:val="ListParagraph"/>
              <w:numPr>
                <w:ilvl w:val="0"/>
                <w:numId w:val="4"/>
              </w:numPr>
              <w:snapToGrid w:val="0"/>
              <w:spacing w:after="0" w:line="240" w:lineRule="auto"/>
              <w:ind w:left="0" w:firstLine="0"/>
              <w:jc w:val="both"/>
              <w:rPr>
                <w:rFonts w:ascii="Times New Roman" w:hAnsi="Times New Roman" w:cs="Times New Roman"/>
                <w:b/>
                <w:bCs/>
                <w:sz w:val="20"/>
                <w:szCs w:val="20"/>
              </w:rPr>
            </w:pPr>
            <w:r w:rsidRPr="00A72154">
              <w:rPr>
                <w:rFonts w:ascii="Times New Roman" w:hAnsi="Times New Roman" w:cs="Times New Roman"/>
                <w:b/>
                <w:bCs/>
                <w:sz w:val="20"/>
                <w:szCs w:val="20"/>
              </w:rPr>
              <w:t>Complete spontaneous miscarriage</w:t>
            </w:r>
          </w:p>
        </w:tc>
        <w:tc>
          <w:tcPr>
            <w:tcW w:w="1142"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p>
          <w:p w:rsidR="00D92EC2" w:rsidRPr="00A72154" w:rsidRDefault="00D92EC2" w:rsidP="00AC61AC">
            <w:pPr>
              <w:snapToGrid w:val="0"/>
              <w:spacing w:after="0"/>
              <w:jc w:val="both"/>
              <w:rPr>
                <w:sz w:val="20"/>
                <w:szCs w:val="20"/>
              </w:rPr>
            </w:pPr>
            <w:r w:rsidRPr="00A72154">
              <w:rPr>
                <w:sz w:val="20"/>
                <w:szCs w:val="20"/>
              </w:rPr>
              <w:t>98 (32.7%)</w:t>
            </w:r>
          </w:p>
          <w:p w:rsidR="00D92EC2" w:rsidRPr="00A72154" w:rsidRDefault="00D92EC2" w:rsidP="00AC61AC">
            <w:pPr>
              <w:snapToGrid w:val="0"/>
              <w:spacing w:after="0"/>
              <w:jc w:val="both"/>
              <w:rPr>
                <w:sz w:val="20"/>
                <w:szCs w:val="20"/>
              </w:rPr>
            </w:pPr>
            <w:r w:rsidRPr="00A72154">
              <w:rPr>
                <w:sz w:val="20"/>
                <w:szCs w:val="20"/>
              </w:rPr>
              <w:t>118 (39.3%)</w:t>
            </w:r>
          </w:p>
          <w:p w:rsidR="00D92EC2" w:rsidRPr="00A72154" w:rsidRDefault="00D92EC2" w:rsidP="00AC61AC">
            <w:pPr>
              <w:snapToGrid w:val="0"/>
              <w:spacing w:after="0"/>
              <w:jc w:val="both"/>
              <w:rPr>
                <w:sz w:val="20"/>
                <w:szCs w:val="20"/>
              </w:rPr>
            </w:pPr>
            <w:r w:rsidRPr="00A72154">
              <w:rPr>
                <w:sz w:val="20"/>
                <w:szCs w:val="20"/>
              </w:rPr>
              <w:t>84 (28%)</w:t>
            </w:r>
          </w:p>
        </w:tc>
        <w:tc>
          <w:tcPr>
            <w:tcW w:w="1238"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p>
        </w:tc>
        <w:tc>
          <w:tcPr>
            <w:tcW w:w="421" w:type="pct"/>
            <w:tcBorders>
              <w:top w:val="single" w:sz="4" w:space="0" w:color="auto"/>
              <w:left w:val="single" w:sz="4" w:space="0" w:color="auto"/>
              <w:bottom w:val="single" w:sz="4" w:space="0" w:color="auto"/>
              <w:right w:val="single" w:sz="4" w:space="0" w:color="auto"/>
            </w:tcBorders>
            <w:vAlign w:val="center"/>
          </w:tcPr>
          <w:p w:rsidR="00D92EC2" w:rsidRPr="00A72154" w:rsidRDefault="00D92EC2" w:rsidP="00AC61AC">
            <w:pPr>
              <w:snapToGrid w:val="0"/>
              <w:spacing w:after="0"/>
              <w:jc w:val="both"/>
              <w:rPr>
                <w:sz w:val="20"/>
                <w:szCs w:val="20"/>
              </w:rPr>
            </w:pPr>
          </w:p>
        </w:tc>
      </w:tr>
    </w:tbl>
    <w:p w:rsidR="00D92EC2" w:rsidRPr="00A72154" w:rsidRDefault="00D92EC2" w:rsidP="00AC61AC">
      <w:pPr>
        <w:snapToGrid w:val="0"/>
        <w:spacing w:after="0"/>
        <w:jc w:val="both"/>
        <w:rPr>
          <w:sz w:val="20"/>
          <w:szCs w:val="20"/>
        </w:rPr>
      </w:pPr>
      <w:r w:rsidRPr="00A72154">
        <w:rPr>
          <w:sz w:val="20"/>
          <w:szCs w:val="20"/>
        </w:rPr>
        <w:t>*Data were described as mean ± SD; data compared using student t test for independent sample</w:t>
      </w:r>
    </w:p>
    <w:p w:rsidR="00D92EC2" w:rsidRPr="00A72154" w:rsidRDefault="00D92EC2" w:rsidP="00AC61AC">
      <w:pPr>
        <w:snapToGrid w:val="0"/>
        <w:spacing w:after="0"/>
        <w:jc w:val="both"/>
        <w:rPr>
          <w:sz w:val="20"/>
          <w:szCs w:val="20"/>
        </w:rPr>
      </w:pPr>
      <w:r w:rsidRPr="00A72154">
        <w:rPr>
          <w:sz w:val="20"/>
          <w:szCs w:val="20"/>
        </w:rPr>
        <w:t>†data was described in number (percent); compared using chi square test</w:t>
      </w:r>
      <w:r w:rsidR="003A419F" w:rsidRPr="00A72154">
        <w:rPr>
          <w:sz w:val="20"/>
          <w:szCs w:val="20"/>
        </w:rPr>
        <w:t>,</w:t>
      </w:r>
      <w:r w:rsidR="00514171" w:rsidRPr="00A72154">
        <w:rPr>
          <w:sz w:val="20"/>
          <w:szCs w:val="20"/>
        </w:rPr>
        <w:t xml:space="preserve"> </w:t>
      </w:r>
      <w:r w:rsidRPr="00A72154">
        <w:rPr>
          <w:sz w:val="20"/>
          <w:szCs w:val="20"/>
        </w:rPr>
        <w:t>BMI: body mass index</w:t>
      </w:r>
    </w:p>
    <w:p w:rsidR="00D92EC2" w:rsidRDefault="00D92EC2" w:rsidP="00AC61AC">
      <w:pPr>
        <w:snapToGrid w:val="0"/>
        <w:spacing w:after="0"/>
        <w:ind w:firstLine="425"/>
        <w:jc w:val="both"/>
        <w:rPr>
          <w:rFonts w:eastAsiaTheme="minorEastAsia" w:hint="eastAsia"/>
          <w:sz w:val="20"/>
          <w:szCs w:val="20"/>
          <w:lang w:eastAsia="zh-CN"/>
        </w:rPr>
      </w:pPr>
    </w:p>
    <w:p w:rsidR="00A72154" w:rsidRDefault="00A72154" w:rsidP="00AC61AC">
      <w:pPr>
        <w:snapToGrid w:val="0"/>
        <w:spacing w:after="0"/>
        <w:ind w:firstLine="425"/>
        <w:jc w:val="both"/>
        <w:rPr>
          <w:rFonts w:eastAsiaTheme="minorEastAsia" w:hint="eastAsia"/>
          <w:sz w:val="20"/>
          <w:szCs w:val="20"/>
          <w:lang w:eastAsia="zh-CN"/>
        </w:rPr>
      </w:pPr>
    </w:p>
    <w:p w:rsidR="00A72154" w:rsidRPr="00A72154" w:rsidRDefault="00A72154" w:rsidP="00AC61AC">
      <w:pPr>
        <w:snapToGrid w:val="0"/>
        <w:spacing w:after="0"/>
        <w:ind w:firstLine="425"/>
        <w:jc w:val="both"/>
        <w:rPr>
          <w:rFonts w:eastAsiaTheme="minorEastAsia" w:hint="eastAsia"/>
          <w:sz w:val="20"/>
          <w:szCs w:val="20"/>
          <w:lang w:eastAsia="zh-CN"/>
        </w:rPr>
      </w:pPr>
    </w:p>
    <w:p w:rsidR="00AC61AC" w:rsidRPr="00A72154" w:rsidRDefault="00AC61AC" w:rsidP="00AC61AC">
      <w:pPr>
        <w:snapToGrid w:val="0"/>
        <w:spacing w:after="0"/>
        <w:ind w:firstLine="425"/>
        <w:jc w:val="both"/>
        <w:rPr>
          <w:sz w:val="20"/>
          <w:szCs w:val="20"/>
        </w:rPr>
        <w:sectPr w:rsidR="00AC61AC" w:rsidRPr="00A72154" w:rsidSect="00514171">
          <w:type w:val="continuous"/>
          <w:pgSz w:w="12240" w:h="15840"/>
          <w:pgMar w:top="1440" w:right="1440" w:bottom="1440" w:left="1440" w:header="720" w:footer="720" w:gutter="0"/>
          <w:cols w:space="720"/>
          <w:docGrid w:linePitch="326"/>
        </w:sectPr>
      </w:pPr>
    </w:p>
    <w:p w:rsidR="00303D36" w:rsidRPr="00A72154" w:rsidRDefault="007C381C" w:rsidP="00AC61AC">
      <w:pPr>
        <w:snapToGrid w:val="0"/>
        <w:spacing w:after="0"/>
        <w:ind w:firstLine="425"/>
        <w:jc w:val="both"/>
        <w:rPr>
          <w:sz w:val="20"/>
          <w:szCs w:val="20"/>
        </w:rPr>
      </w:pPr>
      <w:r w:rsidRPr="00A72154">
        <w:rPr>
          <w:sz w:val="20"/>
          <w:szCs w:val="20"/>
        </w:rPr>
        <w:lastRenderedPageBreak/>
        <w:t xml:space="preserve">All microorganisms isolated are listed in Table 3. </w:t>
      </w:r>
    </w:p>
    <w:p w:rsidR="00303D36" w:rsidRPr="00A72154" w:rsidRDefault="007C381C" w:rsidP="00AC61AC">
      <w:pPr>
        <w:snapToGrid w:val="0"/>
        <w:spacing w:after="0"/>
        <w:ind w:firstLine="425"/>
        <w:jc w:val="both"/>
        <w:rPr>
          <w:sz w:val="20"/>
          <w:szCs w:val="20"/>
        </w:rPr>
      </w:pPr>
      <w:r w:rsidRPr="00A72154">
        <w:rPr>
          <w:sz w:val="20"/>
          <w:szCs w:val="20"/>
        </w:rPr>
        <w:t xml:space="preserve">When compared to women of the control group, women of the study group had less frequently normal flora and more frequently an intermediate vaginal </w:t>
      </w:r>
      <w:r w:rsidRPr="00A72154">
        <w:rPr>
          <w:sz w:val="20"/>
          <w:szCs w:val="20"/>
        </w:rPr>
        <w:lastRenderedPageBreak/>
        <w:t>flora with a significant statistical difference (</w:t>
      </w:r>
      <w:r w:rsidRPr="00A72154">
        <w:rPr>
          <w:i/>
          <w:iCs/>
          <w:sz w:val="20"/>
          <w:szCs w:val="20"/>
        </w:rPr>
        <w:t>p</w:t>
      </w:r>
      <w:r w:rsidRPr="00A72154">
        <w:rPr>
          <w:sz w:val="20"/>
          <w:szCs w:val="20"/>
        </w:rPr>
        <w:t>&lt;0.001). However, bacterial vaginosis showed no significant difference between both groups (</w:t>
      </w:r>
      <w:r w:rsidRPr="00A72154">
        <w:rPr>
          <w:i/>
          <w:iCs/>
          <w:sz w:val="20"/>
          <w:szCs w:val="20"/>
        </w:rPr>
        <w:t>p</w:t>
      </w:r>
      <w:r w:rsidRPr="00A72154">
        <w:rPr>
          <w:sz w:val="20"/>
          <w:szCs w:val="20"/>
        </w:rPr>
        <w:t xml:space="preserve"> = 0.661) (Table 3)</w:t>
      </w:r>
      <w:r w:rsidR="00D92EC2" w:rsidRPr="00A72154">
        <w:rPr>
          <w:sz w:val="20"/>
          <w:szCs w:val="20"/>
        </w:rPr>
        <w:t>.</w:t>
      </w:r>
    </w:p>
    <w:p w:rsidR="00AC61AC" w:rsidRPr="00A72154" w:rsidRDefault="00AC61AC" w:rsidP="00AC61AC">
      <w:pPr>
        <w:snapToGrid w:val="0"/>
        <w:spacing w:after="0"/>
        <w:jc w:val="center"/>
        <w:rPr>
          <w:b/>
          <w:bCs/>
          <w:sz w:val="20"/>
          <w:szCs w:val="20"/>
        </w:rPr>
        <w:sectPr w:rsidR="00AC61AC" w:rsidRPr="00A72154" w:rsidSect="00AC61AC">
          <w:type w:val="continuous"/>
          <w:pgSz w:w="12240" w:h="15840"/>
          <w:pgMar w:top="1440" w:right="1440" w:bottom="1440" w:left="1440" w:header="720" w:footer="720" w:gutter="0"/>
          <w:cols w:num="2" w:space="600"/>
          <w:docGrid w:linePitch="326"/>
        </w:sectPr>
      </w:pPr>
      <w:bookmarkStart w:id="3" w:name="_Hlk42724172"/>
    </w:p>
    <w:p w:rsidR="00D92EC2" w:rsidRPr="00A72154" w:rsidRDefault="00D92EC2" w:rsidP="00AC61AC">
      <w:pPr>
        <w:snapToGrid w:val="0"/>
        <w:spacing w:after="0"/>
        <w:jc w:val="center"/>
        <w:rPr>
          <w:b/>
          <w:bCs/>
          <w:sz w:val="20"/>
          <w:szCs w:val="20"/>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A72154" w:rsidRDefault="00A72154" w:rsidP="00AC61AC">
      <w:pPr>
        <w:snapToGrid w:val="0"/>
        <w:spacing w:after="0"/>
        <w:jc w:val="center"/>
        <w:rPr>
          <w:rFonts w:eastAsiaTheme="minorEastAsia" w:hint="eastAsia"/>
          <w:b/>
          <w:bCs/>
          <w:sz w:val="20"/>
          <w:szCs w:val="20"/>
          <w:lang w:eastAsia="zh-CN"/>
        </w:rPr>
      </w:pPr>
    </w:p>
    <w:p w:rsidR="00D92EC2" w:rsidRPr="00A72154" w:rsidRDefault="00D92EC2" w:rsidP="00AC61AC">
      <w:pPr>
        <w:snapToGrid w:val="0"/>
        <w:spacing w:after="0"/>
        <w:jc w:val="center"/>
        <w:rPr>
          <w:b/>
          <w:bCs/>
          <w:sz w:val="20"/>
          <w:szCs w:val="20"/>
        </w:rPr>
      </w:pPr>
      <w:r w:rsidRPr="00A72154">
        <w:rPr>
          <w:b/>
          <w:bCs/>
          <w:sz w:val="20"/>
          <w:szCs w:val="20"/>
        </w:rPr>
        <w:t>Table (3) distribution of different infections in studied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26"/>
        <w:gridCol w:w="2522"/>
        <w:gridCol w:w="2746"/>
        <w:gridCol w:w="980"/>
      </w:tblGrid>
      <w:tr w:rsidR="00D92EC2" w:rsidRPr="00A72154" w:rsidTr="00514171">
        <w:trPr>
          <w:jc w:val="center"/>
        </w:trPr>
        <w:tc>
          <w:tcPr>
            <w:tcW w:w="1703" w:type="pct"/>
            <w:shd w:val="clear" w:color="auto" w:fill="auto"/>
            <w:vAlign w:val="center"/>
          </w:tcPr>
          <w:p w:rsidR="00D92EC2" w:rsidRPr="00A72154" w:rsidRDefault="00D92EC2" w:rsidP="00AC61AC">
            <w:pPr>
              <w:snapToGrid w:val="0"/>
              <w:spacing w:after="0"/>
              <w:jc w:val="both"/>
              <w:rPr>
                <w:sz w:val="20"/>
                <w:szCs w:val="20"/>
              </w:rPr>
            </w:pPr>
          </w:p>
        </w:tc>
        <w:tc>
          <w:tcPr>
            <w:tcW w:w="1331" w:type="pct"/>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Study group (n=300)</w:t>
            </w:r>
          </w:p>
        </w:tc>
        <w:tc>
          <w:tcPr>
            <w:tcW w:w="1449" w:type="pct"/>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Control group (n=300)</w:t>
            </w:r>
          </w:p>
        </w:tc>
        <w:tc>
          <w:tcPr>
            <w:tcW w:w="517" w:type="pct"/>
            <w:shd w:val="clear" w:color="auto" w:fill="auto"/>
            <w:vAlign w:val="center"/>
          </w:tcPr>
          <w:p w:rsidR="00D92EC2" w:rsidRPr="00A72154" w:rsidRDefault="00D92EC2" w:rsidP="00AC61AC">
            <w:pPr>
              <w:snapToGrid w:val="0"/>
              <w:spacing w:after="0"/>
              <w:jc w:val="both"/>
              <w:rPr>
                <w:sz w:val="20"/>
                <w:szCs w:val="20"/>
              </w:rPr>
            </w:pPr>
            <w:r w:rsidRPr="00A72154">
              <w:rPr>
                <w:rFonts w:eastAsia="Calibri"/>
                <w:b/>
                <w:bCs/>
                <w:sz w:val="20"/>
                <w:szCs w:val="20"/>
              </w:rPr>
              <w:t>p value</w:t>
            </w:r>
          </w:p>
        </w:tc>
      </w:tr>
      <w:tr w:rsidR="00D92EC2" w:rsidRPr="00A72154" w:rsidTr="00514171">
        <w:trPr>
          <w:jc w:val="center"/>
        </w:trPr>
        <w:tc>
          <w:tcPr>
            <w:tcW w:w="1703" w:type="pc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 ve Cervicovaginal swabs</w:t>
            </w:r>
          </w:p>
        </w:tc>
        <w:tc>
          <w:tcPr>
            <w:tcW w:w="1331" w:type="pc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128 (42.7%)</w:t>
            </w:r>
          </w:p>
        </w:tc>
        <w:tc>
          <w:tcPr>
            <w:tcW w:w="1449" w:type="pc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117 (39%)</w:t>
            </w:r>
          </w:p>
        </w:tc>
        <w:tc>
          <w:tcPr>
            <w:tcW w:w="517" w:type="pct"/>
            <w:shd w:val="clear" w:color="auto" w:fill="auto"/>
            <w:vAlign w:val="center"/>
          </w:tcPr>
          <w:p w:rsidR="00D92EC2" w:rsidRPr="00A72154" w:rsidRDefault="00D92EC2" w:rsidP="00AC61AC">
            <w:pPr>
              <w:snapToGrid w:val="0"/>
              <w:spacing w:after="0"/>
              <w:jc w:val="both"/>
              <w:rPr>
                <w:sz w:val="20"/>
                <w:szCs w:val="20"/>
              </w:rPr>
            </w:pPr>
            <w:r w:rsidRPr="00A72154">
              <w:rPr>
                <w:sz w:val="20"/>
                <w:szCs w:val="20"/>
              </w:rPr>
              <w:t>0.361</w:t>
            </w:r>
          </w:p>
        </w:tc>
      </w:tr>
    </w:tbl>
    <w:p w:rsidR="00D92EC2" w:rsidRPr="00A72154" w:rsidRDefault="00D92EC2" w:rsidP="00AC61AC">
      <w:pPr>
        <w:snapToGrid w:val="0"/>
        <w:spacing w:after="0"/>
        <w:jc w:val="both"/>
        <w:rPr>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tblBorders>
        <w:tblCellMar>
          <w:left w:w="57" w:type="dxa"/>
          <w:right w:w="57" w:type="dxa"/>
        </w:tblCellMar>
        <w:tblLook w:val="0000"/>
      </w:tblPr>
      <w:tblGrid>
        <w:gridCol w:w="3649"/>
        <w:gridCol w:w="1950"/>
        <w:gridCol w:w="2156"/>
        <w:gridCol w:w="1018"/>
        <w:gridCol w:w="701"/>
      </w:tblGrid>
      <w:tr w:rsidR="00D92EC2" w:rsidRPr="00A72154" w:rsidTr="00514171">
        <w:trPr>
          <w:jc w:val="center"/>
        </w:trPr>
        <w:tc>
          <w:tcPr>
            <w:tcW w:w="1926" w:type="pct"/>
            <w:tcBorders>
              <w:top w:val="single" w:sz="4" w:space="0" w:color="000000"/>
              <w:left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1029"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Study gp (n=300)</w:t>
            </w:r>
          </w:p>
        </w:tc>
        <w:tc>
          <w:tcPr>
            <w:tcW w:w="1138" w:type="pct"/>
            <w:tcBorders>
              <w:top w:val="single" w:sz="4" w:space="0" w:color="000000"/>
              <w:left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Control gp (n=300)</w:t>
            </w:r>
          </w:p>
        </w:tc>
        <w:tc>
          <w:tcPr>
            <w:tcW w:w="537"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p value</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Total</w:t>
            </w:r>
          </w:p>
        </w:tc>
      </w:tr>
      <w:tr w:rsidR="00D92EC2" w:rsidRPr="00A72154" w:rsidTr="00514171">
        <w:trPr>
          <w:jc w:val="center"/>
        </w:trPr>
        <w:tc>
          <w:tcPr>
            <w:tcW w:w="4630" w:type="pct"/>
            <w:gridSpan w:val="4"/>
            <w:tcBorders>
              <w:left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Flora</w:t>
            </w:r>
          </w:p>
        </w:tc>
        <w:tc>
          <w:tcPr>
            <w:tcW w:w="370" w:type="pct"/>
            <w:tcBorders>
              <w:left w:val="single" w:sz="4" w:space="0" w:color="auto"/>
            </w:tcBorders>
            <w:shd w:val="clear" w:color="auto" w:fill="auto"/>
            <w:vAlign w:val="center"/>
          </w:tcPr>
          <w:p w:rsidR="00D92EC2" w:rsidRPr="00A72154" w:rsidRDefault="00D92EC2" w:rsidP="00AC61AC">
            <w:pPr>
              <w:snapToGrid w:val="0"/>
              <w:spacing w:after="0"/>
              <w:jc w:val="both"/>
              <w:rPr>
                <w:rFonts w:eastAsia="Calibri"/>
                <w:b/>
                <w:bCs/>
                <w:sz w:val="20"/>
                <w:szCs w:val="20"/>
              </w:rPr>
            </w:pPr>
          </w:p>
        </w:tc>
      </w:tr>
      <w:tr w:rsidR="00D92EC2" w:rsidRPr="00A72154" w:rsidTr="00514171">
        <w:trPr>
          <w:jc w:val="center"/>
        </w:trPr>
        <w:tc>
          <w:tcPr>
            <w:tcW w:w="19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Normal flora (score &lt; 4)</w:t>
            </w:r>
          </w:p>
        </w:tc>
        <w:tc>
          <w:tcPr>
            <w:tcW w:w="1029" w:type="pct"/>
            <w:tcBorders>
              <w:top w:val="single" w:sz="4" w:space="0" w:color="000000"/>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137 (45.7%)</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205 (68.3%)</w:t>
            </w:r>
          </w:p>
        </w:tc>
        <w:tc>
          <w:tcPr>
            <w:tcW w:w="537"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&lt; 0.001*</w:t>
            </w:r>
          </w:p>
        </w:tc>
        <w:tc>
          <w:tcPr>
            <w:tcW w:w="370" w:type="pct"/>
            <w:tcBorders>
              <w:top w:val="single" w:sz="4" w:space="0" w:color="000000"/>
              <w:left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342</w:t>
            </w:r>
          </w:p>
        </w:tc>
      </w:tr>
      <w:tr w:rsidR="00D92EC2" w:rsidRPr="00A72154" w:rsidTr="00514171">
        <w:trPr>
          <w:jc w:val="center"/>
        </w:trPr>
        <w:tc>
          <w:tcPr>
            <w:tcW w:w="1926"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Intermediate flora (score ≥ 4)</w:t>
            </w:r>
          </w:p>
        </w:tc>
        <w:tc>
          <w:tcPr>
            <w:tcW w:w="1029" w:type="pct"/>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115 (38.3%)</w:t>
            </w:r>
          </w:p>
        </w:tc>
        <w:tc>
          <w:tcPr>
            <w:tcW w:w="1138"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43 (14.3%)</w:t>
            </w:r>
          </w:p>
        </w:tc>
        <w:tc>
          <w:tcPr>
            <w:tcW w:w="537" w:type="pct"/>
            <w:tcBorders>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&lt; 0.001*</w:t>
            </w:r>
          </w:p>
        </w:tc>
        <w:tc>
          <w:tcPr>
            <w:tcW w:w="370" w:type="pct"/>
            <w:tcBorders>
              <w:left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158</w:t>
            </w:r>
          </w:p>
        </w:tc>
      </w:tr>
      <w:tr w:rsidR="00D92EC2" w:rsidRPr="00A72154" w:rsidTr="00514171">
        <w:trPr>
          <w:jc w:val="center"/>
        </w:trPr>
        <w:tc>
          <w:tcPr>
            <w:tcW w:w="19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Bacterial vaginosis (score ≥ 7)</w:t>
            </w:r>
          </w:p>
        </w:tc>
        <w:tc>
          <w:tcPr>
            <w:tcW w:w="1029" w:type="pct"/>
            <w:tcBorders>
              <w:top w:val="single" w:sz="4" w:space="0" w:color="000000"/>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48 (16%)</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52 (17.3%)</w:t>
            </w:r>
          </w:p>
        </w:tc>
        <w:tc>
          <w:tcPr>
            <w:tcW w:w="537"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0.661</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100</w:t>
            </w:r>
          </w:p>
        </w:tc>
      </w:tr>
      <w:tr w:rsidR="00D92EC2" w:rsidRPr="00A72154" w:rsidTr="00514171">
        <w:trPr>
          <w:jc w:val="center"/>
        </w:trPr>
        <w:tc>
          <w:tcPr>
            <w:tcW w:w="4630" w:type="pct"/>
            <w:gridSpan w:val="4"/>
            <w:tcBorders>
              <w:left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Cervico vaginal Culture</w:t>
            </w:r>
          </w:p>
        </w:tc>
        <w:tc>
          <w:tcPr>
            <w:tcW w:w="370" w:type="pct"/>
            <w:tcBorders>
              <w:left w:val="single" w:sz="4" w:space="0" w:color="auto"/>
            </w:tcBorders>
            <w:shd w:val="clear" w:color="auto" w:fill="auto"/>
            <w:vAlign w:val="center"/>
          </w:tcPr>
          <w:p w:rsidR="00D92EC2" w:rsidRPr="00A72154" w:rsidRDefault="00D92EC2" w:rsidP="00AC61AC">
            <w:pPr>
              <w:snapToGrid w:val="0"/>
              <w:spacing w:after="0"/>
              <w:jc w:val="both"/>
              <w:rPr>
                <w:rFonts w:eastAsia="Calibri"/>
                <w:b/>
                <w:bCs/>
                <w:sz w:val="20"/>
                <w:szCs w:val="20"/>
              </w:rPr>
            </w:pPr>
          </w:p>
        </w:tc>
      </w:tr>
      <w:tr w:rsidR="00D92EC2" w:rsidRPr="00A72154" w:rsidTr="00514171">
        <w:trPr>
          <w:jc w:val="center"/>
        </w:trPr>
        <w:tc>
          <w:tcPr>
            <w:tcW w:w="19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Streptococcus agalactiae (group B)</w:t>
            </w:r>
          </w:p>
        </w:tc>
        <w:tc>
          <w:tcPr>
            <w:tcW w:w="1029" w:type="pct"/>
            <w:tcBorders>
              <w:top w:val="single" w:sz="4" w:space="0" w:color="000000"/>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5 (1.7%)</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4 (1.3%)</w:t>
            </w:r>
          </w:p>
        </w:tc>
        <w:tc>
          <w:tcPr>
            <w:tcW w:w="537"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0.737</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9</w:t>
            </w:r>
          </w:p>
        </w:tc>
      </w:tr>
      <w:tr w:rsidR="00D92EC2" w:rsidRPr="00A72154" w:rsidTr="00514171">
        <w:trPr>
          <w:jc w:val="center"/>
        </w:trPr>
        <w:tc>
          <w:tcPr>
            <w:tcW w:w="1926"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Streptococcus pyogenes (group A)</w:t>
            </w:r>
          </w:p>
        </w:tc>
        <w:tc>
          <w:tcPr>
            <w:tcW w:w="1029" w:type="pct"/>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1138"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2 (0.7%)</w:t>
            </w:r>
          </w:p>
        </w:tc>
        <w:tc>
          <w:tcPr>
            <w:tcW w:w="537" w:type="pct"/>
            <w:tcBorders>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0.653</w:t>
            </w:r>
          </w:p>
        </w:tc>
        <w:tc>
          <w:tcPr>
            <w:tcW w:w="370" w:type="pct"/>
            <w:tcBorders>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5</w:t>
            </w:r>
          </w:p>
        </w:tc>
      </w:tr>
      <w:tr w:rsidR="00D92EC2" w:rsidRPr="00A72154" w:rsidTr="00514171">
        <w:trPr>
          <w:jc w:val="center"/>
        </w:trPr>
        <w:tc>
          <w:tcPr>
            <w:tcW w:w="19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Enterococcus faecalis</w:t>
            </w:r>
          </w:p>
        </w:tc>
        <w:tc>
          <w:tcPr>
            <w:tcW w:w="1029" w:type="pct"/>
            <w:tcBorders>
              <w:top w:val="single" w:sz="4" w:space="0" w:color="000000"/>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537"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1</w:t>
            </w:r>
            <w:r w:rsidRPr="00A72154">
              <w:rPr>
                <w:rFonts w:eastAsia="Calibri"/>
                <w:sz w:val="20"/>
                <w:szCs w:val="20"/>
              </w:rPr>
              <w:t>.000</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6</w:t>
            </w:r>
          </w:p>
        </w:tc>
      </w:tr>
      <w:tr w:rsidR="00D92EC2" w:rsidRPr="00A72154" w:rsidTr="00514171">
        <w:trPr>
          <w:jc w:val="center"/>
        </w:trPr>
        <w:tc>
          <w:tcPr>
            <w:tcW w:w="1926"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Escherichia coli</w:t>
            </w:r>
          </w:p>
        </w:tc>
        <w:tc>
          <w:tcPr>
            <w:tcW w:w="1029" w:type="pct"/>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6 (2%)</w:t>
            </w:r>
          </w:p>
        </w:tc>
        <w:tc>
          <w:tcPr>
            <w:tcW w:w="1138"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5 (1.7%)</w:t>
            </w:r>
          </w:p>
        </w:tc>
        <w:tc>
          <w:tcPr>
            <w:tcW w:w="537" w:type="pct"/>
            <w:tcBorders>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0.761</w:t>
            </w:r>
          </w:p>
        </w:tc>
        <w:tc>
          <w:tcPr>
            <w:tcW w:w="370" w:type="pct"/>
            <w:tcBorders>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11</w:t>
            </w:r>
          </w:p>
        </w:tc>
      </w:tr>
      <w:tr w:rsidR="00D92EC2" w:rsidRPr="00A72154" w:rsidTr="00514171">
        <w:trPr>
          <w:jc w:val="center"/>
        </w:trPr>
        <w:tc>
          <w:tcPr>
            <w:tcW w:w="19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Klebsiella pneumoniae</w:t>
            </w:r>
          </w:p>
        </w:tc>
        <w:tc>
          <w:tcPr>
            <w:tcW w:w="1029" w:type="pct"/>
            <w:tcBorders>
              <w:top w:val="single" w:sz="4" w:space="0" w:color="000000"/>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537"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1</w:t>
            </w:r>
            <w:r w:rsidRPr="00A72154">
              <w:rPr>
                <w:rFonts w:eastAsia="Calibri"/>
                <w:sz w:val="20"/>
                <w:szCs w:val="20"/>
              </w:rPr>
              <w:t>.000</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6</w:t>
            </w:r>
          </w:p>
        </w:tc>
      </w:tr>
      <w:tr w:rsidR="00D92EC2" w:rsidRPr="00A72154" w:rsidTr="00514171">
        <w:trPr>
          <w:jc w:val="center"/>
        </w:trPr>
        <w:tc>
          <w:tcPr>
            <w:tcW w:w="1926"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Proteus mirabilis</w:t>
            </w:r>
          </w:p>
        </w:tc>
        <w:tc>
          <w:tcPr>
            <w:tcW w:w="1029" w:type="pct"/>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4 (1.3%)</w:t>
            </w:r>
          </w:p>
        </w:tc>
        <w:tc>
          <w:tcPr>
            <w:tcW w:w="1138"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3 (1%)</w:t>
            </w:r>
          </w:p>
        </w:tc>
        <w:tc>
          <w:tcPr>
            <w:tcW w:w="537" w:type="pct"/>
            <w:tcBorders>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0.704</w:t>
            </w:r>
          </w:p>
        </w:tc>
        <w:tc>
          <w:tcPr>
            <w:tcW w:w="370" w:type="pct"/>
            <w:tcBorders>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7</w:t>
            </w:r>
          </w:p>
        </w:tc>
      </w:tr>
      <w:tr w:rsidR="00D92EC2" w:rsidRPr="00A72154" w:rsidTr="00514171">
        <w:trPr>
          <w:jc w:val="center"/>
        </w:trPr>
        <w:tc>
          <w:tcPr>
            <w:tcW w:w="19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Providencia stuartii</w:t>
            </w:r>
          </w:p>
        </w:tc>
        <w:tc>
          <w:tcPr>
            <w:tcW w:w="1029" w:type="pct"/>
            <w:tcBorders>
              <w:top w:val="single" w:sz="4" w:space="0" w:color="000000"/>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5 (1.7%)</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6 (2%)</w:t>
            </w:r>
          </w:p>
        </w:tc>
        <w:tc>
          <w:tcPr>
            <w:tcW w:w="537"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0.761</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11</w:t>
            </w:r>
          </w:p>
        </w:tc>
      </w:tr>
      <w:tr w:rsidR="00D92EC2" w:rsidRPr="00A72154" w:rsidTr="00514171">
        <w:trPr>
          <w:jc w:val="center"/>
        </w:trPr>
        <w:tc>
          <w:tcPr>
            <w:tcW w:w="1926"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Pseudomonas aeruginosa</w:t>
            </w:r>
          </w:p>
        </w:tc>
        <w:tc>
          <w:tcPr>
            <w:tcW w:w="1029" w:type="pct"/>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4 (1.3%)</w:t>
            </w:r>
          </w:p>
        </w:tc>
        <w:tc>
          <w:tcPr>
            <w:tcW w:w="1138"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537" w:type="pct"/>
            <w:tcBorders>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0.704</w:t>
            </w:r>
          </w:p>
        </w:tc>
        <w:tc>
          <w:tcPr>
            <w:tcW w:w="370" w:type="pct"/>
            <w:tcBorders>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7</w:t>
            </w:r>
          </w:p>
        </w:tc>
      </w:tr>
      <w:tr w:rsidR="00D92EC2" w:rsidRPr="00A72154" w:rsidTr="00514171">
        <w:trPr>
          <w:jc w:val="center"/>
        </w:trPr>
        <w:tc>
          <w:tcPr>
            <w:tcW w:w="19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Acinetobacter baumannii</w:t>
            </w:r>
          </w:p>
        </w:tc>
        <w:tc>
          <w:tcPr>
            <w:tcW w:w="1029" w:type="pct"/>
            <w:tcBorders>
              <w:top w:val="single" w:sz="4" w:space="0" w:color="000000"/>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4 (1.3%)</w:t>
            </w:r>
          </w:p>
        </w:tc>
        <w:tc>
          <w:tcPr>
            <w:tcW w:w="537" w:type="pct"/>
            <w:tcBorders>
              <w:top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0.704</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7</w:t>
            </w:r>
          </w:p>
        </w:tc>
      </w:tr>
      <w:tr w:rsidR="00D92EC2" w:rsidRPr="00A72154" w:rsidTr="00514171">
        <w:trPr>
          <w:jc w:val="center"/>
        </w:trPr>
        <w:tc>
          <w:tcPr>
            <w:tcW w:w="1926"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Staphylococcus aureus</w:t>
            </w:r>
          </w:p>
        </w:tc>
        <w:tc>
          <w:tcPr>
            <w:tcW w:w="1029" w:type="pct"/>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1138" w:type="pct"/>
            <w:tcBorders>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2 (0.7%)</w:t>
            </w:r>
          </w:p>
        </w:tc>
        <w:tc>
          <w:tcPr>
            <w:tcW w:w="537" w:type="pct"/>
            <w:tcBorders>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0.653</w:t>
            </w:r>
          </w:p>
        </w:tc>
        <w:tc>
          <w:tcPr>
            <w:tcW w:w="370" w:type="pct"/>
            <w:tcBorders>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5</w:t>
            </w:r>
          </w:p>
        </w:tc>
      </w:tr>
      <w:tr w:rsidR="00D92EC2" w:rsidRPr="00A72154" w:rsidTr="00514171">
        <w:trPr>
          <w:jc w:val="center"/>
        </w:trPr>
        <w:tc>
          <w:tcPr>
            <w:tcW w:w="1926" w:type="pct"/>
            <w:tcBorders>
              <w:top w:val="single" w:sz="4" w:space="0" w:color="000000"/>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Candida spp.</w:t>
            </w:r>
          </w:p>
        </w:tc>
        <w:tc>
          <w:tcPr>
            <w:tcW w:w="1029" w:type="pct"/>
            <w:tcBorders>
              <w:top w:val="single" w:sz="4" w:space="0" w:color="000000"/>
              <w:bottom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58 (19.3%)</w:t>
            </w:r>
          </w:p>
        </w:tc>
        <w:tc>
          <w:tcPr>
            <w:tcW w:w="1138" w:type="pct"/>
            <w:tcBorders>
              <w:top w:val="single" w:sz="4" w:space="0" w:color="000000"/>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55 (18.3%)</w:t>
            </w:r>
          </w:p>
        </w:tc>
        <w:tc>
          <w:tcPr>
            <w:tcW w:w="537" w:type="pct"/>
            <w:tcBorders>
              <w:top w:val="single" w:sz="4" w:space="0" w:color="000000"/>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0.754</w:t>
            </w:r>
          </w:p>
        </w:tc>
        <w:tc>
          <w:tcPr>
            <w:tcW w:w="370" w:type="pct"/>
            <w:tcBorders>
              <w:top w:val="single" w:sz="4" w:space="0" w:color="000000"/>
              <w:left w:val="single" w:sz="4" w:space="0" w:color="auto"/>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113</w:t>
            </w:r>
          </w:p>
        </w:tc>
      </w:tr>
      <w:tr w:rsidR="00D92EC2" w:rsidRPr="00A72154" w:rsidTr="00514171">
        <w:trPr>
          <w:jc w:val="center"/>
        </w:trPr>
        <w:tc>
          <w:tcPr>
            <w:tcW w:w="1926"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Trichomonas vaginalis</w:t>
            </w:r>
          </w:p>
        </w:tc>
        <w:tc>
          <w:tcPr>
            <w:tcW w:w="1029" w:type="pct"/>
            <w:tcBorders>
              <w:top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31 (10.3%)</w:t>
            </w:r>
          </w:p>
        </w:tc>
        <w:tc>
          <w:tcPr>
            <w:tcW w:w="1138"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27 (9%)</w:t>
            </w:r>
          </w:p>
        </w:tc>
        <w:tc>
          <w:tcPr>
            <w:tcW w:w="537" w:type="pct"/>
            <w:tcBorders>
              <w:top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0.581</w:t>
            </w:r>
          </w:p>
        </w:tc>
        <w:tc>
          <w:tcPr>
            <w:tcW w:w="370" w:type="pct"/>
            <w:tcBorders>
              <w:top w:val="single" w:sz="4" w:space="0" w:color="auto"/>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sz w:val="20"/>
                <w:szCs w:val="20"/>
              </w:rPr>
              <w:t>58</w:t>
            </w:r>
          </w:p>
        </w:tc>
      </w:tr>
      <w:tr w:rsidR="00D92EC2" w:rsidRPr="00A72154" w:rsidTr="00514171">
        <w:trPr>
          <w:jc w:val="center"/>
        </w:trPr>
        <w:tc>
          <w:tcPr>
            <w:tcW w:w="4630"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b/>
                <w:bCs/>
                <w:sz w:val="20"/>
                <w:szCs w:val="20"/>
              </w:rPr>
            </w:pPr>
            <w:r w:rsidRPr="00A72154">
              <w:rPr>
                <w:rFonts w:eastAsia="Calibri"/>
                <w:b/>
                <w:bCs/>
                <w:sz w:val="20"/>
                <w:szCs w:val="20"/>
              </w:rPr>
              <w:t>Placental culture (n=300)</w:t>
            </w:r>
          </w:p>
        </w:tc>
        <w:tc>
          <w:tcPr>
            <w:tcW w:w="370" w:type="pct"/>
            <w:tcBorders>
              <w:top w:val="single" w:sz="4" w:space="0" w:color="000000"/>
              <w:left w:val="single" w:sz="4" w:space="0" w:color="auto"/>
              <w:bottom w:val="single" w:sz="4" w:space="0" w:color="000000"/>
            </w:tcBorders>
            <w:shd w:val="clear" w:color="auto" w:fill="FFFFFF"/>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i/>
                <w:iCs/>
                <w:sz w:val="20"/>
                <w:szCs w:val="20"/>
              </w:rPr>
              <w:t xml:space="preserve">Streptococcus agalactiae </w:t>
            </w:r>
            <w:r w:rsidRPr="00A72154">
              <w:rPr>
                <w:rFonts w:eastAsia="Calibri"/>
                <w:sz w:val="20"/>
                <w:szCs w:val="20"/>
              </w:rPr>
              <w:t>(group B)</w:t>
            </w:r>
          </w:p>
        </w:tc>
        <w:tc>
          <w:tcPr>
            <w:tcW w:w="1029" w:type="pct"/>
            <w:tcBorders>
              <w:top w:val="single" w:sz="4" w:space="0" w:color="auto"/>
              <w:bottom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1138"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i/>
                <w:iCs/>
                <w:sz w:val="20"/>
                <w:szCs w:val="20"/>
              </w:rPr>
              <w:t xml:space="preserve">Streptococcus pyogenes </w:t>
            </w:r>
            <w:r w:rsidRPr="00A72154">
              <w:rPr>
                <w:rFonts w:eastAsia="Calibri"/>
                <w:sz w:val="20"/>
                <w:szCs w:val="20"/>
              </w:rPr>
              <w:t>(group A)</w:t>
            </w:r>
          </w:p>
        </w:tc>
        <w:tc>
          <w:tcPr>
            <w:tcW w:w="1029" w:type="pct"/>
            <w:tcBorders>
              <w:top w:val="single" w:sz="4" w:space="0" w:color="auto"/>
              <w:bottom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2 (0.7%)</w:t>
            </w:r>
          </w:p>
        </w:tc>
        <w:tc>
          <w:tcPr>
            <w:tcW w:w="1138"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i/>
                <w:iCs/>
                <w:sz w:val="20"/>
                <w:szCs w:val="20"/>
              </w:rPr>
              <w:t>Enterococcus faecalis</w:t>
            </w:r>
          </w:p>
        </w:tc>
        <w:tc>
          <w:tcPr>
            <w:tcW w:w="1029" w:type="pct"/>
            <w:tcBorders>
              <w:top w:val="single" w:sz="4" w:space="0" w:color="auto"/>
              <w:bottom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1 (0.3%)</w:t>
            </w:r>
          </w:p>
        </w:tc>
        <w:tc>
          <w:tcPr>
            <w:tcW w:w="1138"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i/>
                <w:iCs/>
                <w:sz w:val="20"/>
                <w:szCs w:val="20"/>
              </w:rPr>
              <w:t>Escherichia coli</w:t>
            </w:r>
          </w:p>
        </w:tc>
        <w:tc>
          <w:tcPr>
            <w:tcW w:w="1029" w:type="pct"/>
            <w:tcBorders>
              <w:top w:val="single" w:sz="4" w:space="0" w:color="auto"/>
              <w:bottom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1138"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i/>
                <w:iCs/>
                <w:sz w:val="20"/>
                <w:szCs w:val="20"/>
              </w:rPr>
              <w:t>Klebsiella pneumoniae</w:t>
            </w:r>
          </w:p>
        </w:tc>
        <w:tc>
          <w:tcPr>
            <w:tcW w:w="1029" w:type="pct"/>
            <w:tcBorders>
              <w:top w:val="single" w:sz="4" w:space="0" w:color="auto"/>
              <w:bottom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3 (1%)</w:t>
            </w:r>
          </w:p>
        </w:tc>
        <w:tc>
          <w:tcPr>
            <w:tcW w:w="1138"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i/>
                <w:iCs/>
                <w:sz w:val="20"/>
                <w:szCs w:val="20"/>
              </w:rPr>
              <w:t>Proteus mirabilis</w:t>
            </w:r>
          </w:p>
        </w:tc>
        <w:tc>
          <w:tcPr>
            <w:tcW w:w="1029" w:type="pct"/>
            <w:tcBorders>
              <w:top w:val="single" w:sz="4" w:space="0" w:color="auto"/>
              <w:bottom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color w:val="000000"/>
                <w:sz w:val="20"/>
                <w:szCs w:val="20"/>
              </w:rPr>
              <w:t>1 (0.3%)</w:t>
            </w:r>
          </w:p>
        </w:tc>
        <w:tc>
          <w:tcPr>
            <w:tcW w:w="1138" w:type="pct"/>
            <w:tcBorders>
              <w:top w:val="single" w:sz="4" w:space="0" w:color="auto"/>
              <w:left w:val="single" w:sz="4" w:space="0" w:color="000000"/>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bottom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bottom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i/>
                <w:iCs/>
                <w:sz w:val="20"/>
                <w:szCs w:val="20"/>
              </w:rPr>
              <w:t>Pseudomonas aeruginosa</w:t>
            </w:r>
          </w:p>
        </w:tc>
        <w:tc>
          <w:tcPr>
            <w:tcW w:w="1029" w:type="pct"/>
            <w:tcBorders>
              <w:top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2(0.7%)</w:t>
            </w:r>
          </w:p>
        </w:tc>
        <w:tc>
          <w:tcPr>
            <w:tcW w:w="1138"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Staphylococcus aureus</w:t>
            </w:r>
          </w:p>
        </w:tc>
        <w:tc>
          <w:tcPr>
            <w:tcW w:w="1029" w:type="pct"/>
            <w:tcBorders>
              <w:top w:val="single" w:sz="4" w:space="0" w:color="auto"/>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r w:rsidRPr="00A72154">
              <w:rPr>
                <w:rFonts w:eastAsia="Calibri"/>
                <w:color w:val="000000"/>
                <w:sz w:val="20"/>
                <w:szCs w:val="20"/>
              </w:rPr>
              <w:t>2 (0.7%)</w:t>
            </w:r>
          </w:p>
        </w:tc>
        <w:tc>
          <w:tcPr>
            <w:tcW w:w="1138" w:type="pct"/>
            <w:tcBorders>
              <w:top w:val="single" w:sz="4" w:space="0" w:color="auto"/>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i/>
                <w:iCs/>
                <w:sz w:val="20"/>
                <w:szCs w:val="20"/>
              </w:rPr>
              <w:t>Candida albicans</w:t>
            </w:r>
          </w:p>
        </w:tc>
        <w:tc>
          <w:tcPr>
            <w:tcW w:w="1029" w:type="pct"/>
            <w:tcBorders>
              <w:top w:val="single" w:sz="4" w:space="0" w:color="auto"/>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4 (1.3%)</w:t>
            </w:r>
          </w:p>
        </w:tc>
        <w:tc>
          <w:tcPr>
            <w:tcW w:w="1138"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sz w:val="20"/>
                <w:szCs w:val="20"/>
              </w:rPr>
            </w:pPr>
            <w:r w:rsidRPr="00A72154">
              <w:rPr>
                <w:rFonts w:eastAsia="Calibri"/>
                <w:b/>
                <w:bCs/>
                <w:sz w:val="20"/>
                <w:szCs w:val="20"/>
              </w:rPr>
              <w:t>qPCR</w:t>
            </w:r>
          </w:p>
        </w:tc>
        <w:tc>
          <w:tcPr>
            <w:tcW w:w="1029" w:type="pct"/>
            <w:tcBorders>
              <w:top w:val="single" w:sz="4" w:space="0" w:color="auto"/>
              <w:bottom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1138" w:type="pct"/>
            <w:tcBorders>
              <w:top w:val="single" w:sz="4" w:space="0" w:color="auto"/>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537" w:type="pct"/>
            <w:tcBorders>
              <w:top w:val="single" w:sz="4" w:space="0" w:color="auto"/>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rFonts w:eastAsia="Calibri"/>
                <w:sz w:val="20"/>
                <w:szCs w:val="20"/>
              </w:rPr>
            </w:pPr>
          </w:p>
        </w:tc>
        <w:tc>
          <w:tcPr>
            <w:tcW w:w="370" w:type="pct"/>
            <w:tcBorders>
              <w:top w:val="single" w:sz="4" w:space="0" w:color="auto"/>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sz w:val="20"/>
                <w:szCs w:val="20"/>
              </w:rPr>
            </w:pPr>
          </w:p>
        </w:tc>
      </w:tr>
      <w:tr w:rsidR="00D92EC2" w:rsidRPr="00A72154" w:rsidTr="00514171">
        <w:trPr>
          <w:jc w:val="center"/>
        </w:trPr>
        <w:tc>
          <w:tcPr>
            <w:tcW w:w="1926"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color w:val="000000"/>
                <w:sz w:val="20"/>
                <w:szCs w:val="20"/>
              </w:rPr>
            </w:pPr>
            <w:r w:rsidRPr="00A72154">
              <w:rPr>
                <w:rFonts w:eastAsia="Calibri"/>
                <w:i/>
                <w:iCs/>
                <w:color w:val="000000"/>
                <w:sz w:val="20"/>
                <w:szCs w:val="20"/>
              </w:rPr>
              <w:t>Pan-chlamtydiales</w:t>
            </w:r>
          </w:p>
          <w:p w:rsidR="00D92EC2" w:rsidRPr="00A72154" w:rsidRDefault="00D92EC2" w:rsidP="00AC61AC">
            <w:pPr>
              <w:snapToGrid w:val="0"/>
              <w:spacing w:after="0"/>
              <w:jc w:val="both"/>
              <w:rPr>
                <w:rFonts w:eastAsia="Calibri"/>
                <w:i/>
                <w:iCs/>
                <w:color w:val="000000"/>
                <w:sz w:val="20"/>
                <w:szCs w:val="20"/>
              </w:rPr>
            </w:pPr>
            <w:r w:rsidRPr="00A72154">
              <w:rPr>
                <w:rFonts w:eastAsia="Calibri"/>
                <w:i/>
                <w:iCs/>
                <w:color w:val="000000"/>
                <w:sz w:val="20"/>
                <w:szCs w:val="20"/>
              </w:rPr>
              <w:t>Cervicovaginal</w:t>
            </w:r>
          </w:p>
          <w:p w:rsidR="00D92EC2" w:rsidRPr="00A72154" w:rsidRDefault="00D92EC2" w:rsidP="00AC61AC">
            <w:pPr>
              <w:snapToGrid w:val="0"/>
              <w:spacing w:after="0"/>
              <w:jc w:val="both"/>
              <w:rPr>
                <w:rFonts w:eastAsia="Calibri"/>
                <w:i/>
                <w:iCs/>
                <w:color w:val="000000"/>
                <w:sz w:val="20"/>
                <w:szCs w:val="20"/>
              </w:rPr>
            </w:pPr>
            <w:r w:rsidRPr="00A72154">
              <w:rPr>
                <w:rFonts w:eastAsia="Calibri"/>
                <w:i/>
                <w:iCs/>
                <w:color w:val="000000"/>
                <w:sz w:val="20"/>
                <w:szCs w:val="20"/>
              </w:rPr>
              <w:t>placental</w:t>
            </w:r>
          </w:p>
        </w:tc>
        <w:tc>
          <w:tcPr>
            <w:tcW w:w="1029" w:type="pct"/>
            <w:tcBorders>
              <w:top w:val="single" w:sz="4" w:space="0" w:color="auto"/>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94 (31.3%)</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55</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39</w:t>
            </w:r>
          </w:p>
        </w:tc>
        <w:tc>
          <w:tcPr>
            <w:tcW w:w="1138"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37 (12.3%)]</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37</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w:t>
            </w:r>
          </w:p>
        </w:tc>
        <w:tc>
          <w:tcPr>
            <w:tcW w:w="537" w:type="pct"/>
            <w:tcBorders>
              <w:top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color w:val="000000"/>
                <w:sz w:val="20"/>
                <w:szCs w:val="20"/>
              </w:rPr>
            </w:pPr>
            <w:r w:rsidRPr="00A72154">
              <w:rPr>
                <w:color w:val="000000"/>
                <w:sz w:val="20"/>
                <w:szCs w:val="20"/>
              </w:rPr>
              <w:t>&lt;0.001*</w:t>
            </w:r>
          </w:p>
          <w:p w:rsidR="00D92EC2" w:rsidRPr="00A72154" w:rsidRDefault="00D92EC2" w:rsidP="00AC61AC">
            <w:pPr>
              <w:snapToGrid w:val="0"/>
              <w:spacing w:after="0"/>
              <w:jc w:val="both"/>
              <w:rPr>
                <w:color w:val="000000"/>
                <w:sz w:val="20"/>
                <w:szCs w:val="20"/>
              </w:rPr>
            </w:pPr>
            <w:r w:rsidRPr="00A72154">
              <w:rPr>
                <w:color w:val="000000"/>
                <w:sz w:val="20"/>
                <w:szCs w:val="20"/>
              </w:rPr>
              <w:t>0.041*</w:t>
            </w:r>
          </w:p>
          <w:p w:rsidR="00D92EC2" w:rsidRPr="00A72154" w:rsidRDefault="00D92EC2" w:rsidP="00AC61AC">
            <w:pPr>
              <w:snapToGrid w:val="0"/>
              <w:spacing w:after="0"/>
              <w:jc w:val="both"/>
              <w:rPr>
                <w:color w:val="000000"/>
                <w:sz w:val="20"/>
                <w:szCs w:val="20"/>
              </w:rPr>
            </w:pPr>
          </w:p>
        </w:tc>
        <w:tc>
          <w:tcPr>
            <w:tcW w:w="370" w:type="pct"/>
            <w:tcBorders>
              <w:top w:val="single" w:sz="4" w:space="0" w:color="auto"/>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131</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92</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39</w:t>
            </w:r>
          </w:p>
        </w:tc>
      </w:tr>
      <w:tr w:rsidR="00D92EC2" w:rsidRPr="00A72154" w:rsidTr="00514171">
        <w:trPr>
          <w:jc w:val="center"/>
        </w:trPr>
        <w:tc>
          <w:tcPr>
            <w:tcW w:w="1926" w:type="pct"/>
            <w:tcBorders>
              <w:top w:val="single" w:sz="4" w:space="0" w:color="auto"/>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color w:val="000000"/>
                <w:sz w:val="20"/>
                <w:szCs w:val="20"/>
              </w:rPr>
            </w:pPr>
            <w:r w:rsidRPr="00A72154">
              <w:rPr>
                <w:rFonts w:eastAsia="Calibri"/>
                <w:i/>
                <w:iCs/>
                <w:color w:val="000000"/>
                <w:sz w:val="20"/>
                <w:szCs w:val="20"/>
              </w:rPr>
              <w:t>Chlamydia trachomatis</w:t>
            </w:r>
          </w:p>
          <w:p w:rsidR="00D92EC2" w:rsidRPr="00A72154" w:rsidRDefault="00D92EC2" w:rsidP="00AC61AC">
            <w:pPr>
              <w:snapToGrid w:val="0"/>
              <w:spacing w:after="0"/>
              <w:jc w:val="both"/>
              <w:rPr>
                <w:rFonts w:eastAsia="Calibri"/>
                <w:b/>
                <w:bCs/>
                <w:i/>
                <w:iCs/>
                <w:color w:val="000000"/>
                <w:sz w:val="20"/>
                <w:szCs w:val="20"/>
              </w:rPr>
            </w:pPr>
            <w:r w:rsidRPr="00A72154">
              <w:rPr>
                <w:rFonts w:eastAsia="Calibri"/>
                <w:b/>
                <w:bCs/>
                <w:i/>
                <w:iCs/>
                <w:color w:val="000000"/>
                <w:sz w:val="20"/>
                <w:szCs w:val="20"/>
              </w:rPr>
              <w:t>Cervicovaginal</w:t>
            </w:r>
          </w:p>
          <w:p w:rsidR="00D92EC2" w:rsidRPr="00A72154" w:rsidRDefault="00D92EC2" w:rsidP="00AC61AC">
            <w:pPr>
              <w:snapToGrid w:val="0"/>
              <w:spacing w:after="0"/>
              <w:jc w:val="both"/>
              <w:rPr>
                <w:rFonts w:eastAsia="Calibri"/>
                <w:b/>
                <w:bCs/>
                <w:color w:val="000000"/>
                <w:sz w:val="20"/>
                <w:szCs w:val="20"/>
              </w:rPr>
            </w:pPr>
            <w:r w:rsidRPr="00A72154">
              <w:rPr>
                <w:rFonts w:eastAsia="Calibri"/>
                <w:b/>
                <w:bCs/>
                <w:i/>
                <w:iCs/>
                <w:color w:val="000000"/>
                <w:sz w:val="20"/>
                <w:szCs w:val="20"/>
              </w:rPr>
              <w:t>Placental</w:t>
            </w:r>
          </w:p>
        </w:tc>
        <w:tc>
          <w:tcPr>
            <w:tcW w:w="1029" w:type="pct"/>
            <w:tcBorders>
              <w:top w:val="single" w:sz="4" w:space="0" w:color="auto"/>
              <w:bottom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85 (28.3%)</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54</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31</w:t>
            </w:r>
          </w:p>
        </w:tc>
        <w:tc>
          <w:tcPr>
            <w:tcW w:w="1138" w:type="pct"/>
            <w:tcBorders>
              <w:top w:val="single" w:sz="4" w:space="0" w:color="auto"/>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36 (12%)</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36</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w:t>
            </w:r>
          </w:p>
        </w:tc>
        <w:tc>
          <w:tcPr>
            <w:tcW w:w="537" w:type="pct"/>
            <w:tcBorders>
              <w:top w:val="single" w:sz="4" w:space="0" w:color="auto"/>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color w:val="000000"/>
                <w:sz w:val="20"/>
                <w:szCs w:val="20"/>
              </w:rPr>
            </w:pPr>
            <w:r w:rsidRPr="00A72154">
              <w:rPr>
                <w:color w:val="000000"/>
                <w:sz w:val="20"/>
                <w:szCs w:val="20"/>
              </w:rPr>
              <w:t>&lt; 0.001*</w:t>
            </w:r>
          </w:p>
          <w:p w:rsidR="00D92EC2" w:rsidRPr="00A72154" w:rsidRDefault="00D92EC2" w:rsidP="00AC61AC">
            <w:pPr>
              <w:snapToGrid w:val="0"/>
              <w:spacing w:after="0"/>
              <w:jc w:val="both"/>
              <w:rPr>
                <w:color w:val="000000"/>
                <w:sz w:val="20"/>
                <w:szCs w:val="20"/>
              </w:rPr>
            </w:pPr>
            <w:r w:rsidRPr="00A72154">
              <w:rPr>
                <w:color w:val="000000"/>
                <w:sz w:val="20"/>
                <w:szCs w:val="20"/>
              </w:rPr>
              <w:t>0.04*</w:t>
            </w:r>
          </w:p>
          <w:p w:rsidR="00D92EC2" w:rsidRPr="00A72154" w:rsidRDefault="00D92EC2" w:rsidP="00AC61AC">
            <w:pPr>
              <w:snapToGrid w:val="0"/>
              <w:spacing w:after="0"/>
              <w:jc w:val="both"/>
              <w:rPr>
                <w:rFonts w:eastAsia="Calibri"/>
                <w:color w:val="000000"/>
                <w:sz w:val="20"/>
                <w:szCs w:val="20"/>
              </w:rPr>
            </w:pPr>
          </w:p>
        </w:tc>
        <w:tc>
          <w:tcPr>
            <w:tcW w:w="370" w:type="pct"/>
            <w:tcBorders>
              <w:top w:val="single" w:sz="4" w:space="0" w:color="auto"/>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121</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90</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31</w:t>
            </w:r>
          </w:p>
        </w:tc>
      </w:tr>
      <w:tr w:rsidR="00D92EC2" w:rsidRPr="00A72154" w:rsidTr="00514171">
        <w:trPr>
          <w:jc w:val="center"/>
        </w:trPr>
        <w:tc>
          <w:tcPr>
            <w:tcW w:w="1926"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color w:val="000000"/>
                <w:sz w:val="20"/>
                <w:szCs w:val="20"/>
              </w:rPr>
            </w:pPr>
            <w:r w:rsidRPr="00A72154">
              <w:rPr>
                <w:rFonts w:eastAsia="Calibri"/>
                <w:i/>
                <w:iCs/>
                <w:color w:val="000000"/>
                <w:sz w:val="20"/>
                <w:szCs w:val="20"/>
              </w:rPr>
              <w:t>Waddlia chondrophila</w:t>
            </w:r>
          </w:p>
          <w:p w:rsidR="00D92EC2" w:rsidRPr="00A72154" w:rsidRDefault="00D92EC2" w:rsidP="00AC61AC">
            <w:pPr>
              <w:snapToGrid w:val="0"/>
              <w:spacing w:after="0"/>
              <w:jc w:val="both"/>
              <w:rPr>
                <w:rFonts w:eastAsia="Calibri"/>
                <w:i/>
                <w:iCs/>
                <w:color w:val="000000"/>
                <w:sz w:val="20"/>
                <w:szCs w:val="20"/>
              </w:rPr>
            </w:pPr>
            <w:r w:rsidRPr="00A72154">
              <w:rPr>
                <w:rFonts w:eastAsia="Calibri"/>
                <w:i/>
                <w:iCs/>
                <w:color w:val="000000"/>
                <w:sz w:val="20"/>
                <w:szCs w:val="20"/>
              </w:rPr>
              <w:t>Cervicovagina</w:t>
            </w:r>
          </w:p>
          <w:p w:rsidR="00D92EC2" w:rsidRPr="00A72154" w:rsidRDefault="00D92EC2" w:rsidP="00AC61AC">
            <w:pPr>
              <w:snapToGrid w:val="0"/>
              <w:spacing w:after="0"/>
              <w:jc w:val="both"/>
              <w:rPr>
                <w:rFonts w:eastAsia="Calibri"/>
                <w:i/>
                <w:iCs/>
                <w:color w:val="000000"/>
                <w:sz w:val="20"/>
                <w:szCs w:val="20"/>
              </w:rPr>
            </w:pPr>
            <w:r w:rsidRPr="00A72154">
              <w:rPr>
                <w:rFonts w:eastAsia="Calibri"/>
                <w:i/>
                <w:iCs/>
                <w:color w:val="000000"/>
                <w:sz w:val="20"/>
                <w:szCs w:val="20"/>
              </w:rPr>
              <w:t>placentall</w:t>
            </w:r>
          </w:p>
        </w:tc>
        <w:tc>
          <w:tcPr>
            <w:tcW w:w="1029" w:type="pct"/>
            <w:tcBorders>
              <w:top w:val="single" w:sz="4" w:space="0" w:color="auto"/>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9 (3%)</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1</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8</w:t>
            </w:r>
          </w:p>
        </w:tc>
        <w:tc>
          <w:tcPr>
            <w:tcW w:w="1138" w:type="pct"/>
            <w:tcBorders>
              <w:top w:val="single" w:sz="4" w:space="0" w:color="auto"/>
              <w:left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1 (0.3%)</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1</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w:t>
            </w:r>
          </w:p>
        </w:tc>
        <w:tc>
          <w:tcPr>
            <w:tcW w:w="537" w:type="pct"/>
            <w:tcBorders>
              <w:top w:val="single" w:sz="4" w:space="0" w:color="auto"/>
              <w:right w:val="single" w:sz="4" w:space="0" w:color="auto"/>
            </w:tcBorders>
            <w:shd w:val="clear" w:color="auto" w:fill="auto"/>
            <w:vAlign w:val="center"/>
          </w:tcPr>
          <w:p w:rsidR="00D92EC2" w:rsidRPr="00A72154" w:rsidRDefault="00D92EC2" w:rsidP="00AC61AC">
            <w:pPr>
              <w:snapToGrid w:val="0"/>
              <w:spacing w:after="0"/>
              <w:jc w:val="both"/>
              <w:rPr>
                <w:color w:val="000000"/>
                <w:sz w:val="20"/>
                <w:szCs w:val="20"/>
              </w:rPr>
            </w:pPr>
            <w:r w:rsidRPr="00A72154">
              <w:rPr>
                <w:color w:val="000000"/>
                <w:sz w:val="20"/>
                <w:szCs w:val="20"/>
              </w:rPr>
              <w:t>&lt;0.001*</w:t>
            </w:r>
          </w:p>
          <w:p w:rsidR="00D92EC2" w:rsidRPr="00A72154" w:rsidRDefault="00D92EC2" w:rsidP="00AC61AC">
            <w:pPr>
              <w:snapToGrid w:val="0"/>
              <w:spacing w:after="0"/>
              <w:jc w:val="both"/>
              <w:rPr>
                <w:color w:val="000000"/>
                <w:sz w:val="20"/>
                <w:szCs w:val="20"/>
              </w:rPr>
            </w:pPr>
            <w:r w:rsidRPr="00A72154">
              <w:rPr>
                <w:color w:val="000000"/>
                <w:sz w:val="20"/>
                <w:szCs w:val="20"/>
              </w:rPr>
              <w:t>1</w:t>
            </w:r>
          </w:p>
          <w:p w:rsidR="00D92EC2" w:rsidRPr="00A72154" w:rsidRDefault="00D92EC2" w:rsidP="00AC61AC">
            <w:pPr>
              <w:snapToGrid w:val="0"/>
              <w:spacing w:after="0"/>
              <w:jc w:val="both"/>
              <w:rPr>
                <w:color w:val="000000"/>
                <w:sz w:val="20"/>
                <w:szCs w:val="20"/>
              </w:rPr>
            </w:pPr>
          </w:p>
        </w:tc>
        <w:tc>
          <w:tcPr>
            <w:tcW w:w="370" w:type="pct"/>
            <w:tcBorders>
              <w:top w:val="single" w:sz="4" w:space="0" w:color="auto"/>
              <w:left w:val="single" w:sz="4" w:space="0" w:color="auto"/>
              <w:right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10</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2</w:t>
            </w:r>
          </w:p>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8</w:t>
            </w:r>
          </w:p>
        </w:tc>
      </w:tr>
      <w:tr w:rsidR="00D92EC2" w:rsidRPr="00A72154" w:rsidTr="00514171">
        <w:trPr>
          <w:jc w:val="center"/>
        </w:trPr>
        <w:tc>
          <w:tcPr>
            <w:tcW w:w="1926" w:type="pct"/>
            <w:tcBorders>
              <w:top w:val="single" w:sz="4" w:space="0" w:color="auto"/>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i/>
                <w:iCs/>
                <w:color w:val="000000"/>
                <w:sz w:val="20"/>
                <w:szCs w:val="20"/>
              </w:rPr>
            </w:pPr>
            <w:r w:rsidRPr="00A72154">
              <w:rPr>
                <w:i/>
                <w:iCs/>
                <w:color w:val="000000"/>
                <w:sz w:val="20"/>
                <w:szCs w:val="20"/>
              </w:rPr>
              <w:t>Parachlamydia acanthamoebae</w:t>
            </w:r>
          </w:p>
        </w:tc>
        <w:tc>
          <w:tcPr>
            <w:tcW w:w="1029" w:type="pct"/>
            <w:tcBorders>
              <w:top w:val="single" w:sz="4" w:space="0" w:color="auto"/>
              <w:bottom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0</w:t>
            </w:r>
          </w:p>
        </w:tc>
        <w:tc>
          <w:tcPr>
            <w:tcW w:w="1138" w:type="pct"/>
            <w:tcBorders>
              <w:top w:val="single" w:sz="4" w:space="0" w:color="auto"/>
              <w:left w:val="single" w:sz="4" w:space="0" w:color="000000"/>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0</w:t>
            </w:r>
          </w:p>
        </w:tc>
        <w:tc>
          <w:tcPr>
            <w:tcW w:w="537" w:type="pct"/>
            <w:tcBorders>
              <w:top w:val="single" w:sz="4" w:space="0" w:color="auto"/>
              <w:bottom w:val="single" w:sz="4" w:space="0" w:color="000000"/>
              <w:right w:val="single" w:sz="4" w:space="0" w:color="auto"/>
            </w:tcBorders>
            <w:shd w:val="clear" w:color="auto" w:fill="auto"/>
            <w:vAlign w:val="center"/>
          </w:tcPr>
          <w:p w:rsidR="00D92EC2" w:rsidRPr="00A72154" w:rsidRDefault="00D92EC2" w:rsidP="00AC61AC">
            <w:pPr>
              <w:snapToGrid w:val="0"/>
              <w:spacing w:after="0"/>
              <w:jc w:val="both"/>
              <w:rPr>
                <w:color w:val="000000"/>
                <w:sz w:val="20"/>
                <w:szCs w:val="20"/>
              </w:rPr>
            </w:pPr>
          </w:p>
        </w:tc>
        <w:tc>
          <w:tcPr>
            <w:tcW w:w="370" w:type="pct"/>
            <w:tcBorders>
              <w:top w:val="single" w:sz="4" w:space="0" w:color="auto"/>
              <w:left w:val="single" w:sz="4" w:space="0" w:color="auto"/>
              <w:bottom w:val="single" w:sz="4" w:space="0" w:color="000000"/>
              <w:right w:val="single" w:sz="4" w:space="0" w:color="000000"/>
            </w:tcBorders>
            <w:shd w:val="clear" w:color="auto" w:fill="auto"/>
            <w:vAlign w:val="center"/>
          </w:tcPr>
          <w:p w:rsidR="00D92EC2" w:rsidRPr="00A72154" w:rsidRDefault="00D92EC2" w:rsidP="00AC61AC">
            <w:pPr>
              <w:snapToGrid w:val="0"/>
              <w:spacing w:after="0"/>
              <w:jc w:val="both"/>
              <w:rPr>
                <w:rFonts w:eastAsia="Calibri"/>
                <w:color w:val="000000"/>
                <w:sz w:val="20"/>
                <w:szCs w:val="20"/>
              </w:rPr>
            </w:pPr>
            <w:r w:rsidRPr="00A72154">
              <w:rPr>
                <w:rFonts w:eastAsia="Calibri"/>
                <w:color w:val="000000"/>
                <w:sz w:val="20"/>
                <w:szCs w:val="20"/>
              </w:rPr>
              <w:t>0</w:t>
            </w:r>
          </w:p>
        </w:tc>
      </w:tr>
    </w:tbl>
    <w:p w:rsidR="00D92EC2" w:rsidRPr="00A72154" w:rsidRDefault="00D92EC2" w:rsidP="00AC61AC">
      <w:pPr>
        <w:snapToGrid w:val="0"/>
        <w:spacing w:after="0"/>
        <w:jc w:val="both"/>
        <w:rPr>
          <w:sz w:val="20"/>
          <w:szCs w:val="20"/>
        </w:rPr>
      </w:pPr>
      <w:r w:rsidRPr="00A72154">
        <w:rPr>
          <w:sz w:val="20"/>
          <w:szCs w:val="20"/>
        </w:rPr>
        <w:t>* Statistically significant difference; † data were described in number of cases (%) compared using chi square test</w:t>
      </w:r>
      <w:bookmarkEnd w:id="3"/>
    </w:p>
    <w:p w:rsidR="00D92EC2" w:rsidRDefault="00D92EC2" w:rsidP="00AC61AC">
      <w:pPr>
        <w:snapToGrid w:val="0"/>
        <w:spacing w:after="0"/>
        <w:ind w:firstLine="425"/>
        <w:jc w:val="both"/>
        <w:rPr>
          <w:rFonts w:eastAsiaTheme="minorEastAsia" w:hint="eastAsia"/>
          <w:sz w:val="20"/>
          <w:szCs w:val="20"/>
          <w:lang w:eastAsia="zh-CN"/>
        </w:rPr>
      </w:pPr>
    </w:p>
    <w:p w:rsidR="00A72154" w:rsidRPr="00A72154" w:rsidRDefault="00A72154" w:rsidP="00AC61AC">
      <w:pPr>
        <w:snapToGrid w:val="0"/>
        <w:spacing w:after="0"/>
        <w:ind w:firstLine="425"/>
        <w:jc w:val="both"/>
        <w:rPr>
          <w:rFonts w:eastAsiaTheme="minorEastAsia" w:hint="eastAsia"/>
          <w:sz w:val="20"/>
          <w:szCs w:val="20"/>
          <w:lang w:eastAsia="zh-CN"/>
        </w:rPr>
      </w:pPr>
    </w:p>
    <w:p w:rsidR="00AC61AC" w:rsidRPr="00A72154" w:rsidRDefault="00AC61AC" w:rsidP="00AC61AC">
      <w:pPr>
        <w:snapToGrid w:val="0"/>
        <w:spacing w:after="0"/>
        <w:ind w:firstLine="425"/>
        <w:jc w:val="both"/>
        <w:rPr>
          <w:sz w:val="20"/>
          <w:szCs w:val="20"/>
        </w:rPr>
        <w:sectPr w:rsidR="00AC61AC" w:rsidRPr="00A72154" w:rsidSect="00514171">
          <w:type w:val="continuous"/>
          <w:pgSz w:w="12240" w:h="15840"/>
          <w:pgMar w:top="1440" w:right="1440" w:bottom="1440" w:left="1440" w:header="720" w:footer="720" w:gutter="0"/>
          <w:cols w:space="720"/>
          <w:docGrid w:linePitch="326"/>
        </w:sectPr>
      </w:pPr>
    </w:p>
    <w:p w:rsidR="00303D36" w:rsidRPr="00A72154" w:rsidRDefault="007C381C" w:rsidP="00AC61AC">
      <w:pPr>
        <w:snapToGrid w:val="0"/>
        <w:spacing w:after="0"/>
        <w:ind w:firstLine="425"/>
        <w:jc w:val="both"/>
        <w:rPr>
          <w:sz w:val="20"/>
          <w:szCs w:val="20"/>
        </w:rPr>
      </w:pPr>
      <w:r w:rsidRPr="00A72154">
        <w:rPr>
          <w:sz w:val="20"/>
          <w:szCs w:val="20"/>
        </w:rPr>
        <w:lastRenderedPageBreak/>
        <w:t xml:space="preserve">Subgroup analysis of type of lower genital tract infections detected in cervicovaginal swabs showed that </w:t>
      </w:r>
      <w:r w:rsidRPr="00A72154">
        <w:rPr>
          <w:i/>
          <w:iCs/>
          <w:sz w:val="20"/>
          <w:szCs w:val="20"/>
        </w:rPr>
        <w:t xml:space="preserve">candida </w:t>
      </w:r>
      <w:r w:rsidRPr="00A72154">
        <w:rPr>
          <w:sz w:val="20"/>
          <w:szCs w:val="20"/>
        </w:rPr>
        <w:t>infection</w:t>
      </w:r>
      <w:r w:rsidRPr="00A72154">
        <w:rPr>
          <w:i/>
          <w:iCs/>
          <w:sz w:val="20"/>
          <w:szCs w:val="20"/>
        </w:rPr>
        <w:t xml:space="preserve"> and Trichomonas vaginalis</w:t>
      </w:r>
      <w:r w:rsidRPr="00A72154">
        <w:rPr>
          <w:sz w:val="20"/>
          <w:szCs w:val="20"/>
        </w:rPr>
        <w:t xml:space="preserve"> represented the main infections in both groups with a prevalence of 18.8% and 9.7% respectively and together they represented 28.5% of all lower genital tract infections without a statistically significant </w:t>
      </w:r>
      <w:r w:rsidRPr="00A72154">
        <w:rPr>
          <w:sz w:val="20"/>
          <w:szCs w:val="20"/>
        </w:rPr>
        <w:lastRenderedPageBreak/>
        <w:t>difference between both groups (</w:t>
      </w:r>
      <w:r w:rsidRPr="00A72154">
        <w:rPr>
          <w:i/>
          <w:iCs/>
          <w:sz w:val="20"/>
          <w:szCs w:val="20"/>
        </w:rPr>
        <w:t>p</w:t>
      </w:r>
      <w:r w:rsidRPr="00A72154">
        <w:rPr>
          <w:sz w:val="20"/>
          <w:szCs w:val="20"/>
        </w:rPr>
        <w:t xml:space="preserve"> 0.754 and 0.581 respectively). Other infections detected in both groups were </w:t>
      </w:r>
      <w:r w:rsidRPr="00A72154">
        <w:rPr>
          <w:rFonts w:eastAsia="Calibri"/>
          <w:i/>
          <w:iCs/>
          <w:color w:val="000000"/>
          <w:sz w:val="20"/>
          <w:szCs w:val="20"/>
        </w:rPr>
        <w:t>Streptococccus</w:t>
      </w:r>
      <w:r w:rsidRPr="00A72154">
        <w:rPr>
          <w:i/>
          <w:iCs/>
          <w:sz w:val="20"/>
          <w:szCs w:val="20"/>
        </w:rPr>
        <w:t xml:space="preserve"> agalactiae, </w:t>
      </w:r>
      <w:r w:rsidRPr="00A72154">
        <w:rPr>
          <w:rFonts w:eastAsia="Calibri"/>
          <w:i/>
          <w:iCs/>
          <w:color w:val="000000"/>
          <w:sz w:val="20"/>
          <w:szCs w:val="20"/>
        </w:rPr>
        <w:t>Streptococccus</w:t>
      </w:r>
      <w:r w:rsidRPr="00A72154">
        <w:rPr>
          <w:i/>
          <w:iCs/>
          <w:sz w:val="20"/>
          <w:szCs w:val="20"/>
        </w:rPr>
        <w:t xml:space="preserve"> pyogenes, Staphylococcus aureus, Enterococcus faecalis, Escherichia coli, Klebsiella pneumoniae, Proteus mirabilis, Providencia stuartii, Pseudomonas aeruginosa </w:t>
      </w:r>
      <w:r w:rsidRPr="00A72154">
        <w:rPr>
          <w:sz w:val="20"/>
          <w:szCs w:val="20"/>
        </w:rPr>
        <w:t>and</w:t>
      </w:r>
      <w:r w:rsidRPr="00A72154">
        <w:rPr>
          <w:i/>
          <w:iCs/>
          <w:sz w:val="20"/>
          <w:szCs w:val="20"/>
        </w:rPr>
        <w:t xml:space="preserve"> Acinetobacter baumannii, </w:t>
      </w:r>
      <w:r w:rsidRPr="00A72154">
        <w:rPr>
          <w:sz w:val="20"/>
          <w:szCs w:val="20"/>
        </w:rPr>
        <w:t xml:space="preserve">all did not </w:t>
      </w:r>
      <w:r w:rsidRPr="00A72154">
        <w:rPr>
          <w:sz w:val="20"/>
          <w:szCs w:val="20"/>
        </w:rPr>
        <w:lastRenderedPageBreak/>
        <w:t xml:space="preserve">show any statistical difference between both groups. No </w:t>
      </w:r>
      <w:r w:rsidRPr="00A72154">
        <w:rPr>
          <w:i/>
          <w:iCs/>
          <w:sz w:val="20"/>
          <w:szCs w:val="20"/>
        </w:rPr>
        <w:t>Neisseria gonorrhoeae</w:t>
      </w:r>
      <w:r w:rsidRPr="00A72154">
        <w:rPr>
          <w:sz w:val="20"/>
          <w:szCs w:val="20"/>
        </w:rPr>
        <w:t xml:space="preserve"> or </w:t>
      </w:r>
      <w:r w:rsidRPr="00A72154">
        <w:rPr>
          <w:i/>
          <w:iCs/>
          <w:sz w:val="20"/>
          <w:szCs w:val="20"/>
        </w:rPr>
        <w:t>Treponema pallidum</w:t>
      </w:r>
      <w:r w:rsidRPr="00A72154">
        <w:rPr>
          <w:sz w:val="20"/>
          <w:szCs w:val="20"/>
        </w:rPr>
        <w:t xml:space="preserve"> infections were detected in both groups (Table 3). </w:t>
      </w:r>
    </w:p>
    <w:p w:rsidR="00303D36" w:rsidRPr="00A72154" w:rsidRDefault="007C381C" w:rsidP="00AC61AC">
      <w:pPr>
        <w:snapToGrid w:val="0"/>
        <w:spacing w:after="0"/>
        <w:ind w:firstLine="425"/>
        <w:jc w:val="both"/>
        <w:rPr>
          <w:rFonts w:eastAsia="Calibri"/>
          <w:color w:val="000000"/>
          <w:sz w:val="20"/>
          <w:szCs w:val="20"/>
        </w:rPr>
      </w:pPr>
      <w:r w:rsidRPr="00A72154">
        <w:rPr>
          <w:rFonts w:eastAsia="Calibri"/>
          <w:color w:val="000000"/>
          <w:sz w:val="20"/>
          <w:szCs w:val="20"/>
        </w:rPr>
        <w:t xml:space="preserve">Placental samples were positive in 60 cases of study group (representing a total of 20%), </w:t>
      </w:r>
      <w:bookmarkStart w:id="4" w:name="_Hlk45977264"/>
      <w:r w:rsidRPr="00A72154">
        <w:rPr>
          <w:rFonts w:eastAsia="Calibri"/>
          <w:color w:val="000000"/>
          <w:sz w:val="20"/>
          <w:szCs w:val="20"/>
        </w:rPr>
        <w:t>21 cases were positive by culture and 39 cases by PCR</w:t>
      </w:r>
      <w:bookmarkEnd w:id="4"/>
      <w:r w:rsidRPr="00A72154">
        <w:rPr>
          <w:rFonts w:eastAsia="Calibri"/>
          <w:color w:val="000000"/>
          <w:sz w:val="20"/>
          <w:szCs w:val="20"/>
        </w:rPr>
        <w:t xml:space="preserve">. When comparing to cervicovaginal swabs, placental cultures were positive to the same microorganism of cervicovaginal swabs in 3 cases for </w:t>
      </w:r>
      <w:r w:rsidRPr="00A72154">
        <w:rPr>
          <w:rFonts w:eastAsia="Calibri"/>
          <w:i/>
          <w:iCs/>
          <w:color w:val="000000"/>
          <w:sz w:val="20"/>
          <w:szCs w:val="20"/>
        </w:rPr>
        <w:t>Streptococccus agalactiae</w:t>
      </w:r>
      <w:r w:rsidRPr="00A72154">
        <w:rPr>
          <w:rFonts w:eastAsia="Calibri"/>
          <w:color w:val="000000"/>
          <w:sz w:val="20"/>
          <w:szCs w:val="20"/>
        </w:rPr>
        <w:t xml:space="preserve">, 2 cases of </w:t>
      </w:r>
      <w:r w:rsidRPr="00A72154">
        <w:rPr>
          <w:rFonts w:eastAsia="Calibri"/>
          <w:i/>
          <w:iCs/>
          <w:color w:val="000000"/>
          <w:sz w:val="20"/>
          <w:szCs w:val="20"/>
        </w:rPr>
        <w:t>Streptococccus pyogenes</w:t>
      </w:r>
      <w:r w:rsidRPr="00A72154">
        <w:rPr>
          <w:rFonts w:eastAsia="Calibri"/>
          <w:color w:val="000000"/>
          <w:sz w:val="20"/>
          <w:szCs w:val="20"/>
        </w:rPr>
        <w:t xml:space="preserve">, 1 case of </w:t>
      </w:r>
      <w:r w:rsidRPr="00A72154">
        <w:rPr>
          <w:rFonts w:eastAsia="Calibri"/>
          <w:i/>
          <w:iCs/>
          <w:color w:val="000000"/>
          <w:sz w:val="20"/>
          <w:szCs w:val="20"/>
        </w:rPr>
        <w:t>Enterococcus faecalis</w:t>
      </w:r>
      <w:r w:rsidRPr="00A72154">
        <w:rPr>
          <w:rFonts w:eastAsia="Calibri"/>
          <w:color w:val="000000"/>
          <w:sz w:val="20"/>
          <w:szCs w:val="20"/>
        </w:rPr>
        <w:t xml:space="preserve">, 3 cases of </w:t>
      </w:r>
      <w:r w:rsidRPr="00A72154">
        <w:rPr>
          <w:i/>
          <w:iCs/>
          <w:sz w:val="20"/>
          <w:szCs w:val="20"/>
        </w:rPr>
        <w:t>Escherichia coli</w:t>
      </w:r>
      <w:r w:rsidRPr="00A72154">
        <w:rPr>
          <w:rFonts w:eastAsia="Calibri"/>
          <w:color w:val="000000"/>
          <w:sz w:val="20"/>
          <w:szCs w:val="20"/>
        </w:rPr>
        <w:t xml:space="preserve">, 3 cases of </w:t>
      </w:r>
      <w:r w:rsidRPr="00A72154">
        <w:rPr>
          <w:rFonts w:eastAsia="Calibri"/>
          <w:i/>
          <w:iCs/>
          <w:color w:val="000000"/>
          <w:sz w:val="20"/>
          <w:szCs w:val="20"/>
        </w:rPr>
        <w:t>Klebsiella pneumoniae</w:t>
      </w:r>
      <w:r w:rsidRPr="00A72154">
        <w:rPr>
          <w:rFonts w:eastAsia="Calibri"/>
          <w:color w:val="000000"/>
          <w:sz w:val="20"/>
          <w:szCs w:val="20"/>
        </w:rPr>
        <w:t xml:space="preserve"> and 1 case of </w:t>
      </w:r>
      <w:r w:rsidRPr="00A72154">
        <w:rPr>
          <w:rFonts w:eastAsia="Calibri"/>
          <w:i/>
          <w:iCs/>
          <w:color w:val="000000"/>
          <w:sz w:val="20"/>
          <w:szCs w:val="20"/>
        </w:rPr>
        <w:t>Proteus mirabilis</w:t>
      </w:r>
      <w:r w:rsidRPr="00A72154">
        <w:rPr>
          <w:rFonts w:eastAsia="Calibri"/>
          <w:color w:val="000000"/>
          <w:sz w:val="20"/>
          <w:szCs w:val="20"/>
        </w:rPr>
        <w:t xml:space="preserve">, 2 cases of </w:t>
      </w:r>
      <w:r w:rsidRPr="00A72154">
        <w:rPr>
          <w:rFonts w:eastAsia="Calibri"/>
          <w:i/>
          <w:iCs/>
          <w:color w:val="000000"/>
          <w:sz w:val="20"/>
          <w:szCs w:val="20"/>
        </w:rPr>
        <w:t>Pseudomonas aeruginosa,</w:t>
      </w:r>
      <w:r w:rsidRPr="00A72154">
        <w:rPr>
          <w:rFonts w:eastAsia="Calibri"/>
          <w:color w:val="000000"/>
          <w:sz w:val="20"/>
          <w:szCs w:val="20"/>
        </w:rPr>
        <w:t xml:space="preserve"> 2 cases of </w:t>
      </w:r>
      <w:r w:rsidRPr="00A72154">
        <w:rPr>
          <w:rFonts w:eastAsia="Calibri"/>
          <w:i/>
          <w:iCs/>
          <w:color w:val="000000"/>
          <w:sz w:val="20"/>
          <w:szCs w:val="20"/>
        </w:rPr>
        <w:t>Staphylococcus aureus</w:t>
      </w:r>
      <w:r w:rsidRPr="00A72154">
        <w:rPr>
          <w:rFonts w:eastAsia="Calibri"/>
          <w:color w:val="000000"/>
          <w:sz w:val="20"/>
          <w:szCs w:val="20"/>
        </w:rPr>
        <w:t xml:space="preserve">, 4 cases for </w:t>
      </w:r>
      <w:r w:rsidRPr="00A72154">
        <w:rPr>
          <w:rFonts w:eastAsia="Calibri"/>
          <w:i/>
          <w:iCs/>
          <w:color w:val="000000"/>
          <w:sz w:val="20"/>
          <w:szCs w:val="20"/>
        </w:rPr>
        <w:t>Candida albicans</w:t>
      </w:r>
      <w:r w:rsidRPr="00A72154">
        <w:rPr>
          <w:rFonts w:eastAsia="Calibri"/>
          <w:color w:val="000000"/>
          <w:sz w:val="20"/>
          <w:szCs w:val="20"/>
        </w:rPr>
        <w:t>. (Table 3)</w:t>
      </w:r>
      <w:r w:rsidR="00D92EC2" w:rsidRPr="00A72154">
        <w:rPr>
          <w:rFonts w:eastAsia="Calibri"/>
          <w:color w:val="000000"/>
          <w:sz w:val="20"/>
          <w:szCs w:val="20"/>
        </w:rPr>
        <w:t>.</w:t>
      </w:r>
    </w:p>
    <w:p w:rsidR="00303D36" w:rsidRPr="00A72154" w:rsidRDefault="007C381C" w:rsidP="00AC61AC">
      <w:pPr>
        <w:snapToGrid w:val="0"/>
        <w:spacing w:after="0"/>
        <w:ind w:firstLine="425"/>
        <w:jc w:val="both"/>
        <w:rPr>
          <w:sz w:val="20"/>
          <w:szCs w:val="20"/>
        </w:rPr>
      </w:pPr>
      <w:r w:rsidRPr="00A72154">
        <w:rPr>
          <w:rFonts w:eastAsia="Calibri"/>
          <w:color w:val="000000"/>
          <w:sz w:val="20"/>
          <w:szCs w:val="20"/>
        </w:rPr>
        <w:t>Using qPCR for cervicovaginal and placental samples,</w:t>
      </w:r>
      <w:r w:rsidRPr="00A72154">
        <w:rPr>
          <w:rFonts w:eastAsia="Calibri"/>
          <w:sz w:val="20"/>
          <w:szCs w:val="20"/>
        </w:rPr>
        <w:t xml:space="preserve"> pan-</w:t>
      </w:r>
      <w:r w:rsidRPr="00A72154">
        <w:rPr>
          <w:i/>
          <w:iCs/>
          <w:sz w:val="20"/>
          <w:szCs w:val="20"/>
        </w:rPr>
        <w:t xml:space="preserve"> Chlamydiales</w:t>
      </w:r>
      <w:r w:rsidRPr="00A72154">
        <w:rPr>
          <w:rFonts w:eastAsia="Calibri"/>
          <w:sz w:val="20"/>
          <w:szCs w:val="20"/>
        </w:rPr>
        <w:t xml:space="preserve">was detected </w:t>
      </w:r>
      <w:bookmarkStart w:id="5" w:name="_Hlk45977558"/>
      <w:r w:rsidRPr="00A72154">
        <w:rPr>
          <w:rFonts w:eastAsia="Calibri"/>
          <w:sz w:val="20"/>
          <w:szCs w:val="20"/>
        </w:rPr>
        <w:t xml:space="preserve">in 92 cervicovaginal samples of both groups and 39 placental samples of study group </w:t>
      </w:r>
      <w:bookmarkEnd w:id="5"/>
      <w:r w:rsidRPr="00A72154">
        <w:rPr>
          <w:rFonts w:eastAsia="Calibri"/>
          <w:sz w:val="20"/>
          <w:szCs w:val="20"/>
        </w:rPr>
        <w:t>(total 131 cases of both groups) that represented a prevalence of chlamydial infection of 21.8%. pan-</w:t>
      </w:r>
      <w:r w:rsidRPr="00A72154">
        <w:rPr>
          <w:i/>
          <w:iCs/>
          <w:sz w:val="20"/>
          <w:szCs w:val="20"/>
        </w:rPr>
        <w:t xml:space="preserve"> </w:t>
      </w:r>
      <w:proofErr w:type="spellStart"/>
      <w:r w:rsidRPr="00A72154">
        <w:rPr>
          <w:i/>
          <w:iCs/>
          <w:sz w:val="20"/>
          <w:szCs w:val="20"/>
        </w:rPr>
        <w:t>Chlamydiales</w:t>
      </w:r>
      <w:proofErr w:type="spellEnd"/>
      <w:r w:rsidR="00A72154">
        <w:rPr>
          <w:rFonts w:eastAsiaTheme="minorEastAsia" w:hint="eastAsia"/>
          <w:i/>
          <w:iCs/>
          <w:sz w:val="20"/>
          <w:szCs w:val="20"/>
          <w:lang w:eastAsia="zh-CN"/>
        </w:rPr>
        <w:t xml:space="preserve"> </w:t>
      </w:r>
      <w:proofErr w:type="spellStart"/>
      <w:r w:rsidRPr="00A72154">
        <w:rPr>
          <w:sz w:val="20"/>
          <w:szCs w:val="20"/>
        </w:rPr>
        <w:t>qPCR</w:t>
      </w:r>
      <w:proofErr w:type="spellEnd"/>
      <w:r w:rsidRPr="00A72154">
        <w:rPr>
          <w:sz w:val="20"/>
          <w:szCs w:val="20"/>
        </w:rPr>
        <w:t xml:space="preserve"> of </w:t>
      </w:r>
      <w:proofErr w:type="spellStart"/>
      <w:r w:rsidRPr="00A72154">
        <w:rPr>
          <w:sz w:val="20"/>
          <w:szCs w:val="20"/>
        </w:rPr>
        <w:t>cervicovaginal</w:t>
      </w:r>
      <w:proofErr w:type="spellEnd"/>
      <w:r w:rsidRPr="00A72154">
        <w:rPr>
          <w:sz w:val="20"/>
          <w:szCs w:val="20"/>
        </w:rPr>
        <w:t xml:space="preserve"> samples showed </w:t>
      </w:r>
      <w:r w:rsidRPr="00A72154">
        <w:rPr>
          <w:rFonts w:eastAsia="Calibri"/>
          <w:sz w:val="20"/>
          <w:szCs w:val="20"/>
        </w:rPr>
        <w:t>a</w:t>
      </w:r>
      <w:r w:rsidRPr="00A72154">
        <w:rPr>
          <w:sz w:val="20"/>
          <w:szCs w:val="20"/>
        </w:rPr>
        <w:t xml:space="preserve"> statistically significant difference between both groups of (55 cases of study group and 37 cases of control group, p &lt;0.041).</w:t>
      </w:r>
      <w:r w:rsidRPr="00A72154">
        <w:rPr>
          <w:rFonts w:eastAsia="Calibri"/>
          <w:color w:val="000000"/>
          <w:sz w:val="20"/>
          <w:szCs w:val="20"/>
        </w:rPr>
        <w:t xml:space="preserve"> The positive samples</w:t>
      </w:r>
      <w:r w:rsidRPr="00A72154">
        <w:rPr>
          <w:rFonts w:eastAsia="Calibri"/>
          <w:sz w:val="20"/>
          <w:szCs w:val="20"/>
        </w:rPr>
        <w:t xml:space="preserve"> for Pan-</w:t>
      </w:r>
      <w:r w:rsidRPr="00A72154">
        <w:rPr>
          <w:i/>
          <w:iCs/>
          <w:sz w:val="20"/>
          <w:szCs w:val="20"/>
        </w:rPr>
        <w:t xml:space="preserve"> </w:t>
      </w:r>
      <w:proofErr w:type="spellStart"/>
      <w:r w:rsidRPr="00A72154">
        <w:rPr>
          <w:i/>
          <w:iCs/>
          <w:sz w:val="20"/>
          <w:szCs w:val="20"/>
        </w:rPr>
        <w:t>Chlamydiales</w:t>
      </w:r>
      <w:proofErr w:type="spellEnd"/>
      <w:r w:rsidR="00A72154">
        <w:rPr>
          <w:rFonts w:eastAsiaTheme="minorEastAsia" w:hint="eastAsia"/>
          <w:i/>
          <w:iCs/>
          <w:sz w:val="20"/>
          <w:szCs w:val="20"/>
          <w:lang w:eastAsia="zh-CN"/>
        </w:rPr>
        <w:t xml:space="preserve"> </w:t>
      </w:r>
      <w:proofErr w:type="spellStart"/>
      <w:r w:rsidRPr="00A72154">
        <w:rPr>
          <w:rFonts w:eastAsia="Calibri"/>
          <w:color w:val="000000"/>
          <w:sz w:val="20"/>
          <w:szCs w:val="20"/>
        </w:rPr>
        <w:t>qPCR</w:t>
      </w:r>
      <w:proofErr w:type="spellEnd"/>
      <w:r w:rsidRPr="00A72154">
        <w:rPr>
          <w:rFonts w:eastAsia="Calibri"/>
          <w:sz w:val="20"/>
          <w:szCs w:val="20"/>
        </w:rPr>
        <w:t xml:space="preserve"> showed positive </w:t>
      </w:r>
      <w:r w:rsidRPr="00A72154">
        <w:rPr>
          <w:i/>
          <w:iCs/>
          <w:sz w:val="20"/>
          <w:szCs w:val="20"/>
        </w:rPr>
        <w:t>Chlamydia trachomatis</w:t>
      </w:r>
      <w:r w:rsidRPr="00A72154">
        <w:rPr>
          <w:sz w:val="20"/>
          <w:szCs w:val="20"/>
        </w:rPr>
        <w:t xml:space="preserve"> qPCR in </w:t>
      </w:r>
      <w:bookmarkStart w:id="6" w:name="_Hlk45977774"/>
      <w:r w:rsidRPr="00A72154">
        <w:rPr>
          <w:sz w:val="20"/>
          <w:szCs w:val="20"/>
        </w:rPr>
        <w:t xml:space="preserve">90 cervicovaginal samples of both groups </w:t>
      </w:r>
      <w:bookmarkEnd w:id="6"/>
      <w:r w:rsidRPr="00A72154">
        <w:rPr>
          <w:sz w:val="20"/>
          <w:szCs w:val="20"/>
        </w:rPr>
        <w:t>(</w:t>
      </w:r>
      <w:bookmarkStart w:id="7" w:name="_Hlk45977856"/>
      <w:r w:rsidRPr="00A72154">
        <w:rPr>
          <w:sz w:val="20"/>
          <w:szCs w:val="20"/>
        </w:rPr>
        <w:t>54 patients of the study group and 36 patients of control group), that was a statistically significant difference (p &lt;0.04) and 31 placental samples of study group (of which 23 were also with positive cervicovaginal samples) representing 92.3% of all chlamydial infections)</w:t>
      </w:r>
      <w:bookmarkEnd w:id="7"/>
      <w:r w:rsidRPr="00A72154">
        <w:rPr>
          <w:sz w:val="20"/>
          <w:szCs w:val="20"/>
        </w:rPr>
        <w:t xml:space="preserve">. </w:t>
      </w:r>
      <w:r w:rsidRPr="00A72154">
        <w:rPr>
          <w:i/>
          <w:iCs/>
          <w:sz w:val="20"/>
          <w:szCs w:val="20"/>
        </w:rPr>
        <w:t>Waddlia chondrophila</w:t>
      </w:r>
      <w:r w:rsidRPr="00A72154">
        <w:rPr>
          <w:sz w:val="20"/>
          <w:szCs w:val="20"/>
        </w:rPr>
        <w:t xml:space="preserve"> was detected in </w:t>
      </w:r>
      <w:bookmarkStart w:id="8" w:name="_Hlk45977951"/>
      <w:r w:rsidRPr="00A72154">
        <w:rPr>
          <w:sz w:val="20"/>
          <w:szCs w:val="20"/>
        </w:rPr>
        <w:t>2 cervicovaginal samples of both groups and 8 placental samples of the study group in patients with positive pan-</w:t>
      </w:r>
      <w:r w:rsidRPr="00A72154">
        <w:rPr>
          <w:i/>
          <w:iCs/>
          <w:sz w:val="20"/>
          <w:szCs w:val="20"/>
        </w:rPr>
        <w:t xml:space="preserve"> Chlamydiales</w:t>
      </w:r>
      <w:r w:rsidRPr="00A72154">
        <w:rPr>
          <w:sz w:val="20"/>
          <w:szCs w:val="20"/>
        </w:rPr>
        <w:t xml:space="preserve"> (representing 7.6% of all chlamydial infection) that was statistically insignificant difference between both groups (</w:t>
      </w:r>
      <w:r w:rsidRPr="00A72154">
        <w:rPr>
          <w:i/>
          <w:iCs/>
          <w:sz w:val="20"/>
          <w:szCs w:val="20"/>
        </w:rPr>
        <w:t>p=</w:t>
      </w:r>
      <w:r w:rsidRPr="00A72154">
        <w:rPr>
          <w:sz w:val="20"/>
          <w:szCs w:val="20"/>
        </w:rPr>
        <w:t xml:space="preserve">1). </w:t>
      </w:r>
      <w:bookmarkEnd w:id="8"/>
      <w:r w:rsidRPr="00A72154">
        <w:rPr>
          <w:sz w:val="20"/>
          <w:szCs w:val="20"/>
        </w:rPr>
        <w:t xml:space="preserve">No </w:t>
      </w:r>
      <w:r w:rsidRPr="00A72154">
        <w:rPr>
          <w:i/>
          <w:iCs/>
          <w:sz w:val="20"/>
          <w:szCs w:val="20"/>
        </w:rPr>
        <w:t>Parachlamydia acanthamoebeae</w:t>
      </w:r>
      <w:r w:rsidRPr="00A72154">
        <w:rPr>
          <w:sz w:val="20"/>
          <w:szCs w:val="20"/>
        </w:rPr>
        <w:t xml:space="preserve"> was detected in both groups. (Table 3)</w:t>
      </w:r>
    </w:p>
    <w:p w:rsidR="00B45E0F" w:rsidRPr="00A72154" w:rsidRDefault="00B45E0F" w:rsidP="00AC61AC">
      <w:pPr>
        <w:snapToGrid w:val="0"/>
        <w:spacing w:after="0"/>
        <w:jc w:val="both"/>
        <w:rPr>
          <w:rFonts w:eastAsia="Calibri"/>
          <w:b/>
          <w:bCs/>
          <w:color w:val="000000"/>
          <w:sz w:val="20"/>
          <w:szCs w:val="20"/>
        </w:rPr>
      </w:pPr>
    </w:p>
    <w:p w:rsidR="00303D36" w:rsidRPr="00A72154" w:rsidRDefault="00B45E0F" w:rsidP="00AC61AC">
      <w:pPr>
        <w:snapToGrid w:val="0"/>
        <w:spacing w:after="0"/>
        <w:jc w:val="both"/>
        <w:rPr>
          <w:rFonts w:eastAsia="Calibri"/>
          <w:b/>
          <w:bCs/>
          <w:color w:val="000000"/>
          <w:sz w:val="20"/>
          <w:szCs w:val="20"/>
        </w:rPr>
      </w:pPr>
      <w:r w:rsidRPr="00A72154">
        <w:rPr>
          <w:rFonts w:eastAsia="Calibri"/>
          <w:b/>
          <w:bCs/>
          <w:color w:val="000000"/>
          <w:sz w:val="20"/>
          <w:szCs w:val="20"/>
        </w:rPr>
        <w:t xml:space="preserve">4. </w:t>
      </w:r>
      <w:r w:rsidR="007C381C" w:rsidRPr="00A72154">
        <w:rPr>
          <w:rFonts w:eastAsia="Calibri"/>
          <w:b/>
          <w:bCs/>
          <w:color w:val="000000"/>
          <w:sz w:val="20"/>
          <w:szCs w:val="20"/>
        </w:rPr>
        <w:t>Discussion</w:t>
      </w:r>
    </w:p>
    <w:p w:rsidR="00303D36" w:rsidRPr="00A72154" w:rsidRDefault="007C381C" w:rsidP="00AC61AC">
      <w:pPr>
        <w:snapToGrid w:val="0"/>
        <w:spacing w:after="0"/>
        <w:ind w:firstLine="425"/>
        <w:jc w:val="both"/>
        <w:rPr>
          <w:color w:val="111111"/>
          <w:sz w:val="20"/>
          <w:szCs w:val="20"/>
          <w:shd w:val="clear" w:color="auto" w:fill="FFFFFF"/>
        </w:rPr>
      </w:pPr>
      <w:r w:rsidRPr="00A72154">
        <w:rPr>
          <w:sz w:val="20"/>
          <w:szCs w:val="20"/>
        </w:rPr>
        <w:t>Maternal genital tract infection as a significant risk factor for unfavorable pregnancy outcomes has gained solid grounds.</w:t>
      </w:r>
      <w:r w:rsidR="00514171" w:rsidRPr="00A72154">
        <w:rPr>
          <w:sz w:val="20"/>
          <w:szCs w:val="20"/>
        </w:rPr>
        <w:t xml:space="preserve"> </w:t>
      </w:r>
      <w:r w:rsidRPr="00A72154">
        <w:rPr>
          <w:rFonts w:eastAsia="TimesNewRomanPSMT"/>
          <w:sz w:val="20"/>
          <w:szCs w:val="20"/>
        </w:rPr>
        <w:t>The</w:t>
      </w:r>
      <w:r w:rsidRPr="00A72154">
        <w:rPr>
          <w:color w:val="111111"/>
          <w:sz w:val="20"/>
          <w:szCs w:val="20"/>
          <w:shd w:val="clear" w:color="auto" w:fill="FFFFFF"/>
        </w:rPr>
        <w:t xml:space="preserve"> possible mechanisms include production of toxic </w:t>
      </w:r>
      <w:r w:rsidRPr="00A72154">
        <w:rPr>
          <w:rFonts w:eastAsia="TimesNewRomanPSMT"/>
          <w:sz w:val="20"/>
          <w:szCs w:val="20"/>
        </w:rPr>
        <w:t>metabolites or cytokines (i.e. tumor necrosis factor-α) which induce uterine contractions or damage to the feto-placental unit; fetal or placental infection resulting in placental insufficiency, fetal death or life-threatening malformations; or probably excessive maternal immune response towards the trophoblastic invasion induced by inflammatory activation of endometrial immunocytes, interfering with embryo implantation, and chorio-amnioniti</w:t>
      </w:r>
      <w:r w:rsidR="00514171" w:rsidRPr="00A72154">
        <w:rPr>
          <w:rFonts w:eastAsia="TimesNewRomanPSMT"/>
          <w:sz w:val="20"/>
          <w:szCs w:val="20"/>
        </w:rPr>
        <w:t xml:space="preserve">s </w:t>
      </w:r>
      <w:r w:rsidR="00514171" w:rsidRPr="00A72154">
        <w:rPr>
          <w:rFonts w:eastAsia="TimesNewRomanPSMT"/>
          <w:sz w:val="20"/>
          <w:szCs w:val="20"/>
          <w:vertAlign w:val="superscript"/>
        </w:rPr>
        <w:t>(</w:t>
      </w:r>
      <w:r w:rsidRPr="00A72154">
        <w:rPr>
          <w:rFonts w:eastAsia="TimesNewRomanPSMT"/>
          <w:sz w:val="20"/>
          <w:szCs w:val="20"/>
          <w:vertAlign w:val="superscript"/>
        </w:rPr>
        <w:t>25,26)</w:t>
      </w:r>
      <w:r w:rsidRPr="00A72154">
        <w:rPr>
          <w:color w:val="111111"/>
          <w:sz w:val="20"/>
          <w:szCs w:val="20"/>
          <w:shd w:val="clear" w:color="auto" w:fill="FFFFFF"/>
        </w:rPr>
        <w:t xml:space="preserve">. </w:t>
      </w:r>
      <w:r w:rsidRPr="00A72154">
        <w:rPr>
          <w:sz w:val="20"/>
          <w:szCs w:val="20"/>
        </w:rPr>
        <w:t xml:space="preserve">With the increased accessibility to modern and strictly accurate screening </w:t>
      </w:r>
      <w:r w:rsidRPr="00A72154">
        <w:rPr>
          <w:sz w:val="20"/>
          <w:szCs w:val="20"/>
        </w:rPr>
        <w:lastRenderedPageBreak/>
        <w:t xml:space="preserve">diagnostics, a higher proportion of infections may now be detected during pregnancy. </w:t>
      </w:r>
      <w:r w:rsidRPr="00A72154">
        <w:rPr>
          <w:sz w:val="20"/>
          <w:szCs w:val="20"/>
          <w:vertAlign w:val="superscript"/>
        </w:rPr>
        <w:t>(10)</w:t>
      </w:r>
    </w:p>
    <w:p w:rsidR="00303D36" w:rsidRPr="00A72154" w:rsidRDefault="007C381C" w:rsidP="00AC61AC">
      <w:pPr>
        <w:snapToGrid w:val="0"/>
        <w:spacing w:after="0"/>
        <w:ind w:firstLine="425"/>
        <w:jc w:val="both"/>
        <w:rPr>
          <w:sz w:val="20"/>
          <w:szCs w:val="20"/>
        </w:rPr>
      </w:pPr>
      <w:r w:rsidRPr="00A72154">
        <w:rPr>
          <w:sz w:val="20"/>
          <w:szCs w:val="20"/>
        </w:rPr>
        <w:t xml:space="preserve">According to our findings, the prevalence of lower genital tract infection was 40.8% and was similar among the study group and control group. There was no statistical difference between women with miscarriage and control regarding </w:t>
      </w:r>
      <w:r w:rsidRPr="00A72154">
        <w:rPr>
          <w:i/>
          <w:iCs/>
          <w:sz w:val="20"/>
          <w:szCs w:val="20"/>
        </w:rPr>
        <w:t>Candida, Trichomonas</w:t>
      </w:r>
      <w:r w:rsidRPr="00A72154">
        <w:rPr>
          <w:sz w:val="20"/>
          <w:szCs w:val="20"/>
        </w:rPr>
        <w:t xml:space="preserve"> or bacterial vaginosis. However, there was a significant difference of intermediate flora among patients with miscarriage compared to control. This is in agreement with the study of Guerra et al, that demonstrated an association between abnormal flora and adverse pregnancy outcomes. </w:t>
      </w:r>
      <w:r w:rsidRPr="00A72154">
        <w:rPr>
          <w:sz w:val="20"/>
          <w:szCs w:val="20"/>
          <w:vertAlign w:val="superscript"/>
        </w:rPr>
        <w:t>(27)</w:t>
      </w:r>
    </w:p>
    <w:p w:rsidR="00303D36" w:rsidRPr="00A72154" w:rsidRDefault="007C381C" w:rsidP="00AC61AC">
      <w:pPr>
        <w:snapToGrid w:val="0"/>
        <w:spacing w:after="0"/>
        <w:ind w:firstLine="425"/>
        <w:jc w:val="both"/>
        <w:rPr>
          <w:rFonts w:eastAsia="TimesNewRomanPSMT"/>
          <w:sz w:val="20"/>
          <w:szCs w:val="20"/>
        </w:rPr>
      </w:pPr>
      <w:r w:rsidRPr="00A72154">
        <w:rPr>
          <w:sz w:val="20"/>
          <w:szCs w:val="20"/>
        </w:rPr>
        <w:t xml:space="preserve">Furthermore, our study confirmed a higher prevalence of chlamydial infection in women with unexplained miscarriage when compared to those without similar history. This was in accordance with the studies that isolated </w:t>
      </w:r>
      <w:r w:rsidRPr="00A72154">
        <w:rPr>
          <w:i/>
          <w:iCs/>
          <w:sz w:val="20"/>
          <w:szCs w:val="20"/>
        </w:rPr>
        <w:t>Chlamydia trachomatis</w:t>
      </w:r>
      <w:r w:rsidRPr="00A72154">
        <w:rPr>
          <w:rFonts w:eastAsia="TimesNewRomanPSMT"/>
          <w:sz w:val="20"/>
          <w:szCs w:val="20"/>
        </w:rPr>
        <w:t xml:space="preserve"> in cervical smears and urine </w:t>
      </w:r>
      <w:r w:rsidRPr="00A72154">
        <w:rPr>
          <w:rFonts w:eastAsia="TimesNewRomanPSMT"/>
          <w:sz w:val="20"/>
          <w:szCs w:val="20"/>
          <w:vertAlign w:val="superscript"/>
        </w:rPr>
        <w:t>(6,28)</w:t>
      </w:r>
      <w:r w:rsidRPr="00A72154">
        <w:rPr>
          <w:rFonts w:eastAsia="TimesNewRomanPSMT"/>
          <w:sz w:val="20"/>
          <w:szCs w:val="20"/>
        </w:rPr>
        <w:t xml:space="preserve"> and conception products. </w:t>
      </w:r>
      <w:r w:rsidRPr="00A72154">
        <w:rPr>
          <w:rFonts w:eastAsia="TimesNewRomanPSMT"/>
          <w:sz w:val="20"/>
          <w:szCs w:val="20"/>
          <w:vertAlign w:val="superscript"/>
        </w:rPr>
        <w:t>(11,29)</w:t>
      </w:r>
    </w:p>
    <w:p w:rsidR="00303D36" w:rsidRPr="00A72154" w:rsidRDefault="007C381C" w:rsidP="00AC61AC">
      <w:pPr>
        <w:snapToGrid w:val="0"/>
        <w:spacing w:after="0"/>
        <w:ind w:firstLine="425"/>
        <w:jc w:val="both"/>
        <w:rPr>
          <w:rFonts w:eastAsia="TimesNewRomanPSMT"/>
          <w:sz w:val="20"/>
          <w:szCs w:val="20"/>
        </w:rPr>
      </w:pPr>
      <w:r w:rsidRPr="00A72154">
        <w:rPr>
          <w:rFonts w:eastAsia="TimesNewRomanPSMT"/>
          <w:sz w:val="20"/>
          <w:szCs w:val="20"/>
        </w:rPr>
        <w:t xml:space="preserve">Moreover, our results revealed a higher detection rate of </w:t>
      </w:r>
      <w:r w:rsidRPr="00A72154">
        <w:rPr>
          <w:i/>
          <w:iCs/>
          <w:sz w:val="20"/>
          <w:szCs w:val="20"/>
        </w:rPr>
        <w:t>Chlamydia trachomatis</w:t>
      </w:r>
      <w:r w:rsidRPr="00A72154">
        <w:rPr>
          <w:rFonts w:eastAsia="TimesNewRomanPSMT"/>
          <w:sz w:val="20"/>
          <w:szCs w:val="20"/>
        </w:rPr>
        <w:t xml:space="preserve">by PCR amplification of chlamydial DNA of vaginal swabs and placental samples of miscarriage group reflecting a positive association with miscarriage. This is consistent with Baud et al 2011 who documented a possible role of </w:t>
      </w:r>
      <w:r w:rsidRPr="00A72154">
        <w:rPr>
          <w:i/>
          <w:iCs/>
          <w:sz w:val="20"/>
          <w:szCs w:val="20"/>
        </w:rPr>
        <w:t>Chlamydia trachomatis</w:t>
      </w:r>
      <w:r w:rsidRPr="00A72154">
        <w:rPr>
          <w:rFonts w:eastAsia="TimesNewRomanPSMT"/>
          <w:sz w:val="20"/>
          <w:szCs w:val="20"/>
        </w:rPr>
        <w:t xml:space="preserve">in early miscarriage </w:t>
      </w:r>
      <w:r w:rsidRPr="00A72154">
        <w:rPr>
          <w:rFonts w:eastAsia="TimesNewRomanPSMT"/>
          <w:sz w:val="20"/>
          <w:szCs w:val="20"/>
          <w:vertAlign w:val="superscript"/>
        </w:rPr>
        <w:t xml:space="preserve">(12) </w:t>
      </w:r>
      <w:r w:rsidRPr="00A72154">
        <w:rPr>
          <w:rFonts w:eastAsia="TimesNewRomanPSMT"/>
          <w:sz w:val="20"/>
          <w:szCs w:val="20"/>
        </w:rPr>
        <w:t xml:space="preserve">and the meta-analysis of Check; 2010 who suggested a possible reactivation of dormant </w:t>
      </w:r>
      <w:r w:rsidRPr="00A72154">
        <w:rPr>
          <w:i/>
          <w:iCs/>
          <w:sz w:val="20"/>
          <w:szCs w:val="20"/>
        </w:rPr>
        <w:t xml:space="preserve">Chlamydia </w:t>
      </w:r>
      <w:r w:rsidRPr="00A72154">
        <w:rPr>
          <w:rFonts w:eastAsia="TimesNewRomanPSMT"/>
          <w:sz w:val="20"/>
          <w:szCs w:val="20"/>
        </w:rPr>
        <w:t>infections during pregnancy and proposed a potential value of antibiotics if given intermittently during the first trimester even with negative cultures or in unexplained miscarriages</w:t>
      </w:r>
      <w:r w:rsidR="00514171" w:rsidRPr="00A72154">
        <w:rPr>
          <w:rFonts w:eastAsia="TimesNewRomanPSMT"/>
          <w:sz w:val="20"/>
          <w:szCs w:val="20"/>
        </w:rPr>
        <w:t xml:space="preserve">. </w:t>
      </w:r>
      <w:r w:rsidR="00514171" w:rsidRPr="00A72154">
        <w:rPr>
          <w:rFonts w:eastAsia="TimesNewRomanPSMT"/>
          <w:sz w:val="20"/>
          <w:szCs w:val="20"/>
          <w:vertAlign w:val="superscript"/>
        </w:rPr>
        <w:t>(</w:t>
      </w:r>
      <w:r w:rsidRPr="00A72154">
        <w:rPr>
          <w:rFonts w:eastAsia="TimesNewRomanPSMT"/>
          <w:sz w:val="20"/>
          <w:szCs w:val="20"/>
          <w:vertAlign w:val="superscript"/>
        </w:rPr>
        <w:t xml:space="preserve">30) </w:t>
      </w:r>
      <w:r w:rsidRPr="00A72154">
        <w:rPr>
          <w:rFonts w:eastAsia="TimesNewRomanPSMT"/>
          <w:sz w:val="20"/>
          <w:szCs w:val="20"/>
        </w:rPr>
        <w:t>Although we don’t agree with Check’s recommendations, the value of intermittent use of antibiotics during the first trimester to prevent miscarriage should be weighed against the antibiotic resistance that would develop with its widespread use, and individualization of patient care should be our practiced behavior. We are in need of a well-constructed treatment studies to determine whetherearly intervention makes a difference.</w:t>
      </w:r>
    </w:p>
    <w:p w:rsidR="00303D36" w:rsidRPr="00A72154" w:rsidRDefault="007C381C" w:rsidP="00AC61AC">
      <w:pPr>
        <w:snapToGrid w:val="0"/>
        <w:spacing w:after="0"/>
        <w:ind w:firstLine="425"/>
        <w:jc w:val="both"/>
        <w:rPr>
          <w:rFonts w:eastAsia="TimesNewRomanPSMT"/>
          <w:sz w:val="20"/>
          <w:szCs w:val="20"/>
        </w:rPr>
      </w:pPr>
      <w:r w:rsidRPr="00A72154">
        <w:rPr>
          <w:rFonts w:eastAsia="TimesNewRomanPSMT"/>
          <w:sz w:val="20"/>
          <w:szCs w:val="20"/>
        </w:rPr>
        <w:t xml:space="preserve">Contrary to our findings, some studies reported no association between </w:t>
      </w:r>
      <w:r w:rsidRPr="00A72154">
        <w:rPr>
          <w:i/>
          <w:iCs/>
          <w:sz w:val="20"/>
          <w:szCs w:val="20"/>
        </w:rPr>
        <w:t>Chlamydia</w:t>
      </w:r>
      <w:r w:rsidR="00514171" w:rsidRPr="00A72154">
        <w:rPr>
          <w:i/>
          <w:iCs/>
          <w:sz w:val="20"/>
          <w:szCs w:val="20"/>
        </w:rPr>
        <w:t xml:space="preserve"> </w:t>
      </w:r>
      <w:r w:rsidRPr="00A72154">
        <w:rPr>
          <w:rFonts w:eastAsia="TimesNewRomanPSMT"/>
          <w:sz w:val="20"/>
          <w:szCs w:val="20"/>
        </w:rPr>
        <w:t xml:space="preserve">infection and spontaneous miscarriage </w:t>
      </w:r>
      <w:r w:rsidRPr="00A72154">
        <w:rPr>
          <w:rFonts w:eastAsia="TimesNewRomanPSMT"/>
          <w:sz w:val="20"/>
          <w:szCs w:val="20"/>
          <w:vertAlign w:val="superscript"/>
        </w:rPr>
        <w:t>(11,31,32)</w:t>
      </w:r>
      <w:r w:rsidRPr="00A72154">
        <w:rPr>
          <w:rFonts w:eastAsia="TimesNewRomanPSMT"/>
          <w:sz w:val="20"/>
          <w:szCs w:val="20"/>
        </w:rPr>
        <w:t xml:space="preserve"> but most of them were done before the increased prevalence of chlamydia infection and before improvement in the accuracy of the diagnostic tools so that the higher prevalence reported can result from the low specificity of the diagnostic tests used. </w:t>
      </w:r>
      <w:r w:rsidRPr="00A72154">
        <w:rPr>
          <w:rFonts w:eastAsia="TimesNewRomanPSMT"/>
          <w:sz w:val="20"/>
          <w:szCs w:val="20"/>
          <w:vertAlign w:val="superscript"/>
        </w:rPr>
        <w:t>(12)</w:t>
      </w:r>
    </w:p>
    <w:p w:rsidR="00303D36" w:rsidRPr="00A72154" w:rsidRDefault="007C381C" w:rsidP="00AC61AC">
      <w:pPr>
        <w:snapToGrid w:val="0"/>
        <w:spacing w:after="0"/>
        <w:ind w:firstLine="425"/>
        <w:jc w:val="both"/>
        <w:rPr>
          <w:sz w:val="20"/>
          <w:szCs w:val="20"/>
        </w:rPr>
      </w:pPr>
      <w:r w:rsidRPr="00A72154">
        <w:rPr>
          <w:rFonts w:eastAsia="TimesNewRomanPSMT"/>
          <w:sz w:val="20"/>
          <w:szCs w:val="20"/>
        </w:rPr>
        <w:t xml:space="preserve">In our study </w:t>
      </w:r>
      <w:r w:rsidRPr="00A72154">
        <w:rPr>
          <w:rFonts w:eastAsia="TimesNewRomanPSMT"/>
          <w:i/>
          <w:iCs/>
          <w:sz w:val="20"/>
          <w:szCs w:val="20"/>
        </w:rPr>
        <w:t>Waddlia chondrophila</w:t>
      </w:r>
      <w:r w:rsidRPr="00A72154">
        <w:rPr>
          <w:rFonts w:eastAsia="TimesNewRomanPSMT"/>
          <w:sz w:val="20"/>
          <w:szCs w:val="20"/>
        </w:rPr>
        <w:t xml:space="preserve"> was detected in 9 patients with spontaneous unexplained miscarriage of which 8 was detected in placental samples and only one case of the control group, that was statistically insignificant. However, the higher detection of </w:t>
      </w:r>
      <w:r w:rsidRPr="00A72154">
        <w:rPr>
          <w:rFonts w:eastAsia="TimesNewRomanPSMT"/>
          <w:i/>
          <w:iCs/>
          <w:sz w:val="20"/>
          <w:szCs w:val="20"/>
        </w:rPr>
        <w:t>Waddlia chondrophila</w:t>
      </w:r>
      <w:r w:rsidRPr="00A72154">
        <w:rPr>
          <w:rFonts w:eastAsia="TimesNewRomanPSMT"/>
          <w:sz w:val="20"/>
          <w:szCs w:val="20"/>
        </w:rPr>
        <w:t xml:space="preserve"> in placental samples suggest a higher endometrial and decidual </w:t>
      </w:r>
      <w:r w:rsidRPr="00A72154">
        <w:rPr>
          <w:rFonts w:eastAsia="TimesNewRomanPSMT"/>
          <w:sz w:val="20"/>
          <w:szCs w:val="20"/>
        </w:rPr>
        <w:lastRenderedPageBreak/>
        <w:t xml:space="preserve">preference and a strong association between </w:t>
      </w:r>
      <w:r w:rsidRPr="00A72154">
        <w:rPr>
          <w:rFonts w:eastAsia="TimesNewRomanPSMT"/>
          <w:i/>
          <w:iCs/>
          <w:sz w:val="20"/>
          <w:szCs w:val="20"/>
        </w:rPr>
        <w:t>Waddlia chondrophila</w:t>
      </w:r>
      <w:r w:rsidRPr="00A72154">
        <w:rPr>
          <w:rFonts w:eastAsia="TimesNewRomanPSMT"/>
          <w:sz w:val="20"/>
          <w:szCs w:val="20"/>
        </w:rPr>
        <w:t xml:space="preserve"> infection and miscarriage. This association had been ﬁrstly reported by Baud et al. in 2011</w:t>
      </w:r>
      <w:r w:rsidR="00514171" w:rsidRPr="00A72154">
        <w:rPr>
          <w:rFonts w:eastAsia="TimesNewRomanPSMT"/>
          <w:sz w:val="20"/>
          <w:szCs w:val="20"/>
        </w:rPr>
        <w:t xml:space="preserve">. </w:t>
      </w:r>
      <w:r w:rsidR="00514171" w:rsidRPr="00A72154">
        <w:rPr>
          <w:rFonts w:eastAsia="TimesNewRomanPSMT"/>
          <w:sz w:val="20"/>
          <w:szCs w:val="20"/>
          <w:vertAlign w:val="superscript"/>
        </w:rPr>
        <w:t>(</w:t>
      </w:r>
      <w:r w:rsidRPr="00A72154">
        <w:rPr>
          <w:rFonts w:eastAsia="TimesNewRomanPSMT"/>
          <w:sz w:val="20"/>
          <w:szCs w:val="20"/>
          <w:vertAlign w:val="superscript"/>
        </w:rPr>
        <w:t>33)</w:t>
      </w:r>
      <w:r w:rsidR="00514171" w:rsidRPr="00A72154">
        <w:rPr>
          <w:rFonts w:eastAsia="TimesNewRomanPSMT"/>
          <w:sz w:val="20"/>
          <w:szCs w:val="20"/>
          <w:vertAlign w:val="superscript"/>
        </w:rPr>
        <w:t xml:space="preserve"> </w:t>
      </w:r>
      <w:r w:rsidRPr="00A72154">
        <w:rPr>
          <w:rFonts w:eastAsia="TimesNewRomanPSMT"/>
          <w:sz w:val="20"/>
          <w:szCs w:val="20"/>
        </w:rPr>
        <w:t xml:space="preserve">Furthermore, in 2014, Baud et al. in their study strongly suggested the possible role of </w:t>
      </w:r>
      <w:r w:rsidRPr="00A72154">
        <w:rPr>
          <w:rFonts w:eastAsia="TimesNewRomanPSMT"/>
          <w:i/>
          <w:iCs/>
          <w:sz w:val="20"/>
          <w:szCs w:val="20"/>
        </w:rPr>
        <w:t>Waddlia chondrophila</w:t>
      </w:r>
      <w:r w:rsidRPr="00A72154">
        <w:rPr>
          <w:rFonts w:eastAsia="TimesNewRomanPSMT"/>
          <w:sz w:val="20"/>
          <w:szCs w:val="20"/>
        </w:rPr>
        <w:t xml:space="preserve"> in early miscarriage</w:t>
      </w:r>
      <w:r w:rsidR="00514171" w:rsidRPr="00A72154">
        <w:rPr>
          <w:rFonts w:eastAsia="TimesNewRomanPSMT"/>
          <w:sz w:val="20"/>
          <w:szCs w:val="20"/>
        </w:rPr>
        <w:t xml:space="preserve">. </w:t>
      </w:r>
      <w:r w:rsidR="00514171" w:rsidRPr="00A72154">
        <w:rPr>
          <w:rFonts w:eastAsia="TimesNewRomanPSMT"/>
          <w:sz w:val="20"/>
          <w:szCs w:val="20"/>
          <w:vertAlign w:val="superscript"/>
        </w:rPr>
        <w:t>(</w:t>
      </w:r>
      <w:r w:rsidRPr="00A72154">
        <w:rPr>
          <w:rFonts w:eastAsia="TimesNewRomanPSMT"/>
          <w:sz w:val="20"/>
          <w:szCs w:val="20"/>
          <w:vertAlign w:val="superscript"/>
        </w:rPr>
        <w:t>23)</w:t>
      </w:r>
      <w:r w:rsidRPr="00A72154">
        <w:rPr>
          <w:rFonts w:eastAsia="TimesNewRomanPSMT"/>
          <w:sz w:val="20"/>
          <w:szCs w:val="20"/>
        </w:rPr>
        <w:t xml:space="preserve"> On the other hand, our results disagree with the study of Reid et al, that does not show an association of </w:t>
      </w:r>
      <w:r w:rsidRPr="00A72154">
        <w:rPr>
          <w:rFonts w:eastAsia="TimesNewRomanPSMT"/>
          <w:i/>
          <w:iCs/>
          <w:sz w:val="20"/>
          <w:szCs w:val="20"/>
        </w:rPr>
        <w:t>Waddlia chondrophila</w:t>
      </w:r>
      <w:r w:rsidRPr="00A72154">
        <w:rPr>
          <w:rFonts w:eastAsia="TimesNewRomanPSMT"/>
          <w:sz w:val="20"/>
          <w:szCs w:val="20"/>
        </w:rPr>
        <w:t xml:space="preserve"> with miscarriage</w:t>
      </w:r>
      <w:r w:rsidR="00514171" w:rsidRPr="00A72154">
        <w:rPr>
          <w:rFonts w:eastAsia="TimesNewRomanPSMT"/>
          <w:sz w:val="20"/>
          <w:szCs w:val="20"/>
        </w:rPr>
        <w:t xml:space="preserve">. </w:t>
      </w:r>
      <w:r w:rsidR="00514171" w:rsidRPr="00A72154">
        <w:rPr>
          <w:rFonts w:eastAsia="TimesNewRomanPSMT"/>
          <w:sz w:val="20"/>
          <w:szCs w:val="20"/>
          <w:vertAlign w:val="superscript"/>
        </w:rPr>
        <w:t>(</w:t>
      </w:r>
      <w:r w:rsidRPr="00A72154">
        <w:rPr>
          <w:rFonts w:eastAsia="TimesNewRomanPSMT"/>
          <w:sz w:val="20"/>
          <w:szCs w:val="20"/>
          <w:vertAlign w:val="superscript"/>
        </w:rPr>
        <w:t>15)</w:t>
      </w:r>
      <w:r w:rsidRPr="00A72154">
        <w:rPr>
          <w:rFonts w:eastAsia="TimesNewRomanPSMT"/>
          <w:sz w:val="20"/>
          <w:szCs w:val="20"/>
        </w:rPr>
        <w:t xml:space="preserve"> This could be explained by the smaller sample size of Reid et al and the different selection of samples of the study that was based on PCR analysis of urine samples, which might have had lower rates of more related infections than cervicovaginal and placental samples as in our study.</w:t>
      </w:r>
    </w:p>
    <w:p w:rsidR="00303D36" w:rsidRPr="00A72154" w:rsidRDefault="007C381C" w:rsidP="00AC61AC">
      <w:pPr>
        <w:snapToGrid w:val="0"/>
        <w:spacing w:after="0"/>
        <w:ind w:firstLine="425"/>
        <w:jc w:val="both"/>
        <w:rPr>
          <w:rFonts w:eastAsia="TimesNewRomanPSMT"/>
          <w:sz w:val="20"/>
          <w:szCs w:val="20"/>
        </w:rPr>
      </w:pPr>
      <w:r w:rsidRPr="00A72154">
        <w:rPr>
          <w:rFonts w:eastAsia="TimesNewRomanPSMT"/>
          <w:sz w:val="20"/>
          <w:szCs w:val="20"/>
        </w:rPr>
        <w:t xml:space="preserve">To the best of our knowledge, our study is the first one to detect </w:t>
      </w:r>
      <w:r w:rsidRPr="00A72154">
        <w:rPr>
          <w:rFonts w:eastAsia="TimesNewRomanPSMT"/>
          <w:i/>
          <w:iCs/>
          <w:sz w:val="20"/>
          <w:szCs w:val="20"/>
        </w:rPr>
        <w:t>Waddlia chondrophila</w:t>
      </w:r>
      <w:r w:rsidRPr="00A72154">
        <w:rPr>
          <w:rFonts w:eastAsia="TimesNewRomanPSMT"/>
          <w:sz w:val="20"/>
          <w:szCs w:val="20"/>
        </w:rPr>
        <w:t xml:space="preserve"> in cervicovaginal and placental samples and detect its association with the occurrence of unexplained miscarriage in Egypt.</w:t>
      </w:r>
    </w:p>
    <w:p w:rsidR="00303D36" w:rsidRPr="00A72154" w:rsidRDefault="007C381C" w:rsidP="00AC61AC">
      <w:pPr>
        <w:snapToGrid w:val="0"/>
        <w:spacing w:after="0"/>
        <w:ind w:firstLine="425"/>
        <w:jc w:val="both"/>
        <w:rPr>
          <w:rFonts w:eastAsia="TimesNewRomanPSMT"/>
          <w:dstrike/>
          <w:sz w:val="20"/>
          <w:szCs w:val="20"/>
        </w:rPr>
      </w:pPr>
      <w:r w:rsidRPr="00A72154">
        <w:rPr>
          <w:rFonts w:eastAsia="TimesNewRomanPSMT"/>
          <w:sz w:val="20"/>
          <w:szCs w:val="20"/>
        </w:rPr>
        <w:t xml:space="preserve">The main limitation of our study is the small number of positive cases that may not reflect the actual prevalence of chlamydial </w:t>
      </w:r>
      <w:r w:rsidR="00B45E0F" w:rsidRPr="00A72154">
        <w:rPr>
          <w:rFonts w:eastAsia="TimesNewRomanPSMT"/>
          <w:sz w:val="20"/>
          <w:szCs w:val="20"/>
        </w:rPr>
        <w:t>infections,</w:t>
      </w:r>
      <w:r w:rsidRPr="00A72154">
        <w:rPr>
          <w:rFonts w:eastAsia="TimesNewRomanPSMT"/>
          <w:sz w:val="20"/>
          <w:szCs w:val="20"/>
        </w:rPr>
        <w:t xml:space="preserve"> and mandates further studies of bigger sample size. Another limitation was its dependence on the history of abortion that could be inaccurate in determining the infection state and its severity, and without follow up of the control group to report the possible occurrence of late abortion and assessment of placental samples of the control group. </w:t>
      </w:r>
    </w:p>
    <w:p w:rsidR="00B45E0F" w:rsidRPr="00A72154" w:rsidRDefault="00B45E0F" w:rsidP="00AC61AC">
      <w:pPr>
        <w:snapToGrid w:val="0"/>
        <w:spacing w:after="0"/>
        <w:jc w:val="both"/>
        <w:rPr>
          <w:b/>
          <w:bCs/>
          <w:sz w:val="20"/>
          <w:szCs w:val="20"/>
        </w:rPr>
      </w:pPr>
    </w:p>
    <w:p w:rsidR="00B45E0F" w:rsidRPr="00A72154" w:rsidRDefault="007C381C" w:rsidP="00AC61AC">
      <w:pPr>
        <w:snapToGrid w:val="0"/>
        <w:spacing w:after="0"/>
        <w:jc w:val="both"/>
        <w:rPr>
          <w:rFonts w:eastAsia="TimesNewRomanPSMT"/>
          <w:i/>
          <w:iCs/>
          <w:sz w:val="20"/>
          <w:szCs w:val="20"/>
        </w:rPr>
      </w:pPr>
      <w:r w:rsidRPr="00A72154">
        <w:rPr>
          <w:b/>
          <w:bCs/>
          <w:sz w:val="20"/>
          <w:szCs w:val="20"/>
        </w:rPr>
        <w:t>Conclusion:</w:t>
      </w:r>
    </w:p>
    <w:p w:rsidR="00303D36" w:rsidRPr="00A72154" w:rsidRDefault="007C381C" w:rsidP="00AC61AC">
      <w:pPr>
        <w:snapToGrid w:val="0"/>
        <w:spacing w:after="0"/>
        <w:ind w:firstLine="425"/>
        <w:jc w:val="both"/>
        <w:rPr>
          <w:rFonts w:eastAsia="TimesNewRomanPSMT"/>
          <w:sz w:val="20"/>
          <w:szCs w:val="20"/>
        </w:rPr>
      </w:pPr>
      <w:r w:rsidRPr="00A72154">
        <w:rPr>
          <w:rFonts w:eastAsia="TimesNewRomanPSMT"/>
          <w:i/>
          <w:iCs/>
          <w:sz w:val="20"/>
          <w:szCs w:val="20"/>
        </w:rPr>
        <w:t xml:space="preserve">Chlamydia trachomatis </w:t>
      </w:r>
      <w:r w:rsidRPr="00A72154">
        <w:rPr>
          <w:rFonts w:eastAsia="TimesNewRomanPSMT"/>
          <w:sz w:val="20"/>
          <w:szCs w:val="20"/>
        </w:rPr>
        <w:t xml:space="preserve">and </w:t>
      </w:r>
      <w:r w:rsidRPr="00A72154">
        <w:rPr>
          <w:rFonts w:eastAsia="TimesNewRomanPSMT"/>
          <w:i/>
          <w:iCs/>
          <w:sz w:val="20"/>
          <w:szCs w:val="20"/>
        </w:rPr>
        <w:t>Waddlia chondrophila</w:t>
      </w:r>
      <w:r w:rsidRPr="00A72154">
        <w:rPr>
          <w:rFonts w:eastAsia="TimesNewRomanPSMT"/>
          <w:sz w:val="20"/>
          <w:szCs w:val="20"/>
        </w:rPr>
        <w:t xml:space="preserve"> infections are possible factors for miscarriage as their prevalence was higher in cervicovaginal and placental samples of women with unexplained early miscarriage.</w:t>
      </w:r>
    </w:p>
    <w:p w:rsidR="00B45E0F" w:rsidRPr="00A72154" w:rsidRDefault="00B45E0F" w:rsidP="00AC61AC">
      <w:pPr>
        <w:snapToGrid w:val="0"/>
        <w:spacing w:after="0"/>
        <w:jc w:val="both"/>
        <w:rPr>
          <w:b/>
          <w:bCs/>
          <w:color w:val="000000"/>
          <w:sz w:val="20"/>
          <w:szCs w:val="20"/>
          <w:shd w:val="clear" w:color="auto" w:fill="FFFFFF"/>
        </w:rPr>
      </w:pPr>
    </w:p>
    <w:p w:rsidR="00303D36" w:rsidRPr="00A72154" w:rsidRDefault="007C381C" w:rsidP="00AC61AC">
      <w:pPr>
        <w:snapToGrid w:val="0"/>
        <w:spacing w:after="0"/>
        <w:jc w:val="both"/>
        <w:rPr>
          <w:b/>
          <w:bCs/>
          <w:color w:val="000000"/>
          <w:sz w:val="20"/>
          <w:szCs w:val="20"/>
        </w:rPr>
      </w:pPr>
      <w:r w:rsidRPr="00A72154">
        <w:rPr>
          <w:b/>
          <w:bCs/>
          <w:color w:val="000000"/>
          <w:sz w:val="20"/>
          <w:szCs w:val="20"/>
          <w:shd w:val="clear" w:color="auto" w:fill="FFFFFF"/>
        </w:rPr>
        <w:t>Declarations</w:t>
      </w:r>
    </w:p>
    <w:p w:rsidR="00303D36" w:rsidRPr="00A72154" w:rsidRDefault="007C381C" w:rsidP="00AC61AC">
      <w:pPr>
        <w:pStyle w:val="Heading1"/>
        <w:keepNext w:val="0"/>
        <w:keepLines w:val="0"/>
        <w:snapToGrid w:val="0"/>
        <w:spacing w:before="0" w:after="0"/>
        <w:jc w:val="both"/>
        <w:rPr>
          <w:rFonts w:ascii="Times New Roman" w:hAnsi="Times New Roman"/>
          <w:b/>
          <w:bCs/>
          <w:color w:val="auto"/>
          <w:sz w:val="20"/>
          <w:szCs w:val="20"/>
        </w:rPr>
      </w:pPr>
      <w:r w:rsidRPr="00A72154">
        <w:rPr>
          <w:rFonts w:ascii="Times New Roman" w:hAnsi="Times New Roman"/>
          <w:b/>
          <w:bCs/>
          <w:color w:val="auto"/>
          <w:sz w:val="20"/>
          <w:szCs w:val="20"/>
          <w:shd w:val="clear" w:color="auto" w:fill="FFFFFF"/>
        </w:rPr>
        <w:t>Compliance with Ethical Standards</w:t>
      </w:r>
    </w:p>
    <w:p w:rsidR="00AC61AC" w:rsidRPr="00A72154" w:rsidRDefault="007C381C" w:rsidP="00AC61AC">
      <w:pPr>
        <w:snapToGrid w:val="0"/>
        <w:spacing w:after="0"/>
        <w:ind w:firstLine="425"/>
        <w:jc w:val="both"/>
        <w:rPr>
          <w:sz w:val="20"/>
          <w:szCs w:val="20"/>
          <w:shd w:val="clear" w:color="auto" w:fill="FFFFFF"/>
        </w:rPr>
      </w:pPr>
      <w:r w:rsidRPr="00A72154">
        <w:rPr>
          <w:sz w:val="20"/>
          <w:szCs w:val="20"/>
          <w:shd w:val="clear" w:color="auto" w:fill="FFFFFF"/>
        </w:rPr>
        <w:t>The study was performed in accordance with the Declaration of Helsinki ethical standards. The study was</w:t>
      </w:r>
      <w:r w:rsidRPr="00A72154">
        <w:rPr>
          <w:sz w:val="20"/>
          <w:szCs w:val="20"/>
        </w:rPr>
        <w:t xml:space="preserve"> approved by Fayoum University ethical committee number R102. </w:t>
      </w:r>
      <w:r w:rsidRPr="00A72154">
        <w:rPr>
          <w:sz w:val="20"/>
          <w:szCs w:val="20"/>
          <w:shd w:val="clear" w:color="auto" w:fill="FFFFFF"/>
        </w:rPr>
        <w:t>Informed written consent was taken from the study participants.</w:t>
      </w:r>
    </w:p>
    <w:p w:rsidR="00A72154" w:rsidRDefault="00A72154" w:rsidP="00AC61AC">
      <w:pPr>
        <w:pStyle w:val="Heading1"/>
        <w:keepNext w:val="0"/>
        <w:keepLines w:val="0"/>
        <w:snapToGrid w:val="0"/>
        <w:spacing w:before="0" w:after="0"/>
        <w:jc w:val="both"/>
        <w:rPr>
          <w:rFonts w:ascii="Times New Roman" w:eastAsiaTheme="minorEastAsia" w:hAnsi="Times New Roman" w:hint="eastAsia"/>
          <w:b/>
          <w:bCs/>
          <w:color w:val="auto"/>
          <w:sz w:val="20"/>
          <w:szCs w:val="20"/>
          <w:shd w:val="clear" w:color="auto" w:fill="FFFFFF"/>
          <w:lang w:eastAsia="zh-CN"/>
        </w:rPr>
      </w:pPr>
    </w:p>
    <w:p w:rsidR="00B45E0F" w:rsidRPr="00A72154" w:rsidRDefault="007C381C" w:rsidP="00AC61AC">
      <w:pPr>
        <w:pStyle w:val="Heading1"/>
        <w:keepNext w:val="0"/>
        <w:keepLines w:val="0"/>
        <w:snapToGrid w:val="0"/>
        <w:spacing w:before="0" w:after="0"/>
        <w:jc w:val="both"/>
        <w:rPr>
          <w:rFonts w:ascii="Times New Roman" w:hAnsi="Times New Roman"/>
          <w:color w:val="auto"/>
          <w:sz w:val="20"/>
          <w:szCs w:val="20"/>
          <w:shd w:val="clear" w:color="auto" w:fill="FFFFFF"/>
        </w:rPr>
      </w:pPr>
      <w:r w:rsidRPr="00A72154">
        <w:rPr>
          <w:rFonts w:ascii="Times New Roman" w:hAnsi="Times New Roman"/>
          <w:b/>
          <w:bCs/>
          <w:color w:val="auto"/>
          <w:sz w:val="20"/>
          <w:szCs w:val="20"/>
          <w:shd w:val="clear" w:color="auto" w:fill="FFFFFF"/>
        </w:rPr>
        <w:t>Disclosure</w:t>
      </w:r>
    </w:p>
    <w:p w:rsidR="00303D36" w:rsidRPr="00A72154" w:rsidRDefault="007C381C" w:rsidP="00AC61AC">
      <w:pPr>
        <w:pStyle w:val="Heading1"/>
        <w:keepNext w:val="0"/>
        <w:keepLines w:val="0"/>
        <w:snapToGrid w:val="0"/>
        <w:spacing w:before="0" w:after="0"/>
        <w:ind w:firstLine="425"/>
        <w:jc w:val="both"/>
        <w:rPr>
          <w:rFonts w:ascii="Times New Roman" w:hAnsi="Times New Roman"/>
          <w:color w:val="auto"/>
          <w:sz w:val="20"/>
          <w:szCs w:val="20"/>
          <w:shd w:val="clear" w:color="auto" w:fill="FFFFFF"/>
        </w:rPr>
      </w:pPr>
      <w:r w:rsidRPr="00A72154">
        <w:rPr>
          <w:rFonts w:ascii="Times New Roman" w:hAnsi="Times New Roman"/>
          <w:color w:val="auto"/>
          <w:sz w:val="20"/>
          <w:szCs w:val="20"/>
          <w:shd w:val="clear" w:color="auto" w:fill="FFFFFF"/>
        </w:rPr>
        <w:t>All authors report no conflict of interests in this work.</w:t>
      </w:r>
    </w:p>
    <w:p w:rsidR="00B45E0F" w:rsidRPr="00A72154" w:rsidRDefault="00B45E0F" w:rsidP="00AC61AC">
      <w:pPr>
        <w:snapToGrid w:val="0"/>
        <w:spacing w:after="0"/>
        <w:jc w:val="both"/>
        <w:rPr>
          <w:b/>
          <w:bCs/>
          <w:sz w:val="20"/>
          <w:szCs w:val="20"/>
        </w:rPr>
      </w:pPr>
    </w:p>
    <w:p w:rsidR="00B45E0F" w:rsidRPr="00A72154" w:rsidRDefault="00B45E0F" w:rsidP="00AC61AC">
      <w:pPr>
        <w:snapToGrid w:val="0"/>
        <w:spacing w:after="0"/>
        <w:jc w:val="both"/>
        <w:rPr>
          <w:sz w:val="20"/>
          <w:szCs w:val="20"/>
        </w:rPr>
      </w:pPr>
      <w:r w:rsidRPr="00A72154">
        <w:rPr>
          <w:b/>
          <w:bCs/>
          <w:sz w:val="20"/>
          <w:szCs w:val="20"/>
        </w:rPr>
        <w:t>Disclaimers:</w:t>
      </w:r>
    </w:p>
    <w:p w:rsidR="00B45E0F" w:rsidRPr="00A72154" w:rsidRDefault="00B45E0F" w:rsidP="00AC61AC">
      <w:pPr>
        <w:snapToGrid w:val="0"/>
        <w:spacing w:after="0"/>
        <w:ind w:firstLine="425"/>
        <w:jc w:val="both"/>
        <w:rPr>
          <w:sz w:val="20"/>
          <w:szCs w:val="20"/>
        </w:rPr>
      </w:pPr>
      <w:r w:rsidRPr="00A72154">
        <w:rPr>
          <w:sz w:val="20"/>
          <w:szCs w:val="20"/>
        </w:rPr>
        <w:t>The views expressed in the submitted article are our own and not an official position of the institution or funder.</w:t>
      </w:r>
      <w:bookmarkStart w:id="9" w:name="_Hlk20753226"/>
    </w:p>
    <w:p w:rsidR="00B45E0F" w:rsidRDefault="00B45E0F" w:rsidP="00AC61AC">
      <w:pPr>
        <w:snapToGrid w:val="0"/>
        <w:spacing w:after="0"/>
        <w:jc w:val="both"/>
        <w:rPr>
          <w:rFonts w:eastAsiaTheme="minorEastAsia" w:hint="eastAsia"/>
          <w:b/>
          <w:bCs/>
          <w:sz w:val="20"/>
          <w:szCs w:val="20"/>
          <w:lang w:eastAsia="zh-CN"/>
        </w:rPr>
      </w:pPr>
    </w:p>
    <w:p w:rsidR="00A72154" w:rsidRDefault="00A72154" w:rsidP="00AC61AC">
      <w:pPr>
        <w:snapToGrid w:val="0"/>
        <w:spacing w:after="0"/>
        <w:jc w:val="both"/>
        <w:rPr>
          <w:rFonts w:eastAsiaTheme="minorEastAsia" w:hint="eastAsia"/>
          <w:b/>
          <w:bCs/>
          <w:sz w:val="20"/>
          <w:szCs w:val="20"/>
          <w:lang w:eastAsia="zh-CN"/>
        </w:rPr>
      </w:pPr>
    </w:p>
    <w:p w:rsidR="00A72154" w:rsidRPr="00A72154" w:rsidRDefault="00A72154" w:rsidP="00AC61AC">
      <w:pPr>
        <w:snapToGrid w:val="0"/>
        <w:spacing w:after="0"/>
        <w:jc w:val="both"/>
        <w:rPr>
          <w:rFonts w:eastAsiaTheme="minorEastAsia" w:hint="eastAsia"/>
          <w:b/>
          <w:bCs/>
          <w:sz w:val="20"/>
          <w:szCs w:val="20"/>
          <w:lang w:eastAsia="zh-CN"/>
        </w:rPr>
      </w:pPr>
    </w:p>
    <w:p w:rsidR="00B45E0F" w:rsidRPr="00A72154" w:rsidRDefault="00B45E0F" w:rsidP="00AC61AC">
      <w:pPr>
        <w:snapToGrid w:val="0"/>
        <w:spacing w:after="0"/>
        <w:jc w:val="both"/>
        <w:rPr>
          <w:i/>
          <w:iCs/>
          <w:sz w:val="20"/>
          <w:szCs w:val="20"/>
        </w:rPr>
      </w:pPr>
      <w:r w:rsidRPr="00A72154">
        <w:rPr>
          <w:b/>
          <w:bCs/>
          <w:sz w:val="20"/>
          <w:szCs w:val="20"/>
        </w:rPr>
        <w:lastRenderedPageBreak/>
        <w:t>Synopsis</w:t>
      </w:r>
      <w:bookmarkEnd w:id="9"/>
      <w:r w:rsidRPr="00A72154">
        <w:rPr>
          <w:b/>
          <w:bCs/>
          <w:sz w:val="20"/>
          <w:szCs w:val="20"/>
        </w:rPr>
        <w:t xml:space="preserve">: </w:t>
      </w:r>
    </w:p>
    <w:p w:rsidR="00B45E0F" w:rsidRPr="00A72154" w:rsidRDefault="00B45E0F" w:rsidP="00AC61AC">
      <w:pPr>
        <w:snapToGrid w:val="0"/>
        <w:spacing w:after="0"/>
        <w:ind w:firstLine="425"/>
        <w:jc w:val="both"/>
        <w:rPr>
          <w:b/>
          <w:bCs/>
          <w:sz w:val="20"/>
          <w:szCs w:val="20"/>
        </w:rPr>
      </w:pPr>
      <w:r w:rsidRPr="00A72154">
        <w:rPr>
          <w:i/>
          <w:iCs/>
          <w:sz w:val="20"/>
          <w:szCs w:val="20"/>
        </w:rPr>
        <w:t xml:space="preserve">Chlamydia trachomatis </w:t>
      </w:r>
      <w:r w:rsidRPr="00A72154">
        <w:rPr>
          <w:sz w:val="20"/>
          <w:szCs w:val="20"/>
        </w:rPr>
        <w:t>and</w:t>
      </w:r>
      <w:r w:rsidRPr="00A72154">
        <w:rPr>
          <w:i/>
          <w:iCs/>
          <w:sz w:val="20"/>
          <w:szCs w:val="20"/>
        </w:rPr>
        <w:t xml:space="preserve"> Waddlia chondrophila</w:t>
      </w:r>
      <w:r w:rsidRPr="00A72154">
        <w:rPr>
          <w:sz w:val="20"/>
          <w:szCs w:val="20"/>
        </w:rPr>
        <w:t xml:space="preserve"> infection were significantly higher in women with unexplained early miscarriage compared to the control group.</w:t>
      </w:r>
    </w:p>
    <w:p w:rsidR="00B45E0F" w:rsidRPr="00A72154" w:rsidRDefault="00B45E0F" w:rsidP="00AC61AC">
      <w:pPr>
        <w:snapToGrid w:val="0"/>
        <w:spacing w:after="0"/>
        <w:jc w:val="both"/>
        <w:rPr>
          <w:b/>
          <w:bCs/>
          <w:sz w:val="20"/>
          <w:szCs w:val="20"/>
        </w:rPr>
      </w:pPr>
    </w:p>
    <w:p w:rsidR="00303D36" w:rsidRPr="00A72154" w:rsidRDefault="007C381C" w:rsidP="00AC61AC">
      <w:pPr>
        <w:snapToGrid w:val="0"/>
        <w:spacing w:after="0"/>
        <w:jc w:val="both"/>
        <w:rPr>
          <w:b/>
          <w:bCs/>
          <w:sz w:val="20"/>
          <w:szCs w:val="20"/>
        </w:rPr>
      </w:pPr>
      <w:r w:rsidRPr="00A72154">
        <w:rPr>
          <w:b/>
          <w:bCs/>
          <w:sz w:val="20"/>
          <w:szCs w:val="20"/>
        </w:rPr>
        <w:t xml:space="preserve">References </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Giakoumelou</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Wheelhouse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Cuschieri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Entrican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Howie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Horne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The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role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miscarriage.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Hum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Reprod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Update.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Jan-Feb;22(1):116-33.</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10.1093/humupd/dmv041.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Epub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2015</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Sep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19</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Hay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Bacterial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vaginosis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miscarriage.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Curr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Opin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2004;17:41–44.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15090889</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DOI:10.1097/00001432-200402000-00008</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Wilcox</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Weinberg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O'Connor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Baird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Schlatterer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Canfield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Armstrong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Nisula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Incidence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early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loss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pregnancy.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Engl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1988</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Jul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28;319(4):189-94.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3393170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10.1056/NEJM198807283190401</w:t>
      </w:r>
    </w:p>
    <w:p w:rsidR="00AC61AC"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Cunningham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Leveno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Bloom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Hauth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Rouse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Sponge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Abortion.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Cunningham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Williams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editors.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William's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obstetrics.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24th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New</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York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McGraw-Hill;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Chapter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18</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350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37</w:t>
      </w:r>
      <w:r w:rsidR="00AC61AC" w:rsidRPr="00A72154">
        <w:rPr>
          <w:rFonts w:ascii="Times New Roman" w:eastAsia="AdvOTaf232193" w:hAnsi="Times New Roman" w:cs="Times New Roman"/>
          <w:sz w:val="20"/>
          <w:szCs w:val="20"/>
        </w:rPr>
        <w:t>6.</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Xiong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X,</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Buekens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Vastardis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Yu</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Periodontal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disease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pregnancy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outcomes: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state-of-the-science.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Obstet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Gynecol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Surv</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2007;</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62(9):605</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-15.</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17705886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10.1097/01.ogx.0000279292.63435.40</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Oakeshott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Hay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Hay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Steinke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Rink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Kerry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Association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between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bacterial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vaginosis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miscarriage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before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weeks’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gestation: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prospective,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community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based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cohort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study.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BMJ.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2002;</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325:1334.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doi:10.1136/bmj.325.7376.1334</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Srinivas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Sammel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Chou</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McGrath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Parry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Elovitz</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Placental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inflammation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viral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are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implicated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second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trimester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pregnancy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loss.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Obstet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Gynecol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2006;195:797–802.</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16949414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10.1016/j.ajog.2006.05.049</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Baud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Regan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Greub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Emerging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role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Chlamydia-like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organisms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adverse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pregnancy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outcomes.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Curr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Opin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2008;21:70–76.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doi:10.1097/QCO.0b013e3282f3e6a5</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Bébéar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Beyrberac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Genital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trachomatis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Clin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Microbiol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2009;</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15:4–10.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doi:10.1111/j.1469-</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0691.2008.02647.x</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Meyer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Diagnostic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Procedures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Detect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trachomatis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lastRenderedPageBreak/>
        <w:t>Microorganisms.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Aug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5;4(3).</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pii: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E25.</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10.3390/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microorganisms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4030025.</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Feist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Sydler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Gebbers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Pospischil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Guscetti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association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with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abortion.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Soc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1999</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May;92(5):237-8.</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10472259</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PMCID: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PMC1297174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10.1177/014107689909200506</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Baud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bookmarkStart w:id="10" w:name="_Hlk28985686"/>
      <w:r w:rsidRPr="00A72154">
        <w:rPr>
          <w:rFonts w:ascii="Times New Roman" w:eastAsia="AdvOTaf232193" w:hAnsi="Times New Roman" w:cs="Times New Roman"/>
          <w:sz w:val="20"/>
          <w:szCs w:val="20"/>
        </w:rPr>
        <w:t>Greub</w:t>
      </w:r>
      <w:bookmarkEnd w:id="10"/>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Intracellular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bacteria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adverse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pregnancy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outcomes.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Clin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Microbiol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2011</w:t>
      </w:r>
      <w:r w:rsidR="0030614C" w:rsidRPr="00A72154">
        <w:rPr>
          <w:rFonts w:ascii="Times New Roman" w:eastAsiaTheme="minorEastAsia" w:hAnsi="Times New Roman" w:cs="Times New Roman" w:hint="eastAsia"/>
          <w:sz w:val="20"/>
          <w:szCs w:val="20"/>
          <w:lang w:eastAsia="zh-CN"/>
        </w:rPr>
        <w:t xml:space="preserve"> </w:t>
      </w:r>
      <w:r w:rsidRPr="00A72154">
        <w:rPr>
          <w:rFonts w:ascii="Times New Roman" w:eastAsia="AdvOTaf232193" w:hAnsi="Times New Roman" w:cs="Times New Roman"/>
          <w:sz w:val="20"/>
          <w:szCs w:val="20"/>
        </w:rPr>
        <w:t>Sep;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17(9):1312-22.</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doi:10.1111/j.1469-0691.2011.03604.x.</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Kebbi-Beghdadi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Cisse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Greub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Permissivity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vero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cells,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human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pneumocytes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human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endometrial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cells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Waddlia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chondrophila.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Microbes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Jun;13(6):566-74.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10.1016/j.micinf.2011.01.020.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Epub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Feb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23.</w:t>
      </w:r>
      <w:r w:rsidR="00514171" w:rsidRPr="00A72154">
        <w:rPr>
          <w:rFonts w:ascii="Times New Roman" w:eastAsia="AdvOTaf232193" w:hAnsi="Times New Roman" w:cs="Times New Roman"/>
          <w:sz w:val="20"/>
          <w:szCs w:val="20"/>
        </w:rPr>
        <w:t xml:space="preserve"> </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Baud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Thomas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Arafa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Regan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Greub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Waddlia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chondrophila,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potential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agent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human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fetal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death.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Emerg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2007</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Aug;13(8):1239-43.</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17953102</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PMCID: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PMC2828094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10.3201/eid1308.070315</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Reid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Oakeshott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Kerry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Hay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Jensen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related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bacteria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(Chlamydiales)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early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pregnancy: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community-based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cohort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study.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Clin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Microbiol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2017</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Feb;23(2):119.e9-119.e14.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10.1016/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j.cmi.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2016.10.011.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Epub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Kalwij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Macintosh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Baraitser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Screening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treatment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trachomatis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BMJ.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Apr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21;340:c1915.</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10.1136/bmj.c1915.</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Bertelli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Collyn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Croxatto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Rückert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Polkinghorne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Kebbi-Beghdadi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Goesmann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Vaughan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Greub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AC61AC" w:rsidRPr="00A72154">
        <w:rPr>
          <w:rFonts w:ascii="Times New Roman" w:eastAsiaTheme="minorEastAsia" w:hAnsi="Times New Roman" w:cs="Times New Roman" w:hint="eastAsia"/>
          <w:sz w:val="20"/>
          <w:szCs w:val="20"/>
          <w:lang w:eastAsia="zh-CN"/>
        </w:rPr>
        <w: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The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Waddlia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genome: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window</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biology.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PLoS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One.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28;5(5):e10890.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10.1371/journal.pone.0010890.</w:t>
      </w:r>
    </w:p>
    <w:p w:rsidR="00303D36" w:rsidRPr="00A72154" w:rsidRDefault="007C381C" w:rsidP="00AC61AC">
      <w:pPr>
        <w:numPr>
          <w:ilvl w:val="0"/>
          <w:numId w:val="7"/>
        </w:numPr>
        <w:snapToGrid w:val="0"/>
        <w:spacing w:after="0"/>
        <w:ind w:left="425" w:hanging="425"/>
        <w:contextualSpacing/>
        <w:jc w:val="both"/>
        <w:rPr>
          <w:rFonts w:eastAsia="AdvOTaf232193"/>
          <w:sz w:val="20"/>
          <w:szCs w:val="20"/>
        </w:rPr>
      </w:pPr>
      <w:r w:rsidRPr="00A72154">
        <w:rPr>
          <w:rFonts w:eastAsia="AdvOTaf232193"/>
          <w:sz w:val="20"/>
          <w:szCs w:val="20"/>
        </w:rPr>
        <w:t>Onderdonk</w:t>
      </w:r>
      <w:r w:rsidR="00514171" w:rsidRPr="00A72154">
        <w:rPr>
          <w:rFonts w:eastAsia="AdvOTaf232193"/>
          <w:sz w:val="20"/>
          <w:szCs w:val="20"/>
        </w:rPr>
        <w:t xml:space="preserve"> </w:t>
      </w:r>
      <w:r w:rsidRPr="00A72154">
        <w:rPr>
          <w:rFonts w:eastAsia="AdvOTaf232193"/>
          <w:sz w:val="20"/>
          <w:szCs w:val="20"/>
        </w:rPr>
        <w:t>AB,</w:t>
      </w:r>
      <w:r w:rsidR="00514171" w:rsidRPr="00A72154">
        <w:rPr>
          <w:rFonts w:eastAsia="AdvOTaf232193"/>
          <w:sz w:val="20"/>
          <w:szCs w:val="20"/>
        </w:rPr>
        <w:t xml:space="preserve"> </w:t>
      </w:r>
      <w:r w:rsidRPr="00A72154">
        <w:rPr>
          <w:rFonts w:eastAsia="AdvOTaf232193"/>
          <w:sz w:val="20"/>
          <w:szCs w:val="20"/>
        </w:rPr>
        <w:t>Hecht</w:t>
      </w:r>
      <w:r w:rsidR="00514171" w:rsidRPr="00A72154">
        <w:rPr>
          <w:rFonts w:eastAsia="AdvOTaf232193"/>
          <w:sz w:val="20"/>
          <w:szCs w:val="20"/>
        </w:rPr>
        <w:t xml:space="preserve"> </w:t>
      </w:r>
      <w:r w:rsidRPr="00A72154">
        <w:rPr>
          <w:rFonts w:eastAsia="AdvOTaf232193"/>
          <w:sz w:val="20"/>
          <w:szCs w:val="20"/>
        </w:rPr>
        <w:t>JL,</w:t>
      </w:r>
      <w:r w:rsidR="00514171" w:rsidRPr="00A72154">
        <w:rPr>
          <w:rFonts w:eastAsia="AdvOTaf232193"/>
          <w:sz w:val="20"/>
          <w:szCs w:val="20"/>
        </w:rPr>
        <w:t xml:space="preserve"> </w:t>
      </w:r>
      <w:r w:rsidRPr="00A72154">
        <w:rPr>
          <w:rFonts w:eastAsia="AdvOTaf232193"/>
          <w:sz w:val="20"/>
          <w:szCs w:val="20"/>
        </w:rPr>
        <w:t>McElrath</w:t>
      </w:r>
      <w:r w:rsidR="00514171" w:rsidRPr="00A72154">
        <w:rPr>
          <w:rFonts w:eastAsia="AdvOTaf232193"/>
          <w:sz w:val="20"/>
          <w:szCs w:val="20"/>
        </w:rPr>
        <w:t xml:space="preserve"> </w:t>
      </w:r>
      <w:r w:rsidRPr="00A72154">
        <w:rPr>
          <w:rFonts w:eastAsia="AdvOTaf232193"/>
          <w:sz w:val="20"/>
          <w:szCs w:val="20"/>
        </w:rPr>
        <w:t>TF,</w:t>
      </w:r>
      <w:r w:rsidR="00514171" w:rsidRPr="00A72154">
        <w:rPr>
          <w:rFonts w:eastAsia="AdvOTaf232193"/>
          <w:sz w:val="20"/>
          <w:szCs w:val="20"/>
        </w:rPr>
        <w:t xml:space="preserve"> </w:t>
      </w:r>
      <w:r w:rsidRPr="00A72154">
        <w:rPr>
          <w:rFonts w:eastAsia="AdvOTaf232193"/>
          <w:sz w:val="20"/>
          <w:szCs w:val="20"/>
        </w:rPr>
        <w:t>Delaney</w:t>
      </w:r>
      <w:r w:rsidR="00514171" w:rsidRPr="00A72154">
        <w:rPr>
          <w:rFonts w:eastAsia="AdvOTaf232193"/>
          <w:sz w:val="20"/>
          <w:szCs w:val="20"/>
        </w:rPr>
        <w:t xml:space="preserve"> </w:t>
      </w:r>
      <w:r w:rsidRPr="00A72154">
        <w:rPr>
          <w:rFonts w:eastAsia="AdvOTaf232193"/>
          <w:sz w:val="20"/>
          <w:szCs w:val="20"/>
        </w:rPr>
        <w:t>ML,</w:t>
      </w:r>
      <w:r w:rsidR="00514171" w:rsidRPr="00A72154">
        <w:rPr>
          <w:rFonts w:eastAsia="AdvOTaf232193"/>
          <w:sz w:val="20"/>
          <w:szCs w:val="20"/>
        </w:rPr>
        <w:t xml:space="preserve"> </w:t>
      </w:r>
      <w:r w:rsidRPr="00A72154">
        <w:rPr>
          <w:rFonts w:eastAsia="AdvOTaf232193"/>
          <w:sz w:val="20"/>
          <w:szCs w:val="20"/>
        </w:rPr>
        <w:t>Allred</w:t>
      </w:r>
      <w:r w:rsidR="00514171" w:rsidRPr="00A72154">
        <w:rPr>
          <w:rFonts w:eastAsia="AdvOTaf232193"/>
          <w:sz w:val="20"/>
          <w:szCs w:val="20"/>
        </w:rPr>
        <w:t xml:space="preserve"> </w:t>
      </w:r>
      <w:r w:rsidRPr="00A72154">
        <w:rPr>
          <w:rFonts w:eastAsia="AdvOTaf232193"/>
          <w:sz w:val="20"/>
          <w:szCs w:val="20"/>
        </w:rPr>
        <w:t>EN,</w:t>
      </w:r>
      <w:r w:rsidR="00514171" w:rsidRPr="00A72154">
        <w:rPr>
          <w:rFonts w:eastAsia="AdvOTaf232193"/>
          <w:sz w:val="20"/>
          <w:szCs w:val="20"/>
        </w:rPr>
        <w:t xml:space="preserve"> </w:t>
      </w:r>
      <w:r w:rsidRPr="00A72154">
        <w:rPr>
          <w:rFonts w:eastAsia="AdvOTaf232193"/>
          <w:sz w:val="20"/>
          <w:szCs w:val="20"/>
        </w:rPr>
        <w:t>Leviton</w:t>
      </w:r>
      <w:r w:rsidR="00514171" w:rsidRPr="00A72154">
        <w:rPr>
          <w:rFonts w:eastAsia="AdvOTaf232193"/>
          <w:sz w:val="20"/>
          <w:szCs w:val="20"/>
        </w:rPr>
        <w:t xml:space="preserve"> </w:t>
      </w:r>
      <w:r w:rsidRPr="00A72154">
        <w:rPr>
          <w:rFonts w:eastAsia="AdvOTaf232193"/>
          <w:sz w:val="20"/>
          <w:szCs w:val="20"/>
        </w:rPr>
        <w:t>A,</w:t>
      </w:r>
      <w:r w:rsidR="00514171" w:rsidRPr="00A72154">
        <w:rPr>
          <w:rFonts w:eastAsia="AdvOTaf232193"/>
          <w:sz w:val="20"/>
          <w:szCs w:val="20"/>
        </w:rPr>
        <w:t xml:space="preserve"> </w:t>
      </w:r>
      <w:r w:rsidRPr="00A72154">
        <w:rPr>
          <w:rFonts w:eastAsia="AdvOTaf232193"/>
          <w:sz w:val="20"/>
          <w:szCs w:val="20"/>
        </w:rPr>
        <w:t>et</w:t>
      </w:r>
      <w:r w:rsidR="00514171" w:rsidRPr="00A72154">
        <w:rPr>
          <w:rFonts w:eastAsia="AdvOTaf232193"/>
          <w:sz w:val="20"/>
          <w:szCs w:val="20"/>
        </w:rPr>
        <w:t xml:space="preserve"> </w:t>
      </w:r>
      <w:r w:rsidRPr="00A72154">
        <w:rPr>
          <w:rFonts w:eastAsia="AdvOTaf232193"/>
          <w:sz w:val="20"/>
          <w:szCs w:val="20"/>
        </w:rPr>
        <w:t>al.</w:t>
      </w:r>
      <w:r w:rsidR="00514171" w:rsidRPr="00A72154">
        <w:rPr>
          <w:rFonts w:eastAsia="AdvOTaf232193"/>
          <w:sz w:val="20"/>
          <w:szCs w:val="20"/>
        </w:rPr>
        <w:t xml:space="preserve"> </w:t>
      </w:r>
      <w:r w:rsidRPr="00A72154">
        <w:rPr>
          <w:rFonts w:eastAsia="AdvOTaf232193"/>
          <w:sz w:val="20"/>
          <w:szCs w:val="20"/>
        </w:rPr>
        <w:t>Colonization</w:t>
      </w:r>
      <w:r w:rsidR="00514171" w:rsidRPr="00A72154">
        <w:rPr>
          <w:rFonts w:eastAsia="AdvOTaf232193"/>
          <w:sz w:val="20"/>
          <w:szCs w:val="20"/>
        </w:rPr>
        <w:t xml:space="preserve"> </w:t>
      </w:r>
      <w:r w:rsidRPr="00A72154">
        <w:rPr>
          <w:rFonts w:eastAsia="AdvOTaf232193"/>
          <w:sz w:val="20"/>
          <w:szCs w:val="20"/>
        </w:rPr>
        <w:t>of</w:t>
      </w:r>
      <w:r w:rsidR="00514171" w:rsidRPr="00A72154">
        <w:rPr>
          <w:rFonts w:eastAsia="AdvOTaf232193"/>
          <w:sz w:val="20"/>
          <w:szCs w:val="20"/>
        </w:rPr>
        <w:t xml:space="preserve"> </w:t>
      </w:r>
      <w:r w:rsidRPr="00A72154">
        <w:rPr>
          <w:rFonts w:eastAsia="AdvOTaf232193"/>
          <w:sz w:val="20"/>
          <w:szCs w:val="20"/>
        </w:rPr>
        <w:t>second-trimester</w:t>
      </w:r>
      <w:r w:rsidR="00514171" w:rsidRPr="00A72154">
        <w:rPr>
          <w:rFonts w:eastAsia="AdvOTaf232193"/>
          <w:sz w:val="20"/>
          <w:szCs w:val="20"/>
        </w:rPr>
        <w:t xml:space="preserve"> </w:t>
      </w:r>
      <w:r w:rsidRPr="00A72154">
        <w:rPr>
          <w:rFonts w:eastAsia="AdvOTaf232193"/>
          <w:sz w:val="20"/>
          <w:szCs w:val="20"/>
        </w:rPr>
        <w:t>placenta</w:t>
      </w:r>
      <w:r w:rsidR="00514171" w:rsidRPr="00A72154">
        <w:rPr>
          <w:rFonts w:eastAsia="AdvOTaf232193"/>
          <w:sz w:val="20"/>
          <w:szCs w:val="20"/>
        </w:rPr>
        <w:t xml:space="preserve"> </w:t>
      </w:r>
      <w:r w:rsidRPr="00A72154">
        <w:rPr>
          <w:rFonts w:eastAsia="AdvOTaf232193"/>
          <w:sz w:val="20"/>
          <w:szCs w:val="20"/>
        </w:rPr>
        <w:t>parenchyma.</w:t>
      </w:r>
      <w:r w:rsidR="00514171" w:rsidRPr="00A72154">
        <w:rPr>
          <w:rFonts w:eastAsia="AdvOTaf232193"/>
          <w:sz w:val="20"/>
          <w:szCs w:val="20"/>
        </w:rPr>
        <w:t xml:space="preserve"> </w:t>
      </w:r>
      <w:r w:rsidRPr="00A72154">
        <w:rPr>
          <w:rFonts w:eastAsia="AdvOTaf232193"/>
          <w:sz w:val="20"/>
          <w:szCs w:val="20"/>
        </w:rPr>
        <w:t>Am</w:t>
      </w:r>
      <w:r w:rsidR="00514171" w:rsidRPr="00A72154">
        <w:rPr>
          <w:rFonts w:eastAsia="AdvOTaf232193"/>
          <w:sz w:val="20"/>
          <w:szCs w:val="20"/>
        </w:rPr>
        <w:t xml:space="preserve"> </w:t>
      </w:r>
      <w:r w:rsidRPr="00A72154">
        <w:rPr>
          <w:rFonts w:eastAsia="AdvOTaf232193"/>
          <w:sz w:val="20"/>
          <w:szCs w:val="20"/>
        </w:rPr>
        <w:t>J</w:t>
      </w:r>
      <w:r w:rsidR="00514171" w:rsidRPr="00A72154">
        <w:rPr>
          <w:rFonts w:eastAsia="AdvOTaf232193"/>
          <w:sz w:val="20"/>
          <w:szCs w:val="20"/>
        </w:rPr>
        <w:t xml:space="preserve"> </w:t>
      </w:r>
      <w:r w:rsidRPr="00A72154">
        <w:rPr>
          <w:rFonts w:eastAsia="AdvOTaf232193"/>
          <w:sz w:val="20"/>
          <w:szCs w:val="20"/>
        </w:rPr>
        <w:t>Obstet</w:t>
      </w:r>
      <w:r w:rsidR="00514171" w:rsidRPr="00A72154">
        <w:rPr>
          <w:rFonts w:eastAsia="AdvOTaf232193"/>
          <w:sz w:val="20"/>
          <w:szCs w:val="20"/>
        </w:rPr>
        <w:t xml:space="preserve"> </w:t>
      </w:r>
      <w:r w:rsidRPr="00A72154">
        <w:rPr>
          <w:rFonts w:eastAsia="AdvOTaf232193"/>
          <w:sz w:val="20"/>
          <w:szCs w:val="20"/>
        </w:rPr>
        <w:t>Gynecol.</w:t>
      </w:r>
      <w:r w:rsidR="00514171" w:rsidRPr="00A72154">
        <w:rPr>
          <w:rFonts w:eastAsia="AdvOTaf232193"/>
          <w:sz w:val="20"/>
          <w:szCs w:val="20"/>
        </w:rPr>
        <w:t xml:space="preserve"> </w:t>
      </w:r>
      <w:r w:rsidRPr="00A72154">
        <w:rPr>
          <w:rFonts w:eastAsia="AdvOTaf232193"/>
          <w:sz w:val="20"/>
          <w:szCs w:val="20"/>
        </w:rPr>
        <w:t>2008;</w:t>
      </w:r>
      <w:r w:rsidR="00514171" w:rsidRPr="00A72154">
        <w:rPr>
          <w:rFonts w:eastAsia="AdvOTaf232193"/>
          <w:sz w:val="20"/>
          <w:szCs w:val="20"/>
        </w:rPr>
        <w:t xml:space="preserve"> </w:t>
      </w:r>
      <w:r w:rsidRPr="00A72154">
        <w:rPr>
          <w:rFonts w:eastAsia="AdvOTaf232193"/>
          <w:sz w:val="20"/>
          <w:szCs w:val="20"/>
        </w:rPr>
        <w:t>199(1):52</w:t>
      </w:r>
      <w:r w:rsidR="00514171" w:rsidRPr="00A72154">
        <w:rPr>
          <w:rFonts w:eastAsia="AdvOTaf232193"/>
          <w:sz w:val="20"/>
          <w:szCs w:val="20"/>
        </w:rPr>
        <w:t xml:space="preserve"> </w:t>
      </w:r>
      <w:r w:rsidRPr="00A72154">
        <w:rPr>
          <w:rFonts w:eastAsia="AdvOTaf232193"/>
          <w:sz w:val="20"/>
          <w:szCs w:val="20"/>
        </w:rPr>
        <w:t>e1–e10.</w:t>
      </w:r>
    </w:p>
    <w:p w:rsidR="00303D36" w:rsidRPr="00A72154" w:rsidRDefault="007C381C" w:rsidP="00AC61AC">
      <w:pPr>
        <w:numPr>
          <w:ilvl w:val="0"/>
          <w:numId w:val="7"/>
        </w:numPr>
        <w:snapToGrid w:val="0"/>
        <w:spacing w:after="0"/>
        <w:ind w:left="425" w:hanging="425"/>
        <w:contextualSpacing/>
        <w:jc w:val="both"/>
        <w:rPr>
          <w:rFonts w:eastAsia="AdvOTaf232193"/>
          <w:sz w:val="20"/>
          <w:szCs w:val="20"/>
        </w:rPr>
      </w:pPr>
      <w:r w:rsidRPr="00A72154">
        <w:rPr>
          <w:rFonts w:eastAsia="AdvOTaf232193"/>
          <w:sz w:val="20"/>
          <w:szCs w:val="20"/>
        </w:rPr>
        <w:t>David</w:t>
      </w:r>
      <w:r w:rsidR="00514171" w:rsidRPr="00A72154">
        <w:rPr>
          <w:rFonts w:eastAsia="AdvOTaf232193"/>
          <w:sz w:val="20"/>
          <w:szCs w:val="20"/>
        </w:rPr>
        <w:t xml:space="preserve"> </w:t>
      </w:r>
      <w:r w:rsidRPr="00A72154">
        <w:rPr>
          <w:rFonts w:eastAsia="AdvOTaf232193"/>
          <w:sz w:val="20"/>
          <w:szCs w:val="20"/>
        </w:rPr>
        <w:t>W.</w:t>
      </w:r>
      <w:r w:rsidR="00514171" w:rsidRPr="00A72154">
        <w:rPr>
          <w:rFonts w:eastAsia="AdvOTaf232193"/>
          <w:sz w:val="20"/>
          <w:szCs w:val="20"/>
        </w:rPr>
        <w:t xml:space="preserve"> </w:t>
      </w:r>
      <w:r w:rsidRPr="00A72154">
        <w:rPr>
          <w:rFonts w:eastAsia="AdvOTaf232193"/>
          <w:sz w:val="20"/>
          <w:szCs w:val="20"/>
        </w:rPr>
        <w:t>Burden,</w:t>
      </w:r>
      <w:r w:rsidR="00514171" w:rsidRPr="00A72154">
        <w:rPr>
          <w:rFonts w:eastAsia="AdvOTaf232193"/>
          <w:sz w:val="20"/>
          <w:szCs w:val="20"/>
        </w:rPr>
        <w:t xml:space="preserve"> </w:t>
      </w:r>
      <w:r w:rsidRPr="00A72154">
        <w:rPr>
          <w:rFonts w:eastAsia="AdvOTaf232193"/>
          <w:sz w:val="20"/>
          <w:szCs w:val="20"/>
        </w:rPr>
        <w:t>Ph.D.,</w:t>
      </w:r>
      <w:r w:rsidR="00514171" w:rsidRPr="00A72154">
        <w:rPr>
          <w:rFonts w:eastAsia="AdvOTaf232193"/>
          <w:sz w:val="20"/>
          <w:szCs w:val="20"/>
        </w:rPr>
        <w:t xml:space="preserve"> </w:t>
      </w:r>
      <w:r w:rsidRPr="00A72154">
        <w:rPr>
          <w:rFonts w:eastAsia="AdvOTaf232193"/>
          <w:sz w:val="20"/>
          <w:szCs w:val="20"/>
        </w:rPr>
        <w:t>Guide</w:t>
      </w:r>
      <w:r w:rsidR="00514171" w:rsidRPr="00A72154">
        <w:rPr>
          <w:rFonts w:eastAsia="AdvOTaf232193"/>
          <w:sz w:val="20"/>
          <w:szCs w:val="20"/>
        </w:rPr>
        <w:t xml:space="preserve"> </w:t>
      </w:r>
      <w:r w:rsidRPr="00A72154">
        <w:rPr>
          <w:rFonts w:eastAsia="AdvOTaf232193"/>
          <w:sz w:val="20"/>
          <w:szCs w:val="20"/>
        </w:rPr>
        <w:t>to</w:t>
      </w:r>
      <w:r w:rsidR="00514171" w:rsidRPr="00A72154">
        <w:rPr>
          <w:rFonts w:eastAsia="AdvOTaf232193"/>
          <w:sz w:val="20"/>
          <w:szCs w:val="20"/>
        </w:rPr>
        <w:t xml:space="preserve"> </w:t>
      </w:r>
      <w:r w:rsidRPr="00A72154">
        <w:rPr>
          <w:rFonts w:eastAsia="AdvOTaf232193"/>
          <w:sz w:val="20"/>
          <w:szCs w:val="20"/>
        </w:rPr>
        <w:t>the</w:t>
      </w:r>
      <w:r w:rsidR="00514171" w:rsidRPr="00A72154">
        <w:rPr>
          <w:rFonts w:eastAsia="AdvOTaf232193"/>
          <w:sz w:val="20"/>
          <w:szCs w:val="20"/>
        </w:rPr>
        <w:t xml:space="preserve"> </w:t>
      </w:r>
      <w:r w:rsidRPr="00A72154">
        <w:rPr>
          <w:rFonts w:eastAsia="AdvOTaf232193"/>
          <w:sz w:val="20"/>
          <w:szCs w:val="20"/>
        </w:rPr>
        <w:t>Disruption</w:t>
      </w:r>
      <w:r w:rsidR="00514171" w:rsidRPr="00A72154">
        <w:rPr>
          <w:rFonts w:eastAsia="AdvOTaf232193"/>
          <w:sz w:val="20"/>
          <w:szCs w:val="20"/>
        </w:rPr>
        <w:t xml:space="preserve"> </w:t>
      </w:r>
      <w:r w:rsidRPr="00A72154">
        <w:rPr>
          <w:rFonts w:eastAsia="AdvOTaf232193"/>
          <w:sz w:val="20"/>
          <w:szCs w:val="20"/>
        </w:rPr>
        <w:t>of</w:t>
      </w:r>
      <w:r w:rsidR="00514171" w:rsidRPr="00A72154">
        <w:rPr>
          <w:rFonts w:eastAsia="AdvOTaf232193"/>
          <w:sz w:val="20"/>
          <w:szCs w:val="20"/>
        </w:rPr>
        <w:t xml:space="preserve"> </w:t>
      </w:r>
      <w:r w:rsidRPr="00A72154">
        <w:rPr>
          <w:rFonts w:eastAsia="AdvOTaf232193"/>
          <w:sz w:val="20"/>
          <w:szCs w:val="20"/>
        </w:rPr>
        <w:t>Biological</w:t>
      </w:r>
      <w:r w:rsidR="00514171" w:rsidRPr="00A72154">
        <w:rPr>
          <w:rFonts w:eastAsia="AdvOTaf232193"/>
          <w:sz w:val="20"/>
          <w:szCs w:val="20"/>
        </w:rPr>
        <w:t xml:space="preserve"> </w:t>
      </w:r>
      <w:r w:rsidRPr="00A72154">
        <w:rPr>
          <w:rFonts w:eastAsia="AdvOTaf232193"/>
          <w:sz w:val="20"/>
          <w:szCs w:val="20"/>
        </w:rPr>
        <w:t>Samples</w:t>
      </w:r>
      <w:r w:rsidR="00514171" w:rsidRPr="00A72154">
        <w:rPr>
          <w:rFonts w:eastAsia="AdvOTaf232193"/>
          <w:sz w:val="20"/>
          <w:szCs w:val="20"/>
        </w:rPr>
        <w:t xml:space="preserve"> </w:t>
      </w:r>
      <w:r w:rsidRPr="00A72154">
        <w:rPr>
          <w:rFonts w:eastAsia="AdvOTaf232193"/>
          <w:sz w:val="20"/>
          <w:szCs w:val="20"/>
        </w:rPr>
        <w:t>–</w:t>
      </w:r>
      <w:r w:rsidR="00514171" w:rsidRPr="00A72154">
        <w:rPr>
          <w:rFonts w:eastAsia="AdvOTaf232193"/>
          <w:sz w:val="20"/>
          <w:szCs w:val="20"/>
        </w:rPr>
        <w:t xml:space="preserve"> </w:t>
      </w:r>
      <w:r w:rsidRPr="00A72154">
        <w:rPr>
          <w:rFonts w:eastAsia="AdvOTaf232193"/>
          <w:sz w:val="20"/>
          <w:szCs w:val="20"/>
        </w:rPr>
        <w:t>2012,</w:t>
      </w:r>
      <w:r w:rsidR="00514171" w:rsidRPr="00A72154">
        <w:rPr>
          <w:rFonts w:eastAsia="AdvOTaf232193"/>
          <w:sz w:val="20"/>
          <w:szCs w:val="20"/>
        </w:rPr>
        <w:t xml:space="preserve"> </w:t>
      </w:r>
      <w:r w:rsidRPr="00A72154">
        <w:rPr>
          <w:rFonts w:eastAsia="AdvOTaf232193"/>
          <w:sz w:val="20"/>
          <w:szCs w:val="20"/>
        </w:rPr>
        <w:t>Version</w:t>
      </w:r>
      <w:r w:rsidR="00514171" w:rsidRPr="00A72154">
        <w:rPr>
          <w:rFonts w:eastAsia="AdvOTaf232193"/>
          <w:sz w:val="20"/>
          <w:szCs w:val="20"/>
        </w:rPr>
        <w:t xml:space="preserve"> </w:t>
      </w:r>
      <w:r w:rsidRPr="00A72154">
        <w:rPr>
          <w:rFonts w:eastAsia="AdvOTaf232193"/>
          <w:sz w:val="20"/>
          <w:szCs w:val="20"/>
        </w:rPr>
        <w:t>1.1.</w:t>
      </w:r>
      <w:r w:rsidR="00514171" w:rsidRPr="00A72154">
        <w:rPr>
          <w:rFonts w:eastAsia="AdvOTaf232193"/>
          <w:sz w:val="20"/>
          <w:szCs w:val="20"/>
        </w:rPr>
        <w:t xml:space="preserve"> </w:t>
      </w:r>
      <w:r w:rsidRPr="00A72154">
        <w:rPr>
          <w:rFonts w:eastAsia="AdvOTaf232193"/>
          <w:sz w:val="20"/>
          <w:szCs w:val="20"/>
        </w:rPr>
        <w:t>Random</w:t>
      </w:r>
      <w:r w:rsidR="00514171" w:rsidRPr="00A72154">
        <w:rPr>
          <w:rFonts w:eastAsia="AdvOTaf232193"/>
          <w:sz w:val="20"/>
          <w:szCs w:val="20"/>
        </w:rPr>
        <w:t xml:space="preserve"> </w:t>
      </w:r>
      <w:r w:rsidRPr="00A72154">
        <w:rPr>
          <w:rFonts w:eastAsia="AdvOTaf232193"/>
          <w:sz w:val="20"/>
          <w:szCs w:val="20"/>
        </w:rPr>
        <w:t>Primers,</w:t>
      </w:r>
      <w:r w:rsidR="00514171" w:rsidRPr="00A72154">
        <w:rPr>
          <w:rFonts w:eastAsia="AdvOTaf232193"/>
          <w:sz w:val="20"/>
          <w:szCs w:val="20"/>
        </w:rPr>
        <w:t xml:space="preserve"> </w:t>
      </w:r>
      <w:r w:rsidRPr="00A72154">
        <w:rPr>
          <w:rFonts w:eastAsia="AdvOTaf232193"/>
          <w:sz w:val="20"/>
          <w:szCs w:val="20"/>
        </w:rPr>
        <w:t>Issue</w:t>
      </w:r>
      <w:r w:rsidR="00514171" w:rsidRPr="00A72154">
        <w:rPr>
          <w:rFonts w:eastAsia="AdvOTaf232193"/>
          <w:sz w:val="20"/>
          <w:szCs w:val="20"/>
        </w:rPr>
        <w:t xml:space="preserve"> </w:t>
      </w:r>
      <w:r w:rsidRPr="00A72154">
        <w:rPr>
          <w:rFonts w:eastAsia="AdvOTaf232193"/>
          <w:sz w:val="20"/>
          <w:szCs w:val="20"/>
        </w:rPr>
        <w:t>No.</w:t>
      </w:r>
      <w:r w:rsidR="00514171" w:rsidRPr="00A72154">
        <w:rPr>
          <w:rFonts w:eastAsia="AdvOTaf232193"/>
          <w:sz w:val="20"/>
          <w:szCs w:val="20"/>
        </w:rPr>
        <w:t xml:space="preserve"> </w:t>
      </w:r>
      <w:r w:rsidRPr="00A72154">
        <w:rPr>
          <w:rFonts w:eastAsia="AdvOTaf232193"/>
          <w:sz w:val="20"/>
          <w:szCs w:val="20"/>
        </w:rPr>
        <w:t>12,</w:t>
      </w:r>
      <w:r w:rsidR="00514171" w:rsidRPr="00A72154">
        <w:rPr>
          <w:rFonts w:eastAsia="AdvOTaf232193"/>
          <w:sz w:val="20"/>
          <w:szCs w:val="20"/>
        </w:rPr>
        <w:t xml:space="preserve"> </w:t>
      </w:r>
      <w:r w:rsidRPr="00A72154">
        <w:rPr>
          <w:rFonts w:eastAsia="AdvOTaf232193"/>
          <w:sz w:val="20"/>
          <w:szCs w:val="20"/>
        </w:rPr>
        <w:t>2012,</w:t>
      </w:r>
      <w:r w:rsidR="00514171" w:rsidRPr="00A72154">
        <w:rPr>
          <w:rFonts w:eastAsia="AdvOTaf232193"/>
          <w:sz w:val="20"/>
          <w:szCs w:val="20"/>
        </w:rPr>
        <w:t xml:space="preserve"> </w:t>
      </w:r>
      <w:r w:rsidRPr="00A72154">
        <w:rPr>
          <w:rFonts w:eastAsia="AdvOTaf232193"/>
          <w:sz w:val="20"/>
          <w:szCs w:val="20"/>
        </w:rPr>
        <w:t>Page</w:t>
      </w:r>
      <w:r w:rsidR="00514171" w:rsidRPr="00A72154">
        <w:rPr>
          <w:rFonts w:eastAsia="AdvOTaf232193"/>
          <w:sz w:val="20"/>
          <w:szCs w:val="20"/>
        </w:rPr>
        <w:t xml:space="preserve"> </w:t>
      </w:r>
      <w:r w:rsidRPr="00A72154">
        <w:rPr>
          <w:rFonts w:eastAsia="AdvOTaf232193"/>
          <w:sz w:val="20"/>
          <w:szCs w:val="20"/>
        </w:rPr>
        <w:t>1-25.</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Nugent,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Krohn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Hillier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Reliability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diagnosing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bacterial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vaginosis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improved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standardized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method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Gram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stain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interpretation.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Clin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Microbiol.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1991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Feb;29(2):297-301.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1706728</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PMCID: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PMC269757</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Amsel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Totten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Spiegel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Chen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Eschenbach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Holmes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KK</w:t>
      </w:r>
      <w:r w:rsidR="00AC61AC" w:rsidRPr="00A72154">
        <w:rPr>
          <w:rFonts w:ascii="Times New Roman" w:eastAsiaTheme="minorEastAsia" w:hAnsi="Times New Roman" w:cs="Times New Roman" w:hint="eastAsia"/>
          <w:sz w:val="20"/>
          <w:szCs w:val="20"/>
          <w:lang w:eastAsia="zh-CN"/>
        </w:rPr>
        <w: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Nonspecific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lastRenderedPageBreak/>
        <w:t>vaginits.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Diagnostic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criteria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microbial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epidemiologic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association.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1983</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74:14–22.</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6600371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10.1016/0002-9343(83)91112-9</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QIAamp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DNA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Mini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Blood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Mini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Handbook,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fifth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edition,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2016.</w:t>
      </w:r>
      <w:r w:rsidR="00514171" w:rsidRPr="00A72154">
        <w:rPr>
          <w:rFonts w:ascii="Times New Roman" w:eastAsia="AdvOTaf232193" w:hAnsi="Times New Roman" w:cs="Times New Roman"/>
          <w:sz w:val="20"/>
          <w:szCs w:val="20"/>
        </w:rPr>
        <w:t xml:space="preserve"> </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Baud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Goy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Osterheld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Croxatto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Borel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Pospischil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Greub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Role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Waddlia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chondrophila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Placental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Miscarriage.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Emerg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Mar;20(3):460-4.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10.3201/eid2003.131019.</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Daniel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WW.,</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Cross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Biostatistics.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foundation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for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analysis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health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science,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John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Wiley</w:t>
      </w:r>
      <w:r w:rsidR="00514171" w:rsidRPr="00A72154">
        <w:rPr>
          <w:rFonts w:ascii="Times New Roman" w:eastAsia="AdvOTaf232193" w:hAnsi="Times New Roman" w:cs="Times New Roman"/>
          <w:sz w:val="20"/>
          <w:szCs w:val="20"/>
        </w:rPr>
        <w:t xml:space="preserve"> &amp; </w:t>
      </w:r>
      <w:r w:rsidRPr="00A72154">
        <w:rPr>
          <w:rFonts w:ascii="Times New Roman" w:eastAsia="AdvOTaf232193" w:hAnsi="Times New Roman" w:cs="Times New Roman"/>
          <w:sz w:val="20"/>
          <w:szCs w:val="20"/>
        </w:rPr>
        <w:t>Sons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USA,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2013.</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Smaoui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Carole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Sellami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Kammoun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Choura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Maazoun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Mestiri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Aeby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Louati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Derbel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Chaabene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Hammami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Greub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Znazen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AC61AC" w:rsidRPr="00A72154">
        <w:rPr>
          <w:rFonts w:ascii="Times New Roman" w:eastAsiaTheme="minorEastAsia" w:hAnsi="Times New Roman" w:cs="Times New Roman" w:hint="eastAsia"/>
          <w:sz w:val="20"/>
          <w:szCs w:val="20"/>
          <w:lang w:eastAsia="zh-CN"/>
        </w:rPr>
        <w: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Human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miscarriage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Tunisia: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Role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Mycoplasma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hominis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high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Waddlia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seroprevalence.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Dev</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Ctries.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2019</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31;13(5):410-418.</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10.3855/jidc.9829.PMID: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32053510</w:t>
      </w:r>
      <w:r w:rsidR="00514171" w:rsidRPr="00A72154">
        <w:rPr>
          <w:rFonts w:ascii="Times New Roman" w:eastAsia="AdvOTaf232193" w:hAnsi="Times New Roman" w:cs="Times New Roman"/>
          <w:sz w:val="20"/>
          <w:szCs w:val="20"/>
        </w:rPr>
        <w:t xml:space="preserve"> </w:t>
      </w:r>
    </w:p>
    <w:p w:rsidR="00514171"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Nigro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Mazzocco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Mattia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Renzo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Carta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Anceschi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MM.</w:t>
      </w:r>
      <w:r w:rsidR="00514171" w:rsidRPr="00A72154">
        <w:rPr>
          <w:rFonts w:ascii="Times New Roman" w:eastAsia="AdvOTaf232193" w:hAnsi="Times New Roman" w:cs="Times New Roman"/>
          <w:sz w:val="20"/>
          <w:szCs w:val="20"/>
        </w:rPr>
        <w:t xml:space="preserve"> </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Role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the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recurrent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spontaneous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abortion.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Matern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Fetal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Neonatal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Aug;24(8):983-9.</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10.3109/14767058.2010.547963.</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Epub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24.PMID: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21261443</w:t>
      </w:r>
      <w:r w:rsidR="00514171" w:rsidRPr="00A72154">
        <w:rPr>
          <w:rFonts w:ascii="Times New Roman" w:eastAsia="AdvOTaf232193" w:hAnsi="Times New Roman" w:cs="Times New Roman"/>
          <w:sz w:val="20"/>
          <w:szCs w:val="20"/>
        </w:rPr>
        <w:t xml:space="preserve"> </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Guerra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Ghi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Quarta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Morselli-Labate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Lazzarotto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Pilu</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Rizzo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Pregnancy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outcome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after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early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detection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bacterial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vaginosis.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Eur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Obstet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Gynecol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Reprod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Biol.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Sep-Oct;1281-2):</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40–45.</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Epub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Feb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3.</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16460868</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10.1016/j.ejogrb.2005.12.024</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Wilkowska-Trojniel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Zdrodowska-Stefanow</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Ostaszewska-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Puchalska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Redzko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Przepiesc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Zdrodowski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The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influence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trachomatis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spontaneous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abortions.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Adv</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Sci.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2009;54:86–90.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doi:10.2478/v10039-009-0008-5.</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Penta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Lukic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Conte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Chiarini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Fioriti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Longhi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Pietropaolo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Vetrano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Villaccio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Degener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Seganti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L</w:t>
      </w:r>
      <w:r w:rsidR="00AC61AC" w:rsidRPr="00A72154">
        <w:rPr>
          <w:rFonts w:ascii="Times New Roman" w:eastAsiaTheme="minorEastAsia" w:hAnsi="Times New Roman" w:cs="Times New Roman" w:hint="eastAsia"/>
          <w:sz w:val="20"/>
          <w:szCs w:val="20"/>
          <w:lang w:eastAsia="zh-CN"/>
        </w:rPr>
        <w: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Infectious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agents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tissues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from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spontaneous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abortions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the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first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trimester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pregnancy.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New</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Microbiol.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2003;</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26:329–37.</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Check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practical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approach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the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prevention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miscarriage.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Part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4--role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of</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Clin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Exp</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Obstet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Gynecol.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2010;37(4):252-5.</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Review.</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Coste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Job-Spira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Fernandez</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Risk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factors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for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spontaneous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abortion: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case-control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study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France.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Hum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Reprod.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1991;6:1332–</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7.</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Osser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Persson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antibodies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women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who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suffer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miscarriage.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Obstet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lastRenderedPageBreak/>
        <w:t>Gynaecol.</w:t>
      </w:r>
      <w:r w:rsidR="0030614C" w:rsidRPr="00A72154">
        <w:rPr>
          <w:rFonts w:ascii="Times New Roman" w:eastAsiaTheme="minorEastAsia" w:hAnsi="Times New Roman" w:cs="Times New Roman" w:hint="eastAsia"/>
          <w:sz w:val="20"/>
          <w:szCs w:val="20"/>
          <w:lang w:eastAsia="zh-CN"/>
        </w:rPr>
        <w:t xml:space="preserve"> </w:t>
      </w:r>
      <w:r w:rsidRPr="00A72154">
        <w:rPr>
          <w:rFonts w:ascii="Times New Roman" w:eastAsia="AdvOTaf232193" w:hAnsi="Times New Roman" w:cs="Times New Roman"/>
          <w:sz w:val="20"/>
          <w:szCs w:val="20"/>
        </w:rPr>
        <w:t>1996;103:137–41.</w:t>
      </w:r>
      <w:r w:rsidR="0030614C" w:rsidRPr="00A72154">
        <w:rPr>
          <w:rFonts w:ascii="Times New Roman" w:eastAsiaTheme="minorEastAsia" w:hAnsi="Times New Roman" w:cs="Times New Roman" w:hint="eastAsia"/>
          <w:sz w:val="20"/>
          <w:szCs w:val="20"/>
          <w:lang w:eastAsia="zh-CN"/>
        </w:rPr>
        <w:t xml:space="preserve"> </w:t>
      </w:r>
      <w:r w:rsidRPr="00A72154">
        <w:rPr>
          <w:rFonts w:ascii="Times New Roman" w:eastAsia="AdvOTaf232193" w:hAnsi="Times New Roman" w:cs="Times New Roman"/>
          <w:sz w:val="20"/>
          <w:szCs w:val="20"/>
        </w:rPr>
        <w:t>doi:10.1111/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j.1471-0528.1996.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tb09665</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Baud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Goy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Osterheld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MC,</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Borel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Vial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Y,</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Pospischil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Greub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Waddlia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chondrophila: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From</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Bovine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Abortion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Human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Miscarriage.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Clin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Infect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Jun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15;52(12):1469-71.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10.1093/cid/cir205.</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Epub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2011</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Apr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14.</w:t>
      </w:r>
    </w:p>
    <w:p w:rsidR="00303D36" w:rsidRPr="00A72154" w:rsidRDefault="007C381C" w:rsidP="00AC61AC">
      <w:pPr>
        <w:pStyle w:val="ListParagraph"/>
        <w:numPr>
          <w:ilvl w:val="0"/>
          <w:numId w:val="7"/>
        </w:numPr>
        <w:snapToGrid w:val="0"/>
        <w:spacing w:after="0" w:line="240" w:lineRule="auto"/>
        <w:ind w:left="425" w:hanging="425"/>
        <w:jc w:val="both"/>
        <w:rPr>
          <w:rFonts w:ascii="Times New Roman" w:eastAsia="AdvOTaf232193" w:hAnsi="Times New Roman" w:cs="Times New Roman"/>
          <w:sz w:val="20"/>
          <w:szCs w:val="20"/>
        </w:rPr>
      </w:pPr>
      <w:r w:rsidRPr="00A72154">
        <w:rPr>
          <w:rFonts w:ascii="Times New Roman" w:eastAsia="AdvOTaf232193" w:hAnsi="Times New Roman" w:cs="Times New Roman"/>
          <w:sz w:val="20"/>
          <w:szCs w:val="20"/>
        </w:rPr>
        <w:t>Jaton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K,</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Bille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Greub</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novel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real-time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PCR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to</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detect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Chlamydia</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trachomatis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in</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first-void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urine</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or</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genital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swabs.</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J</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Med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Microbiol.</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2006;</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55(pt</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12):1667–74.</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PMID:</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17108270</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DOI:</w:t>
      </w:r>
      <w:r w:rsidR="00514171" w:rsidRPr="00A72154">
        <w:rPr>
          <w:rFonts w:ascii="Times New Roman" w:eastAsia="AdvOTaf232193" w:hAnsi="Times New Roman" w:cs="Times New Roman"/>
          <w:sz w:val="20"/>
          <w:szCs w:val="20"/>
        </w:rPr>
        <w:t xml:space="preserve"> </w:t>
      </w:r>
      <w:r w:rsidRPr="00A72154">
        <w:rPr>
          <w:rFonts w:ascii="Times New Roman" w:eastAsia="AdvOTaf232193" w:hAnsi="Times New Roman" w:cs="Times New Roman"/>
          <w:sz w:val="20"/>
          <w:szCs w:val="20"/>
        </w:rPr>
        <w:t>10.1099/jmm.0.46675-0</w:t>
      </w:r>
    </w:p>
    <w:p w:rsidR="00514171" w:rsidRPr="00A72154" w:rsidRDefault="007C381C" w:rsidP="00AC61AC">
      <w:pPr>
        <w:numPr>
          <w:ilvl w:val="0"/>
          <w:numId w:val="7"/>
        </w:numPr>
        <w:snapToGrid w:val="0"/>
        <w:spacing w:after="0"/>
        <w:ind w:left="425" w:hanging="425"/>
        <w:contextualSpacing/>
        <w:jc w:val="both"/>
        <w:rPr>
          <w:rFonts w:eastAsia="AdvOTaf232193"/>
          <w:sz w:val="20"/>
          <w:szCs w:val="20"/>
        </w:rPr>
      </w:pPr>
      <w:r w:rsidRPr="00A72154">
        <w:rPr>
          <w:rFonts w:eastAsia="AdvOTaf232193"/>
          <w:sz w:val="20"/>
          <w:szCs w:val="20"/>
        </w:rPr>
        <w:t>Lienard</w:t>
      </w:r>
      <w:r w:rsidR="00514171" w:rsidRPr="00A72154">
        <w:rPr>
          <w:rFonts w:eastAsia="AdvOTaf232193"/>
          <w:sz w:val="20"/>
          <w:szCs w:val="20"/>
        </w:rPr>
        <w:t xml:space="preserve"> </w:t>
      </w:r>
      <w:r w:rsidRPr="00A72154">
        <w:rPr>
          <w:rFonts w:eastAsia="AdvOTaf232193"/>
          <w:sz w:val="20"/>
          <w:szCs w:val="20"/>
        </w:rPr>
        <w:t>J.,</w:t>
      </w:r>
      <w:r w:rsidR="00514171" w:rsidRPr="00A72154">
        <w:rPr>
          <w:rFonts w:eastAsia="AdvOTaf232193"/>
          <w:sz w:val="20"/>
          <w:szCs w:val="20"/>
        </w:rPr>
        <w:t xml:space="preserve"> </w:t>
      </w:r>
      <w:r w:rsidRPr="00A72154">
        <w:rPr>
          <w:rFonts w:eastAsia="AdvOTaf232193"/>
          <w:sz w:val="20"/>
          <w:szCs w:val="20"/>
        </w:rPr>
        <w:t>Croxatto</w:t>
      </w:r>
      <w:r w:rsidR="00514171" w:rsidRPr="00A72154">
        <w:rPr>
          <w:rFonts w:eastAsia="AdvOTaf232193"/>
          <w:sz w:val="20"/>
          <w:szCs w:val="20"/>
        </w:rPr>
        <w:t xml:space="preserve"> </w:t>
      </w:r>
      <w:r w:rsidRPr="00A72154">
        <w:rPr>
          <w:rFonts w:eastAsia="AdvOTaf232193"/>
          <w:sz w:val="20"/>
          <w:szCs w:val="20"/>
        </w:rPr>
        <w:t>A.,</w:t>
      </w:r>
      <w:r w:rsidR="00514171" w:rsidRPr="00A72154">
        <w:rPr>
          <w:rFonts w:eastAsia="AdvOTaf232193"/>
          <w:sz w:val="20"/>
          <w:szCs w:val="20"/>
        </w:rPr>
        <w:t xml:space="preserve"> </w:t>
      </w:r>
      <w:r w:rsidRPr="00A72154">
        <w:rPr>
          <w:rFonts w:eastAsia="AdvOTaf232193"/>
          <w:sz w:val="20"/>
          <w:szCs w:val="20"/>
        </w:rPr>
        <w:t>Aeby</w:t>
      </w:r>
      <w:r w:rsidR="00514171" w:rsidRPr="00A72154">
        <w:rPr>
          <w:rFonts w:eastAsia="AdvOTaf232193"/>
          <w:sz w:val="20"/>
          <w:szCs w:val="20"/>
        </w:rPr>
        <w:t xml:space="preserve"> </w:t>
      </w:r>
      <w:r w:rsidRPr="00A72154">
        <w:rPr>
          <w:rFonts w:eastAsia="AdvOTaf232193"/>
          <w:sz w:val="20"/>
          <w:szCs w:val="20"/>
        </w:rPr>
        <w:t>S.,</w:t>
      </w:r>
      <w:r w:rsidR="00514171" w:rsidRPr="00A72154">
        <w:rPr>
          <w:rFonts w:eastAsia="AdvOTaf232193"/>
          <w:sz w:val="20"/>
          <w:szCs w:val="20"/>
        </w:rPr>
        <w:t xml:space="preserve"> </w:t>
      </w:r>
      <w:r w:rsidRPr="00A72154">
        <w:rPr>
          <w:rFonts w:eastAsia="AdvOTaf232193"/>
          <w:sz w:val="20"/>
          <w:szCs w:val="20"/>
        </w:rPr>
        <w:t>Jaton</w:t>
      </w:r>
      <w:r w:rsidR="00514171" w:rsidRPr="00A72154">
        <w:rPr>
          <w:rFonts w:eastAsia="AdvOTaf232193"/>
          <w:sz w:val="20"/>
          <w:szCs w:val="20"/>
        </w:rPr>
        <w:t xml:space="preserve"> </w:t>
      </w:r>
      <w:r w:rsidRPr="00A72154">
        <w:rPr>
          <w:rFonts w:eastAsia="AdvOTaf232193"/>
          <w:sz w:val="20"/>
          <w:szCs w:val="20"/>
        </w:rPr>
        <w:t>K.,</w:t>
      </w:r>
      <w:r w:rsidR="00514171" w:rsidRPr="00A72154">
        <w:rPr>
          <w:rFonts w:eastAsia="AdvOTaf232193"/>
          <w:sz w:val="20"/>
          <w:szCs w:val="20"/>
        </w:rPr>
        <w:t xml:space="preserve"> </w:t>
      </w:r>
      <w:r w:rsidRPr="00A72154">
        <w:rPr>
          <w:rFonts w:eastAsia="AdvOTaf232193"/>
          <w:sz w:val="20"/>
          <w:szCs w:val="20"/>
        </w:rPr>
        <w:t>Posfay-Barbe</w:t>
      </w:r>
      <w:r w:rsidR="00514171" w:rsidRPr="00A72154">
        <w:rPr>
          <w:rFonts w:eastAsia="AdvOTaf232193"/>
          <w:sz w:val="20"/>
          <w:szCs w:val="20"/>
        </w:rPr>
        <w:t xml:space="preserve"> </w:t>
      </w:r>
      <w:r w:rsidRPr="00A72154">
        <w:rPr>
          <w:rFonts w:eastAsia="AdvOTaf232193"/>
          <w:sz w:val="20"/>
          <w:szCs w:val="20"/>
        </w:rPr>
        <w:t>K.,</w:t>
      </w:r>
      <w:r w:rsidR="00514171" w:rsidRPr="00A72154">
        <w:rPr>
          <w:rFonts w:eastAsia="AdvOTaf232193"/>
          <w:sz w:val="20"/>
          <w:szCs w:val="20"/>
        </w:rPr>
        <w:t xml:space="preserve"> </w:t>
      </w:r>
      <w:r w:rsidRPr="00A72154">
        <w:rPr>
          <w:rFonts w:eastAsia="AdvOTaf232193"/>
          <w:sz w:val="20"/>
          <w:szCs w:val="20"/>
        </w:rPr>
        <w:t>Gervaix</w:t>
      </w:r>
      <w:r w:rsidR="00514171" w:rsidRPr="00A72154">
        <w:rPr>
          <w:rFonts w:eastAsia="AdvOTaf232193"/>
          <w:sz w:val="20"/>
          <w:szCs w:val="20"/>
        </w:rPr>
        <w:t xml:space="preserve"> </w:t>
      </w:r>
      <w:r w:rsidRPr="00A72154">
        <w:rPr>
          <w:rFonts w:eastAsia="AdvOTaf232193"/>
          <w:sz w:val="20"/>
          <w:szCs w:val="20"/>
        </w:rPr>
        <w:t>A,</w:t>
      </w:r>
      <w:r w:rsidR="00514171" w:rsidRPr="00A72154">
        <w:rPr>
          <w:rFonts w:eastAsia="AdvOTaf232193"/>
          <w:sz w:val="20"/>
          <w:szCs w:val="20"/>
        </w:rPr>
        <w:t xml:space="preserve"> </w:t>
      </w:r>
      <w:r w:rsidRPr="00A72154">
        <w:rPr>
          <w:rFonts w:eastAsia="AdvOTaf232193"/>
          <w:sz w:val="20"/>
          <w:szCs w:val="20"/>
        </w:rPr>
        <w:t>Greub</w:t>
      </w:r>
      <w:r w:rsidR="00514171" w:rsidRPr="00A72154">
        <w:rPr>
          <w:rFonts w:eastAsia="AdvOTaf232193"/>
          <w:sz w:val="20"/>
          <w:szCs w:val="20"/>
        </w:rPr>
        <w:t xml:space="preserve"> </w:t>
      </w:r>
      <w:r w:rsidRPr="00A72154">
        <w:rPr>
          <w:rFonts w:eastAsia="AdvOTaf232193"/>
          <w:sz w:val="20"/>
          <w:szCs w:val="20"/>
        </w:rPr>
        <w:t>G.</w:t>
      </w:r>
      <w:r w:rsidR="00514171" w:rsidRPr="00A72154">
        <w:rPr>
          <w:rFonts w:eastAsia="AdvOTaf232193"/>
          <w:sz w:val="20"/>
          <w:szCs w:val="20"/>
        </w:rPr>
        <w:t xml:space="preserve"> </w:t>
      </w:r>
      <w:r w:rsidRPr="00A72154">
        <w:rPr>
          <w:rFonts w:eastAsia="AdvOTaf232193"/>
          <w:sz w:val="20"/>
          <w:szCs w:val="20"/>
        </w:rPr>
        <w:t>Development</w:t>
      </w:r>
      <w:r w:rsidR="00514171" w:rsidRPr="00A72154">
        <w:rPr>
          <w:rFonts w:eastAsia="AdvOTaf232193"/>
          <w:sz w:val="20"/>
          <w:szCs w:val="20"/>
        </w:rPr>
        <w:t xml:space="preserve"> </w:t>
      </w:r>
      <w:r w:rsidRPr="00A72154">
        <w:rPr>
          <w:rFonts w:eastAsia="AdvOTaf232193"/>
          <w:sz w:val="20"/>
          <w:szCs w:val="20"/>
        </w:rPr>
        <w:t>of</w:t>
      </w:r>
      <w:r w:rsidR="00514171" w:rsidRPr="00A72154">
        <w:rPr>
          <w:rFonts w:eastAsia="AdvOTaf232193"/>
          <w:sz w:val="20"/>
          <w:szCs w:val="20"/>
        </w:rPr>
        <w:t xml:space="preserve"> </w:t>
      </w:r>
      <w:r w:rsidRPr="00A72154">
        <w:rPr>
          <w:rFonts w:eastAsia="AdvOTaf232193"/>
          <w:sz w:val="20"/>
          <w:szCs w:val="20"/>
        </w:rPr>
        <w:t>a</w:t>
      </w:r>
      <w:r w:rsidR="00514171" w:rsidRPr="00A72154">
        <w:rPr>
          <w:rFonts w:eastAsia="AdvOTaf232193"/>
          <w:sz w:val="20"/>
          <w:szCs w:val="20"/>
        </w:rPr>
        <w:t xml:space="preserve"> </w:t>
      </w:r>
      <w:r w:rsidRPr="00A72154">
        <w:rPr>
          <w:rFonts w:eastAsia="AdvOTaf232193"/>
          <w:sz w:val="20"/>
          <w:szCs w:val="20"/>
        </w:rPr>
        <w:t>new</w:t>
      </w:r>
      <w:r w:rsidR="00514171" w:rsidRPr="00A72154">
        <w:rPr>
          <w:rFonts w:eastAsia="AdvOTaf232193"/>
          <w:sz w:val="20"/>
          <w:szCs w:val="20"/>
        </w:rPr>
        <w:t xml:space="preserve"> </w:t>
      </w:r>
      <w:r w:rsidRPr="00A72154">
        <w:rPr>
          <w:rFonts w:eastAsia="AdvOTaf232193"/>
          <w:sz w:val="20"/>
          <w:szCs w:val="20"/>
        </w:rPr>
        <w:t>chlamydiales-specific</w:t>
      </w:r>
      <w:r w:rsidR="00514171" w:rsidRPr="00A72154">
        <w:rPr>
          <w:rFonts w:eastAsia="AdvOTaf232193"/>
          <w:sz w:val="20"/>
          <w:szCs w:val="20"/>
        </w:rPr>
        <w:t xml:space="preserve"> </w:t>
      </w:r>
      <w:r w:rsidRPr="00A72154">
        <w:rPr>
          <w:rFonts w:eastAsia="AdvOTaf232193"/>
          <w:sz w:val="20"/>
          <w:szCs w:val="20"/>
        </w:rPr>
        <w:t>real-time</w:t>
      </w:r>
      <w:r w:rsidR="00514171" w:rsidRPr="00A72154">
        <w:rPr>
          <w:rFonts w:eastAsia="AdvOTaf232193"/>
          <w:sz w:val="20"/>
          <w:szCs w:val="20"/>
        </w:rPr>
        <w:t xml:space="preserve"> </w:t>
      </w:r>
      <w:r w:rsidRPr="00A72154">
        <w:rPr>
          <w:rFonts w:eastAsia="AdvOTaf232193"/>
          <w:sz w:val="20"/>
          <w:szCs w:val="20"/>
        </w:rPr>
        <w:t>PCR</w:t>
      </w:r>
      <w:r w:rsidR="00514171" w:rsidRPr="00A72154">
        <w:rPr>
          <w:rFonts w:eastAsia="AdvOTaf232193"/>
          <w:sz w:val="20"/>
          <w:szCs w:val="20"/>
        </w:rPr>
        <w:t xml:space="preserve"> </w:t>
      </w:r>
      <w:r w:rsidRPr="00A72154">
        <w:rPr>
          <w:rFonts w:eastAsia="AdvOTaf232193"/>
          <w:sz w:val="20"/>
          <w:szCs w:val="20"/>
        </w:rPr>
        <w:t>and</w:t>
      </w:r>
      <w:r w:rsidR="00514171" w:rsidRPr="00A72154">
        <w:rPr>
          <w:rFonts w:eastAsia="AdvOTaf232193"/>
          <w:sz w:val="20"/>
          <w:szCs w:val="20"/>
        </w:rPr>
        <w:t xml:space="preserve"> </w:t>
      </w:r>
      <w:r w:rsidRPr="00A72154">
        <w:rPr>
          <w:rFonts w:eastAsia="AdvOTaf232193"/>
          <w:sz w:val="20"/>
          <w:szCs w:val="20"/>
        </w:rPr>
        <w:t>its</w:t>
      </w:r>
      <w:r w:rsidR="00514171" w:rsidRPr="00A72154">
        <w:rPr>
          <w:rFonts w:eastAsia="AdvOTaf232193"/>
          <w:sz w:val="20"/>
          <w:szCs w:val="20"/>
        </w:rPr>
        <w:t xml:space="preserve"> </w:t>
      </w:r>
      <w:r w:rsidRPr="00A72154">
        <w:rPr>
          <w:rFonts w:eastAsia="AdvOTaf232193"/>
          <w:sz w:val="20"/>
          <w:szCs w:val="20"/>
        </w:rPr>
        <w:t>application</w:t>
      </w:r>
      <w:r w:rsidR="00514171" w:rsidRPr="00A72154">
        <w:rPr>
          <w:rFonts w:eastAsia="AdvOTaf232193"/>
          <w:sz w:val="20"/>
          <w:szCs w:val="20"/>
        </w:rPr>
        <w:t xml:space="preserve"> </w:t>
      </w:r>
      <w:r w:rsidRPr="00A72154">
        <w:rPr>
          <w:rFonts w:eastAsia="AdvOTaf232193"/>
          <w:sz w:val="20"/>
          <w:szCs w:val="20"/>
        </w:rPr>
        <w:t>to</w:t>
      </w:r>
      <w:r w:rsidR="00514171" w:rsidRPr="00A72154">
        <w:rPr>
          <w:rFonts w:eastAsia="AdvOTaf232193"/>
          <w:sz w:val="20"/>
          <w:szCs w:val="20"/>
        </w:rPr>
        <w:t xml:space="preserve"> </w:t>
      </w:r>
      <w:r w:rsidRPr="00A72154">
        <w:rPr>
          <w:rFonts w:eastAsia="AdvOTaf232193"/>
          <w:sz w:val="20"/>
          <w:szCs w:val="20"/>
        </w:rPr>
        <w:t>respiratory</w:t>
      </w:r>
      <w:r w:rsidR="00514171" w:rsidRPr="00A72154">
        <w:rPr>
          <w:rFonts w:eastAsia="AdvOTaf232193"/>
          <w:sz w:val="20"/>
          <w:szCs w:val="20"/>
        </w:rPr>
        <w:t xml:space="preserve"> </w:t>
      </w:r>
      <w:r w:rsidRPr="00A72154">
        <w:rPr>
          <w:rFonts w:eastAsia="AdvOTaf232193"/>
          <w:sz w:val="20"/>
          <w:szCs w:val="20"/>
        </w:rPr>
        <w:lastRenderedPageBreak/>
        <w:t>clinical</w:t>
      </w:r>
      <w:r w:rsidR="00514171" w:rsidRPr="00A72154">
        <w:rPr>
          <w:rFonts w:eastAsia="AdvOTaf232193"/>
          <w:sz w:val="20"/>
          <w:szCs w:val="20"/>
        </w:rPr>
        <w:t xml:space="preserve"> </w:t>
      </w:r>
      <w:r w:rsidRPr="00A72154">
        <w:rPr>
          <w:rFonts w:eastAsia="AdvOTaf232193"/>
          <w:sz w:val="20"/>
          <w:szCs w:val="20"/>
        </w:rPr>
        <w:t>samples.</w:t>
      </w:r>
      <w:r w:rsidR="00514171" w:rsidRPr="00A72154">
        <w:rPr>
          <w:rFonts w:eastAsia="AdvOTaf232193"/>
          <w:sz w:val="20"/>
          <w:szCs w:val="20"/>
        </w:rPr>
        <w:t xml:space="preserve"> </w:t>
      </w:r>
      <w:r w:rsidRPr="00A72154">
        <w:rPr>
          <w:rFonts w:eastAsia="AdvOTaf232193"/>
          <w:sz w:val="20"/>
          <w:szCs w:val="20"/>
        </w:rPr>
        <w:t>J</w:t>
      </w:r>
      <w:r w:rsidR="00514171" w:rsidRPr="00A72154">
        <w:rPr>
          <w:rFonts w:eastAsia="AdvOTaf232193"/>
          <w:sz w:val="20"/>
          <w:szCs w:val="20"/>
        </w:rPr>
        <w:t xml:space="preserve"> </w:t>
      </w:r>
      <w:r w:rsidRPr="00A72154">
        <w:rPr>
          <w:rFonts w:eastAsia="AdvOTaf232193"/>
          <w:sz w:val="20"/>
          <w:szCs w:val="20"/>
        </w:rPr>
        <w:t>Clin</w:t>
      </w:r>
      <w:r w:rsidR="00514171" w:rsidRPr="00A72154">
        <w:rPr>
          <w:rFonts w:eastAsia="AdvOTaf232193"/>
          <w:sz w:val="20"/>
          <w:szCs w:val="20"/>
        </w:rPr>
        <w:t xml:space="preserve"> </w:t>
      </w:r>
      <w:r w:rsidRPr="00A72154">
        <w:rPr>
          <w:rFonts w:eastAsia="AdvOTaf232193"/>
          <w:sz w:val="20"/>
          <w:szCs w:val="20"/>
        </w:rPr>
        <w:t>Microbiol.</w:t>
      </w:r>
      <w:r w:rsidR="00514171" w:rsidRPr="00A72154">
        <w:rPr>
          <w:rFonts w:eastAsia="AdvOTaf232193"/>
          <w:sz w:val="20"/>
          <w:szCs w:val="20"/>
        </w:rPr>
        <w:t xml:space="preserve"> </w:t>
      </w:r>
      <w:r w:rsidRPr="00A72154">
        <w:rPr>
          <w:rFonts w:eastAsia="AdvOTaf232193"/>
          <w:sz w:val="20"/>
          <w:szCs w:val="20"/>
        </w:rPr>
        <w:t>2011;</w:t>
      </w:r>
      <w:r w:rsidR="00514171" w:rsidRPr="00A72154">
        <w:rPr>
          <w:rFonts w:eastAsia="AdvOTaf232193"/>
          <w:sz w:val="20"/>
          <w:szCs w:val="20"/>
        </w:rPr>
        <w:t xml:space="preserve"> </w:t>
      </w:r>
      <w:r w:rsidRPr="00A72154">
        <w:rPr>
          <w:rFonts w:eastAsia="AdvOTaf232193"/>
          <w:sz w:val="20"/>
          <w:szCs w:val="20"/>
        </w:rPr>
        <w:t>49(7):2637–2642.</w:t>
      </w:r>
      <w:r w:rsidR="00514171" w:rsidRPr="00A72154">
        <w:rPr>
          <w:rFonts w:eastAsia="AdvOTaf232193"/>
          <w:sz w:val="20"/>
          <w:szCs w:val="20"/>
        </w:rPr>
        <w:t xml:space="preserve"> </w:t>
      </w:r>
      <w:r w:rsidRPr="00A72154">
        <w:rPr>
          <w:rFonts w:eastAsia="AdvOTaf232193"/>
          <w:sz w:val="20"/>
          <w:szCs w:val="20"/>
        </w:rPr>
        <w:t>doi:</w:t>
      </w:r>
      <w:r w:rsidR="00514171" w:rsidRPr="00A72154">
        <w:rPr>
          <w:rFonts w:eastAsia="AdvOTaf232193"/>
          <w:sz w:val="20"/>
          <w:szCs w:val="20"/>
        </w:rPr>
        <w:t xml:space="preserve"> </w:t>
      </w:r>
      <w:r w:rsidRPr="00A72154">
        <w:rPr>
          <w:rFonts w:eastAsia="AdvOTaf232193"/>
          <w:sz w:val="20"/>
          <w:szCs w:val="20"/>
        </w:rPr>
        <w:t>10.1128/JCM.00114-11.</w:t>
      </w:r>
      <w:r w:rsidR="00514171" w:rsidRPr="00A72154">
        <w:rPr>
          <w:rFonts w:eastAsia="AdvOTaf232193"/>
          <w:sz w:val="20"/>
          <w:szCs w:val="20"/>
        </w:rPr>
        <w:t xml:space="preserve"> </w:t>
      </w:r>
      <w:r w:rsidRPr="00A72154">
        <w:rPr>
          <w:rFonts w:eastAsia="AdvOTaf232193"/>
          <w:sz w:val="20"/>
          <w:szCs w:val="20"/>
        </w:rPr>
        <w:t>Epub</w:t>
      </w:r>
      <w:r w:rsidR="00514171" w:rsidRPr="00A72154">
        <w:rPr>
          <w:rFonts w:eastAsia="AdvOTaf232193"/>
          <w:sz w:val="20"/>
          <w:szCs w:val="20"/>
        </w:rPr>
        <w:t xml:space="preserve"> </w:t>
      </w:r>
      <w:r w:rsidRPr="00A72154">
        <w:rPr>
          <w:rFonts w:eastAsia="AdvOTaf232193"/>
          <w:sz w:val="20"/>
          <w:szCs w:val="20"/>
        </w:rPr>
        <w:t>2011</w:t>
      </w:r>
      <w:r w:rsidR="00514171" w:rsidRPr="00A72154">
        <w:rPr>
          <w:rFonts w:eastAsia="AdvOTaf232193"/>
          <w:sz w:val="20"/>
          <w:szCs w:val="20"/>
        </w:rPr>
        <w:t xml:space="preserve"> </w:t>
      </w:r>
      <w:r w:rsidRPr="00A72154">
        <w:rPr>
          <w:rFonts w:eastAsia="AdvOTaf232193"/>
          <w:sz w:val="20"/>
          <w:szCs w:val="20"/>
        </w:rPr>
        <w:t>May</w:t>
      </w:r>
      <w:r w:rsidR="00514171" w:rsidRPr="00A72154">
        <w:rPr>
          <w:rFonts w:eastAsia="AdvOTaf232193"/>
          <w:sz w:val="20"/>
          <w:szCs w:val="20"/>
        </w:rPr>
        <w:t xml:space="preserve"> </w:t>
      </w:r>
      <w:r w:rsidRPr="00A72154">
        <w:rPr>
          <w:rFonts w:eastAsia="AdvOTaf232193"/>
          <w:sz w:val="20"/>
          <w:szCs w:val="20"/>
        </w:rPr>
        <w:t>11.</w:t>
      </w:r>
    </w:p>
    <w:p w:rsidR="00303D36" w:rsidRPr="00A72154" w:rsidRDefault="00514171" w:rsidP="00AC61AC">
      <w:pPr>
        <w:numPr>
          <w:ilvl w:val="0"/>
          <w:numId w:val="7"/>
        </w:numPr>
        <w:snapToGrid w:val="0"/>
        <w:spacing w:after="0"/>
        <w:ind w:left="425" w:hanging="425"/>
        <w:contextualSpacing/>
        <w:jc w:val="both"/>
        <w:rPr>
          <w:rFonts w:eastAsia="AdvOTaf232193"/>
          <w:sz w:val="20"/>
          <w:szCs w:val="20"/>
        </w:rPr>
      </w:pPr>
      <w:r w:rsidRPr="00A72154">
        <w:rPr>
          <w:rFonts w:eastAsia="AdvOTaf232193"/>
          <w:sz w:val="20"/>
          <w:szCs w:val="20"/>
        </w:rPr>
        <w:t>G</w:t>
      </w:r>
      <w:r w:rsidR="007C381C" w:rsidRPr="00A72154">
        <w:rPr>
          <w:rFonts w:eastAsia="AdvOTaf232193"/>
          <w:sz w:val="20"/>
          <w:szCs w:val="20"/>
        </w:rPr>
        <w:t>oy</w:t>
      </w:r>
      <w:r w:rsidRPr="00A72154">
        <w:rPr>
          <w:rFonts w:eastAsia="AdvOTaf232193"/>
          <w:sz w:val="20"/>
          <w:szCs w:val="20"/>
        </w:rPr>
        <w:t xml:space="preserve"> </w:t>
      </w:r>
      <w:r w:rsidR="007C381C" w:rsidRPr="00A72154">
        <w:rPr>
          <w:rFonts w:eastAsia="AdvOTaf232193"/>
          <w:sz w:val="20"/>
          <w:szCs w:val="20"/>
        </w:rPr>
        <w:t>G.,</w:t>
      </w:r>
      <w:r w:rsidRPr="00A72154">
        <w:rPr>
          <w:rFonts w:eastAsia="AdvOTaf232193"/>
          <w:sz w:val="20"/>
          <w:szCs w:val="20"/>
        </w:rPr>
        <w:t xml:space="preserve"> </w:t>
      </w:r>
      <w:r w:rsidR="007C381C" w:rsidRPr="00A72154">
        <w:rPr>
          <w:rFonts w:eastAsia="AdvOTaf232193"/>
          <w:sz w:val="20"/>
          <w:szCs w:val="20"/>
        </w:rPr>
        <w:t>Croxatto</w:t>
      </w:r>
      <w:r w:rsidRPr="00A72154">
        <w:rPr>
          <w:rFonts w:eastAsia="AdvOTaf232193"/>
          <w:sz w:val="20"/>
          <w:szCs w:val="20"/>
        </w:rPr>
        <w:t xml:space="preserve"> </w:t>
      </w:r>
      <w:r w:rsidR="007C381C" w:rsidRPr="00A72154">
        <w:rPr>
          <w:rFonts w:eastAsia="AdvOTaf232193"/>
          <w:sz w:val="20"/>
          <w:szCs w:val="20"/>
        </w:rPr>
        <w:t>A.,</w:t>
      </w:r>
      <w:r w:rsidRPr="00A72154">
        <w:rPr>
          <w:rFonts w:eastAsia="AdvOTaf232193"/>
          <w:sz w:val="20"/>
          <w:szCs w:val="20"/>
        </w:rPr>
        <w:t xml:space="preserve"> </w:t>
      </w:r>
      <w:r w:rsidR="007C381C" w:rsidRPr="00A72154">
        <w:rPr>
          <w:rFonts w:eastAsia="AdvOTaf232193"/>
          <w:sz w:val="20"/>
          <w:szCs w:val="20"/>
        </w:rPr>
        <w:t>Posfay-Barbe</w:t>
      </w:r>
      <w:r w:rsidRPr="00A72154">
        <w:rPr>
          <w:rFonts w:eastAsia="AdvOTaf232193"/>
          <w:sz w:val="20"/>
          <w:szCs w:val="20"/>
        </w:rPr>
        <w:t xml:space="preserve"> </w:t>
      </w:r>
      <w:r w:rsidR="007C381C" w:rsidRPr="00A72154">
        <w:rPr>
          <w:rFonts w:eastAsia="AdvOTaf232193"/>
          <w:sz w:val="20"/>
          <w:szCs w:val="20"/>
        </w:rPr>
        <w:t>K.M.,</w:t>
      </w:r>
      <w:r w:rsidRPr="00A72154">
        <w:rPr>
          <w:rFonts w:eastAsia="AdvOTaf232193"/>
          <w:sz w:val="20"/>
          <w:szCs w:val="20"/>
        </w:rPr>
        <w:t xml:space="preserve"> </w:t>
      </w:r>
      <w:r w:rsidR="007C381C" w:rsidRPr="00A72154">
        <w:rPr>
          <w:rFonts w:eastAsia="AdvOTaf232193"/>
          <w:sz w:val="20"/>
          <w:szCs w:val="20"/>
        </w:rPr>
        <w:t>Gervaix</w:t>
      </w:r>
      <w:r w:rsidRPr="00A72154">
        <w:rPr>
          <w:rFonts w:eastAsia="AdvOTaf232193"/>
          <w:sz w:val="20"/>
          <w:szCs w:val="20"/>
        </w:rPr>
        <w:t xml:space="preserve"> </w:t>
      </w:r>
      <w:r w:rsidR="007C381C" w:rsidRPr="00A72154">
        <w:rPr>
          <w:rFonts w:eastAsia="AdvOTaf232193"/>
          <w:sz w:val="20"/>
          <w:szCs w:val="20"/>
        </w:rPr>
        <w:t>A.,</w:t>
      </w:r>
      <w:r w:rsidRPr="00A72154">
        <w:rPr>
          <w:rFonts w:eastAsia="AdvOTaf232193"/>
          <w:sz w:val="20"/>
          <w:szCs w:val="20"/>
        </w:rPr>
        <w:t xml:space="preserve"> </w:t>
      </w:r>
      <w:r w:rsidR="007C381C" w:rsidRPr="00A72154">
        <w:rPr>
          <w:rFonts w:eastAsia="AdvOTaf232193"/>
          <w:sz w:val="20"/>
          <w:szCs w:val="20"/>
        </w:rPr>
        <w:t>Greub</w:t>
      </w:r>
      <w:r w:rsidRPr="00A72154">
        <w:rPr>
          <w:rFonts w:eastAsia="AdvOTaf232193"/>
          <w:sz w:val="20"/>
          <w:szCs w:val="20"/>
        </w:rPr>
        <w:t xml:space="preserve"> </w:t>
      </w:r>
      <w:r w:rsidR="007C381C" w:rsidRPr="00A72154">
        <w:rPr>
          <w:rFonts w:eastAsia="AdvOTaf232193"/>
          <w:sz w:val="20"/>
          <w:szCs w:val="20"/>
        </w:rPr>
        <w:t>G.</w:t>
      </w:r>
      <w:r w:rsidRPr="00A72154">
        <w:rPr>
          <w:rFonts w:eastAsia="AdvOTaf232193"/>
          <w:sz w:val="20"/>
          <w:szCs w:val="20"/>
        </w:rPr>
        <w:t xml:space="preserve"> </w:t>
      </w:r>
      <w:r w:rsidR="007C381C" w:rsidRPr="00A72154">
        <w:rPr>
          <w:rFonts w:eastAsia="AdvOTaf232193"/>
          <w:sz w:val="20"/>
          <w:szCs w:val="20"/>
        </w:rPr>
        <w:t>Development</w:t>
      </w:r>
      <w:r w:rsidRPr="00A72154">
        <w:rPr>
          <w:rFonts w:eastAsia="AdvOTaf232193"/>
          <w:sz w:val="20"/>
          <w:szCs w:val="20"/>
        </w:rPr>
        <w:t xml:space="preserve"> </w:t>
      </w:r>
      <w:r w:rsidR="007C381C" w:rsidRPr="00A72154">
        <w:rPr>
          <w:rFonts w:eastAsia="AdvOTaf232193"/>
          <w:sz w:val="20"/>
          <w:szCs w:val="20"/>
        </w:rPr>
        <w:t>of</w:t>
      </w:r>
      <w:r w:rsidRPr="00A72154">
        <w:rPr>
          <w:rFonts w:eastAsia="AdvOTaf232193"/>
          <w:sz w:val="20"/>
          <w:szCs w:val="20"/>
        </w:rPr>
        <w:t xml:space="preserve"> </w:t>
      </w:r>
      <w:r w:rsidR="007C381C" w:rsidRPr="00A72154">
        <w:rPr>
          <w:rFonts w:eastAsia="AdvOTaf232193"/>
          <w:sz w:val="20"/>
          <w:szCs w:val="20"/>
        </w:rPr>
        <w:t>a</w:t>
      </w:r>
      <w:r w:rsidRPr="00A72154">
        <w:rPr>
          <w:rFonts w:eastAsia="AdvOTaf232193"/>
          <w:sz w:val="20"/>
          <w:szCs w:val="20"/>
        </w:rPr>
        <w:t xml:space="preserve"> </w:t>
      </w:r>
      <w:r w:rsidR="007C381C" w:rsidRPr="00A72154">
        <w:rPr>
          <w:rFonts w:eastAsia="AdvOTaf232193"/>
          <w:sz w:val="20"/>
          <w:szCs w:val="20"/>
        </w:rPr>
        <w:t>real-time</w:t>
      </w:r>
      <w:r w:rsidRPr="00A72154">
        <w:rPr>
          <w:rFonts w:eastAsia="AdvOTaf232193"/>
          <w:sz w:val="20"/>
          <w:szCs w:val="20"/>
        </w:rPr>
        <w:t xml:space="preserve"> </w:t>
      </w:r>
      <w:r w:rsidR="007C381C" w:rsidRPr="00A72154">
        <w:rPr>
          <w:rFonts w:eastAsia="AdvOTaf232193"/>
          <w:sz w:val="20"/>
          <w:szCs w:val="20"/>
        </w:rPr>
        <w:t>PCR</w:t>
      </w:r>
      <w:r w:rsidRPr="00A72154">
        <w:rPr>
          <w:rFonts w:eastAsia="AdvOTaf232193"/>
          <w:sz w:val="20"/>
          <w:szCs w:val="20"/>
        </w:rPr>
        <w:t xml:space="preserve"> </w:t>
      </w:r>
      <w:r w:rsidR="007C381C" w:rsidRPr="00A72154">
        <w:rPr>
          <w:rFonts w:eastAsia="AdvOTaf232193"/>
          <w:sz w:val="20"/>
          <w:szCs w:val="20"/>
        </w:rPr>
        <w:t>for</w:t>
      </w:r>
      <w:r w:rsidRPr="00A72154">
        <w:rPr>
          <w:rFonts w:eastAsia="AdvOTaf232193"/>
          <w:sz w:val="20"/>
          <w:szCs w:val="20"/>
        </w:rPr>
        <w:t xml:space="preserve"> </w:t>
      </w:r>
      <w:r w:rsidR="007C381C" w:rsidRPr="00A72154">
        <w:rPr>
          <w:rFonts w:eastAsia="AdvOTaf232193"/>
          <w:sz w:val="20"/>
          <w:szCs w:val="20"/>
        </w:rPr>
        <w:t>the</w:t>
      </w:r>
      <w:r w:rsidRPr="00A72154">
        <w:rPr>
          <w:rFonts w:eastAsia="AdvOTaf232193"/>
          <w:sz w:val="20"/>
          <w:szCs w:val="20"/>
        </w:rPr>
        <w:t xml:space="preserve"> </w:t>
      </w:r>
      <w:r w:rsidR="007C381C" w:rsidRPr="00A72154">
        <w:rPr>
          <w:rFonts w:eastAsia="AdvOTaf232193"/>
          <w:sz w:val="20"/>
          <w:szCs w:val="20"/>
        </w:rPr>
        <w:t>specific</w:t>
      </w:r>
      <w:r w:rsidRPr="00A72154">
        <w:rPr>
          <w:rFonts w:eastAsia="AdvOTaf232193"/>
          <w:sz w:val="20"/>
          <w:szCs w:val="20"/>
        </w:rPr>
        <w:t xml:space="preserve"> </w:t>
      </w:r>
      <w:r w:rsidR="007C381C" w:rsidRPr="00A72154">
        <w:rPr>
          <w:rFonts w:eastAsia="AdvOTaf232193"/>
          <w:sz w:val="20"/>
          <w:szCs w:val="20"/>
        </w:rPr>
        <w:t>detection</w:t>
      </w:r>
      <w:r w:rsidRPr="00A72154">
        <w:rPr>
          <w:rFonts w:eastAsia="AdvOTaf232193"/>
          <w:sz w:val="20"/>
          <w:szCs w:val="20"/>
        </w:rPr>
        <w:t xml:space="preserve"> </w:t>
      </w:r>
      <w:r w:rsidR="007C381C" w:rsidRPr="00A72154">
        <w:rPr>
          <w:rFonts w:eastAsia="AdvOTaf232193"/>
          <w:sz w:val="20"/>
          <w:szCs w:val="20"/>
        </w:rPr>
        <w:t>of</w:t>
      </w:r>
      <w:r w:rsidRPr="00A72154">
        <w:rPr>
          <w:rFonts w:eastAsia="AdvOTaf232193"/>
          <w:sz w:val="20"/>
          <w:szCs w:val="20"/>
        </w:rPr>
        <w:t xml:space="preserve"> </w:t>
      </w:r>
      <w:r w:rsidR="007C381C" w:rsidRPr="00A72154">
        <w:rPr>
          <w:rFonts w:eastAsia="AdvOTaf232193"/>
          <w:sz w:val="20"/>
          <w:szCs w:val="20"/>
        </w:rPr>
        <w:t>Waddlia</w:t>
      </w:r>
      <w:r w:rsidRPr="00A72154">
        <w:rPr>
          <w:rFonts w:eastAsia="AdvOTaf232193"/>
          <w:sz w:val="20"/>
          <w:szCs w:val="20"/>
        </w:rPr>
        <w:t xml:space="preserve"> </w:t>
      </w:r>
      <w:r w:rsidR="007C381C" w:rsidRPr="00A72154">
        <w:rPr>
          <w:rFonts w:eastAsia="AdvOTaf232193"/>
          <w:sz w:val="20"/>
          <w:szCs w:val="20"/>
        </w:rPr>
        <w:t>chondrophila</w:t>
      </w:r>
      <w:r w:rsidRPr="00A72154">
        <w:rPr>
          <w:rFonts w:eastAsia="AdvOTaf232193"/>
          <w:sz w:val="20"/>
          <w:szCs w:val="20"/>
        </w:rPr>
        <w:t xml:space="preserve"> </w:t>
      </w:r>
      <w:r w:rsidR="007C381C" w:rsidRPr="00A72154">
        <w:rPr>
          <w:rFonts w:eastAsia="AdvOTaf232193"/>
          <w:sz w:val="20"/>
          <w:szCs w:val="20"/>
        </w:rPr>
        <w:t>in</w:t>
      </w:r>
      <w:r w:rsidRPr="00A72154">
        <w:rPr>
          <w:rFonts w:eastAsia="AdvOTaf232193"/>
          <w:sz w:val="20"/>
          <w:szCs w:val="20"/>
        </w:rPr>
        <w:t xml:space="preserve"> </w:t>
      </w:r>
      <w:r w:rsidR="007C381C" w:rsidRPr="00A72154">
        <w:rPr>
          <w:rFonts w:eastAsia="AdvOTaf232193"/>
          <w:sz w:val="20"/>
          <w:szCs w:val="20"/>
        </w:rPr>
        <w:t>clinical</w:t>
      </w:r>
      <w:r w:rsidRPr="00A72154">
        <w:rPr>
          <w:rFonts w:eastAsia="AdvOTaf232193"/>
          <w:sz w:val="20"/>
          <w:szCs w:val="20"/>
        </w:rPr>
        <w:t xml:space="preserve"> </w:t>
      </w:r>
      <w:r w:rsidR="007C381C" w:rsidRPr="00A72154">
        <w:rPr>
          <w:rFonts w:eastAsia="AdvOTaf232193"/>
          <w:sz w:val="20"/>
          <w:szCs w:val="20"/>
        </w:rPr>
        <w:t>samples.</w:t>
      </w:r>
      <w:r w:rsidRPr="00A72154">
        <w:rPr>
          <w:rFonts w:eastAsia="AdvOTaf232193"/>
          <w:sz w:val="20"/>
          <w:szCs w:val="20"/>
        </w:rPr>
        <w:t xml:space="preserve"> </w:t>
      </w:r>
      <w:r w:rsidR="007C381C" w:rsidRPr="00A72154">
        <w:rPr>
          <w:rFonts w:eastAsia="AdvOTaf232193"/>
          <w:sz w:val="20"/>
          <w:szCs w:val="20"/>
        </w:rPr>
        <w:t>Eur</w:t>
      </w:r>
      <w:r w:rsidRPr="00A72154">
        <w:rPr>
          <w:rFonts w:eastAsia="AdvOTaf232193"/>
          <w:sz w:val="20"/>
          <w:szCs w:val="20"/>
        </w:rPr>
        <w:t xml:space="preserve"> </w:t>
      </w:r>
      <w:r w:rsidR="007C381C" w:rsidRPr="00A72154">
        <w:rPr>
          <w:rFonts w:eastAsia="AdvOTaf232193"/>
          <w:sz w:val="20"/>
          <w:szCs w:val="20"/>
        </w:rPr>
        <w:t>J</w:t>
      </w:r>
      <w:r w:rsidRPr="00A72154">
        <w:rPr>
          <w:rFonts w:eastAsia="AdvOTaf232193"/>
          <w:sz w:val="20"/>
          <w:szCs w:val="20"/>
        </w:rPr>
        <w:t xml:space="preserve"> </w:t>
      </w:r>
      <w:r w:rsidR="007C381C" w:rsidRPr="00A72154">
        <w:rPr>
          <w:rFonts w:eastAsia="AdvOTaf232193"/>
          <w:sz w:val="20"/>
          <w:szCs w:val="20"/>
        </w:rPr>
        <w:t>Clin</w:t>
      </w:r>
      <w:r w:rsidRPr="00A72154">
        <w:rPr>
          <w:rFonts w:eastAsia="AdvOTaf232193"/>
          <w:sz w:val="20"/>
          <w:szCs w:val="20"/>
        </w:rPr>
        <w:t xml:space="preserve"> </w:t>
      </w:r>
      <w:r w:rsidR="007C381C" w:rsidRPr="00A72154">
        <w:rPr>
          <w:rFonts w:eastAsia="AdvOTaf232193"/>
          <w:sz w:val="20"/>
          <w:szCs w:val="20"/>
        </w:rPr>
        <w:t>Microbiol</w:t>
      </w:r>
      <w:r w:rsidRPr="00A72154">
        <w:rPr>
          <w:rFonts w:eastAsia="AdvOTaf232193"/>
          <w:sz w:val="20"/>
          <w:szCs w:val="20"/>
        </w:rPr>
        <w:t xml:space="preserve"> </w:t>
      </w:r>
      <w:r w:rsidR="007C381C" w:rsidRPr="00A72154">
        <w:rPr>
          <w:rFonts w:eastAsia="AdvOTaf232193"/>
          <w:sz w:val="20"/>
          <w:szCs w:val="20"/>
        </w:rPr>
        <w:t>Infect</w:t>
      </w:r>
      <w:r w:rsidRPr="00A72154">
        <w:rPr>
          <w:rFonts w:eastAsia="AdvOTaf232193"/>
          <w:sz w:val="20"/>
          <w:szCs w:val="20"/>
        </w:rPr>
        <w:t xml:space="preserve"> </w:t>
      </w:r>
      <w:r w:rsidR="007C381C" w:rsidRPr="00A72154">
        <w:rPr>
          <w:rFonts w:eastAsia="AdvOTaf232193"/>
          <w:sz w:val="20"/>
          <w:szCs w:val="20"/>
        </w:rPr>
        <w:t>Dis.</w:t>
      </w:r>
      <w:r w:rsidRPr="00A72154">
        <w:rPr>
          <w:rFonts w:eastAsia="AdvOTaf232193"/>
          <w:sz w:val="20"/>
          <w:szCs w:val="20"/>
        </w:rPr>
        <w:t xml:space="preserve"> </w:t>
      </w:r>
      <w:r w:rsidR="007C381C" w:rsidRPr="00A72154">
        <w:rPr>
          <w:rFonts w:eastAsia="AdvOTaf232193"/>
          <w:sz w:val="20"/>
          <w:szCs w:val="20"/>
        </w:rPr>
        <w:t>2009</w:t>
      </w:r>
      <w:r w:rsidRPr="00A72154">
        <w:rPr>
          <w:rFonts w:eastAsia="AdvOTaf232193"/>
          <w:sz w:val="20"/>
          <w:szCs w:val="20"/>
        </w:rPr>
        <w:t xml:space="preserve"> </w:t>
      </w:r>
      <w:r w:rsidR="007C381C" w:rsidRPr="00A72154">
        <w:rPr>
          <w:rFonts w:eastAsia="AdvOTaf232193"/>
          <w:sz w:val="20"/>
          <w:szCs w:val="20"/>
        </w:rPr>
        <w:t>Dec;</w:t>
      </w:r>
      <w:r w:rsidRPr="00A72154">
        <w:rPr>
          <w:rFonts w:eastAsia="AdvOTaf232193"/>
          <w:sz w:val="20"/>
          <w:szCs w:val="20"/>
        </w:rPr>
        <w:t xml:space="preserve"> </w:t>
      </w:r>
      <w:r w:rsidR="007C381C" w:rsidRPr="00A72154">
        <w:rPr>
          <w:rFonts w:eastAsia="AdvOTaf232193"/>
          <w:sz w:val="20"/>
          <w:szCs w:val="20"/>
        </w:rPr>
        <w:t>28(12):1483–1486.</w:t>
      </w:r>
      <w:r w:rsidRPr="00A72154">
        <w:rPr>
          <w:rFonts w:eastAsia="AdvOTaf232193"/>
          <w:sz w:val="20"/>
          <w:szCs w:val="20"/>
        </w:rPr>
        <w:t xml:space="preserve"> </w:t>
      </w:r>
      <w:r w:rsidR="007C381C" w:rsidRPr="00A72154">
        <w:rPr>
          <w:rFonts w:eastAsia="AdvOTaf232193"/>
          <w:sz w:val="20"/>
          <w:szCs w:val="20"/>
        </w:rPr>
        <w:t>doi:</w:t>
      </w:r>
      <w:r w:rsidRPr="00A72154">
        <w:rPr>
          <w:rFonts w:eastAsia="AdvOTaf232193"/>
          <w:sz w:val="20"/>
          <w:szCs w:val="20"/>
        </w:rPr>
        <w:t xml:space="preserve"> </w:t>
      </w:r>
      <w:r w:rsidR="007C381C" w:rsidRPr="00A72154">
        <w:rPr>
          <w:rFonts w:eastAsia="AdvOTaf232193"/>
          <w:sz w:val="20"/>
          <w:szCs w:val="20"/>
        </w:rPr>
        <w:t>10.1007/s10096-009-0804-7.</w:t>
      </w:r>
      <w:r w:rsidRPr="00A72154">
        <w:rPr>
          <w:rFonts w:eastAsia="AdvOTaf232193"/>
          <w:sz w:val="20"/>
          <w:szCs w:val="20"/>
        </w:rPr>
        <w:t xml:space="preserve"> </w:t>
      </w:r>
      <w:r w:rsidR="007C381C" w:rsidRPr="00A72154">
        <w:rPr>
          <w:rFonts w:eastAsia="AdvOTaf232193"/>
          <w:sz w:val="20"/>
          <w:szCs w:val="20"/>
        </w:rPr>
        <w:t>Epub</w:t>
      </w:r>
      <w:r w:rsidRPr="00A72154">
        <w:rPr>
          <w:rFonts w:eastAsia="AdvOTaf232193"/>
          <w:sz w:val="20"/>
          <w:szCs w:val="20"/>
        </w:rPr>
        <w:t xml:space="preserve"> </w:t>
      </w:r>
      <w:r w:rsidR="007C381C" w:rsidRPr="00A72154">
        <w:rPr>
          <w:rFonts w:eastAsia="AdvOTaf232193"/>
          <w:sz w:val="20"/>
          <w:szCs w:val="20"/>
        </w:rPr>
        <w:t>2009</w:t>
      </w:r>
      <w:r w:rsidRPr="00A72154">
        <w:rPr>
          <w:rFonts w:eastAsia="AdvOTaf232193"/>
          <w:sz w:val="20"/>
          <w:szCs w:val="20"/>
        </w:rPr>
        <w:t xml:space="preserve"> </w:t>
      </w:r>
      <w:r w:rsidR="007C381C" w:rsidRPr="00A72154">
        <w:rPr>
          <w:rFonts w:eastAsia="AdvOTaf232193"/>
          <w:sz w:val="20"/>
          <w:szCs w:val="20"/>
        </w:rPr>
        <w:t>Sep</w:t>
      </w:r>
      <w:r w:rsidRPr="00A72154">
        <w:rPr>
          <w:rFonts w:eastAsia="AdvOTaf232193"/>
          <w:sz w:val="20"/>
          <w:szCs w:val="20"/>
        </w:rPr>
        <w:t xml:space="preserve"> </w:t>
      </w:r>
      <w:r w:rsidR="007C381C" w:rsidRPr="00A72154">
        <w:rPr>
          <w:rFonts w:eastAsia="AdvOTaf232193"/>
          <w:sz w:val="20"/>
          <w:szCs w:val="20"/>
        </w:rPr>
        <w:t>2.</w:t>
      </w:r>
    </w:p>
    <w:p w:rsidR="00303D36" w:rsidRPr="00A72154" w:rsidRDefault="007C381C" w:rsidP="00AC61AC">
      <w:pPr>
        <w:numPr>
          <w:ilvl w:val="0"/>
          <w:numId w:val="7"/>
        </w:numPr>
        <w:snapToGrid w:val="0"/>
        <w:spacing w:after="0"/>
        <w:ind w:left="425" w:hanging="425"/>
        <w:contextualSpacing/>
        <w:jc w:val="both"/>
        <w:rPr>
          <w:rFonts w:eastAsia="AdvOTaf232193"/>
          <w:sz w:val="20"/>
          <w:szCs w:val="20"/>
        </w:rPr>
      </w:pPr>
      <w:r w:rsidRPr="00A72154">
        <w:rPr>
          <w:rFonts w:eastAsia="AdvOTaf232193"/>
          <w:sz w:val="20"/>
          <w:szCs w:val="20"/>
        </w:rPr>
        <w:t>Karsenti</w:t>
      </w:r>
      <w:r w:rsidR="00514171" w:rsidRPr="00A72154">
        <w:rPr>
          <w:rFonts w:eastAsia="AdvOTaf232193"/>
          <w:sz w:val="20"/>
          <w:szCs w:val="20"/>
        </w:rPr>
        <w:t xml:space="preserve"> </w:t>
      </w:r>
      <w:r w:rsidRPr="00A72154">
        <w:rPr>
          <w:rFonts w:eastAsia="AdvOTaf232193"/>
          <w:sz w:val="20"/>
          <w:szCs w:val="20"/>
        </w:rPr>
        <w:t>N,</w:t>
      </w:r>
      <w:r w:rsidR="00514171" w:rsidRPr="00A72154">
        <w:rPr>
          <w:rFonts w:eastAsia="AdvOTaf232193"/>
          <w:sz w:val="20"/>
          <w:szCs w:val="20"/>
        </w:rPr>
        <w:t xml:space="preserve"> </w:t>
      </w:r>
      <w:r w:rsidRPr="00A72154">
        <w:rPr>
          <w:rFonts w:eastAsia="AdvOTaf232193"/>
          <w:sz w:val="20"/>
          <w:szCs w:val="20"/>
        </w:rPr>
        <w:t>Lau</w:t>
      </w:r>
      <w:r w:rsidR="00514171" w:rsidRPr="00A72154">
        <w:rPr>
          <w:rFonts w:eastAsia="AdvOTaf232193"/>
          <w:sz w:val="20"/>
          <w:szCs w:val="20"/>
        </w:rPr>
        <w:t xml:space="preserve"> </w:t>
      </w:r>
      <w:r w:rsidRPr="00A72154">
        <w:rPr>
          <w:rFonts w:eastAsia="AdvOTaf232193"/>
          <w:sz w:val="20"/>
          <w:szCs w:val="20"/>
        </w:rPr>
        <w:t>R,</w:t>
      </w:r>
      <w:r w:rsidR="00514171" w:rsidRPr="00A72154">
        <w:rPr>
          <w:rFonts w:eastAsia="AdvOTaf232193"/>
          <w:sz w:val="20"/>
          <w:szCs w:val="20"/>
        </w:rPr>
        <w:t xml:space="preserve"> </w:t>
      </w:r>
      <w:r w:rsidRPr="00A72154">
        <w:rPr>
          <w:rFonts w:eastAsia="AdvOTaf232193"/>
          <w:sz w:val="20"/>
          <w:szCs w:val="20"/>
        </w:rPr>
        <w:t>Purssell</w:t>
      </w:r>
      <w:r w:rsidR="00514171" w:rsidRPr="00A72154">
        <w:rPr>
          <w:rFonts w:eastAsia="AdvOTaf232193"/>
          <w:sz w:val="20"/>
          <w:szCs w:val="20"/>
        </w:rPr>
        <w:t xml:space="preserve"> </w:t>
      </w:r>
      <w:r w:rsidRPr="00A72154">
        <w:rPr>
          <w:rFonts w:eastAsia="AdvOTaf232193"/>
          <w:sz w:val="20"/>
          <w:szCs w:val="20"/>
        </w:rPr>
        <w:t>A,</w:t>
      </w:r>
      <w:r w:rsidR="00514171" w:rsidRPr="00A72154">
        <w:rPr>
          <w:rFonts w:eastAsia="AdvOTaf232193"/>
          <w:sz w:val="20"/>
          <w:szCs w:val="20"/>
        </w:rPr>
        <w:t xml:space="preserve"> </w:t>
      </w:r>
      <w:r w:rsidRPr="00A72154">
        <w:rPr>
          <w:rFonts w:eastAsia="AdvOTaf232193"/>
          <w:sz w:val="20"/>
          <w:szCs w:val="20"/>
        </w:rPr>
        <w:t>Chong-Kit</w:t>
      </w:r>
      <w:r w:rsidR="00514171" w:rsidRPr="00A72154">
        <w:rPr>
          <w:rFonts w:eastAsia="AdvOTaf232193"/>
          <w:sz w:val="20"/>
          <w:szCs w:val="20"/>
        </w:rPr>
        <w:t xml:space="preserve"> </w:t>
      </w:r>
      <w:r w:rsidRPr="00A72154">
        <w:rPr>
          <w:rFonts w:eastAsia="AdvOTaf232193"/>
          <w:sz w:val="20"/>
          <w:szCs w:val="20"/>
        </w:rPr>
        <w:t>A,</w:t>
      </w:r>
      <w:r w:rsidR="00514171" w:rsidRPr="00A72154">
        <w:rPr>
          <w:rFonts w:eastAsia="AdvOTaf232193"/>
          <w:sz w:val="20"/>
          <w:szCs w:val="20"/>
        </w:rPr>
        <w:t xml:space="preserve"> </w:t>
      </w:r>
      <w:r w:rsidRPr="00A72154">
        <w:rPr>
          <w:rFonts w:eastAsia="AdvOTaf232193"/>
          <w:sz w:val="20"/>
          <w:szCs w:val="20"/>
        </w:rPr>
        <w:t>Cunanan</w:t>
      </w:r>
      <w:r w:rsidR="00514171" w:rsidRPr="00A72154">
        <w:rPr>
          <w:rFonts w:eastAsia="AdvOTaf232193"/>
          <w:sz w:val="20"/>
          <w:szCs w:val="20"/>
        </w:rPr>
        <w:t xml:space="preserve"> </w:t>
      </w:r>
      <w:r w:rsidRPr="00A72154">
        <w:rPr>
          <w:rFonts w:eastAsia="AdvOTaf232193"/>
          <w:sz w:val="20"/>
          <w:szCs w:val="20"/>
        </w:rPr>
        <w:t>M,</w:t>
      </w:r>
      <w:r w:rsidR="00514171" w:rsidRPr="00A72154">
        <w:rPr>
          <w:rFonts w:eastAsia="AdvOTaf232193"/>
          <w:sz w:val="20"/>
          <w:szCs w:val="20"/>
        </w:rPr>
        <w:t xml:space="preserve"> </w:t>
      </w:r>
      <w:r w:rsidRPr="00A72154">
        <w:rPr>
          <w:rFonts w:eastAsia="AdvOTaf232193"/>
          <w:sz w:val="20"/>
          <w:szCs w:val="20"/>
        </w:rPr>
        <w:t>Gasgas</w:t>
      </w:r>
      <w:r w:rsidR="00514171" w:rsidRPr="00A72154">
        <w:rPr>
          <w:rFonts w:eastAsia="AdvOTaf232193"/>
          <w:sz w:val="20"/>
          <w:szCs w:val="20"/>
        </w:rPr>
        <w:t xml:space="preserve"> </w:t>
      </w:r>
      <w:r w:rsidRPr="00A72154">
        <w:rPr>
          <w:rFonts w:eastAsia="AdvOTaf232193"/>
          <w:sz w:val="20"/>
          <w:szCs w:val="20"/>
        </w:rPr>
        <w:t>J,</w:t>
      </w:r>
      <w:r w:rsidR="00514171" w:rsidRPr="00A72154">
        <w:rPr>
          <w:rFonts w:eastAsia="AdvOTaf232193"/>
          <w:sz w:val="20"/>
          <w:szCs w:val="20"/>
        </w:rPr>
        <w:t xml:space="preserve"> </w:t>
      </w:r>
      <w:r w:rsidRPr="00A72154">
        <w:rPr>
          <w:rFonts w:eastAsia="AdvOTaf232193"/>
          <w:sz w:val="20"/>
          <w:szCs w:val="20"/>
        </w:rPr>
        <w:t>Tian</w:t>
      </w:r>
      <w:r w:rsidR="00514171" w:rsidRPr="00A72154">
        <w:rPr>
          <w:rFonts w:eastAsia="AdvOTaf232193"/>
          <w:sz w:val="20"/>
          <w:szCs w:val="20"/>
        </w:rPr>
        <w:t xml:space="preserve"> </w:t>
      </w:r>
      <w:r w:rsidRPr="00A72154">
        <w:rPr>
          <w:rFonts w:eastAsia="AdvOTaf232193"/>
          <w:sz w:val="20"/>
          <w:szCs w:val="20"/>
        </w:rPr>
        <w:t>J,</w:t>
      </w:r>
      <w:r w:rsidR="00514171" w:rsidRPr="00A72154">
        <w:rPr>
          <w:rFonts w:eastAsia="AdvOTaf232193"/>
          <w:sz w:val="20"/>
          <w:szCs w:val="20"/>
        </w:rPr>
        <w:t xml:space="preserve"> </w:t>
      </w:r>
      <w:r w:rsidRPr="00A72154">
        <w:rPr>
          <w:rFonts w:eastAsia="AdvOTaf232193"/>
          <w:sz w:val="20"/>
          <w:szCs w:val="20"/>
        </w:rPr>
        <w:t>Wang</w:t>
      </w:r>
      <w:r w:rsidR="00514171" w:rsidRPr="00A72154">
        <w:rPr>
          <w:rFonts w:eastAsia="AdvOTaf232193"/>
          <w:sz w:val="20"/>
          <w:szCs w:val="20"/>
        </w:rPr>
        <w:t xml:space="preserve"> </w:t>
      </w:r>
      <w:r w:rsidRPr="00A72154">
        <w:rPr>
          <w:rFonts w:eastAsia="AdvOTaf232193"/>
          <w:sz w:val="20"/>
          <w:szCs w:val="20"/>
        </w:rPr>
        <w:t>A,</w:t>
      </w:r>
      <w:r w:rsidR="00514171" w:rsidRPr="00A72154">
        <w:rPr>
          <w:rFonts w:eastAsia="AdvOTaf232193"/>
          <w:sz w:val="20"/>
          <w:szCs w:val="20"/>
        </w:rPr>
        <w:t xml:space="preserve"> </w:t>
      </w:r>
      <w:r w:rsidRPr="00A72154">
        <w:rPr>
          <w:rFonts w:eastAsia="AdvOTaf232193"/>
          <w:sz w:val="20"/>
          <w:szCs w:val="20"/>
        </w:rPr>
        <w:t>Ralevski</w:t>
      </w:r>
      <w:r w:rsidR="00514171" w:rsidRPr="00A72154">
        <w:rPr>
          <w:rFonts w:eastAsia="AdvOTaf232193"/>
          <w:sz w:val="20"/>
          <w:szCs w:val="20"/>
        </w:rPr>
        <w:t xml:space="preserve"> </w:t>
      </w:r>
      <w:r w:rsidRPr="00A72154">
        <w:rPr>
          <w:rFonts w:eastAsia="AdvOTaf232193"/>
          <w:sz w:val="20"/>
          <w:szCs w:val="20"/>
        </w:rPr>
        <w:t>F,</w:t>
      </w:r>
      <w:r w:rsidR="00514171" w:rsidRPr="00A72154">
        <w:rPr>
          <w:rFonts w:eastAsia="AdvOTaf232193"/>
          <w:sz w:val="20"/>
          <w:szCs w:val="20"/>
        </w:rPr>
        <w:t xml:space="preserve"> </w:t>
      </w:r>
      <w:r w:rsidRPr="00A72154">
        <w:rPr>
          <w:rFonts w:eastAsia="AdvOTaf232193"/>
          <w:sz w:val="20"/>
          <w:szCs w:val="20"/>
        </w:rPr>
        <w:t>Boggild</w:t>
      </w:r>
      <w:r w:rsidR="00514171" w:rsidRPr="00A72154">
        <w:rPr>
          <w:rFonts w:eastAsia="AdvOTaf232193"/>
          <w:sz w:val="20"/>
          <w:szCs w:val="20"/>
        </w:rPr>
        <w:t xml:space="preserve"> </w:t>
      </w:r>
      <w:r w:rsidRPr="00A72154">
        <w:rPr>
          <w:rFonts w:eastAsia="AdvOTaf232193"/>
          <w:sz w:val="20"/>
          <w:szCs w:val="20"/>
        </w:rPr>
        <w:t>AK</w:t>
      </w:r>
      <w:r w:rsidR="00AC61AC" w:rsidRPr="00A72154">
        <w:rPr>
          <w:rFonts w:eastAsiaTheme="minorEastAsia" w:hint="eastAsia"/>
          <w:sz w:val="20"/>
          <w:szCs w:val="20"/>
          <w:lang w:eastAsia="zh-CN"/>
        </w:rPr>
        <w:t>.</w:t>
      </w:r>
      <w:r w:rsidR="00514171" w:rsidRPr="00A72154">
        <w:rPr>
          <w:rFonts w:eastAsia="AdvOTaf232193"/>
          <w:sz w:val="20"/>
          <w:szCs w:val="20"/>
        </w:rPr>
        <w:t xml:space="preserve"> </w:t>
      </w:r>
      <w:r w:rsidRPr="00A72154">
        <w:rPr>
          <w:rFonts w:eastAsia="AdvOTaf232193"/>
          <w:sz w:val="20"/>
          <w:szCs w:val="20"/>
        </w:rPr>
        <w:t>Development</w:t>
      </w:r>
      <w:r w:rsidR="00514171" w:rsidRPr="00A72154">
        <w:rPr>
          <w:rFonts w:eastAsia="AdvOTaf232193"/>
          <w:sz w:val="20"/>
          <w:szCs w:val="20"/>
        </w:rPr>
        <w:t xml:space="preserve"> </w:t>
      </w:r>
      <w:r w:rsidRPr="00A72154">
        <w:rPr>
          <w:rFonts w:eastAsia="AdvOTaf232193"/>
          <w:sz w:val="20"/>
          <w:szCs w:val="20"/>
        </w:rPr>
        <w:t>and</w:t>
      </w:r>
      <w:r w:rsidR="00514171" w:rsidRPr="00A72154">
        <w:rPr>
          <w:rFonts w:eastAsia="AdvOTaf232193"/>
          <w:sz w:val="20"/>
          <w:szCs w:val="20"/>
        </w:rPr>
        <w:t xml:space="preserve"> </w:t>
      </w:r>
      <w:r w:rsidRPr="00A72154">
        <w:rPr>
          <w:rFonts w:eastAsia="AdvOTaf232193"/>
          <w:sz w:val="20"/>
          <w:szCs w:val="20"/>
        </w:rPr>
        <w:t>validation</w:t>
      </w:r>
      <w:r w:rsidR="00514171" w:rsidRPr="00A72154">
        <w:rPr>
          <w:rFonts w:eastAsia="AdvOTaf232193"/>
          <w:sz w:val="20"/>
          <w:szCs w:val="20"/>
        </w:rPr>
        <w:t xml:space="preserve"> </w:t>
      </w:r>
      <w:r w:rsidRPr="00A72154">
        <w:rPr>
          <w:rFonts w:eastAsia="AdvOTaf232193"/>
          <w:sz w:val="20"/>
          <w:szCs w:val="20"/>
        </w:rPr>
        <w:t>of</w:t>
      </w:r>
      <w:r w:rsidR="00514171" w:rsidRPr="00A72154">
        <w:rPr>
          <w:rFonts w:eastAsia="AdvOTaf232193"/>
          <w:sz w:val="20"/>
          <w:szCs w:val="20"/>
        </w:rPr>
        <w:t xml:space="preserve"> </w:t>
      </w:r>
      <w:r w:rsidRPr="00A72154">
        <w:rPr>
          <w:rFonts w:eastAsia="AdvOTaf232193"/>
          <w:sz w:val="20"/>
          <w:szCs w:val="20"/>
        </w:rPr>
        <w:t>a</w:t>
      </w:r>
      <w:r w:rsidR="00514171" w:rsidRPr="00A72154">
        <w:rPr>
          <w:rFonts w:eastAsia="AdvOTaf232193"/>
          <w:sz w:val="20"/>
          <w:szCs w:val="20"/>
        </w:rPr>
        <w:t xml:space="preserve"> </w:t>
      </w:r>
      <w:r w:rsidRPr="00A72154">
        <w:rPr>
          <w:rFonts w:eastAsia="AdvOTaf232193"/>
          <w:sz w:val="20"/>
          <w:szCs w:val="20"/>
        </w:rPr>
        <w:t>real-time</w:t>
      </w:r>
      <w:r w:rsidR="00514171" w:rsidRPr="00A72154">
        <w:rPr>
          <w:rFonts w:eastAsia="AdvOTaf232193"/>
          <w:sz w:val="20"/>
          <w:szCs w:val="20"/>
        </w:rPr>
        <w:t xml:space="preserve"> </w:t>
      </w:r>
      <w:r w:rsidRPr="00A72154">
        <w:rPr>
          <w:rFonts w:eastAsia="AdvOTaf232193"/>
          <w:sz w:val="20"/>
          <w:szCs w:val="20"/>
        </w:rPr>
        <w:t>PCR</w:t>
      </w:r>
      <w:r w:rsidR="00514171" w:rsidRPr="00A72154">
        <w:rPr>
          <w:rFonts w:eastAsia="AdvOTaf232193"/>
          <w:sz w:val="20"/>
          <w:szCs w:val="20"/>
        </w:rPr>
        <w:t xml:space="preserve"> </w:t>
      </w:r>
      <w:r w:rsidRPr="00A72154">
        <w:rPr>
          <w:rFonts w:eastAsia="AdvOTaf232193"/>
          <w:sz w:val="20"/>
          <w:szCs w:val="20"/>
        </w:rPr>
        <w:t>assay</w:t>
      </w:r>
      <w:r w:rsidR="00514171" w:rsidRPr="00A72154">
        <w:rPr>
          <w:rFonts w:eastAsia="AdvOTaf232193"/>
          <w:sz w:val="20"/>
          <w:szCs w:val="20"/>
        </w:rPr>
        <w:t xml:space="preserve"> </w:t>
      </w:r>
      <w:r w:rsidRPr="00A72154">
        <w:rPr>
          <w:rFonts w:eastAsia="AdvOTaf232193"/>
          <w:sz w:val="20"/>
          <w:szCs w:val="20"/>
        </w:rPr>
        <w:t>for</w:t>
      </w:r>
      <w:r w:rsidR="00514171" w:rsidRPr="00A72154">
        <w:rPr>
          <w:rFonts w:eastAsia="AdvOTaf232193"/>
          <w:sz w:val="20"/>
          <w:szCs w:val="20"/>
        </w:rPr>
        <w:t xml:space="preserve"> </w:t>
      </w:r>
      <w:r w:rsidRPr="00A72154">
        <w:rPr>
          <w:rFonts w:eastAsia="AdvOTaf232193"/>
          <w:sz w:val="20"/>
          <w:szCs w:val="20"/>
        </w:rPr>
        <w:t>the</w:t>
      </w:r>
      <w:r w:rsidR="00514171" w:rsidRPr="00A72154">
        <w:rPr>
          <w:rFonts w:eastAsia="AdvOTaf232193"/>
          <w:sz w:val="20"/>
          <w:szCs w:val="20"/>
        </w:rPr>
        <w:t xml:space="preserve"> </w:t>
      </w:r>
      <w:r w:rsidRPr="00A72154">
        <w:rPr>
          <w:rFonts w:eastAsia="AdvOTaf232193"/>
          <w:sz w:val="20"/>
          <w:szCs w:val="20"/>
        </w:rPr>
        <w:t>detection</w:t>
      </w:r>
      <w:r w:rsidR="00514171" w:rsidRPr="00A72154">
        <w:rPr>
          <w:rFonts w:eastAsia="AdvOTaf232193"/>
          <w:sz w:val="20"/>
          <w:szCs w:val="20"/>
        </w:rPr>
        <w:t xml:space="preserve"> </w:t>
      </w:r>
      <w:r w:rsidRPr="00A72154">
        <w:rPr>
          <w:rFonts w:eastAsia="AdvOTaf232193"/>
          <w:sz w:val="20"/>
          <w:szCs w:val="20"/>
        </w:rPr>
        <w:t>of</w:t>
      </w:r>
      <w:r w:rsidR="00514171" w:rsidRPr="00A72154">
        <w:rPr>
          <w:rFonts w:eastAsia="AdvOTaf232193"/>
          <w:sz w:val="20"/>
          <w:szCs w:val="20"/>
        </w:rPr>
        <w:t xml:space="preserve"> </w:t>
      </w:r>
      <w:r w:rsidRPr="00A72154">
        <w:rPr>
          <w:rFonts w:eastAsia="AdvOTaf232193"/>
          <w:sz w:val="20"/>
          <w:szCs w:val="20"/>
        </w:rPr>
        <w:t>clinical</w:t>
      </w:r>
      <w:r w:rsidR="00514171" w:rsidRPr="00A72154">
        <w:rPr>
          <w:rFonts w:eastAsia="AdvOTaf232193"/>
          <w:sz w:val="20"/>
          <w:szCs w:val="20"/>
        </w:rPr>
        <w:t xml:space="preserve"> </w:t>
      </w:r>
      <w:r w:rsidRPr="00A72154">
        <w:rPr>
          <w:rFonts w:eastAsia="AdvOTaf232193"/>
          <w:sz w:val="20"/>
          <w:szCs w:val="20"/>
        </w:rPr>
        <w:t>acanthamoebae.</w:t>
      </w:r>
      <w:r w:rsidR="00514171" w:rsidRPr="00A72154">
        <w:rPr>
          <w:rFonts w:eastAsia="AdvOTaf232193"/>
          <w:sz w:val="20"/>
          <w:szCs w:val="20"/>
        </w:rPr>
        <w:t xml:space="preserve"> </w:t>
      </w:r>
      <w:r w:rsidRPr="00A72154">
        <w:rPr>
          <w:rFonts w:eastAsia="AdvOTaf232193"/>
          <w:sz w:val="20"/>
          <w:szCs w:val="20"/>
        </w:rPr>
        <w:t>BMC</w:t>
      </w:r>
      <w:r w:rsidR="00514171" w:rsidRPr="00A72154">
        <w:rPr>
          <w:rFonts w:eastAsia="AdvOTaf232193"/>
          <w:sz w:val="20"/>
          <w:szCs w:val="20"/>
        </w:rPr>
        <w:t xml:space="preserve"> </w:t>
      </w:r>
      <w:r w:rsidRPr="00A72154">
        <w:rPr>
          <w:rFonts w:eastAsia="AdvOTaf232193"/>
          <w:sz w:val="20"/>
          <w:szCs w:val="20"/>
        </w:rPr>
        <w:t>Res</w:t>
      </w:r>
      <w:r w:rsidR="00514171" w:rsidRPr="00A72154">
        <w:rPr>
          <w:rFonts w:eastAsia="AdvOTaf232193"/>
          <w:sz w:val="20"/>
          <w:szCs w:val="20"/>
        </w:rPr>
        <w:t xml:space="preserve"> </w:t>
      </w:r>
      <w:r w:rsidRPr="00A72154">
        <w:rPr>
          <w:rFonts w:eastAsia="AdvOTaf232193"/>
          <w:sz w:val="20"/>
          <w:szCs w:val="20"/>
        </w:rPr>
        <w:t>Notes.</w:t>
      </w:r>
      <w:r w:rsidR="00514171" w:rsidRPr="00A72154">
        <w:rPr>
          <w:rFonts w:eastAsia="AdvOTaf232193"/>
          <w:sz w:val="20"/>
          <w:szCs w:val="20"/>
        </w:rPr>
        <w:t xml:space="preserve"> </w:t>
      </w:r>
      <w:r w:rsidRPr="00A72154">
        <w:rPr>
          <w:rFonts w:eastAsia="AdvOTaf232193"/>
          <w:sz w:val="20"/>
          <w:szCs w:val="20"/>
        </w:rPr>
        <w:t>2017;</w:t>
      </w:r>
      <w:r w:rsidR="00514171" w:rsidRPr="00A72154">
        <w:rPr>
          <w:rFonts w:eastAsia="AdvOTaf232193"/>
          <w:sz w:val="20"/>
          <w:szCs w:val="20"/>
        </w:rPr>
        <w:t xml:space="preserve"> </w:t>
      </w:r>
      <w:r w:rsidRPr="00A72154">
        <w:rPr>
          <w:rFonts w:eastAsia="AdvOTaf232193"/>
          <w:sz w:val="20"/>
          <w:szCs w:val="20"/>
        </w:rPr>
        <w:t>10:</w:t>
      </w:r>
      <w:r w:rsidR="00514171" w:rsidRPr="00A72154">
        <w:rPr>
          <w:rFonts w:eastAsia="AdvOTaf232193"/>
          <w:sz w:val="20"/>
          <w:szCs w:val="20"/>
        </w:rPr>
        <w:t xml:space="preserve"> </w:t>
      </w:r>
      <w:r w:rsidRPr="00A72154">
        <w:rPr>
          <w:rFonts w:eastAsia="AdvOTaf232193"/>
          <w:sz w:val="20"/>
          <w:szCs w:val="20"/>
        </w:rPr>
        <w:t>355.</w:t>
      </w:r>
      <w:r w:rsidR="00514171" w:rsidRPr="00A72154">
        <w:rPr>
          <w:rFonts w:eastAsia="AdvOTaf232193"/>
          <w:sz w:val="20"/>
          <w:szCs w:val="20"/>
        </w:rPr>
        <w:t xml:space="preserve"> </w:t>
      </w:r>
      <w:r w:rsidRPr="00A72154">
        <w:rPr>
          <w:rFonts w:eastAsia="AdvOTaf232193"/>
          <w:sz w:val="20"/>
          <w:szCs w:val="20"/>
        </w:rPr>
        <w:t>doi:</w:t>
      </w:r>
      <w:r w:rsidR="00514171" w:rsidRPr="00A72154">
        <w:rPr>
          <w:rFonts w:eastAsia="AdvOTaf232193"/>
          <w:sz w:val="20"/>
          <w:szCs w:val="20"/>
        </w:rPr>
        <w:t xml:space="preserve"> </w:t>
      </w:r>
      <w:r w:rsidRPr="00A72154">
        <w:rPr>
          <w:rFonts w:eastAsia="AdvOTaf232193"/>
          <w:sz w:val="20"/>
          <w:szCs w:val="20"/>
        </w:rPr>
        <w:t>10.1186/s13104-017-2666-x.</w:t>
      </w:r>
    </w:p>
    <w:p w:rsidR="00AC61AC" w:rsidRPr="00A72154" w:rsidRDefault="00AC61AC" w:rsidP="00AC61AC">
      <w:pPr>
        <w:snapToGrid w:val="0"/>
        <w:spacing w:after="0"/>
        <w:ind w:left="425" w:hanging="425"/>
        <w:contextualSpacing/>
        <w:jc w:val="both"/>
        <w:rPr>
          <w:rFonts w:eastAsia="AdvOTaf232193"/>
          <w:sz w:val="20"/>
          <w:szCs w:val="20"/>
        </w:rPr>
        <w:sectPr w:rsidR="00AC61AC" w:rsidRPr="00A72154" w:rsidSect="00AC61AC">
          <w:type w:val="continuous"/>
          <w:pgSz w:w="12240" w:h="15840"/>
          <w:pgMar w:top="1440" w:right="1440" w:bottom="1440" w:left="1440" w:header="720" w:footer="720" w:gutter="0"/>
          <w:cols w:num="2" w:space="600"/>
          <w:docGrid w:linePitch="326"/>
        </w:sectPr>
      </w:pPr>
    </w:p>
    <w:p w:rsidR="00303D36" w:rsidRPr="00A72154" w:rsidRDefault="00303D36" w:rsidP="00AC61AC">
      <w:pPr>
        <w:snapToGrid w:val="0"/>
        <w:spacing w:after="0"/>
        <w:ind w:left="425" w:hanging="425"/>
        <w:contextualSpacing/>
        <w:jc w:val="both"/>
        <w:rPr>
          <w:rFonts w:eastAsia="AdvOTaf232193"/>
          <w:sz w:val="20"/>
          <w:szCs w:val="20"/>
        </w:rPr>
      </w:pPr>
    </w:p>
    <w:p w:rsidR="00514171" w:rsidRPr="00A72154" w:rsidRDefault="00514171" w:rsidP="00AC61AC">
      <w:pPr>
        <w:snapToGrid w:val="0"/>
        <w:spacing w:after="0"/>
        <w:ind w:firstLine="425"/>
        <w:jc w:val="both"/>
        <w:rPr>
          <w:sz w:val="20"/>
          <w:szCs w:val="20"/>
        </w:rPr>
      </w:pPr>
    </w:p>
    <w:p w:rsidR="00303D36" w:rsidRPr="00A72154" w:rsidRDefault="00514171" w:rsidP="00AC61AC">
      <w:pPr>
        <w:snapToGrid w:val="0"/>
        <w:spacing w:after="0"/>
        <w:jc w:val="both"/>
        <w:rPr>
          <w:sz w:val="20"/>
          <w:szCs w:val="20"/>
        </w:rPr>
      </w:pPr>
      <w:r w:rsidRPr="00A72154">
        <w:rPr>
          <w:sz w:val="20"/>
          <w:szCs w:val="20"/>
        </w:rPr>
        <w:t>11/28/2020</w:t>
      </w:r>
    </w:p>
    <w:sectPr w:rsidR="00303D36" w:rsidRPr="00A72154" w:rsidSect="00514171">
      <w:type w:val="continuous"/>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272" w:rsidRDefault="00422272">
      <w:pPr>
        <w:spacing w:after="0"/>
      </w:pPr>
      <w:r>
        <w:separator/>
      </w:r>
    </w:p>
  </w:endnote>
  <w:endnote w:type="continuationSeparator" w:id="0">
    <w:p w:rsidR="00422272" w:rsidRDefault="004222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AdvOTaf232193">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0F" w:rsidRPr="00F81C1C" w:rsidRDefault="00106894" w:rsidP="00F81C1C">
    <w:pPr>
      <w:spacing w:after="0"/>
      <w:jc w:val="center"/>
      <w:rPr>
        <w:sz w:val="20"/>
      </w:rPr>
    </w:pPr>
    <w:r w:rsidRPr="00F81C1C">
      <w:rPr>
        <w:sz w:val="20"/>
      </w:rPr>
      <w:fldChar w:fldCharType="begin"/>
    </w:r>
    <w:r w:rsidR="00F81C1C" w:rsidRPr="00F81C1C">
      <w:rPr>
        <w:sz w:val="20"/>
      </w:rPr>
      <w:instrText xml:space="preserve"> page </w:instrText>
    </w:r>
    <w:r w:rsidRPr="00F81C1C">
      <w:rPr>
        <w:sz w:val="20"/>
      </w:rPr>
      <w:fldChar w:fldCharType="separate"/>
    </w:r>
    <w:r w:rsidR="00A72154">
      <w:rPr>
        <w:noProof/>
        <w:sz w:val="20"/>
      </w:rPr>
      <w:t>8</w:t>
    </w:r>
    <w:r w:rsidRPr="00F81C1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272" w:rsidRDefault="00422272">
      <w:pPr>
        <w:spacing w:after="0"/>
      </w:pPr>
      <w:r>
        <w:separator/>
      </w:r>
    </w:p>
  </w:footnote>
  <w:footnote w:type="continuationSeparator" w:id="0">
    <w:p w:rsidR="00422272" w:rsidRDefault="004222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1C" w:rsidRPr="00E13F66" w:rsidRDefault="00E13F66" w:rsidP="00E13F66">
    <w:pPr>
      <w:pStyle w:val="Header"/>
      <w:rPr>
        <w:szCs w:val="20"/>
      </w:rPr>
    </w:pPr>
    <w:r>
      <w:rPr>
        <w:noProof/>
        <w:szCs w:val="20"/>
        <w:lang w:eastAsia="zh-CN"/>
      </w:rPr>
      <w:drawing>
        <wp:inline distT="0" distB="0" distL="0" distR="0">
          <wp:extent cx="5943600" cy="78486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66" w:rsidRPr="00F81C1C" w:rsidRDefault="00E13F66" w:rsidP="00F81C1C">
    <w:pPr>
      <w:pBdr>
        <w:bottom w:val="thinThickMediumGap" w:sz="12" w:space="1" w:color="auto"/>
      </w:pBdr>
      <w:tabs>
        <w:tab w:val="left" w:pos="851"/>
        <w:tab w:val="right" w:pos="8364"/>
      </w:tabs>
      <w:adjustRightInd w:val="0"/>
      <w:snapToGrid w:val="0"/>
      <w:spacing w:after="0"/>
      <w:jc w:val="both"/>
      <w:rPr>
        <w:iCs/>
        <w:color w:val="0000FF"/>
        <w:sz w:val="20"/>
      </w:rPr>
    </w:pPr>
    <w:r w:rsidRPr="00F81C1C">
      <w:rPr>
        <w:rFonts w:hint="eastAsia"/>
        <w:iCs/>
        <w:color w:val="000000"/>
        <w:sz w:val="20"/>
      </w:rPr>
      <w:tab/>
    </w:r>
    <w:r w:rsidRPr="00F81C1C">
      <w:rPr>
        <w:iCs/>
        <w:color w:val="000000"/>
        <w:sz w:val="20"/>
      </w:rPr>
      <w:t xml:space="preserve">Cancer Biology </w:t>
    </w:r>
    <w:r w:rsidRPr="00F81C1C">
      <w:rPr>
        <w:iCs/>
        <w:sz w:val="20"/>
      </w:rPr>
      <w:t>20</w:t>
    </w:r>
    <w:r w:rsidRPr="00F81C1C">
      <w:rPr>
        <w:rFonts w:hint="eastAsia"/>
        <w:iCs/>
        <w:sz w:val="20"/>
      </w:rPr>
      <w:t>20</w:t>
    </w:r>
    <w:r w:rsidRPr="00F81C1C">
      <w:rPr>
        <w:iCs/>
        <w:sz w:val="20"/>
      </w:rPr>
      <w:t>;</w:t>
    </w:r>
    <w:r w:rsidRPr="00F81C1C">
      <w:rPr>
        <w:rFonts w:hint="eastAsia"/>
        <w:iCs/>
        <w:sz w:val="20"/>
      </w:rPr>
      <w:t>10</w:t>
    </w:r>
    <w:r w:rsidRPr="00F81C1C">
      <w:rPr>
        <w:iCs/>
        <w:sz w:val="20"/>
      </w:rPr>
      <w:t>(</w:t>
    </w:r>
    <w:r w:rsidRPr="00F81C1C">
      <w:rPr>
        <w:rFonts w:hint="eastAsia"/>
        <w:iCs/>
        <w:sz w:val="20"/>
      </w:rPr>
      <w:t>4</w:t>
    </w:r>
    <w:r w:rsidRPr="00F81C1C">
      <w:rPr>
        <w:iCs/>
        <w:sz w:val="20"/>
      </w:rPr>
      <w:t xml:space="preserve">)  </w:t>
    </w:r>
    <w:r w:rsidRPr="00F81C1C">
      <w:rPr>
        <w:rFonts w:hint="eastAsia"/>
        <w:iCs/>
        <w:sz w:val="20"/>
      </w:rPr>
      <w:t xml:space="preserve">   </w:t>
    </w:r>
    <w:r w:rsidRPr="00F81C1C">
      <w:rPr>
        <w:rFonts w:hint="eastAsia"/>
        <w:iCs/>
        <w:sz w:val="20"/>
      </w:rPr>
      <w:tab/>
      <w:t xml:space="preserve">   </w:t>
    </w:r>
    <w:r w:rsidRPr="00F81C1C">
      <w:rPr>
        <w:iCs/>
        <w:sz w:val="20"/>
      </w:rPr>
      <w:t xml:space="preserve"> </w:t>
    </w:r>
    <w:r w:rsidRPr="00F81C1C">
      <w:rPr>
        <w:sz w:val="20"/>
      </w:rPr>
      <w:t xml:space="preserve">  </w:t>
    </w:r>
    <w:hyperlink r:id="rId1" w:history="1">
      <w:r w:rsidRPr="00F81C1C">
        <w:rPr>
          <w:rStyle w:val="Hyperlink"/>
          <w:sz w:val="20"/>
        </w:rPr>
        <w:t>http://www.cancerbio.net</w:t>
      </w:r>
    </w:hyperlink>
    <w:r w:rsidRPr="00F81C1C">
      <w:rPr>
        <w:rFonts w:hint="eastAsia"/>
        <w:sz w:val="20"/>
      </w:rPr>
      <w:t xml:space="preserve">   </w:t>
    </w:r>
    <w:r w:rsidRPr="00F81C1C">
      <w:rPr>
        <w:rFonts w:hint="eastAsia"/>
        <w:b/>
        <w:i/>
        <w:color w:val="FF0000"/>
        <w:sz w:val="20"/>
        <w:szCs w:val="20"/>
        <w:bdr w:val="single" w:sz="4" w:space="0" w:color="FF0000"/>
      </w:rPr>
      <w:t>CBJ</w:t>
    </w:r>
  </w:p>
  <w:p w:rsidR="00E13F66" w:rsidRPr="00F81C1C" w:rsidRDefault="00E13F66" w:rsidP="00F81C1C">
    <w:pPr>
      <w:tabs>
        <w:tab w:val="left" w:pos="851"/>
        <w:tab w:val="right" w:pos="8364"/>
      </w:tabs>
      <w:adjustRightInd w:val="0"/>
      <w:snapToGrid w:val="0"/>
      <w:spacing w:after="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08B"/>
    <w:multiLevelType w:val="hybridMultilevel"/>
    <w:tmpl w:val="55F4EA32"/>
    <w:lvl w:ilvl="0" w:tplc="1C0A08A6">
      <w:start w:val="1"/>
      <w:numFmt w:val="decimal"/>
      <w:lvlText w:val="%1-"/>
      <w:lvlJc w:val="left"/>
      <w:pPr>
        <w:ind w:left="720" w:hanging="360"/>
      </w:pPr>
      <w:rPr>
        <w:rFonts w:ascii="Times New Roman" w:eastAsia="Calibri" w:hAnsi="Times New Roman" w:cs="Times New Roman" w:hint="default"/>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64E32"/>
    <w:multiLevelType w:val="hybridMultilevel"/>
    <w:tmpl w:val="814A6DE2"/>
    <w:lvl w:ilvl="0" w:tplc="97426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3673B"/>
    <w:multiLevelType w:val="hybridMultilevel"/>
    <w:tmpl w:val="14869D3C"/>
    <w:lvl w:ilvl="0" w:tplc="BB7AB1A4">
      <w:start w:val="1"/>
      <w:numFmt w:val="decimal"/>
      <w:lvlText w:val="%1."/>
      <w:lvlJc w:val="left"/>
      <w:pPr>
        <w:ind w:left="720" w:hanging="360"/>
      </w:pPr>
      <w:rPr>
        <w:rFonts w:hint="eastAsia"/>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D3DDF"/>
    <w:multiLevelType w:val="hybridMultilevel"/>
    <w:tmpl w:val="A38CA2CE"/>
    <w:lvl w:ilvl="0" w:tplc="D264C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E23218"/>
    <w:multiLevelType w:val="hybridMultilevel"/>
    <w:tmpl w:val="A2D8E588"/>
    <w:lvl w:ilvl="0" w:tplc="9FE6EBD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8801D9"/>
    <w:multiLevelType w:val="hybridMultilevel"/>
    <w:tmpl w:val="1694A2A0"/>
    <w:lvl w:ilvl="0" w:tplc="36C69A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EA2632"/>
    <w:multiLevelType w:val="hybridMultilevel"/>
    <w:tmpl w:val="E72AC832"/>
    <w:lvl w:ilvl="0" w:tplc="2F788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825830"/>
    <w:rsid w:val="000008DF"/>
    <w:rsid w:val="00002E3C"/>
    <w:rsid w:val="00006F72"/>
    <w:rsid w:val="00007640"/>
    <w:rsid w:val="000115D9"/>
    <w:rsid w:val="00022517"/>
    <w:rsid w:val="000248A2"/>
    <w:rsid w:val="000501BD"/>
    <w:rsid w:val="000534B6"/>
    <w:rsid w:val="0005703C"/>
    <w:rsid w:val="00061FE2"/>
    <w:rsid w:val="00062E7A"/>
    <w:rsid w:val="000724FC"/>
    <w:rsid w:val="000737B9"/>
    <w:rsid w:val="00073B48"/>
    <w:rsid w:val="00074334"/>
    <w:rsid w:val="0007489B"/>
    <w:rsid w:val="00076F32"/>
    <w:rsid w:val="00077356"/>
    <w:rsid w:val="00080469"/>
    <w:rsid w:val="00082D94"/>
    <w:rsid w:val="000903D3"/>
    <w:rsid w:val="000937E5"/>
    <w:rsid w:val="00095F54"/>
    <w:rsid w:val="000961D6"/>
    <w:rsid w:val="00097A0F"/>
    <w:rsid w:val="000A1259"/>
    <w:rsid w:val="000A1ECA"/>
    <w:rsid w:val="000A2A76"/>
    <w:rsid w:val="000A5D5E"/>
    <w:rsid w:val="000A63E6"/>
    <w:rsid w:val="000B5F7D"/>
    <w:rsid w:val="000C1012"/>
    <w:rsid w:val="000C182E"/>
    <w:rsid w:val="000C2F0E"/>
    <w:rsid w:val="000C3E4C"/>
    <w:rsid w:val="000C5AFF"/>
    <w:rsid w:val="000C5D60"/>
    <w:rsid w:val="000D357E"/>
    <w:rsid w:val="000D6927"/>
    <w:rsid w:val="000F027B"/>
    <w:rsid w:val="001024E9"/>
    <w:rsid w:val="00106894"/>
    <w:rsid w:val="0011263E"/>
    <w:rsid w:val="001206E9"/>
    <w:rsid w:val="00123820"/>
    <w:rsid w:val="001322FB"/>
    <w:rsid w:val="00132BD9"/>
    <w:rsid w:val="00133A71"/>
    <w:rsid w:val="00140A6C"/>
    <w:rsid w:val="00144A8F"/>
    <w:rsid w:val="00144DCB"/>
    <w:rsid w:val="00145F14"/>
    <w:rsid w:val="001471B3"/>
    <w:rsid w:val="00151E5B"/>
    <w:rsid w:val="0015399C"/>
    <w:rsid w:val="00154B7E"/>
    <w:rsid w:val="00161629"/>
    <w:rsid w:val="00162C5F"/>
    <w:rsid w:val="00167189"/>
    <w:rsid w:val="0016744E"/>
    <w:rsid w:val="00167DAF"/>
    <w:rsid w:val="00170FD6"/>
    <w:rsid w:val="00171892"/>
    <w:rsid w:val="00172097"/>
    <w:rsid w:val="00176B9B"/>
    <w:rsid w:val="00181D33"/>
    <w:rsid w:val="00183829"/>
    <w:rsid w:val="001846AD"/>
    <w:rsid w:val="00186806"/>
    <w:rsid w:val="001965EC"/>
    <w:rsid w:val="00196F2F"/>
    <w:rsid w:val="001A20D9"/>
    <w:rsid w:val="001A2C89"/>
    <w:rsid w:val="001A318B"/>
    <w:rsid w:val="001A404B"/>
    <w:rsid w:val="001A4F4F"/>
    <w:rsid w:val="001A5923"/>
    <w:rsid w:val="001A5E87"/>
    <w:rsid w:val="001A6F33"/>
    <w:rsid w:val="001A7130"/>
    <w:rsid w:val="001A7142"/>
    <w:rsid w:val="001B075C"/>
    <w:rsid w:val="001B352D"/>
    <w:rsid w:val="001C15DC"/>
    <w:rsid w:val="001C7B23"/>
    <w:rsid w:val="001D15F2"/>
    <w:rsid w:val="001D45AB"/>
    <w:rsid w:val="001E26D4"/>
    <w:rsid w:val="001E35E9"/>
    <w:rsid w:val="001E4AC2"/>
    <w:rsid w:val="001E531E"/>
    <w:rsid w:val="001E599F"/>
    <w:rsid w:val="001E7C9E"/>
    <w:rsid w:val="001F293D"/>
    <w:rsid w:val="001F4144"/>
    <w:rsid w:val="001F6EBA"/>
    <w:rsid w:val="00202D4E"/>
    <w:rsid w:val="00205927"/>
    <w:rsid w:val="002065CF"/>
    <w:rsid w:val="00207391"/>
    <w:rsid w:val="00210D43"/>
    <w:rsid w:val="00214846"/>
    <w:rsid w:val="00226130"/>
    <w:rsid w:val="002418CB"/>
    <w:rsid w:val="00241FF8"/>
    <w:rsid w:val="00242F84"/>
    <w:rsid w:val="00246384"/>
    <w:rsid w:val="00247C5E"/>
    <w:rsid w:val="00250AA8"/>
    <w:rsid w:val="00252CAA"/>
    <w:rsid w:val="00263F7C"/>
    <w:rsid w:val="0026428A"/>
    <w:rsid w:val="002648F7"/>
    <w:rsid w:val="00273BFC"/>
    <w:rsid w:val="00273D87"/>
    <w:rsid w:val="00274787"/>
    <w:rsid w:val="0028342E"/>
    <w:rsid w:val="00284E15"/>
    <w:rsid w:val="002A0148"/>
    <w:rsid w:val="002A1D52"/>
    <w:rsid w:val="002A3855"/>
    <w:rsid w:val="002A440C"/>
    <w:rsid w:val="002A56B0"/>
    <w:rsid w:val="002B3745"/>
    <w:rsid w:val="002B7C35"/>
    <w:rsid w:val="002C669A"/>
    <w:rsid w:val="002D1797"/>
    <w:rsid w:val="002D62BB"/>
    <w:rsid w:val="002F6B0E"/>
    <w:rsid w:val="00302DB4"/>
    <w:rsid w:val="0030364B"/>
    <w:rsid w:val="00303D36"/>
    <w:rsid w:val="0030614C"/>
    <w:rsid w:val="00306311"/>
    <w:rsid w:val="00306D98"/>
    <w:rsid w:val="003109FF"/>
    <w:rsid w:val="0032602C"/>
    <w:rsid w:val="00332615"/>
    <w:rsid w:val="00340C8C"/>
    <w:rsid w:val="00347B16"/>
    <w:rsid w:val="00352603"/>
    <w:rsid w:val="00353885"/>
    <w:rsid w:val="003539C1"/>
    <w:rsid w:val="0035416B"/>
    <w:rsid w:val="0036106F"/>
    <w:rsid w:val="0036186E"/>
    <w:rsid w:val="0036396B"/>
    <w:rsid w:val="00365393"/>
    <w:rsid w:val="0037165F"/>
    <w:rsid w:val="00371A7F"/>
    <w:rsid w:val="00374599"/>
    <w:rsid w:val="00376C58"/>
    <w:rsid w:val="00377243"/>
    <w:rsid w:val="00386042"/>
    <w:rsid w:val="00387C7D"/>
    <w:rsid w:val="0039057F"/>
    <w:rsid w:val="00393E23"/>
    <w:rsid w:val="003A02A7"/>
    <w:rsid w:val="003A32F7"/>
    <w:rsid w:val="003A419F"/>
    <w:rsid w:val="003A47F5"/>
    <w:rsid w:val="003A7BE5"/>
    <w:rsid w:val="003B7E5A"/>
    <w:rsid w:val="003C27AA"/>
    <w:rsid w:val="003C7CC2"/>
    <w:rsid w:val="003C7E26"/>
    <w:rsid w:val="003D0AD2"/>
    <w:rsid w:val="003D2405"/>
    <w:rsid w:val="003D300B"/>
    <w:rsid w:val="003D699C"/>
    <w:rsid w:val="003E0A7B"/>
    <w:rsid w:val="003E145B"/>
    <w:rsid w:val="003E4C57"/>
    <w:rsid w:val="003E4E4F"/>
    <w:rsid w:val="003F32BB"/>
    <w:rsid w:val="003F3F2A"/>
    <w:rsid w:val="003F412D"/>
    <w:rsid w:val="003F6BDD"/>
    <w:rsid w:val="0040066A"/>
    <w:rsid w:val="00402909"/>
    <w:rsid w:val="00403D26"/>
    <w:rsid w:val="00405C8E"/>
    <w:rsid w:val="00410684"/>
    <w:rsid w:val="004117CF"/>
    <w:rsid w:val="00411D00"/>
    <w:rsid w:val="0041253E"/>
    <w:rsid w:val="00420156"/>
    <w:rsid w:val="0042016F"/>
    <w:rsid w:val="00420329"/>
    <w:rsid w:val="00422272"/>
    <w:rsid w:val="0042252D"/>
    <w:rsid w:val="00431E55"/>
    <w:rsid w:val="004320E8"/>
    <w:rsid w:val="004324B5"/>
    <w:rsid w:val="00432F4F"/>
    <w:rsid w:val="00442877"/>
    <w:rsid w:val="004448CB"/>
    <w:rsid w:val="00445A5D"/>
    <w:rsid w:val="00446E90"/>
    <w:rsid w:val="0046343E"/>
    <w:rsid w:val="00466631"/>
    <w:rsid w:val="0047134C"/>
    <w:rsid w:val="00473D58"/>
    <w:rsid w:val="004768BE"/>
    <w:rsid w:val="00481E76"/>
    <w:rsid w:val="00483B5C"/>
    <w:rsid w:val="00485844"/>
    <w:rsid w:val="00487713"/>
    <w:rsid w:val="00494E71"/>
    <w:rsid w:val="004A5D03"/>
    <w:rsid w:val="004A7515"/>
    <w:rsid w:val="004B3723"/>
    <w:rsid w:val="004B3AA5"/>
    <w:rsid w:val="004B5A63"/>
    <w:rsid w:val="004C0A89"/>
    <w:rsid w:val="004D1815"/>
    <w:rsid w:val="004D7408"/>
    <w:rsid w:val="004E4761"/>
    <w:rsid w:val="004E743F"/>
    <w:rsid w:val="00503F69"/>
    <w:rsid w:val="00506121"/>
    <w:rsid w:val="005078A5"/>
    <w:rsid w:val="00513E24"/>
    <w:rsid w:val="00514171"/>
    <w:rsid w:val="00515B1C"/>
    <w:rsid w:val="00524DC6"/>
    <w:rsid w:val="00526111"/>
    <w:rsid w:val="00540C2B"/>
    <w:rsid w:val="00541312"/>
    <w:rsid w:val="005452EA"/>
    <w:rsid w:val="00545992"/>
    <w:rsid w:val="0054739D"/>
    <w:rsid w:val="00552C4F"/>
    <w:rsid w:val="005537D2"/>
    <w:rsid w:val="005549E8"/>
    <w:rsid w:val="0055574A"/>
    <w:rsid w:val="00560AD6"/>
    <w:rsid w:val="00560F7B"/>
    <w:rsid w:val="00563490"/>
    <w:rsid w:val="005636B0"/>
    <w:rsid w:val="0057525B"/>
    <w:rsid w:val="00575486"/>
    <w:rsid w:val="00576037"/>
    <w:rsid w:val="00580CB2"/>
    <w:rsid w:val="005818A1"/>
    <w:rsid w:val="00583C4E"/>
    <w:rsid w:val="005842B5"/>
    <w:rsid w:val="0058460F"/>
    <w:rsid w:val="0058590D"/>
    <w:rsid w:val="0058655A"/>
    <w:rsid w:val="00590FD2"/>
    <w:rsid w:val="00593303"/>
    <w:rsid w:val="005937B9"/>
    <w:rsid w:val="00595F2C"/>
    <w:rsid w:val="005A0FDE"/>
    <w:rsid w:val="005A75FC"/>
    <w:rsid w:val="005B0B1D"/>
    <w:rsid w:val="005B2AC5"/>
    <w:rsid w:val="005B4D7F"/>
    <w:rsid w:val="005B7EB8"/>
    <w:rsid w:val="005C2D18"/>
    <w:rsid w:val="005C2E08"/>
    <w:rsid w:val="005C4298"/>
    <w:rsid w:val="005C5B86"/>
    <w:rsid w:val="005C5CAE"/>
    <w:rsid w:val="005C737B"/>
    <w:rsid w:val="005C7D9E"/>
    <w:rsid w:val="005D2D38"/>
    <w:rsid w:val="005D481D"/>
    <w:rsid w:val="005D606C"/>
    <w:rsid w:val="005D6CDA"/>
    <w:rsid w:val="005E09E8"/>
    <w:rsid w:val="005E0C34"/>
    <w:rsid w:val="005F1350"/>
    <w:rsid w:val="005F34F4"/>
    <w:rsid w:val="006058DB"/>
    <w:rsid w:val="00605D1C"/>
    <w:rsid w:val="006073B7"/>
    <w:rsid w:val="00607B87"/>
    <w:rsid w:val="00613C41"/>
    <w:rsid w:val="0062181C"/>
    <w:rsid w:val="006265D3"/>
    <w:rsid w:val="00626E3C"/>
    <w:rsid w:val="006315A8"/>
    <w:rsid w:val="00636307"/>
    <w:rsid w:val="0064013C"/>
    <w:rsid w:val="00640A0D"/>
    <w:rsid w:val="006411C0"/>
    <w:rsid w:val="00643E13"/>
    <w:rsid w:val="00645DE0"/>
    <w:rsid w:val="00646E10"/>
    <w:rsid w:val="0065250F"/>
    <w:rsid w:val="00654B67"/>
    <w:rsid w:val="00655B96"/>
    <w:rsid w:val="006571B5"/>
    <w:rsid w:val="006608F3"/>
    <w:rsid w:val="00667814"/>
    <w:rsid w:val="00672560"/>
    <w:rsid w:val="006A0FBA"/>
    <w:rsid w:val="006A4CB4"/>
    <w:rsid w:val="006A5395"/>
    <w:rsid w:val="006A78A0"/>
    <w:rsid w:val="006B03E4"/>
    <w:rsid w:val="006B3709"/>
    <w:rsid w:val="006B3735"/>
    <w:rsid w:val="006B3C6E"/>
    <w:rsid w:val="006C10B3"/>
    <w:rsid w:val="006C16E7"/>
    <w:rsid w:val="006C1F8C"/>
    <w:rsid w:val="006C3A94"/>
    <w:rsid w:val="006C3E5B"/>
    <w:rsid w:val="006C64EF"/>
    <w:rsid w:val="006C69D9"/>
    <w:rsid w:val="006C6CE3"/>
    <w:rsid w:val="006D25F0"/>
    <w:rsid w:val="006D3731"/>
    <w:rsid w:val="006D622C"/>
    <w:rsid w:val="006E01A9"/>
    <w:rsid w:val="006E1F96"/>
    <w:rsid w:val="006E3676"/>
    <w:rsid w:val="006E3C50"/>
    <w:rsid w:val="006E3CAF"/>
    <w:rsid w:val="006E6EB2"/>
    <w:rsid w:val="006E6ED2"/>
    <w:rsid w:val="006F2790"/>
    <w:rsid w:val="006F2921"/>
    <w:rsid w:val="006F2CEE"/>
    <w:rsid w:val="006F3F10"/>
    <w:rsid w:val="006F433A"/>
    <w:rsid w:val="006F485A"/>
    <w:rsid w:val="006F4984"/>
    <w:rsid w:val="006F5FEC"/>
    <w:rsid w:val="006F6B49"/>
    <w:rsid w:val="00701CE5"/>
    <w:rsid w:val="00704660"/>
    <w:rsid w:val="0070568A"/>
    <w:rsid w:val="00712BE8"/>
    <w:rsid w:val="007317A6"/>
    <w:rsid w:val="00733B69"/>
    <w:rsid w:val="00733C41"/>
    <w:rsid w:val="007344D6"/>
    <w:rsid w:val="00735406"/>
    <w:rsid w:val="00735868"/>
    <w:rsid w:val="00737AD7"/>
    <w:rsid w:val="00740FE7"/>
    <w:rsid w:val="00744275"/>
    <w:rsid w:val="00747353"/>
    <w:rsid w:val="007478C5"/>
    <w:rsid w:val="007501A9"/>
    <w:rsid w:val="00751256"/>
    <w:rsid w:val="00751F52"/>
    <w:rsid w:val="00751F61"/>
    <w:rsid w:val="007560ED"/>
    <w:rsid w:val="0076002D"/>
    <w:rsid w:val="00760A76"/>
    <w:rsid w:val="00767A38"/>
    <w:rsid w:val="0077324F"/>
    <w:rsid w:val="00776C92"/>
    <w:rsid w:val="00782970"/>
    <w:rsid w:val="00782F7F"/>
    <w:rsid w:val="00785759"/>
    <w:rsid w:val="00786A0A"/>
    <w:rsid w:val="007930D1"/>
    <w:rsid w:val="00794ABF"/>
    <w:rsid w:val="007A0937"/>
    <w:rsid w:val="007A1A33"/>
    <w:rsid w:val="007A307F"/>
    <w:rsid w:val="007A51CA"/>
    <w:rsid w:val="007A592A"/>
    <w:rsid w:val="007A75DC"/>
    <w:rsid w:val="007B7244"/>
    <w:rsid w:val="007C2DE0"/>
    <w:rsid w:val="007C381C"/>
    <w:rsid w:val="007D6755"/>
    <w:rsid w:val="007D6842"/>
    <w:rsid w:val="007E0EA4"/>
    <w:rsid w:val="007F34A0"/>
    <w:rsid w:val="008012AC"/>
    <w:rsid w:val="0080282B"/>
    <w:rsid w:val="00803D73"/>
    <w:rsid w:val="00811D8B"/>
    <w:rsid w:val="00820F85"/>
    <w:rsid w:val="00825830"/>
    <w:rsid w:val="00826C7A"/>
    <w:rsid w:val="008524AA"/>
    <w:rsid w:val="00852FD2"/>
    <w:rsid w:val="0085477C"/>
    <w:rsid w:val="00855D21"/>
    <w:rsid w:val="00861019"/>
    <w:rsid w:val="00862B40"/>
    <w:rsid w:val="0086340C"/>
    <w:rsid w:val="00863FEF"/>
    <w:rsid w:val="008646A9"/>
    <w:rsid w:val="00867761"/>
    <w:rsid w:val="0086789D"/>
    <w:rsid w:val="008732A6"/>
    <w:rsid w:val="00876BD9"/>
    <w:rsid w:val="008824D4"/>
    <w:rsid w:val="0088526D"/>
    <w:rsid w:val="0088770C"/>
    <w:rsid w:val="00890BB3"/>
    <w:rsid w:val="008A3BC0"/>
    <w:rsid w:val="008A401B"/>
    <w:rsid w:val="008A4D42"/>
    <w:rsid w:val="008A50E2"/>
    <w:rsid w:val="008B0594"/>
    <w:rsid w:val="008B0BC5"/>
    <w:rsid w:val="008B6A84"/>
    <w:rsid w:val="008C3A87"/>
    <w:rsid w:val="008D02EA"/>
    <w:rsid w:val="008D2830"/>
    <w:rsid w:val="008D2A01"/>
    <w:rsid w:val="008D51A2"/>
    <w:rsid w:val="008D6A81"/>
    <w:rsid w:val="008E1552"/>
    <w:rsid w:val="008E7B89"/>
    <w:rsid w:val="008F1370"/>
    <w:rsid w:val="008F37F0"/>
    <w:rsid w:val="00900F4F"/>
    <w:rsid w:val="00902535"/>
    <w:rsid w:val="009038E3"/>
    <w:rsid w:val="00905261"/>
    <w:rsid w:val="00907D49"/>
    <w:rsid w:val="0091177A"/>
    <w:rsid w:val="00911F20"/>
    <w:rsid w:val="0092171F"/>
    <w:rsid w:val="00923FFE"/>
    <w:rsid w:val="00924304"/>
    <w:rsid w:val="00930DF0"/>
    <w:rsid w:val="00936081"/>
    <w:rsid w:val="00936557"/>
    <w:rsid w:val="00936B30"/>
    <w:rsid w:val="00941ED6"/>
    <w:rsid w:val="00941F05"/>
    <w:rsid w:val="0094242C"/>
    <w:rsid w:val="00944331"/>
    <w:rsid w:val="00950CD1"/>
    <w:rsid w:val="00952E49"/>
    <w:rsid w:val="00955B6C"/>
    <w:rsid w:val="00961A47"/>
    <w:rsid w:val="009623A2"/>
    <w:rsid w:val="00963591"/>
    <w:rsid w:val="00964E42"/>
    <w:rsid w:val="00966AA5"/>
    <w:rsid w:val="00970C8D"/>
    <w:rsid w:val="00974E12"/>
    <w:rsid w:val="00975DA3"/>
    <w:rsid w:val="009853E9"/>
    <w:rsid w:val="0099126B"/>
    <w:rsid w:val="00991D3A"/>
    <w:rsid w:val="009949DB"/>
    <w:rsid w:val="009A0297"/>
    <w:rsid w:val="009A5D53"/>
    <w:rsid w:val="009B2E45"/>
    <w:rsid w:val="009B4C2E"/>
    <w:rsid w:val="009C2246"/>
    <w:rsid w:val="009C26C3"/>
    <w:rsid w:val="009C4597"/>
    <w:rsid w:val="009D71B8"/>
    <w:rsid w:val="009D75D5"/>
    <w:rsid w:val="009E1160"/>
    <w:rsid w:val="009E33DA"/>
    <w:rsid w:val="009E39CC"/>
    <w:rsid w:val="009E6D01"/>
    <w:rsid w:val="009F69CD"/>
    <w:rsid w:val="00A0212F"/>
    <w:rsid w:val="00A03D05"/>
    <w:rsid w:val="00A0440E"/>
    <w:rsid w:val="00A0656F"/>
    <w:rsid w:val="00A10F71"/>
    <w:rsid w:val="00A16762"/>
    <w:rsid w:val="00A21B70"/>
    <w:rsid w:val="00A246E5"/>
    <w:rsid w:val="00A266BD"/>
    <w:rsid w:val="00A3086A"/>
    <w:rsid w:val="00A33278"/>
    <w:rsid w:val="00A47B27"/>
    <w:rsid w:val="00A539AA"/>
    <w:rsid w:val="00A562B4"/>
    <w:rsid w:val="00A62AB0"/>
    <w:rsid w:val="00A70A39"/>
    <w:rsid w:val="00A7107E"/>
    <w:rsid w:val="00A72154"/>
    <w:rsid w:val="00A72F16"/>
    <w:rsid w:val="00A74C32"/>
    <w:rsid w:val="00A7634E"/>
    <w:rsid w:val="00A83CFD"/>
    <w:rsid w:val="00A853B0"/>
    <w:rsid w:val="00A90485"/>
    <w:rsid w:val="00A92ACD"/>
    <w:rsid w:val="00A9367C"/>
    <w:rsid w:val="00A94431"/>
    <w:rsid w:val="00A95CEF"/>
    <w:rsid w:val="00AA2D37"/>
    <w:rsid w:val="00AA3DB4"/>
    <w:rsid w:val="00AA6448"/>
    <w:rsid w:val="00AA729B"/>
    <w:rsid w:val="00AB180A"/>
    <w:rsid w:val="00AC1F1A"/>
    <w:rsid w:val="00AC4C1C"/>
    <w:rsid w:val="00AC61AC"/>
    <w:rsid w:val="00AC71A3"/>
    <w:rsid w:val="00AD0317"/>
    <w:rsid w:val="00AD0EDD"/>
    <w:rsid w:val="00AD176A"/>
    <w:rsid w:val="00AD5EF5"/>
    <w:rsid w:val="00AE190D"/>
    <w:rsid w:val="00AE2407"/>
    <w:rsid w:val="00AE4317"/>
    <w:rsid w:val="00AF0197"/>
    <w:rsid w:val="00AF2685"/>
    <w:rsid w:val="00AF3FE0"/>
    <w:rsid w:val="00AF5C93"/>
    <w:rsid w:val="00B00417"/>
    <w:rsid w:val="00B02629"/>
    <w:rsid w:val="00B1001A"/>
    <w:rsid w:val="00B12E6B"/>
    <w:rsid w:val="00B13B8D"/>
    <w:rsid w:val="00B14506"/>
    <w:rsid w:val="00B149B5"/>
    <w:rsid w:val="00B24E6E"/>
    <w:rsid w:val="00B2556F"/>
    <w:rsid w:val="00B3304C"/>
    <w:rsid w:val="00B363CC"/>
    <w:rsid w:val="00B36470"/>
    <w:rsid w:val="00B37C48"/>
    <w:rsid w:val="00B4485D"/>
    <w:rsid w:val="00B45E0F"/>
    <w:rsid w:val="00B5037C"/>
    <w:rsid w:val="00B51893"/>
    <w:rsid w:val="00B578CB"/>
    <w:rsid w:val="00B57A10"/>
    <w:rsid w:val="00B62166"/>
    <w:rsid w:val="00B67EA0"/>
    <w:rsid w:val="00B70E22"/>
    <w:rsid w:val="00B72857"/>
    <w:rsid w:val="00B738EF"/>
    <w:rsid w:val="00B80205"/>
    <w:rsid w:val="00B802AD"/>
    <w:rsid w:val="00BA136C"/>
    <w:rsid w:val="00BA1420"/>
    <w:rsid w:val="00BA5D6B"/>
    <w:rsid w:val="00BC0883"/>
    <w:rsid w:val="00BC466A"/>
    <w:rsid w:val="00BC5247"/>
    <w:rsid w:val="00BC68A2"/>
    <w:rsid w:val="00BC7979"/>
    <w:rsid w:val="00BD1250"/>
    <w:rsid w:val="00BD3970"/>
    <w:rsid w:val="00BD5641"/>
    <w:rsid w:val="00BD6896"/>
    <w:rsid w:val="00BE28BC"/>
    <w:rsid w:val="00BE2AE5"/>
    <w:rsid w:val="00BE4F8B"/>
    <w:rsid w:val="00BF265E"/>
    <w:rsid w:val="00BF32CE"/>
    <w:rsid w:val="00C0091D"/>
    <w:rsid w:val="00C010FB"/>
    <w:rsid w:val="00C03FA4"/>
    <w:rsid w:val="00C0756F"/>
    <w:rsid w:val="00C12F48"/>
    <w:rsid w:val="00C2073C"/>
    <w:rsid w:val="00C22106"/>
    <w:rsid w:val="00C2374B"/>
    <w:rsid w:val="00C37F7F"/>
    <w:rsid w:val="00C4289A"/>
    <w:rsid w:val="00C44C45"/>
    <w:rsid w:val="00C4503E"/>
    <w:rsid w:val="00C47E24"/>
    <w:rsid w:val="00C47F98"/>
    <w:rsid w:val="00C52EDE"/>
    <w:rsid w:val="00C535A0"/>
    <w:rsid w:val="00C54544"/>
    <w:rsid w:val="00C548C7"/>
    <w:rsid w:val="00C60AE8"/>
    <w:rsid w:val="00C617D6"/>
    <w:rsid w:val="00C617FE"/>
    <w:rsid w:val="00C62DD1"/>
    <w:rsid w:val="00C64787"/>
    <w:rsid w:val="00C65FD9"/>
    <w:rsid w:val="00C66BA0"/>
    <w:rsid w:val="00C74E13"/>
    <w:rsid w:val="00C81ADF"/>
    <w:rsid w:val="00C84E6D"/>
    <w:rsid w:val="00C87994"/>
    <w:rsid w:val="00C90F0A"/>
    <w:rsid w:val="00C92456"/>
    <w:rsid w:val="00C93796"/>
    <w:rsid w:val="00CA0165"/>
    <w:rsid w:val="00CA18D8"/>
    <w:rsid w:val="00CA4C6D"/>
    <w:rsid w:val="00CA675C"/>
    <w:rsid w:val="00CB060B"/>
    <w:rsid w:val="00CB4BF9"/>
    <w:rsid w:val="00CB580A"/>
    <w:rsid w:val="00CB5829"/>
    <w:rsid w:val="00CB5A8B"/>
    <w:rsid w:val="00CB5CE8"/>
    <w:rsid w:val="00CB72D2"/>
    <w:rsid w:val="00CC2583"/>
    <w:rsid w:val="00CC56B8"/>
    <w:rsid w:val="00CD6C88"/>
    <w:rsid w:val="00CE1A5C"/>
    <w:rsid w:val="00CE2FC1"/>
    <w:rsid w:val="00CF17F6"/>
    <w:rsid w:val="00CF2DD2"/>
    <w:rsid w:val="00D057C4"/>
    <w:rsid w:val="00D05D1C"/>
    <w:rsid w:val="00D13B1E"/>
    <w:rsid w:val="00D268BD"/>
    <w:rsid w:val="00D31729"/>
    <w:rsid w:val="00D3452F"/>
    <w:rsid w:val="00D3473C"/>
    <w:rsid w:val="00D42251"/>
    <w:rsid w:val="00D46259"/>
    <w:rsid w:val="00D516B6"/>
    <w:rsid w:val="00D53D2D"/>
    <w:rsid w:val="00D54078"/>
    <w:rsid w:val="00D544C8"/>
    <w:rsid w:val="00D63ED4"/>
    <w:rsid w:val="00D70D51"/>
    <w:rsid w:val="00D7223D"/>
    <w:rsid w:val="00D72C67"/>
    <w:rsid w:val="00D72D1F"/>
    <w:rsid w:val="00D74756"/>
    <w:rsid w:val="00D74DF6"/>
    <w:rsid w:val="00D7522B"/>
    <w:rsid w:val="00D82FB4"/>
    <w:rsid w:val="00D84708"/>
    <w:rsid w:val="00D84EBF"/>
    <w:rsid w:val="00D91FFF"/>
    <w:rsid w:val="00D92EC2"/>
    <w:rsid w:val="00D934C9"/>
    <w:rsid w:val="00D95C2C"/>
    <w:rsid w:val="00DA45CF"/>
    <w:rsid w:val="00DA578F"/>
    <w:rsid w:val="00DA5B09"/>
    <w:rsid w:val="00DA6ECF"/>
    <w:rsid w:val="00DB0659"/>
    <w:rsid w:val="00DB070D"/>
    <w:rsid w:val="00DB1238"/>
    <w:rsid w:val="00DB24E7"/>
    <w:rsid w:val="00DC04C8"/>
    <w:rsid w:val="00DC366D"/>
    <w:rsid w:val="00DC50D0"/>
    <w:rsid w:val="00DC63F0"/>
    <w:rsid w:val="00DD45D8"/>
    <w:rsid w:val="00DD6825"/>
    <w:rsid w:val="00DE46E4"/>
    <w:rsid w:val="00DF57AD"/>
    <w:rsid w:val="00DF6464"/>
    <w:rsid w:val="00E03E1D"/>
    <w:rsid w:val="00E065E1"/>
    <w:rsid w:val="00E077DE"/>
    <w:rsid w:val="00E11051"/>
    <w:rsid w:val="00E13AC4"/>
    <w:rsid w:val="00E13F66"/>
    <w:rsid w:val="00E1406D"/>
    <w:rsid w:val="00E14811"/>
    <w:rsid w:val="00E220CA"/>
    <w:rsid w:val="00E22E09"/>
    <w:rsid w:val="00E236FC"/>
    <w:rsid w:val="00E2792B"/>
    <w:rsid w:val="00E30DB7"/>
    <w:rsid w:val="00E344CB"/>
    <w:rsid w:val="00E42773"/>
    <w:rsid w:val="00E44386"/>
    <w:rsid w:val="00E4585A"/>
    <w:rsid w:val="00E46893"/>
    <w:rsid w:val="00E5104E"/>
    <w:rsid w:val="00E54146"/>
    <w:rsid w:val="00E619F1"/>
    <w:rsid w:val="00E620EB"/>
    <w:rsid w:val="00E630D6"/>
    <w:rsid w:val="00E70E8F"/>
    <w:rsid w:val="00E7123E"/>
    <w:rsid w:val="00E7412E"/>
    <w:rsid w:val="00E83E04"/>
    <w:rsid w:val="00E857E7"/>
    <w:rsid w:val="00E95F1E"/>
    <w:rsid w:val="00E95FD0"/>
    <w:rsid w:val="00E97E6D"/>
    <w:rsid w:val="00EA141B"/>
    <w:rsid w:val="00EA5A43"/>
    <w:rsid w:val="00EB3DD4"/>
    <w:rsid w:val="00EB62B1"/>
    <w:rsid w:val="00EC20A9"/>
    <w:rsid w:val="00EC4C9F"/>
    <w:rsid w:val="00ED5FDB"/>
    <w:rsid w:val="00ED72D8"/>
    <w:rsid w:val="00EE02DA"/>
    <w:rsid w:val="00EE110B"/>
    <w:rsid w:val="00EE2D46"/>
    <w:rsid w:val="00EE57C4"/>
    <w:rsid w:val="00EE6C74"/>
    <w:rsid w:val="00EF3FE2"/>
    <w:rsid w:val="00EF41D2"/>
    <w:rsid w:val="00EF6027"/>
    <w:rsid w:val="00F111B9"/>
    <w:rsid w:val="00F14A47"/>
    <w:rsid w:val="00F154FB"/>
    <w:rsid w:val="00F156E2"/>
    <w:rsid w:val="00F15A51"/>
    <w:rsid w:val="00F178EC"/>
    <w:rsid w:val="00F2485F"/>
    <w:rsid w:val="00F27CA0"/>
    <w:rsid w:val="00F33026"/>
    <w:rsid w:val="00F33A66"/>
    <w:rsid w:val="00F3485C"/>
    <w:rsid w:val="00F36166"/>
    <w:rsid w:val="00F44F29"/>
    <w:rsid w:val="00F46E24"/>
    <w:rsid w:val="00F4765B"/>
    <w:rsid w:val="00F47E6A"/>
    <w:rsid w:val="00F5003F"/>
    <w:rsid w:val="00F50958"/>
    <w:rsid w:val="00F54576"/>
    <w:rsid w:val="00F54F94"/>
    <w:rsid w:val="00F61611"/>
    <w:rsid w:val="00F70037"/>
    <w:rsid w:val="00F71C39"/>
    <w:rsid w:val="00F734DD"/>
    <w:rsid w:val="00F73DA5"/>
    <w:rsid w:val="00F76DBA"/>
    <w:rsid w:val="00F81C1C"/>
    <w:rsid w:val="00F82A9A"/>
    <w:rsid w:val="00F86A99"/>
    <w:rsid w:val="00F92A65"/>
    <w:rsid w:val="00F92E97"/>
    <w:rsid w:val="00F9632B"/>
    <w:rsid w:val="00FA10FA"/>
    <w:rsid w:val="00FA45D5"/>
    <w:rsid w:val="00FA58BA"/>
    <w:rsid w:val="00FB53D3"/>
    <w:rsid w:val="00FB747E"/>
    <w:rsid w:val="00FC17A3"/>
    <w:rsid w:val="00FC2925"/>
    <w:rsid w:val="00FC367B"/>
    <w:rsid w:val="00FC3BA2"/>
    <w:rsid w:val="00FD15DA"/>
    <w:rsid w:val="00FD2C85"/>
    <w:rsid w:val="00FD55C6"/>
    <w:rsid w:val="00FE5503"/>
    <w:rsid w:val="00FE601D"/>
    <w:rsid w:val="00FE7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30"/>
    <w:pPr>
      <w:spacing w:after="8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825830"/>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751F61"/>
    <w:pPr>
      <w:keepNext/>
      <w:keepLines/>
      <w:spacing w:before="40"/>
      <w:outlineLvl w:val="1"/>
    </w:pPr>
    <w:rPr>
      <w:rFonts w:ascii="Calibri Light" w:hAnsi="Calibri Light"/>
      <w:color w:val="2E74B5"/>
      <w:sz w:val="26"/>
      <w:szCs w:val="26"/>
    </w:rPr>
  </w:style>
  <w:style w:type="paragraph" w:styleId="Heading3">
    <w:name w:val="heading 3"/>
    <w:basedOn w:val="Normal"/>
    <w:link w:val="Heading3Char"/>
    <w:uiPriority w:val="9"/>
    <w:qFormat/>
    <w:rsid w:val="008258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5830"/>
    <w:rPr>
      <w:rFonts w:ascii="Calibri Light" w:eastAsia="Times New Roman" w:hAnsi="Calibri Light" w:cs="Times New Roman"/>
      <w:color w:val="2E74B5"/>
      <w:sz w:val="32"/>
      <w:szCs w:val="32"/>
    </w:rPr>
  </w:style>
  <w:style w:type="character" w:customStyle="1" w:styleId="Heading3Char">
    <w:name w:val="Heading 3 Char"/>
    <w:link w:val="Heading3"/>
    <w:uiPriority w:val="9"/>
    <w:rsid w:val="00825830"/>
    <w:rPr>
      <w:rFonts w:ascii="Times New Roman" w:eastAsia="Times New Roman" w:hAnsi="Times New Roman" w:cs="Times New Roman"/>
      <w:b/>
      <w:bCs/>
      <w:sz w:val="27"/>
      <w:szCs w:val="27"/>
    </w:rPr>
  </w:style>
  <w:style w:type="character" w:customStyle="1" w:styleId="highlight">
    <w:name w:val="highlight"/>
    <w:rsid w:val="00825830"/>
  </w:style>
  <w:style w:type="paragraph" w:styleId="NormalIndent">
    <w:name w:val="Normal Indent"/>
    <w:basedOn w:val="Normal"/>
    <w:uiPriority w:val="99"/>
    <w:unhideWhenUsed/>
    <w:rsid w:val="00825830"/>
    <w:pPr>
      <w:spacing w:line="480" w:lineRule="auto"/>
      <w:ind w:firstLine="720"/>
      <w:jc w:val="lowKashida"/>
    </w:pPr>
    <w:rPr>
      <w:sz w:val="28"/>
      <w:szCs w:val="28"/>
    </w:rPr>
  </w:style>
  <w:style w:type="character" w:styleId="Hyperlink">
    <w:name w:val="Hyperlink"/>
    <w:uiPriority w:val="99"/>
    <w:unhideWhenUsed/>
    <w:rsid w:val="00825830"/>
    <w:rPr>
      <w:color w:val="0000FF"/>
      <w:u w:val="single"/>
    </w:rPr>
  </w:style>
  <w:style w:type="character" w:customStyle="1" w:styleId="cit">
    <w:name w:val="cit"/>
    <w:rsid w:val="00825830"/>
  </w:style>
  <w:style w:type="paragraph" w:styleId="ListParagraph">
    <w:name w:val="List Paragraph"/>
    <w:basedOn w:val="Normal"/>
    <w:link w:val="ListParagraphChar"/>
    <w:uiPriority w:val="34"/>
    <w:qFormat/>
    <w:rsid w:val="00825830"/>
    <w:pPr>
      <w:spacing w:after="160" w:line="259" w:lineRule="auto"/>
      <w:ind w:left="720"/>
      <w:contextualSpacing/>
    </w:pPr>
    <w:rPr>
      <w:rFonts w:ascii="Calibri" w:eastAsia="Calibri" w:hAnsi="Calibri" w:cs="Arial"/>
      <w:sz w:val="22"/>
      <w:szCs w:val="22"/>
    </w:rPr>
  </w:style>
  <w:style w:type="paragraph" w:styleId="NoSpacing">
    <w:name w:val="No Spacing"/>
    <w:link w:val="NoSpacingChar"/>
    <w:qFormat/>
    <w:rsid w:val="00825830"/>
    <w:pPr>
      <w:bidi/>
    </w:pPr>
    <w:rPr>
      <w:rFonts w:eastAsia="Times New Roman"/>
      <w:sz w:val="22"/>
      <w:szCs w:val="22"/>
      <w:lang w:eastAsia="en-US"/>
    </w:rPr>
  </w:style>
  <w:style w:type="character" w:customStyle="1" w:styleId="NoSpacingChar">
    <w:name w:val="No Spacing Char"/>
    <w:link w:val="NoSpacing"/>
    <w:locked/>
    <w:rsid w:val="00825830"/>
    <w:rPr>
      <w:rFonts w:ascii="Calibri" w:eastAsia="Times New Roman" w:hAnsi="Calibri" w:cs="Arial"/>
    </w:rPr>
  </w:style>
  <w:style w:type="character" w:customStyle="1" w:styleId="Heading2Char">
    <w:name w:val="Heading 2 Char"/>
    <w:link w:val="Heading2"/>
    <w:uiPriority w:val="9"/>
    <w:semiHidden/>
    <w:rsid w:val="00751F61"/>
    <w:rPr>
      <w:rFonts w:ascii="Calibri Light" w:eastAsia="Times New Roman" w:hAnsi="Calibri Light" w:cs="Times New Roman"/>
      <w:color w:val="2E74B5"/>
      <w:sz w:val="26"/>
      <w:szCs w:val="26"/>
    </w:rPr>
  </w:style>
  <w:style w:type="character" w:customStyle="1" w:styleId="UnresolvedMention1">
    <w:name w:val="Unresolved Mention1"/>
    <w:uiPriority w:val="99"/>
    <w:semiHidden/>
    <w:unhideWhenUsed/>
    <w:rsid w:val="007D6755"/>
    <w:rPr>
      <w:color w:val="605E5C"/>
      <w:shd w:val="clear" w:color="auto" w:fill="E1DFDD"/>
    </w:rPr>
  </w:style>
  <w:style w:type="paragraph" w:styleId="Header">
    <w:name w:val="header"/>
    <w:basedOn w:val="Normal"/>
    <w:link w:val="HeaderChar"/>
    <w:uiPriority w:val="99"/>
    <w:unhideWhenUsed/>
    <w:rsid w:val="00D53D2D"/>
    <w:pPr>
      <w:tabs>
        <w:tab w:val="center" w:pos="4680"/>
        <w:tab w:val="right" w:pos="9360"/>
      </w:tabs>
    </w:pPr>
  </w:style>
  <w:style w:type="character" w:customStyle="1" w:styleId="HeaderChar">
    <w:name w:val="Header Char"/>
    <w:link w:val="Header"/>
    <w:uiPriority w:val="99"/>
    <w:rsid w:val="00D53D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3D2D"/>
    <w:pPr>
      <w:tabs>
        <w:tab w:val="center" w:pos="4680"/>
        <w:tab w:val="right" w:pos="9360"/>
      </w:tabs>
    </w:pPr>
  </w:style>
  <w:style w:type="character" w:customStyle="1" w:styleId="FooterChar">
    <w:name w:val="Footer Char"/>
    <w:link w:val="Footer"/>
    <w:uiPriority w:val="99"/>
    <w:rsid w:val="00D53D2D"/>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1E599F"/>
  </w:style>
  <w:style w:type="paragraph" w:customStyle="1" w:styleId="Default">
    <w:name w:val="Default"/>
    <w:rsid w:val="00E236FC"/>
    <w:pPr>
      <w:autoSpaceDE w:val="0"/>
      <w:autoSpaceDN w:val="0"/>
      <w:adjustRightInd w:val="0"/>
    </w:pPr>
    <w:rPr>
      <w:rFonts w:ascii="Times New Roman" w:hAnsi="Times New Roman" w:cs="Times New Roman"/>
      <w:color w:val="000000"/>
      <w:sz w:val="24"/>
      <w:szCs w:val="24"/>
      <w:lang w:eastAsia="en-US"/>
    </w:rPr>
  </w:style>
  <w:style w:type="table" w:customStyle="1" w:styleId="ListTable31">
    <w:name w:val="List Table 31"/>
    <w:basedOn w:val="TableNormal"/>
    <w:uiPriority w:val="48"/>
    <w:rsid w:val="0008046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1">
    <w:name w:val="Plain Table 21"/>
    <w:basedOn w:val="TableNormal"/>
    <w:uiPriority w:val="42"/>
    <w:rsid w:val="00205927"/>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3">
    <w:name w:val="A3"/>
    <w:uiPriority w:val="99"/>
    <w:rsid w:val="009E33DA"/>
    <w:rPr>
      <w:color w:val="000000"/>
      <w:sz w:val="20"/>
      <w:szCs w:val="20"/>
    </w:rPr>
  </w:style>
  <w:style w:type="character" w:customStyle="1" w:styleId="A12">
    <w:name w:val="A12"/>
    <w:uiPriority w:val="99"/>
    <w:rsid w:val="009E33DA"/>
    <w:rPr>
      <w:color w:val="000000"/>
      <w:sz w:val="12"/>
      <w:szCs w:val="12"/>
    </w:rPr>
  </w:style>
  <w:style w:type="table" w:styleId="TableGrid">
    <w:name w:val="Table Grid"/>
    <w:basedOn w:val="TableNormal"/>
    <w:uiPriority w:val="39"/>
    <w:rsid w:val="000C1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rsid w:val="00073B48"/>
    <w:rPr>
      <w:color w:val="605E5C"/>
      <w:shd w:val="clear" w:color="auto" w:fill="E1DFDD"/>
    </w:rPr>
  </w:style>
  <w:style w:type="paragraph" w:styleId="BalloonText">
    <w:name w:val="Balloon Text"/>
    <w:basedOn w:val="Normal"/>
    <w:link w:val="BalloonTextChar"/>
    <w:uiPriority w:val="99"/>
    <w:semiHidden/>
    <w:unhideWhenUsed/>
    <w:rsid w:val="00DC50D0"/>
    <w:pPr>
      <w:spacing w:after="0"/>
    </w:pPr>
    <w:rPr>
      <w:rFonts w:ascii="Tahoma" w:hAnsi="Tahoma" w:cs="Tahoma"/>
      <w:sz w:val="16"/>
      <w:szCs w:val="16"/>
    </w:rPr>
  </w:style>
  <w:style w:type="character" w:customStyle="1" w:styleId="BalloonTextChar">
    <w:name w:val="Balloon Text Char"/>
    <w:link w:val="BalloonText"/>
    <w:uiPriority w:val="99"/>
    <w:semiHidden/>
    <w:rsid w:val="00DC50D0"/>
    <w:rPr>
      <w:rFonts w:ascii="Tahoma" w:eastAsia="Times New Roman" w:hAnsi="Tahoma" w:cs="Tahoma"/>
      <w:sz w:val="16"/>
      <w:szCs w:val="16"/>
    </w:rPr>
  </w:style>
  <w:style w:type="character" w:customStyle="1" w:styleId="ref-title">
    <w:name w:val="ref-title"/>
    <w:basedOn w:val="DefaultParagraphFont"/>
    <w:rsid w:val="00E13AC4"/>
  </w:style>
  <w:style w:type="character" w:styleId="Emphasis">
    <w:name w:val="Emphasis"/>
    <w:uiPriority w:val="20"/>
    <w:qFormat/>
    <w:rsid w:val="00E13AC4"/>
    <w:rPr>
      <w:i/>
      <w:iCs/>
    </w:rPr>
  </w:style>
  <w:style w:type="character" w:customStyle="1" w:styleId="ref-vol">
    <w:name w:val="ref-vol"/>
    <w:basedOn w:val="DefaultParagraphFont"/>
    <w:rsid w:val="00E13AC4"/>
  </w:style>
  <w:style w:type="character" w:customStyle="1" w:styleId="UnresolvedMention">
    <w:name w:val="Unresolved Mention"/>
    <w:uiPriority w:val="99"/>
    <w:semiHidden/>
    <w:unhideWhenUsed/>
    <w:rsid w:val="00F33026"/>
    <w:rPr>
      <w:color w:val="605E5C"/>
      <w:shd w:val="clear" w:color="auto" w:fill="E1DFDD"/>
    </w:rPr>
  </w:style>
  <w:style w:type="character" w:customStyle="1" w:styleId="labs-docsum-authors">
    <w:name w:val="labs-docsum-authors"/>
    <w:basedOn w:val="DefaultParagraphFont"/>
    <w:rsid w:val="00524DC6"/>
  </w:style>
  <w:style w:type="character" w:customStyle="1" w:styleId="labs-docsum-journal-citation">
    <w:name w:val="labs-docsum-journal-citation"/>
    <w:basedOn w:val="DefaultParagraphFont"/>
    <w:rsid w:val="00524DC6"/>
  </w:style>
  <w:style w:type="character" w:customStyle="1" w:styleId="citation-part">
    <w:name w:val="citation-part"/>
    <w:basedOn w:val="DefaultParagraphFont"/>
    <w:rsid w:val="00524DC6"/>
  </w:style>
  <w:style w:type="character" w:customStyle="1" w:styleId="docsum-pmid">
    <w:name w:val="docsum-pmid"/>
    <w:basedOn w:val="DefaultParagraphFont"/>
    <w:rsid w:val="00524DC6"/>
  </w:style>
  <w:style w:type="character" w:customStyle="1" w:styleId="ListParagraphChar">
    <w:name w:val="List Paragraph Char"/>
    <w:link w:val="ListParagraph"/>
    <w:uiPriority w:val="34"/>
    <w:locked/>
    <w:rsid w:val="00FB53D3"/>
    <w:rPr>
      <w:rFonts w:ascii="Calibri" w:eastAsia="Calibri" w:hAnsi="Calibri" w:cs="Arial"/>
    </w:rPr>
  </w:style>
  <w:style w:type="character" w:customStyle="1" w:styleId="msonormal0">
    <w:name w:val="msonormal0"/>
    <w:basedOn w:val="DefaultParagraphFont"/>
    <w:rsid w:val="007A0937"/>
  </w:style>
</w:styles>
</file>

<file path=word/webSettings.xml><?xml version="1.0" encoding="utf-8"?>
<w:webSettings xmlns:r="http://schemas.openxmlformats.org/officeDocument/2006/relationships" xmlns:w="http://schemas.openxmlformats.org/wordprocessingml/2006/main">
  <w:divs>
    <w:div w:id="963317102">
      <w:bodyDiv w:val="1"/>
      <w:marLeft w:val="0"/>
      <w:marRight w:val="0"/>
      <w:marTop w:val="0"/>
      <w:marBottom w:val="0"/>
      <w:divBdr>
        <w:top w:val="none" w:sz="0" w:space="0" w:color="auto"/>
        <w:left w:val="none" w:sz="0" w:space="0" w:color="auto"/>
        <w:bottom w:val="none" w:sz="0" w:space="0" w:color="auto"/>
        <w:right w:val="none" w:sz="0" w:space="0" w:color="auto"/>
      </w:divBdr>
      <w:divsChild>
        <w:div w:id="1840608953">
          <w:marLeft w:val="0"/>
          <w:marRight w:val="0"/>
          <w:marTop w:val="0"/>
          <w:marBottom w:val="0"/>
          <w:divBdr>
            <w:top w:val="none" w:sz="0" w:space="0" w:color="auto"/>
            <w:left w:val="none" w:sz="0" w:space="0" w:color="auto"/>
            <w:bottom w:val="none" w:sz="0" w:space="0" w:color="auto"/>
            <w:right w:val="none" w:sz="0" w:space="0" w:color="auto"/>
          </w:divBdr>
        </w:div>
      </w:divsChild>
    </w:div>
    <w:div w:id="987245569">
      <w:bodyDiv w:val="1"/>
      <w:marLeft w:val="0"/>
      <w:marRight w:val="0"/>
      <w:marTop w:val="0"/>
      <w:marBottom w:val="0"/>
      <w:divBdr>
        <w:top w:val="none" w:sz="0" w:space="0" w:color="auto"/>
        <w:left w:val="none" w:sz="0" w:space="0" w:color="auto"/>
        <w:bottom w:val="none" w:sz="0" w:space="0" w:color="auto"/>
        <w:right w:val="none" w:sz="0" w:space="0" w:color="auto"/>
      </w:divBdr>
    </w:div>
    <w:div w:id="1197350511">
      <w:bodyDiv w:val="1"/>
      <w:marLeft w:val="0"/>
      <w:marRight w:val="0"/>
      <w:marTop w:val="0"/>
      <w:marBottom w:val="0"/>
      <w:divBdr>
        <w:top w:val="none" w:sz="0" w:space="0" w:color="auto"/>
        <w:left w:val="none" w:sz="0" w:space="0" w:color="auto"/>
        <w:bottom w:val="none" w:sz="0" w:space="0" w:color="auto"/>
        <w:right w:val="none" w:sz="0" w:space="0" w:color="auto"/>
      </w:divBdr>
    </w:div>
    <w:div w:id="1784614203">
      <w:bodyDiv w:val="1"/>
      <w:marLeft w:val="0"/>
      <w:marRight w:val="0"/>
      <w:marTop w:val="0"/>
      <w:marBottom w:val="0"/>
      <w:divBdr>
        <w:top w:val="none" w:sz="0" w:space="0" w:color="auto"/>
        <w:left w:val="none" w:sz="0" w:space="0" w:color="auto"/>
        <w:bottom w:val="none" w:sz="0" w:space="0" w:color="auto"/>
        <w:right w:val="none" w:sz="0" w:space="0" w:color="auto"/>
      </w:divBdr>
    </w:div>
    <w:div w:id="19767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ezzat9720000@gmail.com" TargetMode="External"/><Relationship Id="rId13" Type="http://schemas.openxmlformats.org/officeDocument/2006/relationships/hyperlink" Target="http://www.dx.doi.org/10.7537/marscbj100420.02" TargetMode="External"/><Relationship Id="rId18" Type="http://schemas.openxmlformats.org/officeDocument/2006/relationships/hyperlink" Target="https://www.synonyms.com/synonym/availablen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sobhy7@yahoo.com" TargetMode="External"/><Relationship Id="rId12" Type="http://schemas.openxmlformats.org/officeDocument/2006/relationships/hyperlink" Target="http://www.cancerbio.net" TargetMode="External"/><Relationship Id="rId17" Type="http://schemas.openxmlformats.org/officeDocument/2006/relationships/hyperlink" Target="https://www.synonyms.com/synonym/indistinguishable" TargetMode="External"/><Relationship Id="rId2" Type="http://schemas.openxmlformats.org/officeDocument/2006/relationships/styles" Target="styles.xml"/><Relationship Id="rId16" Type="http://schemas.openxmlformats.org/officeDocument/2006/relationships/hyperlink" Target="https://www.synonyms.com/synonym/progenies"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mandohhussen@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rsylvy80@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sm02@fayoum.edu.eg"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5422</Words>
  <Characters>30911</Characters>
  <Application>Microsoft Office Word</Application>
  <DocSecurity>0</DocSecurity>
  <Lines>257</Lines>
  <Paragraphs>72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Compliance with Ethical Standards</vt:lpstr>
      <vt:lpstr/>
      <vt:lpstr>Disclosure</vt:lpstr>
      <vt:lpstr>All authors report no conflict of interests in this work.</vt:lpstr>
    </vt:vector>
  </TitlesOfParts>
  <Company/>
  <LinksUpToDate>false</LinksUpToDate>
  <CharactersWithSpaces>36261</CharactersWithSpaces>
  <SharedDoc>false</SharedDoc>
  <HLinks>
    <vt:vector size="600" baseType="variant">
      <vt:variant>
        <vt:i4>7667780</vt:i4>
      </vt:variant>
      <vt:variant>
        <vt:i4>294</vt:i4>
      </vt:variant>
      <vt:variant>
        <vt:i4>0</vt:i4>
      </vt:variant>
      <vt:variant>
        <vt:i4>5</vt:i4>
      </vt:variant>
      <vt:variant>
        <vt:lpwstr>https://www.ncbi.nlm.nih.gov/pubmed/?term=Boggild%20AK%5BAuthor%5D&amp;cauthor=true&amp;cauthor_uid=28754142</vt:lpwstr>
      </vt:variant>
      <vt:variant>
        <vt:lpwstr/>
      </vt:variant>
      <vt:variant>
        <vt:i4>2424841</vt:i4>
      </vt:variant>
      <vt:variant>
        <vt:i4>291</vt:i4>
      </vt:variant>
      <vt:variant>
        <vt:i4>0</vt:i4>
      </vt:variant>
      <vt:variant>
        <vt:i4>5</vt:i4>
      </vt:variant>
      <vt:variant>
        <vt:lpwstr>https://www.ncbi.nlm.nih.gov/pubmed/?term=Ralevski%20F%5BAuthor%5D&amp;cauthor=true&amp;cauthor_uid=28754142</vt:lpwstr>
      </vt:variant>
      <vt:variant>
        <vt:lpwstr/>
      </vt:variant>
      <vt:variant>
        <vt:i4>3801107</vt:i4>
      </vt:variant>
      <vt:variant>
        <vt:i4>288</vt:i4>
      </vt:variant>
      <vt:variant>
        <vt:i4>0</vt:i4>
      </vt:variant>
      <vt:variant>
        <vt:i4>5</vt:i4>
      </vt:variant>
      <vt:variant>
        <vt:lpwstr>https://www.ncbi.nlm.nih.gov/pubmed/?term=Wang%20A%5BAuthor%5D&amp;cauthor=true&amp;cauthor_uid=28754142</vt:lpwstr>
      </vt:variant>
      <vt:variant>
        <vt:lpwstr/>
      </vt:variant>
      <vt:variant>
        <vt:i4>3145759</vt:i4>
      </vt:variant>
      <vt:variant>
        <vt:i4>285</vt:i4>
      </vt:variant>
      <vt:variant>
        <vt:i4>0</vt:i4>
      </vt:variant>
      <vt:variant>
        <vt:i4>5</vt:i4>
      </vt:variant>
      <vt:variant>
        <vt:lpwstr>https://www.ncbi.nlm.nih.gov/pubmed/?term=Tian%20J%5BAuthor%5D&amp;cauthor=true&amp;cauthor_uid=28754142</vt:lpwstr>
      </vt:variant>
      <vt:variant>
        <vt:lpwstr/>
      </vt:variant>
      <vt:variant>
        <vt:i4>4325503</vt:i4>
      </vt:variant>
      <vt:variant>
        <vt:i4>282</vt:i4>
      </vt:variant>
      <vt:variant>
        <vt:i4>0</vt:i4>
      </vt:variant>
      <vt:variant>
        <vt:i4>5</vt:i4>
      </vt:variant>
      <vt:variant>
        <vt:lpwstr>https://www.ncbi.nlm.nih.gov/pubmed/?term=Gasgas%20J%5BAuthor%5D&amp;cauthor=true&amp;cauthor_uid=28754142</vt:lpwstr>
      </vt:variant>
      <vt:variant>
        <vt:lpwstr/>
      </vt:variant>
      <vt:variant>
        <vt:i4>2490454</vt:i4>
      </vt:variant>
      <vt:variant>
        <vt:i4>279</vt:i4>
      </vt:variant>
      <vt:variant>
        <vt:i4>0</vt:i4>
      </vt:variant>
      <vt:variant>
        <vt:i4>5</vt:i4>
      </vt:variant>
      <vt:variant>
        <vt:lpwstr>https://www.ncbi.nlm.nih.gov/pubmed/?term=Cunanan%20M%5BAuthor%5D&amp;cauthor=true&amp;cauthor_uid=28754142</vt:lpwstr>
      </vt:variant>
      <vt:variant>
        <vt:lpwstr/>
      </vt:variant>
      <vt:variant>
        <vt:i4>1114147</vt:i4>
      </vt:variant>
      <vt:variant>
        <vt:i4>276</vt:i4>
      </vt:variant>
      <vt:variant>
        <vt:i4>0</vt:i4>
      </vt:variant>
      <vt:variant>
        <vt:i4>5</vt:i4>
      </vt:variant>
      <vt:variant>
        <vt:lpwstr>https://www.ncbi.nlm.nih.gov/pubmed/?term=Chong-Kit%20A%5BAuthor%5D&amp;cauthor=true&amp;cauthor_uid=28754142</vt:lpwstr>
      </vt:variant>
      <vt:variant>
        <vt:lpwstr/>
      </vt:variant>
      <vt:variant>
        <vt:i4>3342359</vt:i4>
      </vt:variant>
      <vt:variant>
        <vt:i4>273</vt:i4>
      </vt:variant>
      <vt:variant>
        <vt:i4>0</vt:i4>
      </vt:variant>
      <vt:variant>
        <vt:i4>5</vt:i4>
      </vt:variant>
      <vt:variant>
        <vt:lpwstr>https://www.ncbi.nlm.nih.gov/pubmed/?term=Purssell%20A%5BAuthor%5D&amp;cauthor=true&amp;cauthor_uid=28754142</vt:lpwstr>
      </vt:variant>
      <vt:variant>
        <vt:lpwstr/>
      </vt:variant>
      <vt:variant>
        <vt:i4>3276893</vt:i4>
      </vt:variant>
      <vt:variant>
        <vt:i4>270</vt:i4>
      </vt:variant>
      <vt:variant>
        <vt:i4>0</vt:i4>
      </vt:variant>
      <vt:variant>
        <vt:i4>5</vt:i4>
      </vt:variant>
      <vt:variant>
        <vt:lpwstr>https://www.ncbi.nlm.nih.gov/pubmed/?term=Lau%20R%5BAuthor%5D&amp;cauthor=true&amp;cauthor_uid=28754142</vt:lpwstr>
      </vt:variant>
      <vt:variant>
        <vt:lpwstr/>
      </vt:variant>
      <vt:variant>
        <vt:i4>2490370</vt:i4>
      </vt:variant>
      <vt:variant>
        <vt:i4>267</vt:i4>
      </vt:variant>
      <vt:variant>
        <vt:i4>0</vt:i4>
      </vt:variant>
      <vt:variant>
        <vt:i4>5</vt:i4>
      </vt:variant>
      <vt:variant>
        <vt:lpwstr>https://www.ncbi.nlm.nih.gov/pubmed/?term=Karsenti%20N%5BAuthor%5D&amp;cauthor=true&amp;cauthor_uid=28754142</vt:lpwstr>
      </vt:variant>
      <vt:variant>
        <vt:lpwstr/>
      </vt:variant>
      <vt:variant>
        <vt:i4>5963859</vt:i4>
      </vt:variant>
      <vt:variant>
        <vt:i4>264</vt:i4>
      </vt:variant>
      <vt:variant>
        <vt:i4>0</vt:i4>
      </vt:variant>
      <vt:variant>
        <vt:i4>5</vt:i4>
      </vt:variant>
      <vt:variant>
        <vt:lpwstr>https://doi.org/10.1099/jmm.0.46675-0</vt:lpwstr>
      </vt:variant>
      <vt:variant>
        <vt:lpwstr/>
      </vt:variant>
      <vt:variant>
        <vt:i4>131165</vt:i4>
      </vt:variant>
      <vt:variant>
        <vt:i4>261</vt:i4>
      </vt:variant>
      <vt:variant>
        <vt:i4>0</vt:i4>
      </vt:variant>
      <vt:variant>
        <vt:i4>5</vt:i4>
      </vt:variant>
      <vt:variant>
        <vt:lpwstr>https://www.ncbi.nlm.nih.gov/pubmed/21498387</vt:lpwstr>
      </vt:variant>
      <vt:variant>
        <vt:lpwstr/>
      </vt:variant>
      <vt:variant>
        <vt:i4>5701686</vt:i4>
      </vt:variant>
      <vt:variant>
        <vt:i4>258</vt:i4>
      </vt:variant>
      <vt:variant>
        <vt:i4>0</vt:i4>
      </vt:variant>
      <vt:variant>
        <vt:i4>5</vt:i4>
      </vt:variant>
      <vt:variant>
        <vt:lpwstr>https://www.ncbi.nlm.nih.gov/pubmed/?term=Greub%20G%5BAuthor%5D&amp;cauthor=true&amp;cauthor_uid=21498387</vt:lpwstr>
      </vt:variant>
      <vt:variant>
        <vt:lpwstr/>
      </vt:variant>
      <vt:variant>
        <vt:i4>5636201</vt:i4>
      </vt:variant>
      <vt:variant>
        <vt:i4>255</vt:i4>
      </vt:variant>
      <vt:variant>
        <vt:i4>0</vt:i4>
      </vt:variant>
      <vt:variant>
        <vt:i4>5</vt:i4>
      </vt:variant>
      <vt:variant>
        <vt:lpwstr>https://www.ncbi.nlm.nih.gov/pubmed/?term=Pospischil%20A%5BAuthor%5D&amp;cauthor=true&amp;cauthor_uid=21498387</vt:lpwstr>
      </vt:variant>
      <vt:variant>
        <vt:lpwstr/>
      </vt:variant>
      <vt:variant>
        <vt:i4>2293790</vt:i4>
      </vt:variant>
      <vt:variant>
        <vt:i4>252</vt:i4>
      </vt:variant>
      <vt:variant>
        <vt:i4>0</vt:i4>
      </vt:variant>
      <vt:variant>
        <vt:i4>5</vt:i4>
      </vt:variant>
      <vt:variant>
        <vt:lpwstr>https://www.ncbi.nlm.nih.gov/pubmed/?term=Vial%20Y%5BAuthor%5D&amp;cauthor=true&amp;cauthor_uid=21498387</vt:lpwstr>
      </vt:variant>
      <vt:variant>
        <vt:lpwstr/>
      </vt:variant>
      <vt:variant>
        <vt:i4>5898275</vt:i4>
      </vt:variant>
      <vt:variant>
        <vt:i4>249</vt:i4>
      </vt:variant>
      <vt:variant>
        <vt:i4>0</vt:i4>
      </vt:variant>
      <vt:variant>
        <vt:i4>5</vt:i4>
      </vt:variant>
      <vt:variant>
        <vt:lpwstr>https://www.ncbi.nlm.nih.gov/pubmed/?term=Borel%20N%5BAuthor%5D&amp;cauthor=true&amp;cauthor_uid=21498387</vt:lpwstr>
      </vt:variant>
      <vt:variant>
        <vt:lpwstr/>
      </vt:variant>
      <vt:variant>
        <vt:i4>589867</vt:i4>
      </vt:variant>
      <vt:variant>
        <vt:i4>246</vt:i4>
      </vt:variant>
      <vt:variant>
        <vt:i4>0</vt:i4>
      </vt:variant>
      <vt:variant>
        <vt:i4>5</vt:i4>
      </vt:variant>
      <vt:variant>
        <vt:lpwstr>https://www.ncbi.nlm.nih.gov/pubmed/?term=Osterheld%20MC%5BAuthor%5D&amp;cauthor=true&amp;cauthor_uid=21498387</vt:lpwstr>
      </vt:variant>
      <vt:variant>
        <vt:lpwstr/>
      </vt:variant>
      <vt:variant>
        <vt:i4>4128840</vt:i4>
      </vt:variant>
      <vt:variant>
        <vt:i4>243</vt:i4>
      </vt:variant>
      <vt:variant>
        <vt:i4>0</vt:i4>
      </vt:variant>
      <vt:variant>
        <vt:i4>5</vt:i4>
      </vt:variant>
      <vt:variant>
        <vt:lpwstr>https://www.ncbi.nlm.nih.gov/pubmed/?term=Goy%20G%5BAuthor%5D&amp;cauthor=true&amp;cauthor_uid=21498387</vt:lpwstr>
      </vt:variant>
      <vt:variant>
        <vt:lpwstr/>
      </vt:variant>
      <vt:variant>
        <vt:i4>4063262</vt:i4>
      </vt:variant>
      <vt:variant>
        <vt:i4>240</vt:i4>
      </vt:variant>
      <vt:variant>
        <vt:i4>0</vt:i4>
      </vt:variant>
      <vt:variant>
        <vt:i4>5</vt:i4>
      </vt:variant>
      <vt:variant>
        <vt:lpwstr>https://www.ncbi.nlm.nih.gov/pubmed/?term=Baud%20D%5BAuthor%5D&amp;cauthor=true&amp;cauthor_uid=21498387</vt:lpwstr>
      </vt:variant>
      <vt:variant>
        <vt:lpwstr/>
      </vt:variant>
      <vt:variant>
        <vt:i4>917594</vt:i4>
      </vt:variant>
      <vt:variant>
        <vt:i4>237</vt:i4>
      </vt:variant>
      <vt:variant>
        <vt:i4>0</vt:i4>
      </vt:variant>
      <vt:variant>
        <vt:i4>5</vt:i4>
      </vt:variant>
      <vt:variant>
        <vt:lpwstr>https://www.ncbi.nlm.nih.gov/pubmed/21355450</vt:lpwstr>
      </vt:variant>
      <vt:variant>
        <vt:lpwstr/>
      </vt:variant>
      <vt:variant>
        <vt:i4>2097227</vt:i4>
      </vt:variant>
      <vt:variant>
        <vt:i4>234</vt:i4>
      </vt:variant>
      <vt:variant>
        <vt:i4>0</vt:i4>
      </vt:variant>
      <vt:variant>
        <vt:i4>5</vt:i4>
      </vt:variant>
      <vt:variant>
        <vt:lpwstr>https://www.ncbi.nlm.nih.gov/pubmed/?term=Seganti%20L%5BAuthor%5D&amp;cauthor=true&amp;cauthor_uid=14596343</vt:lpwstr>
      </vt:variant>
      <vt:variant>
        <vt:lpwstr/>
      </vt:variant>
      <vt:variant>
        <vt:i4>7405648</vt:i4>
      </vt:variant>
      <vt:variant>
        <vt:i4>231</vt:i4>
      </vt:variant>
      <vt:variant>
        <vt:i4>0</vt:i4>
      </vt:variant>
      <vt:variant>
        <vt:i4>5</vt:i4>
      </vt:variant>
      <vt:variant>
        <vt:lpwstr>https://www.ncbi.nlm.nih.gov/pubmed/?term=Degener%20AM%5BAuthor%5D&amp;cauthor=true&amp;cauthor_uid=14596343</vt:lpwstr>
      </vt:variant>
      <vt:variant>
        <vt:lpwstr/>
      </vt:variant>
      <vt:variant>
        <vt:i4>6225953</vt:i4>
      </vt:variant>
      <vt:variant>
        <vt:i4>228</vt:i4>
      </vt:variant>
      <vt:variant>
        <vt:i4>0</vt:i4>
      </vt:variant>
      <vt:variant>
        <vt:i4>5</vt:i4>
      </vt:variant>
      <vt:variant>
        <vt:lpwstr>https://www.ncbi.nlm.nih.gov/pubmed/?term=Villaccio%20B%5BAuthor%5D&amp;cauthor=true&amp;cauthor_uid=14596343</vt:lpwstr>
      </vt:variant>
      <vt:variant>
        <vt:lpwstr/>
      </vt:variant>
      <vt:variant>
        <vt:i4>2687071</vt:i4>
      </vt:variant>
      <vt:variant>
        <vt:i4>225</vt:i4>
      </vt:variant>
      <vt:variant>
        <vt:i4>0</vt:i4>
      </vt:variant>
      <vt:variant>
        <vt:i4>5</vt:i4>
      </vt:variant>
      <vt:variant>
        <vt:lpwstr>https://www.ncbi.nlm.nih.gov/pubmed/?term=Vetrano%20G%5BAuthor%5D&amp;cauthor=true&amp;cauthor_uid=14596343</vt:lpwstr>
      </vt:variant>
      <vt:variant>
        <vt:lpwstr/>
      </vt:variant>
      <vt:variant>
        <vt:i4>3080277</vt:i4>
      </vt:variant>
      <vt:variant>
        <vt:i4>222</vt:i4>
      </vt:variant>
      <vt:variant>
        <vt:i4>0</vt:i4>
      </vt:variant>
      <vt:variant>
        <vt:i4>5</vt:i4>
      </vt:variant>
      <vt:variant>
        <vt:lpwstr>https://www.ncbi.nlm.nih.gov/pubmed/?term=Pietropaolo%20V%5BAuthor%5D&amp;cauthor=true&amp;cauthor_uid=14596343</vt:lpwstr>
      </vt:variant>
      <vt:variant>
        <vt:lpwstr/>
      </vt:variant>
      <vt:variant>
        <vt:i4>4784200</vt:i4>
      </vt:variant>
      <vt:variant>
        <vt:i4>219</vt:i4>
      </vt:variant>
      <vt:variant>
        <vt:i4>0</vt:i4>
      </vt:variant>
      <vt:variant>
        <vt:i4>5</vt:i4>
      </vt:variant>
      <vt:variant>
        <vt:lpwstr>https://doi.org/10.1016/j.ejogrb.2005.12.024</vt:lpwstr>
      </vt:variant>
      <vt:variant>
        <vt:lpwstr/>
      </vt:variant>
      <vt:variant>
        <vt:i4>327773</vt:i4>
      </vt:variant>
      <vt:variant>
        <vt:i4>216</vt:i4>
      </vt:variant>
      <vt:variant>
        <vt:i4>0</vt:i4>
      </vt:variant>
      <vt:variant>
        <vt:i4>5</vt:i4>
      </vt:variant>
      <vt:variant>
        <vt:lpwstr>https://www.ncbi.nlm.nih.gov/pubmed/24564950</vt:lpwstr>
      </vt:variant>
      <vt:variant>
        <vt:lpwstr/>
      </vt:variant>
      <vt:variant>
        <vt:i4>5701686</vt:i4>
      </vt:variant>
      <vt:variant>
        <vt:i4>213</vt:i4>
      </vt:variant>
      <vt:variant>
        <vt:i4>0</vt:i4>
      </vt:variant>
      <vt:variant>
        <vt:i4>5</vt:i4>
      </vt:variant>
      <vt:variant>
        <vt:lpwstr>https://www.ncbi.nlm.nih.gov/pubmed/?term=Greub%20G%5BAuthor%5D&amp;cauthor=true&amp;cauthor_uid=24564950</vt:lpwstr>
      </vt:variant>
      <vt:variant>
        <vt:lpwstr/>
      </vt:variant>
      <vt:variant>
        <vt:i4>5308521</vt:i4>
      </vt:variant>
      <vt:variant>
        <vt:i4>210</vt:i4>
      </vt:variant>
      <vt:variant>
        <vt:i4>0</vt:i4>
      </vt:variant>
      <vt:variant>
        <vt:i4>5</vt:i4>
      </vt:variant>
      <vt:variant>
        <vt:lpwstr>https://www.ncbi.nlm.nih.gov/pubmed/?term=Pospischil%20A%5BAuthor%5D&amp;cauthor=true&amp;cauthor_uid=24564950</vt:lpwstr>
      </vt:variant>
      <vt:variant>
        <vt:lpwstr/>
      </vt:variant>
      <vt:variant>
        <vt:i4>2359326</vt:i4>
      </vt:variant>
      <vt:variant>
        <vt:i4>207</vt:i4>
      </vt:variant>
      <vt:variant>
        <vt:i4>0</vt:i4>
      </vt:variant>
      <vt:variant>
        <vt:i4>5</vt:i4>
      </vt:variant>
      <vt:variant>
        <vt:lpwstr>https://www.ncbi.nlm.nih.gov/pubmed/?term=Vial%20Y%5BAuthor%5D&amp;cauthor=true&amp;cauthor_uid=24564950</vt:lpwstr>
      </vt:variant>
      <vt:variant>
        <vt:lpwstr/>
      </vt:variant>
      <vt:variant>
        <vt:i4>5898275</vt:i4>
      </vt:variant>
      <vt:variant>
        <vt:i4>204</vt:i4>
      </vt:variant>
      <vt:variant>
        <vt:i4>0</vt:i4>
      </vt:variant>
      <vt:variant>
        <vt:i4>5</vt:i4>
      </vt:variant>
      <vt:variant>
        <vt:lpwstr>https://www.ncbi.nlm.nih.gov/pubmed/?term=Borel%20N%5BAuthor%5D&amp;cauthor=true&amp;cauthor_uid=24564950</vt:lpwstr>
      </vt:variant>
      <vt:variant>
        <vt:lpwstr/>
      </vt:variant>
      <vt:variant>
        <vt:i4>2621456</vt:i4>
      </vt:variant>
      <vt:variant>
        <vt:i4>201</vt:i4>
      </vt:variant>
      <vt:variant>
        <vt:i4>0</vt:i4>
      </vt:variant>
      <vt:variant>
        <vt:i4>5</vt:i4>
      </vt:variant>
      <vt:variant>
        <vt:lpwstr>https://www.ncbi.nlm.nih.gov/pubmed/?term=Croxatto%20A%5BAuthor%5D&amp;cauthor=true&amp;cauthor_uid=24564950</vt:lpwstr>
      </vt:variant>
      <vt:variant>
        <vt:lpwstr/>
      </vt:variant>
      <vt:variant>
        <vt:i4>917547</vt:i4>
      </vt:variant>
      <vt:variant>
        <vt:i4>198</vt:i4>
      </vt:variant>
      <vt:variant>
        <vt:i4>0</vt:i4>
      </vt:variant>
      <vt:variant>
        <vt:i4>5</vt:i4>
      </vt:variant>
      <vt:variant>
        <vt:lpwstr>https://www.ncbi.nlm.nih.gov/pubmed/?term=Osterheld%20MC%5BAuthor%5D&amp;cauthor=true&amp;cauthor_uid=24564950</vt:lpwstr>
      </vt:variant>
      <vt:variant>
        <vt:lpwstr/>
      </vt:variant>
      <vt:variant>
        <vt:i4>4128840</vt:i4>
      </vt:variant>
      <vt:variant>
        <vt:i4>195</vt:i4>
      </vt:variant>
      <vt:variant>
        <vt:i4>0</vt:i4>
      </vt:variant>
      <vt:variant>
        <vt:i4>5</vt:i4>
      </vt:variant>
      <vt:variant>
        <vt:lpwstr>https://www.ncbi.nlm.nih.gov/pubmed/?term=Goy%20G%5BAuthor%5D&amp;cauthor=true&amp;cauthor_uid=24564950</vt:lpwstr>
      </vt:variant>
      <vt:variant>
        <vt:lpwstr/>
      </vt:variant>
      <vt:variant>
        <vt:i4>3735582</vt:i4>
      </vt:variant>
      <vt:variant>
        <vt:i4>192</vt:i4>
      </vt:variant>
      <vt:variant>
        <vt:i4>0</vt:i4>
      </vt:variant>
      <vt:variant>
        <vt:i4>5</vt:i4>
      </vt:variant>
      <vt:variant>
        <vt:lpwstr>https://www.ncbi.nlm.nih.gov/pubmed/?term=Baud%20D%5BAuthor%5D&amp;cauthor=true&amp;cauthor_uid=24564950</vt:lpwstr>
      </vt:variant>
      <vt:variant>
        <vt:lpwstr/>
      </vt:variant>
      <vt:variant>
        <vt:i4>327757</vt:i4>
      </vt:variant>
      <vt:variant>
        <vt:i4>189</vt:i4>
      </vt:variant>
      <vt:variant>
        <vt:i4>0</vt:i4>
      </vt:variant>
      <vt:variant>
        <vt:i4>5</vt:i4>
      </vt:variant>
      <vt:variant>
        <vt:lpwstr>https://doi.org/10.1016/0002-9343(83)91112-9</vt:lpwstr>
      </vt:variant>
      <vt:variant>
        <vt:lpwstr/>
      </vt:variant>
      <vt:variant>
        <vt:i4>7274518</vt:i4>
      </vt:variant>
      <vt:variant>
        <vt:i4>186</vt:i4>
      </vt:variant>
      <vt:variant>
        <vt:i4>0</vt:i4>
      </vt:variant>
      <vt:variant>
        <vt:i4>5</vt:i4>
      </vt:variant>
      <vt:variant>
        <vt:lpwstr>https://www.ncbi.nlm.nih.gov/pubmed/?term=Holmes%20KK%5BAuthor%5D&amp;cauthor=true&amp;cauthor_uid=6600371</vt:lpwstr>
      </vt:variant>
      <vt:variant>
        <vt:lpwstr/>
      </vt:variant>
      <vt:variant>
        <vt:i4>7995480</vt:i4>
      </vt:variant>
      <vt:variant>
        <vt:i4>183</vt:i4>
      </vt:variant>
      <vt:variant>
        <vt:i4>0</vt:i4>
      </vt:variant>
      <vt:variant>
        <vt:i4>5</vt:i4>
      </vt:variant>
      <vt:variant>
        <vt:lpwstr>https://www.ncbi.nlm.nih.gov/pubmed/?term=Eschenbach%20D%5BAuthor%5D&amp;cauthor=true&amp;cauthor_uid=6600371</vt:lpwstr>
      </vt:variant>
      <vt:variant>
        <vt:lpwstr/>
      </vt:variant>
      <vt:variant>
        <vt:i4>1572985</vt:i4>
      </vt:variant>
      <vt:variant>
        <vt:i4>180</vt:i4>
      </vt:variant>
      <vt:variant>
        <vt:i4>0</vt:i4>
      </vt:variant>
      <vt:variant>
        <vt:i4>5</vt:i4>
      </vt:variant>
      <vt:variant>
        <vt:lpwstr>https://www.ncbi.nlm.nih.gov/pubmed/?term=Chen%20KC%5BAuthor%5D&amp;cauthor=true&amp;cauthor_uid=6600371</vt:lpwstr>
      </vt:variant>
      <vt:variant>
        <vt:lpwstr/>
      </vt:variant>
      <vt:variant>
        <vt:i4>5505135</vt:i4>
      </vt:variant>
      <vt:variant>
        <vt:i4>177</vt:i4>
      </vt:variant>
      <vt:variant>
        <vt:i4>0</vt:i4>
      </vt:variant>
      <vt:variant>
        <vt:i4>5</vt:i4>
      </vt:variant>
      <vt:variant>
        <vt:lpwstr>https://www.ncbi.nlm.nih.gov/pubmed/?term=Spiegel%20CA%5BAuthor%5D&amp;cauthor=true&amp;cauthor_uid=6600371</vt:lpwstr>
      </vt:variant>
      <vt:variant>
        <vt:lpwstr/>
      </vt:variant>
      <vt:variant>
        <vt:i4>7340056</vt:i4>
      </vt:variant>
      <vt:variant>
        <vt:i4>174</vt:i4>
      </vt:variant>
      <vt:variant>
        <vt:i4>0</vt:i4>
      </vt:variant>
      <vt:variant>
        <vt:i4>5</vt:i4>
      </vt:variant>
      <vt:variant>
        <vt:lpwstr>https://www.ncbi.nlm.nih.gov/pubmed/?term=Totten%20PA%5BAuthor%5D&amp;cauthor=true&amp;cauthor_uid=6600371</vt:lpwstr>
      </vt:variant>
      <vt:variant>
        <vt:lpwstr/>
      </vt:variant>
      <vt:variant>
        <vt:i4>5898295</vt:i4>
      </vt:variant>
      <vt:variant>
        <vt:i4>171</vt:i4>
      </vt:variant>
      <vt:variant>
        <vt:i4>0</vt:i4>
      </vt:variant>
      <vt:variant>
        <vt:i4>5</vt:i4>
      </vt:variant>
      <vt:variant>
        <vt:lpwstr>https://www.ncbi.nlm.nih.gov/pubmed/?term=Amsel%20R%5BAuthor%5D&amp;cauthor=true&amp;cauthor_uid=6600371</vt:lpwstr>
      </vt:variant>
      <vt:variant>
        <vt:lpwstr/>
      </vt:variant>
      <vt:variant>
        <vt:i4>327748</vt:i4>
      </vt:variant>
      <vt:variant>
        <vt:i4>168</vt:i4>
      </vt:variant>
      <vt:variant>
        <vt:i4>0</vt:i4>
      </vt:variant>
      <vt:variant>
        <vt:i4>5</vt:i4>
      </vt:variant>
      <vt:variant>
        <vt:lpwstr>https://www.ncbi.nlm.nih.gov/pmc/articles/PMC269757/</vt:lpwstr>
      </vt:variant>
      <vt:variant>
        <vt:lpwstr/>
      </vt:variant>
      <vt:variant>
        <vt:i4>3735595</vt:i4>
      </vt:variant>
      <vt:variant>
        <vt:i4>165</vt:i4>
      </vt:variant>
      <vt:variant>
        <vt:i4>0</vt:i4>
      </vt:variant>
      <vt:variant>
        <vt:i4>5</vt:i4>
      </vt:variant>
      <vt:variant>
        <vt:lpwstr>https://www.ncbi.nlm.nih.gov/pubmed/?term=Reliability+of+diagnosing+bacterial+vaginosis+is+improved+by+a+standardized+method+of+Gram+stain+interpretation.</vt:lpwstr>
      </vt:variant>
      <vt:variant>
        <vt:lpwstr/>
      </vt:variant>
      <vt:variant>
        <vt:i4>5177424</vt:i4>
      </vt:variant>
      <vt:variant>
        <vt:i4>162</vt:i4>
      </vt:variant>
      <vt:variant>
        <vt:i4>0</vt:i4>
      </vt:variant>
      <vt:variant>
        <vt:i4>5</vt:i4>
      </vt:variant>
      <vt:variant>
        <vt:lpwstr>https://www.ncbi.nlm.nih.gov/pubmed/?term=The+Waddlia+genome%3A+a+window+into+chlamydial+biology</vt:lpwstr>
      </vt:variant>
      <vt:variant>
        <vt:lpwstr/>
      </vt:variant>
      <vt:variant>
        <vt:i4>5505079</vt:i4>
      </vt:variant>
      <vt:variant>
        <vt:i4>159</vt:i4>
      </vt:variant>
      <vt:variant>
        <vt:i4>0</vt:i4>
      </vt:variant>
      <vt:variant>
        <vt:i4>5</vt:i4>
      </vt:variant>
      <vt:variant>
        <vt:lpwstr>https://www.ncbi.nlm.nih.gov/pubmed/?term=Greub%20G%5BAuthor%5D&amp;cauthor=true&amp;cauthor_uid=20531937</vt:lpwstr>
      </vt:variant>
      <vt:variant>
        <vt:lpwstr/>
      </vt:variant>
      <vt:variant>
        <vt:i4>3407961</vt:i4>
      </vt:variant>
      <vt:variant>
        <vt:i4>156</vt:i4>
      </vt:variant>
      <vt:variant>
        <vt:i4>0</vt:i4>
      </vt:variant>
      <vt:variant>
        <vt:i4>5</vt:i4>
      </vt:variant>
      <vt:variant>
        <vt:lpwstr>https://www.ncbi.nlm.nih.gov/pubmed/?term=Vaughan%20L%5BAuthor%5D&amp;cauthor=true&amp;cauthor_uid=20531937</vt:lpwstr>
      </vt:variant>
      <vt:variant>
        <vt:lpwstr/>
      </vt:variant>
      <vt:variant>
        <vt:i4>2883595</vt:i4>
      </vt:variant>
      <vt:variant>
        <vt:i4>153</vt:i4>
      </vt:variant>
      <vt:variant>
        <vt:i4>0</vt:i4>
      </vt:variant>
      <vt:variant>
        <vt:i4>5</vt:i4>
      </vt:variant>
      <vt:variant>
        <vt:lpwstr>https://www.ncbi.nlm.nih.gov/pubmed/?term=Goesmann%20A%5BAuthor%5D&amp;cauthor=true&amp;cauthor_uid=20531937</vt:lpwstr>
      </vt:variant>
      <vt:variant>
        <vt:lpwstr/>
      </vt:variant>
      <vt:variant>
        <vt:i4>1179759</vt:i4>
      </vt:variant>
      <vt:variant>
        <vt:i4>150</vt:i4>
      </vt:variant>
      <vt:variant>
        <vt:i4>0</vt:i4>
      </vt:variant>
      <vt:variant>
        <vt:i4>5</vt:i4>
      </vt:variant>
      <vt:variant>
        <vt:lpwstr>https://www.ncbi.nlm.nih.gov/pubmed/?term=Kebbi-Beghdadi%20C%5BAuthor%5D&amp;cauthor=true&amp;cauthor_uid=20531937</vt:lpwstr>
      </vt:variant>
      <vt:variant>
        <vt:lpwstr/>
      </vt:variant>
      <vt:variant>
        <vt:i4>2752537</vt:i4>
      </vt:variant>
      <vt:variant>
        <vt:i4>147</vt:i4>
      </vt:variant>
      <vt:variant>
        <vt:i4>0</vt:i4>
      </vt:variant>
      <vt:variant>
        <vt:i4>5</vt:i4>
      </vt:variant>
      <vt:variant>
        <vt:lpwstr>https://www.ncbi.nlm.nih.gov/pubmed/?term=Polkinghorne%20A%5BAuthor%5D&amp;cauthor=true&amp;cauthor_uid=20531937</vt:lpwstr>
      </vt:variant>
      <vt:variant>
        <vt:lpwstr/>
      </vt:variant>
      <vt:variant>
        <vt:i4>3866692</vt:i4>
      </vt:variant>
      <vt:variant>
        <vt:i4>144</vt:i4>
      </vt:variant>
      <vt:variant>
        <vt:i4>0</vt:i4>
      </vt:variant>
      <vt:variant>
        <vt:i4>5</vt:i4>
      </vt:variant>
      <vt:variant>
        <vt:lpwstr>https://www.ncbi.nlm.nih.gov/pubmed/?term=R%C3%BCckert%20C%5BAuthor%5D&amp;cauthor=true&amp;cauthor_uid=20531937</vt:lpwstr>
      </vt:variant>
      <vt:variant>
        <vt:lpwstr/>
      </vt:variant>
      <vt:variant>
        <vt:i4>3014675</vt:i4>
      </vt:variant>
      <vt:variant>
        <vt:i4>141</vt:i4>
      </vt:variant>
      <vt:variant>
        <vt:i4>0</vt:i4>
      </vt:variant>
      <vt:variant>
        <vt:i4>5</vt:i4>
      </vt:variant>
      <vt:variant>
        <vt:lpwstr>https://www.ncbi.nlm.nih.gov/pubmed/?term=Croxatto%20A%5BAuthor%5D&amp;cauthor=true&amp;cauthor_uid=20531937</vt:lpwstr>
      </vt:variant>
      <vt:variant>
        <vt:lpwstr/>
      </vt:variant>
      <vt:variant>
        <vt:i4>5570684</vt:i4>
      </vt:variant>
      <vt:variant>
        <vt:i4>138</vt:i4>
      </vt:variant>
      <vt:variant>
        <vt:i4>0</vt:i4>
      </vt:variant>
      <vt:variant>
        <vt:i4>5</vt:i4>
      </vt:variant>
      <vt:variant>
        <vt:lpwstr>https://www.ncbi.nlm.nih.gov/pubmed/?term=Collyn%20F%5BAuthor%5D&amp;cauthor=true&amp;cauthor_uid=20531937</vt:lpwstr>
      </vt:variant>
      <vt:variant>
        <vt:lpwstr/>
      </vt:variant>
      <vt:variant>
        <vt:i4>2686995</vt:i4>
      </vt:variant>
      <vt:variant>
        <vt:i4>135</vt:i4>
      </vt:variant>
      <vt:variant>
        <vt:i4>0</vt:i4>
      </vt:variant>
      <vt:variant>
        <vt:i4>5</vt:i4>
      </vt:variant>
      <vt:variant>
        <vt:lpwstr>https://www.ncbi.nlm.nih.gov/pubmed/?term=Bertelli%20C%5BAuthor%5D&amp;cauthor=true&amp;cauthor_uid=20531937</vt:lpwstr>
      </vt:variant>
      <vt:variant>
        <vt:lpwstr/>
      </vt:variant>
      <vt:variant>
        <vt:i4>655451</vt:i4>
      </vt:variant>
      <vt:variant>
        <vt:i4>132</vt:i4>
      </vt:variant>
      <vt:variant>
        <vt:i4>0</vt:i4>
      </vt:variant>
      <vt:variant>
        <vt:i4>5</vt:i4>
      </vt:variant>
      <vt:variant>
        <vt:lpwstr>https://www.ncbi.nlm.nih.gov/pubmed/20410164</vt:lpwstr>
      </vt:variant>
      <vt:variant>
        <vt:lpwstr/>
      </vt:variant>
      <vt:variant>
        <vt:i4>2818147</vt:i4>
      </vt:variant>
      <vt:variant>
        <vt:i4>129</vt:i4>
      </vt:variant>
      <vt:variant>
        <vt:i4>0</vt:i4>
      </vt:variant>
      <vt:variant>
        <vt:i4>5</vt:i4>
      </vt:variant>
      <vt:variant>
        <vt:lpwstr>https://www.ncbi.nlm.nih.gov/pubmed/?term=Chlamydia+related+bacteria+(Chlamydiales)+in+early+pregnancy%3A+community-based+cohort+study.</vt:lpwstr>
      </vt:variant>
      <vt:variant>
        <vt:lpwstr/>
      </vt:variant>
      <vt:variant>
        <vt:i4>6684770</vt:i4>
      </vt:variant>
      <vt:variant>
        <vt:i4>126</vt:i4>
      </vt:variant>
      <vt:variant>
        <vt:i4>0</vt:i4>
      </vt:variant>
      <vt:variant>
        <vt:i4>5</vt:i4>
      </vt:variant>
      <vt:variant>
        <vt:lpwstr>https://doi.org/10.3201/eid1308.070315</vt:lpwstr>
      </vt:variant>
      <vt:variant>
        <vt:lpwstr/>
      </vt:variant>
      <vt:variant>
        <vt:i4>1048651</vt:i4>
      </vt:variant>
      <vt:variant>
        <vt:i4>123</vt:i4>
      </vt:variant>
      <vt:variant>
        <vt:i4>0</vt:i4>
      </vt:variant>
      <vt:variant>
        <vt:i4>5</vt:i4>
      </vt:variant>
      <vt:variant>
        <vt:lpwstr>https://www.ncbi.nlm.nih.gov/pmc/articles/PMC2828094/</vt:lpwstr>
      </vt:variant>
      <vt:variant>
        <vt:lpwstr/>
      </vt:variant>
      <vt:variant>
        <vt:i4>4456460</vt:i4>
      </vt:variant>
      <vt:variant>
        <vt:i4>120</vt:i4>
      </vt:variant>
      <vt:variant>
        <vt:i4>0</vt:i4>
      </vt:variant>
      <vt:variant>
        <vt:i4>5</vt:i4>
      </vt:variant>
      <vt:variant>
        <vt:lpwstr>https://www.ncbi.nlm.nih.gov/pubmed/?term=Waddlia+chondrophila%2C+a+potential+agent+of+human+fetal+death.</vt:lpwstr>
      </vt:variant>
      <vt:variant>
        <vt:lpwstr/>
      </vt:variant>
      <vt:variant>
        <vt:i4>3670071</vt:i4>
      </vt:variant>
      <vt:variant>
        <vt:i4>117</vt:i4>
      </vt:variant>
      <vt:variant>
        <vt:i4>0</vt:i4>
      </vt:variant>
      <vt:variant>
        <vt:i4>5</vt:i4>
      </vt:variant>
      <vt:variant>
        <vt:lpwstr>https://www.ncbi.nlm.nih.gov/pubmed/?term=Permissivity+of+vero+cells%2C+human+pneumocytes+and+human+endometrial+cells+to+Waddlia+chondrophila.</vt:lpwstr>
      </vt:variant>
      <vt:variant>
        <vt:lpwstr/>
      </vt:variant>
      <vt:variant>
        <vt:i4>2621541</vt:i4>
      </vt:variant>
      <vt:variant>
        <vt:i4>114</vt:i4>
      </vt:variant>
      <vt:variant>
        <vt:i4>0</vt:i4>
      </vt:variant>
      <vt:variant>
        <vt:i4>5</vt:i4>
      </vt:variant>
      <vt:variant>
        <vt:lpwstr>https://doi.org/10.1177/014107689909200506</vt:lpwstr>
      </vt:variant>
      <vt:variant>
        <vt:lpwstr/>
      </vt:variant>
      <vt:variant>
        <vt:i4>1638464</vt:i4>
      </vt:variant>
      <vt:variant>
        <vt:i4>111</vt:i4>
      </vt:variant>
      <vt:variant>
        <vt:i4>0</vt:i4>
      </vt:variant>
      <vt:variant>
        <vt:i4>5</vt:i4>
      </vt:variant>
      <vt:variant>
        <vt:lpwstr>https://www.ncbi.nlm.nih.gov/pmc/articles/PMC1297174/</vt:lpwstr>
      </vt:variant>
      <vt:variant>
        <vt:lpwstr/>
      </vt:variant>
      <vt:variant>
        <vt:i4>131161</vt:i4>
      </vt:variant>
      <vt:variant>
        <vt:i4>108</vt:i4>
      </vt:variant>
      <vt:variant>
        <vt:i4>0</vt:i4>
      </vt:variant>
      <vt:variant>
        <vt:i4>5</vt:i4>
      </vt:variant>
      <vt:variant>
        <vt:lpwstr>https://www.ncbi.nlm.nih.gov/pubmed/10472259</vt:lpwstr>
      </vt:variant>
      <vt:variant>
        <vt:lpwstr/>
      </vt:variant>
      <vt:variant>
        <vt:i4>3276808</vt:i4>
      </vt:variant>
      <vt:variant>
        <vt:i4>105</vt:i4>
      </vt:variant>
      <vt:variant>
        <vt:i4>0</vt:i4>
      </vt:variant>
      <vt:variant>
        <vt:i4>5</vt:i4>
      </vt:variant>
      <vt:variant>
        <vt:lpwstr>https://www.ncbi.nlm.nih.gov/pubmed/?term=Guscetti%20F%5BAuthor%5D&amp;cauthor=true&amp;cauthor_uid=10472259</vt:lpwstr>
      </vt:variant>
      <vt:variant>
        <vt:lpwstr/>
      </vt:variant>
      <vt:variant>
        <vt:i4>5636205</vt:i4>
      </vt:variant>
      <vt:variant>
        <vt:i4>102</vt:i4>
      </vt:variant>
      <vt:variant>
        <vt:i4>0</vt:i4>
      </vt:variant>
      <vt:variant>
        <vt:i4>5</vt:i4>
      </vt:variant>
      <vt:variant>
        <vt:lpwstr>https://www.ncbi.nlm.nih.gov/pubmed/?term=Pospischil%20A%5BAuthor%5D&amp;cauthor=true&amp;cauthor_uid=10472259</vt:lpwstr>
      </vt:variant>
      <vt:variant>
        <vt:lpwstr/>
      </vt:variant>
      <vt:variant>
        <vt:i4>6750291</vt:i4>
      </vt:variant>
      <vt:variant>
        <vt:i4>99</vt:i4>
      </vt:variant>
      <vt:variant>
        <vt:i4>0</vt:i4>
      </vt:variant>
      <vt:variant>
        <vt:i4>5</vt:i4>
      </vt:variant>
      <vt:variant>
        <vt:lpwstr>https://www.ncbi.nlm.nih.gov/pubmed/?term=Gebbers%20JJ%5BAuthor%5D&amp;cauthor=true&amp;cauthor_uid=10472259</vt:lpwstr>
      </vt:variant>
      <vt:variant>
        <vt:lpwstr/>
      </vt:variant>
      <vt:variant>
        <vt:i4>4980863</vt:i4>
      </vt:variant>
      <vt:variant>
        <vt:i4>96</vt:i4>
      </vt:variant>
      <vt:variant>
        <vt:i4>0</vt:i4>
      </vt:variant>
      <vt:variant>
        <vt:i4>5</vt:i4>
      </vt:variant>
      <vt:variant>
        <vt:lpwstr>https://www.ncbi.nlm.nih.gov/pubmed/?term=Sydler%20T%5BAuthor%5D&amp;cauthor=true&amp;cauthor_uid=10472259</vt:lpwstr>
      </vt:variant>
      <vt:variant>
        <vt:lpwstr/>
      </vt:variant>
      <vt:variant>
        <vt:i4>4325413</vt:i4>
      </vt:variant>
      <vt:variant>
        <vt:i4>93</vt:i4>
      </vt:variant>
      <vt:variant>
        <vt:i4>0</vt:i4>
      </vt:variant>
      <vt:variant>
        <vt:i4>5</vt:i4>
      </vt:variant>
      <vt:variant>
        <vt:lpwstr>https://www.ncbi.nlm.nih.gov/pubmed/?term=Feist%20A%5BAuthor%5D&amp;cauthor=true&amp;cauthor_uid=10472259</vt:lpwstr>
      </vt:variant>
      <vt:variant>
        <vt:lpwstr/>
      </vt:variant>
      <vt:variant>
        <vt:i4>65631</vt:i4>
      </vt:variant>
      <vt:variant>
        <vt:i4>90</vt:i4>
      </vt:variant>
      <vt:variant>
        <vt:i4>0</vt:i4>
      </vt:variant>
      <vt:variant>
        <vt:i4>5</vt:i4>
      </vt:variant>
      <vt:variant>
        <vt:lpwstr>https://www.ncbi.nlm.nih.gov/pubmed/27681919</vt:lpwstr>
      </vt:variant>
      <vt:variant>
        <vt:lpwstr/>
      </vt:variant>
      <vt:variant>
        <vt:i4>5373998</vt:i4>
      </vt:variant>
      <vt:variant>
        <vt:i4>87</vt:i4>
      </vt:variant>
      <vt:variant>
        <vt:i4>0</vt:i4>
      </vt:variant>
      <vt:variant>
        <vt:i4>5</vt:i4>
      </vt:variant>
      <vt:variant>
        <vt:lpwstr>https://www.ncbi.nlm.nih.gov/pubmed/?term=Meyer%20T%5BAuthor%5D&amp;cauthor=true&amp;cauthor_uid=27681919</vt:lpwstr>
      </vt:variant>
      <vt:variant>
        <vt:lpwstr/>
      </vt:variant>
      <vt:variant>
        <vt:i4>2162746</vt:i4>
      </vt:variant>
      <vt:variant>
        <vt:i4>84</vt:i4>
      </vt:variant>
      <vt:variant>
        <vt:i4>0</vt:i4>
      </vt:variant>
      <vt:variant>
        <vt:i4>5</vt:i4>
      </vt:variant>
      <vt:variant>
        <vt:lpwstr>https://doi.org/10.1016/j.ajog.2006.05.049</vt:lpwstr>
      </vt:variant>
      <vt:variant>
        <vt:lpwstr/>
      </vt:variant>
      <vt:variant>
        <vt:i4>4063294</vt:i4>
      </vt:variant>
      <vt:variant>
        <vt:i4>81</vt:i4>
      </vt:variant>
      <vt:variant>
        <vt:i4>0</vt:i4>
      </vt:variant>
      <vt:variant>
        <vt:i4>5</vt:i4>
      </vt:variant>
      <vt:variant>
        <vt:lpwstr>https://doi.org/10.1097/01.ogx.0000279292.63435.40</vt:lpwstr>
      </vt:variant>
      <vt:variant>
        <vt:lpwstr/>
      </vt:variant>
      <vt:variant>
        <vt:i4>2162797</vt:i4>
      </vt:variant>
      <vt:variant>
        <vt:i4>78</vt:i4>
      </vt:variant>
      <vt:variant>
        <vt:i4>0</vt:i4>
      </vt:variant>
      <vt:variant>
        <vt:i4>5</vt:i4>
      </vt:variant>
      <vt:variant>
        <vt:lpwstr>https://doi.org/10.1056/NEJM198807283190401</vt:lpwstr>
      </vt:variant>
      <vt:variant>
        <vt:lpwstr/>
      </vt:variant>
      <vt:variant>
        <vt:i4>3735648</vt:i4>
      </vt:variant>
      <vt:variant>
        <vt:i4>75</vt:i4>
      </vt:variant>
      <vt:variant>
        <vt:i4>0</vt:i4>
      </vt:variant>
      <vt:variant>
        <vt:i4>5</vt:i4>
      </vt:variant>
      <vt:variant>
        <vt:lpwstr>https://www.ncbi.nlm.nih.gov/pubmed/3393170</vt:lpwstr>
      </vt:variant>
      <vt:variant>
        <vt:lpwstr/>
      </vt:variant>
      <vt:variant>
        <vt:i4>6619144</vt:i4>
      </vt:variant>
      <vt:variant>
        <vt:i4>72</vt:i4>
      </vt:variant>
      <vt:variant>
        <vt:i4>0</vt:i4>
      </vt:variant>
      <vt:variant>
        <vt:i4>5</vt:i4>
      </vt:variant>
      <vt:variant>
        <vt:lpwstr>https://www.ncbi.nlm.nih.gov/pubmed/?term=Nisula%20BC%5BAuthor%5D&amp;cauthor=true&amp;cauthor_uid=3393170</vt:lpwstr>
      </vt:variant>
      <vt:variant>
        <vt:lpwstr/>
      </vt:variant>
      <vt:variant>
        <vt:i4>3735558</vt:i4>
      </vt:variant>
      <vt:variant>
        <vt:i4>69</vt:i4>
      </vt:variant>
      <vt:variant>
        <vt:i4>0</vt:i4>
      </vt:variant>
      <vt:variant>
        <vt:i4>5</vt:i4>
      </vt:variant>
      <vt:variant>
        <vt:lpwstr>https://www.ncbi.nlm.nih.gov/pubmed/?term=Armstrong%20EG%5BAuthor%5D&amp;cauthor=true&amp;cauthor_uid=3393170</vt:lpwstr>
      </vt:variant>
      <vt:variant>
        <vt:lpwstr/>
      </vt:variant>
      <vt:variant>
        <vt:i4>917623</vt:i4>
      </vt:variant>
      <vt:variant>
        <vt:i4>66</vt:i4>
      </vt:variant>
      <vt:variant>
        <vt:i4>0</vt:i4>
      </vt:variant>
      <vt:variant>
        <vt:i4>5</vt:i4>
      </vt:variant>
      <vt:variant>
        <vt:lpwstr>https://www.ncbi.nlm.nih.gov/pubmed/?term=Canfield%20RE%5BAuthor%5D&amp;cauthor=true&amp;cauthor_uid=3393170</vt:lpwstr>
      </vt:variant>
      <vt:variant>
        <vt:lpwstr/>
      </vt:variant>
      <vt:variant>
        <vt:i4>4718711</vt:i4>
      </vt:variant>
      <vt:variant>
        <vt:i4>63</vt:i4>
      </vt:variant>
      <vt:variant>
        <vt:i4>0</vt:i4>
      </vt:variant>
      <vt:variant>
        <vt:i4>5</vt:i4>
      </vt:variant>
      <vt:variant>
        <vt:lpwstr>https://www.ncbi.nlm.nih.gov/pubmed/?term=Schlatterer%20JP%5BAuthor%5D&amp;cauthor=true&amp;cauthor_uid=3393170</vt:lpwstr>
      </vt:variant>
      <vt:variant>
        <vt:lpwstr/>
      </vt:variant>
      <vt:variant>
        <vt:i4>3407896</vt:i4>
      </vt:variant>
      <vt:variant>
        <vt:i4>60</vt:i4>
      </vt:variant>
      <vt:variant>
        <vt:i4>0</vt:i4>
      </vt:variant>
      <vt:variant>
        <vt:i4>5</vt:i4>
      </vt:variant>
      <vt:variant>
        <vt:lpwstr>https://www.ncbi.nlm.nih.gov/pubmed/?term=Baird%20DD%5BAuthor%5D&amp;cauthor=true&amp;cauthor_uid=3393170</vt:lpwstr>
      </vt:variant>
      <vt:variant>
        <vt:lpwstr/>
      </vt:variant>
      <vt:variant>
        <vt:i4>7405635</vt:i4>
      </vt:variant>
      <vt:variant>
        <vt:i4>57</vt:i4>
      </vt:variant>
      <vt:variant>
        <vt:i4>0</vt:i4>
      </vt:variant>
      <vt:variant>
        <vt:i4>5</vt:i4>
      </vt:variant>
      <vt:variant>
        <vt:lpwstr>https://www.ncbi.nlm.nih.gov/pubmed/?term=O%27Connor%20JF%5BAuthor%5D&amp;cauthor=true&amp;cauthor_uid=3393170</vt:lpwstr>
      </vt:variant>
      <vt:variant>
        <vt:lpwstr/>
      </vt:variant>
      <vt:variant>
        <vt:i4>1048678</vt:i4>
      </vt:variant>
      <vt:variant>
        <vt:i4>54</vt:i4>
      </vt:variant>
      <vt:variant>
        <vt:i4>0</vt:i4>
      </vt:variant>
      <vt:variant>
        <vt:i4>5</vt:i4>
      </vt:variant>
      <vt:variant>
        <vt:lpwstr>https://www.ncbi.nlm.nih.gov/pubmed/?term=Weinberg%20CR%5BAuthor%5D&amp;cauthor=true&amp;cauthor_uid=3393170</vt:lpwstr>
      </vt:variant>
      <vt:variant>
        <vt:lpwstr/>
      </vt:variant>
      <vt:variant>
        <vt:i4>6881284</vt:i4>
      </vt:variant>
      <vt:variant>
        <vt:i4>51</vt:i4>
      </vt:variant>
      <vt:variant>
        <vt:i4>0</vt:i4>
      </vt:variant>
      <vt:variant>
        <vt:i4>5</vt:i4>
      </vt:variant>
      <vt:variant>
        <vt:lpwstr>https://www.ncbi.nlm.nih.gov/pubmed/?term=Wilcox%20AJ%5BAuthor%5D&amp;cauthor=true&amp;cauthor_uid=3393170</vt:lpwstr>
      </vt:variant>
      <vt:variant>
        <vt:lpwstr/>
      </vt:variant>
      <vt:variant>
        <vt:i4>1441881</vt:i4>
      </vt:variant>
      <vt:variant>
        <vt:i4>48</vt:i4>
      </vt:variant>
      <vt:variant>
        <vt:i4>0</vt:i4>
      </vt:variant>
      <vt:variant>
        <vt:i4>5</vt:i4>
      </vt:variant>
      <vt:variant>
        <vt:lpwstr>https://doi.org/10.1097/00001432-200402000-00008</vt:lpwstr>
      </vt:variant>
      <vt:variant>
        <vt:lpwstr/>
      </vt:variant>
      <vt:variant>
        <vt:i4>5636118</vt:i4>
      </vt:variant>
      <vt:variant>
        <vt:i4>45</vt:i4>
      </vt:variant>
      <vt:variant>
        <vt:i4>0</vt:i4>
      </vt:variant>
      <vt:variant>
        <vt:i4>5</vt:i4>
      </vt:variant>
      <vt:variant>
        <vt:lpwstr>https://www.ncbi.nlm.nih.gov/pubmed/?term=The+role+of+infection+in+miscarriage%2C+Human+Reproduction+Update%2C+Vol.22%2C+No.1+pp.+116%E2%80%93133%2C+2016</vt:lpwstr>
      </vt:variant>
      <vt:variant>
        <vt:lpwstr/>
      </vt:variant>
      <vt:variant>
        <vt:i4>65591</vt:i4>
      </vt:variant>
      <vt:variant>
        <vt:i4>42</vt:i4>
      </vt:variant>
      <vt:variant>
        <vt:i4>0</vt:i4>
      </vt:variant>
      <vt:variant>
        <vt:i4>5</vt:i4>
      </vt:variant>
      <vt:variant>
        <vt:lpwstr>https://www.ncbi.nlm.nih.gov/pubmed/?term=Horne%20AW%5BAuthor%5D&amp;cauthor=true&amp;cauthor_uid=26386469</vt:lpwstr>
      </vt:variant>
      <vt:variant>
        <vt:lpwstr/>
      </vt:variant>
      <vt:variant>
        <vt:i4>1310752</vt:i4>
      </vt:variant>
      <vt:variant>
        <vt:i4>39</vt:i4>
      </vt:variant>
      <vt:variant>
        <vt:i4>0</vt:i4>
      </vt:variant>
      <vt:variant>
        <vt:i4>5</vt:i4>
      </vt:variant>
      <vt:variant>
        <vt:lpwstr>https://www.ncbi.nlm.nih.gov/pubmed/?term=Howie%20SE%5BAuthor%5D&amp;cauthor=true&amp;cauthor_uid=26386469</vt:lpwstr>
      </vt:variant>
      <vt:variant>
        <vt:lpwstr/>
      </vt:variant>
      <vt:variant>
        <vt:i4>2490391</vt:i4>
      </vt:variant>
      <vt:variant>
        <vt:i4>36</vt:i4>
      </vt:variant>
      <vt:variant>
        <vt:i4>0</vt:i4>
      </vt:variant>
      <vt:variant>
        <vt:i4>5</vt:i4>
      </vt:variant>
      <vt:variant>
        <vt:lpwstr>https://www.ncbi.nlm.nih.gov/pubmed/?term=Entrican%20G%5BAuthor%5D&amp;cauthor=true&amp;cauthor_uid=26386469</vt:lpwstr>
      </vt:variant>
      <vt:variant>
        <vt:lpwstr/>
      </vt:variant>
      <vt:variant>
        <vt:i4>5898287</vt:i4>
      </vt:variant>
      <vt:variant>
        <vt:i4>33</vt:i4>
      </vt:variant>
      <vt:variant>
        <vt:i4>0</vt:i4>
      </vt:variant>
      <vt:variant>
        <vt:i4>5</vt:i4>
      </vt:variant>
      <vt:variant>
        <vt:lpwstr>https://www.ncbi.nlm.nih.gov/pubmed/?term=Cuschieri%20K%5BAuthor%5D&amp;cauthor=true&amp;cauthor_uid=26386469</vt:lpwstr>
      </vt:variant>
      <vt:variant>
        <vt:lpwstr/>
      </vt:variant>
      <vt:variant>
        <vt:i4>4915308</vt:i4>
      </vt:variant>
      <vt:variant>
        <vt:i4>30</vt:i4>
      </vt:variant>
      <vt:variant>
        <vt:i4>0</vt:i4>
      </vt:variant>
      <vt:variant>
        <vt:i4>5</vt:i4>
      </vt:variant>
      <vt:variant>
        <vt:lpwstr>https://www.ncbi.nlm.nih.gov/pubmed/?term=Wheelhouse%20N%5BAuthor%5D&amp;cauthor=true&amp;cauthor_uid=26386469</vt:lpwstr>
      </vt:variant>
      <vt:variant>
        <vt:lpwstr/>
      </vt:variant>
      <vt:variant>
        <vt:i4>2752606</vt:i4>
      </vt:variant>
      <vt:variant>
        <vt:i4>27</vt:i4>
      </vt:variant>
      <vt:variant>
        <vt:i4>0</vt:i4>
      </vt:variant>
      <vt:variant>
        <vt:i4>5</vt:i4>
      </vt:variant>
      <vt:variant>
        <vt:lpwstr>https://www.ncbi.nlm.nih.gov/pubmed/?term=Giakoumelou%20S%5BAuthor%5D&amp;cauthor=true&amp;cauthor_uid=26386469</vt:lpwstr>
      </vt:variant>
      <vt:variant>
        <vt:lpwstr/>
      </vt:variant>
      <vt:variant>
        <vt:i4>3735679</vt:i4>
      </vt:variant>
      <vt:variant>
        <vt:i4>24</vt:i4>
      </vt:variant>
      <vt:variant>
        <vt:i4>0</vt:i4>
      </vt:variant>
      <vt:variant>
        <vt:i4>5</vt:i4>
      </vt:variant>
      <vt:variant>
        <vt:lpwstr>https://www.synonyms.com/synonym/availableness</vt:lpwstr>
      </vt:variant>
      <vt:variant>
        <vt:lpwstr/>
      </vt:variant>
      <vt:variant>
        <vt:i4>3276902</vt:i4>
      </vt:variant>
      <vt:variant>
        <vt:i4>21</vt:i4>
      </vt:variant>
      <vt:variant>
        <vt:i4>0</vt:i4>
      </vt:variant>
      <vt:variant>
        <vt:i4>5</vt:i4>
      </vt:variant>
      <vt:variant>
        <vt:lpwstr>https://www.synonyms.com/synonym/indistinguishable</vt:lpwstr>
      </vt:variant>
      <vt:variant>
        <vt:lpwstr/>
      </vt:variant>
      <vt:variant>
        <vt:i4>2359406</vt:i4>
      </vt:variant>
      <vt:variant>
        <vt:i4>18</vt:i4>
      </vt:variant>
      <vt:variant>
        <vt:i4>0</vt:i4>
      </vt:variant>
      <vt:variant>
        <vt:i4>5</vt:i4>
      </vt:variant>
      <vt:variant>
        <vt:lpwstr>https://www.synonyms.com/synonym/progenies</vt:lpwstr>
      </vt:variant>
      <vt:variant>
        <vt:lpwstr/>
      </vt:variant>
      <vt:variant>
        <vt:i4>5505026</vt:i4>
      </vt:variant>
      <vt:variant>
        <vt:i4>15</vt:i4>
      </vt:variant>
      <vt:variant>
        <vt:i4>0</vt:i4>
      </vt:variant>
      <vt:variant>
        <vt:i4>5</vt:i4>
      </vt:variant>
      <vt:variant>
        <vt:lpwstr>http://www.cancerbio.net/</vt:lpwstr>
      </vt:variant>
      <vt:variant>
        <vt:lpwstr/>
      </vt:variant>
      <vt:variant>
        <vt:i4>1966142</vt:i4>
      </vt:variant>
      <vt:variant>
        <vt:i4>12</vt:i4>
      </vt:variant>
      <vt:variant>
        <vt:i4>0</vt:i4>
      </vt:variant>
      <vt:variant>
        <vt:i4>5</vt:i4>
      </vt:variant>
      <vt:variant>
        <vt:lpwstr>mailto:almandohhussen@yahoo.com</vt:lpwstr>
      </vt:variant>
      <vt:variant>
        <vt:lpwstr/>
      </vt:variant>
      <vt:variant>
        <vt:i4>3407882</vt:i4>
      </vt:variant>
      <vt:variant>
        <vt:i4>9</vt:i4>
      </vt:variant>
      <vt:variant>
        <vt:i4>0</vt:i4>
      </vt:variant>
      <vt:variant>
        <vt:i4>5</vt:i4>
      </vt:variant>
      <vt:variant>
        <vt:lpwstr>mailto:drsylvy80@gmail.com</vt:lpwstr>
      </vt:variant>
      <vt:variant>
        <vt:lpwstr/>
      </vt:variant>
      <vt:variant>
        <vt:i4>3211359</vt:i4>
      </vt:variant>
      <vt:variant>
        <vt:i4>6</vt:i4>
      </vt:variant>
      <vt:variant>
        <vt:i4>0</vt:i4>
      </vt:variant>
      <vt:variant>
        <vt:i4>5</vt:i4>
      </vt:variant>
      <vt:variant>
        <vt:lpwstr>mailto:esm02@fayoum.edu.eg</vt:lpwstr>
      </vt:variant>
      <vt:variant>
        <vt:lpwstr/>
      </vt:variant>
      <vt:variant>
        <vt:i4>7471134</vt:i4>
      </vt:variant>
      <vt:variant>
        <vt:i4>3</vt:i4>
      </vt:variant>
      <vt:variant>
        <vt:i4>0</vt:i4>
      </vt:variant>
      <vt:variant>
        <vt:i4>5</vt:i4>
      </vt:variant>
      <vt:variant>
        <vt:lpwstr>mailto:lailaezzat9720000@gmail.com</vt:lpwstr>
      </vt:variant>
      <vt:variant>
        <vt:lpwstr/>
      </vt:variant>
      <vt:variant>
        <vt:i4>5177389</vt:i4>
      </vt:variant>
      <vt:variant>
        <vt:i4>0</vt:i4>
      </vt:variant>
      <vt:variant>
        <vt:i4>0</vt:i4>
      </vt:variant>
      <vt:variant>
        <vt:i4>5</vt:i4>
      </vt:variant>
      <vt:variant>
        <vt:lpwstr>mailto:msobhy7@yahoo.com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Noony</dc:creator>
  <cp:lastModifiedBy>Administrator</cp:lastModifiedBy>
  <cp:revision>8</cp:revision>
  <cp:lastPrinted>2020-12-01T00:50:00Z</cp:lastPrinted>
  <dcterms:created xsi:type="dcterms:W3CDTF">2020-11-30T13:22:00Z</dcterms:created>
  <dcterms:modified xsi:type="dcterms:W3CDTF">2020-12-01T00:56:00Z</dcterms:modified>
</cp:coreProperties>
</file>