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513" w:rsidRPr="00C673E0" w:rsidRDefault="00644513" w:rsidP="00644513">
      <w:pPr>
        <w:snapToGrid w:val="0"/>
        <w:spacing w:after="0" w:line="240" w:lineRule="auto"/>
        <w:jc w:val="center"/>
        <w:rPr>
          <w:rFonts w:ascii="Times New Roman" w:hAnsi="Times New Roman"/>
          <w:b/>
          <w:bCs/>
          <w:sz w:val="20"/>
          <w:szCs w:val="20"/>
          <w:lang w:eastAsia="zh-CN"/>
        </w:rPr>
      </w:pPr>
    </w:p>
    <w:p w:rsidR="003E3F44" w:rsidRPr="00C673E0" w:rsidRDefault="007E0E4D" w:rsidP="00644513">
      <w:pPr>
        <w:snapToGrid w:val="0"/>
        <w:spacing w:after="0" w:line="240" w:lineRule="auto"/>
        <w:jc w:val="center"/>
        <w:rPr>
          <w:rFonts w:ascii="Times New Roman" w:hAnsi="Times New Roman"/>
          <w:b/>
          <w:bCs/>
          <w:sz w:val="20"/>
          <w:szCs w:val="20"/>
        </w:rPr>
      </w:pPr>
      <w:r w:rsidRPr="00C673E0">
        <w:rPr>
          <w:rFonts w:ascii="Times New Roman" w:hAnsi="Times New Roman"/>
          <w:b/>
          <w:bCs/>
          <w:sz w:val="20"/>
          <w:szCs w:val="20"/>
        </w:rPr>
        <w:t>Role of lincRNA-p21 and lncRNA-H19 in multiple sclerosis disease</w:t>
      </w:r>
    </w:p>
    <w:p w:rsidR="003E3F44" w:rsidRPr="00C673E0" w:rsidRDefault="003E3F44" w:rsidP="00644513">
      <w:pPr>
        <w:snapToGrid w:val="0"/>
        <w:spacing w:after="0" w:line="240" w:lineRule="auto"/>
        <w:jc w:val="center"/>
        <w:rPr>
          <w:rFonts w:ascii="Times New Roman" w:hAnsi="Times New Roman"/>
          <w:b/>
          <w:bCs/>
          <w:sz w:val="20"/>
          <w:szCs w:val="20"/>
        </w:rPr>
      </w:pPr>
    </w:p>
    <w:p w:rsidR="003E3F44" w:rsidRPr="00C673E0" w:rsidRDefault="007E0E4D" w:rsidP="00644513">
      <w:pPr>
        <w:tabs>
          <w:tab w:val="left" w:pos="2941"/>
        </w:tabs>
        <w:snapToGrid w:val="0"/>
        <w:spacing w:after="0" w:line="240" w:lineRule="auto"/>
        <w:jc w:val="center"/>
        <w:rPr>
          <w:rFonts w:ascii="Times New Roman" w:hAnsi="Times New Roman"/>
          <w:sz w:val="20"/>
          <w:szCs w:val="20"/>
        </w:rPr>
      </w:pPr>
      <w:r w:rsidRPr="00C673E0">
        <w:rPr>
          <w:rFonts w:ascii="Times New Roman" w:hAnsi="Times New Roman"/>
          <w:sz w:val="20"/>
          <w:szCs w:val="20"/>
        </w:rPr>
        <w:t>Laila M. Meber</w:t>
      </w:r>
      <w:r w:rsidRPr="00C673E0">
        <w:rPr>
          <w:rFonts w:ascii="Times New Roman" w:hAnsi="Times New Roman"/>
          <w:sz w:val="20"/>
          <w:szCs w:val="20"/>
          <w:vertAlign w:val="superscript"/>
        </w:rPr>
        <w:t>1</w:t>
      </w:r>
      <w:r w:rsidRPr="00C673E0">
        <w:rPr>
          <w:rFonts w:ascii="Times New Roman" w:hAnsi="Times New Roman"/>
          <w:sz w:val="20"/>
          <w:szCs w:val="20"/>
        </w:rPr>
        <w:t>. Olfat G. Shaker</w:t>
      </w:r>
      <w:r w:rsidRPr="00C673E0">
        <w:rPr>
          <w:rFonts w:ascii="Times New Roman" w:hAnsi="Times New Roman"/>
          <w:sz w:val="20"/>
          <w:szCs w:val="20"/>
          <w:vertAlign w:val="superscript"/>
        </w:rPr>
        <w:t>2</w:t>
      </w:r>
      <w:r w:rsidRPr="00C673E0">
        <w:rPr>
          <w:rFonts w:ascii="Times New Roman" w:hAnsi="Times New Roman"/>
          <w:sz w:val="20"/>
          <w:szCs w:val="20"/>
        </w:rPr>
        <w:t xml:space="preserve">. Amr H. El-Sayed </w:t>
      </w:r>
      <w:r w:rsidRPr="00C673E0">
        <w:rPr>
          <w:rFonts w:ascii="Times New Roman" w:hAnsi="Times New Roman"/>
          <w:sz w:val="20"/>
          <w:szCs w:val="20"/>
          <w:vertAlign w:val="superscript"/>
        </w:rPr>
        <w:t>3</w:t>
      </w:r>
      <w:r w:rsidRPr="00C673E0">
        <w:rPr>
          <w:rFonts w:ascii="Times New Roman" w:hAnsi="Times New Roman"/>
          <w:sz w:val="20"/>
          <w:szCs w:val="20"/>
        </w:rPr>
        <w:t xml:space="preserve">. Nermien </w:t>
      </w:r>
      <w:r w:rsidR="00076291" w:rsidRPr="00C673E0">
        <w:rPr>
          <w:rFonts w:ascii="Times New Roman" w:hAnsi="Times New Roman"/>
          <w:sz w:val="20"/>
          <w:szCs w:val="20"/>
        </w:rPr>
        <w:t xml:space="preserve">E. </w:t>
      </w:r>
      <w:r w:rsidRPr="00C673E0">
        <w:rPr>
          <w:rFonts w:ascii="Times New Roman" w:hAnsi="Times New Roman"/>
          <w:sz w:val="20"/>
          <w:szCs w:val="20"/>
        </w:rPr>
        <w:t>Waly,</w:t>
      </w:r>
      <w:r w:rsidR="00076291" w:rsidRPr="00C673E0">
        <w:rPr>
          <w:rFonts w:ascii="Times New Roman" w:hAnsi="Times New Roman"/>
          <w:sz w:val="20"/>
          <w:szCs w:val="20"/>
        </w:rPr>
        <w:t xml:space="preserve"> </w:t>
      </w:r>
      <w:r w:rsidRPr="00C673E0">
        <w:rPr>
          <w:rFonts w:ascii="Times New Roman" w:hAnsi="Times New Roman"/>
          <w:sz w:val="20"/>
          <w:szCs w:val="20"/>
        </w:rPr>
        <w:t xml:space="preserve">MD, PhD </w:t>
      </w:r>
      <w:r w:rsidRPr="00C673E0">
        <w:rPr>
          <w:rFonts w:ascii="Times New Roman" w:hAnsi="Times New Roman"/>
          <w:sz w:val="20"/>
          <w:szCs w:val="20"/>
          <w:vertAlign w:val="superscript"/>
        </w:rPr>
        <w:t>4,5</w:t>
      </w:r>
      <w:r w:rsidRPr="00C673E0">
        <w:rPr>
          <w:rFonts w:ascii="Times New Roman" w:hAnsi="Times New Roman"/>
          <w:sz w:val="20"/>
          <w:szCs w:val="20"/>
        </w:rPr>
        <w:t>.</w:t>
      </w:r>
    </w:p>
    <w:p w:rsidR="003E3F44" w:rsidRPr="00C673E0" w:rsidRDefault="003E3F44" w:rsidP="00644513">
      <w:pPr>
        <w:tabs>
          <w:tab w:val="left" w:pos="2941"/>
        </w:tabs>
        <w:snapToGrid w:val="0"/>
        <w:spacing w:after="0" w:line="240" w:lineRule="auto"/>
        <w:jc w:val="center"/>
        <w:rPr>
          <w:rFonts w:ascii="Times New Roman" w:hAnsi="Times New Roman"/>
          <w:sz w:val="20"/>
          <w:szCs w:val="20"/>
        </w:rPr>
      </w:pPr>
    </w:p>
    <w:p w:rsidR="007E0E4D" w:rsidRPr="00C673E0" w:rsidRDefault="007E0E4D" w:rsidP="00644513">
      <w:pPr>
        <w:tabs>
          <w:tab w:val="left" w:pos="2941"/>
        </w:tabs>
        <w:snapToGrid w:val="0"/>
        <w:spacing w:after="0" w:line="240" w:lineRule="auto"/>
        <w:jc w:val="center"/>
        <w:rPr>
          <w:rFonts w:ascii="Times New Roman" w:hAnsi="Times New Roman"/>
          <w:sz w:val="20"/>
          <w:szCs w:val="20"/>
        </w:rPr>
      </w:pPr>
      <w:r w:rsidRPr="00C673E0">
        <w:rPr>
          <w:rFonts w:ascii="Times New Roman" w:hAnsi="Times New Roman"/>
          <w:sz w:val="20"/>
          <w:szCs w:val="20"/>
          <w:vertAlign w:val="superscript"/>
        </w:rPr>
        <w:t>1</w:t>
      </w:r>
      <w:r w:rsidRPr="00C673E0">
        <w:rPr>
          <w:rFonts w:ascii="Times New Roman" w:hAnsi="Times New Roman"/>
          <w:sz w:val="20"/>
          <w:szCs w:val="20"/>
        </w:rPr>
        <w:t xml:space="preserve"> </w:t>
      </w:r>
      <w:r w:rsidR="00B873DA" w:rsidRPr="00C673E0">
        <w:rPr>
          <w:rFonts w:ascii="Times New Roman" w:hAnsi="Times New Roman"/>
          <w:sz w:val="20"/>
          <w:szCs w:val="20"/>
        </w:rPr>
        <w:t>Assistant lecturer</w:t>
      </w:r>
      <w:r w:rsidR="003E3F44" w:rsidRPr="00C673E0">
        <w:rPr>
          <w:rFonts w:ascii="Times New Roman" w:hAnsi="Times New Roman"/>
          <w:sz w:val="20"/>
          <w:szCs w:val="20"/>
        </w:rPr>
        <w:t>,</w:t>
      </w:r>
      <w:r w:rsidR="00B873DA" w:rsidRPr="00C673E0">
        <w:rPr>
          <w:rFonts w:ascii="Times New Roman" w:hAnsi="Times New Roman"/>
          <w:sz w:val="20"/>
          <w:szCs w:val="20"/>
        </w:rPr>
        <w:t xml:space="preserve"> </w:t>
      </w:r>
      <w:r w:rsidRPr="00C673E0">
        <w:rPr>
          <w:rFonts w:ascii="Times New Roman" w:hAnsi="Times New Roman"/>
          <w:sz w:val="20"/>
          <w:szCs w:val="20"/>
        </w:rPr>
        <w:t>Department of Medical Biochemistry</w:t>
      </w:r>
      <w:r w:rsidR="003E3F44" w:rsidRPr="00C673E0">
        <w:rPr>
          <w:rFonts w:ascii="Times New Roman" w:hAnsi="Times New Roman"/>
          <w:sz w:val="20"/>
          <w:szCs w:val="20"/>
        </w:rPr>
        <w:t xml:space="preserve"> &amp; </w:t>
      </w:r>
      <w:r w:rsidRPr="00C673E0">
        <w:rPr>
          <w:rFonts w:ascii="Times New Roman" w:hAnsi="Times New Roman"/>
          <w:sz w:val="20"/>
          <w:szCs w:val="20"/>
        </w:rPr>
        <w:t xml:space="preserve">Molecular Biology, Faculty of Medicine, Helwan University, Ain-Helwan, Cairo, Egypt. </w:t>
      </w:r>
    </w:p>
    <w:p w:rsidR="007E0E4D" w:rsidRPr="00C673E0" w:rsidRDefault="007E0E4D" w:rsidP="00644513">
      <w:pPr>
        <w:autoSpaceDE w:val="0"/>
        <w:autoSpaceDN w:val="0"/>
        <w:adjustRightInd w:val="0"/>
        <w:snapToGrid w:val="0"/>
        <w:spacing w:after="0" w:line="240" w:lineRule="auto"/>
        <w:jc w:val="center"/>
        <w:rPr>
          <w:rFonts w:ascii="Times New Roman" w:eastAsia="MS Mincho" w:hAnsi="Times New Roman"/>
          <w:sz w:val="20"/>
          <w:szCs w:val="20"/>
        </w:rPr>
      </w:pPr>
      <w:r w:rsidRPr="00C673E0">
        <w:rPr>
          <w:rFonts w:ascii="Times New Roman" w:eastAsia="MS Mincho" w:hAnsi="Times New Roman"/>
          <w:sz w:val="20"/>
          <w:szCs w:val="20"/>
          <w:vertAlign w:val="superscript"/>
        </w:rPr>
        <w:t>2</w:t>
      </w:r>
      <w:r w:rsidRPr="00C673E0">
        <w:rPr>
          <w:rFonts w:ascii="Times New Roman" w:eastAsia="MS Mincho" w:hAnsi="Times New Roman"/>
          <w:sz w:val="20"/>
          <w:szCs w:val="20"/>
        </w:rPr>
        <w:t xml:space="preserve"> </w:t>
      </w:r>
      <w:r w:rsidR="00B873DA" w:rsidRPr="00C673E0">
        <w:rPr>
          <w:rFonts w:ascii="Times New Roman" w:eastAsia="MS Mincho" w:hAnsi="Times New Roman"/>
          <w:sz w:val="20"/>
          <w:szCs w:val="20"/>
        </w:rPr>
        <w:t>Professor,</w:t>
      </w:r>
      <w:r w:rsidR="003E3F44" w:rsidRPr="00C673E0">
        <w:rPr>
          <w:rFonts w:ascii="Times New Roman" w:hAnsi="Times New Roman"/>
          <w:i/>
          <w:iCs/>
          <w:sz w:val="20"/>
          <w:szCs w:val="20"/>
        </w:rPr>
        <w:t xml:space="preserve"> </w:t>
      </w:r>
      <w:r w:rsidRPr="00C673E0">
        <w:rPr>
          <w:rFonts w:ascii="Times New Roman" w:eastAsia="MS Mincho" w:hAnsi="Times New Roman"/>
          <w:sz w:val="20"/>
          <w:szCs w:val="20"/>
        </w:rPr>
        <w:t>Department of Medical Biochemistry</w:t>
      </w:r>
      <w:r w:rsidR="003E3F44" w:rsidRPr="00C673E0">
        <w:rPr>
          <w:rFonts w:ascii="Times New Roman" w:eastAsia="MS Mincho" w:hAnsi="Times New Roman"/>
          <w:sz w:val="20"/>
          <w:szCs w:val="20"/>
        </w:rPr>
        <w:t xml:space="preserve"> &amp; </w:t>
      </w:r>
      <w:r w:rsidRPr="00C673E0">
        <w:rPr>
          <w:rFonts w:ascii="Times New Roman" w:eastAsia="MS Mincho" w:hAnsi="Times New Roman"/>
          <w:sz w:val="20"/>
          <w:szCs w:val="20"/>
        </w:rPr>
        <w:t>Molecular Biology, Faculty of Medicine, Cairo University, Cairo, Egypt.</w:t>
      </w:r>
    </w:p>
    <w:p w:rsidR="007E0E4D" w:rsidRPr="00C673E0" w:rsidRDefault="007E0E4D" w:rsidP="00644513">
      <w:pPr>
        <w:autoSpaceDE w:val="0"/>
        <w:autoSpaceDN w:val="0"/>
        <w:adjustRightInd w:val="0"/>
        <w:snapToGrid w:val="0"/>
        <w:spacing w:after="0" w:line="240" w:lineRule="auto"/>
        <w:jc w:val="center"/>
        <w:rPr>
          <w:rFonts w:ascii="Times New Roman" w:eastAsia="MS Mincho" w:hAnsi="Times New Roman"/>
          <w:sz w:val="20"/>
          <w:szCs w:val="20"/>
        </w:rPr>
      </w:pPr>
      <w:r w:rsidRPr="00C673E0">
        <w:rPr>
          <w:rFonts w:ascii="Times New Roman" w:eastAsia="MS Mincho" w:hAnsi="Times New Roman"/>
          <w:sz w:val="20"/>
          <w:szCs w:val="20"/>
          <w:vertAlign w:val="superscript"/>
        </w:rPr>
        <w:t xml:space="preserve">3 </w:t>
      </w:r>
      <w:r w:rsidR="00B873DA" w:rsidRPr="00C673E0">
        <w:rPr>
          <w:rFonts w:ascii="Times New Roman" w:eastAsia="MS Mincho" w:hAnsi="Times New Roman"/>
          <w:sz w:val="20"/>
          <w:szCs w:val="20"/>
        </w:rPr>
        <w:t xml:space="preserve">Professor, </w:t>
      </w:r>
      <w:r w:rsidRPr="00C673E0">
        <w:rPr>
          <w:rFonts w:ascii="Times New Roman" w:eastAsia="MS Mincho" w:hAnsi="Times New Roman"/>
          <w:sz w:val="20"/>
          <w:szCs w:val="20"/>
        </w:rPr>
        <w:t>Department of Neurology, Faculty of Medicine, Cairo University, Cairo, Egypt.</w:t>
      </w:r>
    </w:p>
    <w:p w:rsidR="007E0E4D" w:rsidRPr="00C673E0" w:rsidRDefault="007E0E4D" w:rsidP="00644513">
      <w:pPr>
        <w:autoSpaceDE w:val="0"/>
        <w:autoSpaceDN w:val="0"/>
        <w:adjustRightInd w:val="0"/>
        <w:snapToGrid w:val="0"/>
        <w:spacing w:after="0" w:line="240" w:lineRule="auto"/>
        <w:jc w:val="center"/>
        <w:rPr>
          <w:rFonts w:ascii="Times New Roman" w:eastAsia="MS Mincho" w:hAnsi="Times New Roman"/>
          <w:sz w:val="20"/>
          <w:szCs w:val="20"/>
        </w:rPr>
      </w:pPr>
      <w:r w:rsidRPr="00C673E0">
        <w:rPr>
          <w:rFonts w:ascii="Times New Roman" w:eastAsia="MS Mincho" w:hAnsi="Times New Roman"/>
          <w:sz w:val="20"/>
          <w:szCs w:val="20"/>
          <w:vertAlign w:val="superscript"/>
        </w:rPr>
        <w:t>4</w:t>
      </w:r>
      <w:r w:rsidRPr="00C673E0">
        <w:rPr>
          <w:rFonts w:ascii="Times New Roman" w:eastAsia="MS Mincho" w:hAnsi="Times New Roman"/>
          <w:sz w:val="20"/>
          <w:szCs w:val="20"/>
        </w:rPr>
        <w:t xml:space="preserve"> </w:t>
      </w:r>
      <w:r w:rsidR="00B873DA" w:rsidRPr="00C673E0">
        <w:rPr>
          <w:rFonts w:ascii="Times New Roman" w:eastAsia="MS Mincho" w:hAnsi="Times New Roman"/>
          <w:sz w:val="20"/>
          <w:szCs w:val="20"/>
        </w:rPr>
        <w:t xml:space="preserve">Associate Professor, </w:t>
      </w:r>
      <w:r w:rsidRPr="00C673E0">
        <w:rPr>
          <w:rFonts w:ascii="Times New Roman" w:eastAsia="MS Mincho" w:hAnsi="Times New Roman"/>
          <w:sz w:val="20"/>
          <w:szCs w:val="20"/>
        </w:rPr>
        <w:t>Department of Physiology, Faculty of Medicine, Helwan University, Ain-Helwan, Cairo, Egypt.</w:t>
      </w:r>
    </w:p>
    <w:p w:rsidR="007E0E4D" w:rsidRPr="00C673E0" w:rsidRDefault="007E0E4D" w:rsidP="00644513">
      <w:pPr>
        <w:snapToGrid w:val="0"/>
        <w:spacing w:after="0" w:line="240" w:lineRule="auto"/>
        <w:jc w:val="center"/>
        <w:rPr>
          <w:rFonts w:ascii="Times New Roman" w:hAnsi="Times New Roman"/>
          <w:sz w:val="20"/>
          <w:szCs w:val="20"/>
        </w:rPr>
      </w:pPr>
      <w:r w:rsidRPr="00C673E0">
        <w:rPr>
          <w:rFonts w:ascii="Times New Roman" w:hAnsi="Times New Roman"/>
          <w:sz w:val="20"/>
          <w:szCs w:val="20"/>
          <w:vertAlign w:val="superscript"/>
        </w:rPr>
        <w:t>5</w:t>
      </w:r>
      <w:r w:rsidRPr="00C673E0">
        <w:rPr>
          <w:rFonts w:ascii="Times New Roman" w:hAnsi="Times New Roman"/>
          <w:sz w:val="20"/>
          <w:szCs w:val="20"/>
        </w:rPr>
        <w:t xml:space="preserve"> Department of Medical Education, Creighton School of Medicine, Creighton University, Omaha, NE, USA 68178</w:t>
      </w:r>
    </w:p>
    <w:p w:rsidR="007E0E4D" w:rsidRPr="00C673E0" w:rsidRDefault="007E0E4D" w:rsidP="00644513">
      <w:pPr>
        <w:snapToGrid w:val="0"/>
        <w:spacing w:after="0" w:line="240" w:lineRule="auto"/>
        <w:jc w:val="center"/>
        <w:rPr>
          <w:rFonts w:ascii="Times New Roman" w:hAnsi="Times New Roman"/>
          <w:sz w:val="20"/>
          <w:szCs w:val="20"/>
        </w:rPr>
      </w:pPr>
      <w:r w:rsidRPr="00C673E0">
        <w:rPr>
          <w:rFonts w:ascii="Times New Roman" w:hAnsi="Times New Roman"/>
          <w:sz w:val="20"/>
          <w:szCs w:val="20"/>
        </w:rPr>
        <w:t xml:space="preserve">*Correspondence to: Laila Mahdi Mohamed Meber </w:t>
      </w:r>
    </w:p>
    <w:p w:rsidR="007E0E4D" w:rsidRPr="00C673E0" w:rsidRDefault="007E0E4D" w:rsidP="00644513">
      <w:pPr>
        <w:snapToGrid w:val="0"/>
        <w:spacing w:after="0" w:line="240" w:lineRule="auto"/>
        <w:jc w:val="center"/>
        <w:rPr>
          <w:rFonts w:ascii="Times New Roman" w:hAnsi="Times New Roman"/>
          <w:sz w:val="20"/>
          <w:szCs w:val="20"/>
        </w:rPr>
      </w:pPr>
      <w:r w:rsidRPr="00C673E0">
        <w:rPr>
          <w:rFonts w:ascii="Times New Roman" w:hAnsi="Times New Roman"/>
          <w:sz w:val="20"/>
          <w:szCs w:val="20"/>
        </w:rPr>
        <w:t>Telephone:</w:t>
      </w:r>
      <w:r w:rsidR="003E3F44" w:rsidRPr="00C673E0">
        <w:rPr>
          <w:rFonts w:ascii="Times New Roman" w:hAnsi="Times New Roman"/>
          <w:sz w:val="20"/>
          <w:szCs w:val="20"/>
        </w:rPr>
        <w:t xml:space="preserve"> </w:t>
      </w:r>
      <w:r w:rsidRPr="00C673E0">
        <w:rPr>
          <w:rFonts w:ascii="Times New Roman" w:hAnsi="Times New Roman"/>
          <w:sz w:val="20"/>
          <w:szCs w:val="20"/>
        </w:rPr>
        <w:t>01066615134</w:t>
      </w:r>
      <w:r w:rsidR="003E3F44" w:rsidRPr="00C673E0">
        <w:rPr>
          <w:rFonts w:ascii="Times New Roman" w:hAnsi="Times New Roman"/>
          <w:sz w:val="20"/>
          <w:szCs w:val="20"/>
        </w:rPr>
        <w:t xml:space="preserve"> </w:t>
      </w:r>
    </w:p>
    <w:p w:rsidR="003E3F44" w:rsidRPr="00C673E0" w:rsidRDefault="007E0E4D" w:rsidP="00644513">
      <w:pPr>
        <w:snapToGrid w:val="0"/>
        <w:spacing w:after="0" w:line="240" w:lineRule="auto"/>
        <w:jc w:val="center"/>
        <w:rPr>
          <w:rFonts w:ascii="Times New Roman" w:eastAsia="Calibri" w:hAnsi="Times New Roman"/>
          <w:bCs/>
          <w:sz w:val="20"/>
          <w:szCs w:val="20"/>
        </w:rPr>
      </w:pPr>
      <w:r w:rsidRPr="00C673E0">
        <w:rPr>
          <w:rFonts w:ascii="Times New Roman" w:hAnsi="Times New Roman"/>
          <w:sz w:val="20"/>
          <w:szCs w:val="20"/>
        </w:rPr>
        <w:t xml:space="preserve">Email: </w:t>
      </w:r>
      <w:hyperlink r:id="rId8" w:history="1">
        <w:r w:rsidRPr="00C673E0">
          <w:rPr>
            <w:rStyle w:val="Hyperlink"/>
            <w:rFonts w:ascii="Times New Roman" w:eastAsia="Calibri" w:hAnsi="Times New Roman"/>
            <w:bCs/>
            <w:sz w:val="20"/>
            <w:szCs w:val="20"/>
          </w:rPr>
          <w:t>laila.mahdi@med.helwan.edu.eg</w:t>
        </w:r>
      </w:hyperlink>
      <w:r w:rsidR="003E3F44" w:rsidRPr="00C673E0">
        <w:rPr>
          <w:rFonts w:ascii="Times New Roman" w:hAnsi="Times New Roman"/>
          <w:sz w:val="20"/>
          <w:szCs w:val="20"/>
          <w:lang w:eastAsia="zh-CN"/>
        </w:rPr>
        <w:t xml:space="preserve">, </w:t>
      </w:r>
      <w:hyperlink r:id="rId9" w:history="1">
        <w:r w:rsidRPr="00C673E0">
          <w:rPr>
            <w:rStyle w:val="Hyperlink"/>
            <w:rFonts w:ascii="Times New Roman" w:eastAsia="Calibri" w:hAnsi="Times New Roman"/>
            <w:bCs/>
            <w:sz w:val="20"/>
            <w:szCs w:val="20"/>
          </w:rPr>
          <w:t>lailamahdi15@yahoo.com</w:t>
        </w:r>
      </w:hyperlink>
    </w:p>
    <w:p w:rsidR="003E3F44" w:rsidRPr="00C673E0" w:rsidRDefault="003E3F44" w:rsidP="00644513">
      <w:pPr>
        <w:snapToGrid w:val="0"/>
        <w:spacing w:after="0" w:line="240" w:lineRule="auto"/>
        <w:jc w:val="center"/>
        <w:rPr>
          <w:rFonts w:ascii="Times New Roman" w:eastAsia="Calibri" w:hAnsi="Times New Roman"/>
          <w:bCs/>
          <w:sz w:val="20"/>
          <w:szCs w:val="20"/>
        </w:rPr>
      </w:pPr>
    </w:p>
    <w:p w:rsidR="00644513" w:rsidRPr="00C673E0" w:rsidRDefault="00644513" w:rsidP="000F71AB">
      <w:pPr>
        <w:snapToGrid w:val="0"/>
        <w:spacing w:after="0" w:line="240" w:lineRule="auto"/>
        <w:jc w:val="both"/>
        <w:rPr>
          <w:rFonts w:ascii="Times New Roman" w:hAnsi="Times New Roman"/>
          <w:sz w:val="20"/>
          <w:szCs w:val="20"/>
        </w:rPr>
      </w:pPr>
      <w:r w:rsidRPr="00C673E0">
        <w:rPr>
          <w:rFonts w:ascii="Times New Roman" w:hAnsi="Times New Roman"/>
          <w:b/>
          <w:bCs/>
          <w:sz w:val="20"/>
          <w:szCs w:val="20"/>
        </w:rPr>
        <w:t>Abstract</w:t>
      </w:r>
      <w:r w:rsidRPr="00C673E0">
        <w:rPr>
          <w:rFonts w:ascii="Times New Roman" w:hAnsi="Times New Roman"/>
          <w:b/>
          <w:bCs/>
          <w:sz w:val="20"/>
          <w:szCs w:val="20"/>
          <w:lang w:eastAsia="zh-CN"/>
        </w:rPr>
        <w:t xml:space="preserve">: </w:t>
      </w:r>
      <w:r w:rsidR="007A5A62" w:rsidRPr="00C673E0">
        <w:rPr>
          <w:rFonts w:ascii="Times New Roman" w:eastAsia="Times New Roman" w:hAnsi="Times New Roman"/>
          <w:sz w:val="20"/>
          <w:szCs w:val="20"/>
        </w:rPr>
        <w:t xml:space="preserve">Multiple sclerosis (MS) is a chronic </w:t>
      </w:r>
      <w:r w:rsidR="0020713C" w:rsidRPr="00C673E0">
        <w:rPr>
          <w:rFonts w:ascii="Times New Roman" w:eastAsia="Times New Roman" w:hAnsi="Times New Roman"/>
          <w:sz w:val="20"/>
          <w:szCs w:val="20"/>
        </w:rPr>
        <w:t>immune-mediated central nervous system (CNS) disorder with several environmental and genetic factors. To participate in the regulation of immune responses, long non</w:t>
      </w:r>
      <w:r w:rsidR="008A7975" w:rsidRPr="00C673E0">
        <w:rPr>
          <w:rFonts w:ascii="Times New Roman" w:eastAsia="Times New Roman" w:hAnsi="Times New Roman"/>
          <w:sz w:val="20"/>
          <w:szCs w:val="20"/>
        </w:rPr>
        <w:t>-</w:t>
      </w:r>
      <w:r w:rsidR="0020713C" w:rsidRPr="00C673E0">
        <w:rPr>
          <w:rFonts w:ascii="Times New Roman" w:eastAsia="Times New Roman" w:hAnsi="Times New Roman"/>
          <w:sz w:val="20"/>
          <w:szCs w:val="20"/>
        </w:rPr>
        <w:t>coding RNAs (lncRNAs) have recently been published.</w:t>
      </w:r>
      <w:r w:rsidR="007A5A62" w:rsidRPr="00C673E0">
        <w:rPr>
          <w:rFonts w:ascii="Times New Roman" w:eastAsia="Times New Roman" w:hAnsi="Times New Roman"/>
          <w:sz w:val="20"/>
          <w:szCs w:val="20"/>
        </w:rPr>
        <w:t xml:space="preserve"> </w:t>
      </w:r>
      <w:r w:rsidR="00161A92" w:rsidRPr="00C673E0">
        <w:rPr>
          <w:rFonts w:ascii="Times New Roman" w:eastAsia="Times New Roman" w:hAnsi="Times New Roman"/>
          <w:sz w:val="20"/>
          <w:szCs w:val="20"/>
        </w:rPr>
        <w:t xml:space="preserve">As a result, aberrant expression of lncRNAs has been proposed as an underlying cause of MS. In the current research, by means of quantitative real-time polymerase chain reaction (PCR), we assessed the expression levels of two lncRNAs with putative functions in the regulation of immune response, namely lncRNA-H19 and lincRNA-p21, in serum of 74 Egyptian patients with MS relative to healthy people. </w:t>
      </w:r>
      <w:r w:rsidR="00E306C8" w:rsidRPr="00C673E0">
        <w:rPr>
          <w:rFonts w:ascii="Times New Roman" w:hAnsi="Times New Roman"/>
          <w:sz w:val="20"/>
          <w:szCs w:val="20"/>
        </w:rPr>
        <w:t xml:space="preserve">Significant </w:t>
      </w:r>
      <w:r w:rsidR="00C673E0" w:rsidRPr="00C673E0">
        <w:rPr>
          <w:rFonts w:ascii="Times New Roman" w:hAnsi="Times New Roman"/>
          <w:sz w:val="20"/>
          <w:szCs w:val="20"/>
        </w:rPr>
        <w:t>down regulation</w:t>
      </w:r>
      <w:r w:rsidR="00E306C8" w:rsidRPr="00C673E0">
        <w:rPr>
          <w:rFonts w:ascii="Times New Roman" w:hAnsi="Times New Roman"/>
          <w:sz w:val="20"/>
          <w:szCs w:val="20"/>
        </w:rPr>
        <w:t xml:space="preserve"> of lncRNA-H19 and lincRNA-P21 expression levels relative to controls in the serum of MS patients was observed (P &lt; 0.001).</w:t>
      </w:r>
      <w:r w:rsidR="00B142D3" w:rsidRPr="00C673E0">
        <w:rPr>
          <w:rFonts w:ascii="Times New Roman" w:hAnsi="Times New Roman"/>
          <w:sz w:val="20"/>
          <w:szCs w:val="20"/>
        </w:rPr>
        <w:t xml:space="preserve"> </w:t>
      </w:r>
      <w:r w:rsidR="0062148C" w:rsidRPr="00C673E0">
        <w:rPr>
          <w:rFonts w:ascii="Times New Roman" w:hAnsi="Times New Roman"/>
          <w:sz w:val="20"/>
          <w:szCs w:val="20"/>
        </w:rPr>
        <w:t xml:space="preserve">Correlation analyses </w:t>
      </w:r>
      <w:r w:rsidR="006C5C13" w:rsidRPr="00C673E0">
        <w:rPr>
          <w:rFonts w:ascii="Times New Roman" w:hAnsi="Times New Roman"/>
          <w:sz w:val="20"/>
          <w:szCs w:val="20"/>
        </w:rPr>
        <w:t>of lncRNA expression levels and MS patient clinical data showed a substantial moderate positive linkage among lincRNA-p21 serum expression levels and the Expanded Disability Status Scale (EDSS), a substantial moderate negative linkage among lncRNA-H19 expression levels and MS onset age and no substantial correlation among these lncRNAs and patient age</w:t>
      </w:r>
      <w:r w:rsidR="0062148C" w:rsidRPr="00C673E0">
        <w:rPr>
          <w:rFonts w:ascii="Times New Roman" w:hAnsi="Times New Roman"/>
          <w:sz w:val="20"/>
          <w:szCs w:val="20"/>
        </w:rPr>
        <w:t xml:space="preserve">. </w:t>
      </w:r>
      <w:r w:rsidR="00A8220A" w:rsidRPr="00C673E0">
        <w:rPr>
          <w:rFonts w:ascii="Times New Roman" w:hAnsi="Times New Roman"/>
          <w:sz w:val="20"/>
          <w:szCs w:val="20"/>
        </w:rPr>
        <w:t xml:space="preserve">Furthermore, we showed </w:t>
      </w:r>
      <w:r w:rsidR="00371706" w:rsidRPr="00C673E0">
        <w:rPr>
          <w:rFonts w:ascii="Times New Roman" w:hAnsi="Times New Roman"/>
          <w:sz w:val="20"/>
          <w:szCs w:val="20"/>
        </w:rPr>
        <w:t xml:space="preserve">no significant correlation </w:t>
      </w:r>
      <w:r w:rsidR="00A8220A" w:rsidRPr="00C673E0">
        <w:rPr>
          <w:rFonts w:ascii="Times New Roman" w:hAnsi="Times New Roman"/>
          <w:sz w:val="20"/>
          <w:szCs w:val="20"/>
        </w:rPr>
        <w:t>among</w:t>
      </w:r>
      <w:r w:rsidR="00371706" w:rsidRPr="00C673E0">
        <w:rPr>
          <w:rFonts w:ascii="Times New Roman" w:hAnsi="Times New Roman"/>
          <w:sz w:val="20"/>
          <w:szCs w:val="20"/>
        </w:rPr>
        <w:t xml:space="preserve"> lncRNA-H19 and lincRNA-p21 serum expression levels</w:t>
      </w:r>
      <w:r w:rsidR="0062148C" w:rsidRPr="00C673E0">
        <w:rPr>
          <w:rFonts w:ascii="Times New Roman" w:hAnsi="Times New Roman"/>
          <w:sz w:val="20"/>
          <w:szCs w:val="20"/>
        </w:rPr>
        <w:t xml:space="preserve">. </w:t>
      </w:r>
      <w:r w:rsidR="00B142D3" w:rsidRPr="00C673E0">
        <w:rPr>
          <w:rFonts w:ascii="Times New Roman" w:hAnsi="Times New Roman"/>
          <w:sz w:val="20"/>
          <w:szCs w:val="20"/>
        </w:rPr>
        <w:t xml:space="preserve">In brief, </w:t>
      </w:r>
      <w:r w:rsidR="0089304A" w:rsidRPr="00C673E0">
        <w:rPr>
          <w:rFonts w:ascii="Times New Roman" w:hAnsi="Times New Roman"/>
          <w:sz w:val="20"/>
          <w:szCs w:val="20"/>
        </w:rPr>
        <w:t>in MS patients, we have shown dysregulation of two lncRNAs. To explore the precise mechanisms through which lncRNAs engage in the regulation of immune responses, more studies are required.</w:t>
      </w:r>
    </w:p>
    <w:p w:rsidR="00644513" w:rsidRPr="00C673E0" w:rsidRDefault="00644513" w:rsidP="000F71AB">
      <w:pPr>
        <w:tabs>
          <w:tab w:val="left" w:pos="2941"/>
        </w:tabs>
        <w:snapToGrid w:val="0"/>
        <w:spacing w:after="0" w:line="240" w:lineRule="auto"/>
        <w:jc w:val="both"/>
        <w:rPr>
          <w:rFonts w:ascii="Times New Roman" w:hAnsi="Times New Roman"/>
          <w:b/>
          <w:bCs/>
          <w:sz w:val="20"/>
          <w:szCs w:val="20"/>
        </w:rPr>
      </w:pPr>
      <w:r w:rsidRPr="00C673E0">
        <w:rPr>
          <w:rFonts w:ascii="Times New Roman" w:hAnsi="Times New Roman"/>
          <w:b/>
          <w:sz w:val="20"/>
          <w:szCs w:val="20"/>
          <w:lang w:val="en-GB"/>
        </w:rPr>
        <w:t>[</w:t>
      </w:r>
      <w:r w:rsidRPr="00C673E0">
        <w:rPr>
          <w:rFonts w:ascii="Times New Roman" w:hAnsi="Times New Roman"/>
          <w:sz w:val="20"/>
          <w:szCs w:val="20"/>
        </w:rPr>
        <w:t xml:space="preserve">Laila M. Meber. Olfat G. Shaker. Amr H. El-Sayed. Nermien E. Waly, MD, PhD,. </w:t>
      </w:r>
      <w:r w:rsidRPr="00C673E0">
        <w:rPr>
          <w:rFonts w:ascii="Times New Roman" w:hAnsi="Times New Roman"/>
          <w:b/>
          <w:bCs/>
          <w:sz w:val="20"/>
          <w:szCs w:val="20"/>
        </w:rPr>
        <w:t>Role of lincRNA-p21 and lncRNA-H19 in multiple sclerosis disease</w:t>
      </w:r>
      <w:r w:rsidRPr="00C673E0">
        <w:rPr>
          <w:rFonts w:ascii="Times New Roman" w:eastAsia="Times New Roman" w:hAnsi="Times New Roman"/>
          <w:b/>
          <w:bCs/>
          <w:sz w:val="20"/>
          <w:szCs w:val="20"/>
          <w:lang w:bidi="fa-IR"/>
        </w:rPr>
        <w:t>.</w:t>
      </w:r>
      <w:r w:rsidRPr="00C673E0">
        <w:rPr>
          <w:rFonts w:ascii="Times New Roman" w:hAnsi="Times New Roman"/>
          <w:i/>
          <w:sz w:val="20"/>
          <w:szCs w:val="20"/>
        </w:rPr>
        <w:t xml:space="preserve"> Cancer Biology</w:t>
      </w:r>
      <w:r w:rsidRPr="00C673E0">
        <w:rPr>
          <w:rFonts w:ascii="Times New Roman" w:hAnsi="Times New Roman"/>
          <w:sz w:val="20"/>
          <w:szCs w:val="20"/>
        </w:rPr>
        <w:t xml:space="preserve"> 2020;10(4):</w:t>
      </w:r>
      <w:r w:rsidR="00044944" w:rsidRPr="00C673E0">
        <w:rPr>
          <w:rFonts w:ascii="Times New Roman" w:hAnsi="Times New Roman"/>
          <w:noProof/>
          <w:color w:val="000000"/>
          <w:sz w:val="20"/>
          <w:szCs w:val="20"/>
        </w:rPr>
        <w:t>7-15</w:t>
      </w:r>
      <w:r w:rsidRPr="00C673E0">
        <w:rPr>
          <w:rFonts w:ascii="Times New Roman" w:hAnsi="Times New Roman"/>
          <w:sz w:val="20"/>
          <w:szCs w:val="20"/>
        </w:rPr>
        <w:t xml:space="preserve">]. </w:t>
      </w:r>
      <w:r w:rsidRPr="00C673E0">
        <w:rPr>
          <w:rStyle w:val="msonormal0"/>
          <w:rFonts w:ascii="Times New Roman" w:eastAsia="宋" w:hAnsi="Times New Roman"/>
          <w:sz w:val="20"/>
          <w:szCs w:val="20"/>
        </w:rPr>
        <w:t>ISSN: 2150-1041 (print); ISSN: 2150-105X (online)</w:t>
      </w:r>
      <w:r w:rsidRPr="00C673E0">
        <w:rPr>
          <w:rFonts w:ascii="Times New Roman" w:hAnsi="Times New Roman"/>
          <w:sz w:val="20"/>
          <w:szCs w:val="20"/>
        </w:rPr>
        <w:t xml:space="preserve">. </w:t>
      </w:r>
      <w:hyperlink r:id="rId10" w:history="1">
        <w:r w:rsidRPr="00C673E0">
          <w:rPr>
            <w:rStyle w:val="Hyperlink"/>
            <w:rFonts w:ascii="Times New Roman" w:hAnsi="Times New Roman"/>
            <w:sz w:val="20"/>
            <w:szCs w:val="20"/>
          </w:rPr>
          <w:t>http://www.cancerbio.net</w:t>
        </w:r>
      </w:hyperlink>
      <w:r w:rsidRPr="00C673E0">
        <w:rPr>
          <w:rFonts w:ascii="Times New Roman" w:hAnsi="Times New Roman"/>
          <w:sz w:val="20"/>
          <w:szCs w:val="20"/>
        </w:rPr>
        <w:t xml:space="preserve">. </w:t>
      </w:r>
      <w:r w:rsidRPr="00C673E0">
        <w:rPr>
          <w:rFonts w:ascii="Times New Roman" w:hAnsi="Times New Roman"/>
          <w:sz w:val="20"/>
          <w:szCs w:val="20"/>
          <w:lang w:eastAsia="zh-CN"/>
        </w:rPr>
        <w:t>2</w:t>
      </w:r>
      <w:r w:rsidRPr="00C673E0">
        <w:rPr>
          <w:rFonts w:ascii="Times New Roman" w:hAnsi="Times New Roman"/>
          <w:sz w:val="20"/>
          <w:szCs w:val="20"/>
        </w:rPr>
        <w:t xml:space="preserve">. </w:t>
      </w:r>
      <w:r w:rsidRPr="00C673E0">
        <w:rPr>
          <w:rFonts w:ascii="Times New Roman" w:hAnsi="Times New Roman"/>
          <w:color w:val="000000"/>
          <w:sz w:val="20"/>
          <w:szCs w:val="20"/>
          <w:shd w:val="clear" w:color="auto" w:fill="FFFFFF"/>
        </w:rPr>
        <w:t>doi:</w:t>
      </w:r>
      <w:hyperlink r:id="rId11" w:history="1">
        <w:r w:rsidRPr="00C673E0">
          <w:rPr>
            <w:rStyle w:val="Hyperlink"/>
            <w:rFonts w:ascii="Times New Roman" w:hAnsi="Times New Roman"/>
            <w:sz w:val="20"/>
            <w:szCs w:val="20"/>
            <w:shd w:val="clear" w:color="auto" w:fill="FFFFFF"/>
          </w:rPr>
          <w:t>10.7537/marscbj100420.0</w:t>
        </w:r>
        <w:r w:rsidRPr="00C673E0">
          <w:rPr>
            <w:rStyle w:val="Hyperlink"/>
            <w:rFonts w:ascii="Times New Roman" w:hAnsi="Times New Roman"/>
            <w:sz w:val="20"/>
            <w:szCs w:val="20"/>
            <w:shd w:val="clear" w:color="auto" w:fill="FFFFFF"/>
            <w:lang w:eastAsia="zh-CN"/>
          </w:rPr>
          <w:t>2</w:t>
        </w:r>
      </w:hyperlink>
      <w:r w:rsidRPr="00C673E0">
        <w:rPr>
          <w:rFonts w:ascii="Times New Roman" w:hAnsi="Times New Roman"/>
          <w:color w:val="000000"/>
          <w:sz w:val="20"/>
          <w:szCs w:val="20"/>
          <w:shd w:val="clear" w:color="auto" w:fill="FFFFFF"/>
        </w:rPr>
        <w:t>.</w:t>
      </w:r>
    </w:p>
    <w:p w:rsidR="003E5012" w:rsidRPr="00C673E0" w:rsidRDefault="003E5012" w:rsidP="000F71AB">
      <w:pPr>
        <w:snapToGrid w:val="0"/>
        <w:spacing w:after="0" w:line="240" w:lineRule="auto"/>
        <w:rPr>
          <w:rFonts w:ascii="Times New Roman" w:hAnsi="Times New Roman"/>
          <w:sz w:val="20"/>
          <w:szCs w:val="20"/>
        </w:rPr>
      </w:pPr>
    </w:p>
    <w:p w:rsidR="00D7754A" w:rsidRPr="00C673E0" w:rsidRDefault="0018240A" w:rsidP="000F71AB">
      <w:pPr>
        <w:pStyle w:val="Pa6"/>
        <w:snapToGrid w:val="0"/>
        <w:spacing w:before="0" w:after="0" w:line="240" w:lineRule="auto"/>
        <w:jc w:val="both"/>
        <w:rPr>
          <w:rFonts w:ascii="Times New Roman" w:hAnsi="Times New Roman" w:cs="Times New Roman"/>
          <w:sz w:val="20"/>
          <w:szCs w:val="20"/>
        </w:rPr>
      </w:pPr>
      <w:r w:rsidRPr="00C673E0">
        <w:rPr>
          <w:rFonts w:ascii="Times New Roman" w:hAnsi="Times New Roman" w:cs="Times New Roman"/>
          <w:b/>
          <w:bCs/>
          <w:sz w:val="20"/>
          <w:szCs w:val="20"/>
        </w:rPr>
        <w:t>Key words</w:t>
      </w:r>
      <w:r w:rsidR="00076291" w:rsidRPr="00C673E0">
        <w:rPr>
          <w:rFonts w:ascii="Times New Roman" w:hAnsi="Times New Roman" w:cs="Times New Roman"/>
          <w:b/>
          <w:bCs/>
          <w:sz w:val="20"/>
          <w:szCs w:val="20"/>
        </w:rPr>
        <w:t>:</w:t>
      </w:r>
      <w:r w:rsidR="00076291" w:rsidRPr="00C673E0">
        <w:rPr>
          <w:rFonts w:ascii="Times New Roman" w:hAnsi="Times New Roman" w:cs="Times New Roman"/>
          <w:sz w:val="20"/>
          <w:szCs w:val="20"/>
        </w:rPr>
        <w:t xml:space="preserve"> </w:t>
      </w:r>
      <w:r w:rsidR="00B142D3" w:rsidRPr="00C673E0">
        <w:rPr>
          <w:rFonts w:ascii="Times New Roman" w:hAnsi="Times New Roman" w:cs="Times New Roman"/>
          <w:sz w:val="20"/>
          <w:szCs w:val="20"/>
        </w:rPr>
        <w:t>M</w:t>
      </w:r>
      <w:r w:rsidR="009E4329" w:rsidRPr="00C673E0">
        <w:rPr>
          <w:rFonts w:ascii="Times New Roman" w:hAnsi="Times New Roman" w:cs="Times New Roman"/>
          <w:sz w:val="20"/>
          <w:szCs w:val="20"/>
        </w:rPr>
        <w:t>ultiple sclerosis</w:t>
      </w:r>
      <w:r w:rsidR="00076291" w:rsidRPr="00C673E0">
        <w:rPr>
          <w:rFonts w:ascii="Times New Roman" w:hAnsi="Times New Roman" w:cs="Times New Roman"/>
          <w:sz w:val="20"/>
          <w:szCs w:val="20"/>
        </w:rPr>
        <w:t>, LncRNA</w:t>
      </w:r>
      <w:r w:rsidR="00B142D3" w:rsidRPr="00C673E0">
        <w:rPr>
          <w:rFonts w:ascii="Times New Roman" w:hAnsi="Times New Roman" w:cs="Times New Roman"/>
          <w:sz w:val="20"/>
          <w:szCs w:val="20"/>
        </w:rPr>
        <w:t>-H19</w:t>
      </w:r>
      <w:r w:rsidR="00076291" w:rsidRPr="00C673E0">
        <w:rPr>
          <w:rFonts w:ascii="Times New Roman" w:hAnsi="Times New Roman" w:cs="Times New Roman"/>
          <w:sz w:val="20"/>
          <w:szCs w:val="20"/>
        </w:rPr>
        <w:t>, LincRNA</w:t>
      </w:r>
      <w:r w:rsidR="00B142D3" w:rsidRPr="00C673E0">
        <w:rPr>
          <w:rFonts w:ascii="Times New Roman" w:hAnsi="Times New Roman" w:cs="Times New Roman"/>
          <w:sz w:val="20"/>
          <w:szCs w:val="20"/>
        </w:rPr>
        <w:t>-p21.</w:t>
      </w:r>
    </w:p>
    <w:p w:rsidR="00076291" w:rsidRPr="00C673E0" w:rsidRDefault="00076291" w:rsidP="000F71AB">
      <w:pPr>
        <w:snapToGrid w:val="0"/>
        <w:spacing w:after="0" w:line="240" w:lineRule="auto"/>
        <w:jc w:val="both"/>
        <w:rPr>
          <w:rFonts w:ascii="Times New Roman" w:hAnsi="Times New Roman"/>
          <w:b/>
          <w:bCs/>
          <w:sz w:val="20"/>
          <w:szCs w:val="20"/>
        </w:rPr>
      </w:pPr>
    </w:p>
    <w:p w:rsidR="000F71AB" w:rsidRPr="00C673E0" w:rsidRDefault="000F71AB" w:rsidP="000F71AB">
      <w:pPr>
        <w:snapToGrid w:val="0"/>
        <w:spacing w:after="0" w:line="240" w:lineRule="auto"/>
        <w:jc w:val="both"/>
        <w:rPr>
          <w:rFonts w:ascii="Times New Roman" w:hAnsi="Times New Roman"/>
          <w:b/>
          <w:bCs/>
          <w:sz w:val="20"/>
          <w:szCs w:val="20"/>
        </w:rPr>
        <w:sectPr w:rsidR="000F71AB" w:rsidRPr="00C673E0" w:rsidSect="00044944">
          <w:headerReference w:type="default" r:id="rId12"/>
          <w:footerReference w:type="default" r:id="rId13"/>
          <w:type w:val="continuous"/>
          <w:pgSz w:w="12240" w:h="15840" w:code="9"/>
          <w:pgMar w:top="1440" w:right="1440" w:bottom="1440" w:left="1440" w:header="720" w:footer="720" w:gutter="0"/>
          <w:pgNumType w:start="7"/>
          <w:cols w:space="720"/>
          <w:docGrid w:linePitch="360"/>
        </w:sectPr>
      </w:pPr>
    </w:p>
    <w:p w:rsidR="00D7754A" w:rsidRPr="00C673E0" w:rsidRDefault="00D7754A" w:rsidP="000F71AB">
      <w:pPr>
        <w:snapToGrid w:val="0"/>
        <w:spacing w:after="0" w:line="240" w:lineRule="auto"/>
        <w:jc w:val="both"/>
        <w:rPr>
          <w:rFonts w:ascii="Times New Roman" w:hAnsi="Times New Roman"/>
          <w:sz w:val="20"/>
          <w:szCs w:val="20"/>
        </w:rPr>
      </w:pPr>
      <w:r w:rsidRPr="00C673E0">
        <w:rPr>
          <w:rFonts w:ascii="Times New Roman" w:hAnsi="Times New Roman"/>
          <w:b/>
          <w:bCs/>
          <w:sz w:val="20"/>
          <w:szCs w:val="20"/>
        </w:rPr>
        <w:lastRenderedPageBreak/>
        <w:t>Introduction</w:t>
      </w:r>
    </w:p>
    <w:p w:rsidR="00D7754A" w:rsidRPr="00C673E0" w:rsidRDefault="00BE2A10" w:rsidP="000F71AB">
      <w:pPr>
        <w:snapToGrid w:val="0"/>
        <w:spacing w:after="0" w:line="240" w:lineRule="auto"/>
        <w:ind w:firstLine="425"/>
        <w:jc w:val="both"/>
        <w:rPr>
          <w:rFonts w:ascii="Times New Roman" w:hAnsi="Times New Roman"/>
          <w:sz w:val="20"/>
          <w:szCs w:val="20"/>
        </w:rPr>
      </w:pPr>
      <w:r w:rsidRPr="00C673E0">
        <w:rPr>
          <w:rFonts w:ascii="Times New Roman" w:hAnsi="Times New Roman"/>
          <w:sz w:val="20"/>
          <w:szCs w:val="20"/>
        </w:rPr>
        <w:t>Complex diseases arising from the interaction among environmental and genetic factors over time are autoimmune diseases. A large variety of diseases, including rheumatoid arthritis (RA), systemic lupus erythematosus (SLE) and multiple sclerosi</w:t>
      </w:r>
      <w:r w:rsidR="008A6334" w:rsidRPr="00C673E0">
        <w:rPr>
          <w:rFonts w:ascii="Times New Roman" w:hAnsi="Times New Roman"/>
          <w:sz w:val="20"/>
          <w:szCs w:val="20"/>
        </w:rPr>
        <w:t xml:space="preserve">s (MS), are autoimmune diseases </w:t>
      </w:r>
      <w:r w:rsidR="006E7628" w:rsidRPr="006E7628">
        <w:rPr>
          <w:rFonts w:ascii="Times New Roman" w:hAnsi="Times New Roman"/>
          <w:b/>
          <w:bCs/>
          <w:sz w:val="20"/>
          <w:szCs w:val="20"/>
        </w:rPr>
        <w:fldChar w:fldCharType="begin" w:fldLock="1"/>
      </w:r>
      <w:r w:rsidR="00D7754A" w:rsidRPr="00C673E0">
        <w:rPr>
          <w:rFonts w:ascii="Times New Roman" w:hAnsi="Times New Roman"/>
          <w:b/>
          <w:bCs/>
          <w:sz w:val="20"/>
          <w:szCs w:val="20"/>
        </w:rPr>
        <w:instrText>ADDIN CSL_CITATION {"citationItems":[{"id":"ITEM-1","itemData":{"DOI":"10.1016/j.autrev.2015.05.004","ISSN":"18730183","abstract":"Long noncoding RNA (lncRNA), with size larger than 200 nucleotides, is a new class of noncoding RNA. Emerging evidence has revealed that lncRNAs play a key role in the regulation of immunological functions and autoimmunity. Herein, we review the recent findings of lncRNA regulation in immune functions and in the development of autoimmunity and autoimmune disease. In addition, we focus on the involvement of lncRNA regulation in innate and adaptive immune responses, immune cell development, and differential expression of lncRNAs in autoimmune diseases, including systemic lupus erythematosus (SLE), rheumatoid arthritis (RA), type 1 diabetes mellitus (T1DM), multiple sclerosis (MS), autoimmune thyroid disease (AITD), psoriasis, polymyositis/dermatomyositis (PM/DM) and Crohn's disease (CD).","author":[{"dropping-particle":"","family":"Wu","given":"Guo Cui","non-dropping-particle":"","parse-names":false,"suffix":""},{"dropping-particle":"","family":"Pan","given":"Hai Feng","non-dropping-particle":"","parse-names":false,"suffix":""},{"dropping-particle":"","family":"Leng","given":"Rui Xue","non-dropping-particle":"","parse-names":false,"suffix":""},{"dropping-particle":"","family":"Wang","given":"De Guang","non-dropping-particle":"","parse-names":false,"suffix":""},{"dropping-particle":"","family":"Li","given":"Xiang Pei","non-dropping-particle":"","parse-names":false,"suffix":""},{"dropping-particle":"","family":"Li","given":"Xiao Mei","non-dropping-particle":"","parse-names":false,"suffix":""},{"dropping-particle":"","family":"Ye","given":"Dong Qing","non-dropping-particle":"","parse-names":false,"suffix":""}],"container-title":"Autoimmunity Reviews","id":"ITEM-1","issue":"9","issued":{"date-parts":[["2015"]]},"page":"798-805","publisher":"Elsevier B.V.","title":"Emerging role of long noncoding RNAs in autoimmune diseases","type":"article-journal","volume":"14"},"uris":["http://www.mendeley.com/documents/?uuid=33068ce1-bd71-4f18-93f5-fc0479cb344c"]}],"mendeley":{"formattedCitation":"(Wu &lt;i&gt;et al.&lt;/i&gt;, 2015)","plainTextFormattedCitation":"(Wu et al., 2015)","previouslyFormattedCitation":"(Wu &lt;i&gt;et al.&lt;/i&gt;, 2015)"},"properties":{"noteIndex":0},"schema":"https://github.com/citation-style-language/schema/raw/master/csl-citation.json"}</w:instrText>
      </w:r>
      <w:r w:rsidR="006E7628" w:rsidRPr="006E7628">
        <w:rPr>
          <w:rFonts w:ascii="Times New Roman" w:hAnsi="Times New Roman"/>
          <w:b/>
          <w:bCs/>
          <w:sz w:val="20"/>
          <w:szCs w:val="20"/>
        </w:rPr>
        <w:fldChar w:fldCharType="separate"/>
      </w:r>
      <w:r w:rsidR="00D7754A" w:rsidRPr="00C673E0">
        <w:rPr>
          <w:rFonts w:ascii="Times New Roman" w:hAnsi="Times New Roman"/>
          <w:b/>
          <w:bCs/>
          <w:noProof/>
          <w:sz w:val="20"/>
          <w:szCs w:val="20"/>
        </w:rPr>
        <w:t xml:space="preserve">(Wu </w:t>
      </w:r>
      <w:r w:rsidR="00D7754A" w:rsidRPr="00C673E0">
        <w:rPr>
          <w:rFonts w:ascii="Times New Roman" w:hAnsi="Times New Roman"/>
          <w:b/>
          <w:bCs/>
          <w:i/>
          <w:noProof/>
          <w:sz w:val="20"/>
          <w:szCs w:val="20"/>
        </w:rPr>
        <w:t>et al.</w:t>
      </w:r>
      <w:r w:rsidR="00D7754A" w:rsidRPr="00C673E0">
        <w:rPr>
          <w:rFonts w:ascii="Times New Roman" w:hAnsi="Times New Roman"/>
          <w:b/>
          <w:bCs/>
          <w:noProof/>
          <w:sz w:val="20"/>
          <w:szCs w:val="20"/>
        </w:rPr>
        <w:t>, 2015)</w:t>
      </w:r>
      <w:r w:rsidR="006E7628" w:rsidRPr="00C673E0">
        <w:rPr>
          <w:rFonts w:ascii="Times New Roman" w:hAnsi="Times New Roman"/>
          <w:sz w:val="20"/>
          <w:szCs w:val="20"/>
        </w:rPr>
        <w:fldChar w:fldCharType="end"/>
      </w:r>
      <w:r w:rsidR="00D7754A" w:rsidRPr="00C673E0">
        <w:rPr>
          <w:rFonts w:ascii="Times New Roman" w:hAnsi="Times New Roman"/>
          <w:b/>
          <w:bCs/>
          <w:sz w:val="20"/>
          <w:szCs w:val="20"/>
        </w:rPr>
        <w:t>.</w:t>
      </w:r>
      <w:r w:rsidR="00D7754A" w:rsidRPr="00C673E0">
        <w:rPr>
          <w:rFonts w:ascii="Times New Roman" w:hAnsi="Times New Roman"/>
          <w:sz w:val="20"/>
          <w:szCs w:val="20"/>
        </w:rPr>
        <w:t xml:space="preserve"> MS is </w:t>
      </w:r>
      <w:r w:rsidR="00F07A2E" w:rsidRPr="00C673E0">
        <w:rPr>
          <w:rFonts w:ascii="Times New Roman" w:hAnsi="Times New Roman"/>
          <w:sz w:val="20"/>
          <w:szCs w:val="20"/>
        </w:rPr>
        <w:t xml:space="preserve">a central nervous system (CNS) autoimmune chronic inflammatory disease. </w:t>
      </w:r>
      <w:r w:rsidR="00D7754A" w:rsidRPr="00C673E0">
        <w:rPr>
          <w:rFonts w:ascii="Times New Roman" w:hAnsi="Times New Roman"/>
          <w:sz w:val="20"/>
          <w:szCs w:val="20"/>
        </w:rPr>
        <w:t xml:space="preserve">It is </w:t>
      </w:r>
      <w:r w:rsidR="009A7A3E" w:rsidRPr="00C673E0">
        <w:rPr>
          <w:rFonts w:ascii="Times New Roman" w:hAnsi="Times New Roman"/>
          <w:sz w:val="20"/>
          <w:szCs w:val="20"/>
        </w:rPr>
        <w:t>commonly</w:t>
      </w:r>
      <w:r w:rsidR="00D7754A" w:rsidRPr="00C673E0">
        <w:rPr>
          <w:rFonts w:ascii="Times New Roman" w:hAnsi="Times New Roman"/>
          <w:sz w:val="20"/>
          <w:szCs w:val="20"/>
        </w:rPr>
        <w:t xml:space="preserve"> </w:t>
      </w:r>
      <w:r w:rsidR="009A7A3E" w:rsidRPr="00C673E0">
        <w:rPr>
          <w:rFonts w:ascii="Times New Roman" w:hAnsi="Times New Roman"/>
          <w:sz w:val="20"/>
          <w:szCs w:val="20"/>
        </w:rPr>
        <w:t xml:space="preserve">approved </w:t>
      </w:r>
      <w:r w:rsidR="00D7754A" w:rsidRPr="00C673E0">
        <w:rPr>
          <w:rFonts w:ascii="Times New Roman" w:hAnsi="Times New Roman"/>
          <w:sz w:val="20"/>
          <w:szCs w:val="20"/>
        </w:rPr>
        <w:t xml:space="preserve">that susceptibility to MS depends on a combination of genetic and environmental factors and their interactions </w:t>
      </w:r>
      <w:r w:rsidR="006E7628" w:rsidRPr="006E7628">
        <w:rPr>
          <w:rFonts w:ascii="Times New Roman" w:hAnsi="Times New Roman"/>
          <w:b/>
          <w:bCs/>
          <w:sz w:val="20"/>
          <w:szCs w:val="20"/>
        </w:rPr>
        <w:fldChar w:fldCharType="begin" w:fldLock="1"/>
      </w:r>
      <w:r w:rsidR="00D7754A" w:rsidRPr="00C673E0">
        <w:rPr>
          <w:rFonts w:ascii="Times New Roman" w:hAnsi="Times New Roman"/>
          <w:b/>
          <w:bCs/>
          <w:sz w:val="20"/>
          <w:szCs w:val="20"/>
        </w:rPr>
        <w:instrText>ADDIN CSL_CITATION {"citationItems":[{"id":"ITEM-1","itemData":{"DOI":"10.1016/j.apjtb.2017.02.001","ISSN":"22211691","abstract":"Multiple sclerosis (MS) is the most famous autoimmune disease attacking the central nervous system. It attacks people from age 20–50 years old and the females’ attacks double than males’ attacks. MS is an autoimmune disease affecting principally the central nervous system that causes nerve sheath demyelination, followed by axon damage and paralysis. MS symptoms include muscle weakness, weak reflexes, muscle spasm, difficulties in movement and unbalance. Many factors may be responsible for MS: microorganism, virus, smoking, stress, environmental toxins, contaminated diet and gout. MS is widely spread in the population in North Europe and this is related to lack of vitamin D due to decrease of sunlight exposure. MS biomarkers include nitric oxide, interleukin-6, nitric oxide synthase, fetuin-A and osteopontin. MS is not a genetic disease (not transferred from parents into next generations) but MS appears when leukocyte antigen system-related genes are changed in human chromosome 6. The physiology of MS patients is controlled by numbers of biological processes such as activation of immune-inflammatory, oxidative and nitrosative stress pathways. MS includes two main steps: (1) myelin sheath destruction and formation of lesions and, (2) inflammation. Four types of MS can be distinguished: relapsing-remitting, primary progressive, secondary progressive and progressive relapsing. Nine treatments have been accepted for relapsing-remitting MS type: interferon β-1a, interferon β-1b, mitoxantrone, natalizumab, glatiramer acetate, fingolimod, dimethyl fumarate, teriflunomide, and alemtuzumab. However, the only treatment used is mitoxantrone for progressive MS with many side effects. Complementary treatments are also used in MS treatments such as vitamin D, Yoga, medicinal plants, oxygen therapy, acupuncture and reflexology.","author":[{"dropping-particle":"","family":"Koriem","given":"Khaled Mohamed Mohamed","non-dropping-particle":"","parse-names":false,"suffix":""}],"container-title":"Asian Pacific Journal of Tropical Biomedicine","id":"ITEM-1","issue":"5","issued":{"date-parts":[["2017"]]},"page":"493-504","publisher":"Elsevier B.V.","title":"Corrigendum to ‘Multiple sclerosis: New insights and trends’ (Asian Pacific Journal of Tropical Biomedicine (2017) 7(5) (493–504) (S2221169116302453) (10.1016/j.apjtb.2016.03.009))","type":"article-journal","volume":"7"},"uris":["http://www.mendeley.com/documents/?uuid=16032eb4-f787-4e99-8122-61445aca61cf"]}],"mendeley":{"formattedCitation":"(Koriem, 2017)","plainTextFormattedCitation":"(Koriem, 2017)","previouslyFormattedCitation":"(Koriem, 2017)"},"properties":{"noteIndex":0},"schema":"https://github.com/citation-style-language/schema/raw/master/csl-citation.json"}</w:instrText>
      </w:r>
      <w:r w:rsidR="006E7628" w:rsidRPr="006E7628">
        <w:rPr>
          <w:rFonts w:ascii="Times New Roman" w:hAnsi="Times New Roman"/>
          <w:b/>
          <w:bCs/>
          <w:sz w:val="20"/>
          <w:szCs w:val="20"/>
        </w:rPr>
        <w:fldChar w:fldCharType="separate"/>
      </w:r>
      <w:r w:rsidR="00D7754A" w:rsidRPr="00C673E0">
        <w:rPr>
          <w:rFonts w:ascii="Times New Roman" w:hAnsi="Times New Roman"/>
          <w:b/>
          <w:bCs/>
          <w:noProof/>
          <w:sz w:val="20"/>
          <w:szCs w:val="20"/>
        </w:rPr>
        <w:t>(Koriem, 2017)</w:t>
      </w:r>
      <w:r w:rsidR="006E7628" w:rsidRPr="00C673E0">
        <w:rPr>
          <w:rFonts w:ascii="Times New Roman" w:hAnsi="Times New Roman"/>
          <w:sz w:val="20"/>
          <w:szCs w:val="20"/>
        </w:rPr>
        <w:fldChar w:fldCharType="end"/>
      </w:r>
      <w:r w:rsidR="00D7754A" w:rsidRPr="00C673E0">
        <w:rPr>
          <w:rFonts w:ascii="Times New Roman" w:hAnsi="Times New Roman"/>
          <w:sz w:val="20"/>
          <w:szCs w:val="20"/>
        </w:rPr>
        <w:t>.</w:t>
      </w:r>
    </w:p>
    <w:p w:rsidR="00D7754A" w:rsidRPr="00C673E0" w:rsidRDefault="006240E9" w:rsidP="00644513">
      <w:pPr>
        <w:snapToGrid w:val="0"/>
        <w:spacing w:after="0" w:line="240" w:lineRule="auto"/>
        <w:ind w:firstLine="425"/>
        <w:jc w:val="both"/>
        <w:rPr>
          <w:rFonts w:ascii="Times New Roman" w:hAnsi="Times New Roman"/>
          <w:sz w:val="20"/>
          <w:szCs w:val="20"/>
        </w:rPr>
      </w:pPr>
      <w:r w:rsidRPr="00C673E0">
        <w:rPr>
          <w:rFonts w:ascii="Times New Roman" w:hAnsi="Times New Roman"/>
          <w:sz w:val="20"/>
          <w:szCs w:val="20"/>
        </w:rPr>
        <w:t xml:space="preserve">Non-protein coding RNA transcripts that are greater than 200 nucleotides in length are long non-coding RNAs (lncRNAs) </w:t>
      </w:r>
      <w:r w:rsidR="006E7628" w:rsidRPr="006E7628">
        <w:rPr>
          <w:rFonts w:ascii="Times New Roman" w:hAnsi="Times New Roman"/>
          <w:b/>
          <w:bCs/>
          <w:sz w:val="20"/>
          <w:szCs w:val="20"/>
        </w:rPr>
        <w:fldChar w:fldCharType="begin" w:fldLock="1"/>
      </w:r>
      <w:r w:rsidR="00D7754A" w:rsidRPr="00C673E0">
        <w:rPr>
          <w:rFonts w:ascii="Times New Roman" w:hAnsi="Times New Roman"/>
          <w:b/>
          <w:bCs/>
          <w:sz w:val="20"/>
          <w:szCs w:val="20"/>
        </w:rPr>
        <w:instrText>ADDIN CSL_CITATION {"citationItems":[{"id":"ITEM-1","itemData":{"DOI":"10.1016/j.biopha.2018.12.078","ISSN":"19506007","abstract":"Long noncoding RNAs (lncRNAs) are large RNA transcripts that do not code for proteins but exert their effects in the form of RNA. To date many thousands of lncRNAs have been identified, their molecular functions and mechanisms of action however are largely unknown. The development of high-throughput experimental technologies, such as ChIRP (Chromatin isolation by RNA purification), CHART (Capture Hybridization Analysis of RNA Targets), RAP (RNA antisense purification), RIP (RNA Immunoprecipitation), CLIP (cross-linking and immunoprecipitation) and RNA pull-down, has led to a rapid expansion of lncRNA research and resulted in many publicly-available databases. This review provides an overview of the current methodologies available for discovering and investigating functions of lncRNAs in various human diseases. A comparison and application of these methods are also included. Finally, this paper surveys current databases containing annotations, interactome networks and functions of lncRNAs. The appropriate use of these methods and databases will provide not only high-resolution functional features of lncRNAs, but also enhance our understanding of the underlying mechanisms by which lncRNAs regulate a variety of biological processes.","author":[{"dropping-particle":"","family":"Cao","given":"Mei","non-dropping-particle":"","parse-names":false,"suffix":""},{"dropping-particle":"","family":"Zhao","given":"Jian","non-dropping-particle":"","parse-names":false,"suffix":""},{"dropping-particle":"","family":"Hu","given":"Guoku","non-dropping-particle":"","parse-names":false,"suffix":""}],"container-title":"Biomedicine and Pharmacotherapy","id":"ITEM-1","issue":"November 2018","issued":{"date-parts":[["2019"]]},"page":"395-401","publisher":"Elsevier","title":"Genome-wide methods for investigating long noncoding RNAs","type":"article-journal","volume":"111"},"uris":["http://www.mendeley.com/documents/?uuid=5fb9d7bb-c858-4040-bd56-e42811bd5a6a"]},{"id":"ITEM-2","itemData":{"DOI":"10.1016/j.gendis.2016.01.004","ISSN":"23523042","abstract":"Precise and dynamic regulation of gene expression is a key feature of immunity. In recent years, rapid advances in transcriptome profiling analysis have led to recognize long non-coding RNAs (lncRNAs) as an additional layer of gene regulation context. In the immune system, lncRNAs are found to be widely expressed in immune cells including monocytes, macrophages, dendritic cells (DC), neutrophils, T cells and B cells during their development, differentiation and activation. However, the functional importance of immune-related lncRNAs is just emerging to be characterized. In this review, we discuss the up-to-date knowledge of lncRNAs in immune regulation.","author":[{"dropping-particle":"","family":"Geng","given":"Hua","non-dropping-particle":"","parse-names":false,"suffix":""},{"dropping-particle":"","family":"Tan","given":"Xiao-Di","non-dropping-particle":"","parse-names":false,"suffix":""}],"container-title":"Genes and Diseases","id":"ITEM-2","issue":"1","issued":{"date-parts":[["2016"]]},"page":"72-81","publisher":"Elsevier Ltd","title":"Functional diversity of long non-coding RNAs in immune regulation","type":"article-journal","volume":"3"},"uris":["http://www.mendeley.com/documents/?uuid=7d2c2c0e-ec70-4891-9fb4-76e3c958853c"]}],"mendeley":{"formattedCitation":"(Geng and Tan, 2016; Cao, Zhao and Hu, 2019)","manualFormatting":"(Geng and Tan, 2016; Cao et al., 2019)","plainTextFormattedCitation":"(Geng and Tan, 2016; Cao, Zhao and Hu, 2019)","previouslyFormattedCitation":"(Geng and Tan, 2016; Cao, Zhao and Hu, 2019)"},"properties":{"noteIndex":0},"schema":"https://github.com/citation-style-language/schema/raw/master/csl-citation.json"}</w:instrText>
      </w:r>
      <w:r w:rsidR="006E7628" w:rsidRPr="006E7628">
        <w:rPr>
          <w:rFonts w:ascii="Times New Roman" w:hAnsi="Times New Roman"/>
          <w:b/>
          <w:bCs/>
          <w:sz w:val="20"/>
          <w:szCs w:val="20"/>
        </w:rPr>
        <w:fldChar w:fldCharType="separate"/>
      </w:r>
      <w:r w:rsidR="00D7754A" w:rsidRPr="00C673E0">
        <w:rPr>
          <w:rFonts w:ascii="Times New Roman" w:hAnsi="Times New Roman"/>
          <w:b/>
          <w:bCs/>
          <w:noProof/>
          <w:sz w:val="20"/>
          <w:szCs w:val="20"/>
        </w:rPr>
        <w:t xml:space="preserve">(Geng and Tan, 2016; Cao </w:t>
      </w:r>
      <w:r w:rsidR="00D7754A" w:rsidRPr="00C673E0">
        <w:rPr>
          <w:rFonts w:ascii="Times New Roman" w:hAnsi="Times New Roman"/>
          <w:b/>
          <w:bCs/>
          <w:i/>
          <w:iCs/>
          <w:noProof/>
          <w:sz w:val="20"/>
          <w:szCs w:val="20"/>
        </w:rPr>
        <w:t>et al</w:t>
      </w:r>
      <w:r w:rsidR="00D7754A" w:rsidRPr="00C673E0">
        <w:rPr>
          <w:rFonts w:ascii="Times New Roman" w:hAnsi="Times New Roman"/>
          <w:b/>
          <w:bCs/>
          <w:noProof/>
          <w:sz w:val="20"/>
          <w:szCs w:val="20"/>
        </w:rPr>
        <w:t>., 2019)</w:t>
      </w:r>
      <w:r w:rsidR="006E7628" w:rsidRPr="00C673E0">
        <w:rPr>
          <w:rFonts w:ascii="Times New Roman" w:hAnsi="Times New Roman"/>
          <w:sz w:val="20"/>
          <w:szCs w:val="20"/>
        </w:rPr>
        <w:fldChar w:fldCharType="end"/>
      </w:r>
      <w:r w:rsidR="00D7754A" w:rsidRPr="00C673E0">
        <w:rPr>
          <w:rFonts w:ascii="Times New Roman" w:hAnsi="Times New Roman"/>
          <w:sz w:val="20"/>
          <w:szCs w:val="20"/>
        </w:rPr>
        <w:t xml:space="preserve">. LncRNAs have been found to play important roles in many diseases such as cancer, </w:t>
      </w:r>
      <w:r w:rsidR="00D7754A" w:rsidRPr="00C673E0">
        <w:rPr>
          <w:rFonts w:ascii="Times New Roman" w:hAnsi="Times New Roman"/>
          <w:sz w:val="20"/>
          <w:szCs w:val="20"/>
        </w:rPr>
        <w:lastRenderedPageBreak/>
        <w:t xml:space="preserve">Alzheimer’s disease, cardiovascular diseases, diabetes mellitus, RA and SLE </w:t>
      </w:r>
      <w:r w:rsidR="006E7628" w:rsidRPr="006E7628">
        <w:rPr>
          <w:rFonts w:ascii="Times New Roman" w:hAnsi="Times New Roman"/>
          <w:b/>
          <w:bCs/>
          <w:sz w:val="20"/>
          <w:szCs w:val="20"/>
        </w:rPr>
        <w:fldChar w:fldCharType="begin" w:fldLock="1"/>
      </w:r>
      <w:r w:rsidR="00D7754A" w:rsidRPr="00C673E0">
        <w:rPr>
          <w:rFonts w:ascii="Times New Roman" w:hAnsi="Times New Roman"/>
          <w:b/>
          <w:bCs/>
          <w:sz w:val="20"/>
          <w:szCs w:val="20"/>
        </w:rPr>
        <w:instrText>ADDIN CSL_CITATION {"citationItems":[{"id":"ITEM-1","itemData":{"DOI":"10.1371/journal.pbio.3000143","ISBN":"1111111111","ISSN":"15457885","abstract":"p53 regulates the expression of hundreds of genes. Recent surprising observations indicate that no single protein-coding gene controls the tumor suppressor effects of p53. This raises the possibility that a subset of these genes, regulated by a p53-induced long noncoding RNA (lncRNA), could control p53’s tumor suppressor function. We propose molecular mechanisms through which lncRNAs could regulate this subset of genes and hypothesize an exciting, direct role of lncRNAs in p53’s genome stability maintenance function. Exploring these mechanisms could reveal lncRNAs as indispensable mediators of p53 and lay the foundation for understanding how other transcription factors could act via lncRNAs.","author":[{"dropping-particle":"","family":"Dangelmaier","given":"Emily","non-dropping-particle":"","parse-names":false,"suffix":""},{"dropping-particle":"","family":"Lazar","given":"Sarah B.","non-dropping-particle":"","parse-names":false,"suffix":""},{"dropping-particle":"","family":"Lal","given":"Ashish","non-dropping-particle":"","parse-names":false,"suffix":""}],"container-title":"PLoS Biology","id":"ITEM-1","issue":"2","issued":{"date-parts":[["2019"]]},"page":"1-11","title":"Long noncoding RNAs: P53’s secret weapon in the fight against cancer?","type":"article-journal","volume":"17"},"uris":["http://www.mendeley.com/documents/?uuid=6f9a3e21-a637-474a-97b0-937fa310b09a"]},{"id":"ITEM-2","itemData":{"DOI":"10.18632/oncotarget.15544","abstract":"In the previous study, we generated a rat model of dilated cardiomyopathy (DCM) induced by adriamycin and found that the expression of lncRNA H19 was significantly upregulated in myocardial tissue. The present study was aimed to investigate the potential role of H19 in the pathogenesis of adriamycin-induced DCM. H19 knockdown in the myocardium of DCM rats attenuated cardiomyocyte apoptosis and improved left ventricular structure and function. Adriamycin treatment was associated with elevated H19 and miR-675 expression and increased apoptosis in neonatal cardiomyocytes. Enforced expression of miR-675 was found to induce apoptosis in cardiomyocytes with adriamycin treatment and H19-siRNA transfection. The 3’-untranslated region of PA2G4 was cloned downstream of a luciferase reporter construct and cotransfected into HEK293 cells with miR-675 mimic. The results of luciferase assay showed that PA2G4 was a direct target of miR-675. The expression of PA2G4 was reduced in cardiomyocytes transfected with miR-675 mimic. Moreover, H19 knockdown was found to increase PA2G4 expression and suppress apoptosis in cardiomyocytes exposed to adriamycin. In conclusion, our study suggests that H19/miR-675 axis is involved in the promotion of cardiomyocyte apoptosis by targeting PA2G4, which may provide a new therapeutic strategy for the treatment of adriamycin-induced DCM.","author":[{"dropping-particle":"","family":"Zhang","given":"Yanlin","non-dropping-particle":"","parse-names":false,"suffix":""},{"dropping-particle":"","family":"Zhang","given":"Mengyao","non-dropping-particle":"","parse-names":false,"suffix":""},{"dropping-particle":"","family":"Xu","given":"Weiting","non-dropping-particle":"","parse-names":false,"suffix":""},{"dropping-particle":"","family":"Chen","given":"Jianchang","non-dropping-particle":"","parse-names":false,"suffix":""},{"dropping-particle":"","family":"Zhou","given":"Xiang","non-dropping-particle":"","parse-names":false,"suffix":""}],"container-title":"Oncotarget","id":"ITEM-2","issue":"17","issued":{"date-parts":[["2017"]]},"page":"28588-28594","title":"The long non-coding RNA H19 promotes cardiomyocyte apoptosis in dilated cardiomyopathy","type":"article-journal","volume":"8"},"uris":["http://www.mendeley.com/documents/?uuid=310b7af0-d2f2-440b-b6e0-d7cb4fc69e96"]}],"mendeley":{"formattedCitation":"(Zhang &lt;i&gt;et al.&lt;/i&gt;, 2017; Dangelmaier, Lazar and Lal, 2019)","manualFormatting":"(Zhang et al., 2017; Dangelmaier et al., 2019)","plainTextFormattedCitation":"(Zhang et al., 2017; Dangelmaier, Lazar and Lal, 2019)","previouslyFormattedCitation":"(Zhang &lt;i&gt;et al.&lt;/i&gt;, 2017; Dangelmaier, Lazar and Lal, 2019)"},"properties":{"noteIndex":0},"schema":"https://github.com/citation-style-language/schema/raw/master/csl-citation.json"}</w:instrText>
      </w:r>
      <w:r w:rsidR="006E7628" w:rsidRPr="006E7628">
        <w:rPr>
          <w:rFonts w:ascii="Times New Roman" w:hAnsi="Times New Roman"/>
          <w:b/>
          <w:bCs/>
          <w:sz w:val="20"/>
          <w:szCs w:val="20"/>
        </w:rPr>
        <w:fldChar w:fldCharType="separate"/>
      </w:r>
      <w:r w:rsidR="00D7754A" w:rsidRPr="00C673E0">
        <w:rPr>
          <w:rFonts w:ascii="Times New Roman" w:hAnsi="Times New Roman"/>
          <w:b/>
          <w:bCs/>
          <w:noProof/>
          <w:sz w:val="20"/>
          <w:szCs w:val="20"/>
        </w:rPr>
        <w:t xml:space="preserve">(Zhang </w:t>
      </w:r>
      <w:r w:rsidR="00D7754A" w:rsidRPr="00C673E0">
        <w:rPr>
          <w:rFonts w:ascii="Times New Roman" w:hAnsi="Times New Roman"/>
          <w:b/>
          <w:bCs/>
          <w:i/>
          <w:noProof/>
          <w:sz w:val="20"/>
          <w:szCs w:val="20"/>
        </w:rPr>
        <w:t>et al.</w:t>
      </w:r>
      <w:r w:rsidR="00D7754A" w:rsidRPr="00C673E0">
        <w:rPr>
          <w:rFonts w:ascii="Times New Roman" w:hAnsi="Times New Roman"/>
          <w:b/>
          <w:bCs/>
          <w:noProof/>
          <w:sz w:val="20"/>
          <w:szCs w:val="20"/>
        </w:rPr>
        <w:t xml:space="preserve">, 2017; Dangelmaier </w:t>
      </w:r>
      <w:r w:rsidR="00D7754A" w:rsidRPr="00C673E0">
        <w:rPr>
          <w:rFonts w:ascii="Times New Roman" w:hAnsi="Times New Roman"/>
          <w:b/>
          <w:bCs/>
          <w:i/>
          <w:iCs/>
          <w:noProof/>
          <w:sz w:val="20"/>
          <w:szCs w:val="20"/>
        </w:rPr>
        <w:t>et al</w:t>
      </w:r>
      <w:r w:rsidR="00D7754A" w:rsidRPr="00C673E0">
        <w:rPr>
          <w:rFonts w:ascii="Times New Roman" w:hAnsi="Times New Roman"/>
          <w:b/>
          <w:bCs/>
          <w:noProof/>
          <w:sz w:val="20"/>
          <w:szCs w:val="20"/>
        </w:rPr>
        <w:t>., 2019)</w:t>
      </w:r>
      <w:r w:rsidR="006E7628" w:rsidRPr="00C673E0">
        <w:rPr>
          <w:rFonts w:ascii="Times New Roman" w:hAnsi="Times New Roman"/>
          <w:sz w:val="20"/>
          <w:szCs w:val="20"/>
        </w:rPr>
        <w:fldChar w:fldCharType="end"/>
      </w:r>
      <w:r w:rsidR="00D7754A" w:rsidRPr="00C673E0">
        <w:rPr>
          <w:rFonts w:ascii="Times New Roman" w:hAnsi="Times New Roman"/>
          <w:b/>
          <w:bCs/>
          <w:sz w:val="20"/>
          <w:szCs w:val="20"/>
        </w:rPr>
        <w:t>.</w:t>
      </w:r>
    </w:p>
    <w:p w:rsidR="00044944" w:rsidRPr="00C673E0" w:rsidRDefault="000F3933" w:rsidP="00644513">
      <w:pPr>
        <w:snapToGrid w:val="0"/>
        <w:spacing w:after="0" w:line="240" w:lineRule="auto"/>
        <w:ind w:firstLine="425"/>
        <w:jc w:val="both"/>
        <w:rPr>
          <w:rFonts w:ascii="Times New Roman" w:hAnsi="Times New Roman"/>
          <w:sz w:val="20"/>
          <w:szCs w:val="20"/>
        </w:rPr>
        <w:sectPr w:rsidR="00044944" w:rsidRPr="00C673E0" w:rsidSect="000F71AB">
          <w:type w:val="continuous"/>
          <w:pgSz w:w="12240" w:h="15840" w:code="9"/>
          <w:pgMar w:top="1440" w:right="1440" w:bottom="1440" w:left="1440" w:header="720" w:footer="720" w:gutter="0"/>
          <w:cols w:num="2" w:space="550"/>
          <w:docGrid w:linePitch="360"/>
        </w:sectPr>
      </w:pPr>
      <w:r w:rsidRPr="00C673E0">
        <w:rPr>
          <w:rFonts w:ascii="Times New Roman" w:hAnsi="Times New Roman"/>
          <w:sz w:val="20"/>
          <w:szCs w:val="20"/>
        </w:rPr>
        <w:t>In MS patients, a number of lncRN</w:t>
      </w:r>
      <w:r w:rsidR="0096791E" w:rsidRPr="00C673E0">
        <w:rPr>
          <w:rFonts w:ascii="Times New Roman" w:hAnsi="Times New Roman"/>
          <w:sz w:val="20"/>
          <w:szCs w:val="20"/>
        </w:rPr>
        <w:t>As was shown to be dysregulated</w:t>
      </w:r>
      <w:r w:rsidRPr="00C673E0">
        <w:rPr>
          <w:rFonts w:ascii="Times New Roman" w:hAnsi="Times New Roman"/>
          <w:sz w:val="20"/>
          <w:szCs w:val="20"/>
        </w:rPr>
        <w:t xml:space="preserve"> </w:t>
      </w:r>
      <w:r w:rsidR="006E7628" w:rsidRPr="006E7628">
        <w:rPr>
          <w:rFonts w:ascii="Times New Roman" w:hAnsi="Times New Roman"/>
          <w:b/>
          <w:bCs/>
          <w:sz w:val="20"/>
          <w:szCs w:val="20"/>
        </w:rPr>
        <w:fldChar w:fldCharType="begin" w:fldLock="1"/>
      </w:r>
      <w:r w:rsidR="00D7754A" w:rsidRPr="00C673E0">
        <w:rPr>
          <w:rFonts w:ascii="Times New Roman" w:hAnsi="Times New Roman"/>
          <w:b/>
          <w:bCs/>
          <w:sz w:val="20"/>
          <w:szCs w:val="20"/>
        </w:rPr>
        <w:instrText>ADDIN CSL_CITATION {"citationItems":[{"id":"ITEM-1","itemData":{"DOI":"10.1016/j.mgene.2019.100592","ISSN":"22145400","abstract":"Multiple Sclerosis (MS) as a chronic demyelinating disorder of the central nervous system (CNS) has been associated with dysregulation of several genetic and epigenetic factors. Long non-coding RNAs (lncRNAs) as important epigenetic regulators of gene expression might also contribute in the pathogenesis of MS. In the current study, we genotyped two single nucleotide polymorphisms (SNPs) within the lncRNA H19 (rs2839698 and rs217727) in a population of 402 MS patients and 392 healthy subjects using tetra-primer amplification-refractory mutation system-PCR technique. No significant association was found between the mentioned SNPs and MS risk in any of inheritance model. Moreover, the distributions of the four expected haplotypes were similar in MS patients and controls. Despite the previously acknowledged role of H19 in regulation of immune response, the mentioned SNPs do not contribute in the pathogenesis of MS in Iranian population. Future studies are needed to assess the associations between other SNPs within this lncRNA and risk of MS.","author":[{"dropping-particle":"","family":"Mazdeh","given":"Mehrdokht","non-dropping-particle":"","parse-names":false,"suffix":""},{"dropping-particle":"","family":"Noroozi","given":"Rezvan","non-dropping-particle":"","parse-names":false,"suffix":""},{"dropping-particle":"","family":"Komaki","given":"Alireza","non-dropping-particle":"","parse-names":false,"suffix":""},{"dropping-particle":"","family":"Taheri","given":"Mohammad","non-dropping-particle":"","parse-names":false,"suffix":""},{"dropping-particle":"","family":"Ghafouri-Fard","given":"Soudeh","non-dropping-particle":"","parse-names":false,"suffix":""}],"container-title":"Meta Gene","id":"ITEM-1","issue":"April","issued":{"date-parts":[["2019"]]},"page":"100592","publisher":"Elsevier","title":"Single nucleotide polymorphisms of lncRNA H19 are not associated with risk of multiple sclerosis in Iranian population","type":"article-journal","volume":"21"},"uris":["http://www.mendeley.com/documents/?uuid=84bdc706-a88a-4bea-8ca3-703545d9322a"]}],"mendeley":{"formattedCitation":"(Mazdeh &lt;i&gt;et al.&lt;/i&gt;, 2019)","plainTextFormattedCitation":"(Mazdeh et al., 2019)","previouslyFormattedCitation":"(Mazdeh &lt;i&gt;et al.&lt;/i&gt;, 2019)"},"properties":{"noteIndex":0},"schema":"https://github.com/citation-style-language/schema/raw/master/csl-citation.json"}</w:instrText>
      </w:r>
      <w:r w:rsidR="006E7628" w:rsidRPr="006E7628">
        <w:rPr>
          <w:rFonts w:ascii="Times New Roman" w:hAnsi="Times New Roman"/>
          <w:b/>
          <w:bCs/>
          <w:sz w:val="20"/>
          <w:szCs w:val="20"/>
        </w:rPr>
        <w:fldChar w:fldCharType="separate"/>
      </w:r>
      <w:r w:rsidR="00D7754A" w:rsidRPr="00C673E0">
        <w:rPr>
          <w:rFonts w:ascii="Times New Roman" w:hAnsi="Times New Roman"/>
          <w:b/>
          <w:bCs/>
          <w:noProof/>
          <w:sz w:val="20"/>
          <w:szCs w:val="20"/>
        </w:rPr>
        <w:t xml:space="preserve">(Mazdeh </w:t>
      </w:r>
      <w:r w:rsidR="00D7754A" w:rsidRPr="00C673E0">
        <w:rPr>
          <w:rFonts w:ascii="Times New Roman" w:hAnsi="Times New Roman"/>
          <w:b/>
          <w:bCs/>
          <w:i/>
          <w:noProof/>
          <w:sz w:val="20"/>
          <w:szCs w:val="20"/>
        </w:rPr>
        <w:t>et al.</w:t>
      </w:r>
      <w:r w:rsidR="00D7754A" w:rsidRPr="00C673E0">
        <w:rPr>
          <w:rFonts w:ascii="Times New Roman" w:hAnsi="Times New Roman"/>
          <w:b/>
          <w:bCs/>
          <w:noProof/>
          <w:sz w:val="20"/>
          <w:szCs w:val="20"/>
        </w:rPr>
        <w:t>, 2019)</w:t>
      </w:r>
      <w:r w:rsidR="006E7628" w:rsidRPr="00C673E0">
        <w:rPr>
          <w:rFonts w:ascii="Times New Roman" w:hAnsi="Times New Roman"/>
          <w:sz w:val="20"/>
          <w:szCs w:val="20"/>
        </w:rPr>
        <w:fldChar w:fldCharType="end"/>
      </w:r>
      <w:r w:rsidR="00D7754A" w:rsidRPr="00C673E0">
        <w:rPr>
          <w:rFonts w:ascii="Times New Roman" w:hAnsi="Times New Roman"/>
          <w:sz w:val="20"/>
          <w:szCs w:val="20"/>
        </w:rPr>
        <w:t xml:space="preserve">. </w:t>
      </w:r>
      <w:r w:rsidR="0096791E" w:rsidRPr="00C673E0">
        <w:rPr>
          <w:rFonts w:ascii="Times New Roman" w:hAnsi="Times New Roman"/>
          <w:sz w:val="20"/>
          <w:szCs w:val="20"/>
        </w:rPr>
        <w:t>Concerning MS as a common autoimmune disease and leading to the immune control and pathogenesis of other autoimmune diseases such as SLE and RA by lncRNAs,</w:t>
      </w:r>
      <w:r w:rsidR="00D7754A" w:rsidRPr="00C673E0">
        <w:rPr>
          <w:rFonts w:ascii="Times New Roman" w:hAnsi="Times New Roman"/>
          <w:sz w:val="20"/>
          <w:szCs w:val="20"/>
        </w:rPr>
        <w:t xml:space="preserve"> an increasing number of research groups have identified lncRNAs that can predict the disease activity and its progression </w:t>
      </w:r>
      <w:r w:rsidR="006E7628" w:rsidRPr="006E7628">
        <w:rPr>
          <w:rFonts w:ascii="Times New Roman" w:hAnsi="Times New Roman"/>
          <w:b/>
          <w:bCs/>
          <w:sz w:val="20"/>
          <w:szCs w:val="20"/>
        </w:rPr>
        <w:fldChar w:fldCharType="begin" w:fldLock="1"/>
      </w:r>
      <w:r w:rsidR="00D7754A" w:rsidRPr="00C673E0">
        <w:rPr>
          <w:rFonts w:ascii="Times New Roman" w:hAnsi="Times New Roman"/>
          <w:b/>
          <w:bCs/>
          <w:sz w:val="20"/>
          <w:szCs w:val="20"/>
        </w:rPr>
        <w:instrText>ADDIN CSL_CITATION {"citationItems":[{"id":"ITEM-1","itemData":{"DOI":"10.1038/s12276-018-0188-9","ISSN":"20926413","abstract":"Dysregulation of long noncoding RNA (lncRNA) expression is linked to the development of various diseases. Recently, an emerging body of evidence has indicated that lncRNAs play important roles in the pathogenesis of inflammatory bowel diseases (IBDs), including Crohn's disease (CD) and ulcerative Colitis (UC). In IBD, lncRNAs have been shown to be involved in diverse processes, including the regulation of intestinal epithelial cell apoptosis, association with lipid metabolism, and cell-cell interactions, thereby enhancing inflammation and the functional regulation of regulatory T cells. In this review, we aim to summarize the current knowledge regarding the role of lncRNAs in IBD and highlight potential avenues for future investigation. We also collate potentially immune-relevant, IBD-associated lncRNAs identified through a built-by association analysis with respect to their neighboring protein-coding genes within IBD-susceptible loci. We further underscore their importance by highlighting their enrichment for various aspects of immune system regulation, including antigen processing/presentation, immune cell proliferation and differentiation, and chronic inflammatory responses. Finally, we summarize the potential of lncRNAs as diagnostic biomarkers in IBD.","author":[{"dropping-particle":"","family":"Yarani","given":"Reza","non-dropping-particle":"","parse-names":false,"suffix":""},{"dropping-particle":"","family":"Mirza","given":"Aashiq H.","non-dropping-particle":"","parse-names":false,"suffix":""},{"dropping-particle":"","family":"Kaur","given":"Simranjeet","non-dropping-particle":"","parse-names":false,"suffix":""},{"dropping-particle":"","family":"Pociot","given":"Flemming","non-dropping-particle":"","parse-names":false,"suffix":""}],"container-title":"Experimental and Molecular Medicine","id":"ITEM-1","issue":"12","issued":{"date-parts":[["2018"]]},"publisher":"Springer US","title":"The emerging role of lncrnas in inflammatory bowel disease","type":"article-journal","volume":"50"},"uris":["http://www.mendeley.com/documents/?uuid=ff738171-c32b-4d06-a3c7-9fe80b487458"]},{"id":"ITEM-2","itemData":{"DOI":"10.1016/j.gendis.2016.01.004","ISSN":"23523042","abstract":"Precise and dynamic regulation of gene expression is a key feature of immunity. In recent years, rapid advances in transcriptome profiling analysis have led to recognize long non-coding RNAs (lncRNAs) as an additional layer of gene regulation context. In the immune system, lncRNAs are found to be widely expressed in immune cells including monocytes, macrophages, dendritic cells (DC), neutrophils, T cells and B cells during their development, differentiation and activation. However, the functional importance of immune-related lncRNAs is just emerging to be characterized. In this review, we discuss the up-to-date knowledge of lncRNAs in immune regulation.","author":[{"dropping-particle":"","family":"Geng","given":"Hua","non-dropping-particle":"","parse-names":false,"suffix":""},{"dropping-particle":"","family":"Tan","given":"Xiao-Di","non-dropping-particle":"","parse-names":false,"suffix":""}],"container-title":"Genes and Diseases","id":"ITEM-2","issue":"1","issued":{"date-parts":[["2016"]]},"page":"72-81","publisher":"Elsevier Ltd","title":"Functional diversity of long non-coding RNAs in immune regulation","type":"article-journal","volume":"3"},"uris":["http://www.mendeley.com/documents/?uuid=7d2c2c0e-ec70-4891-9fb4-76e3c958853c"]}],"mendeley":{"formattedCitation":"(Geng and Tan, 2016; Yarani &lt;i&gt;et al.&lt;/i&gt;, 2018)","plainTextFormattedCitation":"(Geng and Tan, 2016; Yarani et al., 2018)","previouslyFormattedCitation":"(Geng and Tan, 2016; Yarani &lt;i&gt;et al.&lt;/i&gt;, 2018)"},"properties":{"noteIndex":0},"schema":"https://github.com/citation-style-language/schema/raw/master/csl-citation.json"}</w:instrText>
      </w:r>
      <w:r w:rsidR="006E7628" w:rsidRPr="006E7628">
        <w:rPr>
          <w:rFonts w:ascii="Times New Roman" w:hAnsi="Times New Roman"/>
          <w:b/>
          <w:bCs/>
          <w:sz w:val="20"/>
          <w:szCs w:val="20"/>
        </w:rPr>
        <w:fldChar w:fldCharType="separate"/>
      </w:r>
      <w:r w:rsidR="00D7754A" w:rsidRPr="00C673E0">
        <w:rPr>
          <w:rFonts w:ascii="Times New Roman" w:hAnsi="Times New Roman"/>
          <w:b/>
          <w:bCs/>
          <w:noProof/>
          <w:sz w:val="20"/>
          <w:szCs w:val="20"/>
        </w:rPr>
        <w:t xml:space="preserve">(Geng and Tan, 2016; Yarani </w:t>
      </w:r>
      <w:r w:rsidR="00D7754A" w:rsidRPr="00C673E0">
        <w:rPr>
          <w:rFonts w:ascii="Times New Roman" w:hAnsi="Times New Roman"/>
          <w:b/>
          <w:bCs/>
          <w:i/>
          <w:noProof/>
          <w:sz w:val="20"/>
          <w:szCs w:val="20"/>
        </w:rPr>
        <w:t>et al.</w:t>
      </w:r>
      <w:r w:rsidR="00D7754A" w:rsidRPr="00C673E0">
        <w:rPr>
          <w:rFonts w:ascii="Times New Roman" w:hAnsi="Times New Roman"/>
          <w:b/>
          <w:bCs/>
          <w:noProof/>
          <w:sz w:val="20"/>
          <w:szCs w:val="20"/>
        </w:rPr>
        <w:t>, 2018)</w:t>
      </w:r>
      <w:r w:rsidR="006E7628" w:rsidRPr="00C673E0">
        <w:rPr>
          <w:rFonts w:ascii="Times New Roman" w:hAnsi="Times New Roman"/>
          <w:sz w:val="20"/>
          <w:szCs w:val="20"/>
        </w:rPr>
        <w:fldChar w:fldCharType="end"/>
      </w:r>
      <w:r w:rsidR="00D7754A" w:rsidRPr="00C673E0">
        <w:rPr>
          <w:rFonts w:ascii="Times New Roman" w:hAnsi="Times New Roman"/>
          <w:b/>
          <w:bCs/>
          <w:sz w:val="20"/>
          <w:szCs w:val="20"/>
        </w:rPr>
        <w:t>.</w:t>
      </w:r>
      <w:r w:rsidR="00D7754A" w:rsidRPr="00C673E0">
        <w:rPr>
          <w:rFonts w:ascii="Times New Roman" w:hAnsi="Times New Roman"/>
          <w:sz w:val="20"/>
          <w:szCs w:val="20"/>
        </w:rPr>
        <w:t xml:space="preserve"> </w:t>
      </w:r>
      <w:r w:rsidR="001C1D76" w:rsidRPr="00C673E0">
        <w:rPr>
          <w:rFonts w:ascii="Times New Roman" w:hAnsi="Times New Roman"/>
          <w:sz w:val="20"/>
          <w:szCs w:val="20"/>
        </w:rPr>
        <w:t>T</w:t>
      </w:r>
      <w:r w:rsidR="00D7754A" w:rsidRPr="00C673E0">
        <w:rPr>
          <w:rFonts w:ascii="Times New Roman" w:hAnsi="Times New Roman"/>
          <w:sz w:val="20"/>
          <w:szCs w:val="20"/>
        </w:rPr>
        <w:t xml:space="preserve">o </w:t>
      </w:r>
      <w:r w:rsidR="00800C65" w:rsidRPr="00C673E0">
        <w:rPr>
          <w:rFonts w:ascii="Times New Roman" w:hAnsi="Times New Roman"/>
          <w:sz w:val="20"/>
          <w:szCs w:val="20"/>
        </w:rPr>
        <w:t xml:space="preserve">today, MS diagnosis is dependent on </w:t>
      </w:r>
      <w:r w:rsidR="00D7754A" w:rsidRPr="00C673E0">
        <w:rPr>
          <w:rFonts w:ascii="Times New Roman" w:hAnsi="Times New Roman"/>
          <w:sz w:val="20"/>
          <w:szCs w:val="20"/>
        </w:rPr>
        <w:t xml:space="preserve">clinical evidence. </w:t>
      </w:r>
      <w:r w:rsidR="00041B4D" w:rsidRPr="00C673E0">
        <w:rPr>
          <w:rFonts w:ascii="Times New Roman" w:hAnsi="Times New Roman"/>
          <w:sz w:val="20"/>
          <w:szCs w:val="20"/>
        </w:rPr>
        <w:t xml:space="preserve">However, early signs </w:t>
      </w:r>
    </w:p>
    <w:p w:rsidR="00D7754A" w:rsidRPr="00C673E0" w:rsidRDefault="00041B4D" w:rsidP="00044944">
      <w:pPr>
        <w:snapToGrid w:val="0"/>
        <w:spacing w:after="0" w:line="240" w:lineRule="auto"/>
        <w:jc w:val="both"/>
        <w:rPr>
          <w:rFonts w:ascii="Times New Roman" w:hAnsi="Times New Roman"/>
          <w:sz w:val="20"/>
          <w:szCs w:val="20"/>
        </w:rPr>
      </w:pPr>
      <w:r w:rsidRPr="00C673E0">
        <w:rPr>
          <w:rFonts w:ascii="Times New Roman" w:hAnsi="Times New Roman"/>
          <w:sz w:val="20"/>
          <w:szCs w:val="20"/>
        </w:rPr>
        <w:lastRenderedPageBreak/>
        <w:t>of MS may be nonspecific in many cases. MRI will aid in the diagnosis, but the detection of MS would be much more straightforward and inexpensive with a simple specific lab test</w:t>
      </w:r>
      <w:r w:rsidR="00D7754A" w:rsidRPr="00C673E0">
        <w:rPr>
          <w:rFonts w:ascii="Times New Roman" w:hAnsi="Times New Roman"/>
          <w:sz w:val="20"/>
          <w:szCs w:val="20"/>
        </w:rPr>
        <w:t xml:space="preserve">. </w:t>
      </w:r>
      <w:r w:rsidR="00CB150C" w:rsidRPr="00C673E0">
        <w:rPr>
          <w:rFonts w:ascii="Times New Roman" w:hAnsi="Times New Roman"/>
          <w:sz w:val="20"/>
          <w:szCs w:val="20"/>
        </w:rPr>
        <w:t>As they are simple to acquire, stable, fast to identify by popular molecular biology techniques (e.g. real-time quantitative PCR), quantifiable, cost-effective, and tissue/disease specific, LncRNAs have proved to be useful diagnostic biomarkers of different diseases</w:t>
      </w:r>
      <w:r w:rsidR="00D7754A" w:rsidRPr="00C673E0">
        <w:rPr>
          <w:rFonts w:ascii="Times New Roman" w:hAnsi="Times New Roman"/>
          <w:sz w:val="20"/>
          <w:szCs w:val="20"/>
        </w:rPr>
        <w:t xml:space="preserve"> </w:t>
      </w:r>
      <w:r w:rsidR="006E7628" w:rsidRPr="006E7628">
        <w:rPr>
          <w:rFonts w:ascii="Times New Roman" w:hAnsi="Times New Roman"/>
          <w:b/>
          <w:bCs/>
          <w:sz w:val="20"/>
          <w:szCs w:val="20"/>
        </w:rPr>
        <w:fldChar w:fldCharType="begin" w:fldLock="1"/>
      </w:r>
      <w:r w:rsidR="00D7754A" w:rsidRPr="00C673E0">
        <w:rPr>
          <w:rFonts w:ascii="Times New Roman" w:hAnsi="Times New Roman"/>
          <w:b/>
          <w:bCs/>
          <w:sz w:val="20"/>
          <w:szCs w:val="20"/>
        </w:rPr>
        <w:instrText>ADDIN CSL_CITATION {"citationItems":[{"id":"ITEM-1","itemData":{"DOI":"10.1186/s13148-018-0586-9","ISBN":"1314801805","ISSN":"1868-7075","abstract":"Multiple sclerosis (MS), a chronic inflammatory demyelinating disease of the central nervous system, is characterized by axonal degeneration and gliosis. Although the causes of MS remain unknown, gene dysregulation in the central nervous system has been associated with the disease pathogenesis. As such, the various regulators of gene expression may be contributing factors. The noncoding (nc) RNAs have piqued the interest of MS researchers due to their known functions in human physiology and various pathological processes, despite being generally characterized as transcripts without apparent protein-coding capacity. Accumulating evidence has indicated that ncRNAs participate in the regulation of MS by acting as epigenetic factors, especially the long (l) ncRNAs and the micro (mi) RNAs, and they are now recognized as key regulatory molecules in MS. In this review, we summarize the most current studies on the contribution of ncRNAs in MS pathogenic processes and discuss their potential applications in the diagnosis and treatment of MS.","author":[{"dropping-particle":"","family":"Yang","given":"Xuan","non-dropping-particle":"","parse-names":false,"suffix":""},{"dropping-particle":"","family":"Wu","given":"Yuzhang","non-dropping-particle":"","parse-names":false,"suffix":""},{"dropping-particle":"","family":"Zhang","given":"Bei","non-dropping-particle":"","parse-names":false,"suffix":""},{"dropping-particle":"","family":"Ni","given":"Bing","non-dropping-particle":"","parse-names":false,"suffix":""}],"container-title":"Clinical Epigenetics","id":"ITEM-1","issue":"1","issued":{"date-parts":[["2018"]]},"page":"1-12","publisher":"Clinical Epigenetics","title":"Noncoding RNAs in multiple sclerosis","type":"article-journal","volume":"10"},"uris":["http://www.mendeley.com/documents/?uuid=e18be312-93b5-4d4e-9956-3e8a6b107b0f"]}],"mendeley":{"formattedCitation":"(Yang &lt;i&gt;et al.&lt;/i&gt;, 2018)","plainTextFormattedCitation":"(Yang et al., 2018)","previouslyFormattedCitation":"(Yang &lt;i&gt;et al.&lt;/i&gt;, 2018)"},"properties":{"noteIndex":0},"schema":"https://github.com/citation-style-language/schema/raw/master/csl-citation.json"}</w:instrText>
      </w:r>
      <w:r w:rsidR="006E7628" w:rsidRPr="006E7628">
        <w:rPr>
          <w:rFonts w:ascii="Times New Roman" w:hAnsi="Times New Roman"/>
          <w:b/>
          <w:bCs/>
          <w:sz w:val="20"/>
          <w:szCs w:val="20"/>
        </w:rPr>
        <w:fldChar w:fldCharType="separate"/>
      </w:r>
      <w:r w:rsidR="00D7754A" w:rsidRPr="00C673E0">
        <w:rPr>
          <w:rFonts w:ascii="Times New Roman" w:hAnsi="Times New Roman"/>
          <w:b/>
          <w:bCs/>
          <w:noProof/>
          <w:sz w:val="20"/>
          <w:szCs w:val="20"/>
        </w:rPr>
        <w:t xml:space="preserve">(Yang </w:t>
      </w:r>
      <w:r w:rsidR="00D7754A" w:rsidRPr="00C673E0">
        <w:rPr>
          <w:rFonts w:ascii="Times New Roman" w:hAnsi="Times New Roman"/>
          <w:b/>
          <w:bCs/>
          <w:i/>
          <w:noProof/>
          <w:sz w:val="20"/>
          <w:szCs w:val="20"/>
        </w:rPr>
        <w:t>et al.</w:t>
      </w:r>
      <w:r w:rsidR="00D7754A" w:rsidRPr="00C673E0">
        <w:rPr>
          <w:rFonts w:ascii="Times New Roman" w:hAnsi="Times New Roman"/>
          <w:b/>
          <w:bCs/>
          <w:noProof/>
          <w:sz w:val="20"/>
          <w:szCs w:val="20"/>
        </w:rPr>
        <w:t>, 2018)</w:t>
      </w:r>
      <w:r w:rsidR="006E7628" w:rsidRPr="00C673E0">
        <w:rPr>
          <w:rFonts w:ascii="Times New Roman" w:hAnsi="Times New Roman"/>
          <w:sz w:val="20"/>
          <w:szCs w:val="20"/>
        </w:rPr>
        <w:fldChar w:fldCharType="end"/>
      </w:r>
      <w:r w:rsidR="00D7754A" w:rsidRPr="00C673E0">
        <w:rPr>
          <w:rFonts w:ascii="Times New Roman" w:hAnsi="Times New Roman"/>
          <w:sz w:val="20"/>
          <w:szCs w:val="20"/>
        </w:rPr>
        <w:t>.</w:t>
      </w:r>
    </w:p>
    <w:p w:rsidR="003E3F44" w:rsidRPr="00C673E0" w:rsidRDefault="00D7754A" w:rsidP="00644513">
      <w:pPr>
        <w:snapToGrid w:val="0"/>
        <w:spacing w:after="0" w:line="240" w:lineRule="auto"/>
        <w:ind w:firstLine="425"/>
        <w:jc w:val="both"/>
        <w:rPr>
          <w:rFonts w:ascii="Times New Roman" w:hAnsi="Times New Roman"/>
          <w:sz w:val="20"/>
          <w:szCs w:val="20"/>
        </w:rPr>
      </w:pPr>
      <w:r w:rsidRPr="00C673E0">
        <w:rPr>
          <w:rFonts w:ascii="Times New Roman" w:hAnsi="Times New Roman"/>
          <w:sz w:val="20"/>
          <w:szCs w:val="20"/>
        </w:rPr>
        <w:t>LncRNA-H19</w:t>
      </w:r>
      <w:r w:rsidR="00500C57" w:rsidRPr="00C673E0">
        <w:rPr>
          <w:rFonts w:ascii="Times New Roman" w:hAnsi="Times New Roman"/>
          <w:sz w:val="20"/>
          <w:szCs w:val="20"/>
        </w:rPr>
        <w:t xml:space="preserve"> is an imprinted gene which is expressed only by the maternal allele, located on chromosome 7 in mice and chromosome 11 in humans </w:t>
      </w:r>
      <w:r w:rsidR="006E7628" w:rsidRPr="006E7628">
        <w:rPr>
          <w:rFonts w:ascii="Times New Roman" w:hAnsi="Times New Roman"/>
          <w:b/>
          <w:bCs/>
          <w:sz w:val="20"/>
          <w:szCs w:val="20"/>
        </w:rPr>
        <w:fldChar w:fldCharType="begin" w:fldLock="1"/>
      </w:r>
      <w:r w:rsidRPr="00C673E0">
        <w:rPr>
          <w:rFonts w:ascii="Times New Roman" w:hAnsi="Times New Roman"/>
          <w:b/>
          <w:bCs/>
          <w:sz w:val="20"/>
          <w:szCs w:val="20"/>
        </w:rPr>
        <w:instrText>ADDIN CSL_CITATION {"citationItems":[{"id":"ITEM-1","itemData":{"DOI":"10.1016/j.yexcr.2017.09.007","ISSN":"10902422","abstract":"The long non-coding RNAs (lncRNAs) have gained much attention due to its essential roles in molecular regulation. As one of the classic lncRNAs, H19 is strongly expressed during embryogenesis and plays a crucial biological function during development. Mesenchymal stem cells (MSCs) are an ideal cell source for tissue engineering in musculoskeletal system as they own the multi-differentiation ability towards osteogenesis, adipogenesis, tenogenesis or chondrogenesis. In recent years, many studies have been found in the field of H19 mediated cellular differentiation of MSCs. Here, we summarized the current understanding of H19 during multi-differentiation of MSCs and its application in tissue regeneration of musculoskeletal system. Particularly, its molecular regulation and biological function during the multi-differentiation were also discussed.","author":[{"dropping-particle":"","family":"Liu","given":"Yang","non-dropping-particle":"","parse-names":false,"suffix":""},{"dropping-particle":"","family":"Li","given":"Gang","non-dropping-particle":"","parse-names":false,"suffix":""},{"dropping-particle":"","family":"Zhang","given":"Jin fang","non-dropping-particle":"","parse-names":false,"suffix":""}],"container-title":"Experimental Cell Research","id":"ITEM-1","issue":"2","issued":{"date-parts":[["2017"]]},"page":"61-65","publisher":"Elsevier Inc.","title":"The role of long non-coding RNA H19 in musculoskeletal system: A new player in an old game","type":"article-journal","volume":"360"},"uris":["http://www.mendeley.com/documents/?uuid=d642be23-f2e2-461b-8eee-5a4c45c56fb7"]},{"id":"ITEM-2","itemData":{"DOI":"10.1002/cmdc.201300534","author":[{"dropping-particle":"","family":"Bhan","given":"Arunoday","non-dropping-particle":"","parse-names":false,"suffix":""},{"dropping-particle":"","family":"Mandal","given":"Subhrangsu S","non-dropping-particle":"","parse-names":false,"suffix":""}],"id":"ITEM-2","issued":{"date-parts":[["2014"]]},"page":"1932-1956","title":"Long Noncoding RNAs : Emerging Stars in Gene Regulation , Epigenetics and Human Disease","type":"article-journal"},"uris":["http://www.mendeley.com/documents/?uuid=4d7f38ed-8f41-495d-9fd3-d0bcfda6f141"]}],"mendeley":{"formattedCitation":"(Bhan and Mandal, 2014; Liu, Li and Zhang, 2017)","manualFormatting":"(Bhan and Mandal, 2014; Liu et al., 2017)","plainTextFormattedCitation":"(Bhan and Mandal, 2014; Liu, Li and Zhang, 2017)","previouslyFormattedCitation":"(Bhan and Mandal, 2014; Liu, Li and Zhang, 2017)"},"properties":{"noteIndex":0},"schema":"https://github.com/citation-style-language/schema/raw/master/csl-citation.json"}</w:instrText>
      </w:r>
      <w:r w:rsidR="006E7628" w:rsidRPr="006E7628">
        <w:rPr>
          <w:rFonts w:ascii="Times New Roman" w:hAnsi="Times New Roman"/>
          <w:b/>
          <w:bCs/>
          <w:sz w:val="20"/>
          <w:szCs w:val="20"/>
        </w:rPr>
        <w:fldChar w:fldCharType="separate"/>
      </w:r>
      <w:r w:rsidRPr="00C673E0">
        <w:rPr>
          <w:rFonts w:ascii="Times New Roman" w:hAnsi="Times New Roman"/>
          <w:b/>
          <w:bCs/>
          <w:noProof/>
          <w:sz w:val="20"/>
          <w:szCs w:val="20"/>
        </w:rPr>
        <w:t xml:space="preserve">(Bhan and Mandal, 2014; Liu </w:t>
      </w:r>
      <w:r w:rsidRPr="00C673E0">
        <w:rPr>
          <w:rFonts w:ascii="Times New Roman" w:hAnsi="Times New Roman"/>
          <w:b/>
          <w:bCs/>
          <w:i/>
          <w:iCs/>
          <w:noProof/>
          <w:sz w:val="20"/>
          <w:szCs w:val="20"/>
        </w:rPr>
        <w:t>et al</w:t>
      </w:r>
      <w:r w:rsidRPr="00C673E0">
        <w:rPr>
          <w:rFonts w:ascii="Times New Roman" w:hAnsi="Times New Roman"/>
          <w:b/>
          <w:bCs/>
          <w:noProof/>
          <w:sz w:val="20"/>
          <w:szCs w:val="20"/>
        </w:rPr>
        <w:t>., 2017)</w:t>
      </w:r>
      <w:r w:rsidR="006E7628" w:rsidRPr="00C673E0">
        <w:rPr>
          <w:rFonts w:ascii="Times New Roman" w:hAnsi="Times New Roman"/>
          <w:sz w:val="20"/>
          <w:szCs w:val="20"/>
        </w:rPr>
        <w:fldChar w:fldCharType="end"/>
      </w:r>
      <w:r w:rsidRPr="00C673E0">
        <w:rPr>
          <w:rFonts w:ascii="Times New Roman" w:hAnsi="Times New Roman"/>
          <w:sz w:val="20"/>
          <w:szCs w:val="20"/>
        </w:rPr>
        <w:t xml:space="preserve">. Several studies showed that H19 is related to several malignancies. It is </w:t>
      </w:r>
      <w:r w:rsidR="008B4C86" w:rsidRPr="00C673E0">
        <w:rPr>
          <w:rFonts w:ascii="Times New Roman" w:hAnsi="Times New Roman"/>
          <w:sz w:val="20"/>
          <w:szCs w:val="20"/>
        </w:rPr>
        <w:t xml:space="preserve">one of the lncRNAs with a putative role in regulating </w:t>
      </w:r>
      <w:r w:rsidRPr="00C673E0">
        <w:rPr>
          <w:rFonts w:ascii="Times New Roman" w:hAnsi="Times New Roman"/>
          <w:sz w:val="20"/>
          <w:szCs w:val="20"/>
        </w:rPr>
        <w:t xml:space="preserve">of immune response </w:t>
      </w:r>
      <w:r w:rsidRPr="00C673E0">
        <w:rPr>
          <w:rFonts w:ascii="Times New Roman" w:hAnsi="Times New Roman"/>
          <w:b/>
          <w:bCs/>
          <w:sz w:val="20"/>
          <w:szCs w:val="20"/>
        </w:rPr>
        <w:t xml:space="preserve">(Safari </w:t>
      </w:r>
      <w:r w:rsidRPr="00C673E0">
        <w:rPr>
          <w:rFonts w:ascii="Times New Roman" w:hAnsi="Times New Roman"/>
          <w:b/>
          <w:bCs/>
          <w:i/>
          <w:iCs/>
          <w:sz w:val="20"/>
          <w:szCs w:val="20"/>
        </w:rPr>
        <w:t>et al</w:t>
      </w:r>
      <w:r w:rsidRPr="00C673E0">
        <w:rPr>
          <w:rFonts w:ascii="Times New Roman" w:hAnsi="Times New Roman"/>
          <w:b/>
          <w:bCs/>
          <w:sz w:val="20"/>
          <w:szCs w:val="20"/>
        </w:rPr>
        <w:t>., 2019)</w:t>
      </w:r>
      <w:r w:rsidRPr="00C673E0">
        <w:rPr>
          <w:rFonts w:ascii="Times New Roman" w:hAnsi="Times New Roman"/>
          <w:sz w:val="20"/>
          <w:szCs w:val="20"/>
        </w:rPr>
        <w:t xml:space="preserve">. Of interest, H19 has been found to play an important role in RA </w:t>
      </w:r>
      <w:r w:rsidR="006E7628" w:rsidRPr="006E7628">
        <w:rPr>
          <w:rFonts w:ascii="Times New Roman" w:hAnsi="Times New Roman"/>
          <w:b/>
          <w:bCs/>
          <w:sz w:val="20"/>
          <w:szCs w:val="20"/>
        </w:rPr>
        <w:fldChar w:fldCharType="begin" w:fldLock="1"/>
      </w:r>
      <w:r w:rsidRPr="00C673E0">
        <w:rPr>
          <w:rFonts w:ascii="Times New Roman" w:hAnsi="Times New Roman"/>
          <w:b/>
          <w:bCs/>
          <w:sz w:val="20"/>
          <w:szCs w:val="20"/>
        </w:rPr>
        <w:instrText>ADDIN CSL_CITATION {"citationItems":[{"id":"ITEM-1","itemData":{"DOI":"10.1016/S0002-9440(10)63450-5","ISSN":"00029440","abstract":"The expression of oncofetal H19 RNA and its localization/cellular source was analyzed in synovial tissue (ST) and isolated synovial macrophages (MO) or synovial fibroblasts (SFBs) by reverse transcriptase-polymerase chain reaction (RT-PCR), in situ hybridization, and immunohistochemistry. RT-PCR showed significantly higher H19 expression in ST from patients with rheumatoid arthritis (RA) (P = 0.000) and osteoarthritis (OA) (P = 0.009) than in normal/joint trauma controls (N/JT), but comparable levels in reactive arthritis. In situ hybridization demonstrated strong signals in all RA-ST samples (n = 8), with ≥85% positive cells in the lining layer, diffuse infiltrates, and stroma regions. In lymphoid aggregates and endothelial cells only 20% were positive. RA-ST contained a significantly higher percentage of strongly positive lining cells than OA-ST and N/JT-ST. H19 RNA was expressed in both Mφ and SFBs, as confirmed by RT-PCR in isolated RA Mφ and SFBs (n = 3). In RA-SFBs, low constitutive H19 RNA expression in culture (10% fetal calf serum) was strongly increased on starvation (3.5-fold, 1% fetal calf serum), with or without the addition of interleukin-1β (10 to 100 U/mi), tumor necrosis factor-α (1 to 25 ng/ml), or platelet-derived growth factor-BB (2.5 to 10 U/ml). In OA-SFBs, this starvation-induced increase was lower (twofold), reaching significant differences compared with RA-SFBs after stimulation with interleukin-1β and platelet-derived growth factor-BB. In both RA- and OA-SFBs, the MAP-kinase ERK-1/2 pathway and the phosphatidylinositol-3 kinase pathway influenced H19 RNA expression, as shown by inhibitor studies. Significant overexpression of H19 RNA and its increased sensitivity to starvation/cytokine regulation in RA suggests a pathogenetic role of this oncofetal gene, possibly reflecting embryonal dedifferentiation of the adult ST and/or ongoing inflammatory/oxidative stress.","author":[{"dropping-particle":"","family":"Stuhlmüller","given":"Bruno","non-dropping-particle":"","parse-names":false,"suffix":""},{"dropping-particle":"","family":"Kunisch","given":"Elke","non-dropping-particle":"","parse-names":false,"suffix":""},{"dropping-particle":"","family":"Franz","given":"Juliane","non-dropping-particle":"","parse-names":false,"suffix":""},{"dropping-particle":"","family":"Martinez-Gamboa","given":"Lorena","non-dropping-particle":"","parse-names":false,"suffix":""},{"dropping-particle":"","family":"Hernandez","given":"Maria M.","non-dropping-particle":"","parse-names":false,"suffix":""},{"dropping-particle":"","family":"Pruss","given":"Axel","non-dropping-particle":"","parse-names":false,"suffix":""},{"dropping-particle":"","family":"Ulbrich","given":"Norbert","non-dropping-particle":"","parse-names":false,"suffix":""},{"dropping-particle":"","family":"Erdmann","given":"Volker A.","non-dropping-particle":"","parse-names":false,"suffix":""},{"dropping-particle":"","family":"Burmester","given":"Gerd R.","non-dropping-particle":"","parse-names":false,"suffix":""},{"dropping-particle":"","family":"Kinnet","given":"Raimund W.","non-dropping-particle":"","parse-names":false,"suffix":""}],"container-title":"American Journal of Pathology","id":"ITEM-1","issue":"3","issued":{"date-parts":[["2003"]]},"page":"901-911","title":"Detection of oncofetal H19 RNA in rheumatoid arthritis synovial tissue","type":"article-journal","volume":"163"},"uris":["http://www.mendeley.com/documents/?uuid=f14a76e6-3fcb-414a-a138-1cfdf288dd4b"]}],"mendeley":{"formattedCitation":"(Stuhlmüller &lt;i&gt;et al.&lt;/i&gt;, 2003)","plainTextFormattedCitation":"(Stuhlmüller et al., 2003)","previouslyFormattedCitation":"(Stuhlmüller &lt;i&gt;et al.&lt;/i&gt;, 2003)"},"properties":{"noteIndex":0},"schema":"https://github.com/citation-style-language/schema/raw/master/csl-citation.json"}</w:instrText>
      </w:r>
      <w:r w:rsidR="006E7628" w:rsidRPr="006E7628">
        <w:rPr>
          <w:rFonts w:ascii="Times New Roman" w:hAnsi="Times New Roman"/>
          <w:b/>
          <w:bCs/>
          <w:sz w:val="20"/>
          <w:szCs w:val="20"/>
        </w:rPr>
        <w:fldChar w:fldCharType="separate"/>
      </w:r>
      <w:r w:rsidRPr="00C673E0">
        <w:rPr>
          <w:rFonts w:ascii="Times New Roman" w:hAnsi="Times New Roman"/>
          <w:b/>
          <w:bCs/>
          <w:noProof/>
          <w:sz w:val="20"/>
          <w:szCs w:val="20"/>
        </w:rPr>
        <w:t xml:space="preserve">(Stuhlmüller </w:t>
      </w:r>
      <w:r w:rsidRPr="00C673E0">
        <w:rPr>
          <w:rFonts w:ascii="Times New Roman" w:hAnsi="Times New Roman"/>
          <w:b/>
          <w:bCs/>
          <w:i/>
          <w:noProof/>
          <w:sz w:val="20"/>
          <w:szCs w:val="20"/>
        </w:rPr>
        <w:t>et al.</w:t>
      </w:r>
      <w:r w:rsidRPr="00C673E0">
        <w:rPr>
          <w:rFonts w:ascii="Times New Roman" w:hAnsi="Times New Roman"/>
          <w:b/>
          <w:bCs/>
          <w:noProof/>
          <w:sz w:val="20"/>
          <w:szCs w:val="20"/>
        </w:rPr>
        <w:t>, 2003)</w:t>
      </w:r>
      <w:r w:rsidR="006E7628" w:rsidRPr="00C673E0">
        <w:rPr>
          <w:rFonts w:ascii="Times New Roman" w:hAnsi="Times New Roman"/>
          <w:sz w:val="20"/>
          <w:szCs w:val="20"/>
        </w:rPr>
        <w:fldChar w:fldCharType="end"/>
      </w:r>
      <w:r w:rsidRPr="00C673E0">
        <w:rPr>
          <w:rFonts w:ascii="Times New Roman" w:hAnsi="Times New Roman"/>
          <w:sz w:val="20"/>
          <w:szCs w:val="20"/>
        </w:rPr>
        <w:t>.</w:t>
      </w:r>
    </w:p>
    <w:p w:rsidR="00076291" w:rsidRPr="00C673E0" w:rsidRDefault="003E3F44" w:rsidP="00644513">
      <w:pPr>
        <w:snapToGrid w:val="0"/>
        <w:spacing w:after="0" w:line="240" w:lineRule="auto"/>
        <w:ind w:firstLine="425"/>
        <w:jc w:val="both"/>
        <w:rPr>
          <w:rFonts w:ascii="Times New Roman" w:hAnsi="Times New Roman"/>
          <w:sz w:val="20"/>
          <w:szCs w:val="20"/>
        </w:rPr>
      </w:pPr>
      <w:r w:rsidRPr="00C673E0">
        <w:rPr>
          <w:rFonts w:ascii="Times New Roman" w:hAnsi="Times New Roman"/>
          <w:sz w:val="20"/>
          <w:szCs w:val="20"/>
        </w:rPr>
        <w:t>L</w:t>
      </w:r>
      <w:r w:rsidR="00D7754A" w:rsidRPr="00C673E0">
        <w:rPr>
          <w:rFonts w:ascii="Times New Roman" w:hAnsi="Times New Roman"/>
          <w:sz w:val="20"/>
          <w:szCs w:val="20"/>
        </w:rPr>
        <w:t xml:space="preserve">ong </w:t>
      </w:r>
      <w:r w:rsidR="002A0512" w:rsidRPr="00C673E0">
        <w:rPr>
          <w:rFonts w:ascii="Times New Roman" w:hAnsi="Times New Roman"/>
          <w:sz w:val="20"/>
          <w:szCs w:val="20"/>
        </w:rPr>
        <w:t xml:space="preserve">RNA-p21 intergenic noncoding (lincRNA-p21) is found in mice on chromosome 17 </w:t>
      </w:r>
      <w:r w:rsidR="00D7754A" w:rsidRPr="00C673E0">
        <w:rPr>
          <w:rFonts w:ascii="Times New Roman" w:hAnsi="Times New Roman"/>
          <w:sz w:val="20"/>
          <w:szCs w:val="20"/>
        </w:rPr>
        <w:t xml:space="preserve">and chromosome 6 in human. It regulates apoptosis in response to p53 signaling. It is implicated in the development and progression of human diseases, particularly in cancer </w:t>
      </w:r>
      <w:r w:rsidR="006E7628" w:rsidRPr="006E7628">
        <w:rPr>
          <w:rFonts w:ascii="Times New Roman" w:hAnsi="Times New Roman"/>
          <w:b/>
          <w:bCs/>
          <w:sz w:val="20"/>
          <w:szCs w:val="20"/>
        </w:rPr>
        <w:fldChar w:fldCharType="begin" w:fldLock="1"/>
      </w:r>
      <w:r w:rsidR="00D7754A" w:rsidRPr="00C673E0">
        <w:rPr>
          <w:rFonts w:ascii="Times New Roman" w:hAnsi="Times New Roman"/>
          <w:b/>
          <w:bCs/>
          <w:sz w:val="20"/>
          <w:szCs w:val="20"/>
        </w:rPr>
        <w:instrText>ADDIN CSL_CITATION {"citationItems":[{"id":"ITEM-1","itemData":{"DOI":"10.1093/nar/gkw599","ISSN":"13624962","abstract":"LincRNA-p21 is a long intergenic non-coding RNA (lincRNA) involved in the p53-mediated stress response. We sequenced the human lincRNA-p21 (hLincRNA-p21) and found that it has a single exon that includes inverted repeat Alu elements (IRAlus). Sense and antisense Alu elements fold independently of one another into a secondary structure that is conserved in lincRNA-p21 among primates. Moreover, the structures formed by IRAlus are involved in the localization of hLincRNA-p21 in the nucleus, where hLincRNA-p21 colocalizes with paraspeckles. Our results underscore the importance of IRAlus structures for the function of hLincRNA-p21 during the stress response.","author":[{"dropping-particle":"","family":"Chillón","given":"Isabel","non-dropping-particle":"","parse-names":false,"suffix":""},{"dropping-particle":"","family":"Pyle","given":"Anna M.","non-dropping-particle":"","parse-names":false,"suffix":""}],"container-title":"Nucleic Acids Research","id":"ITEM-1","issue":"19","issued":{"date-parts":[["2016"]]},"page":"9462-9471","title":"Inverted repeat Alu elements in the human lincRNA-p21 adopt a conserved secondary structure that regulates RNA function","type":"article-journal","volume":"44"},"uris":["http://www.mendeley.com/documents/?uuid=9d66b653-ad9d-4b66-ba2d-5f39697fe745"]},{"id":"ITEM-2","itemData":{"DOI":"10.3390/ijms160818732","ISBN":"8676922896","ISSN":"14220067","abstract":"Long noncoding RNAs (lncRNAs), which lack significant protein-coding capacity, regulate various biological processes through diverse and as yet poorly understood molecular mechanisms. However, a number of studies in the past few years have documented important functions for lncRNAs in human diseases. Among these lncRNAs, lincRNA-p21 has been proposed to be a novel regulator of cell proliferation, apoptosis and DNA damage response, and involved in the initiation and progression of human diseases. In this review, we summarize the current knowledge of lincRNA-p21, mainly focus on the known biological functions and its underlying mechanisms. Moreover, we highlight the growing body of evidences for the importance of lincRNA-p21 in diverse human diseases, which indicate lincRNA-p21 as a potential diagnostic marker and/or a valuable therapeutic target for these diseases.","author":[{"dropping-particle":"","family":"Tang","given":"Sai Sai","non-dropping-particle":"","parse-names":false,"suffix":""},{"dropping-particle":"","family":"Zheng","given":"Bi Ying","non-dropping-particle":"","parse-names":false,"suffix":""},{"dropping-particle":"","family":"Xiong","given":"Xing Dong","non-dropping-particle":"","parse-names":false,"suffix":""}],"container-title":"International Journal of Molecular Sciences","id":"ITEM-2","issue":"8","issued":{"date-parts":[["2015"]]},"page":"18732-18740","title":"LincRNA-p21: Implications in human diseases","type":"article-journal","volume":"16"},"uris":["http://www.mendeley.com/documents/?uuid=470e91ab-8dbd-4b56-ad49-dcaeb1915c00"]}],"mendeley":{"formattedCitation":"(Tang, Zheng and Xiong, 2015; Chillón and Pyle, 2016)","manualFormatting":"(Tang et al., 2015; Chillón and Pyle, 2016)","plainTextFormattedCitation":"(Tang, Zheng and Xiong, 2015; Chillón and Pyle, 2016)","previouslyFormattedCitation":"(Tang, Zheng and Xiong, 2015; Chillón and Pyle, 2016)"},"properties":{"noteIndex":0},"schema":"https://github.com/citation-style-language/schema/raw/master/csl-citation.json"}</w:instrText>
      </w:r>
      <w:r w:rsidR="006E7628" w:rsidRPr="006E7628">
        <w:rPr>
          <w:rFonts w:ascii="Times New Roman" w:hAnsi="Times New Roman"/>
          <w:b/>
          <w:bCs/>
          <w:sz w:val="20"/>
          <w:szCs w:val="20"/>
        </w:rPr>
        <w:fldChar w:fldCharType="separate"/>
      </w:r>
      <w:r w:rsidR="00D7754A" w:rsidRPr="00C673E0">
        <w:rPr>
          <w:rFonts w:ascii="Times New Roman" w:hAnsi="Times New Roman"/>
          <w:b/>
          <w:bCs/>
          <w:noProof/>
          <w:sz w:val="20"/>
          <w:szCs w:val="20"/>
        </w:rPr>
        <w:t xml:space="preserve">(Tang </w:t>
      </w:r>
      <w:r w:rsidR="00D7754A" w:rsidRPr="00C673E0">
        <w:rPr>
          <w:rFonts w:ascii="Times New Roman" w:hAnsi="Times New Roman"/>
          <w:b/>
          <w:bCs/>
          <w:i/>
          <w:iCs/>
          <w:noProof/>
          <w:sz w:val="20"/>
          <w:szCs w:val="20"/>
        </w:rPr>
        <w:t>et al</w:t>
      </w:r>
      <w:r w:rsidR="00D7754A" w:rsidRPr="00C673E0">
        <w:rPr>
          <w:rFonts w:ascii="Times New Roman" w:hAnsi="Times New Roman"/>
          <w:b/>
          <w:bCs/>
          <w:noProof/>
          <w:sz w:val="20"/>
          <w:szCs w:val="20"/>
        </w:rPr>
        <w:t>., 2015; Chillón and Pyle, 2016)</w:t>
      </w:r>
      <w:r w:rsidR="006E7628" w:rsidRPr="00C673E0">
        <w:rPr>
          <w:rFonts w:ascii="Times New Roman" w:hAnsi="Times New Roman"/>
          <w:sz w:val="20"/>
          <w:szCs w:val="20"/>
        </w:rPr>
        <w:fldChar w:fldCharType="end"/>
      </w:r>
      <w:r w:rsidR="00D7754A" w:rsidRPr="00C673E0">
        <w:rPr>
          <w:rFonts w:ascii="Times New Roman" w:hAnsi="Times New Roman"/>
          <w:sz w:val="20"/>
          <w:szCs w:val="20"/>
        </w:rPr>
        <w:t xml:space="preserve">. Interestingly, it was revealed that lincRNA-p21 is correlated with RA by </w:t>
      </w:r>
      <w:r w:rsidR="006C5F80" w:rsidRPr="00C673E0">
        <w:rPr>
          <w:rFonts w:ascii="Times New Roman" w:hAnsi="Times New Roman"/>
          <w:sz w:val="20"/>
          <w:szCs w:val="20"/>
        </w:rPr>
        <w:t>suppressing the activation of the signaling pathway of the nuclear factor kappa-B</w:t>
      </w:r>
      <w:r w:rsidRPr="00C673E0">
        <w:rPr>
          <w:rFonts w:ascii="Times New Roman" w:hAnsi="Times New Roman"/>
          <w:sz w:val="20"/>
          <w:szCs w:val="20"/>
        </w:rPr>
        <w:t xml:space="preserve"> </w:t>
      </w:r>
      <w:r w:rsidR="006C5F80" w:rsidRPr="00C673E0">
        <w:rPr>
          <w:rFonts w:ascii="Times New Roman" w:hAnsi="Times New Roman"/>
          <w:sz w:val="20"/>
          <w:szCs w:val="20"/>
        </w:rPr>
        <w:t xml:space="preserve">(NF-κB) </w:t>
      </w:r>
      <w:r w:rsidR="006E7628" w:rsidRPr="006E7628">
        <w:rPr>
          <w:rFonts w:ascii="Times New Roman" w:hAnsi="Times New Roman"/>
          <w:b/>
          <w:bCs/>
          <w:sz w:val="20"/>
          <w:szCs w:val="20"/>
        </w:rPr>
        <w:fldChar w:fldCharType="begin" w:fldLock="1"/>
      </w:r>
      <w:r w:rsidR="00D7754A" w:rsidRPr="00C673E0">
        <w:rPr>
          <w:rFonts w:ascii="Times New Roman" w:hAnsi="Times New Roman"/>
          <w:b/>
          <w:bCs/>
          <w:sz w:val="20"/>
          <w:szCs w:val="20"/>
        </w:rPr>
        <w:instrText>ADDIN CSL_CITATION {"citationItems":[{"id":"ITEM-1","itemData":{"DOI":"10.3851/IMP2701.Changes","ISBN":"0000000000000","ISSN":"00029378","PMID":"19121661","abstract":"OBJECTIVE.: We sought to determine interrelationships among expression of lincRNA-p21, a long intergenic non-coding RNA, activity of NF-κB, and responses to methotrexate in rheumatoid arthritis (RA) by analyzing patient samples and cell culture models. METHODS.: Expression levels of long non-coding RNAs and messenger RNAs were determined by quantitative reverse transcription-polymerase chain reaction. Western blotting and flow cytometry were used to quantify levels of intracellular proteins. Intracellular NF-κB was determined using an NF-κB luciferase reporter plasmid. RESULTS.: RA patients expressed reduced basal levels of lincRNA-p21 and increased basal levels of phosphorylated p65 (RelA), a marker of NF-κB activation. RA subjects not receiving MTX expressed lower levels of lincRNA-p21 and higher levels of phosphorylated p65 compared to RA subjects receiving low-dose MTX. In cell culture using primary cells and transformed cell lines, we found that MTX induced lincRNA-p21 through a DNA-PKcs-dependent mechanism. Deficiencies of PRKDC mRNA levels in RA subjects were also corrected by MTX, in vivo. Further, MTX lowered NF-κB activity in TNF-α treated cells through a DNA-PKcs-dependent mechanism via induction of lincRNA-p21. Finally, we found that depressed levels of TP53 and lincRNA-p21 increased NF-κB activity in cell lines. Decreased levels of lincRNA-p21 did not alter NFKB1 or RELA transcripts. Rather, lincRNA-p21 physically bound to RELA mRNA. CONCLUSION.: Our findings support a model whereby depressed levels of lincRNA-p21 in RA contribute to increased NF-κB activity. MTX decreases basal levels of NF-κB activity by increasing lincRNA-p21 through a DNA-PKcs dependent mechanism. ","author":[{"dropping-particle":"","family":"Spurlock","given":"Charles F.","non-dropping-particle":"","parse-names":false,"suffix":""},{"dropping-particle":"","family":"Tossberg","given":"John T.","non-dropping-particle":"","parse-names":false,"suffix":""},{"dropping-particle":"","family":"Matlock","given":"Brittany K.","non-dropping-particle":"","parse-names":false,"suffix":""},{"dropping-particle":"","family":"Olsen","given":"Nancy J.","non-dropping-particle":"","parse-names":false,"suffix":""},{"dropping-particle":"","family":"Aune","given":"Thomas M.","non-dropping-particle":"","parse-names":false,"suffix":""}],"container-title":"Arthritis Rheumatol.","id":"ITEM-1","issue":"11","issued":{"date-parts":[["2014"]]},"page":"2947-2957","title":"Methotrexate inhibits NF-κB activity via lincRNA-p21 induction","type":"article-journal","volume":"66"},"uris":["http://www.mendeley.com/documents/?uuid=c3748763-1f49-4dfd-ac0d-4c9b9647a299"]}],"mendeley":{"formattedCitation":"(Spurlock &lt;i&gt;et al.&lt;/i&gt;, 2014)","plainTextFormattedCitation":"(Spurlock et al., 2014)","previouslyFormattedCitation":"(Spurlock &lt;i&gt;et al.&lt;/i&gt;, 2014)"},"properties":{"noteIndex":0},"schema":"https://github.com/citation-style-language/schema/raw/master/csl-citation.json"}</w:instrText>
      </w:r>
      <w:r w:rsidR="006E7628" w:rsidRPr="006E7628">
        <w:rPr>
          <w:rFonts w:ascii="Times New Roman" w:hAnsi="Times New Roman"/>
          <w:b/>
          <w:bCs/>
          <w:sz w:val="20"/>
          <w:szCs w:val="20"/>
        </w:rPr>
        <w:fldChar w:fldCharType="separate"/>
      </w:r>
      <w:r w:rsidR="00D7754A" w:rsidRPr="00C673E0">
        <w:rPr>
          <w:rFonts w:ascii="Times New Roman" w:hAnsi="Times New Roman"/>
          <w:b/>
          <w:bCs/>
          <w:noProof/>
          <w:sz w:val="20"/>
          <w:szCs w:val="20"/>
        </w:rPr>
        <w:t xml:space="preserve">(Spurlock </w:t>
      </w:r>
      <w:r w:rsidR="00D7754A" w:rsidRPr="00C673E0">
        <w:rPr>
          <w:rFonts w:ascii="Times New Roman" w:hAnsi="Times New Roman"/>
          <w:b/>
          <w:bCs/>
          <w:i/>
          <w:noProof/>
          <w:sz w:val="20"/>
          <w:szCs w:val="20"/>
        </w:rPr>
        <w:t>et al.</w:t>
      </w:r>
      <w:r w:rsidR="00D7754A" w:rsidRPr="00C673E0">
        <w:rPr>
          <w:rFonts w:ascii="Times New Roman" w:hAnsi="Times New Roman"/>
          <w:b/>
          <w:bCs/>
          <w:noProof/>
          <w:sz w:val="20"/>
          <w:szCs w:val="20"/>
        </w:rPr>
        <w:t>, 2014)</w:t>
      </w:r>
      <w:r w:rsidR="006E7628" w:rsidRPr="00C673E0">
        <w:rPr>
          <w:rFonts w:ascii="Times New Roman" w:hAnsi="Times New Roman"/>
          <w:sz w:val="20"/>
          <w:szCs w:val="20"/>
        </w:rPr>
        <w:fldChar w:fldCharType="end"/>
      </w:r>
      <w:r w:rsidR="00FD063B" w:rsidRPr="00C673E0">
        <w:rPr>
          <w:rFonts w:ascii="Times New Roman" w:hAnsi="Times New Roman"/>
          <w:sz w:val="20"/>
          <w:szCs w:val="20"/>
        </w:rPr>
        <w:t>.</w:t>
      </w:r>
    </w:p>
    <w:p w:rsidR="00CE362C" w:rsidRPr="00C673E0" w:rsidRDefault="00A14469" w:rsidP="00644513">
      <w:pPr>
        <w:snapToGrid w:val="0"/>
        <w:spacing w:after="0" w:line="240" w:lineRule="auto"/>
        <w:ind w:firstLine="425"/>
        <w:jc w:val="both"/>
        <w:rPr>
          <w:rFonts w:ascii="Times New Roman" w:hAnsi="Times New Roman"/>
          <w:sz w:val="20"/>
          <w:szCs w:val="20"/>
        </w:rPr>
      </w:pPr>
      <w:r w:rsidRPr="00C673E0">
        <w:rPr>
          <w:rFonts w:ascii="Times New Roman" w:hAnsi="Times New Roman"/>
          <w:sz w:val="20"/>
          <w:szCs w:val="20"/>
        </w:rPr>
        <w:t>In the present study, we</w:t>
      </w:r>
      <w:r w:rsidRPr="00C673E0">
        <w:rPr>
          <w:rFonts w:ascii="Times New Roman" w:hAnsi="Times New Roman"/>
          <w:b/>
          <w:bCs/>
          <w:sz w:val="20"/>
          <w:szCs w:val="20"/>
        </w:rPr>
        <w:t xml:space="preserve"> </w:t>
      </w:r>
      <w:r w:rsidR="00D7754A" w:rsidRPr="00C673E0">
        <w:rPr>
          <w:rFonts w:ascii="Times New Roman" w:hAnsi="Times New Roman"/>
          <w:sz w:val="20"/>
          <w:szCs w:val="20"/>
        </w:rPr>
        <w:t xml:space="preserve">investigate serum </w:t>
      </w:r>
      <w:r w:rsidRPr="00C673E0">
        <w:rPr>
          <w:rFonts w:ascii="Times New Roman" w:hAnsi="Times New Roman"/>
          <w:sz w:val="20"/>
          <w:szCs w:val="20"/>
        </w:rPr>
        <w:t xml:space="preserve">expression </w:t>
      </w:r>
      <w:r w:rsidR="00D7754A" w:rsidRPr="00C673E0">
        <w:rPr>
          <w:rFonts w:ascii="Times New Roman" w:hAnsi="Times New Roman"/>
          <w:sz w:val="20"/>
          <w:szCs w:val="20"/>
        </w:rPr>
        <w:t xml:space="preserve">levels of lncRNA-H19 and lincRNA-p21 in </w:t>
      </w:r>
      <w:r w:rsidRPr="00C673E0">
        <w:rPr>
          <w:rFonts w:ascii="Times New Roman" w:hAnsi="Times New Roman"/>
          <w:sz w:val="20"/>
          <w:szCs w:val="20"/>
        </w:rPr>
        <w:lastRenderedPageBreak/>
        <w:t xml:space="preserve">74 </w:t>
      </w:r>
      <w:r w:rsidR="00D7754A" w:rsidRPr="00C673E0">
        <w:rPr>
          <w:rFonts w:ascii="Times New Roman" w:hAnsi="Times New Roman"/>
          <w:sz w:val="20"/>
          <w:szCs w:val="20"/>
        </w:rPr>
        <w:t xml:space="preserve">Egyptian patients with MS to </w:t>
      </w:r>
      <w:r w:rsidR="00C378A2" w:rsidRPr="00C673E0">
        <w:rPr>
          <w:rFonts w:ascii="Times New Roman" w:hAnsi="Times New Roman"/>
          <w:sz w:val="20"/>
          <w:szCs w:val="20"/>
        </w:rPr>
        <w:t>explore their role as new convenient diagnostic biomarkers an</w:t>
      </w:r>
      <w:r w:rsidR="008D6E26" w:rsidRPr="00C673E0">
        <w:rPr>
          <w:rFonts w:ascii="Times New Roman" w:hAnsi="Times New Roman"/>
          <w:sz w:val="20"/>
          <w:szCs w:val="20"/>
        </w:rPr>
        <w:t>d/or therapeutic targets for MS</w:t>
      </w:r>
      <w:r w:rsidR="00D7754A" w:rsidRPr="00C673E0">
        <w:rPr>
          <w:rFonts w:ascii="Times New Roman" w:hAnsi="Times New Roman"/>
          <w:sz w:val="20"/>
          <w:szCs w:val="20"/>
        </w:rPr>
        <w:t xml:space="preserve">. </w:t>
      </w:r>
    </w:p>
    <w:p w:rsidR="00FE2F23" w:rsidRDefault="00FE2F23" w:rsidP="00644513">
      <w:pPr>
        <w:snapToGrid w:val="0"/>
        <w:spacing w:after="0" w:line="240" w:lineRule="auto"/>
        <w:jc w:val="both"/>
        <w:rPr>
          <w:rFonts w:ascii="Times New Roman" w:hAnsi="Times New Roman" w:hint="eastAsia"/>
          <w:b/>
          <w:bCs/>
          <w:sz w:val="20"/>
          <w:szCs w:val="20"/>
          <w:lang w:eastAsia="zh-CN"/>
        </w:rPr>
      </w:pPr>
    </w:p>
    <w:p w:rsidR="00B142D3" w:rsidRPr="00C673E0" w:rsidRDefault="00CE362C" w:rsidP="00644513">
      <w:pPr>
        <w:snapToGrid w:val="0"/>
        <w:spacing w:after="0" w:line="240" w:lineRule="auto"/>
        <w:jc w:val="both"/>
        <w:rPr>
          <w:rFonts w:ascii="Times New Roman" w:hAnsi="Times New Roman"/>
          <w:b/>
          <w:bCs/>
          <w:sz w:val="20"/>
          <w:szCs w:val="20"/>
        </w:rPr>
      </w:pPr>
      <w:r w:rsidRPr="00C673E0">
        <w:rPr>
          <w:rFonts w:ascii="Times New Roman" w:hAnsi="Times New Roman"/>
          <w:b/>
          <w:bCs/>
          <w:sz w:val="20"/>
          <w:szCs w:val="20"/>
        </w:rPr>
        <w:t>Materials and methods</w:t>
      </w:r>
      <w:r w:rsidR="00D7754A" w:rsidRPr="00C673E0">
        <w:rPr>
          <w:rFonts w:ascii="Times New Roman" w:hAnsi="Times New Roman"/>
          <w:b/>
          <w:bCs/>
          <w:sz w:val="20"/>
          <w:szCs w:val="20"/>
        </w:rPr>
        <w:t xml:space="preserve"> </w:t>
      </w:r>
    </w:p>
    <w:p w:rsidR="009E43ED" w:rsidRPr="00C673E0" w:rsidRDefault="009E43ED" w:rsidP="00644513">
      <w:pPr>
        <w:snapToGrid w:val="0"/>
        <w:spacing w:after="0" w:line="240" w:lineRule="auto"/>
        <w:jc w:val="both"/>
        <w:rPr>
          <w:rFonts w:ascii="Times New Roman" w:hAnsi="Times New Roman"/>
          <w:b/>
          <w:bCs/>
          <w:sz w:val="20"/>
          <w:szCs w:val="20"/>
          <w:lang w:bidi="ar-EG"/>
        </w:rPr>
      </w:pPr>
      <w:r w:rsidRPr="00C673E0">
        <w:rPr>
          <w:rFonts w:ascii="Times New Roman" w:hAnsi="Times New Roman"/>
          <w:b/>
          <w:bCs/>
          <w:sz w:val="20"/>
          <w:szCs w:val="20"/>
          <w:lang w:bidi="ar-EG"/>
        </w:rPr>
        <w:t>Study Population</w:t>
      </w:r>
    </w:p>
    <w:p w:rsidR="00043FC4" w:rsidRPr="00C673E0" w:rsidRDefault="00A22E09" w:rsidP="00644513">
      <w:pPr>
        <w:snapToGrid w:val="0"/>
        <w:spacing w:after="0" w:line="240" w:lineRule="auto"/>
        <w:ind w:firstLine="425"/>
        <w:jc w:val="both"/>
        <w:rPr>
          <w:rFonts w:ascii="Times New Roman" w:eastAsia="Times New Roman" w:hAnsi="Times New Roman"/>
          <w:sz w:val="20"/>
          <w:szCs w:val="20"/>
          <w:lang w:bidi="ar-EG"/>
        </w:rPr>
      </w:pPr>
      <w:r w:rsidRPr="00C673E0">
        <w:rPr>
          <w:rFonts w:ascii="Times New Roman" w:hAnsi="Times New Roman"/>
          <w:sz w:val="20"/>
          <w:szCs w:val="20"/>
          <w:lang w:bidi="ar-EG"/>
        </w:rPr>
        <w:t xml:space="preserve">This case-control </w:t>
      </w:r>
      <w:r w:rsidR="00AA50B5" w:rsidRPr="00C673E0">
        <w:rPr>
          <w:rFonts w:ascii="Times New Roman" w:hAnsi="Times New Roman"/>
          <w:sz w:val="20"/>
          <w:szCs w:val="20"/>
          <w:lang w:bidi="ar-EG"/>
        </w:rPr>
        <w:t xml:space="preserve">research was </w:t>
      </w:r>
      <w:r w:rsidR="0090315D" w:rsidRPr="00C673E0">
        <w:rPr>
          <w:rFonts w:ascii="Times New Roman" w:hAnsi="Times New Roman"/>
          <w:sz w:val="20"/>
          <w:szCs w:val="20"/>
          <w:lang w:bidi="ar-EG"/>
        </w:rPr>
        <w:t>conducted</w:t>
      </w:r>
      <w:r w:rsidR="00AA50B5" w:rsidRPr="00C673E0">
        <w:rPr>
          <w:rFonts w:ascii="Times New Roman" w:hAnsi="Times New Roman"/>
          <w:sz w:val="20"/>
          <w:szCs w:val="20"/>
          <w:lang w:bidi="ar-EG"/>
        </w:rPr>
        <w:t xml:space="preserve"> on 134 participants, 74 of whom were infected</w:t>
      </w:r>
      <w:r w:rsidRPr="00C673E0">
        <w:rPr>
          <w:rFonts w:ascii="Times New Roman" w:hAnsi="Times New Roman"/>
          <w:sz w:val="20"/>
          <w:szCs w:val="20"/>
          <w:lang w:bidi="ar-EG"/>
        </w:rPr>
        <w:t xml:space="preserve"> with MS, </w:t>
      </w:r>
      <w:r w:rsidR="00937D37" w:rsidRPr="00C673E0">
        <w:rPr>
          <w:rFonts w:ascii="Times New Roman" w:hAnsi="Times New Roman"/>
          <w:sz w:val="20"/>
          <w:szCs w:val="20"/>
          <w:lang w:bidi="ar-EG"/>
        </w:rPr>
        <w:t xml:space="preserve">selected from the Multiple Sclerosis Unit-Cairo University Hospital of Kasr Al-Ainy, </w:t>
      </w:r>
      <w:r w:rsidRPr="00C673E0">
        <w:rPr>
          <w:rFonts w:ascii="Times New Roman" w:hAnsi="Times New Roman"/>
          <w:sz w:val="20"/>
          <w:szCs w:val="20"/>
          <w:lang w:bidi="ar-EG"/>
        </w:rPr>
        <w:t xml:space="preserve">and 60 age-and sex-matched healthy controls without clinical evidence, or family history of MS or any other autoimmune disorders. A written informed consent was provided by all participants (patients and controls). This </w:t>
      </w:r>
      <w:r w:rsidR="00F80C8C" w:rsidRPr="00C673E0">
        <w:rPr>
          <w:rFonts w:ascii="Times New Roman" w:hAnsi="Times New Roman"/>
          <w:sz w:val="20"/>
          <w:szCs w:val="20"/>
          <w:lang w:bidi="ar-EG"/>
        </w:rPr>
        <w:t xml:space="preserve">research was reviewed and accepted </w:t>
      </w:r>
      <w:r w:rsidRPr="00C673E0">
        <w:rPr>
          <w:rFonts w:ascii="Times New Roman" w:hAnsi="Times New Roman"/>
          <w:sz w:val="20"/>
          <w:szCs w:val="20"/>
          <w:lang w:bidi="ar-EG"/>
        </w:rPr>
        <w:t xml:space="preserve">by Ethical Committee at Faculty of Medicine, Cairo University "Ethical Code I-201016". It was accomplished in </w:t>
      </w:r>
      <w:r w:rsidR="00FB4EFC" w:rsidRPr="00C673E0">
        <w:rPr>
          <w:rFonts w:ascii="Times New Roman" w:hAnsi="Times New Roman"/>
          <w:sz w:val="20"/>
          <w:szCs w:val="20"/>
          <w:lang w:bidi="ar-EG"/>
        </w:rPr>
        <w:t>compliance with the World Medical Association Code of Ethics (Declaration of Helsinki) for human-related experiments</w:t>
      </w:r>
      <w:r w:rsidRPr="00C673E0">
        <w:rPr>
          <w:rFonts w:ascii="Times New Roman" w:hAnsi="Times New Roman"/>
          <w:sz w:val="20"/>
          <w:szCs w:val="20"/>
          <w:lang w:bidi="ar-EG"/>
        </w:rPr>
        <w:t>.</w:t>
      </w:r>
      <w:r w:rsidR="00264C78" w:rsidRPr="00C673E0">
        <w:rPr>
          <w:rFonts w:ascii="Times New Roman" w:hAnsi="Times New Roman"/>
          <w:sz w:val="20"/>
          <w:szCs w:val="20"/>
          <w:lang w:bidi="ar-EG"/>
        </w:rPr>
        <w:t xml:space="preserve"> Inclusion criteria for both groups were age </w:t>
      </w:r>
      <w:r w:rsidRPr="00C673E0">
        <w:rPr>
          <w:rFonts w:ascii="Times New Roman" w:hAnsi="Times New Roman"/>
          <w:sz w:val="20"/>
          <w:szCs w:val="20"/>
          <w:lang w:bidi="ar-EG"/>
        </w:rPr>
        <w:t>more than 18 years.</w:t>
      </w:r>
      <w:r w:rsidR="00264C78" w:rsidRPr="00C673E0">
        <w:rPr>
          <w:rFonts w:ascii="Times New Roman" w:hAnsi="Times New Roman"/>
          <w:sz w:val="20"/>
          <w:szCs w:val="20"/>
          <w:lang w:bidi="ar-EG"/>
        </w:rPr>
        <w:t xml:space="preserve"> </w:t>
      </w:r>
      <w:r w:rsidRPr="00C673E0">
        <w:rPr>
          <w:rFonts w:ascii="Times New Roman" w:hAnsi="Times New Roman"/>
          <w:sz w:val="20"/>
          <w:szCs w:val="20"/>
          <w:lang w:bidi="ar-EG"/>
        </w:rPr>
        <w:t xml:space="preserve">Patients with RRMS and SPMS </w:t>
      </w:r>
      <w:r w:rsidR="00306792" w:rsidRPr="00C673E0">
        <w:rPr>
          <w:rFonts w:ascii="Times New Roman" w:hAnsi="Times New Roman"/>
          <w:sz w:val="20"/>
          <w:szCs w:val="20"/>
          <w:lang w:bidi="ar-EG"/>
        </w:rPr>
        <w:t xml:space="preserve">met </w:t>
      </w:r>
      <w:r w:rsidRPr="00C673E0">
        <w:rPr>
          <w:rFonts w:ascii="Times New Roman" w:hAnsi="Times New Roman"/>
          <w:sz w:val="20"/>
          <w:szCs w:val="20"/>
          <w:lang w:bidi="ar-EG"/>
        </w:rPr>
        <w:t xml:space="preserve">the 2010 revised McDonald's criteria for diagnosis of MS </w:t>
      </w:r>
      <w:r w:rsidRPr="00C673E0">
        <w:rPr>
          <w:rFonts w:ascii="Times New Roman" w:hAnsi="Times New Roman"/>
          <w:b/>
          <w:bCs/>
          <w:sz w:val="20"/>
          <w:szCs w:val="20"/>
          <w:lang w:bidi="ar-EG"/>
        </w:rPr>
        <w:t xml:space="preserve">(Polman </w:t>
      </w:r>
      <w:r w:rsidRPr="00C673E0">
        <w:rPr>
          <w:rFonts w:ascii="Times New Roman" w:hAnsi="Times New Roman"/>
          <w:b/>
          <w:bCs/>
          <w:i/>
          <w:iCs/>
          <w:sz w:val="20"/>
          <w:szCs w:val="20"/>
          <w:lang w:bidi="ar-EG"/>
        </w:rPr>
        <w:t>et al</w:t>
      </w:r>
      <w:r w:rsidRPr="00C673E0">
        <w:rPr>
          <w:rFonts w:ascii="Times New Roman" w:hAnsi="Times New Roman"/>
          <w:b/>
          <w:bCs/>
          <w:sz w:val="20"/>
          <w:szCs w:val="20"/>
          <w:lang w:bidi="ar-EG"/>
        </w:rPr>
        <w:t>., 2011).</w:t>
      </w:r>
      <w:r w:rsidR="00264C78" w:rsidRPr="00C673E0">
        <w:rPr>
          <w:rFonts w:ascii="Times New Roman" w:hAnsi="Times New Roman"/>
          <w:sz w:val="20"/>
          <w:szCs w:val="20"/>
          <w:lang w:bidi="ar-EG"/>
        </w:rPr>
        <w:t xml:space="preserve"> </w:t>
      </w:r>
      <w:r w:rsidR="00F20E84" w:rsidRPr="00C673E0">
        <w:rPr>
          <w:rFonts w:ascii="Times New Roman" w:hAnsi="Times New Roman"/>
          <w:sz w:val="20"/>
          <w:szCs w:val="20"/>
          <w:lang w:bidi="ar-EG"/>
        </w:rPr>
        <w:t xml:space="preserve">We exclude </w:t>
      </w:r>
      <w:r w:rsidRPr="00C673E0">
        <w:rPr>
          <w:rFonts w:ascii="Times New Roman" w:hAnsi="Times New Roman"/>
          <w:sz w:val="20"/>
          <w:szCs w:val="20"/>
          <w:lang w:bidi="ar-EG"/>
        </w:rPr>
        <w:t>pregnant females, patients who have chronic infectious disease or recent infection within month, patients on steroid therapy, and patients with history of other autoimmune diseases or cancer.</w:t>
      </w:r>
      <w:r w:rsidR="00043FC4" w:rsidRPr="00C673E0">
        <w:rPr>
          <w:rFonts w:ascii="Times New Roman" w:eastAsia="Times New Roman" w:hAnsi="Times New Roman"/>
          <w:sz w:val="20"/>
          <w:szCs w:val="20"/>
          <w:lang w:bidi="ar-EG"/>
        </w:rPr>
        <w:t xml:space="preserve"> </w:t>
      </w:r>
    </w:p>
    <w:p w:rsidR="00043FC4" w:rsidRPr="00C673E0" w:rsidRDefault="00043FC4" w:rsidP="006D0665">
      <w:pPr>
        <w:snapToGrid w:val="0"/>
        <w:spacing w:after="0" w:line="240" w:lineRule="auto"/>
        <w:jc w:val="both"/>
        <w:rPr>
          <w:rFonts w:ascii="Times New Roman" w:hAnsi="Times New Roman"/>
          <w:b/>
          <w:bCs/>
          <w:sz w:val="20"/>
          <w:szCs w:val="20"/>
          <w:lang w:bidi="ar-EG"/>
        </w:rPr>
      </w:pPr>
      <w:r w:rsidRPr="00C673E0">
        <w:rPr>
          <w:rFonts w:ascii="Times New Roman" w:hAnsi="Times New Roman"/>
          <w:b/>
          <w:bCs/>
          <w:sz w:val="20"/>
          <w:szCs w:val="20"/>
          <w:lang w:bidi="ar-EG"/>
        </w:rPr>
        <w:t xml:space="preserve">The following steps were done for all study subjects: </w:t>
      </w:r>
    </w:p>
    <w:p w:rsidR="000F71AB" w:rsidRPr="00C673E0" w:rsidRDefault="000F71AB" w:rsidP="00644513">
      <w:pPr>
        <w:snapToGrid w:val="0"/>
        <w:spacing w:after="0" w:line="240" w:lineRule="auto"/>
        <w:jc w:val="center"/>
        <w:rPr>
          <w:rFonts w:ascii="Times New Roman" w:hAnsi="Times New Roman"/>
          <w:b/>
          <w:bCs/>
          <w:sz w:val="20"/>
          <w:szCs w:val="20"/>
          <w:lang w:bidi="ar-EG"/>
        </w:rPr>
        <w:sectPr w:rsidR="000F71AB" w:rsidRPr="00C673E0" w:rsidSect="00044944">
          <w:headerReference w:type="default" r:id="rId14"/>
          <w:pgSz w:w="12240" w:h="15840" w:code="9"/>
          <w:pgMar w:top="1440" w:right="1440" w:bottom="1440" w:left="1440" w:header="720" w:footer="720" w:gutter="0"/>
          <w:cols w:num="2" w:space="550"/>
          <w:docGrid w:linePitch="360"/>
        </w:sectPr>
      </w:pPr>
    </w:p>
    <w:p w:rsidR="00043FC4" w:rsidRPr="00C673E0" w:rsidRDefault="00043FC4" w:rsidP="00644513">
      <w:pPr>
        <w:snapToGrid w:val="0"/>
        <w:spacing w:after="0" w:line="240" w:lineRule="auto"/>
        <w:jc w:val="center"/>
        <w:rPr>
          <w:rFonts w:ascii="Times New Roman" w:hAnsi="Times New Roman"/>
          <w:b/>
          <w:bCs/>
          <w:sz w:val="20"/>
          <w:szCs w:val="20"/>
          <w:lang w:bidi="ar-EG"/>
        </w:rPr>
      </w:pPr>
    </w:p>
    <w:p w:rsidR="00043FC4" w:rsidRPr="00C673E0" w:rsidRDefault="00043FC4" w:rsidP="00644513">
      <w:pPr>
        <w:snapToGrid w:val="0"/>
        <w:spacing w:after="0" w:line="240" w:lineRule="auto"/>
        <w:jc w:val="center"/>
        <w:rPr>
          <w:rFonts w:ascii="Times New Roman" w:hAnsi="Times New Roman"/>
          <w:sz w:val="20"/>
          <w:szCs w:val="20"/>
          <w:lang w:bidi="ar-EG"/>
        </w:rPr>
      </w:pPr>
      <w:r w:rsidRPr="00C673E0">
        <w:rPr>
          <w:rFonts w:ascii="Times New Roman" w:hAnsi="Times New Roman"/>
          <w:b/>
          <w:bCs/>
          <w:sz w:val="20"/>
          <w:szCs w:val="20"/>
          <w:lang w:bidi="ar-EG"/>
        </w:rPr>
        <w:t xml:space="preserve">Table (1): </w:t>
      </w:r>
      <w:r w:rsidR="00102EAD" w:rsidRPr="00C673E0">
        <w:rPr>
          <w:rFonts w:ascii="Times New Roman" w:hAnsi="Times New Roman"/>
          <w:b/>
          <w:bCs/>
          <w:sz w:val="20"/>
          <w:szCs w:val="20"/>
          <w:lang w:bidi="ar-EG"/>
        </w:rPr>
        <w:t>Study subjects' demographic and clinical characteristics: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169"/>
        <w:gridCol w:w="3449"/>
        <w:gridCol w:w="1090"/>
        <w:gridCol w:w="1061"/>
        <w:gridCol w:w="864"/>
        <w:gridCol w:w="841"/>
      </w:tblGrid>
      <w:tr w:rsidR="000C0E36" w:rsidRPr="00C673E0" w:rsidTr="006D0665">
        <w:trPr>
          <w:cantSplit/>
          <w:jc w:val="center"/>
        </w:trPr>
        <w:tc>
          <w:tcPr>
            <w:tcW w:w="2965" w:type="pct"/>
            <w:gridSpan w:val="2"/>
            <w:shd w:val="clear" w:color="auto" w:fill="E3E2E7"/>
            <w:vAlign w:val="center"/>
            <w:hideMark/>
          </w:tcPr>
          <w:p w:rsidR="00043FC4" w:rsidRPr="00C673E0" w:rsidRDefault="00043FC4" w:rsidP="006D0665">
            <w:pPr>
              <w:snapToGrid w:val="0"/>
              <w:spacing w:after="0" w:line="240" w:lineRule="auto"/>
              <w:jc w:val="both"/>
              <w:rPr>
                <w:rFonts w:ascii="Times New Roman" w:eastAsia="Times New Roman" w:hAnsi="Times New Roman"/>
                <w:b/>
                <w:bCs/>
                <w:sz w:val="20"/>
                <w:szCs w:val="20"/>
              </w:rPr>
            </w:pPr>
            <w:r w:rsidRPr="00C673E0">
              <w:rPr>
                <w:rFonts w:ascii="Times New Roman" w:eastAsia="Times New Roman" w:hAnsi="Times New Roman"/>
                <w:b/>
                <w:bCs/>
                <w:sz w:val="20"/>
                <w:szCs w:val="20"/>
              </w:rPr>
              <w:t>Variables</w:t>
            </w:r>
          </w:p>
        </w:tc>
        <w:tc>
          <w:tcPr>
            <w:tcW w:w="1135" w:type="pct"/>
            <w:gridSpan w:val="2"/>
            <w:shd w:val="clear" w:color="auto" w:fill="E3E2E7"/>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lang w:bidi="ar-EG"/>
              </w:rPr>
            </w:pPr>
            <w:r w:rsidRPr="00C673E0">
              <w:rPr>
                <w:rFonts w:ascii="Times New Roman" w:eastAsia="Times New Roman" w:hAnsi="Times New Roman"/>
                <w:b/>
                <w:bCs/>
                <w:sz w:val="20"/>
                <w:szCs w:val="20"/>
              </w:rPr>
              <w:t>MS patients</w:t>
            </w:r>
            <w:r w:rsidR="001605CD" w:rsidRPr="00C673E0">
              <w:rPr>
                <w:rFonts w:ascii="Times New Roman" w:eastAsia="Times New Roman" w:hAnsi="Times New Roman"/>
                <w:b/>
                <w:bCs/>
                <w:sz w:val="20"/>
                <w:szCs w:val="20"/>
              </w:rPr>
              <w:t xml:space="preserve"> </w:t>
            </w:r>
            <w:r w:rsidRPr="00C673E0">
              <w:rPr>
                <w:rFonts w:ascii="Times New Roman" w:eastAsia="Times New Roman" w:hAnsi="Times New Roman"/>
                <w:sz w:val="20"/>
                <w:szCs w:val="20"/>
                <w:lang w:bidi="ar-EG"/>
              </w:rPr>
              <w:t>(n=74)</w:t>
            </w:r>
          </w:p>
        </w:tc>
        <w:tc>
          <w:tcPr>
            <w:tcW w:w="899" w:type="pct"/>
            <w:gridSpan w:val="2"/>
            <w:shd w:val="clear" w:color="auto" w:fill="E3E2E7"/>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b/>
                <w:bCs/>
                <w:sz w:val="20"/>
                <w:szCs w:val="20"/>
              </w:rPr>
              <w:t>Control</w:t>
            </w:r>
            <w:r w:rsidR="001605CD" w:rsidRPr="00C673E0">
              <w:rPr>
                <w:rFonts w:ascii="Times New Roman" w:eastAsia="Times New Roman" w:hAnsi="Times New Roman"/>
                <w:sz w:val="20"/>
                <w:szCs w:val="20"/>
              </w:rPr>
              <w:t xml:space="preserve"> </w:t>
            </w:r>
            <w:r w:rsidRPr="00C673E0">
              <w:rPr>
                <w:rFonts w:ascii="Times New Roman" w:eastAsia="Times New Roman" w:hAnsi="Times New Roman"/>
                <w:sz w:val="20"/>
                <w:szCs w:val="20"/>
                <w:lang w:bidi="ar-EG"/>
              </w:rPr>
              <w:t>(n=60)</w:t>
            </w:r>
          </w:p>
        </w:tc>
      </w:tr>
      <w:tr w:rsidR="000C0E36" w:rsidRPr="00C673E0" w:rsidTr="006D0665">
        <w:trPr>
          <w:cantSplit/>
          <w:jc w:val="center"/>
        </w:trPr>
        <w:tc>
          <w:tcPr>
            <w:tcW w:w="2965" w:type="pct"/>
            <w:gridSpan w:val="2"/>
            <w:shd w:val="clear" w:color="auto" w:fill="E3E2E7"/>
            <w:vAlign w:val="center"/>
            <w:hideMark/>
          </w:tcPr>
          <w:p w:rsidR="00043FC4" w:rsidRPr="00C673E0" w:rsidRDefault="00043FC4" w:rsidP="006D0665">
            <w:pPr>
              <w:snapToGrid w:val="0"/>
              <w:spacing w:after="0" w:line="240" w:lineRule="auto"/>
              <w:jc w:val="both"/>
              <w:rPr>
                <w:rFonts w:ascii="Times New Roman" w:eastAsia="Times New Roman" w:hAnsi="Times New Roman"/>
                <w:b/>
                <w:bCs/>
                <w:sz w:val="20"/>
                <w:szCs w:val="20"/>
                <w:lang w:bidi="ar-EG"/>
              </w:rPr>
            </w:pPr>
            <w:r w:rsidRPr="00C673E0">
              <w:rPr>
                <w:rFonts w:ascii="Times New Roman" w:eastAsia="Times New Roman" w:hAnsi="Times New Roman"/>
                <w:b/>
                <w:bCs/>
                <w:sz w:val="20"/>
                <w:szCs w:val="20"/>
              </w:rPr>
              <w:t>Age [years]</w:t>
            </w:r>
            <w:r w:rsidR="001605CD" w:rsidRPr="00C673E0">
              <w:rPr>
                <w:rFonts w:ascii="Times New Roman" w:eastAsiaTheme="minorEastAsia" w:hAnsi="Times New Roman"/>
                <w:b/>
                <w:bCs/>
                <w:sz w:val="20"/>
                <w:szCs w:val="20"/>
                <w:lang w:eastAsia="zh-CN"/>
              </w:rPr>
              <w:t xml:space="preserve"> </w:t>
            </w:r>
            <w:r w:rsidRPr="00C673E0">
              <w:rPr>
                <w:rFonts w:ascii="Times New Roman" w:eastAsia="Times New Roman" w:hAnsi="Times New Roman"/>
                <w:sz w:val="20"/>
                <w:szCs w:val="20"/>
              </w:rPr>
              <w:t>Mean ± standard deviation (SD</w:t>
            </w:r>
            <w:r w:rsidRPr="00C673E0">
              <w:rPr>
                <w:rFonts w:ascii="Times New Roman" w:eastAsia="Times New Roman" w:hAnsi="Times New Roman"/>
                <w:b/>
                <w:bCs/>
                <w:sz w:val="20"/>
                <w:szCs w:val="20"/>
                <w:lang w:bidi="ar-EG"/>
              </w:rPr>
              <w:t>)</w:t>
            </w:r>
          </w:p>
        </w:tc>
        <w:tc>
          <w:tcPr>
            <w:tcW w:w="1135" w:type="pct"/>
            <w:gridSpan w:val="2"/>
            <w:shd w:val="clear" w:color="auto" w:fill="E3E2E7"/>
            <w:vAlign w:val="center"/>
            <w:hideMark/>
          </w:tcPr>
          <w:p w:rsidR="00043FC4" w:rsidRPr="00C673E0" w:rsidRDefault="00043FC4" w:rsidP="006D0665">
            <w:pPr>
              <w:snapToGrid w:val="0"/>
              <w:spacing w:after="0" w:line="240" w:lineRule="auto"/>
              <w:jc w:val="both"/>
              <w:rPr>
                <w:rFonts w:ascii="Times New Roman" w:eastAsia="Times New Roman" w:hAnsi="Times New Roman"/>
                <w:b/>
                <w:bCs/>
                <w:sz w:val="20"/>
                <w:szCs w:val="20"/>
                <w:lang w:bidi="ar-EG"/>
              </w:rPr>
            </w:pPr>
            <w:r w:rsidRPr="00C673E0">
              <w:rPr>
                <w:rFonts w:ascii="Times New Roman" w:eastAsia="Times New Roman" w:hAnsi="Times New Roman"/>
                <w:sz w:val="20"/>
                <w:szCs w:val="20"/>
              </w:rPr>
              <w:t>32.5±8.1</w:t>
            </w:r>
          </w:p>
        </w:tc>
        <w:tc>
          <w:tcPr>
            <w:tcW w:w="899" w:type="pct"/>
            <w:gridSpan w:val="2"/>
            <w:shd w:val="clear" w:color="auto" w:fill="E3E2E7"/>
            <w:vAlign w:val="center"/>
            <w:hideMark/>
          </w:tcPr>
          <w:p w:rsidR="00043FC4" w:rsidRPr="00C673E0" w:rsidRDefault="00043FC4" w:rsidP="006D0665">
            <w:pPr>
              <w:snapToGrid w:val="0"/>
              <w:spacing w:after="0" w:line="240" w:lineRule="auto"/>
              <w:jc w:val="both"/>
              <w:rPr>
                <w:rFonts w:ascii="Times New Roman" w:eastAsia="Times New Roman" w:hAnsi="Times New Roman"/>
                <w:b/>
                <w:bCs/>
                <w:sz w:val="20"/>
                <w:szCs w:val="20"/>
              </w:rPr>
            </w:pPr>
            <w:r w:rsidRPr="00C673E0">
              <w:rPr>
                <w:rFonts w:ascii="Times New Roman" w:eastAsia="Times New Roman" w:hAnsi="Times New Roman"/>
                <w:sz w:val="20"/>
                <w:szCs w:val="20"/>
              </w:rPr>
              <w:t>30.2±8.9</w:t>
            </w:r>
          </w:p>
        </w:tc>
      </w:tr>
      <w:tr w:rsidR="000C0E36" w:rsidRPr="00C673E0" w:rsidTr="006D0665">
        <w:trPr>
          <w:cantSplit/>
          <w:jc w:val="center"/>
        </w:trPr>
        <w:tc>
          <w:tcPr>
            <w:tcW w:w="2965" w:type="pct"/>
            <w:gridSpan w:val="2"/>
            <w:shd w:val="clear" w:color="auto" w:fill="E3E2E7"/>
            <w:vAlign w:val="center"/>
          </w:tcPr>
          <w:p w:rsidR="00043FC4" w:rsidRPr="00C673E0" w:rsidRDefault="00043FC4" w:rsidP="006D0665">
            <w:pPr>
              <w:snapToGrid w:val="0"/>
              <w:spacing w:after="0" w:line="240" w:lineRule="auto"/>
              <w:jc w:val="both"/>
              <w:rPr>
                <w:rFonts w:ascii="Times New Roman" w:eastAsia="Times New Roman" w:hAnsi="Times New Roman"/>
                <w:sz w:val="20"/>
                <w:szCs w:val="20"/>
              </w:rPr>
            </w:pPr>
          </w:p>
        </w:tc>
        <w:tc>
          <w:tcPr>
            <w:tcW w:w="575" w:type="pct"/>
            <w:shd w:val="clear" w:color="auto" w:fill="E3E2E7"/>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b/>
                <w:bCs/>
                <w:sz w:val="20"/>
                <w:szCs w:val="20"/>
              </w:rPr>
              <w:t>Count</w:t>
            </w:r>
          </w:p>
        </w:tc>
        <w:tc>
          <w:tcPr>
            <w:tcW w:w="560" w:type="pct"/>
            <w:shd w:val="clear" w:color="auto" w:fill="E3E2E7"/>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b/>
                <w:bCs/>
                <w:sz w:val="20"/>
                <w:szCs w:val="20"/>
              </w:rPr>
              <w:t>%</w:t>
            </w:r>
          </w:p>
        </w:tc>
        <w:tc>
          <w:tcPr>
            <w:tcW w:w="456" w:type="pct"/>
            <w:shd w:val="clear" w:color="auto" w:fill="E3E2E7"/>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b/>
                <w:bCs/>
                <w:sz w:val="20"/>
                <w:szCs w:val="20"/>
              </w:rPr>
              <w:t>Count</w:t>
            </w:r>
          </w:p>
        </w:tc>
        <w:tc>
          <w:tcPr>
            <w:tcW w:w="444" w:type="pct"/>
            <w:shd w:val="clear" w:color="auto" w:fill="E3E2E7"/>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b/>
                <w:bCs/>
                <w:sz w:val="20"/>
                <w:szCs w:val="20"/>
              </w:rPr>
              <w:t>%</w:t>
            </w:r>
          </w:p>
        </w:tc>
      </w:tr>
      <w:tr w:rsidR="003E3F44" w:rsidRPr="00C673E0" w:rsidTr="006D0665">
        <w:trPr>
          <w:cantSplit/>
          <w:jc w:val="center"/>
        </w:trPr>
        <w:tc>
          <w:tcPr>
            <w:tcW w:w="1145" w:type="pct"/>
            <w:vMerge w:val="restart"/>
            <w:shd w:val="clear" w:color="auto" w:fill="E3E2E7"/>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b/>
                <w:bCs/>
                <w:sz w:val="20"/>
                <w:szCs w:val="20"/>
              </w:rPr>
              <w:t>Gender</w:t>
            </w:r>
          </w:p>
        </w:tc>
        <w:tc>
          <w:tcPr>
            <w:tcW w:w="1820" w:type="pct"/>
            <w:shd w:val="clear" w:color="auto" w:fill="E3E2E7"/>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b/>
                <w:bCs/>
                <w:sz w:val="20"/>
                <w:szCs w:val="20"/>
              </w:rPr>
              <w:t>Female</w:t>
            </w:r>
          </w:p>
        </w:tc>
        <w:tc>
          <w:tcPr>
            <w:tcW w:w="575" w:type="pct"/>
            <w:shd w:val="clear" w:color="auto" w:fill="FFFFFF"/>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sz w:val="20"/>
                <w:szCs w:val="20"/>
              </w:rPr>
              <w:t>62</w:t>
            </w:r>
          </w:p>
        </w:tc>
        <w:tc>
          <w:tcPr>
            <w:tcW w:w="560" w:type="pct"/>
            <w:shd w:val="clear" w:color="auto" w:fill="FFFFFF"/>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sz w:val="20"/>
                <w:szCs w:val="20"/>
              </w:rPr>
              <w:t>83.8%</w:t>
            </w:r>
          </w:p>
        </w:tc>
        <w:tc>
          <w:tcPr>
            <w:tcW w:w="456" w:type="pct"/>
            <w:shd w:val="clear" w:color="auto" w:fill="FFFFFF"/>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sz w:val="20"/>
                <w:szCs w:val="20"/>
              </w:rPr>
              <w:t>48</w:t>
            </w:r>
          </w:p>
        </w:tc>
        <w:tc>
          <w:tcPr>
            <w:tcW w:w="444" w:type="pct"/>
            <w:shd w:val="clear" w:color="auto" w:fill="FFFFFF"/>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sz w:val="20"/>
                <w:szCs w:val="20"/>
              </w:rPr>
              <w:t>80.0%</w:t>
            </w:r>
          </w:p>
        </w:tc>
      </w:tr>
      <w:tr w:rsidR="003E3F44" w:rsidRPr="00C673E0" w:rsidTr="006D0665">
        <w:trPr>
          <w:cantSplit/>
          <w:jc w:val="center"/>
        </w:trPr>
        <w:tc>
          <w:tcPr>
            <w:tcW w:w="1145" w:type="pct"/>
            <w:vMerge/>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p>
        </w:tc>
        <w:tc>
          <w:tcPr>
            <w:tcW w:w="1820" w:type="pct"/>
            <w:shd w:val="clear" w:color="auto" w:fill="E3E2E7"/>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b/>
                <w:bCs/>
                <w:sz w:val="20"/>
                <w:szCs w:val="20"/>
              </w:rPr>
              <w:t>Male</w:t>
            </w:r>
          </w:p>
        </w:tc>
        <w:tc>
          <w:tcPr>
            <w:tcW w:w="575" w:type="pct"/>
            <w:shd w:val="clear" w:color="auto" w:fill="FFFFFF"/>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sz w:val="20"/>
                <w:szCs w:val="20"/>
              </w:rPr>
              <w:t>12</w:t>
            </w:r>
          </w:p>
        </w:tc>
        <w:tc>
          <w:tcPr>
            <w:tcW w:w="560" w:type="pct"/>
            <w:shd w:val="clear" w:color="auto" w:fill="FFFFFF"/>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sz w:val="20"/>
                <w:szCs w:val="20"/>
              </w:rPr>
              <w:t>16.2%</w:t>
            </w:r>
          </w:p>
        </w:tc>
        <w:tc>
          <w:tcPr>
            <w:tcW w:w="456" w:type="pct"/>
            <w:shd w:val="clear" w:color="auto" w:fill="FFFFFF"/>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sz w:val="20"/>
                <w:szCs w:val="20"/>
              </w:rPr>
              <w:t>12</w:t>
            </w:r>
          </w:p>
        </w:tc>
        <w:tc>
          <w:tcPr>
            <w:tcW w:w="444" w:type="pct"/>
            <w:shd w:val="clear" w:color="auto" w:fill="FFFFFF"/>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sz w:val="20"/>
                <w:szCs w:val="20"/>
              </w:rPr>
              <w:t>20.0%</w:t>
            </w:r>
          </w:p>
        </w:tc>
      </w:tr>
      <w:tr w:rsidR="003E3F44" w:rsidRPr="00C673E0" w:rsidTr="006D0665">
        <w:trPr>
          <w:cantSplit/>
          <w:jc w:val="center"/>
        </w:trPr>
        <w:tc>
          <w:tcPr>
            <w:tcW w:w="1145" w:type="pct"/>
            <w:vMerge w:val="restart"/>
            <w:shd w:val="clear" w:color="auto" w:fill="E3E2E7"/>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b/>
                <w:bCs/>
                <w:sz w:val="20"/>
                <w:szCs w:val="20"/>
              </w:rPr>
              <w:t>Family history</w:t>
            </w:r>
          </w:p>
        </w:tc>
        <w:tc>
          <w:tcPr>
            <w:tcW w:w="1820" w:type="pct"/>
            <w:shd w:val="clear" w:color="auto" w:fill="E3E2E7"/>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b/>
                <w:bCs/>
                <w:sz w:val="20"/>
                <w:szCs w:val="20"/>
              </w:rPr>
              <w:t>Yes</w:t>
            </w:r>
          </w:p>
        </w:tc>
        <w:tc>
          <w:tcPr>
            <w:tcW w:w="575" w:type="pct"/>
            <w:shd w:val="clear" w:color="auto" w:fill="FFFFFF"/>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sz w:val="20"/>
                <w:szCs w:val="20"/>
              </w:rPr>
              <w:t>4</w:t>
            </w:r>
          </w:p>
        </w:tc>
        <w:tc>
          <w:tcPr>
            <w:tcW w:w="560" w:type="pct"/>
            <w:shd w:val="clear" w:color="auto" w:fill="FFFFFF"/>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sz w:val="20"/>
                <w:szCs w:val="20"/>
              </w:rPr>
              <w:t>5.4%</w:t>
            </w:r>
          </w:p>
        </w:tc>
        <w:tc>
          <w:tcPr>
            <w:tcW w:w="456" w:type="pct"/>
            <w:shd w:val="clear" w:color="auto" w:fill="FFFFFF"/>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sz w:val="20"/>
                <w:szCs w:val="20"/>
              </w:rPr>
              <w:t>-----</w:t>
            </w:r>
          </w:p>
        </w:tc>
        <w:tc>
          <w:tcPr>
            <w:tcW w:w="444" w:type="pct"/>
            <w:shd w:val="clear" w:color="auto" w:fill="FFFFFF"/>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sz w:val="20"/>
                <w:szCs w:val="20"/>
              </w:rPr>
              <w:t>-----</w:t>
            </w:r>
          </w:p>
        </w:tc>
      </w:tr>
      <w:tr w:rsidR="003E3F44" w:rsidRPr="00C673E0" w:rsidTr="006D0665">
        <w:trPr>
          <w:cantSplit/>
          <w:jc w:val="center"/>
        </w:trPr>
        <w:tc>
          <w:tcPr>
            <w:tcW w:w="1145" w:type="pct"/>
            <w:vMerge/>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p>
        </w:tc>
        <w:tc>
          <w:tcPr>
            <w:tcW w:w="1820" w:type="pct"/>
            <w:shd w:val="clear" w:color="auto" w:fill="E3E2E7"/>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b/>
                <w:bCs/>
                <w:sz w:val="20"/>
                <w:szCs w:val="20"/>
              </w:rPr>
              <w:t>No</w:t>
            </w:r>
          </w:p>
        </w:tc>
        <w:tc>
          <w:tcPr>
            <w:tcW w:w="575" w:type="pct"/>
            <w:shd w:val="clear" w:color="auto" w:fill="FFFFFF"/>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sz w:val="20"/>
                <w:szCs w:val="20"/>
              </w:rPr>
              <w:t>70</w:t>
            </w:r>
          </w:p>
        </w:tc>
        <w:tc>
          <w:tcPr>
            <w:tcW w:w="560" w:type="pct"/>
            <w:shd w:val="clear" w:color="auto" w:fill="FFFFFF"/>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sz w:val="20"/>
                <w:szCs w:val="20"/>
              </w:rPr>
              <w:t>94.6%</w:t>
            </w:r>
          </w:p>
        </w:tc>
        <w:tc>
          <w:tcPr>
            <w:tcW w:w="456" w:type="pct"/>
            <w:shd w:val="clear" w:color="auto" w:fill="FFFFFF"/>
            <w:vAlign w:val="center"/>
            <w:hideMark/>
          </w:tcPr>
          <w:p w:rsidR="00043FC4" w:rsidRPr="00C673E0" w:rsidRDefault="00043FC4" w:rsidP="006D0665">
            <w:pPr>
              <w:snapToGrid w:val="0"/>
              <w:spacing w:after="0" w:line="240" w:lineRule="auto"/>
              <w:jc w:val="both"/>
              <w:rPr>
                <w:rFonts w:ascii="Times New Roman" w:eastAsia="Calibri" w:hAnsi="Times New Roman"/>
                <w:sz w:val="20"/>
                <w:szCs w:val="20"/>
              </w:rPr>
            </w:pPr>
            <w:r w:rsidRPr="00C673E0">
              <w:rPr>
                <w:rFonts w:ascii="Times New Roman" w:eastAsia="Times New Roman" w:hAnsi="Times New Roman"/>
                <w:sz w:val="20"/>
                <w:szCs w:val="20"/>
              </w:rPr>
              <w:t>-----</w:t>
            </w:r>
          </w:p>
        </w:tc>
        <w:tc>
          <w:tcPr>
            <w:tcW w:w="444" w:type="pct"/>
            <w:shd w:val="clear" w:color="auto" w:fill="FFFFFF"/>
            <w:vAlign w:val="center"/>
            <w:hideMark/>
          </w:tcPr>
          <w:p w:rsidR="00043FC4" w:rsidRPr="00C673E0" w:rsidRDefault="00043FC4" w:rsidP="006D0665">
            <w:pPr>
              <w:snapToGrid w:val="0"/>
              <w:spacing w:after="0" w:line="240" w:lineRule="auto"/>
              <w:jc w:val="both"/>
              <w:rPr>
                <w:rFonts w:ascii="Times New Roman" w:eastAsia="Calibri" w:hAnsi="Times New Roman"/>
                <w:sz w:val="20"/>
                <w:szCs w:val="20"/>
              </w:rPr>
            </w:pPr>
            <w:r w:rsidRPr="00C673E0">
              <w:rPr>
                <w:rFonts w:ascii="Times New Roman" w:eastAsia="Times New Roman" w:hAnsi="Times New Roman"/>
                <w:sz w:val="20"/>
                <w:szCs w:val="20"/>
              </w:rPr>
              <w:t>-----</w:t>
            </w:r>
          </w:p>
        </w:tc>
      </w:tr>
      <w:tr w:rsidR="003E3F44" w:rsidRPr="00C673E0" w:rsidTr="006D0665">
        <w:trPr>
          <w:cantSplit/>
          <w:jc w:val="center"/>
        </w:trPr>
        <w:tc>
          <w:tcPr>
            <w:tcW w:w="1145" w:type="pct"/>
            <w:vMerge w:val="restart"/>
            <w:shd w:val="clear" w:color="auto" w:fill="E3E2E7"/>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b/>
                <w:bCs/>
                <w:sz w:val="20"/>
                <w:szCs w:val="20"/>
              </w:rPr>
              <w:t>MS Type</w:t>
            </w:r>
          </w:p>
        </w:tc>
        <w:tc>
          <w:tcPr>
            <w:tcW w:w="1820" w:type="pct"/>
            <w:shd w:val="clear" w:color="auto" w:fill="E3E2E7"/>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b/>
                <w:bCs/>
                <w:sz w:val="20"/>
                <w:szCs w:val="20"/>
              </w:rPr>
              <w:t>RRMS</w:t>
            </w:r>
          </w:p>
        </w:tc>
        <w:tc>
          <w:tcPr>
            <w:tcW w:w="575" w:type="pct"/>
            <w:shd w:val="clear" w:color="auto" w:fill="FFFFFF"/>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sz w:val="20"/>
                <w:szCs w:val="20"/>
              </w:rPr>
              <w:t>54</w:t>
            </w:r>
          </w:p>
        </w:tc>
        <w:tc>
          <w:tcPr>
            <w:tcW w:w="560" w:type="pct"/>
            <w:shd w:val="clear" w:color="auto" w:fill="FFFFFF"/>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sz w:val="20"/>
                <w:szCs w:val="20"/>
              </w:rPr>
              <w:t>73.0%</w:t>
            </w:r>
          </w:p>
        </w:tc>
        <w:tc>
          <w:tcPr>
            <w:tcW w:w="456" w:type="pct"/>
            <w:shd w:val="clear" w:color="auto" w:fill="FFFFFF"/>
            <w:vAlign w:val="center"/>
            <w:hideMark/>
          </w:tcPr>
          <w:p w:rsidR="00043FC4" w:rsidRPr="00C673E0" w:rsidRDefault="00043FC4" w:rsidP="006D0665">
            <w:pPr>
              <w:snapToGrid w:val="0"/>
              <w:spacing w:after="0" w:line="240" w:lineRule="auto"/>
              <w:jc w:val="both"/>
              <w:rPr>
                <w:rFonts w:ascii="Times New Roman" w:eastAsia="Calibri" w:hAnsi="Times New Roman"/>
                <w:sz w:val="20"/>
                <w:szCs w:val="20"/>
              </w:rPr>
            </w:pPr>
            <w:r w:rsidRPr="00C673E0">
              <w:rPr>
                <w:rFonts w:ascii="Times New Roman" w:eastAsia="Times New Roman" w:hAnsi="Times New Roman"/>
                <w:sz w:val="20"/>
                <w:szCs w:val="20"/>
              </w:rPr>
              <w:t>-----</w:t>
            </w:r>
          </w:p>
        </w:tc>
        <w:tc>
          <w:tcPr>
            <w:tcW w:w="444" w:type="pct"/>
            <w:shd w:val="clear" w:color="auto" w:fill="FFFFFF"/>
            <w:vAlign w:val="center"/>
            <w:hideMark/>
          </w:tcPr>
          <w:p w:rsidR="00043FC4" w:rsidRPr="00C673E0" w:rsidRDefault="00043FC4" w:rsidP="006D0665">
            <w:pPr>
              <w:snapToGrid w:val="0"/>
              <w:spacing w:after="0" w:line="240" w:lineRule="auto"/>
              <w:jc w:val="both"/>
              <w:rPr>
                <w:rFonts w:ascii="Times New Roman" w:eastAsia="Calibri" w:hAnsi="Times New Roman"/>
                <w:sz w:val="20"/>
                <w:szCs w:val="20"/>
              </w:rPr>
            </w:pPr>
            <w:r w:rsidRPr="00C673E0">
              <w:rPr>
                <w:rFonts w:ascii="Times New Roman" w:eastAsia="Times New Roman" w:hAnsi="Times New Roman"/>
                <w:sz w:val="20"/>
                <w:szCs w:val="20"/>
              </w:rPr>
              <w:t>-----</w:t>
            </w:r>
          </w:p>
        </w:tc>
      </w:tr>
      <w:tr w:rsidR="003E3F44" w:rsidRPr="00C673E0" w:rsidTr="006D0665">
        <w:trPr>
          <w:cantSplit/>
          <w:jc w:val="center"/>
        </w:trPr>
        <w:tc>
          <w:tcPr>
            <w:tcW w:w="1145" w:type="pct"/>
            <w:vMerge/>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p>
        </w:tc>
        <w:tc>
          <w:tcPr>
            <w:tcW w:w="1820" w:type="pct"/>
            <w:shd w:val="clear" w:color="auto" w:fill="E3E2E7"/>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b/>
                <w:bCs/>
                <w:sz w:val="20"/>
                <w:szCs w:val="20"/>
              </w:rPr>
              <w:t>SPMS</w:t>
            </w:r>
          </w:p>
        </w:tc>
        <w:tc>
          <w:tcPr>
            <w:tcW w:w="575" w:type="pct"/>
            <w:shd w:val="clear" w:color="auto" w:fill="FFFFFF"/>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sz w:val="20"/>
                <w:szCs w:val="20"/>
              </w:rPr>
              <w:t>20</w:t>
            </w:r>
          </w:p>
        </w:tc>
        <w:tc>
          <w:tcPr>
            <w:tcW w:w="560" w:type="pct"/>
            <w:shd w:val="clear" w:color="auto" w:fill="FFFFFF"/>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sz w:val="20"/>
                <w:szCs w:val="20"/>
              </w:rPr>
              <w:t>27.0%</w:t>
            </w:r>
          </w:p>
        </w:tc>
        <w:tc>
          <w:tcPr>
            <w:tcW w:w="456" w:type="pct"/>
            <w:shd w:val="clear" w:color="auto" w:fill="FFFFFF"/>
            <w:vAlign w:val="center"/>
            <w:hideMark/>
          </w:tcPr>
          <w:p w:rsidR="00043FC4" w:rsidRPr="00C673E0" w:rsidRDefault="00043FC4" w:rsidP="006D0665">
            <w:pPr>
              <w:snapToGrid w:val="0"/>
              <w:spacing w:after="0" w:line="240" w:lineRule="auto"/>
              <w:jc w:val="both"/>
              <w:rPr>
                <w:rFonts w:ascii="Times New Roman" w:eastAsia="Calibri" w:hAnsi="Times New Roman"/>
                <w:sz w:val="20"/>
                <w:szCs w:val="20"/>
              </w:rPr>
            </w:pPr>
            <w:r w:rsidRPr="00C673E0">
              <w:rPr>
                <w:rFonts w:ascii="Times New Roman" w:eastAsia="Times New Roman" w:hAnsi="Times New Roman"/>
                <w:sz w:val="20"/>
                <w:szCs w:val="20"/>
              </w:rPr>
              <w:t>-----</w:t>
            </w:r>
          </w:p>
        </w:tc>
        <w:tc>
          <w:tcPr>
            <w:tcW w:w="444" w:type="pct"/>
            <w:shd w:val="clear" w:color="auto" w:fill="FFFFFF"/>
            <w:vAlign w:val="center"/>
            <w:hideMark/>
          </w:tcPr>
          <w:p w:rsidR="00043FC4" w:rsidRPr="00C673E0" w:rsidRDefault="00043FC4" w:rsidP="006D0665">
            <w:pPr>
              <w:snapToGrid w:val="0"/>
              <w:spacing w:after="0" w:line="240" w:lineRule="auto"/>
              <w:jc w:val="both"/>
              <w:rPr>
                <w:rFonts w:ascii="Times New Roman" w:eastAsia="Calibri" w:hAnsi="Times New Roman"/>
                <w:sz w:val="20"/>
                <w:szCs w:val="20"/>
              </w:rPr>
            </w:pPr>
            <w:r w:rsidRPr="00C673E0">
              <w:rPr>
                <w:rFonts w:ascii="Times New Roman" w:eastAsia="Times New Roman" w:hAnsi="Times New Roman"/>
                <w:sz w:val="20"/>
                <w:szCs w:val="20"/>
              </w:rPr>
              <w:t>-----</w:t>
            </w:r>
          </w:p>
        </w:tc>
      </w:tr>
      <w:tr w:rsidR="003E3F44" w:rsidRPr="00C673E0" w:rsidTr="006D0665">
        <w:trPr>
          <w:cantSplit/>
          <w:jc w:val="center"/>
        </w:trPr>
        <w:tc>
          <w:tcPr>
            <w:tcW w:w="1145" w:type="pct"/>
            <w:vMerge w:val="restart"/>
            <w:shd w:val="clear" w:color="auto" w:fill="E3E2E7"/>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b/>
                <w:bCs/>
                <w:sz w:val="20"/>
                <w:szCs w:val="20"/>
              </w:rPr>
              <w:t>Initial presentation</w:t>
            </w:r>
          </w:p>
        </w:tc>
        <w:tc>
          <w:tcPr>
            <w:tcW w:w="1820" w:type="pct"/>
            <w:shd w:val="clear" w:color="auto" w:fill="E3E2E7"/>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b/>
                <w:bCs/>
                <w:sz w:val="20"/>
                <w:szCs w:val="20"/>
              </w:rPr>
              <w:t>Optic neuritis</w:t>
            </w:r>
          </w:p>
        </w:tc>
        <w:tc>
          <w:tcPr>
            <w:tcW w:w="575" w:type="pct"/>
            <w:shd w:val="clear" w:color="auto" w:fill="FFFFFF"/>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sz w:val="20"/>
                <w:szCs w:val="20"/>
              </w:rPr>
              <w:t>24</w:t>
            </w:r>
          </w:p>
        </w:tc>
        <w:tc>
          <w:tcPr>
            <w:tcW w:w="560" w:type="pct"/>
            <w:shd w:val="clear" w:color="auto" w:fill="FFFFFF"/>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sz w:val="20"/>
                <w:szCs w:val="20"/>
              </w:rPr>
              <w:t>32.4%</w:t>
            </w:r>
          </w:p>
        </w:tc>
        <w:tc>
          <w:tcPr>
            <w:tcW w:w="456" w:type="pct"/>
            <w:shd w:val="clear" w:color="auto" w:fill="FFFFFF"/>
            <w:vAlign w:val="center"/>
            <w:hideMark/>
          </w:tcPr>
          <w:p w:rsidR="00043FC4" w:rsidRPr="00C673E0" w:rsidRDefault="00043FC4" w:rsidP="006D0665">
            <w:pPr>
              <w:snapToGrid w:val="0"/>
              <w:spacing w:after="0" w:line="240" w:lineRule="auto"/>
              <w:jc w:val="both"/>
              <w:rPr>
                <w:rFonts w:ascii="Times New Roman" w:eastAsia="Calibri" w:hAnsi="Times New Roman"/>
                <w:sz w:val="20"/>
                <w:szCs w:val="20"/>
              </w:rPr>
            </w:pPr>
            <w:r w:rsidRPr="00C673E0">
              <w:rPr>
                <w:rFonts w:ascii="Times New Roman" w:eastAsia="Times New Roman" w:hAnsi="Times New Roman"/>
                <w:sz w:val="20"/>
                <w:szCs w:val="20"/>
              </w:rPr>
              <w:t>-----</w:t>
            </w:r>
          </w:p>
        </w:tc>
        <w:tc>
          <w:tcPr>
            <w:tcW w:w="444" w:type="pct"/>
            <w:shd w:val="clear" w:color="auto" w:fill="FFFFFF"/>
            <w:vAlign w:val="center"/>
            <w:hideMark/>
          </w:tcPr>
          <w:p w:rsidR="00043FC4" w:rsidRPr="00C673E0" w:rsidRDefault="00043FC4" w:rsidP="006D0665">
            <w:pPr>
              <w:snapToGrid w:val="0"/>
              <w:spacing w:after="0" w:line="240" w:lineRule="auto"/>
              <w:jc w:val="both"/>
              <w:rPr>
                <w:rFonts w:ascii="Times New Roman" w:eastAsia="Calibri" w:hAnsi="Times New Roman"/>
                <w:sz w:val="20"/>
                <w:szCs w:val="20"/>
              </w:rPr>
            </w:pPr>
            <w:r w:rsidRPr="00C673E0">
              <w:rPr>
                <w:rFonts w:ascii="Times New Roman" w:eastAsia="Times New Roman" w:hAnsi="Times New Roman"/>
                <w:sz w:val="20"/>
                <w:szCs w:val="20"/>
              </w:rPr>
              <w:t>-----</w:t>
            </w:r>
          </w:p>
        </w:tc>
      </w:tr>
      <w:tr w:rsidR="003E3F44" w:rsidRPr="00C673E0" w:rsidTr="006D0665">
        <w:trPr>
          <w:cantSplit/>
          <w:jc w:val="center"/>
        </w:trPr>
        <w:tc>
          <w:tcPr>
            <w:tcW w:w="1145" w:type="pct"/>
            <w:vMerge/>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p>
        </w:tc>
        <w:tc>
          <w:tcPr>
            <w:tcW w:w="1820" w:type="pct"/>
            <w:shd w:val="clear" w:color="auto" w:fill="E3E2E7"/>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b/>
                <w:bCs/>
                <w:sz w:val="20"/>
                <w:szCs w:val="20"/>
              </w:rPr>
              <w:t>Weakness</w:t>
            </w:r>
          </w:p>
        </w:tc>
        <w:tc>
          <w:tcPr>
            <w:tcW w:w="575" w:type="pct"/>
            <w:shd w:val="clear" w:color="auto" w:fill="FFFFFF"/>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sz w:val="20"/>
                <w:szCs w:val="20"/>
              </w:rPr>
              <w:t>30</w:t>
            </w:r>
          </w:p>
        </w:tc>
        <w:tc>
          <w:tcPr>
            <w:tcW w:w="560" w:type="pct"/>
            <w:shd w:val="clear" w:color="auto" w:fill="FFFFFF"/>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sz w:val="20"/>
                <w:szCs w:val="20"/>
              </w:rPr>
              <w:t>40.5%</w:t>
            </w:r>
          </w:p>
        </w:tc>
        <w:tc>
          <w:tcPr>
            <w:tcW w:w="456" w:type="pct"/>
            <w:shd w:val="clear" w:color="auto" w:fill="FFFFFF"/>
            <w:vAlign w:val="center"/>
            <w:hideMark/>
          </w:tcPr>
          <w:p w:rsidR="00043FC4" w:rsidRPr="00C673E0" w:rsidRDefault="00043FC4" w:rsidP="006D0665">
            <w:pPr>
              <w:snapToGrid w:val="0"/>
              <w:spacing w:after="0" w:line="240" w:lineRule="auto"/>
              <w:jc w:val="both"/>
              <w:rPr>
                <w:rFonts w:ascii="Times New Roman" w:eastAsia="Calibri" w:hAnsi="Times New Roman"/>
                <w:sz w:val="20"/>
                <w:szCs w:val="20"/>
              </w:rPr>
            </w:pPr>
            <w:r w:rsidRPr="00C673E0">
              <w:rPr>
                <w:rFonts w:ascii="Times New Roman" w:eastAsia="Times New Roman" w:hAnsi="Times New Roman"/>
                <w:sz w:val="20"/>
                <w:szCs w:val="20"/>
              </w:rPr>
              <w:t>-----</w:t>
            </w:r>
          </w:p>
        </w:tc>
        <w:tc>
          <w:tcPr>
            <w:tcW w:w="444" w:type="pct"/>
            <w:shd w:val="clear" w:color="auto" w:fill="FFFFFF"/>
            <w:vAlign w:val="center"/>
            <w:hideMark/>
          </w:tcPr>
          <w:p w:rsidR="00043FC4" w:rsidRPr="00C673E0" w:rsidRDefault="00043FC4" w:rsidP="006D0665">
            <w:pPr>
              <w:snapToGrid w:val="0"/>
              <w:spacing w:after="0" w:line="240" w:lineRule="auto"/>
              <w:jc w:val="both"/>
              <w:rPr>
                <w:rFonts w:ascii="Times New Roman" w:eastAsia="Calibri" w:hAnsi="Times New Roman"/>
                <w:sz w:val="20"/>
                <w:szCs w:val="20"/>
              </w:rPr>
            </w:pPr>
            <w:r w:rsidRPr="00C673E0">
              <w:rPr>
                <w:rFonts w:ascii="Times New Roman" w:eastAsia="Times New Roman" w:hAnsi="Times New Roman"/>
                <w:sz w:val="20"/>
                <w:szCs w:val="20"/>
              </w:rPr>
              <w:t>-----</w:t>
            </w:r>
          </w:p>
        </w:tc>
      </w:tr>
      <w:tr w:rsidR="003E3F44" w:rsidRPr="00C673E0" w:rsidTr="006D0665">
        <w:trPr>
          <w:cantSplit/>
          <w:jc w:val="center"/>
        </w:trPr>
        <w:tc>
          <w:tcPr>
            <w:tcW w:w="1145" w:type="pct"/>
            <w:vMerge/>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p>
        </w:tc>
        <w:tc>
          <w:tcPr>
            <w:tcW w:w="1820" w:type="pct"/>
            <w:shd w:val="clear" w:color="auto" w:fill="E3E2E7"/>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b/>
                <w:bCs/>
                <w:sz w:val="20"/>
                <w:szCs w:val="20"/>
              </w:rPr>
              <w:t>Sensory symptoms</w:t>
            </w:r>
          </w:p>
        </w:tc>
        <w:tc>
          <w:tcPr>
            <w:tcW w:w="575" w:type="pct"/>
            <w:shd w:val="clear" w:color="auto" w:fill="FFFFFF"/>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sz w:val="20"/>
                <w:szCs w:val="20"/>
              </w:rPr>
              <w:t>10</w:t>
            </w:r>
          </w:p>
        </w:tc>
        <w:tc>
          <w:tcPr>
            <w:tcW w:w="560" w:type="pct"/>
            <w:shd w:val="clear" w:color="auto" w:fill="FFFFFF"/>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sz w:val="20"/>
                <w:szCs w:val="20"/>
              </w:rPr>
              <w:t>13.5%</w:t>
            </w:r>
          </w:p>
        </w:tc>
        <w:tc>
          <w:tcPr>
            <w:tcW w:w="456" w:type="pct"/>
            <w:shd w:val="clear" w:color="auto" w:fill="FFFFFF"/>
            <w:vAlign w:val="center"/>
            <w:hideMark/>
          </w:tcPr>
          <w:p w:rsidR="00043FC4" w:rsidRPr="00C673E0" w:rsidRDefault="00043FC4" w:rsidP="006D0665">
            <w:pPr>
              <w:snapToGrid w:val="0"/>
              <w:spacing w:after="0" w:line="240" w:lineRule="auto"/>
              <w:jc w:val="both"/>
              <w:rPr>
                <w:rFonts w:ascii="Times New Roman" w:eastAsia="Calibri" w:hAnsi="Times New Roman"/>
                <w:sz w:val="20"/>
                <w:szCs w:val="20"/>
              </w:rPr>
            </w:pPr>
            <w:r w:rsidRPr="00C673E0">
              <w:rPr>
                <w:rFonts w:ascii="Times New Roman" w:eastAsia="Times New Roman" w:hAnsi="Times New Roman"/>
                <w:sz w:val="20"/>
                <w:szCs w:val="20"/>
              </w:rPr>
              <w:t>-----</w:t>
            </w:r>
          </w:p>
        </w:tc>
        <w:tc>
          <w:tcPr>
            <w:tcW w:w="444" w:type="pct"/>
            <w:shd w:val="clear" w:color="auto" w:fill="FFFFFF"/>
            <w:vAlign w:val="center"/>
            <w:hideMark/>
          </w:tcPr>
          <w:p w:rsidR="00043FC4" w:rsidRPr="00C673E0" w:rsidRDefault="00043FC4" w:rsidP="006D0665">
            <w:pPr>
              <w:snapToGrid w:val="0"/>
              <w:spacing w:after="0" w:line="240" w:lineRule="auto"/>
              <w:jc w:val="both"/>
              <w:rPr>
                <w:rFonts w:ascii="Times New Roman" w:eastAsia="Calibri" w:hAnsi="Times New Roman"/>
                <w:sz w:val="20"/>
                <w:szCs w:val="20"/>
              </w:rPr>
            </w:pPr>
            <w:r w:rsidRPr="00C673E0">
              <w:rPr>
                <w:rFonts w:ascii="Times New Roman" w:eastAsia="Times New Roman" w:hAnsi="Times New Roman"/>
                <w:sz w:val="20"/>
                <w:szCs w:val="20"/>
              </w:rPr>
              <w:t>-----</w:t>
            </w:r>
          </w:p>
        </w:tc>
      </w:tr>
      <w:tr w:rsidR="003E3F44" w:rsidRPr="00C673E0" w:rsidTr="006D0665">
        <w:trPr>
          <w:cantSplit/>
          <w:jc w:val="center"/>
        </w:trPr>
        <w:tc>
          <w:tcPr>
            <w:tcW w:w="1145" w:type="pct"/>
            <w:vMerge/>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p>
        </w:tc>
        <w:tc>
          <w:tcPr>
            <w:tcW w:w="1820" w:type="pct"/>
            <w:shd w:val="clear" w:color="auto" w:fill="E3E2E7"/>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b/>
                <w:bCs/>
                <w:sz w:val="20"/>
                <w:szCs w:val="20"/>
              </w:rPr>
              <w:t>Ataxia</w:t>
            </w:r>
          </w:p>
        </w:tc>
        <w:tc>
          <w:tcPr>
            <w:tcW w:w="575" w:type="pct"/>
            <w:shd w:val="clear" w:color="auto" w:fill="FFFFFF"/>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sz w:val="20"/>
                <w:szCs w:val="20"/>
              </w:rPr>
              <w:t>10</w:t>
            </w:r>
          </w:p>
        </w:tc>
        <w:tc>
          <w:tcPr>
            <w:tcW w:w="560" w:type="pct"/>
            <w:shd w:val="clear" w:color="auto" w:fill="FFFFFF"/>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sz w:val="20"/>
                <w:szCs w:val="20"/>
              </w:rPr>
              <w:t>13.5%</w:t>
            </w:r>
          </w:p>
        </w:tc>
        <w:tc>
          <w:tcPr>
            <w:tcW w:w="456" w:type="pct"/>
            <w:shd w:val="clear" w:color="auto" w:fill="FFFFFF"/>
            <w:vAlign w:val="center"/>
            <w:hideMark/>
          </w:tcPr>
          <w:p w:rsidR="00043FC4" w:rsidRPr="00C673E0" w:rsidRDefault="00043FC4" w:rsidP="006D0665">
            <w:pPr>
              <w:snapToGrid w:val="0"/>
              <w:spacing w:after="0" w:line="240" w:lineRule="auto"/>
              <w:jc w:val="both"/>
              <w:rPr>
                <w:rFonts w:ascii="Times New Roman" w:eastAsia="Calibri" w:hAnsi="Times New Roman"/>
                <w:sz w:val="20"/>
                <w:szCs w:val="20"/>
              </w:rPr>
            </w:pPr>
            <w:r w:rsidRPr="00C673E0">
              <w:rPr>
                <w:rFonts w:ascii="Times New Roman" w:eastAsia="Times New Roman" w:hAnsi="Times New Roman"/>
                <w:sz w:val="20"/>
                <w:szCs w:val="20"/>
              </w:rPr>
              <w:t>-----</w:t>
            </w:r>
          </w:p>
        </w:tc>
        <w:tc>
          <w:tcPr>
            <w:tcW w:w="444" w:type="pct"/>
            <w:shd w:val="clear" w:color="auto" w:fill="FFFFFF"/>
            <w:vAlign w:val="center"/>
            <w:hideMark/>
          </w:tcPr>
          <w:p w:rsidR="00043FC4" w:rsidRPr="00C673E0" w:rsidRDefault="00043FC4" w:rsidP="006D0665">
            <w:pPr>
              <w:snapToGrid w:val="0"/>
              <w:spacing w:after="0" w:line="240" w:lineRule="auto"/>
              <w:jc w:val="both"/>
              <w:rPr>
                <w:rFonts w:ascii="Times New Roman" w:eastAsia="Calibri" w:hAnsi="Times New Roman"/>
                <w:sz w:val="20"/>
                <w:szCs w:val="20"/>
              </w:rPr>
            </w:pPr>
            <w:r w:rsidRPr="00C673E0">
              <w:rPr>
                <w:rFonts w:ascii="Times New Roman" w:eastAsia="Times New Roman" w:hAnsi="Times New Roman"/>
                <w:sz w:val="20"/>
                <w:szCs w:val="20"/>
              </w:rPr>
              <w:t>-----</w:t>
            </w:r>
          </w:p>
        </w:tc>
      </w:tr>
      <w:tr w:rsidR="003E3F44" w:rsidRPr="00C673E0" w:rsidTr="006D0665">
        <w:trPr>
          <w:cantSplit/>
          <w:jc w:val="center"/>
        </w:trPr>
        <w:tc>
          <w:tcPr>
            <w:tcW w:w="1145" w:type="pct"/>
            <w:vMerge w:val="restart"/>
            <w:shd w:val="clear" w:color="auto" w:fill="E3E2E7"/>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b/>
                <w:bCs/>
                <w:sz w:val="20"/>
                <w:szCs w:val="20"/>
              </w:rPr>
              <w:t>EDSS</w:t>
            </w:r>
          </w:p>
        </w:tc>
        <w:tc>
          <w:tcPr>
            <w:tcW w:w="1820" w:type="pct"/>
            <w:shd w:val="clear" w:color="auto" w:fill="E3E2E7"/>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b/>
                <w:bCs/>
                <w:sz w:val="20"/>
                <w:szCs w:val="20"/>
              </w:rPr>
              <w:t>EDSS=1-3</w:t>
            </w:r>
          </w:p>
        </w:tc>
        <w:tc>
          <w:tcPr>
            <w:tcW w:w="575" w:type="pct"/>
            <w:shd w:val="clear" w:color="auto" w:fill="FFFFFF"/>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sz w:val="20"/>
                <w:szCs w:val="20"/>
              </w:rPr>
              <w:t>40</w:t>
            </w:r>
          </w:p>
        </w:tc>
        <w:tc>
          <w:tcPr>
            <w:tcW w:w="560" w:type="pct"/>
            <w:shd w:val="clear" w:color="auto" w:fill="FFFFFF"/>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sz w:val="20"/>
                <w:szCs w:val="20"/>
              </w:rPr>
              <w:t>54.1%</w:t>
            </w:r>
          </w:p>
        </w:tc>
        <w:tc>
          <w:tcPr>
            <w:tcW w:w="456" w:type="pct"/>
            <w:shd w:val="clear" w:color="auto" w:fill="FFFFFF"/>
            <w:vAlign w:val="center"/>
            <w:hideMark/>
          </w:tcPr>
          <w:p w:rsidR="00043FC4" w:rsidRPr="00C673E0" w:rsidRDefault="00043FC4" w:rsidP="006D0665">
            <w:pPr>
              <w:snapToGrid w:val="0"/>
              <w:spacing w:after="0" w:line="240" w:lineRule="auto"/>
              <w:jc w:val="both"/>
              <w:rPr>
                <w:rFonts w:ascii="Times New Roman" w:eastAsia="Calibri" w:hAnsi="Times New Roman"/>
                <w:sz w:val="20"/>
                <w:szCs w:val="20"/>
              </w:rPr>
            </w:pPr>
            <w:r w:rsidRPr="00C673E0">
              <w:rPr>
                <w:rFonts w:ascii="Times New Roman" w:eastAsia="Times New Roman" w:hAnsi="Times New Roman"/>
                <w:sz w:val="20"/>
                <w:szCs w:val="20"/>
              </w:rPr>
              <w:t>-----</w:t>
            </w:r>
          </w:p>
        </w:tc>
        <w:tc>
          <w:tcPr>
            <w:tcW w:w="444" w:type="pct"/>
            <w:shd w:val="clear" w:color="auto" w:fill="FFFFFF"/>
            <w:vAlign w:val="center"/>
            <w:hideMark/>
          </w:tcPr>
          <w:p w:rsidR="00043FC4" w:rsidRPr="00C673E0" w:rsidRDefault="00043FC4" w:rsidP="006D0665">
            <w:pPr>
              <w:snapToGrid w:val="0"/>
              <w:spacing w:after="0" w:line="240" w:lineRule="auto"/>
              <w:jc w:val="both"/>
              <w:rPr>
                <w:rFonts w:ascii="Times New Roman" w:eastAsia="Calibri" w:hAnsi="Times New Roman"/>
                <w:sz w:val="20"/>
                <w:szCs w:val="20"/>
              </w:rPr>
            </w:pPr>
            <w:r w:rsidRPr="00C673E0">
              <w:rPr>
                <w:rFonts w:ascii="Times New Roman" w:eastAsia="Times New Roman" w:hAnsi="Times New Roman"/>
                <w:sz w:val="20"/>
                <w:szCs w:val="20"/>
              </w:rPr>
              <w:t>-----</w:t>
            </w:r>
          </w:p>
        </w:tc>
      </w:tr>
      <w:tr w:rsidR="003E3F44" w:rsidRPr="00C673E0" w:rsidTr="006D0665">
        <w:trPr>
          <w:cantSplit/>
          <w:jc w:val="center"/>
        </w:trPr>
        <w:tc>
          <w:tcPr>
            <w:tcW w:w="1145" w:type="pct"/>
            <w:vMerge/>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p>
        </w:tc>
        <w:tc>
          <w:tcPr>
            <w:tcW w:w="1820" w:type="pct"/>
            <w:shd w:val="clear" w:color="auto" w:fill="E3E2E7"/>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b/>
                <w:bCs/>
                <w:sz w:val="20"/>
                <w:szCs w:val="20"/>
              </w:rPr>
              <w:t>EDSS=3.5-5</w:t>
            </w:r>
          </w:p>
        </w:tc>
        <w:tc>
          <w:tcPr>
            <w:tcW w:w="575" w:type="pct"/>
            <w:shd w:val="clear" w:color="auto" w:fill="FFFFFF"/>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sz w:val="20"/>
                <w:szCs w:val="20"/>
              </w:rPr>
              <w:t>14</w:t>
            </w:r>
          </w:p>
        </w:tc>
        <w:tc>
          <w:tcPr>
            <w:tcW w:w="560" w:type="pct"/>
            <w:shd w:val="clear" w:color="auto" w:fill="FFFFFF"/>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sz w:val="20"/>
                <w:szCs w:val="20"/>
              </w:rPr>
              <w:t>18.9%</w:t>
            </w:r>
          </w:p>
        </w:tc>
        <w:tc>
          <w:tcPr>
            <w:tcW w:w="456" w:type="pct"/>
            <w:shd w:val="clear" w:color="auto" w:fill="FFFFFF"/>
            <w:vAlign w:val="center"/>
            <w:hideMark/>
          </w:tcPr>
          <w:p w:rsidR="00043FC4" w:rsidRPr="00C673E0" w:rsidRDefault="00043FC4" w:rsidP="006D0665">
            <w:pPr>
              <w:snapToGrid w:val="0"/>
              <w:spacing w:after="0" w:line="240" w:lineRule="auto"/>
              <w:jc w:val="both"/>
              <w:rPr>
                <w:rFonts w:ascii="Times New Roman" w:eastAsia="Calibri" w:hAnsi="Times New Roman"/>
                <w:sz w:val="20"/>
                <w:szCs w:val="20"/>
              </w:rPr>
            </w:pPr>
            <w:r w:rsidRPr="00C673E0">
              <w:rPr>
                <w:rFonts w:ascii="Times New Roman" w:eastAsia="Times New Roman" w:hAnsi="Times New Roman"/>
                <w:sz w:val="20"/>
                <w:szCs w:val="20"/>
              </w:rPr>
              <w:t>-----</w:t>
            </w:r>
          </w:p>
        </w:tc>
        <w:tc>
          <w:tcPr>
            <w:tcW w:w="444" w:type="pct"/>
            <w:shd w:val="clear" w:color="auto" w:fill="FFFFFF"/>
            <w:vAlign w:val="center"/>
            <w:hideMark/>
          </w:tcPr>
          <w:p w:rsidR="00043FC4" w:rsidRPr="00C673E0" w:rsidRDefault="00043FC4" w:rsidP="006D0665">
            <w:pPr>
              <w:snapToGrid w:val="0"/>
              <w:spacing w:after="0" w:line="240" w:lineRule="auto"/>
              <w:jc w:val="both"/>
              <w:rPr>
                <w:rFonts w:ascii="Times New Roman" w:eastAsia="Calibri" w:hAnsi="Times New Roman"/>
                <w:sz w:val="20"/>
                <w:szCs w:val="20"/>
              </w:rPr>
            </w:pPr>
            <w:r w:rsidRPr="00C673E0">
              <w:rPr>
                <w:rFonts w:ascii="Times New Roman" w:eastAsia="Times New Roman" w:hAnsi="Times New Roman"/>
                <w:sz w:val="20"/>
                <w:szCs w:val="20"/>
              </w:rPr>
              <w:t>-----</w:t>
            </w:r>
          </w:p>
        </w:tc>
      </w:tr>
      <w:tr w:rsidR="003E3F44" w:rsidRPr="00C673E0" w:rsidTr="006D0665">
        <w:trPr>
          <w:cantSplit/>
          <w:jc w:val="center"/>
        </w:trPr>
        <w:tc>
          <w:tcPr>
            <w:tcW w:w="1145" w:type="pct"/>
            <w:vMerge/>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p>
        </w:tc>
        <w:tc>
          <w:tcPr>
            <w:tcW w:w="1820" w:type="pct"/>
            <w:shd w:val="clear" w:color="auto" w:fill="E3E2E7"/>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b/>
                <w:bCs/>
                <w:sz w:val="20"/>
                <w:szCs w:val="20"/>
              </w:rPr>
              <w:t>EDSS≥5.5</w:t>
            </w:r>
          </w:p>
        </w:tc>
        <w:tc>
          <w:tcPr>
            <w:tcW w:w="575" w:type="pct"/>
            <w:shd w:val="clear" w:color="auto" w:fill="FFFFFF"/>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sz w:val="20"/>
                <w:szCs w:val="20"/>
              </w:rPr>
              <w:t>20</w:t>
            </w:r>
          </w:p>
        </w:tc>
        <w:tc>
          <w:tcPr>
            <w:tcW w:w="560" w:type="pct"/>
            <w:shd w:val="clear" w:color="auto" w:fill="FFFFFF"/>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sz w:val="20"/>
                <w:szCs w:val="20"/>
              </w:rPr>
              <w:t>27.0%</w:t>
            </w:r>
          </w:p>
        </w:tc>
        <w:tc>
          <w:tcPr>
            <w:tcW w:w="456" w:type="pct"/>
            <w:shd w:val="clear" w:color="auto" w:fill="FFFFFF"/>
            <w:vAlign w:val="center"/>
            <w:hideMark/>
          </w:tcPr>
          <w:p w:rsidR="00043FC4" w:rsidRPr="00C673E0" w:rsidRDefault="00043FC4" w:rsidP="006D0665">
            <w:pPr>
              <w:snapToGrid w:val="0"/>
              <w:spacing w:after="0" w:line="240" w:lineRule="auto"/>
              <w:jc w:val="both"/>
              <w:rPr>
                <w:rFonts w:ascii="Times New Roman" w:eastAsia="Calibri" w:hAnsi="Times New Roman"/>
                <w:sz w:val="20"/>
                <w:szCs w:val="20"/>
              </w:rPr>
            </w:pPr>
            <w:r w:rsidRPr="00C673E0">
              <w:rPr>
                <w:rFonts w:ascii="Times New Roman" w:eastAsia="Times New Roman" w:hAnsi="Times New Roman"/>
                <w:sz w:val="20"/>
                <w:szCs w:val="20"/>
              </w:rPr>
              <w:t>-----</w:t>
            </w:r>
          </w:p>
        </w:tc>
        <w:tc>
          <w:tcPr>
            <w:tcW w:w="444" w:type="pct"/>
            <w:shd w:val="clear" w:color="auto" w:fill="FFFFFF"/>
            <w:vAlign w:val="center"/>
            <w:hideMark/>
          </w:tcPr>
          <w:p w:rsidR="00043FC4" w:rsidRPr="00C673E0" w:rsidRDefault="00043FC4" w:rsidP="006D0665">
            <w:pPr>
              <w:snapToGrid w:val="0"/>
              <w:spacing w:after="0" w:line="240" w:lineRule="auto"/>
              <w:jc w:val="both"/>
              <w:rPr>
                <w:rFonts w:ascii="Times New Roman" w:eastAsia="Calibri" w:hAnsi="Times New Roman"/>
                <w:sz w:val="20"/>
                <w:szCs w:val="20"/>
              </w:rPr>
            </w:pPr>
            <w:r w:rsidRPr="00C673E0">
              <w:rPr>
                <w:rFonts w:ascii="Times New Roman" w:eastAsia="Times New Roman" w:hAnsi="Times New Roman"/>
                <w:sz w:val="20"/>
                <w:szCs w:val="20"/>
              </w:rPr>
              <w:t>-----</w:t>
            </w:r>
          </w:p>
        </w:tc>
      </w:tr>
      <w:tr w:rsidR="003E3F44" w:rsidRPr="00C673E0" w:rsidTr="006D0665">
        <w:trPr>
          <w:cantSplit/>
          <w:jc w:val="center"/>
        </w:trPr>
        <w:tc>
          <w:tcPr>
            <w:tcW w:w="1145" w:type="pct"/>
            <w:vMerge w:val="restart"/>
            <w:shd w:val="clear" w:color="auto" w:fill="E3E2E7"/>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b/>
                <w:bCs/>
                <w:sz w:val="20"/>
                <w:szCs w:val="20"/>
              </w:rPr>
              <w:t>Treatment</w:t>
            </w:r>
          </w:p>
        </w:tc>
        <w:tc>
          <w:tcPr>
            <w:tcW w:w="1820" w:type="pct"/>
            <w:shd w:val="clear" w:color="auto" w:fill="E3E2E7"/>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b/>
                <w:bCs/>
                <w:sz w:val="20"/>
                <w:szCs w:val="20"/>
              </w:rPr>
              <w:t>Interferon</w:t>
            </w:r>
          </w:p>
        </w:tc>
        <w:tc>
          <w:tcPr>
            <w:tcW w:w="575" w:type="pct"/>
            <w:shd w:val="clear" w:color="auto" w:fill="FFFFFF"/>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sz w:val="20"/>
                <w:szCs w:val="20"/>
              </w:rPr>
              <w:t>40</w:t>
            </w:r>
          </w:p>
        </w:tc>
        <w:tc>
          <w:tcPr>
            <w:tcW w:w="560" w:type="pct"/>
            <w:shd w:val="clear" w:color="auto" w:fill="FFFFFF"/>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sz w:val="20"/>
                <w:szCs w:val="20"/>
              </w:rPr>
              <w:t>54.1%</w:t>
            </w:r>
          </w:p>
        </w:tc>
        <w:tc>
          <w:tcPr>
            <w:tcW w:w="456" w:type="pct"/>
            <w:shd w:val="clear" w:color="auto" w:fill="FFFFFF"/>
            <w:vAlign w:val="center"/>
            <w:hideMark/>
          </w:tcPr>
          <w:p w:rsidR="00043FC4" w:rsidRPr="00C673E0" w:rsidRDefault="00043FC4" w:rsidP="006D0665">
            <w:pPr>
              <w:snapToGrid w:val="0"/>
              <w:spacing w:after="0" w:line="240" w:lineRule="auto"/>
              <w:jc w:val="both"/>
              <w:rPr>
                <w:rFonts w:ascii="Times New Roman" w:eastAsia="Calibri" w:hAnsi="Times New Roman"/>
                <w:sz w:val="20"/>
                <w:szCs w:val="20"/>
              </w:rPr>
            </w:pPr>
            <w:r w:rsidRPr="00C673E0">
              <w:rPr>
                <w:rFonts w:ascii="Times New Roman" w:eastAsia="Times New Roman" w:hAnsi="Times New Roman"/>
                <w:sz w:val="20"/>
                <w:szCs w:val="20"/>
              </w:rPr>
              <w:t>-----</w:t>
            </w:r>
          </w:p>
        </w:tc>
        <w:tc>
          <w:tcPr>
            <w:tcW w:w="444" w:type="pct"/>
            <w:shd w:val="clear" w:color="auto" w:fill="FFFFFF"/>
            <w:vAlign w:val="center"/>
            <w:hideMark/>
          </w:tcPr>
          <w:p w:rsidR="00043FC4" w:rsidRPr="00C673E0" w:rsidRDefault="00043FC4" w:rsidP="006D0665">
            <w:pPr>
              <w:snapToGrid w:val="0"/>
              <w:spacing w:after="0" w:line="240" w:lineRule="auto"/>
              <w:jc w:val="both"/>
              <w:rPr>
                <w:rFonts w:ascii="Times New Roman" w:eastAsia="Calibri" w:hAnsi="Times New Roman"/>
                <w:sz w:val="20"/>
                <w:szCs w:val="20"/>
              </w:rPr>
            </w:pPr>
            <w:r w:rsidRPr="00C673E0">
              <w:rPr>
                <w:rFonts w:ascii="Times New Roman" w:eastAsia="Times New Roman" w:hAnsi="Times New Roman"/>
                <w:sz w:val="20"/>
                <w:szCs w:val="20"/>
              </w:rPr>
              <w:t>-----</w:t>
            </w:r>
          </w:p>
        </w:tc>
      </w:tr>
      <w:tr w:rsidR="003E3F44" w:rsidRPr="00C673E0" w:rsidTr="006D0665">
        <w:trPr>
          <w:cantSplit/>
          <w:jc w:val="center"/>
        </w:trPr>
        <w:tc>
          <w:tcPr>
            <w:tcW w:w="1145" w:type="pct"/>
            <w:vMerge/>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p>
        </w:tc>
        <w:tc>
          <w:tcPr>
            <w:tcW w:w="1820" w:type="pct"/>
            <w:shd w:val="clear" w:color="auto" w:fill="E3E2E7"/>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b/>
                <w:bCs/>
                <w:sz w:val="20"/>
                <w:szCs w:val="20"/>
              </w:rPr>
              <w:t>Azathioprine</w:t>
            </w:r>
          </w:p>
        </w:tc>
        <w:tc>
          <w:tcPr>
            <w:tcW w:w="575" w:type="pct"/>
            <w:shd w:val="clear" w:color="auto" w:fill="FFFFFF"/>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sz w:val="20"/>
                <w:szCs w:val="20"/>
              </w:rPr>
              <w:t>12</w:t>
            </w:r>
          </w:p>
        </w:tc>
        <w:tc>
          <w:tcPr>
            <w:tcW w:w="560" w:type="pct"/>
            <w:shd w:val="clear" w:color="auto" w:fill="FFFFFF"/>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sz w:val="20"/>
                <w:szCs w:val="20"/>
              </w:rPr>
              <w:t>16.2%</w:t>
            </w:r>
          </w:p>
        </w:tc>
        <w:tc>
          <w:tcPr>
            <w:tcW w:w="456" w:type="pct"/>
            <w:shd w:val="clear" w:color="auto" w:fill="FFFFFF"/>
            <w:vAlign w:val="center"/>
            <w:hideMark/>
          </w:tcPr>
          <w:p w:rsidR="00043FC4" w:rsidRPr="00C673E0" w:rsidRDefault="00043FC4" w:rsidP="006D0665">
            <w:pPr>
              <w:snapToGrid w:val="0"/>
              <w:spacing w:after="0" w:line="240" w:lineRule="auto"/>
              <w:jc w:val="both"/>
              <w:rPr>
                <w:rFonts w:ascii="Times New Roman" w:eastAsia="Calibri" w:hAnsi="Times New Roman"/>
                <w:sz w:val="20"/>
                <w:szCs w:val="20"/>
              </w:rPr>
            </w:pPr>
            <w:r w:rsidRPr="00C673E0">
              <w:rPr>
                <w:rFonts w:ascii="Times New Roman" w:eastAsia="Times New Roman" w:hAnsi="Times New Roman"/>
                <w:sz w:val="20"/>
                <w:szCs w:val="20"/>
              </w:rPr>
              <w:t>-----</w:t>
            </w:r>
          </w:p>
        </w:tc>
        <w:tc>
          <w:tcPr>
            <w:tcW w:w="444" w:type="pct"/>
            <w:shd w:val="clear" w:color="auto" w:fill="FFFFFF"/>
            <w:vAlign w:val="center"/>
            <w:hideMark/>
          </w:tcPr>
          <w:p w:rsidR="00043FC4" w:rsidRPr="00C673E0" w:rsidRDefault="00043FC4" w:rsidP="006D0665">
            <w:pPr>
              <w:snapToGrid w:val="0"/>
              <w:spacing w:after="0" w:line="240" w:lineRule="auto"/>
              <w:jc w:val="both"/>
              <w:rPr>
                <w:rFonts w:ascii="Times New Roman" w:eastAsia="Calibri" w:hAnsi="Times New Roman"/>
                <w:sz w:val="20"/>
                <w:szCs w:val="20"/>
              </w:rPr>
            </w:pPr>
            <w:r w:rsidRPr="00C673E0">
              <w:rPr>
                <w:rFonts w:ascii="Times New Roman" w:eastAsia="Times New Roman" w:hAnsi="Times New Roman"/>
                <w:sz w:val="20"/>
                <w:szCs w:val="20"/>
              </w:rPr>
              <w:t>-----</w:t>
            </w:r>
          </w:p>
        </w:tc>
      </w:tr>
      <w:tr w:rsidR="003E3F44" w:rsidRPr="00C673E0" w:rsidTr="006D0665">
        <w:trPr>
          <w:cantSplit/>
          <w:jc w:val="center"/>
        </w:trPr>
        <w:tc>
          <w:tcPr>
            <w:tcW w:w="1145" w:type="pct"/>
            <w:vMerge/>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p>
        </w:tc>
        <w:tc>
          <w:tcPr>
            <w:tcW w:w="1820" w:type="pct"/>
            <w:shd w:val="clear" w:color="auto" w:fill="E3E2E7"/>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b/>
                <w:bCs/>
                <w:sz w:val="20"/>
                <w:szCs w:val="20"/>
              </w:rPr>
              <w:t>Cyclophosphamide</w:t>
            </w:r>
            <w:r w:rsidR="003E3F44" w:rsidRPr="00C673E0">
              <w:rPr>
                <w:rFonts w:ascii="Times New Roman" w:eastAsia="Times New Roman" w:hAnsi="Times New Roman"/>
                <w:b/>
                <w:bCs/>
                <w:sz w:val="20"/>
                <w:szCs w:val="20"/>
              </w:rPr>
              <w:t xml:space="preserve"> </w:t>
            </w:r>
            <w:r w:rsidRPr="00C673E0">
              <w:rPr>
                <w:rFonts w:ascii="Times New Roman" w:eastAsia="Times New Roman" w:hAnsi="Times New Roman"/>
                <w:b/>
                <w:bCs/>
                <w:sz w:val="20"/>
                <w:szCs w:val="20"/>
              </w:rPr>
              <w:t>(Endoxane)</w:t>
            </w:r>
          </w:p>
        </w:tc>
        <w:tc>
          <w:tcPr>
            <w:tcW w:w="575" w:type="pct"/>
            <w:shd w:val="clear" w:color="auto" w:fill="FFFFFF"/>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sz w:val="20"/>
                <w:szCs w:val="20"/>
              </w:rPr>
              <w:t>4</w:t>
            </w:r>
          </w:p>
        </w:tc>
        <w:tc>
          <w:tcPr>
            <w:tcW w:w="560" w:type="pct"/>
            <w:shd w:val="clear" w:color="auto" w:fill="FFFFFF"/>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sz w:val="20"/>
                <w:szCs w:val="20"/>
              </w:rPr>
              <w:t>5.4%</w:t>
            </w:r>
          </w:p>
        </w:tc>
        <w:tc>
          <w:tcPr>
            <w:tcW w:w="456" w:type="pct"/>
            <w:shd w:val="clear" w:color="auto" w:fill="FFFFFF"/>
            <w:vAlign w:val="center"/>
            <w:hideMark/>
          </w:tcPr>
          <w:p w:rsidR="00043FC4" w:rsidRPr="00C673E0" w:rsidRDefault="00043FC4" w:rsidP="006D0665">
            <w:pPr>
              <w:snapToGrid w:val="0"/>
              <w:spacing w:after="0" w:line="240" w:lineRule="auto"/>
              <w:jc w:val="both"/>
              <w:rPr>
                <w:rFonts w:ascii="Times New Roman" w:eastAsia="Calibri" w:hAnsi="Times New Roman"/>
                <w:sz w:val="20"/>
                <w:szCs w:val="20"/>
              </w:rPr>
            </w:pPr>
            <w:r w:rsidRPr="00C673E0">
              <w:rPr>
                <w:rFonts w:ascii="Times New Roman" w:eastAsia="Times New Roman" w:hAnsi="Times New Roman"/>
                <w:sz w:val="20"/>
                <w:szCs w:val="20"/>
              </w:rPr>
              <w:t>-----</w:t>
            </w:r>
          </w:p>
        </w:tc>
        <w:tc>
          <w:tcPr>
            <w:tcW w:w="444" w:type="pct"/>
            <w:shd w:val="clear" w:color="auto" w:fill="FFFFFF"/>
            <w:vAlign w:val="center"/>
            <w:hideMark/>
          </w:tcPr>
          <w:p w:rsidR="00043FC4" w:rsidRPr="00C673E0" w:rsidRDefault="00043FC4" w:rsidP="006D0665">
            <w:pPr>
              <w:snapToGrid w:val="0"/>
              <w:spacing w:after="0" w:line="240" w:lineRule="auto"/>
              <w:jc w:val="both"/>
              <w:rPr>
                <w:rFonts w:ascii="Times New Roman" w:eastAsia="Calibri" w:hAnsi="Times New Roman"/>
                <w:sz w:val="20"/>
                <w:szCs w:val="20"/>
              </w:rPr>
            </w:pPr>
            <w:r w:rsidRPr="00C673E0">
              <w:rPr>
                <w:rFonts w:ascii="Times New Roman" w:eastAsia="Times New Roman" w:hAnsi="Times New Roman"/>
                <w:sz w:val="20"/>
                <w:szCs w:val="20"/>
              </w:rPr>
              <w:t>-----</w:t>
            </w:r>
          </w:p>
        </w:tc>
      </w:tr>
      <w:tr w:rsidR="003E3F44" w:rsidRPr="00C673E0" w:rsidTr="006D0665">
        <w:trPr>
          <w:cantSplit/>
          <w:jc w:val="center"/>
        </w:trPr>
        <w:tc>
          <w:tcPr>
            <w:tcW w:w="1145" w:type="pct"/>
            <w:vMerge/>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p>
        </w:tc>
        <w:tc>
          <w:tcPr>
            <w:tcW w:w="1820" w:type="pct"/>
            <w:shd w:val="clear" w:color="auto" w:fill="E3E2E7"/>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b/>
                <w:bCs/>
                <w:sz w:val="20"/>
                <w:szCs w:val="20"/>
              </w:rPr>
              <w:t>No treatment</w:t>
            </w:r>
          </w:p>
          <w:p w:rsidR="00043FC4" w:rsidRPr="00C673E0" w:rsidRDefault="00043FC4" w:rsidP="006D0665">
            <w:pPr>
              <w:snapToGrid w:val="0"/>
              <w:spacing w:after="0" w:line="240" w:lineRule="auto"/>
              <w:jc w:val="both"/>
              <w:rPr>
                <w:rFonts w:ascii="Times New Roman" w:eastAsia="Times New Roman" w:hAnsi="Times New Roman"/>
                <w:b/>
                <w:bCs/>
                <w:sz w:val="20"/>
                <w:szCs w:val="20"/>
              </w:rPr>
            </w:pPr>
            <w:r w:rsidRPr="00C673E0">
              <w:rPr>
                <w:rFonts w:ascii="Times New Roman" w:eastAsia="Times New Roman" w:hAnsi="Times New Roman"/>
                <w:b/>
                <w:bCs/>
                <w:sz w:val="20"/>
                <w:szCs w:val="20"/>
              </w:rPr>
              <w:t>(Drug naiive)</w:t>
            </w:r>
          </w:p>
        </w:tc>
        <w:tc>
          <w:tcPr>
            <w:tcW w:w="575" w:type="pct"/>
            <w:shd w:val="clear" w:color="auto" w:fill="FFFFFF"/>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sz w:val="20"/>
                <w:szCs w:val="20"/>
              </w:rPr>
              <w:t>18</w:t>
            </w:r>
          </w:p>
        </w:tc>
        <w:tc>
          <w:tcPr>
            <w:tcW w:w="560" w:type="pct"/>
            <w:shd w:val="clear" w:color="auto" w:fill="FFFFFF"/>
            <w:vAlign w:val="center"/>
            <w:hideMark/>
          </w:tcPr>
          <w:p w:rsidR="00043FC4" w:rsidRPr="00C673E0" w:rsidRDefault="00043FC4"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sz w:val="20"/>
                <w:szCs w:val="20"/>
              </w:rPr>
              <w:t>24.3%</w:t>
            </w:r>
          </w:p>
        </w:tc>
        <w:tc>
          <w:tcPr>
            <w:tcW w:w="456" w:type="pct"/>
            <w:shd w:val="clear" w:color="auto" w:fill="FFFFFF"/>
            <w:vAlign w:val="center"/>
            <w:hideMark/>
          </w:tcPr>
          <w:p w:rsidR="00043FC4" w:rsidRPr="00C673E0" w:rsidRDefault="00043FC4" w:rsidP="006D0665">
            <w:pPr>
              <w:snapToGrid w:val="0"/>
              <w:spacing w:after="0" w:line="240" w:lineRule="auto"/>
              <w:jc w:val="both"/>
              <w:rPr>
                <w:rFonts w:ascii="Times New Roman" w:eastAsia="Calibri" w:hAnsi="Times New Roman"/>
                <w:sz w:val="20"/>
                <w:szCs w:val="20"/>
              </w:rPr>
            </w:pPr>
            <w:r w:rsidRPr="00C673E0">
              <w:rPr>
                <w:rFonts w:ascii="Times New Roman" w:eastAsia="Times New Roman" w:hAnsi="Times New Roman"/>
                <w:sz w:val="20"/>
                <w:szCs w:val="20"/>
              </w:rPr>
              <w:t>-----</w:t>
            </w:r>
          </w:p>
        </w:tc>
        <w:tc>
          <w:tcPr>
            <w:tcW w:w="444" w:type="pct"/>
            <w:shd w:val="clear" w:color="auto" w:fill="FFFFFF"/>
            <w:vAlign w:val="center"/>
            <w:hideMark/>
          </w:tcPr>
          <w:p w:rsidR="00043FC4" w:rsidRPr="00C673E0" w:rsidRDefault="00043FC4" w:rsidP="006D0665">
            <w:pPr>
              <w:snapToGrid w:val="0"/>
              <w:spacing w:after="0" w:line="240" w:lineRule="auto"/>
              <w:jc w:val="both"/>
              <w:rPr>
                <w:rFonts w:ascii="Times New Roman" w:eastAsia="Calibri" w:hAnsi="Times New Roman"/>
                <w:sz w:val="20"/>
                <w:szCs w:val="20"/>
              </w:rPr>
            </w:pPr>
            <w:r w:rsidRPr="00C673E0">
              <w:rPr>
                <w:rFonts w:ascii="Times New Roman" w:eastAsia="Times New Roman" w:hAnsi="Times New Roman"/>
                <w:sz w:val="20"/>
                <w:szCs w:val="20"/>
              </w:rPr>
              <w:t>-----</w:t>
            </w:r>
          </w:p>
        </w:tc>
      </w:tr>
    </w:tbl>
    <w:p w:rsidR="000F71AB" w:rsidRPr="00C673E0" w:rsidRDefault="000F71AB" w:rsidP="00644513">
      <w:pPr>
        <w:snapToGrid w:val="0"/>
        <w:spacing w:after="0" w:line="240" w:lineRule="auto"/>
        <w:jc w:val="both"/>
        <w:rPr>
          <w:rFonts w:ascii="Times New Roman" w:hAnsi="Times New Roman"/>
          <w:b/>
          <w:bCs/>
          <w:sz w:val="20"/>
          <w:szCs w:val="20"/>
          <w:lang w:eastAsia="zh-CN" w:bidi="ar-EG"/>
        </w:rPr>
      </w:pPr>
    </w:p>
    <w:p w:rsidR="00C673E0" w:rsidRPr="00C673E0" w:rsidRDefault="00C673E0" w:rsidP="00644513">
      <w:pPr>
        <w:snapToGrid w:val="0"/>
        <w:spacing w:after="0" w:line="240" w:lineRule="auto"/>
        <w:jc w:val="both"/>
        <w:rPr>
          <w:rFonts w:ascii="Times New Roman" w:hAnsi="Times New Roman"/>
          <w:b/>
          <w:bCs/>
          <w:sz w:val="20"/>
          <w:szCs w:val="20"/>
          <w:lang w:eastAsia="zh-CN" w:bidi="ar-EG"/>
        </w:rPr>
      </w:pPr>
    </w:p>
    <w:p w:rsidR="00C673E0" w:rsidRPr="00C673E0" w:rsidRDefault="00C673E0" w:rsidP="00644513">
      <w:pPr>
        <w:snapToGrid w:val="0"/>
        <w:spacing w:after="0" w:line="240" w:lineRule="auto"/>
        <w:jc w:val="both"/>
        <w:rPr>
          <w:rFonts w:ascii="Times New Roman" w:hAnsi="Times New Roman"/>
          <w:b/>
          <w:bCs/>
          <w:sz w:val="20"/>
          <w:szCs w:val="20"/>
          <w:lang w:eastAsia="zh-CN" w:bidi="ar-EG"/>
        </w:rPr>
        <w:sectPr w:rsidR="00C673E0" w:rsidRPr="00C673E0" w:rsidSect="003E3F44">
          <w:type w:val="continuous"/>
          <w:pgSz w:w="12240" w:h="15840" w:code="9"/>
          <w:pgMar w:top="1440" w:right="1440" w:bottom="1440" w:left="1440" w:header="720" w:footer="720" w:gutter="0"/>
          <w:cols w:space="720"/>
          <w:docGrid w:linePitch="360"/>
        </w:sectPr>
      </w:pPr>
    </w:p>
    <w:p w:rsidR="006D0665" w:rsidRPr="00C673E0" w:rsidRDefault="006D0665" w:rsidP="006D0665">
      <w:pPr>
        <w:snapToGrid w:val="0"/>
        <w:spacing w:after="0" w:line="240" w:lineRule="auto"/>
        <w:ind w:firstLine="425"/>
        <w:jc w:val="both"/>
        <w:rPr>
          <w:rFonts w:ascii="Times New Roman" w:hAnsi="Times New Roman"/>
          <w:b/>
          <w:bCs/>
          <w:sz w:val="20"/>
          <w:szCs w:val="20"/>
          <w:lang w:eastAsia="zh-CN" w:bidi="ar-EG"/>
        </w:rPr>
      </w:pPr>
      <w:r w:rsidRPr="00C673E0">
        <w:rPr>
          <w:rFonts w:ascii="Times New Roman" w:hAnsi="Times New Roman"/>
          <w:b/>
          <w:bCs/>
          <w:sz w:val="20"/>
          <w:szCs w:val="20"/>
          <w:lang w:bidi="ar-EG"/>
        </w:rPr>
        <w:lastRenderedPageBreak/>
        <w:t xml:space="preserve">(1) </w:t>
      </w:r>
      <w:r w:rsidRPr="00C673E0">
        <w:rPr>
          <w:rFonts w:ascii="Times New Roman" w:hAnsi="Times New Roman"/>
          <w:sz w:val="20"/>
          <w:szCs w:val="20"/>
          <w:lang w:bidi="ar-EG"/>
        </w:rPr>
        <w:t xml:space="preserve">General clinical examination and taking full medical history. </w:t>
      </w:r>
      <w:r w:rsidRPr="00C673E0">
        <w:rPr>
          <w:rFonts w:ascii="Times New Roman" w:hAnsi="Times New Roman"/>
          <w:b/>
          <w:bCs/>
          <w:sz w:val="20"/>
          <w:szCs w:val="20"/>
          <w:lang w:bidi="ar-EG"/>
        </w:rPr>
        <w:t xml:space="preserve">(2) </w:t>
      </w:r>
      <w:r w:rsidRPr="00C673E0">
        <w:rPr>
          <w:rFonts w:ascii="Times New Roman" w:hAnsi="Times New Roman"/>
          <w:sz w:val="20"/>
          <w:szCs w:val="20"/>
          <w:lang w:bidi="ar-EG"/>
        </w:rPr>
        <w:t>Neurological examination and evaluation of the clinical disability of MS patients using the expanded disability status scale (EDSS). The patients have been ranked according to EDSS into 3groups, (EDSS= 1.0–3.0), (EDSS= 3.5–5) and (EDSS ≥ 5.5)</w:t>
      </w:r>
      <w:r w:rsidRPr="00C673E0">
        <w:rPr>
          <w:rFonts w:ascii="Times New Roman" w:hAnsi="Times New Roman"/>
          <w:b/>
          <w:bCs/>
          <w:sz w:val="20"/>
          <w:szCs w:val="20"/>
          <w:lang w:bidi="ar-EG"/>
        </w:rPr>
        <w:t xml:space="preserve"> </w:t>
      </w:r>
      <w:r w:rsidR="006E7628" w:rsidRPr="006E7628">
        <w:rPr>
          <w:rFonts w:ascii="Times New Roman" w:hAnsi="Times New Roman"/>
          <w:b/>
          <w:bCs/>
          <w:sz w:val="20"/>
          <w:szCs w:val="20"/>
          <w:lang w:bidi="ar-EG"/>
        </w:rPr>
        <w:fldChar w:fldCharType="begin" w:fldLock="1"/>
      </w:r>
      <w:r w:rsidRPr="00C673E0">
        <w:rPr>
          <w:rFonts w:ascii="Times New Roman" w:hAnsi="Times New Roman"/>
          <w:b/>
          <w:bCs/>
          <w:sz w:val="20"/>
          <w:szCs w:val="20"/>
          <w:lang w:bidi="ar-EG"/>
        </w:rPr>
        <w:instrText>ADDIN CSL_CITATION {"citationItems":[{"id":"ITEM-1","itemData":{"author":[{"dropping-particle":"","family":"Kurtzke","given":"John F","non-dropping-particle":"","parse-names":false,"suffix":""}],"container-title":"NEUROLOGY","id":"ITEM-1","issued":{"date-parts":[["1983"]]},"page":"1444-1452","title":"Rating neurologic impairment in multiple sclerosis : An expanded disability status scale ( EDSS )","type":"article-journal","volume":"33"},"uris":["http://www.mendeley.com/documents/?uuid=fda31ca1-5e75-45f7-94fa-dc4c6709dbe1"]}],"mendeley":{"formattedCitation":"(Kurtzke, 1983)","plainTextFormattedCitation":"(Kurtzke, 1983)","previouslyFormattedCitation":"(Kurtzke, 1983)"},"properties":{"noteIndex":0},"schema":"https://github.com/citation-style-language/schema/raw/master/csl-citation.json"}</w:instrText>
      </w:r>
      <w:r w:rsidR="006E7628" w:rsidRPr="006E7628">
        <w:rPr>
          <w:rFonts w:ascii="Times New Roman" w:hAnsi="Times New Roman"/>
          <w:b/>
          <w:bCs/>
          <w:sz w:val="20"/>
          <w:szCs w:val="20"/>
          <w:lang w:bidi="ar-EG"/>
        </w:rPr>
        <w:fldChar w:fldCharType="separate"/>
      </w:r>
      <w:r w:rsidRPr="00C673E0">
        <w:rPr>
          <w:rFonts w:ascii="Times New Roman" w:hAnsi="Times New Roman"/>
          <w:b/>
          <w:bCs/>
          <w:sz w:val="20"/>
          <w:szCs w:val="20"/>
          <w:lang w:bidi="ar-EG"/>
        </w:rPr>
        <w:t>(Kurtzke, 1983)</w:t>
      </w:r>
      <w:r w:rsidR="006E7628" w:rsidRPr="00C673E0">
        <w:rPr>
          <w:rFonts w:ascii="Times New Roman" w:hAnsi="Times New Roman"/>
          <w:sz w:val="20"/>
          <w:szCs w:val="20"/>
          <w:lang w:bidi="ar-EG"/>
        </w:rPr>
        <w:fldChar w:fldCharType="end"/>
      </w:r>
      <w:r w:rsidRPr="00C673E0">
        <w:rPr>
          <w:rFonts w:ascii="Times New Roman" w:hAnsi="Times New Roman"/>
          <w:sz w:val="20"/>
          <w:szCs w:val="20"/>
          <w:lang w:bidi="ar-EG"/>
        </w:rPr>
        <w:t>.</w:t>
      </w:r>
      <w:r w:rsidRPr="00C673E0">
        <w:rPr>
          <w:rFonts w:ascii="Times New Roman" w:hAnsi="Times New Roman"/>
          <w:b/>
          <w:bCs/>
          <w:sz w:val="20"/>
          <w:szCs w:val="20"/>
          <w:lang w:bidi="ar-EG"/>
        </w:rPr>
        <w:t xml:space="preserve"> (3) </w:t>
      </w:r>
      <w:r w:rsidRPr="00C673E0">
        <w:rPr>
          <w:rFonts w:ascii="Times New Roman" w:hAnsi="Times New Roman"/>
          <w:sz w:val="20"/>
          <w:szCs w:val="20"/>
          <w:lang w:bidi="ar-EG"/>
        </w:rPr>
        <w:t>Samples of whole blood (5ml) were begun taking and the serum was separated. Table (1) shows the demographic and clinical data of the study participants.</w:t>
      </w:r>
    </w:p>
    <w:p w:rsidR="008B2114" w:rsidRPr="00C673E0" w:rsidRDefault="00DE5B23" w:rsidP="00644513">
      <w:pPr>
        <w:snapToGrid w:val="0"/>
        <w:spacing w:after="0" w:line="240" w:lineRule="auto"/>
        <w:jc w:val="both"/>
        <w:rPr>
          <w:rFonts w:ascii="Times New Roman" w:hAnsi="Times New Roman"/>
          <w:b/>
          <w:bCs/>
          <w:sz w:val="20"/>
          <w:szCs w:val="20"/>
          <w:lang w:bidi="ar-EG"/>
        </w:rPr>
      </w:pPr>
      <w:r w:rsidRPr="00C673E0">
        <w:rPr>
          <w:rFonts w:ascii="Times New Roman" w:hAnsi="Times New Roman"/>
          <w:b/>
          <w:bCs/>
          <w:sz w:val="20"/>
          <w:szCs w:val="20"/>
          <w:lang w:bidi="ar-EG"/>
        </w:rPr>
        <w:t xml:space="preserve">Detection of Long Non-Coding RNA in </w:t>
      </w:r>
      <w:r w:rsidR="008B2114" w:rsidRPr="00C673E0">
        <w:rPr>
          <w:rFonts w:ascii="Times New Roman" w:hAnsi="Times New Roman"/>
          <w:b/>
          <w:bCs/>
          <w:sz w:val="20"/>
          <w:szCs w:val="20"/>
          <w:lang w:bidi="ar-EG"/>
        </w:rPr>
        <w:t>MS Patients Serum</w:t>
      </w:r>
    </w:p>
    <w:p w:rsidR="00E926DC" w:rsidRPr="00C673E0" w:rsidRDefault="004B284C" w:rsidP="00644513">
      <w:pPr>
        <w:snapToGrid w:val="0"/>
        <w:spacing w:after="0" w:line="240" w:lineRule="auto"/>
        <w:ind w:firstLine="425"/>
        <w:jc w:val="both"/>
        <w:rPr>
          <w:rFonts w:ascii="Times New Roman" w:hAnsi="Times New Roman"/>
          <w:sz w:val="20"/>
          <w:szCs w:val="20"/>
          <w:lang w:bidi="ar-EG"/>
        </w:rPr>
      </w:pPr>
      <w:r w:rsidRPr="00C673E0">
        <w:rPr>
          <w:rFonts w:ascii="Times New Roman" w:hAnsi="Times New Roman"/>
          <w:sz w:val="20"/>
          <w:szCs w:val="20"/>
          <w:lang w:bidi="ar-EG"/>
        </w:rPr>
        <w:t xml:space="preserve">Total RNA was extracted </w:t>
      </w:r>
      <w:r w:rsidR="00DF0308" w:rsidRPr="00C673E0">
        <w:rPr>
          <w:rFonts w:ascii="Times New Roman" w:hAnsi="Times New Roman"/>
          <w:sz w:val="20"/>
          <w:szCs w:val="20"/>
          <w:lang w:bidi="ar-EG"/>
        </w:rPr>
        <w:t>using the miRNeasy mini kit (Qiagen, Valencia, CA, USA) from serum as directed by the manufacturer. Using the NanoDrop®-1000 spectrophotometer (NanoDrop Technologies, Inc. Wilmington, USA), RNA samples were subjected to RNA quantitation and purity evaluation.</w:t>
      </w:r>
      <w:r w:rsidR="007518C3" w:rsidRPr="00C673E0">
        <w:rPr>
          <w:rFonts w:ascii="Times New Roman" w:hAnsi="Times New Roman"/>
          <w:sz w:val="20"/>
          <w:szCs w:val="20"/>
          <w:lang w:bidi="ar-EG"/>
        </w:rPr>
        <w:t xml:space="preserve"> </w:t>
      </w:r>
      <w:r w:rsidR="008359B4" w:rsidRPr="00C673E0">
        <w:rPr>
          <w:rFonts w:ascii="Times New Roman" w:hAnsi="Times New Roman"/>
          <w:sz w:val="20"/>
          <w:szCs w:val="20"/>
          <w:lang w:bidi="ar-EG"/>
        </w:rPr>
        <w:t xml:space="preserve">Extracted RNA was subjected to complementary DNA (cDNA) </w:t>
      </w:r>
      <w:r w:rsidR="00863EE8" w:rsidRPr="00C673E0">
        <w:rPr>
          <w:rFonts w:ascii="Times New Roman" w:hAnsi="Times New Roman"/>
          <w:sz w:val="20"/>
          <w:szCs w:val="20"/>
          <w:lang w:bidi="ar-EG"/>
        </w:rPr>
        <w:t xml:space="preserve">synthesis </w:t>
      </w:r>
      <w:r w:rsidR="008359B4" w:rsidRPr="00C673E0">
        <w:rPr>
          <w:rFonts w:ascii="Times New Roman" w:hAnsi="Times New Roman"/>
          <w:sz w:val="20"/>
          <w:szCs w:val="20"/>
          <w:lang w:bidi="ar-EG"/>
        </w:rPr>
        <w:t>by r</w:t>
      </w:r>
      <w:r w:rsidR="00E926DC" w:rsidRPr="00C673E0">
        <w:rPr>
          <w:rFonts w:ascii="Times New Roman" w:hAnsi="Times New Roman"/>
          <w:sz w:val="20"/>
          <w:szCs w:val="20"/>
          <w:lang w:bidi="ar-EG"/>
        </w:rPr>
        <w:t xml:space="preserve">everse transcription (RT) </w:t>
      </w:r>
      <w:r w:rsidR="00B90D52" w:rsidRPr="00C673E0">
        <w:rPr>
          <w:rFonts w:ascii="Times New Roman" w:hAnsi="Times New Roman"/>
          <w:sz w:val="20"/>
          <w:szCs w:val="20"/>
          <w:lang w:bidi="ar-EG"/>
        </w:rPr>
        <w:t xml:space="preserve">usage of the first strand kit RT2 (Qiagen, Valencia, CA, USA) in </w:t>
      </w:r>
      <w:r w:rsidR="00B90D52" w:rsidRPr="00C673E0">
        <w:rPr>
          <w:rFonts w:ascii="Times New Roman" w:hAnsi="Times New Roman"/>
          <w:sz w:val="20"/>
          <w:szCs w:val="20"/>
          <w:lang w:bidi="ar-EG"/>
        </w:rPr>
        <w:lastRenderedPageBreak/>
        <w:t>compliance with the instructions of the manufacturer</w:t>
      </w:r>
      <w:r w:rsidRPr="00C673E0">
        <w:rPr>
          <w:rFonts w:ascii="Times New Roman" w:hAnsi="Times New Roman"/>
          <w:sz w:val="20"/>
          <w:szCs w:val="20"/>
          <w:lang w:bidi="ar-EG"/>
        </w:rPr>
        <w:t xml:space="preserve">. </w:t>
      </w:r>
      <w:r w:rsidR="00E926DC" w:rsidRPr="00C673E0">
        <w:rPr>
          <w:rFonts w:ascii="Times New Roman" w:hAnsi="Times New Roman"/>
          <w:sz w:val="20"/>
          <w:szCs w:val="20"/>
          <w:lang w:bidi="ar-EG"/>
        </w:rPr>
        <w:t>The RT reaction was</w:t>
      </w:r>
      <w:r w:rsidR="00A26BED" w:rsidRPr="00C673E0">
        <w:rPr>
          <w:rFonts w:ascii="Times New Roman" w:hAnsi="Times New Roman"/>
          <w:b/>
          <w:bCs/>
          <w:sz w:val="20"/>
          <w:szCs w:val="20"/>
          <w:lang w:bidi="ar-EG"/>
        </w:rPr>
        <w:t xml:space="preserve"> </w:t>
      </w:r>
      <w:r w:rsidR="00A26BED" w:rsidRPr="00C673E0">
        <w:rPr>
          <w:rFonts w:ascii="Times New Roman" w:hAnsi="Times New Roman"/>
          <w:sz w:val="20"/>
          <w:szCs w:val="20"/>
          <w:lang w:bidi="ar-EG"/>
        </w:rPr>
        <w:t>done as follows;</w:t>
      </w:r>
      <w:r w:rsidR="00E926DC" w:rsidRPr="00C673E0">
        <w:rPr>
          <w:rFonts w:ascii="Times New Roman" w:hAnsi="Times New Roman"/>
          <w:b/>
          <w:bCs/>
          <w:sz w:val="20"/>
          <w:szCs w:val="20"/>
          <w:lang w:bidi="ar-EG"/>
        </w:rPr>
        <w:t xml:space="preserve"> </w:t>
      </w:r>
      <w:r w:rsidR="00A26BED" w:rsidRPr="00C673E0">
        <w:rPr>
          <w:rFonts w:ascii="Times New Roman" w:eastAsia="Times New Roman" w:hAnsi="Times New Roman"/>
          <w:sz w:val="20"/>
          <w:szCs w:val="20"/>
        </w:rPr>
        <w:t>t</w:t>
      </w:r>
      <w:r w:rsidR="00E926DC" w:rsidRPr="00C673E0">
        <w:rPr>
          <w:rFonts w:ascii="Times New Roman" w:eastAsia="Times New Roman" w:hAnsi="Times New Roman"/>
          <w:sz w:val="20"/>
          <w:szCs w:val="20"/>
        </w:rPr>
        <w:t>he reverse-transcription master mix was prepa</w:t>
      </w:r>
      <w:r w:rsidR="00A26BED" w:rsidRPr="00C673E0">
        <w:rPr>
          <w:rFonts w:ascii="Times New Roman" w:eastAsia="Times New Roman" w:hAnsi="Times New Roman"/>
          <w:sz w:val="20"/>
          <w:szCs w:val="20"/>
        </w:rPr>
        <w:t>red.</w:t>
      </w:r>
      <w:r w:rsidR="003E3C7C" w:rsidRPr="00C673E0">
        <w:rPr>
          <w:rFonts w:ascii="Times New Roman" w:eastAsia="Times New Roman" w:hAnsi="Times New Roman"/>
          <w:sz w:val="20"/>
          <w:szCs w:val="20"/>
        </w:rPr>
        <w:t xml:space="preserve"> </w:t>
      </w:r>
      <w:r w:rsidR="00B90D52" w:rsidRPr="00C673E0">
        <w:rPr>
          <w:rFonts w:ascii="Times New Roman" w:hAnsi="Times New Roman"/>
          <w:sz w:val="20"/>
          <w:szCs w:val="20"/>
          <w:lang w:bidi="ar-EG"/>
        </w:rPr>
        <w:t>For each tube containing the reverse-transcription master mix, template RNA was added.</w:t>
      </w:r>
      <w:r w:rsidR="00A26BED" w:rsidRPr="00C673E0">
        <w:rPr>
          <w:rFonts w:ascii="Times New Roman" w:hAnsi="Times New Roman"/>
          <w:sz w:val="20"/>
          <w:szCs w:val="20"/>
          <w:lang w:bidi="ar-EG"/>
        </w:rPr>
        <w:t xml:space="preserve"> Gentle mixing was done with centrifugation. Incubation was done for 60 min at 37ºC using conventional PCR. Incubation for 5 min at 95ºC was done to inactivate RT</w:t>
      </w:r>
      <w:r w:rsidR="00A26BED" w:rsidRPr="00C673E0">
        <w:rPr>
          <w:rFonts w:ascii="Times New Roman" w:hAnsi="Times New Roman"/>
          <w:sz w:val="20"/>
          <w:szCs w:val="20"/>
          <w:vertAlign w:val="superscript"/>
          <w:lang w:bidi="ar-EG"/>
        </w:rPr>
        <w:t>2</w:t>
      </w:r>
      <w:r w:rsidR="005B77C5" w:rsidRPr="00C673E0">
        <w:rPr>
          <w:rFonts w:ascii="Times New Roman" w:hAnsi="Times New Roman"/>
          <w:sz w:val="20"/>
          <w:szCs w:val="20"/>
          <w:lang w:bidi="ar-EG"/>
        </w:rPr>
        <w:t xml:space="preserve"> first strand reverse t</w:t>
      </w:r>
      <w:r w:rsidR="00A26BED" w:rsidRPr="00C673E0">
        <w:rPr>
          <w:rFonts w:ascii="Times New Roman" w:hAnsi="Times New Roman"/>
          <w:sz w:val="20"/>
          <w:szCs w:val="20"/>
          <w:lang w:bidi="ar-EG"/>
        </w:rPr>
        <w:t>ranscriptase using conventional PCR.</w:t>
      </w:r>
    </w:p>
    <w:p w:rsidR="007A7556" w:rsidRPr="00C673E0" w:rsidRDefault="007A7556" w:rsidP="00644513">
      <w:pPr>
        <w:autoSpaceDE w:val="0"/>
        <w:autoSpaceDN w:val="0"/>
        <w:adjustRightInd w:val="0"/>
        <w:snapToGrid w:val="0"/>
        <w:spacing w:before="144" w:after="144" w:line="240" w:lineRule="auto"/>
        <w:ind w:firstLine="425"/>
        <w:contextualSpacing/>
        <w:jc w:val="both"/>
        <w:rPr>
          <w:rFonts w:ascii="Times New Roman" w:eastAsia="Times New Roman" w:hAnsi="Times New Roman"/>
          <w:sz w:val="20"/>
          <w:szCs w:val="20"/>
        </w:rPr>
      </w:pPr>
      <w:r w:rsidRPr="00C673E0">
        <w:rPr>
          <w:rFonts w:ascii="Times New Roman" w:eastAsia="Times New Roman" w:hAnsi="Times New Roman"/>
          <w:b/>
          <w:bCs/>
          <w:sz w:val="20"/>
          <w:szCs w:val="20"/>
        </w:rPr>
        <w:t>Real-time qPCR</w:t>
      </w:r>
      <w:r w:rsidRPr="00C673E0">
        <w:rPr>
          <w:rFonts w:ascii="Times New Roman" w:eastAsia="Times New Roman" w:hAnsi="Times New Roman"/>
          <w:sz w:val="20"/>
          <w:szCs w:val="20"/>
        </w:rPr>
        <w:t xml:space="preserve"> was </w:t>
      </w:r>
      <w:r w:rsidR="0047286A" w:rsidRPr="00C673E0">
        <w:rPr>
          <w:rFonts w:ascii="Times New Roman" w:eastAsia="Times New Roman" w:hAnsi="Times New Roman"/>
          <w:sz w:val="20"/>
          <w:szCs w:val="20"/>
        </w:rPr>
        <w:t xml:space="preserve">performed </w:t>
      </w:r>
      <w:r w:rsidRPr="00C673E0">
        <w:rPr>
          <w:rFonts w:ascii="Times New Roman" w:eastAsia="Times New Roman" w:hAnsi="Times New Roman"/>
          <w:sz w:val="20"/>
          <w:szCs w:val="20"/>
        </w:rPr>
        <w:t xml:space="preserve">using </w:t>
      </w:r>
      <w:r w:rsidRPr="00C673E0">
        <w:rPr>
          <w:rFonts w:ascii="Times New Roman" w:eastAsia="Times New Roman" w:hAnsi="Times New Roman"/>
          <w:sz w:val="20"/>
          <w:szCs w:val="20"/>
          <w:lang w:bidi="ar-EG"/>
        </w:rPr>
        <w:t>RT</w:t>
      </w:r>
      <w:r w:rsidRPr="00C673E0">
        <w:rPr>
          <w:rFonts w:ascii="Times New Roman" w:eastAsia="Times New Roman" w:hAnsi="Times New Roman"/>
          <w:sz w:val="20"/>
          <w:szCs w:val="20"/>
          <w:vertAlign w:val="superscript"/>
          <w:lang w:bidi="ar-EG"/>
        </w:rPr>
        <w:t>2</w:t>
      </w:r>
      <w:r w:rsidRPr="00C673E0">
        <w:rPr>
          <w:rFonts w:ascii="Times New Roman" w:eastAsia="Times New Roman" w:hAnsi="Times New Roman"/>
          <w:sz w:val="20"/>
          <w:szCs w:val="20"/>
          <w:lang w:bidi="ar-EG"/>
        </w:rPr>
        <w:t xml:space="preserve"> qPCR Sybr Green/Master Mix kit and RT</w:t>
      </w:r>
      <w:r w:rsidRPr="00C673E0">
        <w:rPr>
          <w:rFonts w:ascii="Times New Roman" w:eastAsia="Times New Roman" w:hAnsi="Times New Roman"/>
          <w:sz w:val="20"/>
          <w:szCs w:val="20"/>
          <w:vertAlign w:val="superscript"/>
          <w:lang w:bidi="ar-EG"/>
        </w:rPr>
        <w:t xml:space="preserve">2 </w:t>
      </w:r>
      <w:r w:rsidRPr="00C673E0">
        <w:rPr>
          <w:rFonts w:ascii="Times New Roman" w:eastAsia="Times New Roman" w:hAnsi="Times New Roman"/>
          <w:sz w:val="20"/>
          <w:szCs w:val="20"/>
          <w:lang w:bidi="ar-EG"/>
        </w:rPr>
        <w:t>lncRNA qPCR primer assays for lncRNA-H19, lincRNA-p21 and GAPDH (used as reference gene). All these kits were purcha</w:t>
      </w:r>
      <w:r w:rsidR="00A65433" w:rsidRPr="00C673E0">
        <w:rPr>
          <w:rFonts w:ascii="Times New Roman" w:eastAsia="Times New Roman" w:hAnsi="Times New Roman"/>
          <w:sz w:val="20"/>
          <w:szCs w:val="20"/>
          <w:lang w:bidi="ar-EG"/>
        </w:rPr>
        <w:t xml:space="preserve">sed from (Qiagen, Valencia, CA, </w:t>
      </w:r>
      <w:r w:rsidRPr="00C673E0">
        <w:rPr>
          <w:rFonts w:ascii="Times New Roman" w:eastAsia="Times New Roman" w:hAnsi="Times New Roman"/>
          <w:sz w:val="20"/>
          <w:szCs w:val="20"/>
          <w:lang w:bidi="ar-EG"/>
        </w:rPr>
        <w:t xml:space="preserve">USA) with catalog no. of lncRNA-H19; </w:t>
      </w:r>
      <w:r w:rsidRPr="00C673E0">
        <w:rPr>
          <w:rFonts w:ascii="Times New Roman" w:eastAsia="Times New Roman" w:hAnsi="Times New Roman"/>
          <w:b/>
          <w:bCs/>
          <w:sz w:val="20"/>
          <w:szCs w:val="20"/>
          <w:lang w:bidi="ar-EG"/>
        </w:rPr>
        <w:t>LPH01147A-200</w:t>
      </w:r>
      <w:r w:rsidRPr="00C673E0">
        <w:rPr>
          <w:rFonts w:ascii="Times New Roman" w:eastAsia="Times New Roman" w:hAnsi="Times New Roman"/>
          <w:sz w:val="20"/>
          <w:szCs w:val="20"/>
          <w:lang w:bidi="ar-EG"/>
        </w:rPr>
        <w:t xml:space="preserve">, catalog no. of lincRNA-p21; </w:t>
      </w:r>
      <w:r w:rsidRPr="00C673E0">
        <w:rPr>
          <w:rFonts w:ascii="Times New Roman" w:eastAsia="Times New Roman" w:hAnsi="Times New Roman"/>
          <w:b/>
          <w:bCs/>
          <w:sz w:val="20"/>
          <w:szCs w:val="20"/>
          <w:lang w:bidi="ar-EG"/>
        </w:rPr>
        <w:t>LPH42417A-200</w:t>
      </w:r>
      <w:r w:rsidRPr="00C673E0">
        <w:rPr>
          <w:rFonts w:ascii="Times New Roman" w:eastAsia="Times New Roman" w:hAnsi="Times New Roman"/>
          <w:sz w:val="20"/>
          <w:szCs w:val="20"/>
          <w:lang w:bidi="ar-EG"/>
        </w:rPr>
        <w:t xml:space="preserve"> and catalog no. of GAPDH; </w:t>
      </w:r>
      <w:r w:rsidRPr="00C673E0">
        <w:rPr>
          <w:rFonts w:ascii="Times New Roman" w:eastAsia="Times New Roman" w:hAnsi="Times New Roman"/>
          <w:b/>
          <w:bCs/>
          <w:sz w:val="20"/>
          <w:szCs w:val="20"/>
          <w:lang w:bidi="ar-EG"/>
        </w:rPr>
        <w:t>QT00079247</w:t>
      </w:r>
      <w:r w:rsidRPr="00C673E0">
        <w:rPr>
          <w:rFonts w:ascii="Times New Roman" w:eastAsia="Times New Roman" w:hAnsi="Times New Roman"/>
          <w:sz w:val="20"/>
          <w:szCs w:val="20"/>
          <w:lang w:bidi="ar-EG"/>
        </w:rPr>
        <w:t xml:space="preserve">. </w:t>
      </w:r>
      <w:r w:rsidRPr="00C673E0">
        <w:rPr>
          <w:rFonts w:ascii="Times New Roman" w:eastAsia="Times New Roman" w:hAnsi="Times New Roman"/>
          <w:sz w:val="20"/>
          <w:szCs w:val="20"/>
        </w:rPr>
        <w:t xml:space="preserve">Reaction mix was prepared for a 20 μl per well reaction volume. The real-time thermocycler Rotor-gene Q System (Qiagen, USA) </w:t>
      </w:r>
      <w:r w:rsidR="002B74F5" w:rsidRPr="00C673E0">
        <w:rPr>
          <w:rFonts w:ascii="Times New Roman" w:eastAsia="Times New Roman" w:hAnsi="Times New Roman"/>
          <w:sz w:val="20"/>
          <w:szCs w:val="20"/>
        </w:rPr>
        <w:t xml:space="preserve">has been </w:t>
      </w:r>
      <w:r w:rsidR="00A65433" w:rsidRPr="00C673E0">
        <w:rPr>
          <w:rFonts w:ascii="Times New Roman" w:eastAsia="Times New Roman" w:hAnsi="Times New Roman"/>
          <w:sz w:val="20"/>
          <w:szCs w:val="20"/>
        </w:rPr>
        <w:t xml:space="preserve">programmed </w:t>
      </w:r>
      <w:r w:rsidR="006875DD" w:rsidRPr="00C673E0">
        <w:rPr>
          <w:rFonts w:ascii="Times New Roman" w:eastAsia="Times New Roman" w:hAnsi="Times New Roman"/>
          <w:sz w:val="20"/>
          <w:szCs w:val="20"/>
        </w:rPr>
        <w:t xml:space="preserve">in accordance with </w:t>
      </w:r>
      <w:r w:rsidR="00A65433" w:rsidRPr="00C673E0">
        <w:rPr>
          <w:rFonts w:ascii="Times New Roman" w:eastAsia="Times New Roman" w:hAnsi="Times New Roman"/>
          <w:sz w:val="20"/>
          <w:szCs w:val="20"/>
        </w:rPr>
        <w:t>table (2</w:t>
      </w:r>
      <w:r w:rsidRPr="00C673E0">
        <w:rPr>
          <w:rFonts w:ascii="Times New Roman" w:eastAsia="Times New Roman" w:hAnsi="Times New Roman"/>
          <w:sz w:val="20"/>
          <w:szCs w:val="20"/>
        </w:rPr>
        <w:t xml:space="preserve">). </w:t>
      </w:r>
      <w:bookmarkStart w:id="0" w:name="_Toc490807055"/>
    </w:p>
    <w:p w:rsidR="000F71AB" w:rsidRPr="00C673E0" w:rsidRDefault="000F71AB" w:rsidP="00644513">
      <w:pPr>
        <w:snapToGrid w:val="0"/>
        <w:spacing w:after="0" w:line="240" w:lineRule="auto"/>
        <w:jc w:val="both"/>
        <w:rPr>
          <w:rFonts w:ascii="Times New Roman" w:eastAsia="Times New Roman" w:hAnsi="Times New Roman"/>
          <w:b/>
          <w:bCs/>
          <w:sz w:val="20"/>
          <w:szCs w:val="20"/>
          <w:lang w:val="de-DE"/>
        </w:rPr>
        <w:sectPr w:rsidR="000F71AB" w:rsidRPr="00C673E0" w:rsidSect="000F71AB">
          <w:type w:val="continuous"/>
          <w:pgSz w:w="12240" w:h="15840" w:code="9"/>
          <w:pgMar w:top="1440" w:right="1440" w:bottom="1440" w:left="1440" w:header="720" w:footer="720" w:gutter="0"/>
          <w:cols w:num="2" w:space="550"/>
          <w:docGrid w:linePitch="360"/>
        </w:sectPr>
      </w:pPr>
    </w:p>
    <w:p w:rsidR="003E3F44" w:rsidRPr="00C673E0" w:rsidRDefault="003E3F44" w:rsidP="00644513">
      <w:pPr>
        <w:snapToGrid w:val="0"/>
        <w:spacing w:after="0" w:line="240" w:lineRule="auto"/>
        <w:jc w:val="both"/>
        <w:rPr>
          <w:rFonts w:ascii="Times New Roman" w:eastAsia="Times New Roman" w:hAnsi="Times New Roman"/>
          <w:b/>
          <w:bCs/>
          <w:sz w:val="20"/>
          <w:szCs w:val="20"/>
          <w:lang w:val="de-DE"/>
        </w:rPr>
      </w:pPr>
    </w:p>
    <w:p w:rsidR="007A7556" w:rsidRPr="00C673E0" w:rsidRDefault="003E3F44" w:rsidP="006D0665">
      <w:pPr>
        <w:snapToGrid w:val="0"/>
        <w:spacing w:after="0" w:line="240" w:lineRule="auto"/>
        <w:jc w:val="center"/>
        <w:rPr>
          <w:rFonts w:ascii="Times New Roman" w:eastAsia="Times New Roman" w:hAnsi="Times New Roman"/>
          <w:b/>
          <w:bCs/>
          <w:sz w:val="20"/>
          <w:szCs w:val="20"/>
        </w:rPr>
      </w:pPr>
      <w:r w:rsidRPr="00C673E0">
        <w:rPr>
          <w:rFonts w:ascii="Times New Roman" w:eastAsia="Times New Roman" w:hAnsi="Times New Roman"/>
          <w:b/>
          <w:bCs/>
          <w:sz w:val="20"/>
          <w:szCs w:val="20"/>
          <w:lang w:val="de-DE"/>
        </w:rPr>
        <w:t>T</w:t>
      </w:r>
      <w:r w:rsidR="007A7556" w:rsidRPr="00C673E0">
        <w:rPr>
          <w:rFonts w:ascii="Times New Roman" w:eastAsia="Times New Roman" w:hAnsi="Times New Roman"/>
          <w:b/>
          <w:bCs/>
          <w:sz w:val="20"/>
          <w:szCs w:val="20"/>
          <w:lang w:val="de-DE"/>
        </w:rPr>
        <w:t>able (</w:t>
      </w:r>
      <w:r w:rsidR="00A65433" w:rsidRPr="00C673E0">
        <w:rPr>
          <w:rFonts w:ascii="Times New Roman" w:eastAsia="Times New Roman" w:hAnsi="Times New Roman"/>
          <w:b/>
          <w:sz w:val="20"/>
          <w:szCs w:val="20"/>
          <w:lang w:val="de-DE"/>
        </w:rPr>
        <w:t>2</w:t>
      </w:r>
      <w:r w:rsidR="007A7556" w:rsidRPr="00C673E0">
        <w:rPr>
          <w:rFonts w:ascii="Times New Roman" w:eastAsia="Times New Roman" w:hAnsi="Times New Roman"/>
          <w:b/>
          <w:bCs/>
          <w:sz w:val="20"/>
          <w:szCs w:val="20"/>
          <w:lang w:val="de-DE"/>
        </w:rPr>
        <w:t xml:space="preserve">): The </w:t>
      </w:r>
      <w:bookmarkEnd w:id="0"/>
      <w:r w:rsidR="007A7556" w:rsidRPr="00C673E0">
        <w:rPr>
          <w:rFonts w:ascii="Times New Roman" w:eastAsia="Times New Roman" w:hAnsi="Times New Roman"/>
          <w:b/>
          <w:bCs/>
          <w:sz w:val="20"/>
          <w:szCs w:val="20"/>
        </w:rPr>
        <w:t>real-time thermocycler</w:t>
      </w:r>
      <w:r w:rsidR="007A7556" w:rsidRPr="00C673E0">
        <w:rPr>
          <w:rFonts w:ascii="Times New Roman" w:eastAsia="Times New Roman" w:hAnsi="Times New Roman"/>
          <w:b/>
          <w:bCs/>
          <w:sz w:val="20"/>
          <w:szCs w:val="20"/>
          <w:lang w:val="de-DE"/>
        </w:rPr>
        <w:t xml:space="preserve"> programming: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175"/>
        <w:gridCol w:w="851"/>
        <w:gridCol w:w="1702"/>
        <w:gridCol w:w="3746"/>
      </w:tblGrid>
      <w:tr w:rsidR="000C0E36" w:rsidRPr="00C673E0" w:rsidTr="00C673E0">
        <w:trPr>
          <w:cantSplit/>
          <w:jc w:val="center"/>
        </w:trPr>
        <w:tc>
          <w:tcPr>
            <w:tcW w:w="1676" w:type="pct"/>
            <w:shd w:val="clear" w:color="auto" w:fill="D9D9D9"/>
            <w:vAlign w:val="center"/>
            <w:hideMark/>
          </w:tcPr>
          <w:p w:rsidR="007A7556" w:rsidRPr="00C673E0" w:rsidRDefault="007A7556" w:rsidP="00644513">
            <w:pPr>
              <w:snapToGrid w:val="0"/>
              <w:spacing w:after="0" w:line="240" w:lineRule="auto"/>
              <w:jc w:val="both"/>
              <w:rPr>
                <w:rFonts w:ascii="Times New Roman" w:eastAsia="Times New Roman" w:hAnsi="Times New Roman"/>
                <w:b/>
                <w:bCs/>
                <w:sz w:val="20"/>
                <w:szCs w:val="20"/>
              </w:rPr>
            </w:pPr>
            <w:r w:rsidRPr="00C673E0">
              <w:rPr>
                <w:rFonts w:ascii="Times New Roman" w:eastAsia="Times New Roman" w:hAnsi="Times New Roman"/>
                <w:b/>
                <w:bCs/>
                <w:sz w:val="20"/>
                <w:szCs w:val="20"/>
              </w:rPr>
              <w:t>Step</w:t>
            </w:r>
          </w:p>
        </w:tc>
        <w:tc>
          <w:tcPr>
            <w:tcW w:w="449" w:type="pct"/>
            <w:shd w:val="clear" w:color="auto" w:fill="D9D9D9"/>
            <w:vAlign w:val="center"/>
            <w:hideMark/>
          </w:tcPr>
          <w:p w:rsidR="007A7556" w:rsidRPr="00C673E0" w:rsidRDefault="007A7556" w:rsidP="00644513">
            <w:pPr>
              <w:snapToGrid w:val="0"/>
              <w:spacing w:after="0" w:line="240" w:lineRule="auto"/>
              <w:jc w:val="both"/>
              <w:rPr>
                <w:rFonts w:ascii="Times New Roman" w:eastAsia="Times New Roman" w:hAnsi="Times New Roman"/>
                <w:b/>
                <w:bCs/>
                <w:sz w:val="20"/>
                <w:szCs w:val="20"/>
              </w:rPr>
            </w:pPr>
            <w:r w:rsidRPr="00C673E0">
              <w:rPr>
                <w:rFonts w:ascii="Times New Roman" w:eastAsia="Times New Roman" w:hAnsi="Times New Roman"/>
                <w:b/>
                <w:bCs/>
                <w:sz w:val="20"/>
                <w:szCs w:val="20"/>
              </w:rPr>
              <w:t>Time</w:t>
            </w:r>
          </w:p>
        </w:tc>
        <w:tc>
          <w:tcPr>
            <w:tcW w:w="898" w:type="pct"/>
            <w:shd w:val="clear" w:color="auto" w:fill="D9D9D9"/>
            <w:vAlign w:val="center"/>
            <w:hideMark/>
          </w:tcPr>
          <w:p w:rsidR="007A7556" w:rsidRPr="00C673E0" w:rsidRDefault="007A7556" w:rsidP="00644513">
            <w:pPr>
              <w:snapToGrid w:val="0"/>
              <w:spacing w:after="0" w:line="240" w:lineRule="auto"/>
              <w:jc w:val="both"/>
              <w:rPr>
                <w:rFonts w:ascii="Times New Roman" w:eastAsia="Times New Roman" w:hAnsi="Times New Roman"/>
                <w:b/>
                <w:bCs/>
                <w:sz w:val="20"/>
                <w:szCs w:val="20"/>
              </w:rPr>
            </w:pPr>
            <w:r w:rsidRPr="00C673E0">
              <w:rPr>
                <w:rFonts w:ascii="Times New Roman" w:eastAsia="Times New Roman" w:hAnsi="Times New Roman"/>
                <w:b/>
                <w:bCs/>
                <w:sz w:val="20"/>
                <w:szCs w:val="20"/>
              </w:rPr>
              <w:t>Temperature</w:t>
            </w:r>
          </w:p>
        </w:tc>
        <w:tc>
          <w:tcPr>
            <w:tcW w:w="1977" w:type="pct"/>
            <w:shd w:val="clear" w:color="auto" w:fill="D9D9D9"/>
            <w:vAlign w:val="center"/>
            <w:hideMark/>
          </w:tcPr>
          <w:p w:rsidR="007A7556" w:rsidRPr="00C673E0" w:rsidRDefault="007A7556" w:rsidP="00644513">
            <w:pPr>
              <w:snapToGrid w:val="0"/>
              <w:spacing w:after="0" w:line="240" w:lineRule="auto"/>
              <w:jc w:val="both"/>
              <w:rPr>
                <w:rFonts w:ascii="Times New Roman" w:eastAsia="Times New Roman" w:hAnsi="Times New Roman"/>
                <w:b/>
                <w:bCs/>
                <w:sz w:val="20"/>
                <w:szCs w:val="20"/>
              </w:rPr>
            </w:pPr>
            <w:r w:rsidRPr="00C673E0">
              <w:rPr>
                <w:rFonts w:ascii="Times New Roman" w:eastAsia="Times New Roman" w:hAnsi="Times New Roman"/>
                <w:b/>
                <w:bCs/>
                <w:sz w:val="20"/>
                <w:szCs w:val="20"/>
              </w:rPr>
              <w:t>Additional Comments</w:t>
            </w:r>
          </w:p>
        </w:tc>
      </w:tr>
      <w:tr w:rsidR="000C0E36" w:rsidRPr="00C673E0" w:rsidTr="00C673E0">
        <w:trPr>
          <w:cantSplit/>
          <w:jc w:val="center"/>
        </w:trPr>
        <w:tc>
          <w:tcPr>
            <w:tcW w:w="1676" w:type="pct"/>
            <w:vAlign w:val="center"/>
            <w:hideMark/>
          </w:tcPr>
          <w:p w:rsidR="007A7556" w:rsidRPr="00C673E0" w:rsidRDefault="007A7556" w:rsidP="00644513">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b/>
                <w:bCs/>
                <w:sz w:val="20"/>
                <w:szCs w:val="20"/>
              </w:rPr>
              <w:t xml:space="preserve"> Initial activation step</w:t>
            </w:r>
            <w:r w:rsidRPr="00C673E0">
              <w:rPr>
                <w:rFonts w:ascii="Times New Roman" w:eastAsia="Times New Roman" w:hAnsi="Times New Roman"/>
                <w:sz w:val="20"/>
                <w:szCs w:val="20"/>
              </w:rPr>
              <w:t xml:space="preserve"> (holding step)</w:t>
            </w:r>
          </w:p>
        </w:tc>
        <w:tc>
          <w:tcPr>
            <w:tcW w:w="449" w:type="pct"/>
            <w:vAlign w:val="center"/>
            <w:hideMark/>
          </w:tcPr>
          <w:p w:rsidR="007A7556" w:rsidRPr="00C673E0" w:rsidRDefault="007A7556" w:rsidP="00644513">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sz w:val="20"/>
                <w:szCs w:val="20"/>
              </w:rPr>
              <w:t>10 min</w:t>
            </w:r>
          </w:p>
        </w:tc>
        <w:tc>
          <w:tcPr>
            <w:tcW w:w="898" w:type="pct"/>
            <w:vAlign w:val="center"/>
            <w:hideMark/>
          </w:tcPr>
          <w:p w:rsidR="007A7556" w:rsidRPr="00C673E0" w:rsidRDefault="007A7556" w:rsidP="00644513">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sz w:val="20"/>
                <w:szCs w:val="20"/>
              </w:rPr>
              <w:t>95ºC</w:t>
            </w:r>
          </w:p>
        </w:tc>
        <w:tc>
          <w:tcPr>
            <w:tcW w:w="1977" w:type="pct"/>
            <w:vAlign w:val="center"/>
            <w:hideMark/>
          </w:tcPr>
          <w:p w:rsidR="007A7556" w:rsidRPr="00C673E0" w:rsidRDefault="007A7556" w:rsidP="00644513">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sz w:val="20"/>
                <w:szCs w:val="20"/>
              </w:rPr>
              <w:t>HotStar Taq DNA Polymerase is activated by this heating step</w:t>
            </w:r>
          </w:p>
        </w:tc>
      </w:tr>
      <w:tr w:rsidR="000C0E36" w:rsidRPr="00C673E0" w:rsidTr="00C673E0">
        <w:trPr>
          <w:cantSplit/>
          <w:jc w:val="center"/>
        </w:trPr>
        <w:tc>
          <w:tcPr>
            <w:tcW w:w="1676" w:type="pct"/>
            <w:vAlign w:val="center"/>
            <w:hideMark/>
          </w:tcPr>
          <w:p w:rsidR="007A7556" w:rsidRPr="00C673E0" w:rsidRDefault="007A7556" w:rsidP="00644513">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sz w:val="20"/>
                <w:szCs w:val="20"/>
              </w:rPr>
              <w:t xml:space="preserve">2-step cycling (45cycles): </w:t>
            </w:r>
          </w:p>
          <w:p w:rsidR="007A7556" w:rsidRPr="00C673E0" w:rsidRDefault="007A7556" w:rsidP="00644513">
            <w:pPr>
              <w:snapToGrid w:val="0"/>
              <w:spacing w:after="0" w:line="240" w:lineRule="auto"/>
              <w:jc w:val="both"/>
              <w:rPr>
                <w:rFonts w:ascii="Times New Roman" w:eastAsia="Times New Roman" w:hAnsi="Times New Roman"/>
                <w:b/>
                <w:bCs/>
                <w:sz w:val="20"/>
                <w:szCs w:val="20"/>
              </w:rPr>
            </w:pPr>
            <w:r w:rsidRPr="00C673E0">
              <w:rPr>
                <w:rFonts w:ascii="Times New Roman" w:eastAsia="Times New Roman" w:hAnsi="Times New Roman"/>
                <w:b/>
                <w:bCs/>
                <w:sz w:val="20"/>
                <w:szCs w:val="20"/>
              </w:rPr>
              <w:t xml:space="preserve">Denaturation </w:t>
            </w:r>
          </w:p>
          <w:p w:rsidR="007A7556" w:rsidRPr="00C673E0" w:rsidRDefault="007A7556" w:rsidP="00644513">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b/>
                <w:bCs/>
                <w:sz w:val="20"/>
                <w:szCs w:val="20"/>
              </w:rPr>
              <w:t xml:space="preserve">Annealing </w:t>
            </w:r>
            <w:r w:rsidRPr="00C673E0">
              <w:rPr>
                <w:rFonts w:ascii="Times New Roman" w:eastAsia="Times New Roman" w:hAnsi="Times New Roman"/>
                <w:sz w:val="20"/>
                <w:szCs w:val="20"/>
              </w:rPr>
              <w:t xml:space="preserve">and </w:t>
            </w:r>
            <w:r w:rsidRPr="00C673E0">
              <w:rPr>
                <w:rFonts w:ascii="Times New Roman" w:eastAsia="Times New Roman" w:hAnsi="Times New Roman"/>
                <w:b/>
                <w:bCs/>
                <w:sz w:val="20"/>
                <w:szCs w:val="20"/>
              </w:rPr>
              <w:t>Extension</w:t>
            </w:r>
          </w:p>
        </w:tc>
        <w:tc>
          <w:tcPr>
            <w:tcW w:w="449" w:type="pct"/>
            <w:vAlign w:val="center"/>
          </w:tcPr>
          <w:p w:rsidR="007A7556" w:rsidRPr="00C673E0" w:rsidRDefault="007A7556" w:rsidP="00644513">
            <w:pPr>
              <w:snapToGrid w:val="0"/>
              <w:spacing w:after="0" w:line="240" w:lineRule="auto"/>
              <w:jc w:val="both"/>
              <w:rPr>
                <w:rFonts w:ascii="Times New Roman" w:eastAsia="Times New Roman" w:hAnsi="Times New Roman"/>
                <w:sz w:val="20"/>
                <w:szCs w:val="20"/>
              </w:rPr>
            </w:pPr>
          </w:p>
          <w:p w:rsidR="007A7556" w:rsidRPr="00C673E0" w:rsidRDefault="007A7556" w:rsidP="00644513">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sz w:val="20"/>
                <w:szCs w:val="20"/>
              </w:rPr>
              <w:t>15 s</w:t>
            </w:r>
          </w:p>
          <w:p w:rsidR="007A7556" w:rsidRPr="00C673E0" w:rsidRDefault="007A7556"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sz w:val="20"/>
                <w:szCs w:val="20"/>
              </w:rPr>
              <w:t>60 s</w:t>
            </w:r>
          </w:p>
        </w:tc>
        <w:tc>
          <w:tcPr>
            <w:tcW w:w="898" w:type="pct"/>
            <w:vAlign w:val="center"/>
          </w:tcPr>
          <w:p w:rsidR="007A7556" w:rsidRPr="00C673E0" w:rsidRDefault="007A7556" w:rsidP="00644513">
            <w:pPr>
              <w:snapToGrid w:val="0"/>
              <w:spacing w:after="0" w:line="240" w:lineRule="auto"/>
              <w:jc w:val="both"/>
              <w:rPr>
                <w:rFonts w:ascii="Times New Roman" w:eastAsia="Times New Roman" w:hAnsi="Times New Roman"/>
                <w:sz w:val="20"/>
                <w:szCs w:val="20"/>
              </w:rPr>
            </w:pPr>
          </w:p>
          <w:p w:rsidR="007A7556" w:rsidRPr="00C673E0" w:rsidRDefault="007A7556" w:rsidP="00644513">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sz w:val="20"/>
                <w:szCs w:val="20"/>
              </w:rPr>
              <w:t>95ºC</w:t>
            </w:r>
          </w:p>
          <w:p w:rsidR="007A7556" w:rsidRPr="00C673E0" w:rsidRDefault="007A7556" w:rsidP="006D0665">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sz w:val="20"/>
                <w:szCs w:val="20"/>
              </w:rPr>
              <w:t>60ºC</w:t>
            </w:r>
          </w:p>
        </w:tc>
        <w:tc>
          <w:tcPr>
            <w:tcW w:w="1977" w:type="pct"/>
            <w:vAlign w:val="center"/>
          </w:tcPr>
          <w:p w:rsidR="007A7556" w:rsidRPr="00C673E0" w:rsidRDefault="007A7556" w:rsidP="00644513">
            <w:pPr>
              <w:snapToGrid w:val="0"/>
              <w:spacing w:after="0" w:line="240" w:lineRule="auto"/>
              <w:jc w:val="both"/>
              <w:rPr>
                <w:rFonts w:ascii="Times New Roman" w:eastAsia="Times New Roman" w:hAnsi="Times New Roman"/>
                <w:sz w:val="20"/>
                <w:szCs w:val="20"/>
              </w:rPr>
            </w:pPr>
          </w:p>
          <w:p w:rsidR="007A7556" w:rsidRPr="00C673E0" w:rsidRDefault="007A7556" w:rsidP="00644513">
            <w:pPr>
              <w:snapToGrid w:val="0"/>
              <w:spacing w:after="0" w:line="240" w:lineRule="auto"/>
              <w:jc w:val="both"/>
              <w:rPr>
                <w:rFonts w:ascii="Times New Roman" w:eastAsia="Times New Roman" w:hAnsi="Times New Roman"/>
                <w:sz w:val="20"/>
                <w:szCs w:val="20"/>
              </w:rPr>
            </w:pPr>
            <w:r w:rsidRPr="00C673E0">
              <w:rPr>
                <w:rFonts w:ascii="Times New Roman" w:eastAsia="Times New Roman" w:hAnsi="Times New Roman"/>
                <w:sz w:val="20"/>
                <w:szCs w:val="20"/>
              </w:rPr>
              <w:t>Perform fluorescence data collection.</w:t>
            </w:r>
          </w:p>
        </w:tc>
      </w:tr>
    </w:tbl>
    <w:p w:rsidR="003E3F44" w:rsidRPr="00C673E0" w:rsidRDefault="003E3F44" w:rsidP="00644513">
      <w:pPr>
        <w:snapToGrid w:val="0"/>
        <w:spacing w:after="0" w:line="240" w:lineRule="auto"/>
        <w:ind w:firstLine="425"/>
        <w:jc w:val="both"/>
        <w:rPr>
          <w:rFonts w:ascii="Times New Roman" w:hAnsi="Times New Roman"/>
          <w:sz w:val="20"/>
          <w:szCs w:val="20"/>
          <w:lang w:eastAsia="zh-CN" w:bidi="ar-EG"/>
        </w:rPr>
      </w:pPr>
    </w:p>
    <w:p w:rsidR="000F71AB" w:rsidRPr="00C673E0" w:rsidRDefault="000F71AB" w:rsidP="00644513">
      <w:pPr>
        <w:snapToGrid w:val="0"/>
        <w:spacing w:after="0" w:line="240" w:lineRule="auto"/>
        <w:ind w:firstLine="425"/>
        <w:jc w:val="both"/>
        <w:rPr>
          <w:rFonts w:ascii="Times New Roman" w:eastAsia="Times New Roman" w:hAnsi="Times New Roman"/>
          <w:sz w:val="20"/>
          <w:szCs w:val="20"/>
          <w:lang w:bidi="ar-EG"/>
        </w:rPr>
        <w:sectPr w:rsidR="000F71AB" w:rsidRPr="00C673E0" w:rsidSect="003E3F44">
          <w:type w:val="continuous"/>
          <w:pgSz w:w="12240" w:h="15840" w:code="9"/>
          <w:pgMar w:top="1440" w:right="1440" w:bottom="1440" w:left="1440" w:header="720" w:footer="720" w:gutter="0"/>
          <w:cols w:space="720"/>
          <w:docGrid w:linePitch="360"/>
        </w:sectPr>
      </w:pPr>
    </w:p>
    <w:p w:rsidR="007A7556" w:rsidRPr="00C673E0" w:rsidRDefault="001F2BED" w:rsidP="00644513">
      <w:pPr>
        <w:snapToGrid w:val="0"/>
        <w:spacing w:after="0" w:line="240" w:lineRule="auto"/>
        <w:ind w:firstLine="425"/>
        <w:jc w:val="both"/>
        <w:rPr>
          <w:rFonts w:ascii="Times New Roman" w:eastAsia="Times New Roman" w:hAnsi="Times New Roman"/>
          <w:b/>
          <w:bCs/>
          <w:sz w:val="20"/>
          <w:szCs w:val="20"/>
          <w:lang w:bidi="ar-EG"/>
        </w:rPr>
      </w:pPr>
      <w:r w:rsidRPr="00C673E0">
        <w:rPr>
          <w:rFonts w:ascii="Times New Roman" w:eastAsia="Times New Roman" w:hAnsi="Times New Roman"/>
          <w:sz w:val="20"/>
          <w:szCs w:val="20"/>
          <w:lang w:bidi="ar-EG"/>
        </w:rPr>
        <w:lastRenderedPageBreak/>
        <w:t xml:space="preserve">To ensure the specificity of the related PCR reactions, a melt curve analysis was performed. </w:t>
      </w:r>
      <w:r w:rsidR="008C4AC2" w:rsidRPr="00C673E0">
        <w:rPr>
          <w:rFonts w:ascii="Times New Roman" w:eastAsia="Times New Roman" w:hAnsi="Times New Roman"/>
          <w:sz w:val="20"/>
          <w:szCs w:val="20"/>
          <w:lang w:bidi="ar-EG"/>
        </w:rPr>
        <w:t>For data analysis, the Cycle Threshold (CT) values are exported to an Excel file and submitted to the RT2 PCR Array data analysis web portal at https:/www.qiagen.com/dataanalysiscenter, indicating the fractional cycle number at which the quantity of amplified target reaches a fixed threshold.</w:t>
      </w:r>
      <w:r w:rsidR="005B5BA4" w:rsidRPr="00C673E0">
        <w:rPr>
          <w:rFonts w:ascii="Times New Roman" w:eastAsia="Times New Roman" w:hAnsi="Times New Roman"/>
          <w:sz w:val="20"/>
          <w:szCs w:val="20"/>
          <w:lang w:bidi="ar-EG"/>
        </w:rPr>
        <w:t xml:space="preserve"> </w:t>
      </w:r>
      <w:r w:rsidR="007A7556" w:rsidRPr="00C673E0">
        <w:rPr>
          <w:rFonts w:ascii="Times New Roman" w:eastAsia="Times New Roman" w:hAnsi="Times New Roman"/>
          <w:sz w:val="20"/>
          <w:szCs w:val="20"/>
          <w:lang w:bidi="ar-EG"/>
        </w:rPr>
        <w:t xml:space="preserve">Using the data analysis of web portal, </w:t>
      </w:r>
      <w:r w:rsidR="00B420D9" w:rsidRPr="00C673E0">
        <w:rPr>
          <w:rFonts w:ascii="Times New Roman" w:eastAsia="Times New Roman" w:hAnsi="Times New Roman"/>
          <w:sz w:val="20"/>
          <w:szCs w:val="20"/>
          <w:lang w:bidi="ar-EG"/>
        </w:rPr>
        <w:t xml:space="preserve">Using the 2−∆∆CT method for relative quantification, fold change was calculated in which ΔCT was calculated among the gene of interest and the average reference gene, accompanied by ΔΔCT calculations [ΔCT (patient)-ΔCT (control)]. </w:t>
      </w:r>
      <w:r w:rsidR="007A7556" w:rsidRPr="00C673E0">
        <w:rPr>
          <w:rFonts w:ascii="Times New Roman" w:eastAsia="Times New Roman" w:hAnsi="Times New Roman"/>
          <w:sz w:val="20"/>
          <w:szCs w:val="20"/>
          <w:lang w:bidi="ar-EG"/>
        </w:rPr>
        <w:t>Fold change was then calculated using 2</w:t>
      </w:r>
      <w:r w:rsidR="007A7556" w:rsidRPr="00C673E0">
        <w:rPr>
          <w:rFonts w:ascii="Times New Roman" w:eastAsia="Times New Roman" w:hAnsi="Times New Roman"/>
          <w:sz w:val="20"/>
          <w:szCs w:val="20"/>
          <w:vertAlign w:val="superscript"/>
          <w:lang w:bidi="ar-EG"/>
        </w:rPr>
        <w:t xml:space="preserve">-ΔΔCT </w:t>
      </w:r>
      <w:r w:rsidR="007A7556" w:rsidRPr="00C673E0">
        <w:rPr>
          <w:rFonts w:ascii="Times New Roman" w:eastAsia="Times New Roman" w:hAnsi="Times New Roman"/>
          <w:sz w:val="20"/>
          <w:szCs w:val="20"/>
          <w:lang w:bidi="ar-EG"/>
        </w:rPr>
        <w:t>formula (</w:t>
      </w:r>
      <w:r w:rsidR="007A7556" w:rsidRPr="00C673E0">
        <w:rPr>
          <w:rFonts w:ascii="Times New Roman" w:eastAsia="Times New Roman" w:hAnsi="Times New Roman"/>
          <w:b/>
          <w:bCs/>
          <w:sz w:val="20"/>
          <w:szCs w:val="20"/>
          <w:lang w:bidi="ar-EG"/>
        </w:rPr>
        <w:t>Livak and Schmittgen, 2001)</w:t>
      </w:r>
      <w:r w:rsidR="007A7556" w:rsidRPr="00C673E0">
        <w:rPr>
          <w:rFonts w:ascii="Times New Roman" w:eastAsia="Times New Roman" w:hAnsi="Times New Roman"/>
          <w:sz w:val="20"/>
          <w:szCs w:val="20"/>
          <w:lang w:bidi="ar-EG"/>
        </w:rPr>
        <w:t xml:space="preserve">. </w:t>
      </w:r>
      <w:r w:rsidR="00B743C5" w:rsidRPr="00C673E0">
        <w:rPr>
          <w:rFonts w:ascii="Times New Roman" w:eastAsia="Times New Roman" w:hAnsi="Times New Roman"/>
          <w:sz w:val="20"/>
          <w:szCs w:val="20"/>
          <w:lang w:bidi="ar-EG"/>
        </w:rPr>
        <w:t xml:space="preserve">Values of fold change greater than 1 indicate positive or up-regulation, and fold-regulation is equal to the fold change. A negative or down-regulation is indicated by fold change values less than 1 and the fold regulation is the negative inverse of the fold-change </w:t>
      </w:r>
      <w:r w:rsidR="007A7556" w:rsidRPr="00C673E0">
        <w:rPr>
          <w:rFonts w:ascii="Times New Roman" w:eastAsia="Times New Roman" w:hAnsi="Times New Roman"/>
          <w:b/>
          <w:bCs/>
          <w:sz w:val="20"/>
          <w:szCs w:val="20"/>
          <w:lang w:bidi="ar-EG"/>
        </w:rPr>
        <w:t xml:space="preserve">(Santoro </w:t>
      </w:r>
      <w:r w:rsidR="007A7556" w:rsidRPr="00C673E0">
        <w:rPr>
          <w:rFonts w:ascii="Times New Roman" w:eastAsia="Times New Roman" w:hAnsi="Times New Roman"/>
          <w:b/>
          <w:bCs/>
          <w:i/>
          <w:iCs/>
          <w:sz w:val="20"/>
          <w:szCs w:val="20"/>
          <w:lang w:bidi="ar-EG"/>
        </w:rPr>
        <w:t>et al.</w:t>
      </w:r>
      <w:r w:rsidR="007A7556" w:rsidRPr="00C673E0">
        <w:rPr>
          <w:rFonts w:ascii="Times New Roman" w:eastAsia="Times New Roman" w:hAnsi="Times New Roman"/>
          <w:b/>
          <w:bCs/>
          <w:sz w:val="20"/>
          <w:szCs w:val="20"/>
          <w:lang w:bidi="ar-EG"/>
        </w:rPr>
        <w:t>, 2016)</w:t>
      </w:r>
      <w:r w:rsidR="007A7556" w:rsidRPr="00C673E0">
        <w:rPr>
          <w:rFonts w:ascii="Times New Roman" w:eastAsia="Times New Roman" w:hAnsi="Times New Roman"/>
          <w:sz w:val="20"/>
          <w:szCs w:val="20"/>
          <w:lang w:bidi="ar-EG"/>
        </w:rPr>
        <w:t>.</w:t>
      </w:r>
    </w:p>
    <w:p w:rsidR="00FF1B3F" w:rsidRPr="00C673E0" w:rsidRDefault="00FF1B3F" w:rsidP="006D0665">
      <w:pPr>
        <w:snapToGrid w:val="0"/>
        <w:spacing w:after="0" w:line="240" w:lineRule="auto"/>
        <w:jc w:val="both"/>
        <w:rPr>
          <w:rFonts w:ascii="Times New Roman" w:eastAsia="Times New Roman" w:hAnsi="Times New Roman"/>
          <w:sz w:val="20"/>
          <w:szCs w:val="20"/>
          <w:lang w:bidi="ar-EG"/>
        </w:rPr>
      </w:pPr>
      <w:r w:rsidRPr="00C673E0">
        <w:rPr>
          <w:rFonts w:ascii="Times New Roman" w:eastAsia="Times New Roman" w:hAnsi="Times New Roman"/>
          <w:b/>
          <w:bCs/>
          <w:sz w:val="20"/>
          <w:szCs w:val="20"/>
          <w:lang w:bidi="ar-EG"/>
        </w:rPr>
        <w:t>Statistical Analysis</w:t>
      </w:r>
      <w:r w:rsidRPr="00C673E0">
        <w:rPr>
          <w:rFonts w:ascii="Times New Roman" w:eastAsia="Batang" w:hAnsi="Times New Roman"/>
          <w:sz w:val="20"/>
          <w:szCs w:val="20"/>
        </w:rPr>
        <w:t xml:space="preserve">: </w:t>
      </w:r>
    </w:p>
    <w:p w:rsidR="003D3700" w:rsidRPr="00C673E0" w:rsidRDefault="00FF1B3F" w:rsidP="00644513">
      <w:pPr>
        <w:snapToGrid w:val="0"/>
        <w:spacing w:after="0" w:line="240" w:lineRule="auto"/>
        <w:ind w:firstLine="425"/>
        <w:jc w:val="both"/>
        <w:rPr>
          <w:rFonts w:ascii="Times New Roman" w:eastAsia="Calibri" w:hAnsi="Times New Roman"/>
          <w:sz w:val="20"/>
          <w:szCs w:val="20"/>
          <w:lang w:bidi="ar-EG"/>
        </w:rPr>
      </w:pPr>
      <w:r w:rsidRPr="00C673E0">
        <w:rPr>
          <w:rFonts w:ascii="Times New Roman" w:eastAsia="Calibri" w:hAnsi="Times New Roman"/>
          <w:sz w:val="20"/>
          <w:szCs w:val="20"/>
          <w:lang w:bidi="ar-EG"/>
        </w:rPr>
        <w:t xml:space="preserve">Data were coded and entered using </w:t>
      </w:r>
      <w:r w:rsidR="000466CA" w:rsidRPr="00C673E0">
        <w:rPr>
          <w:rFonts w:ascii="Times New Roman" w:eastAsia="Calibri" w:hAnsi="Times New Roman"/>
          <w:sz w:val="20"/>
          <w:szCs w:val="20"/>
          <w:lang w:bidi="ar-EG"/>
        </w:rPr>
        <w:t>version 25 of the Stati</w:t>
      </w:r>
      <w:r w:rsidR="005755F1" w:rsidRPr="00C673E0">
        <w:rPr>
          <w:rFonts w:ascii="Times New Roman" w:eastAsia="Calibri" w:hAnsi="Times New Roman"/>
          <w:sz w:val="20"/>
          <w:szCs w:val="20"/>
          <w:lang w:bidi="ar-EG"/>
        </w:rPr>
        <w:t xml:space="preserve">stical Package Social Sciences </w:t>
      </w:r>
      <w:r w:rsidR="000466CA" w:rsidRPr="00C673E0">
        <w:rPr>
          <w:rFonts w:ascii="Times New Roman" w:eastAsia="Calibri" w:hAnsi="Times New Roman"/>
          <w:sz w:val="20"/>
          <w:szCs w:val="20"/>
          <w:lang w:bidi="ar-EG"/>
        </w:rPr>
        <w:t>(SPSS).</w:t>
      </w:r>
      <w:r w:rsidR="003E3F44" w:rsidRPr="00C673E0">
        <w:rPr>
          <w:rFonts w:ascii="Times New Roman" w:eastAsia="Calibri" w:hAnsi="Times New Roman"/>
          <w:sz w:val="20"/>
          <w:szCs w:val="20"/>
          <w:lang w:bidi="ar-EG"/>
        </w:rPr>
        <w:t xml:space="preserve"> </w:t>
      </w:r>
      <w:r w:rsidRPr="00C673E0">
        <w:rPr>
          <w:rFonts w:ascii="Times New Roman" w:eastAsia="Calibri" w:hAnsi="Times New Roman"/>
          <w:sz w:val="20"/>
          <w:szCs w:val="20"/>
          <w:lang w:bidi="ar-EG"/>
        </w:rPr>
        <w:t xml:space="preserve">Data was </w:t>
      </w:r>
      <w:r w:rsidR="000D6FA6" w:rsidRPr="00C673E0">
        <w:rPr>
          <w:rFonts w:ascii="Times New Roman" w:eastAsia="Calibri" w:hAnsi="Times New Roman"/>
          <w:sz w:val="20"/>
          <w:szCs w:val="20"/>
          <w:lang w:bidi="ar-EG"/>
        </w:rPr>
        <w:t xml:space="preserve">presented in quantitative data using mean, standard deviation, median, minimum and maximum, </w:t>
      </w:r>
      <w:r w:rsidR="000D6FA6" w:rsidRPr="00C673E0">
        <w:rPr>
          <w:rFonts w:ascii="Times New Roman" w:eastAsia="Calibri" w:hAnsi="Times New Roman"/>
          <w:sz w:val="20"/>
          <w:szCs w:val="20"/>
          <w:lang w:bidi="ar-EG"/>
        </w:rPr>
        <w:lastRenderedPageBreak/>
        <w:t>and in categorical data using frequency (count) and relative frequency (percentage)</w:t>
      </w:r>
      <w:r w:rsidRPr="00C673E0">
        <w:rPr>
          <w:rFonts w:ascii="Times New Roman" w:eastAsia="Calibri" w:hAnsi="Times New Roman"/>
          <w:sz w:val="20"/>
          <w:szCs w:val="20"/>
          <w:lang w:bidi="ar-EG"/>
        </w:rPr>
        <w:t xml:space="preserve">. </w:t>
      </w:r>
      <w:r w:rsidR="00DD3F83" w:rsidRPr="00C673E0">
        <w:rPr>
          <w:rFonts w:ascii="Times New Roman" w:eastAsia="Calibri" w:hAnsi="Times New Roman"/>
          <w:sz w:val="20"/>
          <w:szCs w:val="20"/>
          <w:lang w:bidi="ar-EG"/>
        </w:rPr>
        <w:t xml:space="preserve">The non-parametric Kruskal-Wallis and Mann-Whitney tests were used to compare quantitative variables </w:t>
      </w:r>
      <w:r w:rsidRPr="00C673E0">
        <w:rPr>
          <w:rFonts w:ascii="Times New Roman" w:eastAsia="Calibri" w:hAnsi="Times New Roman"/>
          <w:b/>
          <w:bCs/>
          <w:sz w:val="20"/>
          <w:szCs w:val="20"/>
        </w:rPr>
        <w:t>(Chan, 2003a)</w:t>
      </w:r>
      <w:r w:rsidRPr="00C673E0">
        <w:rPr>
          <w:rFonts w:ascii="Times New Roman" w:eastAsia="Calibri" w:hAnsi="Times New Roman"/>
          <w:sz w:val="20"/>
          <w:szCs w:val="20"/>
          <w:lang w:bidi="ar-EG"/>
        </w:rPr>
        <w:t xml:space="preserve">. </w:t>
      </w:r>
      <w:r w:rsidR="004E6F5D" w:rsidRPr="00C673E0">
        <w:rPr>
          <w:rFonts w:ascii="Times New Roman" w:eastAsia="Calibri" w:hAnsi="Times New Roman"/>
          <w:sz w:val="20"/>
          <w:szCs w:val="20"/>
          <w:lang w:bidi="ar-EG"/>
        </w:rPr>
        <w:t xml:space="preserve">The Chi square test was carried out to compare categorical data </w:t>
      </w:r>
      <w:r w:rsidRPr="00C673E0">
        <w:rPr>
          <w:rFonts w:ascii="Times New Roman" w:eastAsia="Calibri" w:hAnsi="Times New Roman"/>
          <w:b/>
          <w:bCs/>
          <w:sz w:val="20"/>
          <w:szCs w:val="20"/>
        </w:rPr>
        <w:t>(Chan, 2003b)</w:t>
      </w:r>
      <w:r w:rsidRPr="00C673E0">
        <w:rPr>
          <w:rFonts w:ascii="Times New Roman" w:eastAsia="Calibri" w:hAnsi="Times New Roman"/>
          <w:sz w:val="20"/>
          <w:szCs w:val="20"/>
          <w:lang w:bidi="ar-EG"/>
        </w:rPr>
        <w:t xml:space="preserve">. Correlations </w:t>
      </w:r>
      <w:r w:rsidR="004E6F5D" w:rsidRPr="00C673E0">
        <w:rPr>
          <w:rFonts w:ascii="Times New Roman" w:eastAsia="Calibri" w:hAnsi="Times New Roman"/>
          <w:sz w:val="20"/>
          <w:szCs w:val="20"/>
          <w:lang w:bidi="ar-EG"/>
        </w:rPr>
        <w:t xml:space="preserve">among quantitative variables were achieved using the correlation coefficient of Spearman </w:t>
      </w:r>
      <w:r w:rsidRPr="00C673E0">
        <w:rPr>
          <w:rFonts w:ascii="Times New Roman" w:eastAsia="Calibri" w:hAnsi="Times New Roman"/>
          <w:b/>
          <w:bCs/>
          <w:sz w:val="20"/>
          <w:szCs w:val="20"/>
        </w:rPr>
        <w:t>(Chan, 2003c)</w:t>
      </w:r>
      <w:r w:rsidRPr="00C673E0">
        <w:rPr>
          <w:rFonts w:ascii="Times New Roman" w:eastAsia="Calibri" w:hAnsi="Times New Roman"/>
          <w:sz w:val="20"/>
          <w:szCs w:val="20"/>
          <w:lang w:bidi="ar-EG"/>
        </w:rPr>
        <w:t xml:space="preserve">. </w:t>
      </w:r>
      <w:r w:rsidR="005D65F4" w:rsidRPr="00C673E0">
        <w:rPr>
          <w:rFonts w:ascii="Times New Roman" w:eastAsia="Calibri" w:hAnsi="Times New Roman"/>
          <w:sz w:val="20"/>
          <w:szCs w:val="20"/>
        </w:rPr>
        <w:t xml:space="preserve">The ROC curve (receiver operating characteristic) was constructed with area under curve (AUC) analysis to detect the best cutoff value of case detection markers </w:t>
      </w:r>
      <w:r w:rsidR="006E7628" w:rsidRPr="00C673E0">
        <w:rPr>
          <w:rFonts w:ascii="Times New Roman" w:eastAsia="Calibri" w:hAnsi="Times New Roman"/>
          <w:b/>
          <w:bCs/>
          <w:sz w:val="20"/>
          <w:szCs w:val="20"/>
        </w:rPr>
        <w:fldChar w:fldCharType="begin" w:fldLock="1"/>
      </w:r>
      <w:r w:rsidRPr="00C673E0">
        <w:rPr>
          <w:rFonts w:ascii="Times New Roman" w:eastAsia="Calibri" w:hAnsi="Times New Roman"/>
          <w:b/>
          <w:bCs/>
          <w:sz w:val="20"/>
          <w:szCs w:val="20"/>
        </w:rPr>
        <w:instrText>ADDIN CSL_CITATION {"citationItems":[{"id":"ITEM-1","itemData":{"DOI":"10.1136/emermed-2017-206735","ISSN":"14720213","abstract":"The paper by Body et al is concerned with the evaluation of decision aids, which can be used to identify potential acute coronary syndromes (ACS) in the ED. The authors previously developed the Manchester Acute Coronary Syndromes model (MACS) decision aid, which uses several clinical variables and two biomarkers to 'rule in' and 'rule out' ACS. However, one of the two biomarkers (heart-type fatty acid bindingprotein, H-FABP) is not widely used so a revised decision aid has been developed (Troponin-only Manchester Acute Coronary Syndromes, T-MACS), which include a single biomarker hs-cTnT. In this issue, the authors show how they derive a revised decision aid and describe its performance in a number of independent diagnostic cohort studies. Decision aids (as well as other types of 'diagnostic tests') are often evaluated in terms of diagnostic testing parameters such as the area under the receiver operating characteristic (ROC) curve, sensitivity and specificity. In this article, we explain how the ROC analysis is conducted and why it is an essential step towards developing a test with the desirable levels of sensitivity and specificity.","author":[{"dropping-particle":"","family":"Hoo","given":"Zhe Hui","non-dropping-particle":"","parse-names":false,"suffix":""},{"dropping-particle":"","family":"Candlish","given":"Jane","non-dropping-particle":"","parse-names":false,"suffix":""},{"dropping-particle":"","family":"Teare","given":"Dawn","non-dropping-particle":"","parse-names":false,"suffix":""}],"container-title":"Emergency Medicine Journal","id":"ITEM-1","issue":"6","issued":{"date-parts":[["2017"]]},"page":"357-359","title":"What is an ROC curve?","type":"article-journal","volume":"34"},"uris":["http://www.mendeley.com/documents/?uuid=69e64dd5-c361-45d5-b107-5231bda64a2c"]}],"mendeley":{"formattedCitation":"(Hoo, Candlish and Teare, 2017)","manualFormatting":"(Hoo et al., 2017)","plainTextFormattedCitation":"(Hoo, Candlish and Teare, 2017)","previouslyFormattedCitation":"(Hoo, Candlish and Teare, 2017)"},"properties":{"noteIndex":0},"schema":"https://github.com/citation-style-language/schema/raw/master/csl-citation.json"}</w:instrText>
      </w:r>
      <w:r w:rsidR="006E7628" w:rsidRPr="00C673E0">
        <w:rPr>
          <w:rFonts w:ascii="Times New Roman" w:eastAsia="Calibri" w:hAnsi="Times New Roman"/>
          <w:b/>
          <w:bCs/>
          <w:sz w:val="20"/>
          <w:szCs w:val="20"/>
        </w:rPr>
        <w:fldChar w:fldCharType="separate"/>
      </w:r>
      <w:r w:rsidRPr="00C673E0">
        <w:rPr>
          <w:rFonts w:ascii="Times New Roman" w:eastAsia="Calibri" w:hAnsi="Times New Roman"/>
          <w:b/>
          <w:bCs/>
          <w:noProof/>
          <w:sz w:val="20"/>
          <w:szCs w:val="20"/>
        </w:rPr>
        <w:t xml:space="preserve">(Hoo </w:t>
      </w:r>
      <w:r w:rsidRPr="00C673E0">
        <w:rPr>
          <w:rFonts w:ascii="Times New Roman" w:eastAsia="Calibri" w:hAnsi="Times New Roman"/>
          <w:b/>
          <w:bCs/>
          <w:i/>
          <w:iCs/>
          <w:noProof/>
          <w:sz w:val="20"/>
          <w:szCs w:val="20"/>
        </w:rPr>
        <w:t>et al</w:t>
      </w:r>
      <w:r w:rsidRPr="00C673E0">
        <w:rPr>
          <w:rFonts w:ascii="Times New Roman" w:eastAsia="Calibri" w:hAnsi="Times New Roman"/>
          <w:b/>
          <w:bCs/>
          <w:noProof/>
          <w:sz w:val="20"/>
          <w:szCs w:val="20"/>
        </w:rPr>
        <w:t>., 2017)</w:t>
      </w:r>
      <w:r w:rsidR="006E7628" w:rsidRPr="00C673E0">
        <w:rPr>
          <w:rFonts w:ascii="Times New Roman" w:eastAsia="Calibri" w:hAnsi="Times New Roman"/>
          <w:b/>
          <w:bCs/>
          <w:sz w:val="20"/>
          <w:szCs w:val="20"/>
        </w:rPr>
        <w:fldChar w:fldCharType="end"/>
      </w:r>
      <w:r w:rsidRPr="00C673E0">
        <w:rPr>
          <w:rFonts w:ascii="Times New Roman" w:eastAsia="Calibri" w:hAnsi="Times New Roman"/>
          <w:sz w:val="20"/>
          <w:szCs w:val="20"/>
        </w:rPr>
        <w:t xml:space="preserve">. </w:t>
      </w:r>
      <w:r w:rsidRPr="00C673E0">
        <w:rPr>
          <w:rFonts w:ascii="Times New Roman" w:eastAsia="Calibri" w:hAnsi="Times New Roman"/>
          <w:sz w:val="20"/>
          <w:szCs w:val="20"/>
          <w:lang w:bidi="ar-EG"/>
        </w:rPr>
        <w:t xml:space="preserve">P-values </w:t>
      </w:r>
      <w:r w:rsidR="003D3700" w:rsidRPr="00C673E0">
        <w:rPr>
          <w:rFonts w:ascii="Times New Roman" w:eastAsia="Calibri" w:hAnsi="Times New Roman"/>
          <w:sz w:val="20"/>
          <w:szCs w:val="20"/>
          <w:lang w:bidi="ar-EG"/>
        </w:rPr>
        <w:t>of less than 0.05 have been deemed statistically substantial.</w:t>
      </w:r>
    </w:p>
    <w:p w:rsidR="00365349" w:rsidRPr="00C673E0" w:rsidRDefault="00365349" w:rsidP="00644513">
      <w:pPr>
        <w:snapToGrid w:val="0"/>
        <w:spacing w:after="0" w:line="240" w:lineRule="auto"/>
        <w:jc w:val="both"/>
        <w:rPr>
          <w:rFonts w:ascii="Times New Roman" w:eastAsia="Times New Roman" w:hAnsi="Times New Roman"/>
          <w:b/>
          <w:bCs/>
          <w:sz w:val="20"/>
          <w:szCs w:val="20"/>
          <w:lang w:bidi="ar-EG"/>
        </w:rPr>
      </w:pPr>
      <w:r w:rsidRPr="00C673E0">
        <w:rPr>
          <w:rFonts w:ascii="Times New Roman" w:eastAsia="Times New Roman" w:hAnsi="Times New Roman"/>
          <w:b/>
          <w:bCs/>
          <w:sz w:val="20"/>
          <w:szCs w:val="20"/>
          <w:lang w:bidi="ar-EG"/>
        </w:rPr>
        <w:t>Results</w:t>
      </w:r>
    </w:p>
    <w:p w:rsidR="00365349" w:rsidRPr="00C673E0" w:rsidRDefault="00365349" w:rsidP="00644513">
      <w:pPr>
        <w:snapToGrid w:val="0"/>
        <w:spacing w:after="0" w:line="240" w:lineRule="auto"/>
        <w:ind w:firstLine="425"/>
        <w:jc w:val="both"/>
        <w:rPr>
          <w:rFonts w:ascii="Times New Roman" w:eastAsia="Times New Roman" w:hAnsi="Times New Roman"/>
          <w:sz w:val="20"/>
          <w:szCs w:val="20"/>
          <w:lang w:bidi="ar-EG"/>
        </w:rPr>
      </w:pPr>
      <w:r w:rsidRPr="00C673E0">
        <w:rPr>
          <w:rFonts w:ascii="Times New Roman" w:eastAsia="Times New Roman" w:hAnsi="Times New Roman"/>
          <w:sz w:val="20"/>
          <w:szCs w:val="20"/>
          <w:lang w:bidi="ar-EG"/>
        </w:rPr>
        <w:t>Relative expression levels of lncRNA-H19 and lincRNA-P21 were found to be significantly down-regulated in serum samples of MS patients compared to control group; (p-value = 0.024 and 0.020, respectively).</w:t>
      </w:r>
    </w:p>
    <w:p w:rsidR="00365349" w:rsidRPr="00C673E0" w:rsidRDefault="00365349" w:rsidP="00644513">
      <w:pPr>
        <w:snapToGrid w:val="0"/>
        <w:spacing w:after="0" w:line="240" w:lineRule="auto"/>
        <w:ind w:firstLine="425"/>
        <w:jc w:val="both"/>
        <w:rPr>
          <w:rFonts w:ascii="Times New Roman" w:eastAsiaTheme="minorEastAsia" w:hAnsi="Times New Roman"/>
          <w:sz w:val="20"/>
          <w:szCs w:val="20"/>
          <w:lang w:eastAsia="zh-CN" w:bidi="ar-EG"/>
        </w:rPr>
      </w:pPr>
      <w:r w:rsidRPr="00C673E0">
        <w:rPr>
          <w:rFonts w:ascii="Times New Roman" w:eastAsia="Times New Roman" w:hAnsi="Times New Roman"/>
          <w:sz w:val="20"/>
          <w:szCs w:val="20"/>
          <w:lang w:bidi="ar-EG"/>
        </w:rPr>
        <w:t xml:space="preserve">The distribution of serum relative expression levels of lncRNA-H19 and lincRNA-p21 was described by box plot </w:t>
      </w:r>
      <w:r w:rsidRPr="00C673E0">
        <w:rPr>
          <w:rFonts w:ascii="Times New Roman" w:eastAsia="Times New Roman" w:hAnsi="Times New Roman"/>
          <w:b/>
          <w:bCs/>
          <w:sz w:val="20"/>
          <w:szCs w:val="20"/>
          <w:lang w:bidi="ar-EG"/>
        </w:rPr>
        <w:t>(Figures 1 and 2, respectively)</w:t>
      </w:r>
      <w:r w:rsidRPr="00C673E0">
        <w:rPr>
          <w:rFonts w:ascii="Times New Roman" w:eastAsia="Times New Roman" w:hAnsi="Times New Roman"/>
          <w:sz w:val="20"/>
          <w:szCs w:val="20"/>
          <w:lang w:bidi="ar-EG"/>
        </w:rPr>
        <w:t>. Each box plot displays the relative expression values of each gene according to the 2</w:t>
      </w:r>
      <w:r w:rsidRPr="00C673E0">
        <w:rPr>
          <w:rFonts w:ascii="Times New Roman" w:eastAsia="Times New Roman" w:hAnsi="Times New Roman"/>
          <w:sz w:val="20"/>
          <w:szCs w:val="20"/>
          <w:vertAlign w:val="superscript"/>
          <w:lang w:bidi="ar-EG"/>
        </w:rPr>
        <w:t>−ΔΔCT</w:t>
      </w:r>
      <w:r w:rsidRPr="00C673E0">
        <w:rPr>
          <w:rFonts w:ascii="Times New Roman" w:eastAsia="Times New Roman" w:hAnsi="Times New Roman"/>
          <w:sz w:val="20"/>
          <w:szCs w:val="20"/>
          <w:lang w:bidi="ar-EG"/>
        </w:rPr>
        <w:t xml:space="preserve"> method (Y-axis) by group (X-axis). The data are presented as the median and inter-quartile range (IQR). The bold black </w:t>
      </w:r>
      <w:r w:rsidRPr="00C673E0">
        <w:rPr>
          <w:rFonts w:ascii="Times New Roman" w:eastAsia="Times New Roman" w:hAnsi="Times New Roman"/>
          <w:sz w:val="20"/>
          <w:szCs w:val="20"/>
          <w:lang w:bidi="ar-EG"/>
        </w:rPr>
        <w:lastRenderedPageBreak/>
        <w:t xml:space="preserve">line in the box </w:t>
      </w:r>
      <w:r w:rsidR="00E106CA" w:rsidRPr="00C673E0">
        <w:rPr>
          <w:rFonts w:ascii="Times New Roman" w:eastAsia="Times New Roman" w:hAnsi="Times New Roman"/>
          <w:sz w:val="20"/>
          <w:szCs w:val="20"/>
          <w:lang w:bidi="ar-EG"/>
        </w:rPr>
        <w:t>reflects our data's median value</w:t>
      </w:r>
      <w:r w:rsidRPr="00C673E0">
        <w:rPr>
          <w:rFonts w:ascii="Times New Roman" w:eastAsia="Times New Roman" w:hAnsi="Times New Roman"/>
          <w:sz w:val="20"/>
          <w:szCs w:val="20"/>
          <w:lang w:bidi="ar-EG"/>
        </w:rPr>
        <w:t>. The entire box represents the IQR. The bars across the boxes show the minimum and maximum values. Circles and asterisks indicate values (outliers) falling beyond the statistical distribution of the related variables, serum lncRNA-H19 and lincRNA-p21respectively.</w:t>
      </w:r>
    </w:p>
    <w:p w:rsidR="006D0665" w:rsidRPr="00C673E0" w:rsidRDefault="006D0665" w:rsidP="00644513">
      <w:pPr>
        <w:snapToGrid w:val="0"/>
        <w:spacing w:after="0" w:line="240" w:lineRule="auto"/>
        <w:ind w:firstLine="425"/>
        <w:jc w:val="both"/>
        <w:rPr>
          <w:rFonts w:ascii="Times New Roman" w:eastAsiaTheme="minorEastAsia" w:hAnsi="Times New Roman"/>
          <w:sz w:val="20"/>
          <w:szCs w:val="20"/>
          <w:lang w:eastAsia="zh-CN" w:bidi="ar-EG"/>
        </w:rPr>
      </w:pPr>
    </w:p>
    <w:p w:rsidR="00365349" w:rsidRPr="00C673E0" w:rsidRDefault="00561208" w:rsidP="00644513">
      <w:pPr>
        <w:snapToGrid w:val="0"/>
        <w:spacing w:after="0" w:line="240" w:lineRule="auto"/>
        <w:jc w:val="center"/>
        <w:rPr>
          <w:rFonts w:ascii="Times New Roman" w:eastAsia="Calibri" w:hAnsi="Times New Roman"/>
          <w:sz w:val="20"/>
          <w:szCs w:val="20"/>
          <w:lang w:bidi="ar-EG"/>
        </w:rPr>
      </w:pPr>
      <w:r w:rsidRPr="006E7628">
        <w:rPr>
          <w:rFonts w:ascii="Times New Roman" w:eastAsia="Calibri" w:hAnsi="Times New Roman"/>
          <w:noProof/>
          <w:sz w:val="20"/>
          <w:szCs w:val="20"/>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12.25pt;height:170.3pt;visibility:visible;mso-wrap-style:square">
            <v:imagedata r:id="rId15" o:title=""/>
          </v:shape>
        </w:pict>
      </w:r>
    </w:p>
    <w:p w:rsidR="00365349" w:rsidRPr="00C673E0" w:rsidRDefault="00365349" w:rsidP="00644513">
      <w:pPr>
        <w:tabs>
          <w:tab w:val="center" w:pos="4320"/>
          <w:tab w:val="left" w:pos="5710"/>
        </w:tabs>
        <w:snapToGrid w:val="0"/>
        <w:spacing w:after="0" w:line="240" w:lineRule="auto"/>
        <w:jc w:val="both"/>
        <w:rPr>
          <w:rFonts w:ascii="Times New Roman" w:eastAsia="Times New Roman" w:hAnsi="Times New Roman"/>
          <w:b/>
          <w:bCs/>
          <w:sz w:val="20"/>
          <w:szCs w:val="20"/>
          <w:lang w:bidi="ar-EG"/>
        </w:rPr>
      </w:pPr>
      <w:r w:rsidRPr="00C673E0">
        <w:rPr>
          <w:rFonts w:ascii="Times New Roman" w:eastAsia="Times New Roman" w:hAnsi="Times New Roman"/>
          <w:b/>
          <w:bCs/>
          <w:sz w:val="20"/>
          <w:szCs w:val="20"/>
          <w:lang w:bidi="ar-EG"/>
        </w:rPr>
        <w:t>Figure (1): Box plot diagram of serum relative expression levels of lncRNA-H19 in MS patients compared to control group; circles indicate outliers.</w:t>
      </w:r>
    </w:p>
    <w:p w:rsidR="00365349" w:rsidRPr="00C673E0" w:rsidRDefault="00365349" w:rsidP="00644513">
      <w:pPr>
        <w:tabs>
          <w:tab w:val="center" w:pos="4320"/>
          <w:tab w:val="left" w:pos="5710"/>
        </w:tabs>
        <w:snapToGrid w:val="0"/>
        <w:spacing w:after="0" w:line="240" w:lineRule="auto"/>
        <w:jc w:val="both"/>
        <w:rPr>
          <w:rFonts w:ascii="Times New Roman" w:eastAsia="Times New Roman" w:hAnsi="Times New Roman"/>
          <w:b/>
          <w:bCs/>
          <w:sz w:val="20"/>
          <w:szCs w:val="20"/>
          <w:lang w:bidi="ar-EG"/>
        </w:rPr>
      </w:pPr>
    </w:p>
    <w:p w:rsidR="00365349" w:rsidRPr="00C673E0" w:rsidRDefault="00561208" w:rsidP="00644513">
      <w:pPr>
        <w:tabs>
          <w:tab w:val="center" w:pos="4320"/>
          <w:tab w:val="left" w:pos="5710"/>
        </w:tabs>
        <w:snapToGrid w:val="0"/>
        <w:spacing w:after="0" w:line="240" w:lineRule="auto"/>
        <w:jc w:val="center"/>
        <w:rPr>
          <w:rFonts w:ascii="Times New Roman" w:eastAsia="Times New Roman" w:hAnsi="Times New Roman"/>
          <w:b/>
          <w:bCs/>
          <w:sz w:val="20"/>
          <w:szCs w:val="20"/>
          <w:lang w:bidi="ar-EG"/>
        </w:rPr>
      </w:pPr>
      <w:r w:rsidRPr="006E7628">
        <w:rPr>
          <w:rFonts w:ascii="Times New Roman" w:eastAsia="Times New Roman" w:hAnsi="Times New Roman"/>
          <w:b/>
          <w:noProof/>
          <w:sz w:val="20"/>
          <w:szCs w:val="20"/>
          <w:lang w:eastAsia="zh-CN"/>
        </w:rPr>
        <w:pict>
          <v:shape id="Picture 2" o:spid="_x0000_i1026" type="#_x0000_t75" style="width:212.25pt;height:170.3pt;visibility:visible;mso-wrap-style:square">
            <v:imagedata r:id="rId16" o:title=""/>
          </v:shape>
        </w:pict>
      </w:r>
    </w:p>
    <w:p w:rsidR="00365349" w:rsidRPr="00C673E0" w:rsidRDefault="00365349" w:rsidP="00644513">
      <w:pPr>
        <w:tabs>
          <w:tab w:val="center" w:pos="4320"/>
          <w:tab w:val="left" w:pos="5710"/>
        </w:tabs>
        <w:snapToGrid w:val="0"/>
        <w:spacing w:after="0" w:line="240" w:lineRule="auto"/>
        <w:jc w:val="both"/>
        <w:rPr>
          <w:rFonts w:ascii="Times New Roman" w:eastAsia="Times New Roman" w:hAnsi="Times New Roman"/>
          <w:b/>
          <w:bCs/>
          <w:sz w:val="20"/>
          <w:szCs w:val="20"/>
          <w:lang w:bidi="ar-EG"/>
        </w:rPr>
      </w:pPr>
    </w:p>
    <w:p w:rsidR="007A7556" w:rsidRPr="00C673E0" w:rsidRDefault="00365349" w:rsidP="00644513">
      <w:pPr>
        <w:tabs>
          <w:tab w:val="center" w:pos="4320"/>
          <w:tab w:val="left" w:pos="5710"/>
        </w:tabs>
        <w:snapToGrid w:val="0"/>
        <w:spacing w:after="0" w:line="240" w:lineRule="auto"/>
        <w:jc w:val="both"/>
        <w:rPr>
          <w:rFonts w:ascii="Times New Roman" w:eastAsia="Times New Roman" w:hAnsi="Times New Roman"/>
          <w:b/>
          <w:bCs/>
          <w:sz w:val="20"/>
          <w:szCs w:val="20"/>
          <w:lang w:bidi="ar-EG"/>
        </w:rPr>
      </w:pPr>
      <w:r w:rsidRPr="00C673E0">
        <w:rPr>
          <w:rFonts w:ascii="Times New Roman" w:eastAsia="Times New Roman" w:hAnsi="Times New Roman"/>
          <w:b/>
          <w:bCs/>
          <w:sz w:val="20"/>
          <w:szCs w:val="20"/>
          <w:lang w:bidi="ar-EG"/>
        </w:rPr>
        <w:t xml:space="preserve">Figure (2): Box plot diagram of serum relative expression levels of </w:t>
      </w:r>
      <w:r w:rsidRPr="00C673E0">
        <w:rPr>
          <w:rFonts w:ascii="Times New Roman" w:eastAsia="Calibri" w:hAnsi="Times New Roman"/>
          <w:b/>
          <w:bCs/>
          <w:sz w:val="20"/>
          <w:szCs w:val="20"/>
          <w:lang w:bidi="ar-EG"/>
        </w:rPr>
        <w:t>lincRNA-p21</w:t>
      </w:r>
      <w:r w:rsidRPr="00C673E0">
        <w:rPr>
          <w:rFonts w:ascii="Times New Roman" w:eastAsia="Times New Roman" w:hAnsi="Times New Roman"/>
          <w:b/>
          <w:bCs/>
          <w:sz w:val="20"/>
          <w:szCs w:val="20"/>
          <w:lang w:bidi="ar-EG"/>
        </w:rPr>
        <w:t xml:space="preserve"> in MS patients compared to control group; asterisks indicate outliers.</w:t>
      </w:r>
    </w:p>
    <w:p w:rsidR="006D47E1" w:rsidRPr="00C673E0" w:rsidRDefault="006D47E1" w:rsidP="00644513">
      <w:pPr>
        <w:snapToGrid w:val="0"/>
        <w:spacing w:after="0" w:line="240" w:lineRule="auto"/>
        <w:ind w:firstLine="425"/>
        <w:jc w:val="both"/>
        <w:rPr>
          <w:rFonts w:ascii="Times New Roman" w:eastAsia="Times New Roman" w:hAnsi="Times New Roman"/>
          <w:sz w:val="20"/>
          <w:szCs w:val="20"/>
          <w:lang w:bidi="ar-EG"/>
        </w:rPr>
      </w:pPr>
    </w:p>
    <w:p w:rsidR="00B30CB5" w:rsidRPr="00C673E0" w:rsidRDefault="00B30CB5" w:rsidP="00644513">
      <w:pPr>
        <w:snapToGrid w:val="0"/>
        <w:spacing w:after="0" w:line="240" w:lineRule="auto"/>
        <w:ind w:firstLine="425"/>
        <w:jc w:val="both"/>
        <w:rPr>
          <w:rFonts w:ascii="Times New Roman" w:eastAsia="Times New Roman" w:hAnsi="Times New Roman"/>
          <w:sz w:val="20"/>
          <w:szCs w:val="20"/>
          <w:lang w:bidi="ar-EG"/>
        </w:rPr>
      </w:pPr>
      <w:r w:rsidRPr="00C673E0">
        <w:rPr>
          <w:rFonts w:ascii="Times New Roman" w:eastAsia="Times New Roman" w:hAnsi="Times New Roman"/>
          <w:sz w:val="20"/>
          <w:szCs w:val="20"/>
          <w:lang w:bidi="ar-EG"/>
        </w:rPr>
        <w:t>When we demonstrated serum relative expression levels of lncRNA-H19 based on</w:t>
      </w:r>
      <w:r w:rsidR="003E3F44" w:rsidRPr="00C673E0">
        <w:rPr>
          <w:rFonts w:ascii="Times New Roman" w:eastAsia="Times New Roman" w:hAnsi="Times New Roman"/>
          <w:sz w:val="20"/>
          <w:szCs w:val="20"/>
          <w:lang w:bidi="ar-EG"/>
        </w:rPr>
        <w:t xml:space="preserve"> </w:t>
      </w:r>
      <w:r w:rsidRPr="00C673E0">
        <w:rPr>
          <w:rFonts w:ascii="Times New Roman" w:eastAsia="Times New Roman" w:hAnsi="Times New Roman"/>
          <w:sz w:val="20"/>
          <w:szCs w:val="20"/>
          <w:lang w:bidi="ar-EG"/>
        </w:rPr>
        <w:t>different variables among MS patients we found that; as regard to sex of patients, male patients had significant higher expression levels compared to female patients (p-</w:t>
      </w:r>
      <w:r w:rsidRPr="00C673E0">
        <w:rPr>
          <w:rFonts w:ascii="Times New Roman" w:eastAsia="Times New Roman" w:hAnsi="Times New Roman"/>
          <w:sz w:val="20"/>
          <w:szCs w:val="20"/>
          <w:lang w:bidi="ar-EG"/>
        </w:rPr>
        <w:lastRenderedPageBreak/>
        <w:t>value= 0.008). Meanwhile, no statistically significant difference was found regarding other variables.</w:t>
      </w:r>
    </w:p>
    <w:p w:rsidR="00B30CB5" w:rsidRPr="00C673E0" w:rsidRDefault="007B2F5B" w:rsidP="00644513">
      <w:pPr>
        <w:snapToGrid w:val="0"/>
        <w:spacing w:after="0" w:line="240" w:lineRule="auto"/>
        <w:ind w:firstLine="425"/>
        <w:jc w:val="both"/>
        <w:rPr>
          <w:rFonts w:ascii="Times New Roman" w:eastAsia="Times New Roman" w:hAnsi="Times New Roman"/>
          <w:sz w:val="20"/>
          <w:szCs w:val="20"/>
          <w:lang w:bidi="ar-EG"/>
        </w:rPr>
      </w:pPr>
      <w:r w:rsidRPr="00C673E0">
        <w:rPr>
          <w:rFonts w:ascii="Times New Roman" w:eastAsia="Times New Roman" w:hAnsi="Times New Roman"/>
          <w:sz w:val="20"/>
          <w:szCs w:val="20"/>
          <w:lang w:bidi="ar-EG"/>
        </w:rPr>
        <w:t>L</w:t>
      </w:r>
      <w:r w:rsidR="00B30CB5" w:rsidRPr="00C673E0">
        <w:rPr>
          <w:rFonts w:ascii="Times New Roman" w:eastAsia="Times New Roman" w:hAnsi="Times New Roman"/>
          <w:sz w:val="20"/>
          <w:szCs w:val="20"/>
          <w:lang w:bidi="ar-EG"/>
        </w:rPr>
        <w:t>incRNA-p21 had significant higher serum relative expression levels in patients with EDSS ≥ 5.5 than those with EDSS=1-3 (p-value= 0.027). In addition, significant higher serum relative expression levels of lincRNA-p21 were also found in patients who received cyclophosphamide than those who received interferon (p-value= 0.005). Meanwhile, no statistically significant difference was found regarding other variables.</w:t>
      </w:r>
    </w:p>
    <w:p w:rsidR="00F91C45" w:rsidRPr="00C673E0" w:rsidRDefault="00F91C45" w:rsidP="00644513">
      <w:pPr>
        <w:snapToGrid w:val="0"/>
        <w:spacing w:after="0" w:line="240" w:lineRule="auto"/>
        <w:ind w:firstLine="425"/>
        <w:jc w:val="both"/>
        <w:rPr>
          <w:rFonts w:ascii="Times New Roman" w:eastAsia="Times New Roman" w:hAnsi="Times New Roman"/>
          <w:sz w:val="20"/>
          <w:szCs w:val="20"/>
          <w:lang w:bidi="ar-EG"/>
        </w:rPr>
      </w:pPr>
      <w:r w:rsidRPr="00C673E0">
        <w:rPr>
          <w:rFonts w:ascii="Times New Roman" w:eastAsia="Times New Roman" w:hAnsi="Times New Roman"/>
          <w:sz w:val="20"/>
          <w:szCs w:val="20"/>
          <w:lang w:bidi="ar-EG"/>
        </w:rPr>
        <w:t xml:space="preserve">There was significant moderate positive </w:t>
      </w:r>
      <w:r w:rsidRPr="00C673E0">
        <w:rPr>
          <w:rFonts w:ascii="Times New Roman" w:eastAsia="Times New Roman" w:hAnsi="Times New Roman"/>
          <w:b/>
          <w:bCs/>
          <w:sz w:val="20"/>
          <w:szCs w:val="20"/>
          <w:lang w:bidi="ar-EG"/>
        </w:rPr>
        <w:t>correlation</w:t>
      </w:r>
      <w:r w:rsidRPr="00C673E0">
        <w:rPr>
          <w:rFonts w:ascii="Times New Roman" w:eastAsia="Times New Roman" w:hAnsi="Times New Roman"/>
          <w:sz w:val="20"/>
          <w:szCs w:val="20"/>
          <w:lang w:bidi="ar-EG"/>
        </w:rPr>
        <w:t xml:space="preserve"> between lincRNA-p21 serum relative expression levels and EDSS in MS patients (P = 0.015, correlation coefficient (r) = 0.283). There was significant moderate negative correlation between lncRNA-H19 expression levels and age of onset in MS patients (P= 0.001, r = - 0.389). There was no statistically significant correlation between lncRNA-H19 and lincRNA-p21</w:t>
      </w:r>
      <w:r w:rsidRPr="00C673E0">
        <w:rPr>
          <w:rFonts w:ascii="Times New Roman" w:eastAsia="Times New Roman" w:hAnsi="Times New Roman"/>
          <w:b/>
          <w:bCs/>
          <w:sz w:val="20"/>
          <w:szCs w:val="20"/>
          <w:lang w:bidi="ar-EG"/>
        </w:rPr>
        <w:t xml:space="preserve"> </w:t>
      </w:r>
      <w:r w:rsidRPr="00C673E0">
        <w:rPr>
          <w:rFonts w:ascii="Times New Roman" w:eastAsia="Times New Roman" w:hAnsi="Times New Roman"/>
          <w:sz w:val="20"/>
          <w:szCs w:val="20"/>
          <w:lang w:bidi="ar-EG"/>
        </w:rPr>
        <w:t>serum relative</w:t>
      </w:r>
      <w:r w:rsidRPr="00C673E0">
        <w:rPr>
          <w:rFonts w:ascii="Times New Roman" w:eastAsia="Times New Roman" w:hAnsi="Times New Roman"/>
          <w:b/>
          <w:bCs/>
          <w:sz w:val="20"/>
          <w:szCs w:val="20"/>
          <w:lang w:bidi="ar-EG"/>
        </w:rPr>
        <w:t xml:space="preserve"> </w:t>
      </w:r>
      <w:r w:rsidRPr="00C673E0">
        <w:rPr>
          <w:rFonts w:ascii="Times New Roman" w:eastAsia="Times New Roman" w:hAnsi="Times New Roman"/>
          <w:sz w:val="20"/>
          <w:szCs w:val="20"/>
          <w:lang w:bidi="ar-EG"/>
        </w:rPr>
        <w:t>expression levels. In addition, no statistically significant correlation was found between these two lncRNAs and age of MS patients.</w:t>
      </w:r>
    </w:p>
    <w:p w:rsidR="00FB03C0" w:rsidRPr="00C673E0" w:rsidRDefault="00FB03C0" w:rsidP="00644513">
      <w:pPr>
        <w:snapToGrid w:val="0"/>
        <w:spacing w:after="0" w:line="240" w:lineRule="auto"/>
        <w:ind w:firstLine="425"/>
        <w:jc w:val="both"/>
        <w:rPr>
          <w:rFonts w:ascii="Times New Roman" w:hAnsi="Times New Roman"/>
          <w:sz w:val="20"/>
          <w:szCs w:val="20"/>
          <w:lang w:eastAsia="zh-CN" w:bidi="ar-EG"/>
        </w:rPr>
      </w:pPr>
      <w:r w:rsidRPr="00C673E0">
        <w:rPr>
          <w:rFonts w:ascii="Times New Roman" w:eastAsia="Times New Roman" w:hAnsi="Times New Roman"/>
          <w:b/>
          <w:bCs/>
          <w:sz w:val="20"/>
          <w:szCs w:val="20"/>
          <w:lang w:bidi="ar-EG"/>
        </w:rPr>
        <w:t>ROC curve</w:t>
      </w:r>
      <w:r w:rsidRPr="00C673E0">
        <w:rPr>
          <w:rFonts w:ascii="Times New Roman" w:eastAsia="Times New Roman" w:hAnsi="Times New Roman"/>
          <w:sz w:val="20"/>
          <w:szCs w:val="20"/>
          <w:lang w:bidi="ar-EG"/>
        </w:rPr>
        <w:t xml:space="preserve"> of the lncRNA-H19 serum relative expression levels was plotted between sensitivity on y-axis and (1 - specificity) on x-axis. Every point on the ROC curve </w:t>
      </w:r>
      <w:r w:rsidR="00401F6B" w:rsidRPr="00C673E0">
        <w:rPr>
          <w:rFonts w:ascii="Times New Roman" w:eastAsia="Times New Roman" w:hAnsi="Times New Roman"/>
          <w:sz w:val="20"/>
          <w:szCs w:val="20"/>
          <w:lang w:bidi="ar-EG"/>
        </w:rPr>
        <w:t xml:space="preserve">reflects </w:t>
      </w:r>
      <w:r w:rsidR="00900FFB" w:rsidRPr="00C673E0">
        <w:rPr>
          <w:rFonts w:ascii="Times New Roman" w:eastAsia="Times New Roman" w:hAnsi="Times New Roman"/>
          <w:sz w:val="20"/>
          <w:szCs w:val="20"/>
          <w:lang w:bidi="ar-EG"/>
        </w:rPr>
        <w:t>a chosen cut-off (Figure 3</w:t>
      </w:r>
      <w:r w:rsidRPr="00C673E0">
        <w:rPr>
          <w:rFonts w:ascii="Times New Roman" w:eastAsia="Times New Roman" w:hAnsi="Times New Roman"/>
          <w:sz w:val="20"/>
          <w:szCs w:val="20"/>
          <w:lang w:bidi="ar-EG"/>
        </w:rPr>
        <w:t>).</w:t>
      </w:r>
      <w:r w:rsidR="007B2F5B" w:rsidRPr="00C673E0">
        <w:rPr>
          <w:rFonts w:ascii="Times New Roman" w:eastAsia="Times New Roman" w:hAnsi="Times New Roman"/>
          <w:sz w:val="20"/>
          <w:szCs w:val="20"/>
          <w:lang w:bidi="ar-EG"/>
        </w:rPr>
        <w:t xml:space="preserve"> ROC curve analysis of lncRNA-H19 serum relative expression levels with an AUC of 0.602 (95% confidence interval (CI) = 0.497– 0.706, p-value =0.043). The sensitivity and specificity of lncRNA-H19 were calculated using a cutoff value of 0.8855 for serum lncRNA-H19 relative expression levels (Table </w:t>
      </w:r>
      <w:r w:rsidR="00B84029" w:rsidRPr="00C673E0">
        <w:rPr>
          <w:rFonts w:ascii="Times New Roman" w:eastAsia="Times New Roman" w:hAnsi="Times New Roman"/>
          <w:sz w:val="20"/>
          <w:szCs w:val="20"/>
          <w:lang w:bidi="ar-EG"/>
        </w:rPr>
        <w:t>3</w:t>
      </w:r>
      <w:r w:rsidR="007B2F5B" w:rsidRPr="00C673E0">
        <w:rPr>
          <w:rFonts w:ascii="Times New Roman" w:eastAsia="Times New Roman" w:hAnsi="Times New Roman"/>
          <w:sz w:val="20"/>
          <w:szCs w:val="20"/>
          <w:lang w:bidi="ar-EG"/>
        </w:rPr>
        <w:t xml:space="preserve">). </w:t>
      </w:r>
    </w:p>
    <w:p w:rsidR="003E3F44" w:rsidRPr="00C673E0" w:rsidRDefault="003E3F44" w:rsidP="00644513">
      <w:pPr>
        <w:snapToGrid w:val="0"/>
        <w:spacing w:after="0" w:line="240" w:lineRule="auto"/>
        <w:ind w:firstLine="425"/>
        <w:jc w:val="both"/>
        <w:rPr>
          <w:rFonts w:ascii="Times New Roman" w:hAnsi="Times New Roman"/>
          <w:sz w:val="20"/>
          <w:szCs w:val="20"/>
          <w:lang w:eastAsia="zh-CN" w:bidi="ar-EG"/>
        </w:rPr>
      </w:pPr>
    </w:p>
    <w:p w:rsidR="00FB03C0" w:rsidRPr="00C673E0" w:rsidRDefault="00561208" w:rsidP="00644513">
      <w:pPr>
        <w:snapToGrid w:val="0"/>
        <w:spacing w:after="0" w:line="240" w:lineRule="auto"/>
        <w:jc w:val="center"/>
        <w:rPr>
          <w:rFonts w:ascii="Times New Roman" w:eastAsia="Times New Roman" w:hAnsi="Times New Roman"/>
          <w:sz w:val="20"/>
          <w:szCs w:val="20"/>
          <w:lang w:bidi="ar-EG"/>
        </w:rPr>
      </w:pPr>
      <w:r w:rsidRPr="006E7628">
        <w:rPr>
          <w:rFonts w:ascii="Times New Roman" w:eastAsia="Times New Roman" w:hAnsi="Times New Roman"/>
          <w:noProof/>
          <w:sz w:val="20"/>
          <w:szCs w:val="20"/>
          <w:lang w:eastAsia="zh-CN"/>
        </w:rPr>
        <w:pict>
          <v:shape id="Picture 3" o:spid="_x0000_i1027" type="#_x0000_t75" style="width:212.25pt;height:188.45pt;visibility:visible;mso-wrap-style:square">
            <v:imagedata r:id="rId17" o:title="" cropbottom="4221f" cropleft="8336f" cropright="6665f"/>
          </v:shape>
        </w:pict>
      </w:r>
    </w:p>
    <w:p w:rsidR="009263AE" w:rsidRPr="00C673E0" w:rsidRDefault="00900FFB" w:rsidP="00644513">
      <w:pPr>
        <w:snapToGrid w:val="0"/>
        <w:spacing w:after="0" w:line="240" w:lineRule="auto"/>
        <w:jc w:val="both"/>
        <w:rPr>
          <w:rFonts w:ascii="Times New Roman" w:eastAsia="Times New Roman" w:hAnsi="Times New Roman"/>
          <w:b/>
          <w:bCs/>
          <w:sz w:val="20"/>
          <w:szCs w:val="20"/>
          <w:lang w:bidi="ar-EG"/>
        </w:rPr>
      </w:pPr>
      <w:r w:rsidRPr="00C673E0">
        <w:rPr>
          <w:rFonts w:ascii="Times New Roman" w:eastAsia="Times New Roman" w:hAnsi="Times New Roman"/>
          <w:b/>
          <w:bCs/>
          <w:sz w:val="20"/>
          <w:szCs w:val="20"/>
          <w:lang w:bidi="ar-EG"/>
        </w:rPr>
        <w:t>Figure (3</w:t>
      </w:r>
      <w:r w:rsidR="00FB03C0" w:rsidRPr="00C673E0">
        <w:rPr>
          <w:rFonts w:ascii="Times New Roman" w:eastAsia="Times New Roman" w:hAnsi="Times New Roman"/>
          <w:b/>
          <w:bCs/>
          <w:sz w:val="20"/>
          <w:szCs w:val="20"/>
          <w:lang w:bidi="ar-EG"/>
        </w:rPr>
        <w:t>): ROC curve for serum relative expression levels of lncRNA-H19 for MS diagnosis.</w:t>
      </w:r>
    </w:p>
    <w:p w:rsidR="000F71AB" w:rsidRPr="00C673E0" w:rsidRDefault="000F71AB" w:rsidP="00644513">
      <w:pPr>
        <w:snapToGrid w:val="0"/>
        <w:spacing w:after="0" w:line="240" w:lineRule="auto"/>
        <w:jc w:val="center"/>
        <w:rPr>
          <w:rFonts w:ascii="Times New Roman" w:eastAsia="Times New Roman" w:hAnsi="Times New Roman"/>
          <w:b/>
          <w:bCs/>
          <w:sz w:val="20"/>
          <w:szCs w:val="20"/>
          <w:lang w:bidi="ar-EG"/>
        </w:rPr>
        <w:sectPr w:rsidR="000F71AB" w:rsidRPr="00C673E0" w:rsidSect="000F71AB">
          <w:type w:val="continuous"/>
          <w:pgSz w:w="12240" w:h="15840" w:code="9"/>
          <w:pgMar w:top="1440" w:right="1440" w:bottom="1440" w:left="1440" w:header="720" w:footer="720" w:gutter="0"/>
          <w:cols w:num="2" w:space="550"/>
          <w:docGrid w:linePitch="360"/>
        </w:sectPr>
      </w:pPr>
    </w:p>
    <w:p w:rsidR="003A290C" w:rsidRPr="00C673E0" w:rsidRDefault="003A290C" w:rsidP="00644513">
      <w:pPr>
        <w:snapToGrid w:val="0"/>
        <w:spacing w:after="0" w:line="240" w:lineRule="auto"/>
        <w:jc w:val="center"/>
        <w:rPr>
          <w:rFonts w:ascii="Times New Roman" w:eastAsia="Times New Roman" w:hAnsi="Times New Roman"/>
          <w:b/>
          <w:bCs/>
          <w:sz w:val="20"/>
          <w:szCs w:val="20"/>
          <w:lang w:bidi="ar-EG"/>
        </w:rPr>
      </w:pPr>
    </w:p>
    <w:p w:rsidR="00C673E0" w:rsidRDefault="00C673E0" w:rsidP="00644513">
      <w:pPr>
        <w:snapToGrid w:val="0"/>
        <w:spacing w:after="0" w:line="240" w:lineRule="auto"/>
        <w:jc w:val="center"/>
        <w:rPr>
          <w:rFonts w:ascii="Times New Roman" w:eastAsiaTheme="minorEastAsia" w:hAnsi="Times New Roman"/>
          <w:b/>
          <w:bCs/>
          <w:sz w:val="20"/>
          <w:szCs w:val="20"/>
          <w:lang w:eastAsia="zh-CN" w:bidi="ar-EG"/>
        </w:rPr>
      </w:pPr>
    </w:p>
    <w:p w:rsidR="009263AE" w:rsidRPr="00C673E0" w:rsidRDefault="00B84029" w:rsidP="00644513">
      <w:pPr>
        <w:snapToGrid w:val="0"/>
        <w:spacing w:after="0" w:line="240" w:lineRule="auto"/>
        <w:jc w:val="center"/>
        <w:rPr>
          <w:rFonts w:ascii="Times New Roman" w:eastAsia="Times New Roman" w:hAnsi="Times New Roman"/>
          <w:sz w:val="20"/>
          <w:szCs w:val="20"/>
          <w:lang w:bidi="ar-EG"/>
        </w:rPr>
      </w:pPr>
      <w:r w:rsidRPr="00C673E0">
        <w:rPr>
          <w:rFonts w:ascii="Times New Roman" w:eastAsia="Times New Roman" w:hAnsi="Times New Roman"/>
          <w:b/>
          <w:bCs/>
          <w:sz w:val="20"/>
          <w:szCs w:val="20"/>
          <w:lang w:bidi="ar-EG"/>
        </w:rPr>
        <w:lastRenderedPageBreak/>
        <w:t>Table (3</w:t>
      </w:r>
      <w:r w:rsidR="009263AE" w:rsidRPr="00C673E0">
        <w:rPr>
          <w:rFonts w:ascii="Times New Roman" w:eastAsia="Times New Roman" w:hAnsi="Times New Roman"/>
          <w:b/>
          <w:bCs/>
          <w:sz w:val="20"/>
          <w:szCs w:val="20"/>
          <w:lang w:bidi="ar-EG"/>
        </w:rPr>
        <w:t>): ROC curve analysis for serum relative expression levels of lncRNA-H19 for MS diagnosis:</w:t>
      </w:r>
      <w:r w:rsidR="009263AE" w:rsidRPr="00C673E0">
        <w:rPr>
          <w:rFonts w:ascii="Times New Roman" w:eastAsia="Times New Roman" w:hAnsi="Times New Roman"/>
          <w:sz w:val="20"/>
          <w:szCs w:val="20"/>
          <w:lang w:bidi="ar-EG"/>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168"/>
        <w:gridCol w:w="2347"/>
        <w:gridCol w:w="675"/>
        <w:gridCol w:w="1191"/>
        <w:gridCol w:w="1179"/>
        <w:gridCol w:w="664"/>
        <w:gridCol w:w="1126"/>
        <w:gridCol w:w="1124"/>
      </w:tblGrid>
      <w:tr w:rsidR="003E3F44" w:rsidRPr="00C673E0" w:rsidTr="006D0665">
        <w:trPr>
          <w:cantSplit/>
          <w:jc w:val="center"/>
        </w:trPr>
        <w:tc>
          <w:tcPr>
            <w:tcW w:w="617" w:type="pct"/>
            <w:vMerge w:val="restart"/>
            <w:shd w:val="clear" w:color="auto" w:fill="E3E2E7"/>
            <w:vAlign w:val="center"/>
          </w:tcPr>
          <w:p w:rsidR="009263AE" w:rsidRPr="00C673E0" w:rsidRDefault="009263AE" w:rsidP="00C673E0">
            <w:pPr>
              <w:autoSpaceDE w:val="0"/>
              <w:autoSpaceDN w:val="0"/>
              <w:adjustRightInd w:val="0"/>
              <w:snapToGrid w:val="0"/>
              <w:spacing w:after="0" w:line="240" w:lineRule="auto"/>
              <w:rPr>
                <w:rFonts w:ascii="Times New Roman" w:eastAsia="Calibri" w:hAnsi="Times New Roman"/>
                <w:sz w:val="20"/>
                <w:szCs w:val="20"/>
              </w:rPr>
            </w:pPr>
          </w:p>
        </w:tc>
        <w:tc>
          <w:tcPr>
            <w:tcW w:w="1239" w:type="pct"/>
            <w:vMerge w:val="restart"/>
            <w:shd w:val="clear" w:color="auto" w:fill="E3E2E7"/>
            <w:vAlign w:val="center"/>
            <w:hideMark/>
          </w:tcPr>
          <w:p w:rsidR="009263AE" w:rsidRPr="00C673E0" w:rsidRDefault="009263AE" w:rsidP="00C673E0">
            <w:pPr>
              <w:autoSpaceDE w:val="0"/>
              <w:autoSpaceDN w:val="0"/>
              <w:adjustRightInd w:val="0"/>
              <w:snapToGrid w:val="0"/>
              <w:spacing w:after="0" w:line="240" w:lineRule="auto"/>
              <w:rPr>
                <w:rFonts w:ascii="Times New Roman" w:eastAsia="Calibri" w:hAnsi="Times New Roman"/>
                <w:b/>
                <w:bCs/>
                <w:sz w:val="20"/>
                <w:szCs w:val="20"/>
              </w:rPr>
            </w:pPr>
            <w:r w:rsidRPr="00C673E0">
              <w:rPr>
                <w:rFonts w:ascii="Times New Roman" w:eastAsia="Calibri" w:hAnsi="Times New Roman"/>
                <w:b/>
                <w:bCs/>
                <w:sz w:val="20"/>
                <w:szCs w:val="20"/>
              </w:rPr>
              <w:t>Area Under the Curve</w:t>
            </w:r>
            <w:r w:rsidR="006D0665" w:rsidRPr="00C673E0">
              <w:rPr>
                <w:rFonts w:ascii="Times New Roman" w:eastAsiaTheme="minorEastAsia" w:hAnsi="Times New Roman" w:hint="eastAsia"/>
                <w:b/>
                <w:bCs/>
                <w:sz w:val="20"/>
                <w:szCs w:val="20"/>
                <w:lang w:eastAsia="zh-CN"/>
              </w:rPr>
              <w:t xml:space="preserve"> </w:t>
            </w:r>
            <w:r w:rsidRPr="00C673E0">
              <w:rPr>
                <w:rFonts w:ascii="Times New Roman" w:eastAsia="Calibri" w:hAnsi="Times New Roman"/>
                <w:b/>
                <w:bCs/>
                <w:sz w:val="20"/>
                <w:szCs w:val="20"/>
              </w:rPr>
              <w:t>(AUC)</w:t>
            </w:r>
          </w:p>
        </w:tc>
        <w:tc>
          <w:tcPr>
            <w:tcW w:w="357" w:type="pct"/>
            <w:vMerge w:val="restart"/>
            <w:shd w:val="clear" w:color="auto" w:fill="E3E2E7"/>
            <w:vAlign w:val="center"/>
            <w:hideMark/>
          </w:tcPr>
          <w:p w:rsidR="009263AE" w:rsidRPr="00C673E0" w:rsidRDefault="009263AE" w:rsidP="00C673E0">
            <w:pPr>
              <w:autoSpaceDE w:val="0"/>
              <w:autoSpaceDN w:val="0"/>
              <w:adjustRightInd w:val="0"/>
              <w:snapToGrid w:val="0"/>
              <w:spacing w:after="0" w:line="240" w:lineRule="auto"/>
              <w:rPr>
                <w:rFonts w:ascii="Times New Roman" w:eastAsia="Calibri" w:hAnsi="Times New Roman"/>
                <w:sz w:val="20"/>
                <w:szCs w:val="20"/>
              </w:rPr>
            </w:pPr>
            <w:r w:rsidRPr="00C673E0">
              <w:rPr>
                <w:rFonts w:ascii="Times New Roman" w:eastAsia="Calibri" w:hAnsi="Times New Roman"/>
                <w:b/>
                <w:bCs/>
                <w:sz w:val="20"/>
                <w:szCs w:val="20"/>
              </w:rPr>
              <w:t>P value</w:t>
            </w:r>
          </w:p>
        </w:tc>
        <w:tc>
          <w:tcPr>
            <w:tcW w:w="1252" w:type="pct"/>
            <w:gridSpan w:val="2"/>
            <w:shd w:val="clear" w:color="auto" w:fill="E3E2E7"/>
            <w:vAlign w:val="center"/>
            <w:hideMark/>
          </w:tcPr>
          <w:p w:rsidR="009263AE" w:rsidRPr="00C673E0" w:rsidRDefault="009263AE" w:rsidP="00C673E0">
            <w:pPr>
              <w:autoSpaceDE w:val="0"/>
              <w:autoSpaceDN w:val="0"/>
              <w:adjustRightInd w:val="0"/>
              <w:snapToGrid w:val="0"/>
              <w:spacing w:after="0" w:line="240" w:lineRule="auto"/>
              <w:rPr>
                <w:rFonts w:ascii="Times New Roman" w:eastAsia="Calibri" w:hAnsi="Times New Roman"/>
                <w:b/>
                <w:bCs/>
                <w:sz w:val="20"/>
                <w:szCs w:val="20"/>
              </w:rPr>
            </w:pPr>
            <w:r w:rsidRPr="00C673E0">
              <w:rPr>
                <w:rFonts w:ascii="Times New Roman" w:eastAsia="Calibri" w:hAnsi="Times New Roman"/>
                <w:b/>
                <w:bCs/>
                <w:sz w:val="20"/>
                <w:szCs w:val="20"/>
              </w:rPr>
              <w:t>95% Confidence Interval</w:t>
            </w:r>
            <w:r w:rsidR="006D0665" w:rsidRPr="00C673E0">
              <w:rPr>
                <w:rFonts w:ascii="Times New Roman" w:eastAsiaTheme="minorEastAsia" w:hAnsi="Times New Roman" w:hint="eastAsia"/>
                <w:b/>
                <w:bCs/>
                <w:sz w:val="20"/>
                <w:szCs w:val="20"/>
                <w:lang w:eastAsia="zh-CN"/>
              </w:rPr>
              <w:t xml:space="preserve"> </w:t>
            </w:r>
            <w:r w:rsidRPr="00C673E0">
              <w:rPr>
                <w:rFonts w:ascii="Times New Roman" w:eastAsia="Calibri" w:hAnsi="Times New Roman"/>
                <w:b/>
                <w:bCs/>
                <w:sz w:val="20"/>
                <w:szCs w:val="20"/>
              </w:rPr>
              <w:t>(CI)</w:t>
            </w:r>
          </w:p>
        </w:tc>
        <w:tc>
          <w:tcPr>
            <w:tcW w:w="347" w:type="pct"/>
            <w:vMerge w:val="restart"/>
            <w:shd w:val="clear" w:color="auto" w:fill="E3E2E7"/>
            <w:vAlign w:val="center"/>
            <w:hideMark/>
          </w:tcPr>
          <w:p w:rsidR="009263AE" w:rsidRPr="00C673E0" w:rsidRDefault="009263AE" w:rsidP="00C673E0">
            <w:pPr>
              <w:autoSpaceDE w:val="0"/>
              <w:autoSpaceDN w:val="0"/>
              <w:adjustRightInd w:val="0"/>
              <w:snapToGrid w:val="0"/>
              <w:spacing w:after="0" w:line="240" w:lineRule="auto"/>
              <w:rPr>
                <w:rFonts w:ascii="Times New Roman" w:eastAsia="Calibri" w:hAnsi="Times New Roman"/>
                <w:b/>
                <w:bCs/>
                <w:sz w:val="20"/>
                <w:szCs w:val="20"/>
              </w:rPr>
            </w:pPr>
            <w:r w:rsidRPr="00C673E0">
              <w:rPr>
                <w:rFonts w:ascii="Times New Roman" w:eastAsia="Calibri" w:hAnsi="Times New Roman"/>
                <w:b/>
                <w:bCs/>
                <w:sz w:val="20"/>
                <w:szCs w:val="20"/>
              </w:rPr>
              <w:t>Cut off</w:t>
            </w:r>
          </w:p>
        </w:tc>
        <w:tc>
          <w:tcPr>
            <w:tcW w:w="594" w:type="pct"/>
            <w:vMerge w:val="restart"/>
            <w:shd w:val="clear" w:color="auto" w:fill="E3E2E7"/>
            <w:vAlign w:val="center"/>
            <w:hideMark/>
          </w:tcPr>
          <w:p w:rsidR="009263AE" w:rsidRPr="00C673E0" w:rsidRDefault="009263AE" w:rsidP="00C673E0">
            <w:pPr>
              <w:autoSpaceDE w:val="0"/>
              <w:autoSpaceDN w:val="0"/>
              <w:adjustRightInd w:val="0"/>
              <w:snapToGrid w:val="0"/>
              <w:spacing w:after="0" w:line="240" w:lineRule="auto"/>
              <w:rPr>
                <w:rFonts w:ascii="Times New Roman" w:eastAsia="Calibri" w:hAnsi="Times New Roman"/>
                <w:b/>
                <w:bCs/>
                <w:sz w:val="20"/>
                <w:szCs w:val="20"/>
              </w:rPr>
            </w:pPr>
            <w:r w:rsidRPr="00C673E0">
              <w:rPr>
                <w:rFonts w:ascii="Times New Roman" w:eastAsia="Calibri" w:hAnsi="Times New Roman"/>
                <w:b/>
                <w:bCs/>
                <w:sz w:val="20"/>
                <w:szCs w:val="20"/>
              </w:rPr>
              <w:t>Sensitivity %</w:t>
            </w:r>
          </w:p>
        </w:tc>
        <w:tc>
          <w:tcPr>
            <w:tcW w:w="593" w:type="pct"/>
            <w:vMerge w:val="restart"/>
            <w:shd w:val="clear" w:color="auto" w:fill="E3E2E7"/>
            <w:vAlign w:val="center"/>
            <w:hideMark/>
          </w:tcPr>
          <w:p w:rsidR="009263AE" w:rsidRPr="00C673E0" w:rsidRDefault="009263AE" w:rsidP="00C673E0">
            <w:pPr>
              <w:autoSpaceDE w:val="0"/>
              <w:autoSpaceDN w:val="0"/>
              <w:adjustRightInd w:val="0"/>
              <w:snapToGrid w:val="0"/>
              <w:spacing w:after="0" w:line="240" w:lineRule="auto"/>
              <w:rPr>
                <w:rFonts w:ascii="Times New Roman" w:eastAsia="Calibri" w:hAnsi="Times New Roman"/>
                <w:b/>
                <w:bCs/>
                <w:sz w:val="20"/>
                <w:szCs w:val="20"/>
              </w:rPr>
            </w:pPr>
            <w:r w:rsidRPr="00C673E0">
              <w:rPr>
                <w:rFonts w:ascii="Times New Roman" w:eastAsia="Calibri" w:hAnsi="Times New Roman"/>
                <w:b/>
                <w:bCs/>
                <w:sz w:val="20"/>
                <w:szCs w:val="20"/>
              </w:rPr>
              <w:t>Specificity %</w:t>
            </w:r>
          </w:p>
        </w:tc>
      </w:tr>
      <w:tr w:rsidR="003E3F44" w:rsidRPr="00C673E0" w:rsidTr="006D0665">
        <w:trPr>
          <w:cantSplit/>
          <w:jc w:val="center"/>
        </w:trPr>
        <w:tc>
          <w:tcPr>
            <w:tcW w:w="617" w:type="pct"/>
            <w:vMerge/>
            <w:vAlign w:val="center"/>
            <w:hideMark/>
          </w:tcPr>
          <w:p w:rsidR="009263AE" w:rsidRPr="00C673E0" w:rsidRDefault="009263AE" w:rsidP="00C673E0">
            <w:pPr>
              <w:snapToGrid w:val="0"/>
              <w:spacing w:after="0" w:line="240" w:lineRule="auto"/>
              <w:rPr>
                <w:rFonts w:ascii="Times New Roman" w:eastAsia="Calibri" w:hAnsi="Times New Roman"/>
                <w:sz w:val="20"/>
                <w:szCs w:val="20"/>
              </w:rPr>
            </w:pPr>
          </w:p>
        </w:tc>
        <w:tc>
          <w:tcPr>
            <w:tcW w:w="1239" w:type="pct"/>
            <w:vMerge/>
            <w:vAlign w:val="center"/>
            <w:hideMark/>
          </w:tcPr>
          <w:p w:rsidR="009263AE" w:rsidRPr="00C673E0" w:rsidRDefault="009263AE" w:rsidP="00C673E0">
            <w:pPr>
              <w:snapToGrid w:val="0"/>
              <w:spacing w:after="0" w:line="240" w:lineRule="auto"/>
              <w:rPr>
                <w:rFonts w:ascii="Times New Roman" w:eastAsia="Calibri" w:hAnsi="Times New Roman"/>
                <w:b/>
                <w:bCs/>
                <w:sz w:val="20"/>
                <w:szCs w:val="20"/>
              </w:rPr>
            </w:pPr>
          </w:p>
        </w:tc>
        <w:tc>
          <w:tcPr>
            <w:tcW w:w="357" w:type="pct"/>
            <w:vMerge/>
            <w:vAlign w:val="center"/>
            <w:hideMark/>
          </w:tcPr>
          <w:p w:rsidR="009263AE" w:rsidRPr="00C673E0" w:rsidRDefault="009263AE" w:rsidP="00C673E0">
            <w:pPr>
              <w:snapToGrid w:val="0"/>
              <w:spacing w:after="0" w:line="240" w:lineRule="auto"/>
              <w:rPr>
                <w:rFonts w:ascii="Times New Roman" w:eastAsia="Calibri" w:hAnsi="Times New Roman"/>
                <w:sz w:val="20"/>
                <w:szCs w:val="20"/>
              </w:rPr>
            </w:pPr>
          </w:p>
        </w:tc>
        <w:tc>
          <w:tcPr>
            <w:tcW w:w="629" w:type="pct"/>
            <w:shd w:val="clear" w:color="auto" w:fill="E3E2E7"/>
            <w:vAlign w:val="center"/>
            <w:hideMark/>
          </w:tcPr>
          <w:p w:rsidR="009263AE" w:rsidRPr="00C673E0" w:rsidRDefault="009263AE" w:rsidP="00C673E0">
            <w:pPr>
              <w:autoSpaceDE w:val="0"/>
              <w:autoSpaceDN w:val="0"/>
              <w:adjustRightInd w:val="0"/>
              <w:snapToGrid w:val="0"/>
              <w:spacing w:after="0" w:line="240" w:lineRule="auto"/>
              <w:rPr>
                <w:rFonts w:ascii="Times New Roman" w:eastAsia="Calibri" w:hAnsi="Times New Roman"/>
                <w:sz w:val="20"/>
                <w:szCs w:val="20"/>
              </w:rPr>
            </w:pPr>
            <w:r w:rsidRPr="00C673E0">
              <w:rPr>
                <w:rFonts w:ascii="Times New Roman" w:eastAsia="Calibri" w:hAnsi="Times New Roman"/>
                <w:b/>
                <w:bCs/>
                <w:sz w:val="20"/>
                <w:szCs w:val="20"/>
              </w:rPr>
              <w:t>Lower Bound</w:t>
            </w:r>
          </w:p>
        </w:tc>
        <w:tc>
          <w:tcPr>
            <w:tcW w:w="623" w:type="pct"/>
            <w:shd w:val="clear" w:color="auto" w:fill="E3E2E7"/>
            <w:vAlign w:val="center"/>
            <w:hideMark/>
          </w:tcPr>
          <w:p w:rsidR="009263AE" w:rsidRPr="00C673E0" w:rsidRDefault="009263AE" w:rsidP="00C673E0">
            <w:pPr>
              <w:autoSpaceDE w:val="0"/>
              <w:autoSpaceDN w:val="0"/>
              <w:adjustRightInd w:val="0"/>
              <w:snapToGrid w:val="0"/>
              <w:spacing w:after="0" w:line="240" w:lineRule="auto"/>
              <w:rPr>
                <w:rFonts w:ascii="Times New Roman" w:eastAsia="Calibri" w:hAnsi="Times New Roman"/>
                <w:sz w:val="20"/>
                <w:szCs w:val="20"/>
              </w:rPr>
            </w:pPr>
            <w:r w:rsidRPr="00C673E0">
              <w:rPr>
                <w:rFonts w:ascii="Times New Roman" w:eastAsia="Calibri" w:hAnsi="Times New Roman"/>
                <w:b/>
                <w:bCs/>
                <w:sz w:val="20"/>
                <w:szCs w:val="20"/>
              </w:rPr>
              <w:t>Upper Bound</w:t>
            </w:r>
          </w:p>
        </w:tc>
        <w:tc>
          <w:tcPr>
            <w:tcW w:w="347" w:type="pct"/>
            <w:vMerge/>
            <w:vAlign w:val="center"/>
            <w:hideMark/>
          </w:tcPr>
          <w:p w:rsidR="009263AE" w:rsidRPr="00C673E0" w:rsidRDefault="009263AE" w:rsidP="00C673E0">
            <w:pPr>
              <w:snapToGrid w:val="0"/>
              <w:spacing w:after="0" w:line="240" w:lineRule="auto"/>
              <w:rPr>
                <w:rFonts w:ascii="Times New Roman" w:eastAsia="Calibri" w:hAnsi="Times New Roman"/>
                <w:b/>
                <w:bCs/>
                <w:sz w:val="20"/>
                <w:szCs w:val="20"/>
              </w:rPr>
            </w:pPr>
          </w:p>
        </w:tc>
        <w:tc>
          <w:tcPr>
            <w:tcW w:w="594" w:type="pct"/>
            <w:vMerge/>
            <w:vAlign w:val="center"/>
            <w:hideMark/>
          </w:tcPr>
          <w:p w:rsidR="009263AE" w:rsidRPr="00C673E0" w:rsidRDefault="009263AE" w:rsidP="00C673E0">
            <w:pPr>
              <w:snapToGrid w:val="0"/>
              <w:spacing w:after="0" w:line="240" w:lineRule="auto"/>
              <w:rPr>
                <w:rFonts w:ascii="Times New Roman" w:eastAsia="Calibri" w:hAnsi="Times New Roman"/>
                <w:b/>
                <w:bCs/>
                <w:sz w:val="20"/>
                <w:szCs w:val="20"/>
              </w:rPr>
            </w:pPr>
          </w:p>
        </w:tc>
        <w:tc>
          <w:tcPr>
            <w:tcW w:w="593" w:type="pct"/>
            <w:vMerge/>
            <w:vAlign w:val="center"/>
            <w:hideMark/>
          </w:tcPr>
          <w:p w:rsidR="009263AE" w:rsidRPr="00C673E0" w:rsidRDefault="009263AE" w:rsidP="00C673E0">
            <w:pPr>
              <w:snapToGrid w:val="0"/>
              <w:spacing w:after="0" w:line="240" w:lineRule="auto"/>
              <w:rPr>
                <w:rFonts w:ascii="Times New Roman" w:eastAsia="Calibri" w:hAnsi="Times New Roman"/>
                <w:b/>
                <w:bCs/>
                <w:sz w:val="20"/>
                <w:szCs w:val="20"/>
              </w:rPr>
            </w:pPr>
          </w:p>
        </w:tc>
      </w:tr>
      <w:tr w:rsidR="003E3F44" w:rsidRPr="00C673E0" w:rsidTr="006D0665">
        <w:trPr>
          <w:cantSplit/>
          <w:jc w:val="center"/>
        </w:trPr>
        <w:tc>
          <w:tcPr>
            <w:tcW w:w="617" w:type="pct"/>
            <w:shd w:val="clear" w:color="auto" w:fill="E3E2E7"/>
            <w:vAlign w:val="center"/>
            <w:hideMark/>
          </w:tcPr>
          <w:p w:rsidR="009263AE" w:rsidRPr="00C673E0" w:rsidRDefault="009263AE" w:rsidP="00C673E0">
            <w:pPr>
              <w:autoSpaceDE w:val="0"/>
              <w:autoSpaceDN w:val="0"/>
              <w:adjustRightInd w:val="0"/>
              <w:snapToGrid w:val="0"/>
              <w:spacing w:after="0" w:line="240" w:lineRule="auto"/>
              <w:rPr>
                <w:rFonts w:ascii="Times New Roman" w:eastAsia="Calibri" w:hAnsi="Times New Roman"/>
                <w:sz w:val="20"/>
                <w:szCs w:val="20"/>
              </w:rPr>
            </w:pPr>
            <w:r w:rsidRPr="00C673E0">
              <w:rPr>
                <w:rFonts w:ascii="Times New Roman" w:eastAsia="Calibri" w:hAnsi="Times New Roman"/>
                <w:b/>
                <w:bCs/>
                <w:sz w:val="20"/>
                <w:szCs w:val="20"/>
              </w:rPr>
              <w:t>LncRNA-H19</w:t>
            </w:r>
          </w:p>
        </w:tc>
        <w:tc>
          <w:tcPr>
            <w:tcW w:w="1239" w:type="pct"/>
            <w:shd w:val="clear" w:color="auto" w:fill="FFFFFF"/>
            <w:vAlign w:val="center"/>
            <w:hideMark/>
          </w:tcPr>
          <w:p w:rsidR="009263AE" w:rsidRPr="00C673E0" w:rsidRDefault="009263AE" w:rsidP="00C673E0">
            <w:pPr>
              <w:autoSpaceDE w:val="0"/>
              <w:autoSpaceDN w:val="0"/>
              <w:adjustRightInd w:val="0"/>
              <w:snapToGrid w:val="0"/>
              <w:spacing w:after="0" w:line="240" w:lineRule="auto"/>
              <w:rPr>
                <w:rFonts w:ascii="Times New Roman" w:eastAsia="Calibri" w:hAnsi="Times New Roman"/>
                <w:sz w:val="20"/>
                <w:szCs w:val="20"/>
              </w:rPr>
            </w:pPr>
            <w:r w:rsidRPr="00C673E0">
              <w:rPr>
                <w:rFonts w:ascii="Times New Roman" w:eastAsia="Calibri" w:hAnsi="Times New Roman"/>
                <w:sz w:val="20"/>
                <w:szCs w:val="20"/>
              </w:rPr>
              <w:t>0.602</w:t>
            </w:r>
          </w:p>
        </w:tc>
        <w:tc>
          <w:tcPr>
            <w:tcW w:w="357" w:type="pct"/>
            <w:shd w:val="clear" w:color="auto" w:fill="FFFFFF"/>
            <w:vAlign w:val="center"/>
            <w:hideMark/>
          </w:tcPr>
          <w:p w:rsidR="009263AE" w:rsidRPr="00C673E0" w:rsidRDefault="009263AE" w:rsidP="00C673E0">
            <w:pPr>
              <w:autoSpaceDE w:val="0"/>
              <w:autoSpaceDN w:val="0"/>
              <w:adjustRightInd w:val="0"/>
              <w:snapToGrid w:val="0"/>
              <w:spacing w:after="0" w:line="240" w:lineRule="auto"/>
              <w:rPr>
                <w:rFonts w:ascii="Times New Roman" w:eastAsia="Calibri" w:hAnsi="Times New Roman"/>
                <w:b/>
                <w:bCs/>
                <w:sz w:val="20"/>
                <w:szCs w:val="20"/>
              </w:rPr>
            </w:pPr>
            <w:r w:rsidRPr="00C673E0">
              <w:rPr>
                <w:rFonts w:ascii="Times New Roman" w:eastAsia="Calibri" w:hAnsi="Times New Roman"/>
                <w:b/>
                <w:bCs/>
                <w:sz w:val="20"/>
                <w:szCs w:val="20"/>
              </w:rPr>
              <w:t>0.043</w:t>
            </w:r>
          </w:p>
        </w:tc>
        <w:tc>
          <w:tcPr>
            <w:tcW w:w="629" w:type="pct"/>
            <w:shd w:val="clear" w:color="auto" w:fill="FFFFFF"/>
            <w:vAlign w:val="center"/>
            <w:hideMark/>
          </w:tcPr>
          <w:p w:rsidR="009263AE" w:rsidRPr="00C673E0" w:rsidRDefault="009263AE" w:rsidP="00C673E0">
            <w:pPr>
              <w:autoSpaceDE w:val="0"/>
              <w:autoSpaceDN w:val="0"/>
              <w:adjustRightInd w:val="0"/>
              <w:snapToGrid w:val="0"/>
              <w:spacing w:after="0" w:line="240" w:lineRule="auto"/>
              <w:rPr>
                <w:rFonts w:ascii="Times New Roman" w:eastAsia="Calibri" w:hAnsi="Times New Roman"/>
                <w:sz w:val="20"/>
                <w:szCs w:val="20"/>
              </w:rPr>
            </w:pPr>
            <w:r w:rsidRPr="00C673E0">
              <w:rPr>
                <w:rFonts w:ascii="Times New Roman" w:eastAsia="Calibri" w:hAnsi="Times New Roman"/>
                <w:sz w:val="20"/>
                <w:szCs w:val="20"/>
              </w:rPr>
              <w:t>0.497</w:t>
            </w:r>
          </w:p>
        </w:tc>
        <w:tc>
          <w:tcPr>
            <w:tcW w:w="623" w:type="pct"/>
            <w:shd w:val="clear" w:color="auto" w:fill="FFFFFF"/>
            <w:vAlign w:val="center"/>
            <w:hideMark/>
          </w:tcPr>
          <w:p w:rsidR="009263AE" w:rsidRPr="00C673E0" w:rsidRDefault="009263AE" w:rsidP="00C673E0">
            <w:pPr>
              <w:autoSpaceDE w:val="0"/>
              <w:autoSpaceDN w:val="0"/>
              <w:adjustRightInd w:val="0"/>
              <w:snapToGrid w:val="0"/>
              <w:spacing w:after="0" w:line="240" w:lineRule="auto"/>
              <w:rPr>
                <w:rFonts w:ascii="Times New Roman" w:eastAsia="Calibri" w:hAnsi="Times New Roman"/>
                <w:sz w:val="20"/>
                <w:szCs w:val="20"/>
              </w:rPr>
            </w:pPr>
            <w:r w:rsidRPr="00C673E0">
              <w:rPr>
                <w:rFonts w:ascii="Times New Roman" w:eastAsia="Calibri" w:hAnsi="Times New Roman"/>
                <w:sz w:val="20"/>
                <w:szCs w:val="20"/>
              </w:rPr>
              <w:t>0.706</w:t>
            </w:r>
          </w:p>
        </w:tc>
        <w:tc>
          <w:tcPr>
            <w:tcW w:w="347" w:type="pct"/>
            <w:shd w:val="clear" w:color="auto" w:fill="FFFFFF"/>
            <w:vAlign w:val="center"/>
            <w:hideMark/>
          </w:tcPr>
          <w:p w:rsidR="009263AE" w:rsidRPr="00C673E0" w:rsidRDefault="009263AE" w:rsidP="00C673E0">
            <w:pPr>
              <w:autoSpaceDE w:val="0"/>
              <w:autoSpaceDN w:val="0"/>
              <w:adjustRightInd w:val="0"/>
              <w:snapToGrid w:val="0"/>
              <w:spacing w:after="0" w:line="240" w:lineRule="auto"/>
              <w:rPr>
                <w:rFonts w:ascii="Times New Roman" w:eastAsia="Calibri" w:hAnsi="Times New Roman"/>
                <w:sz w:val="20"/>
                <w:szCs w:val="20"/>
              </w:rPr>
            </w:pPr>
            <w:r w:rsidRPr="00C673E0">
              <w:rPr>
                <w:rFonts w:ascii="Times New Roman" w:eastAsia="Calibri" w:hAnsi="Times New Roman"/>
                <w:sz w:val="20"/>
                <w:szCs w:val="20"/>
              </w:rPr>
              <w:t>0.8855</w:t>
            </w:r>
          </w:p>
        </w:tc>
        <w:tc>
          <w:tcPr>
            <w:tcW w:w="594" w:type="pct"/>
            <w:shd w:val="clear" w:color="auto" w:fill="FFFFFF"/>
            <w:vAlign w:val="center"/>
            <w:hideMark/>
          </w:tcPr>
          <w:p w:rsidR="009263AE" w:rsidRPr="00C673E0" w:rsidRDefault="009263AE" w:rsidP="00C673E0">
            <w:pPr>
              <w:autoSpaceDE w:val="0"/>
              <w:autoSpaceDN w:val="0"/>
              <w:adjustRightInd w:val="0"/>
              <w:snapToGrid w:val="0"/>
              <w:spacing w:after="0" w:line="240" w:lineRule="auto"/>
              <w:rPr>
                <w:rFonts w:ascii="Times New Roman" w:eastAsia="Calibri" w:hAnsi="Times New Roman"/>
                <w:sz w:val="20"/>
                <w:szCs w:val="20"/>
              </w:rPr>
            </w:pPr>
            <w:r w:rsidRPr="00C673E0">
              <w:rPr>
                <w:rFonts w:ascii="Times New Roman" w:eastAsia="Calibri" w:hAnsi="Times New Roman"/>
                <w:sz w:val="20"/>
                <w:szCs w:val="20"/>
              </w:rPr>
              <w:t>52.7%</w:t>
            </w:r>
          </w:p>
        </w:tc>
        <w:tc>
          <w:tcPr>
            <w:tcW w:w="593" w:type="pct"/>
            <w:shd w:val="clear" w:color="auto" w:fill="FFFFFF"/>
            <w:vAlign w:val="center"/>
            <w:hideMark/>
          </w:tcPr>
          <w:p w:rsidR="009263AE" w:rsidRPr="00C673E0" w:rsidRDefault="009263AE" w:rsidP="00C673E0">
            <w:pPr>
              <w:autoSpaceDE w:val="0"/>
              <w:autoSpaceDN w:val="0"/>
              <w:adjustRightInd w:val="0"/>
              <w:snapToGrid w:val="0"/>
              <w:spacing w:after="0" w:line="240" w:lineRule="auto"/>
              <w:rPr>
                <w:rFonts w:ascii="Times New Roman" w:eastAsia="Calibri" w:hAnsi="Times New Roman"/>
                <w:sz w:val="20"/>
                <w:szCs w:val="20"/>
              </w:rPr>
            </w:pPr>
            <w:r w:rsidRPr="00C673E0">
              <w:rPr>
                <w:rFonts w:ascii="Times New Roman" w:eastAsia="Calibri" w:hAnsi="Times New Roman"/>
                <w:sz w:val="20"/>
                <w:szCs w:val="20"/>
              </w:rPr>
              <w:t>86.7%</w:t>
            </w:r>
          </w:p>
        </w:tc>
      </w:tr>
    </w:tbl>
    <w:p w:rsidR="00FB03C0" w:rsidRPr="00C673E0" w:rsidRDefault="00FB03C0" w:rsidP="00644513">
      <w:pPr>
        <w:snapToGrid w:val="0"/>
        <w:spacing w:after="0" w:line="240" w:lineRule="auto"/>
        <w:jc w:val="both"/>
        <w:rPr>
          <w:rFonts w:ascii="Times New Roman" w:eastAsiaTheme="minorEastAsia" w:hAnsi="Times New Roman"/>
          <w:b/>
          <w:bCs/>
          <w:sz w:val="20"/>
          <w:szCs w:val="20"/>
          <w:lang w:eastAsia="zh-CN" w:bidi="ar-EG"/>
        </w:rPr>
      </w:pPr>
    </w:p>
    <w:p w:rsidR="006D0665" w:rsidRPr="00C673E0" w:rsidRDefault="006D0665" w:rsidP="006D0665">
      <w:pPr>
        <w:snapToGrid w:val="0"/>
        <w:spacing w:after="0" w:line="240" w:lineRule="auto"/>
        <w:jc w:val="center"/>
        <w:rPr>
          <w:rFonts w:ascii="Times New Roman" w:eastAsia="Times New Roman" w:hAnsi="Times New Roman"/>
          <w:b/>
          <w:bCs/>
          <w:sz w:val="20"/>
          <w:szCs w:val="20"/>
          <w:lang w:bidi="ar-EG"/>
        </w:rPr>
      </w:pPr>
      <w:r w:rsidRPr="00C673E0">
        <w:rPr>
          <w:rFonts w:ascii="Times New Roman" w:eastAsia="Times New Roman" w:hAnsi="Times New Roman"/>
          <w:b/>
          <w:bCs/>
          <w:sz w:val="20"/>
          <w:szCs w:val="20"/>
          <w:lang w:bidi="ar-EG"/>
        </w:rPr>
        <w:t>Table (4): ROC curve analysis for serum relative expression levels of lincRNA-p21 for MS diagnosis.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178"/>
        <w:gridCol w:w="2346"/>
        <w:gridCol w:w="676"/>
        <w:gridCol w:w="1190"/>
        <w:gridCol w:w="1180"/>
        <w:gridCol w:w="656"/>
        <w:gridCol w:w="1124"/>
        <w:gridCol w:w="1124"/>
      </w:tblGrid>
      <w:tr w:rsidR="006D0665" w:rsidRPr="00C673E0" w:rsidTr="002C4EF3">
        <w:trPr>
          <w:cantSplit/>
          <w:jc w:val="center"/>
        </w:trPr>
        <w:tc>
          <w:tcPr>
            <w:tcW w:w="622" w:type="pct"/>
            <w:vMerge w:val="restart"/>
            <w:shd w:val="clear" w:color="auto" w:fill="E3E2E7"/>
            <w:vAlign w:val="center"/>
          </w:tcPr>
          <w:p w:rsidR="006D0665" w:rsidRPr="00C673E0" w:rsidRDefault="006D0665" w:rsidP="00C673E0">
            <w:pPr>
              <w:snapToGrid w:val="0"/>
              <w:spacing w:after="0" w:line="240" w:lineRule="auto"/>
              <w:rPr>
                <w:rFonts w:ascii="Times New Roman" w:eastAsia="Times New Roman" w:hAnsi="Times New Roman"/>
                <w:sz w:val="20"/>
                <w:szCs w:val="20"/>
                <w:lang w:bidi="ar-EG"/>
              </w:rPr>
            </w:pPr>
          </w:p>
        </w:tc>
        <w:tc>
          <w:tcPr>
            <w:tcW w:w="1238" w:type="pct"/>
            <w:vMerge w:val="restart"/>
            <w:shd w:val="clear" w:color="auto" w:fill="E3E2E7"/>
            <w:vAlign w:val="center"/>
            <w:hideMark/>
          </w:tcPr>
          <w:p w:rsidR="006D0665" w:rsidRPr="00C673E0" w:rsidRDefault="006D0665" w:rsidP="00C673E0">
            <w:pPr>
              <w:snapToGrid w:val="0"/>
              <w:spacing w:after="0" w:line="240" w:lineRule="auto"/>
              <w:rPr>
                <w:rFonts w:ascii="Times New Roman" w:eastAsia="Times New Roman" w:hAnsi="Times New Roman"/>
                <w:b/>
                <w:bCs/>
                <w:sz w:val="20"/>
                <w:szCs w:val="20"/>
                <w:lang w:bidi="ar-EG"/>
              </w:rPr>
            </w:pPr>
            <w:r w:rsidRPr="00C673E0">
              <w:rPr>
                <w:rFonts w:ascii="Times New Roman" w:eastAsia="Times New Roman" w:hAnsi="Times New Roman"/>
                <w:b/>
                <w:bCs/>
                <w:sz w:val="20"/>
                <w:szCs w:val="20"/>
                <w:lang w:bidi="ar-EG"/>
              </w:rPr>
              <w:t>Area Under the Curve</w:t>
            </w:r>
            <w:r w:rsidRPr="00C673E0">
              <w:rPr>
                <w:rFonts w:ascii="Times New Roman" w:eastAsiaTheme="minorEastAsia" w:hAnsi="Times New Roman" w:hint="eastAsia"/>
                <w:b/>
                <w:bCs/>
                <w:sz w:val="20"/>
                <w:szCs w:val="20"/>
                <w:lang w:eastAsia="zh-CN" w:bidi="ar-EG"/>
              </w:rPr>
              <w:t xml:space="preserve"> </w:t>
            </w:r>
            <w:r w:rsidRPr="00C673E0">
              <w:rPr>
                <w:rFonts w:ascii="Times New Roman" w:eastAsia="Times New Roman" w:hAnsi="Times New Roman"/>
                <w:b/>
                <w:bCs/>
                <w:sz w:val="20"/>
                <w:szCs w:val="20"/>
                <w:lang w:bidi="ar-EG"/>
              </w:rPr>
              <w:t>(AUC)</w:t>
            </w:r>
          </w:p>
        </w:tc>
        <w:tc>
          <w:tcPr>
            <w:tcW w:w="357" w:type="pct"/>
            <w:vMerge w:val="restart"/>
            <w:shd w:val="clear" w:color="auto" w:fill="E3E2E7"/>
            <w:vAlign w:val="center"/>
            <w:hideMark/>
          </w:tcPr>
          <w:p w:rsidR="006D0665" w:rsidRPr="00C673E0" w:rsidRDefault="006D0665" w:rsidP="00C673E0">
            <w:pPr>
              <w:snapToGrid w:val="0"/>
              <w:spacing w:after="0" w:line="240" w:lineRule="auto"/>
              <w:rPr>
                <w:rFonts w:ascii="Times New Roman" w:eastAsia="Times New Roman" w:hAnsi="Times New Roman"/>
                <w:sz w:val="20"/>
                <w:szCs w:val="20"/>
                <w:lang w:bidi="ar-EG"/>
              </w:rPr>
            </w:pPr>
            <w:r w:rsidRPr="00C673E0">
              <w:rPr>
                <w:rFonts w:ascii="Times New Roman" w:eastAsia="Times New Roman" w:hAnsi="Times New Roman"/>
                <w:b/>
                <w:bCs/>
                <w:sz w:val="20"/>
                <w:szCs w:val="20"/>
                <w:lang w:bidi="ar-EG"/>
              </w:rPr>
              <w:t>P value</w:t>
            </w:r>
          </w:p>
        </w:tc>
        <w:tc>
          <w:tcPr>
            <w:tcW w:w="1251" w:type="pct"/>
            <w:gridSpan w:val="2"/>
            <w:shd w:val="clear" w:color="auto" w:fill="E3E2E7"/>
            <w:vAlign w:val="center"/>
            <w:hideMark/>
          </w:tcPr>
          <w:p w:rsidR="006D0665" w:rsidRPr="00C673E0" w:rsidRDefault="006D0665" w:rsidP="00C673E0">
            <w:pPr>
              <w:snapToGrid w:val="0"/>
              <w:spacing w:after="0" w:line="240" w:lineRule="auto"/>
              <w:rPr>
                <w:rFonts w:ascii="Times New Roman" w:eastAsia="Times New Roman" w:hAnsi="Times New Roman"/>
                <w:b/>
                <w:bCs/>
                <w:sz w:val="20"/>
                <w:szCs w:val="20"/>
                <w:lang w:bidi="ar-EG"/>
              </w:rPr>
            </w:pPr>
            <w:r w:rsidRPr="00C673E0">
              <w:rPr>
                <w:rFonts w:ascii="Times New Roman" w:eastAsia="Times New Roman" w:hAnsi="Times New Roman"/>
                <w:b/>
                <w:bCs/>
                <w:sz w:val="20"/>
                <w:szCs w:val="20"/>
                <w:lang w:bidi="ar-EG"/>
              </w:rPr>
              <w:t>95% Confidence Interval</w:t>
            </w:r>
            <w:r w:rsidRPr="00C673E0">
              <w:rPr>
                <w:rFonts w:ascii="Times New Roman" w:eastAsiaTheme="minorEastAsia" w:hAnsi="Times New Roman" w:hint="eastAsia"/>
                <w:b/>
                <w:bCs/>
                <w:sz w:val="20"/>
                <w:szCs w:val="20"/>
                <w:lang w:eastAsia="zh-CN" w:bidi="ar-EG"/>
              </w:rPr>
              <w:t xml:space="preserve"> </w:t>
            </w:r>
            <w:r w:rsidRPr="00C673E0">
              <w:rPr>
                <w:rFonts w:ascii="Times New Roman" w:eastAsia="Times New Roman" w:hAnsi="Times New Roman"/>
                <w:b/>
                <w:bCs/>
                <w:sz w:val="20"/>
                <w:szCs w:val="20"/>
                <w:lang w:bidi="ar-EG"/>
              </w:rPr>
              <w:t>(CI)</w:t>
            </w:r>
          </w:p>
        </w:tc>
        <w:tc>
          <w:tcPr>
            <w:tcW w:w="346" w:type="pct"/>
            <w:vMerge w:val="restart"/>
            <w:shd w:val="clear" w:color="auto" w:fill="E3E2E7"/>
            <w:vAlign w:val="center"/>
            <w:hideMark/>
          </w:tcPr>
          <w:p w:rsidR="006D0665" w:rsidRPr="00C673E0" w:rsidRDefault="006D0665" w:rsidP="00C673E0">
            <w:pPr>
              <w:snapToGrid w:val="0"/>
              <w:spacing w:after="0" w:line="240" w:lineRule="auto"/>
              <w:rPr>
                <w:rFonts w:ascii="Times New Roman" w:eastAsia="Times New Roman" w:hAnsi="Times New Roman"/>
                <w:b/>
                <w:bCs/>
                <w:sz w:val="20"/>
                <w:szCs w:val="20"/>
                <w:lang w:bidi="ar-EG"/>
              </w:rPr>
            </w:pPr>
            <w:r w:rsidRPr="00C673E0">
              <w:rPr>
                <w:rFonts w:ascii="Times New Roman" w:eastAsia="Times New Roman" w:hAnsi="Times New Roman"/>
                <w:b/>
                <w:bCs/>
                <w:sz w:val="20"/>
                <w:szCs w:val="20"/>
                <w:lang w:bidi="ar-EG"/>
              </w:rPr>
              <w:t>Cut off</w:t>
            </w:r>
          </w:p>
        </w:tc>
        <w:tc>
          <w:tcPr>
            <w:tcW w:w="593" w:type="pct"/>
            <w:vMerge w:val="restart"/>
            <w:shd w:val="clear" w:color="auto" w:fill="E3E2E7"/>
            <w:vAlign w:val="center"/>
            <w:hideMark/>
          </w:tcPr>
          <w:p w:rsidR="006D0665" w:rsidRPr="00C673E0" w:rsidRDefault="006D0665" w:rsidP="00C673E0">
            <w:pPr>
              <w:snapToGrid w:val="0"/>
              <w:spacing w:after="0" w:line="240" w:lineRule="auto"/>
              <w:rPr>
                <w:rFonts w:ascii="Times New Roman" w:eastAsia="Times New Roman" w:hAnsi="Times New Roman"/>
                <w:b/>
                <w:bCs/>
                <w:sz w:val="20"/>
                <w:szCs w:val="20"/>
                <w:lang w:bidi="ar-EG"/>
              </w:rPr>
            </w:pPr>
            <w:r w:rsidRPr="00C673E0">
              <w:rPr>
                <w:rFonts w:ascii="Times New Roman" w:eastAsia="Times New Roman" w:hAnsi="Times New Roman"/>
                <w:b/>
                <w:bCs/>
                <w:sz w:val="20"/>
                <w:szCs w:val="20"/>
                <w:lang w:bidi="ar-EG"/>
              </w:rPr>
              <w:t>Sensitivity %</w:t>
            </w:r>
          </w:p>
        </w:tc>
        <w:tc>
          <w:tcPr>
            <w:tcW w:w="593" w:type="pct"/>
            <w:vMerge w:val="restart"/>
            <w:shd w:val="clear" w:color="auto" w:fill="E3E2E7"/>
            <w:vAlign w:val="center"/>
            <w:hideMark/>
          </w:tcPr>
          <w:p w:rsidR="006D0665" w:rsidRPr="00C673E0" w:rsidRDefault="006D0665" w:rsidP="00C673E0">
            <w:pPr>
              <w:snapToGrid w:val="0"/>
              <w:spacing w:after="0" w:line="240" w:lineRule="auto"/>
              <w:rPr>
                <w:rFonts w:ascii="Times New Roman" w:eastAsia="Times New Roman" w:hAnsi="Times New Roman"/>
                <w:b/>
                <w:bCs/>
                <w:sz w:val="20"/>
                <w:szCs w:val="20"/>
                <w:lang w:bidi="ar-EG"/>
              </w:rPr>
            </w:pPr>
            <w:r w:rsidRPr="00C673E0">
              <w:rPr>
                <w:rFonts w:ascii="Times New Roman" w:eastAsia="Times New Roman" w:hAnsi="Times New Roman"/>
                <w:b/>
                <w:bCs/>
                <w:sz w:val="20"/>
                <w:szCs w:val="20"/>
                <w:lang w:bidi="ar-EG"/>
              </w:rPr>
              <w:t>Specificity %</w:t>
            </w:r>
          </w:p>
        </w:tc>
      </w:tr>
      <w:tr w:rsidR="006D0665" w:rsidRPr="00C673E0" w:rsidTr="002C4EF3">
        <w:trPr>
          <w:cantSplit/>
          <w:jc w:val="center"/>
        </w:trPr>
        <w:tc>
          <w:tcPr>
            <w:tcW w:w="622" w:type="pct"/>
            <w:vMerge/>
            <w:vAlign w:val="center"/>
            <w:hideMark/>
          </w:tcPr>
          <w:p w:rsidR="006D0665" w:rsidRPr="00C673E0" w:rsidRDefault="006D0665" w:rsidP="00C673E0">
            <w:pPr>
              <w:snapToGrid w:val="0"/>
              <w:spacing w:after="0" w:line="240" w:lineRule="auto"/>
              <w:rPr>
                <w:rFonts w:ascii="Times New Roman" w:eastAsia="Times New Roman" w:hAnsi="Times New Roman"/>
                <w:sz w:val="20"/>
                <w:szCs w:val="20"/>
                <w:lang w:bidi="ar-EG"/>
              </w:rPr>
            </w:pPr>
          </w:p>
        </w:tc>
        <w:tc>
          <w:tcPr>
            <w:tcW w:w="1238" w:type="pct"/>
            <w:vMerge/>
            <w:vAlign w:val="center"/>
            <w:hideMark/>
          </w:tcPr>
          <w:p w:rsidR="006D0665" w:rsidRPr="00C673E0" w:rsidRDefault="006D0665" w:rsidP="00C673E0">
            <w:pPr>
              <w:snapToGrid w:val="0"/>
              <w:spacing w:after="0" w:line="240" w:lineRule="auto"/>
              <w:rPr>
                <w:rFonts w:ascii="Times New Roman" w:eastAsia="Times New Roman" w:hAnsi="Times New Roman"/>
                <w:b/>
                <w:bCs/>
                <w:sz w:val="20"/>
                <w:szCs w:val="20"/>
                <w:lang w:bidi="ar-EG"/>
              </w:rPr>
            </w:pPr>
          </w:p>
        </w:tc>
        <w:tc>
          <w:tcPr>
            <w:tcW w:w="357" w:type="pct"/>
            <w:vMerge/>
            <w:vAlign w:val="center"/>
            <w:hideMark/>
          </w:tcPr>
          <w:p w:rsidR="006D0665" w:rsidRPr="00C673E0" w:rsidRDefault="006D0665" w:rsidP="00C673E0">
            <w:pPr>
              <w:snapToGrid w:val="0"/>
              <w:spacing w:after="0" w:line="240" w:lineRule="auto"/>
              <w:rPr>
                <w:rFonts w:ascii="Times New Roman" w:eastAsia="Times New Roman" w:hAnsi="Times New Roman"/>
                <w:sz w:val="20"/>
                <w:szCs w:val="20"/>
                <w:lang w:bidi="ar-EG"/>
              </w:rPr>
            </w:pPr>
          </w:p>
        </w:tc>
        <w:tc>
          <w:tcPr>
            <w:tcW w:w="628" w:type="pct"/>
            <w:shd w:val="clear" w:color="auto" w:fill="E3E2E7"/>
            <w:vAlign w:val="center"/>
            <w:hideMark/>
          </w:tcPr>
          <w:p w:rsidR="006D0665" w:rsidRPr="00C673E0" w:rsidRDefault="006D0665" w:rsidP="00C673E0">
            <w:pPr>
              <w:snapToGrid w:val="0"/>
              <w:spacing w:after="0" w:line="240" w:lineRule="auto"/>
              <w:rPr>
                <w:rFonts w:ascii="Times New Roman" w:eastAsia="Times New Roman" w:hAnsi="Times New Roman"/>
                <w:sz w:val="20"/>
                <w:szCs w:val="20"/>
                <w:lang w:bidi="ar-EG"/>
              </w:rPr>
            </w:pPr>
            <w:r w:rsidRPr="00C673E0">
              <w:rPr>
                <w:rFonts w:ascii="Times New Roman" w:eastAsia="Times New Roman" w:hAnsi="Times New Roman"/>
                <w:b/>
                <w:bCs/>
                <w:sz w:val="20"/>
                <w:szCs w:val="20"/>
                <w:lang w:bidi="ar-EG"/>
              </w:rPr>
              <w:t>Lower Bound</w:t>
            </w:r>
          </w:p>
        </w:tc>
        <w:tc>
          <w:tcPr>
            <w:tcW w:w="623" w:type="pct"/>
            <w:shd w:val="clear" w:color="auto" w:fill="E3E2E7"/>
            <w:vAlign w:val="center"/>
            <w:hideMark/>
          </w:tcPr>
          <w:p w:rsidR="006D0665" w:rsidRPr="00C673E0" w:rsidRDefault="006D0665" w:rsidP="00C673E0">
            <w:pPr>
              <w:snapToGrid w:val="0"/>
              <w:spacing w:after="0" w:line="240" w:lineRule="auto"/>
              <w:rPr>
                <w:rFonts w:ascii="Times New Roman" w:eastAsia="Times New Roman" w:hAnsi="Times New Roman"/>
                <w:sz w:val="20"/>
                <w:szCs w:val="20"/>
                <w:lang w:bidi="ar-EG"/>
              </w:rPr>
            </w:pPr>
            <w:r w:rsidRPr="00C673E0">
              <w:rPr>
                <w:rFonts w:ascii="Times New Roman" w:eastAsia="Times New Roman" w:hAnsi="Times New Roman"/>
                <w:b/>
                <w:bCs/>
                <w:sz w:val="20"/>
                <w:szCs w:val="20"/>
                <w:lang w:bidi="ar-EG"/>
              </w:rPr>
              <w:t>Upper Bound</w:t>
            </w:r>
          </w:p>
        </w:tc>
        <w:tc>
          <w:tcPr>
            <w:tcW w:w="346" w:type="pct"/>
            <w:vMerge/>
            <w:vAlign w:val="center"/>
            <w:hideMark/>
          </w:tcPr>
          <w:p w:rsidR="006D0665" w:rsidRPr="00C673E0" w:rsidRDefault="006D0665" w:rsidP="00C673E0">
            <w:pPr>
              <w:snapToGrid w:val="0"/>
              <w:spacing w:after="0" w:line="240" w:lineRule="auto"/>
              <w:rPr>
                <w:rFonts w:ascii="Times New Roman" w:eastAsia="Times New Roman" w:hAnsi="Times New Roman"/>
                <w:b/>
                <w:bCs/>
                <w:sz w:val="20"/>
                <w:szCs w:val="20"/>
                <w:lang w:bidi="ar-EG"/>
              </w:rPr>
            </w:pPr>
          </w:p>
        </w:tc>
        <w:tc>
          <w:tcPr>
            <w:tcW w:w="593" w:type="pct"/>
            <w:vMerge/>
            <w:vAlign w:val="center"/>
            <w:hideMark/>
          </w:tcPr>
          <w:p w:rsidR="006D0665" w:rsidRPr="00C673E0" w:rsidRDefault="006D0665" w:rsidP="00C673E0">
            <w:pPr>
              <w:snapToGrid w:val="0"/>
              <w:spacing w:after="0" w:line="240" w:lineRule="auto"/>
              <w:rPr>
                <w:rFonts w:ascii="Times New Roman" w:eastAsia="Times New Roman" w:hAnsi="Times New Roman"/>
                <w:b/>
                <w:bCs/>
                <w:sz w:val="20"/>
                <w:szCs w:val="20"/>
                <w:lang w:bidi="ar-EG"/>
              </w:rPr>
            </w:pPr>
          </w:p>
        </w:tc>
        <w:tc>
          <w:tcPr>
            <w:tcW w:w="593" w:type="pct"/>
            <w:vMerge/>
            <w:vAlign w:val="center"/>
            <w:hideMark/>
          </w:tcPr>
          <w:p w:rsidR="006D0665" w:rsidRPr="00C673E0" w:rsidRDefault="006D0665" w:rsidP="00C673E0">
            <w:pPr>
              <w:snapToGrid w:val="0"/>
              <w:spacing w:after="0" w:line="240" w:lineRule="auto"/>
              <w:rPr>
                <w:rFonts w:ascii="Times New Roman" w:eastAsia="Times New Roman" w:hAnsi="Times New Roman"/>
                <w:b/>
                <w:bCs/>
                <w:sz w:val="20"/>
                <w:szCs w:val="20"/>
                <w:lang w:bidi="ar-EG"/>
              </w:rPr>
            </w:pPr>
          </w:p>
        </w:tc>
      </w:tr>
      <w:tr w:rsidR="006D0665" w:rsidRPr="00C673E0" w:rsidTr="002C4EF3">
        <w:trPr>
          <w:cantSplit/>
          <w:jc w:val="center"/>
        </w:trPr>
        <w:tc>
          <w:tcPr>
            <w:tcW w:w="622" w:type="pct"/>
            <w:shd w:val="clear" w:color="auto" w:fill="E3E2E7"/>
            <w:vAlign w:val="center"/>
            <w:hideMark/>
          </w:tcPr>
          <w:p w:rsidR="006D0665" w:rsidRPr="00C673E0" w:rsidRDefault="006D0665" w:rsidP="00C673E0">
            <w:pPr>
              <w:snapToGrid w:val="0"/>
              <w:spacing w:after="0" w:line="240" w:lineRule="auto"/>
              <w:rPr>
                <w:rFonts w:ascii="Times New Roman" w:eastAsia="Times New Roman" w:hAnsi="Times New Roman"/>
                <w:b/>
                <w:bCs/>
                <w:sz w:val="20"/>
                <w:szCs w:val="20"/>
                <w:lang w:bidi="ar-EG"/>
              </w:rPr>
            </w:pPr>
            <w:r w:rsidRPr="00C673E0">
              <w:rPr>
                <w:rFonts w:ascii="Times New Roman" w:eastAsia="Times New Roman" w:hAnsi="Times New Roman"/>
                <w:b/>
                <w:bCs/>
                <w:sz w:val="20"/>
                <w:szCs w:val="20"/>
                <w:lang w:bidi="ar-EG"/>
              </w:rPr>
              <w:t>LincRNA-p21</w:t>
            </w:r>
          </w:p>
        </w:tc>
        <w:tc>
          <w:tcPr>
            <w:tcW w:w="1238" w:type="pct"/>
            <w:shd w:val="clear" w:color="auto" w:fill="FFFFFF"/>
            <w:vAlign w:val="center"/>
            <w:hideMark/>
          </w:tcPr>
          <w:p w:rsidR="006D0665" w:rsidRPr="00C673E0" w:rsidRDefault="006D0665" w:rsidP="00C673E0">
            <w:pPr>
              <w:snapToGrid w:val="0"/>
              <w:spacing w:after="0" w:line="240" w:lineRule="auto"/>
              <w:rPr>
                <w:rFonts w:ascii="Times New Roman" w:eastAsia="Times New Roman" w:hAnsi="Times New Roman"/>
                <w:sz w:val="20"/>
                <w:szCs w:val="20"/>
                <w:lang w:bidi="ar-EG"/>
              </w:rPr>
            </w:pPr>
            <w:r w:rsidRPr="00C673E0">
              <w:rPr>
                <w:rFonts w:ascii="Times New Roman" w:eastAsia="Times New Roman" w:hAnsi="Times New Roman"/>
                <w:sz w:val="20"/>
                <w:szCs w:val="20"/>
                <w:lang w:bidi="ar-EG"/>
              </w:rPr>
              <w:t>0.614</w:t>
            </w:r>
          </w:p>
        </w:tc>
        <w:tc>
          <w:tcPr>
            <w:tcW w:w="357" w:type="pct"/>
            <w:shd w:val="clear" w:color="auto" w:fill="FFFFFF"/>
            <w:vAlign w:val="center"/>
            <w:hideMark/>
          </w:tcPr>
          <w:p w:rsidR="006D0665" w:rsidRPr="00C673E0" w:rsidRDefault="006D0665" w:rsidP="00C673E0">
            <w:pPr>
              <w:snapToGrid w:val="0"/>
              <w:spacing w:after="0" w:line="240" w:lineRule="auto"/>
              <w:rPr>
                <w:rFonts w:ascii="Times New Roman" w:eastAsia="Times New Roman" w:hAnsi="Times New Roman"/>
                <w:b/>
                <w:bCs/>
                <w:sz w:val="20"/>
                <w:szCs w:val="20"/>
                <w:lang w:bidi="ar-EG"/>
              </w:rPr>
            </w:pPr>
            <w:r w:rsidRPr="00C673E0">
              <w:rPr>
                <w:rFonts w:ascii="Times New Roman" w:eastAsia="Times New Roman" w:hAnsi="Times New Roman"/>
                <w:b/>
                <w:bCs/>
                <w:sz w:val="20"/>
                <w:szCs w:val="20"/>
                <w:lang w:bidi="ar-EG"/>
              </w:rPr>
              <w:t>0.023</w:t>
            </w:r>
          </w:p>
        </w:tc>
        <w:tc>
          <w:tcPr>
            <w:tcW w:w="628" w:type="pct"/>
            <w:shd w:val="clear" w:color="auto" w:fill="FFFFFF"/>
            <w:vAlign w:val="center"/>
            <w:hideMark/>
          </w:tcPr>
          <w:p w:rsidR="006D0665" w:rsidRPr="00C673E0" w:rsidRDefault="006D0665" w:rsidP="00C673E0">
            <w:pPr>
              <w:snapToGrid w:val="0"/>
              <w:spacing w:after="0" w:line="240" w:lineRule="auto"/>
              <w:rPr>
                <w:rFonts w:ascii="Times New Roman" w:eastAsia="Times New Roman" w:hAnsi="Times New Roman"/>
                <w:sz w:val="20"/>
                <w:szCs w:val="20"/>
                <w:lang w:bidi="ar-EG"/>
              </w:rPr>
            </w:pPr>
            <w:r w:rsidRPr="00C673E0">
              <w:rPr>
                <w:rFonts w:ascii="Times New Roman" w:eastAsia="Times New Roman" w:hAnsi="Times New Roman"/>
                <w:sz w:val="20"/>
                <w:szCs w:val="20"/>
                <w:lang w:bidi="ar-EG"/>
              </w:rPr>
              <w:t>0.506</w:t>
            </w:r>
          </w:p>
        </w:tc>
        <w:tc>
          <w:tcPr>
            <w:tcW w:w="623" w:type="pct"/>
            <w:shd w:val="clear" w:color="auto" w:fill="FFFFFF"/>
            <w:vAlign w:val="center"/>
            <w:hideMark/>
          </w:tcPr>
          <w:p w:rsidR="006D0665" w:rsidRPr="00C673E0" w:rsidRDefault="006D0665" w:rsidP="00C673E0">
            <w:pPr>
              <w:snapToGrid w:val="0"/>
              <w:spacing w:after="0" w:line="240" w:lineRule="auto"/>
              <w:rPr>
                <w:rFonts w:ascii="Times New Roman" w:eastAsia="Times New Roman" w:hAnsi="Times New Roman"/>
                <w:sz w:val="20"/>
                <w:szCs w:val="20"/>
                <w:lang w:bidi="ar-EG"/>
              </w:rPr>
            </w:pPr>
            <w:r w:rsidRPr="00C673E0">
              <w:rPr>
                <w:rFonts w:ascii="Times New Roman" w:eastAsia="Times New Roman" w:hAnsi="Times New Roman"/>
                <w:sz w:val="20"/>
                <w:szCs w:val="20"/>
                <w:lang w:bidi="ar-EG"/>
              </w:rPr>
              <w:t>0.723</w:t>
            </w:r>
          </w:p>
        </w:tc>
        <w:tc>
          <w:tcPr>
            <w:tcW w:w="346" w:type="pct"/>
            <w:shd w:val="clear" w:color="auto" w:fill="FFFFFF"/>
            <w:vAlign w:val="center"/>
            <w:hideMark/>
          </w:tcPr>
          <w:p w:rsidR="006D0665" w:rsidRPr="00C673E0" w:rsidRDefault="006D0665" w:rsidP="00C673E0">
            <w:pPr>
              <w:snapToGrid w:val="0"/>
              <w:spacing w:after="0" w:line="240" w:lineRule="auto"/>
              <w:rPr>
                <w:rFonts w:ascii="Times New Roman" w:eastAsia="Times New Roman" w:hAnsi="Times New Roman"/>
                <w:sz w:val="20"/>
                <w:szCs w:val="20"/>
                <w:lang w:bidi="ar-EG"/>
              </w:rPr>
            </w:pPr>
            <w:r w:rsidRPr="00C673E0">
              <w:rPr>
                <w:rFonts w:ascii="Times New Roman" w:eastAsia="Times New Roman" w:hAnsi="Times New Roman"/>
                <w:sz w:val="20"/>
                <w:szCs w:val="20"/>
                <w:lang w:bidi="ar-EG"/>
              </w:rPr>
              <w:t>0.815</w:t>
            </w:r>
          </w:p>
        </w:tc>
        <w:tc>
          <w:tcPr>
            <w:tcW w:w="593" w:type="pct"/>
            <w:shd w:val="clear" w:color="auto" w:fill="FFFFFF"/>
            <w:vAlign w:val="center"/>
            <w:hideMark/>
          </w:tcPr>
          <w:p w:rsidR="006D0665" w:rsidRPr="00C673E0" w:rsidRDefault="006D0665" w:rsidP="00C673E0">
            <w:pPr>
              <w:snapToGrid w:val="0"/>
              <w:spacing w:after="0" w:line="240" w:lineRule="auto"/>
              <w:rPr>
                <w:rFonts w:ascii="Times New Roman" w:eastAsia="Times New Roman" w:hAnsi="Times New Roman"/>
                <w:sz w:val="20"/>
                <w:szCs w:val="20"/>
                <w:lang w:bidi="ar-EG"/>
              </w:rPr>
            </w:pPr>
            <w:r w:rsidRPr="00C673E0">
              <w:rPr>
                <w:rFonts w:ascii="Times New Roman" w:eastAsia="Times New Roman" w:hAnsi="Times New Roman"/>
                <w:sz w:val="20"/>
                <w:szCs w:val="20"/>
                <w:lang w:bidi="ar-EG"/>
              </w:rPr>
              <w:t>51.4%</w:t>
            </w:r>
          </w:p>
        </w:tc>
        <w:tc>
          <w:tcPr>
            <w:tcW w:w="593" w:type="pct"/>
            <w:shd w:val="clear" w:color="auto" w:fill="FFFFFF"/>
            <w:vAlign w:val="center"/>
            <w:hideMark/>
          </w:tcPr>
          <w:p w:rsidR="006D0665" w:rsidRPr="00C673E0" w:rsidRDefault="006D0665" w:rsidP="00C673E0">
            <w:pPr>
              <w:snapToGrid w:val="0"/>
              <w:spacing w:after="0" w:line="240" w:lineRule="auto"/>
              <w:rPr>
                <w:rFonts w:ascii="Times New Roman" w:eastAsia="Times New Roman" w:hAnsi="Times New Roman"/>
                <w:sz w:val="20"/>
                <w:szCs w:val="20"/>
                <w:lang w:bidi="ar-EG"/>
              </w:rPr>
            </w:pPr>
            <w:r w:rsidRPr="00C673E0">
              <w:rPr>
                <w:rFonts w:ascii="Times New Roman" w:eastAsia="Times New Roman" w:hAnsi="Times New Roman"/>
                <w:sz w:val="20"/>
                <w:szCs w:val="20"/>
                <w:lang w:bidi="ar-EG"/>
              </w:rPr>
              <w:t>93.3%</w:t>
            </w:r>
          </w:p>
        </w:tc>
      </w:tr>
    </w:tbl>
    <w:p w:rsidR="006D0665" w:rsidRPr="00C673E0" w:rsidRDefault="006D0665" w:rsidP="00644513">
      <w:pPr>
        <w:snapToGrid w:val="0"/>
        <w:spacing w:after="0" w:line="240" w:lineRule="auto"/>
        <w:jc w:val="both"/>
        <w:rPr>
          <w:rFonts w:ascii="Times New Roman" w:eastAsiaTheme="minorEastAsia" w:hAnsi="Times New Roman"/>
          <w:b/>
          <w:bCs/>
          <w:sz w:val="20"/>
          <w:szCs w:val="20"/>
          <w:lang w:eastAsia="zh-CN" w:bidi="ar-EG"/>
        </w:rPr>
      </w:pPr>
    </w:p>
    <w:p w:rsidR="000F71AB" w:rsidRPr="00C673E0" w:rsidRDefault="000F71AB" w:rsidP="00644513">
      <w:pPr>
        <w:snapToGrid w:val="0"/>
        <w:spacing w:after="0" w:line="240" w:lineRule="auto"/>
        <w:ind w:firstLine="425"/>
        <w:jc w:val="both"/>
        <w:rPr>
          <w:rFonts w:ascii="Times New Roman" w:eastAsia="Times New Roman" w:hAnsi="Times New Roman"/>
          <w:b/>
          <w:bCs/>
          <w:sz w:val="20"/>
          <w:szCs w:val="20"/>
          <w:lang w:bidi="ar-EG"/>
        </w:rPr>
        <w:sectPr w:rsidR="000F71AB" w:rsidRPr="00C673E0" w:rsidSect="003E3F44">
          <w:type w:val="continuous"/>
          <w:pgSz w:w="12240" w:h="15840" w:code="9"/>
          <w:pgMar w:top="1440" w:right="1440" w:bottom="1440" w:left="1440" w:header="720" w:footer="720" w:gutter="0"/>
          <w:cols w:space="720"/>
          <w:docGrid w:linePitch="360"/>
        </w:sectPr>
      </w:pPr>
    </w:p>
    <w:p w:rsidR="00900FFB" w:rsidRPr="00C673E0" w:rsidRDefault="00900FFB" w:rsidP="00644513">
      <w:pPr>
        <w:snapToGrid w:val="0"/>
        <w:spacing w:after="0" w:line="240" w:lineRule="auto"/>
        <w:ind w:firstLine="425"/>
        <w:jc w:val="both"/>
        <w:rPr>
          <w:rFonts w:ascii="Times New Roman" w:eastAsiaTheme="minorEastAsia" w:hAnsi="Times New Roman"/>
          <w:sz w:val="20"/>
          <w:szCs w:val="20"/>
          <w:lang w:eastAsia="zh-CN" w:bidi="ar-EG"/>
        </w:rPr>
      </w:pPr>
      <w:r w:rsidRPr="00C673E0">
        <w:rPr>
          <w:rFonts w:ascii="Times New Roman" w:eastAsia="Times New Roman" w:hAnsi="Times New Roman"/>
          <w:b/>
          <w:bCs/>
          <w:sz w:val="20"/>
          <w:szCs w:val="20"/>
          <w:lang w:bidi="ar-EG"/>
        </w:rPr>
        <w:lastRenderedPageBreak/>
        <w:t>ROC curve</w:t>
      </w:r>
      <w:r w:rsidRPr="00C673E0">
        <w:rPr>
          <w:rFonts w:ascii="Times New Roman" w:eastAsia="Times New Roman" w:hAnsi="Times New Roman"/>
          <w:sz w:val="20"/>
          <w:szCs w:val="20"/>
          <w:lang w:bidi="ar-EG"/>
        </w:rPr>
        <w:t xml:space="preserve"> of the lincRNA-p21 expression levels was plotted between sensitivity on y-axis and (1 - specificity) on x-axis. Every point on the ROC curve </w:t>
      </w:r>
      <w:r w:rsidR="001F3870" w:rsidRPr="00C673E0">
        <w:rPr>
          <w:rFonts w:ascii="Times New Roman" w:eastAsia="Times New Roman" w:hAnsi="Times New Roman"/>
          <w:sz w:val="20"/>
          <w:szCs w:val="20"/>
          <w:lang w:bidi="ar-EG"/>
        </w:rPr>
        <w:t>reflects</w:t>
      </w:r>
      <w:r w:rsidRPr="00C673E0">
        <w:rPr>
          <w:rFonts w:ascii="Times New Roman" w:eastAsia="Times New Roman" w:hAnsi="Times New Roman"/>
          <w:sz w:val="20"/>
          <w:szCs w:val="20"/>
          <w:lang w:bidi="ar-EG"/>
        </w:rPr>
        <w:t xml:space="preserve"> a chosen cut-off (Figure 4).</w:t>
      </w:r>
      <w:r w:rsidR="007B2F5B" w:rsidRPr="00C673E0">
        <w:rPr>
          <w:rFonts w:ascii="Times New Roman" w:eastAsia="Times New Roman" w:hAnsi="Times New Roman"/>
          <w:sz w:val="20"/>
          <w:szCs w:val="20"/>
          <w:lang w:bidi="ar-EG"/>
        </w:rPr>
        <w:t xml:space="preserve"> ROC curve analysis of lincRNA-p21</w:t>
      </w:r>
      <w:r w:rsidR="00C673E0">
        <w:rPr>
          <w:rFonts w:ascii="Times New Roman" w:eastAsiaTheme="minorEastAsia" w:hAnsi="Times New Roman" w:hint="eastAsia"/>
          <w:sz w:val="20"/>
          <w:szCs w:val="20"/>
          <w:lang w:eastAsia="zh-CN" w:bidi="ar-EG"/>
        </w:rPr>
        <w:t xml:space="preserve"> </w:t>
      </w:r>
      <w:r w:rsidR="007B2F5B" w:rsidRPr="00C673E0">
        <w:rPr>
          <w:rFonts w:ascii="Times New Roman" w:eastAsia="Times New Roman" w:hAnsi="Times New Roman"/>
          <w:sz w:val="20"/>
          <w:szCs w:val="20"/>
          <w:lang w:bidi="ar-EG"/>
        </w:rPr>
        <w:t xml:space="preserve">serum relative expression levels with an AUC of 0.614 (95% CI= 0.506–0.723, p =0.023). The sensitivity and specificity of lincRNA-P21were calculated using a cutoff value of 0.815 for serum lincRNA-P21expression levels (Table </w:t>
      </w:r>
      <w:r w:rsidR="00BD1C1C" w:rsidRPr="00C673E0">
        <w:rPr>
          <w:rFonts w:ascii="Times New Roman" w:eastAsia="Times New Roman" w:hAnsi="Times New Roman"/>
          <w:sz w:val="20"/>
          <w:szCs w:val="20"/>
          <w:lang w:bidi="ar-EG"/>
        </w:rPr>
        <w:t>4</w:t>
      </w:r>
      <w:r w:rsidR="007B2F5B" w:rsidRPr="00C673E0">
        <w:rPr>
          <w:rFonts w:ascii="Times New Roman" w:eastAsia="Times New Roman" w:hAnsi="Times New Roman"/>
          <w:sz w:val="20"/>
          <w:szCs w:val="20"/>
          <w:lang w:bidi="ar-EG"/>
        </w:rPr>
        <w:t>).</w:t>
      </w:r>
    </w:p>
    <w:p w:rsidR="006D0665" w:rsidRPr="00C673E0" w:rsidRDefault="006D0665" w:rsidP="00644513">
      <w:pPr>
        <w:snapToGrid w:val="0"/>
        <w:spacing w:after="0" w:line="240" w:lineRule="auto"/>
        <w:ind w:firstLine="425"/>
        <w:jc w:val="both"/>
        <w:rPr>
          <w:rFonts w:ascii="Times New Roman" w:eastAsiaTheme="minorEastAsia" w:hAnsi="Times New Roman"/>
          <w:sz w:val="20"/>
          <w:szCs w:val="20"/>
          <w:lang w:eastAsia="zh-CN" w:bidi="ar-EG"/>
        </w:rPr>
      </w:pPr>
    </w:p>
    <w:p w:rsidR="00900FFB" w:rsidRPr="00C673E0" w:rsidRDefault="00561208" w:rsidP="00644513">
      <w:pPr>
        <w:snapToGrid w:val="0"/>
        <w:spacing w:after="0" w:line="240" w:lineRule="auto"/>
        <w:jc w:val="center"/>
        <w:rPr>
          <w:rFonts w:ascii="Times New Roman" w:eastAsia="Times New Roman" w:hAnsi="Times New Roman"/>
          <w:sz w:val="20"/>
          <w:szCs w:val="20"/>
          <w:lang w:bidi="ar-EG"/>
        </w:rPr>
      </w:pPr>
      <w:r w:rsidRPr="006E7628">
        <w:rPr>
          <w:rFonts w:ascii="Times New Roman" w:eastAsia="Times New Roman" w:hAnsi="Times New Roman"/>
          <w:noProof/>
          <w:sz w:val="20"/>
          <w:szCs w:val="20"/>
          <w:lang w:eastAsia="zh-CN"/>
        </w:rPr>
        <w:pict>
          <v:shape id="Picture 4" o:spid="_x0000_i1028" type="#_x0000_t75" style="width:212.85pt;height:216.65pt;visibility:visible;mso-wrap-style:square">
            <v:imagedata r:id="rId18" o:title="" cropleft="5831f" cropright="4013f"/>
          </v:shape>
        </w:pict>
      </w:r>
    </w:p>
    <w:p w:rsidR="003A290C" w:rsidRPr="00C673E0" w:rsidRDefault="00900FFB" w:rsidP="00644513">
      <w:pPr>
        <w:snapToGrid w:val="0"/>
        <w:spacing w:after="0" w:line="240" w:lineRule="auto"/>
        <w:jc w:val="both"/>
        <w:rPr>
          <w:rFonts w:ascii="Times New Roman" w:eastAsia="Times New Roman" w:hAnsi="Times New Roman"/>
          <w:b/>
          <w:bCs/>
          <w:sz w:val="20"/>
          <w:szCs w:val="20"/>
          <w:lang w:bidi="ar-EG"/>
        </w:rPr>
      </w:pPr>
      <w:r w:rsidRPr="00C673E0">
        <w:rPr>
          <w:rFonts w:ascii="Times New Roman" w:eastAsia="Times New Roman" w:hAnsi="Times New Roman"/>
          <w:b/>
          <w:bCs/>
          <w:sz w:val="20"/>
          <w:szCs w:val="20"/>
          <w:lang w:bidi="ar-EG"/>
        </w:rPr>
        <w:t>Figure (4): ROC curve for serum relative expression levels of lincRNA-p21 for MS diagnosis.</w:t>
      </w:r>
    </w:p>
    <w:p w:rsidR="006D0665" w:rsidRPr="00C673E0" w:rsidRDefault="006D0665" w:rsidP="00644513">
      <w:pPr>
        <w:snapToGrid w:val="0"/>
        <w:spacing w:after="0" w:line="240" w:lineRule="auto"/>
        <w:jc w:val="both"/>
        <w:rPr>
          <w:rFonts w:ascii="Times New Roman" w:eastAsiaTheme="minorEastAsia" w:hAnsi="Times New Roman"/>
          <w:b/>
          <w:bCs/>
          <w:sz w:val="20"/>
          <w:szCs w:val="20"/>
          <w:lang w:eastAsia="zh-CN" w:bidi="ar-EG"/>
        </w:rPr>
      </w:pPr>
    </w:p>
    <w:p w:rsidR="006C3B20" w:rsidRPr="00C673E0" w:rsidRDefault="006D0665" w:rsidP="00644513">
      <w:pPr>
        <w:snapToGrid w:val="0"/>
        <w:spacing w:after="0" w:line="240" w:lineRule="auto"/>
        <w:jc w:val="both"/>
        <w:rPr>
          <w:rFonts w:ascii="Times New Roman" w:eastAsia="Times New Roman" w:hAnsi="Times New Roman"/>
          <w:sz w:val="20"/>
          <w:szCs w:val="20"/>
          <w:lang w:bidi="ar-EG"/>
        </w:rPr>
      </w:pPr>
      <w:r w:rsidRPr="00C673E0">
        <w:rPr>
          <w:rFonts w:ascii="Times New Roman" w:eastAsia="Calibri" w:hAnsi="Times New Roman"/>
          <w:b/>
          <w:bCs/>
          <w:sz w:val="20"/>
          <w:szCs w:val="20"/>
          <w:lang w:bidi="ar-EG"/>
        </w:rPr>
        <w:t>Discussion</w:t>
      </w:r>
    </w:p>
    <w:p w:rsidR="006C3B20" w:rsidRPr="00C673E0" w:rsidRDefault="006C3B20" w:rsidP="00644513">
      <w:pPr>
        <w:widowControl w:val="0"/>
        <w:autoSpaceDE w:val="0"/>
        <w:autoSpaceDN w:val="0"/>
        <w:adjustRightInd w:val="0"/>
        <w:snapToGrid w:val="0"/>
        <w:spacing w:after="0" w:line="240" w:lineRule="auto"/>
        <w:ind w:firstLine="425"/>
        <w:jc w:val="both"/>
        <w:rPr>
          <w:rFonts w:ascii="Times New Roman" w:eastAsia="Times New Roman" w:hAnsi="Times New Roman"/>
          <w:sz w:val="20"/>
          <w:szCs w:val="20"/>
          <w:shd w:val="clear" w:color="auto" w:fill="FFFFFF"/>
          <w:lang w:bidi="ar-EG"/>
        </w:rPr>
      </w:pPr>
      <w:r w:rsidRPr="00C673E0">
        <w:rPr>
          <w:rFonts w:ascii="Times New Roman" w:eastAsia="Times New Roman" w:hAnsi="Times New Roman"/>
          <w:sz w:val="20"/>
          <w:szCs w:val="20"/>
          <w:shd w:val="clear" w:color="auto" w:fill="FFFFFF"/>
          <w:lang w:bidi="ar-EG"/>
        </w:rPr>
        <w:t>MS is a chronic</w:t>
      </w:r>
      <w:r w:rsidR="003E3F44" w:rsidRPr="00C673E0">
        <w:rPr>
          <w:rFonts w:ascii="Times New Roman" w:eastAsia="Times New Roman" w:hAnsi="Times New Roman"/>
          <w:sz w:val="20"/>
          <w:szCs w:val="20"/>
          <w:shd w:val="clear" w:color="auto" w:fill="FFFFFF"/>
          <w:lang w:bidi="ar-EG"/>
        </w:rPr>
        <w:t>,</w:t>
      </w:r>
      <w:r w:rsidR="00D144D0" w:rsidRPr="00C673E0">
        <w:rPr>
          <w:rFonts w:ascii="Times New Roman" w:eastAsia="Times New Roman" w:hAnsi="Times New Roman"/>
          <w:sz w:val="20"/>
          <w:szCs w:val="20"/>
          <w:shd w:val="clear" w:color="auto" w:fill="FFFFFF"/>
          <w:lang w:bidi="ar-EG"/>
        </w:rPr>
        <w:t xml:space="preserve"> demyelinating inflammatory CNS disease </w:t>
      </w:r>
      <w:r w:rsidRPr="00C673E0">
        <w:rPr>
          <w:rFonts w:ascii="Times New Roman" w:eastAsia="Times New Roman" w:hAnsi="Times New Roman"/>
          <w:sz w:val="20"/>
          <w:szCs w:val="20"/>
          <w:shd w:val="clear" w:color="auto" w:fill="FFFFFF"/>
          <w:lang w:bidi="ar-EG"/>
        </w:rPr>
        <w:t xml:space="preserve">with a large degree of heterogeneity in clinical course and histopathology </w:t>
      </w:r>
      <w:r w:rsidR="006E7628" w:rsidRPr="00C673E0">
        <w:rPr>
          <w:rFonts w:ascii="Times New Roman" w:eastAsia="Times New Roman" w:hAnsi="Times New Roman"/>
          <w:b/>
          <w:bCs/>
          <w:sz w:val="20"/>
          <w:szCs w:val="20"/>
          <w:shd w:val="clear" w:color="auto" w:fill="FFFFFF"/>
          <w:lang w:bidi="ar-EG"/>
        </w:rPr>
        <w:fldChar w:fldCharType="begin" w:fldLock="1"/>
      </w:r>
      <w:r w:rsidRPr="00C673E0">
        <w:rPr>
          <w:rFonts w:ascii="Times New Roman" w:eastAsia="Times New Roman" w:hAnsi="Times New Roman"/>
          <w:b/>
          <w:bCs/>
          <w:sz w:val="20"/>
          <w:szCs w:val="20"/>
          <w:shd w:val="clear" w:color="auto" w:fill="FFFFFF"/>
          <w:lang w:bidi="ar-EG"/>
        </w:rPr>
        <w:instrText>ADDIN CSL_CITATION {"citationItems":[{"id":"ITEM-1","itemData":{"DOI":"10.1016/j.expneurol.2018.03.012","ISSN":"0014-4886","author":[{"dropping-particle":"","family":"Zeis","given":"T","non-dropping-particle":"","parse-names":false,"suffix":""},{"dropping-particle":"","family":"Howell","given":"O W","non-dropping-particle":"","parse-names":false,"suffix":""},{"dropping-particle":"","family":"Reynolds","given":"R","non-dropping-particle":"","parse-names":false,"suffix":""},{"dropping-particle":"","family":"Schaeren-wiemers","given":"N","non-dropping-particle":"","parse-names":false,"suffix":""}],"container-title":"Experimental Neurology","id":"ITEM-1","issue":"November 2017","issued":{"date-parts":[["2018"]]},"page":"76-88","publisher":"Elsevier","title":"Molecular pathology of Multiple Sclerosis lesions reveals a heterogeneous expression pattern of genes involved in oligodendrogliogenesis IdL","type":"article-journal","volume":"305"},"uris":["http://www.mendeley.com/documents/?uuid=e15adfab-d911-45a0-9a5b-df3763e71dad"]}],"mendeley":{"formattedCitation":"(Zeis &lt;i&gt;et al.&lt;/i&gt;, 2018)","plainTextFormattedCitation":"(Zeis et al., 2018)","previouslyFormattedCitation":"(Zeis &lt;i&gt;et al.&lt;/i&gt;, 2018)"},"properties":{"noteIndex":0},"schema":"https://github.com/citation-style-language/schema/raw/master/csl-citation.json"}</w:instrText>
      </w:r>
      <w:r w:rsidR="006E7628" w:rsidRPr="00C673E0">
        <w:rPr>
          <w:rFonts w:ascii="Times New Roman" w:eastAsia="Times New Roman" w:hAnsi="Times New Roman"/>
          <w:b/>
          <w:bCs/>
          <w:sz w:val="20"/>
          <w:szCs w:val="20"/>
          <w:shd w:val="clear" w:color="auto" w:fill="FFFFFF"/>
          <w:lang w:bidi="ar-EG"/>
        </w:rPr>
        <w:fldChar w:fldCharType="separate"/>
      </w:r>
      <w:r w:rsidRPr="00C673E0">
        <w:rPr>
          <w:rFonts w:ascii="Times New Roman" w:eastAsia="Times New Roman" w:hAnsi="Times New Roman"/>
          <w:b/>
          <w:bCs/>
          <w:noProof/>
          <w:sz w:val="20"/>
          <w:szCs w:val="20"/>
          <w:shd w:val="clear" w:color="auto" w:fill="FFFFFF"/>
          <w:lang w:bidi="ar-EG"/>
        </w:rPr>
        <w:t xml:space="preserve">(Zeis </w:t>
      </w:r>
      <w:r w:rsidRPr="00C673E0">
        <w:rPr>
          <w:rFonts w:ascii="Times New Roman" w:eastAsia="Times New Roman" w:hAnsi="Times New Roman"/>
          <w:b/>
          <w:bCs/>
          <w:i/>
          <w:noProof/>
          <w:sz w:val="20"/>
          <w:szCs w:val="20"/>
          <w:shd w:val="clear" w:color="auto" w:fill="FFFFFF"/>
          <w:lang w:bidi="ar-EG"/>
        </w:rPr>
        <w:t>et al.</w:t>
      </w:r>
      <w:r w:rsidRPr="00C673E0">
        <w:rPr>
          <w:rFonts w:ascii="Times New Roman" w:eastAsia="Times New Roman" w:hAnsi="Times New Roman"/>
          <w:b/>
          <w:bCs/>
          <w:noProof/>
          <w:sz w:val="20"/>
          <w:szCs w:val="20"/>
          <w:shd w:val="clear" w:color="auto" w:fill="FFFFFF"/>
          <w:lang w:bidi="ar-EG"/>
        </w:rPr>
        <w:t>, 2018)</w:t>
      </w:r>
      <w:r w:rsidR="006E7628" w:rsidRPr="00C673E0">
        <w:rPr>
          <w:rFonts w:ascii="Times New Roman" w:eastAsia="Times New Roman" w:hAnsi="Times New Roman"/>
          <w:b/>
          <w:bCs/>
          <w:sz w:val="20"/>
          <w:szCs w:val="20"/>
          <w:shd w:val="clear" w:color="auto" w:fill="FFFFFF"/>
          <w:lang w:bidi="ar-EG"/>
        </w:rPr>
        <w:fldChar w:fldCharType="end"/>
      </w:r>
      <w:r w:rsidRPr="00C673E0">
        <w:rPr>
          <w:rFonts w:ascii="Times New Roman" w:eastAsia="Times New Roman" w:hAnsi="Times New Roman"/>
          <w:sz w:val="20"/>
          <w:szCs w:val="20"/>
          <w:shd w:val="clear" w:color="auto" w:fill="FFFFFF"/>
          <w:lang w:bidi="ar-EG"/>
        </w:rPr>
        <w:t xml:space="preserve">. LncRNAs are one of the ncRNAs that suggested to be vital regulators of CNS functions and would be used in diagnosis and treatment of CNS disorders. LncRNAs were described in different autoimmune, </w:t>
      </w:r>
      <w:r w:rsidRPr="00C673E0">
        <w:rPr>
          <w:rFonts w:ascii="Times New Roman" w:eastAsia="Times New Roman" w:hAnsi="Times New Roman"/>
          <w:sz w:val="20"/>
          <w:szCs w:val="20"/>
          <w:shd w:val="clear" w:color="auto" w:fill="FFFFFF"/>
          <w:lang w:bidi="ar-EG"/>
        </w:rPr>
        <w:lastRenderedPageBreak/>
        <w:t xml:space="preserve">neurodegenerative and oncologic diseases. The directive role of lncRNAs in immune response has been demonstrated by the widespread variations in their expression throughout innate immune response besides immune cells differentiation </w:t>
      </w:r>
      <w:r w:rsidRPr="00C673E0">
        <w:rPr>
          <w:rFonts w:ascii="Times New Roman" w:eastAsia="Calibri" w:hAnsi="Times New Roman"/>
          <w:sz w:val="20"/>
          <w:szCs w:val="20"/>
        </w:rPr>
        <w:t>(</w:t>
      </w:r>
      <w:hyperlink r:id="rId19" w:history="1">
        <w:r w:rsidRPr="00C673E0">
          <w:rPr>
            <w:rFonts w:ascii="Times New Roman" w:eastAsia="Times New Roman" w:hAnsi="Times New Roman"/>
            <w:b/>
            <w:bCs/>
            <w:sz w:val="20"/>
            <w:szCs w:val="20"/>
          </w:rPr>
          <w:t xml:space="preserve">Zhang </w:t>
        </w:r>
      </w:hyperlink>
      <w:r w:rsidRPr="00C673E0">
        <w:rPr>
          <w:rFonts w:ascii="Times New Roman" w:eastAsia="Times New Roman" w:hAnsi="Times New Roman"/>
          <w:b/>
          <w:bCs/>
          <w:sz w:val="20"/>
          <w:szCs w:val="20"/>
        </w:rPr>
        <w:t xml:space="preserve">and </w:t>
      </w:r>
      <w:hyperlink r:id="rId20" w:history="1">
        <w:r w:rsidRPr="00C673E0">
          <w:rPr>
            <w:rFonts w:ascii="Times New Roman" w:eastAsia="Times New Roman" w:hAnsi="Times New Roman"/>
            <w:b/>
            <w:bCs/>
            <w:sz w:val="20"/>
            <w:szCs w:val="20"/>
          </w:rPr>
          <w:t>Cao, 2016</w:t>
        </w:r>
      </w:hyperlink>
      <w:r w:rsidRPr="00C673E0">
        <w:rPr>
          <w:rFonts w:ascii="Times New Roman" w:eastAsia="Times New Roman" w:hAnsi="Times New Roman"/>
          <w:b/>
          <w:bCs/>
          <w:sz w:val="20"/>
          <w:szCs w:val="20"/>
        </w:rPr>
        <w:t>)</w:t>
      </w:r>
      <w:r w:rsidRPr="00C673E0">
        <w:rPr>
          <w:rFonts w:ascii="Times New Roman" w:eastAsia="Times New Roman" w:hAnsi="Times New Roman"/>
          <w:sz w:val="20"/>
          <w:szCs w:val="20"/>
          <w:lang w:bidi="ar-EG"/>
        </w:rPr>
        <w:t>.</w:t>
      </w:r>
    </w:p>
    <w:p w:rsidR="006C3B20" w:rsidRPr="00C673E0" w:rsidRDefault="006C3B20" w:rsidP="00644513">
      <w:pPr>
        <w:tabs>
          <w:tab w:val="right" w:pos="284"/>
        </w:tabs>
        <w:snapToGrid w:val="0"/>
        <w:spacing w:after="0" w:line="240" w:lineRule="auto"/>
        <w:ind w:firstLine="425"/>
        <w:jc w:val="both"/>
        <w:rPr>
          <w:rFonts w:ascii="Times New Roman" w:eastAsia="Times New Roman" w:hAnsi="Times New Roman"/>
          <w:sz w:val="20"/>
          <w:szCs w:val="20"/>
        </w:rPr>
      </w:pPr>
      <w:r w:rsidRPr="00C673E0">
        <w:rPr>
          <w:rFonts w:ascii="Times New Roman" w:eastAsia="Calibri" w:hAnsi="Times New Roman"/>
          <w:sz w:val="20"/>
          <w:szCs w:val="20"/>
          <w:shd w:val="clear" w:color="auto" w:fill="FFFFFF"/>
        </w:rPr>
        <w:t xml:space="preserve">Therefore, we </w:t>
      </w:r>
      <w:r w:rsidRPr="00C673E0">
        <w:rPr>
          <w:rFonts w:ascii="Times New Roman" w:eastAsia="Calibri" w:hAnsi="Times New Roman"/>
          <w:sz w:val="20"/>
          <w:szCs w:val="20"/>
        </w:rPr>
        <w:t xml:space="preserve">investigated two lncRNAs; </w:t>
      </w:r>
      <w:r w:rsidRPr="00C673E0">
        <w:rPr>
          <w:rFonts w:ascii="Times New Roman" w:eastAsia="Calibri" w:hAnsi="Times New Roman"/>
          <w:sz w:val="20"/>
          <w:szCs w:val="20"/>
          <w:lang w:bidi="ar-EG"/>
        </w:rPr>
        <w:t xml:space="preserve">lncRNA-H19 and lincRNA-P21 </w:t>
      </w:r>
      <w:r w:rsidRPr="00C673E0">
        <w:rPr>
          <w:rFonts w:ascii="Times New Roman" w:eastAsia="Calibri" w:hAnsi="Times New Roman"/>
          <w:sz w:val="20"/>
          <w:szCs w:val="20"/>
        </w:rPr>
        <w:t xml:space="preserve">which </w:t>
      </w:r>
      <w:r w:rsidR="00891995" w:rsidRPr="00C673E0">
        <w:rPr>
          <w:rFonts w:ascii="Times New Roman" w:eastAsia="Calibri" w:hAnsi="Times New Roman"/>
          <w:sz w:val="20"/>
          <w:szCs w:val="20"/>
        </w:rPr>
        <w:t>is expected to control the expression of RRMS and SPMS patients' pro-inflammatory and anti-inflammatory genes in the blood</w:t>
      </w:r>
      <w:r w:rsidRPr="00C673E0">
        <w:rPr>
          <w:rFonts w:ascii="Times New Roman" w:eastAsia="Calibri" w:hAnsi="Times New Roman"/>
          <w:sz w:val="20"/>
          <w:szCs w:val="20"/>
        </w:rPr>
        <w:t>.</w:t>
      </w:r>
      <w:r w:rsidRPr="00C673E0">
        <w:rPr>
          <w:rFonts w:ascii="Times New Roman" w:eastAsia="Times New Roman" w:hAnsi="Times New Roman"/>
          <w:sz w:val="20"/>
          <w:szCs w:val="20"/>
          <w:shd w:val="clear" w:color="auto" w:fill="FFFFFF"/>
          <w:lang w:bidi="ar-EG"/>
        </w:rPr>
        <w:t xml:space="preserve"> Thus far and to the best of our knowledge, there are no studies that demonstrated the expression levels of lncRNA-H19 and lincRNA-p21 </w:t>
      </w:r>
      <w:r w:rsidRPr="00C673E0">
        <w:rPr>
          <w:rFonts w:ascii="Times New Roman" w:eastAsia="Times New Roman" w:hAnsi="Times New Roman"/>
          <w:sz w:val="20"/>
          <w:szCs w:val="20"/>
        </w:rPr>
        <w:t xml:space="preserve">in serum of MS patients. </w:t>
      </w:r>
    </w:p>
    <w:p w:rsidR="006C3B20" w:rsidRPr="00C673E0" w:rsidRDefault="006C3B20" w:rsidP="00644513">
      <w:pPr>
        <w:snapToGrid w:val="0"/>
        <w:spacing w:after="0" w:line="240" w:lineRule="auto"/>
        <w:ind w:firstLine="425"/>
        <w:jc w:val="both"/>
        <w:rPr>
          <w:rFonts w:ascii="Times New Roman" w:eastAsia="Calibri" w:hAnsi="Times New Roman"/>
          <w:sz w:val="20"/>
          <w:szCs w:val="20"/>
        </w:rPr>
      </w:pPr>
      <w:r w:rsidRPr="00C673E0">
        <w:rPr>
          <w:rFonts w:ascii="Times New Roman" w:eastAsia="Times New Roman" w:hAnsi="Times New Roman"/>
          <w:sz w:val="20"/>
          <w:szCs w:val="20"/>
        </w:rPr>
        <w:t xml:space="preserve">LncRNA-H19 is an imprinted gene expressed only from the maternal allele. </w:t>
      </w:r>
      <w:r w:rsidR="00B83742" w:rsidRPr="00C673E0">
        <w:rPr>
          <w:rFonts w:ascii="Times New Roman" w:eastAsia="Times New Roman" w:hAnsi="Times New Roman"/>
          <w:sz w:val="20"/>
          <w:szCs w:val="20"/>
        </w:rPr>
        <w:t xml:space="preserve">Although the role of imprinted genes in development and growth is well known, their impact on immune functions and inflammatory diseases like MS is still largely unknown through molecular mechanisms </w:t>
      </w:r>
      <w:r w:rsidR="006E7628" w:rsidRPr="00C673E0">
        <w:rPr>
          <w:rFonts w:ascii="Times New Roman" w:eastAsia="Times New Roman" w:hAnsi="Times New Roman"/>
          <w:b/>
          <w:bCs/>
          <w:sz w:val="20"/>
          <w:szCs w:val="20"/>
        </w:rPr>
        <w:fldChar w:fldCharType="begin" w:fldLock="1"/>
      </w:r>
      <w:r w:rsidRPr="00C673E0">
        <w:rPr>
          <w:rFonts w:ascii="Times New Roman" w:eastAsia="Times New Roman" w:hAnsi="Times New Roman"/>
          <w:b/>
          <w:bCs/>
          <w:sz w:val="20"/>
          <w:szCs w:val="20"/>
        </w:rPr>
        <w:instrText>ADDIN CSL_CITATION {"citationItems":[{"id":"ITEM-1","itemData":{"DOI":"10.1038/s12276-018-0188-9","ISSN":"20926413","abstract":"Dysregulation of long noncoding RNA (lncRNA) expression is linked to the development of various diseases. Recently, an emerging body of evidence has indicated that lncRNAs play important roles in the pathogenesis of inflammatory bowel diseases (IBDs), including Crohn's disease (CD) and ulcerative Colitis (UC). In IBD, lncRNAs have been shown to be involved in diverse processes, including the regulation of intestinal epithelial cell apoptosis, association with lipid metabolism, and cell-cell interactions, thereby enhancing inflammation and the functional regulation of regulatory T cells. In this review, we aim to summarize the current knowledge regarding the role of lncRNAs in IBD and highlight potential avenues for future investigation. We also collate potentially immune-relevant, IBD-associated lncRNAs identified through a built-by association analysis with respect to their neighboring protein-coding genes within IBD-susceptible loci. We further underscore their importance by highlighting their enrichment for various aspects of immune system regulation, including antigen processing/presentation, immune cell proliferation and differentiation, and chronic inflammatory responses. Finally, we summarize the potential of lncRNAs as diagnostic biomarkers in IBD.","author":[{"dropping-particle":"","family":"Yarani","given":"Reza","non-dropping-particle":"","parse-names":false,"suffix":""},{"dropping-particle":"","family":"Mirza","given":"Aashiq H.","non-dropping-particle":"","parse-names":false,"suffix":""},{"dropping-particle":"","family":"Kaur","given":"Simranjeet","non-dropping-particle":"","parse-names":false,"suffix":""},{"dropping-particle":"","family":"Pociot","given":"Flemming","non-dropping-particle":"","parse-names":false,"suffix":""}],"container-title":"Experimental and Molecular Medicine","id":"ITEM-1","issue":"12","issued":{"date-parts":[["2018"]]},"publisher":"Springer US","title":"The emerging role of lncrnas in inflammatory bowel disease","type":"article-journal","volume":"50"},"uris":["http://www.mendeley.com/documents/?uuid=ff738171-c32b-4d06-a3c7-9fe80b487458"]},{"id":"ITEM-2","itemData":{"DOI":"10.1016/j.biocel.2015.05.010","ISSN":"18785875","abstract":"Evidence for parent-of-origin effects in complex diseases such as Multiple Sclerosis (MS) strongly suggests a role for epigenetic mechanisms in their pathogenesis. In this review, we describe the importance of accounting for parent-of-origin when identifying new risk variants for complex diseases and discuss how genomic imprinting, one of the best-characterized epigenetic mechanisms causing parent-of-origin effects, may impact etiology of complex diseases. While the role of imprinted genes in growth and development is well established, the contribution and molecular mechanisms underlying the impact of genomic imprinting in immune functions and inflammatory diseases are still largely unknown. Here we discuss emerging roles of imprinted genes in the regulation of inflammatory responses with a particular focus on the Dlk1 cluster that has been implicated in etiology of experimental MS-like disease and Type 1 Diabetes. Moreover, we speculate on the potential wider impact of imprinting via the action of imprinted microRNAs, which are abundantly present in the Dlk1 locus and predicted to fine-tune important immune functions. Finally, we reflect on how unrelated imprinted genes or imprinted genes together with non-imprinted genes can interact in so-called imprinted gene networks (IGN) and suggest that IGNs could partly explain observed parent-of-origin effects in complex diseases. Unveiling the mechanisms of parent-of-origin effects is therefore likely to teach us not only about the etiology of complex diseases but also about the unknown roles of this fascinating phenomenon underlying uneven genetic contribution from our parents. This article is part of a Directed Issue entitled: Epigenetics dynamics in development and disease.","author":[{"dropping-particle":"","family":"Ruhrmann","given":"Sabrina","non-dropping-particle":"","parse-names":false,"suffix":""},{"dropping-particle":"","family":"Stridh","given":"Pernilla","non-dropping-particle":"","parse-names":false,"suffix":""},{"dropping-particle":"","family":"Kular","given":"Lara","non-dropping-particle":"","parse-names":false,"suffix":""},{"dropping-particle":"","family":"Jagodic","given":"Maja","non-dropping-particle":"","parse-names":false,"suffix":""}],"container-title":"International Journal of Biochemistry and Cell Biology","id":"ITEM-2","issued":{"date-parts":[["2015"]]},"page":"49-57","publisher":"Elsevier Ltd","title":"Genomic imprinting: A missing piece of the Multiple Sclerosis puzzle?","type":"article-journal","volume":"67"},"uris":["http://www.mendeley.com/documents/?uuid=18f5b6b7-420f-43e1-a664-919cb2a4f919"]}],"mendeley":{"formattedCitation":"(Ruhrmann &lt;i&gt;et al.&lt;/i&gt;, 2015; Yarani &lt;i&gt;et al.&lt;/i&gt;, 2018)","manualFormatting":"(Yarani et al., 2018)","plainTextFormattedCitation":"(Ruhrmann et al., 2015; Yarani et al., 2018)","previouslyFormattedCitation":"(Ruhrmann &lt;i&gt;et al.&lt;/i&gt;, 2015; Yarani &lt;i&gt;et al.&lt;/i&gt;, 2018)"},"properties":{"noteIndex":0},"schema":"https://github.com/citation-style-language/schema/raw/master/csl-citation.json"}</w:instrText>
      </w:r>
      <w:r w:rsidR="006E7628" w:rsidRPr="00C673E0">
        <w:rPr>
          <w:rFonts w:ascii="Times New Roman" w:eastAsia="Times New Roman" w:hAnsi="Times New Roman"/>
          <w:b/>
          <w:bCs/>
          <w:sz w:val="20"/>
          <w:szCs w:val="20"/>
        </w:rPr>
        <w:fldChar w:fldCharType="separate"/>
      </w:r>
      <w:r w:rsidRPr="00C673E0">
        <w:rPr>
          <w:rFonts w:ascii="Times New Roman" w:eastAsia="Times New Roman" w:hAnsi="Times New Roman"/>
          <w:b/>
          <w:bCs/>
          <w:noProof/>
          <w:sz w:val="20"/>
          <w:szCs w:val="20"/>
        </w:rPr>
        <w:t xml:space="preserve">(Yarani </w:t>
      </w:r>
      <w:r w:rsidRPr="00C673E0">
        <w:rPr>
          <w:rFonts w:ascii="Times New Roman" w:eastAsia="Times New Roman" w:hAnsi="Times New Roman"/>
          <w:b/>
          <w:bCs/>
          <w:i/>
          <w:noProof/>
          <w:sz w:val="20"/>
          <w:szCs w:val="20"/>
        </w:rPr>
        <w:t>et al.</w:t>
      </w:r>
      <w:r w:rsidRPr="00C673E0">
        <w:rPr>
          <w:rFonts w:ascii="Times New Roman" w:eastAsia="Times New Roman" w:hAnsi="Times New Roman"/>
          <w:b/>
          <w:bCs/>
          <w:noProof/>
          <w:sz w:val="20"/>
          <w:szCs w:val="20"/>
        </w:rPr>
        <w:t>, 2018)</w:t>
      </w:r>
      <w:r w:rsidR="006E7628" w:rsidRPr="00C673E0">
        <w:rPr>
          <w:rFonts w:ascii="Times New Roman" w:eastAsia="Times New Roman" w:hAnsi="Times New Roman"/>
          <w:b/>
          <w:bCs/>
          <w:sz w:val="20"/>
          <w:szCs w:val="20"/>
        </w:rPr>
        <w:fldChar w:fldCharType="end"/>
      </w:r>
      <w:r w:rsidRPr="00C673E0">
        <w:rPr>
          <w:rFonts w:ascii="Times New Roman" w:eastAsia="Times New Roman" w:hAnsi="Times New Roman"/>
          <w:sz w:val="20"/>
          <w:szCs w:val="20"/>
        </w:rPr>
        <w:t>.</w:t>
      </w:r>
      <w:r w:rsidRPr="00C673E0">
        <w:rPr>
          <w:rFonts w:ascii="Times New Roman" w:eastAsia="Calibri" w:hAnsi="Times New Roman"/>
          <w:sz w:val="20"/>
          <w:szCs w:val="20"/>
        </w:rPr>
        <w:t xml:space="preserve"> </w:t>
      </w:r>
    </w:p>
    <w:p w:rsidR="006C3B20" w:rsidRPr="00C673E0" w:rsidRDefault="006C3B20" w:rsidP="00644513">
      <w:pPr>
        <w:snapToGrid w:val="0"/>
        <w:spacing w:after="0" w:line="240" w:lineRule="auto"/>
        <w:ind w:firstLine="425"/>
        <w:jc w:val="both"/>
        <w:rPr>
          <w:rFonts w:ascii="Times New Roman" w:eastAsia="Times New Roman" w:hAnsi="Times New Roman"/>
          <w:sz w:val="20"/>
          <w:szCs w:val="20"/>
          <w:lang w:bidi="ar-EG"/>
        </w:rPr>
      </w:pPr>
      <w:r w:rsidRPr="00C673E0">
        <w:rPr>
          <w:rFonts w:ascii="Times New Roman" w:eastAsia="Times New Roman" w:hAnsi="Times New Roman"/>
          <w:sz w:val="20"/>
          <w:szCs w:val="20"/>
          <w:shd w:val="clear" w:color="auto" w:fill="FCFCFC"/>
        </w:rPr>
        <w:t xml:space="preserve">Our results showed that </w:t>
      </w:r>
      <w:r w:rsidRPr="00C673E0">
        <w:rPr>
          <w:rFonts w:ascii="Times New Roman" w:eastAsia="Times New Roman" w:hAnsi="Times New Roman"/>
          <w:sz w:val="20"/>
          <w:szCs w:val="20"/>
          <w:lang w:bidi="ar-EG"/>
        </w:rPr>
        <w:t xml:space="preserve">expression level of lncRNA-H19 was </w:t>
      </w:r>
      <w:r w:rsidRPr="00C673E0">
        <w:rPr>
          <w:rFonts w:ascii="Times New Roman" w:eastAsia="Calibri" w:hAnsi="Times New Roman"/>
          <w:sz w:val="20"/>
          <w:szCs w:val="20"/>
          <w:lang w:bidi="ar-EG"/>
        </w:rPr>
        <w:t>significantly down-regulated in serum samples of MS patients compared to control group (p-value = 0.024</w:t>
      </w:r>
      <w:r w:rsidRPr="00C673E0">
        <w:rPr>
          <w:rFonts w:ascii="Times New Roman" w:eastAsia="Times New Roman" w:hAnsi="Times New Roman"/>
          <w:sz w:val="20"/>
          <w:szCs w:val="20"/>
          <w:lang w:bidi="ar-EG"/>
        </w:rPr>
        <w:t>).</w:t>
      </w:r>
      <w:r w:rsidRPr="00C673E0">
        <w:rPr>
          <w:rFonts w:ascii="Times New Roman" w:eastAsia="Times New Roman" w:hAnsi="Times New Roman"/>
          <w:sz w:val="20"/>
          <w:szCs w:val="20"/>
        </w:rPr>
        <w:t xml:space="preserve"> </w:t>
      </w:r>
    </w:p>
    <w:p w:rsidR="007B00E9" w:rsidRPr="00C673E0" w:rsidRDefault="006C3B20" w:rsidP="00644513">
      <w:pPr>
        <w:snapToGrid w:val="0"/>
        <w:spacing w:after="0" w:line="240" w:lineRule="auto"/>
        <w:ind w:firstLine="425"/>
        <w:jc w:val="both"/>
        <w:rPr>
          <w:rFonts w:ascii="Times New Roman" w:eastAsia="Times New Roman" w:hAnsi="Times New Roman"/>
          <w:sz w:val="20"/>
          <w:szCs w:val="20"/>
        </w:rPr>
      </w:pPr>
      <w:r w:rsidRPr="00C673E0">
        <w:rPr>
          <w:rFonts w:ascii="Times New Roman" w:eastAsia="Times New Roman" w:hAnsi="Times New Roman"/>
          <w:sz w:val="20"/>
          <w:szCs w:val="20"/>
        </w:rPr>
        <w:t xml:space="preserve">No previous studies investigated the expression levels of lncRNA-H19 in patients with MS. </w:t>
      </w:r>
      <w:r w:rsidR="007B00E9" w:rsidRPr="00C673E0">
        <w:rPr>
          <w:rFonts w:ascii="Times New Roman" w:eastAsia="Times New Roman" w:hAnsi="Times New Roman"/>
          <w:sz w:val="20"/>
          <w:szCs w:val="20"/>
        </w:rPr>
        <w:t>Depending</w:t>
      </w:r>
      <w:r w:rsidR="003E3F44" w:rsidRPr="00C673E0">
        <w:rPr>
          <w:rFonts w:ascii="Times New Roman" w:eastAsia="Times New Roman" w:hAnsi="Times New Roman"/>
          <w:sz w:val="20"/>
          <w:szCs w:val="20"/>
        </w:rPr>
        <w:t xml:space="preserve"> </w:t>
      </w:r>
      <w:r w:rsidR="007B00E9" w:rsidRPr="00C673E0">
        <w:rPr>
          <w:rFonts w:ascii="Times New Roman" w:eastAsia="Times New Roman" w:hAnsi="Times New Roman"/>
          <w:sz w:val="20"/>
          <w:szCs w:val="20"/>
        </w:rPr>
        <w:t xml:space="preserve">on the role of the IGF system in MS pathogenesis </w:t>
      </w:r>
      <w:r w:rsidR="007B00E9" w:rsidRPr="00C673E0">
        <w:rPr>
          <w:rFonts w:ascii="Times New Roman" w:eastAsia="Times New Roman" w:hAnsi="Times New Roman"/>
          <w:b/>
          <w:bCs/>
          <w:sz w:val="20"/>
          <w:szCs w:val="20"/>
        </w:rPr>
        <w:t>(Chesik et al., 2007; Zeis et al., 2018)</w:t>
      </w:r>
      <w:r w:rsidR="007B00E9" w:rsidRPr="00C673E0">
        <w:rPr>
          <w:rFonts w:ascii="Times New Roman" w:eastAsia="Times New Roman" w:hAnsi="Times New Roman"/>
          <w:sz w:val="20"/>
          <w:szCs w:val="20"/>
        </w:rPr>
        <w:t xml:space="preserve"> and the significance of HSCs in immune response regulation </w:t>
      </w:r>
      <w:r w:rsidR="007B00E9" w:rsidRPr="00C673E0">
        <w:rPr>
          <w:rFonts w:ascii="Times New Roman" w:eastAsia="Times New Roman" w:hAnsi="Times New Roman"/>
          <w:b/>
          <w:bCs/>
          <w:sz w:val="20"/>
          <w:szCs w:val="20"/>
        </w:rPr>
        <w:t>(Granick et al., 2012),</w:t>
      </w:r>
      <w:r w:rsidR="007B00E9" w:rsidRPr="00C673E0">
        <w:rPr>
          <w:rFonts w:ascii="Times New Roman" w:eastAsia="Times New Roman" w:hAnsi="Times New Roman"/>
          <w:sz w:val="20"/>
          <w:szCs w:val="20"/>
        </w:rPr>
        <w:t xml:space="preserve"> H19 could lead to MS pathogenesis.</w:t>
      </w:r>
    </w:p>
    <w:p w:rsidR="006C3B20" w:rsidRPr="00C673E0" w:rsidRDefault="007B00E9" w:rsidP="00644513">
      <w:pPr>
        <w:snapToGrid w:val="0"/>
        <w:spacing w:after="0" w:line="240" w:lineRule="auto"/>
        <w:ind w:firstLine="425"/>
        <w:jc w:val="both"/>
        <w:rPr>
          <w:rFonts w:ascii="Times New Roman" w:eastAsia="Calibri" w:hAnsi="Times New Roman"/>
          <w:sz w:val="20"/>
          <w:szCs w:val="20"/>
          <w:shd w:val="clear" w:color="auto" w:fill="FFFFFF"/>
        </w:rPr>
      </w:pPr>
      <w:r w:rsidRPr="00C673E0">
        <w:rPr>
          <w:rFonts w:ascii="Times New Roman" w:eastAsia="Calibri" w:hAnsi="Times New Roman"/>
          <w:sz w:val="20"/>
          <w:szCs w:val="20"/>
          <w:shd w:val="clear" w:color="auto" w:fill="FFFFFF"/>
        </w:rPr>
        <w:t xml:space="preserve">LncRNA-H19 </w:t>
      </w:r>
      <w:r w:rsidR="006C3B20" w:rsidRPr="00C673E0">
        <w:rPr>
          <w:rFonts w:ascii="Times New Roman" w:eastAsia="Calibri" w:hAnsi="Times New Roman"/>
          <w:sz w:val="20"/>
          <w:szCs w:val="20"/>
          <w:shd w:val="clear" w:color="auto" w:fill="FFFFFF"/>
        </w:rPr>
        <w:t xml:space="preserve">contributes </w:t>
      </w:r>
      <w:r w:rsidRPr="00C673E0">
        <w:rPr>
          <w:rFonts w:ascii="Times New Roman" w:eastAsia="Calibri" w:hAnsi="Times New Roman"/>
          <w:sz w:val="20"/>
          <w:szCs w:val="20"/>
          <w:shd w:val="clear" w:color="auto" w:fill="FFFFFF"/>
        </w:rPr>
        <w:t xml:space="preserve">to IGFs and FOXO3 expression regulation </w:t>
      </w:r>
      <w:r w:rsidRPr="00C673E0">
        <w:rPr>
          <w:rFonts w:ascii="Times New Roman" w:eastAsia="Calibri" w:hAnsi="Times New Roman"/>
          <w:b/>
          <w:bCs/>
          <w:sz w:val="20"/>
          <w:szCs w:val="20"/>
          <w:shd w:val="clear" w:color="auto" w:fill="FFFFFF"/>
        </w:rPr>
        <w:t>(Venkatraman et al., 2013).</w:t>
      </w:r>
      <w:r w:rsidRPr="00C673E0">
        <w:rPr>
          <w:rFonts w:ascii="Times New Roman" w:eastAsia="Calibri" w:hAnsi="Times New Roman"/>
          <w:sz w:val="20"/>
          <w:szCs w:val="20"/>
          <w:shd w:val="clear" w:color="auto" w:fill="FFFFFF"/>
        </w:rPr>
        <w:t xml:space="preserve"> FOXO3 causes FOXP3 (also known as scurfin) expression that plays a key role in distinguishing regulatory T cells and their immunosuppressive functions. </w:t>
      </w:r>
      <w:r w:rsidR="006C3B20" w:rsidRPr="00C673E0">
        <w:rPr>
          <w:rFonts w:ascii="Times New Roman" w:eastAsia="Calibri" w:hAnsi="Times New Roman"/>
          <w:b/>
          <w:bCs/>
          <w:sz w:val="20"/>
          <w:szCs w:val="20"/>
          <w:shd w:val="clear" w:color="auto" w:fill="FFFFFF"/>
        </w:rPr>
        <w:t xml:space="preserve">(Becher </w:t>
      </w:r>
      <w:r w:rsidR="006C3B20" w:rsidRPr="00C673E0">
        <w:rPr>
          <w:rFonts w:ascii="Times New Roman" w:eastAsia="Calibri" w:hAnsi="Times New Roman"/>
          <w:b/>
          <w:bCs/>
          <w:i/>
          <w:iCs/>
          <w:sz w:val="20"/>
          <w:szCs w:val="20"/>
          <w:shd w:val="clear" w:color="auto" w:fill="FFFFFF"/>
        </w:rPr>
        <w:t>et al</w:t>
      </w:r>
      <w:r w:rsidR="006C3B20" w:rsidRPr="00C673E0">
        <w:rPr>
          <w:rFonts w:ascii="Times New Roman" w:eastAsia="Calibri" w:hAnsi="Times New Roman"/>
          <w:b/>
          <w:bCs/>
          <w:sz w:val="20"/>
          <w:szCs w:val="20"/>
          <w:shd w:val="clear" w:color="auto" w:fill="FFFFFF"/>
        </w:rPr>
        <w:t>., 2018)</w:t>
      </w:r>
      <w:r w:rsidR="006C3B20" w:rsidRPr="00C673E0">
        <w:rPr>
          <w:rFonts w:ascii="Times New Roman" w:eastAsia="Calibri" w:hAnsi="Times New Roman"/>
          <w:sz w:val="20"/>
          <w:szCs w:val="20"/>
          <w:shd w:val="clear" w:color="auto" w:fill="FFFFFF"/>
        </w:rPr>
        <w:t xml:space="preserve">. </w:t>
      </w:r>
    </w:p>
    <w:p w:rsidR="006C3B20" w:rsidRPr="00C673E0" w:rsidRDefault="00180304" w:rsidP="00644513">
      <w:pPr>
        <w:snapToGrid w:val="0"/>
        <w:spacing w:after="0" w:line="240" w:lineRule="auto"/>
        <w:ind w:firstLine="425"/>
        <w:jc w:val="both"/>
        <w:rPr>
          <w:rFonts w:ascii="Times New Roman" w:eastAsia="Times New Roman" w:hAnsi="Times New Roman"/>
          <w:sz w:val="20"/>
          <w:szCs w:val="20"/>
          <w:lang w:bidi="ar-EG"/>
        </w:rPr>
      </w:pPr>
      <w:r w:rsidRPr="00C673E0">
        <w:rPr>
          <w:rFonts w:ascii="Times New Roman" w:eastAsia="Times New Roman" w:hAnsi="Times New Roman"/>
          <w:sz w:val="20"/>
          <w:szCs w:val="20"/>
          <w:lang w:bidi="ar-EG"/>
        </w:rPr>
        <w:t xml:space="preserve">The participation of HSCs in the control of immune response has been suggested by several lines </w:t>
      </w:r>
      <w:r w:rsidRPr="00C673E0">
        <w:rPr>
          <w:rFonts w:ascii="Times New Roman" w:eastAsia="Times New Roman" w:hAnsi="Times New Roman"/>
          <w:sz w:val="20"/>
          <w:szCs w:val="20"/>
          <w:lang w:bidi="ar-EG"/>
        </w:rPr>
        <w:lastRenderedPageBreak/>
        <w:t xml:space="preserve">of evidence. Cytokines and growth factors are produced by such cells </w:t>
      </w:r>
      <w:r w:rsidRPr="00C673E0">
        <w:rPr>
          <w:rFonts w:ascii="Times New Roman" w:eastAsia="Times New Roman" w:hAnsi="Times New Roman"/>
          <w:b/>
          <w:bCs/>
          <w:sz w:val="20"/>
          <w:szCs w:val="20"/>
          <w:lang w:bidi="ar-EG"/>
        </w:rPr>
        <w:t>(Granick et al., 2012).</w:t>
      </w:r>
      <w:r w:rsidRPr="00C673E0">
        <w:rPr>
          <w:rFonts w:ascii="Times New Roman" w:eastAsia="Times New Roman" w:hAnsi="Times New Roman"/>
          <w:sz w:val="20"/>
          <w:szCs w:val="20"/>
          <w:lang w:bidi="ar-EG"/>
        </w:rPr>
        <w:t xml:space="preserve"> In the development and regulation of HSCs, LncRNA-H19 has a significant role.</w:t>
      </w:r>
      <w:r w:rsidR="006C3B20" w:rsidRPr="00C673E0">
        <w:rPr>
          <w:rFonts w:ascii="Times New Roman" w:eastAsia="Times New Roman" w:hAnsi="Times New Roman"/>
          <w:sz w:val="20"/>
          <w:szCs w:val="20"/>
          <w:lang w:bidi="ar-EG"/>
        </w:rPr>
        <w:t xml:space="preserve"> </w:t>
      </w:r>
      <w:r w:rsidR="006E7628" w:rsidRPr="00C673E0">
        <w:rPr>
          <w:rFonts w:ascii="Times New Roman" w:eastAsia="Times New Roman" w:hAnsi="Times New Roman"/>
          <w:b/>
          <w:bCs/>
          <w:sz w:val="20"/>
          <w:szCs w:val="20"/>
          <w:lang w:bidi="ar-EG"/>
        </w:rPr>
        <w:fldChar w:fldCharType="begin" w:fldLock="1"/>
      </w:r>
      <w:r w:rsidR="006C3B20" w:rsidRPr="00C673E0">
        <w:rPr>
          <w:rFonts w:ascii="Times New Roman" w:eastAsia="Times New Roman" w:hAnsi="Times New Roman"/>
          <w:b/>
          <w:bCs/>
          <w:sz w:val="20"/>
          <w:szCs w:val="20"/>
          <w:lang w:bidi="ar-EG"/>
        </w:rPr>
        <w:instrText>ADDIN CSL_CITATION {"citationItems":[{"id":"ITEM-1","itemData":{"DOI":"10.1016/j.stem.2018.11.023","ISSN":"18759777","abstract":"Lan et al. present the long non-coding RNA (lncRNA) landscape of hematopoietic stem cell (HSC) development at single-cell resolution, identifying H19 as a lncRNA pivotal for the endothelial-to-HSC transition in the aorta-gonads-mesonephros region that in trans regulates the promoter de-methylation of several critical hematopoietic transcription factors, including Runx1 and Spi1.","author":[{"dropping-particle":"","family":"Zhou","given":"Jie","non-dropping-particle":"","parse-names":false,"suffix":""},{"dropping-particle":"","family":"Xu","given":"Jiayue","non-dropping-particle":"","parse-names":false,"suffix":""},{"dropping-particle":"","family":"Zhang","given":"Linlin","non-dropping-particle":"","parse-names":false,"suffix":""},{"dropping-particle":"","family":"Liu","given":"Siqi","non-dropping-particle":"","parse-names":false,"suffix":""},{"dropping-particle":"","family":"Ma","given":"Yanni","non-dropping-particle":"","parse-names":false,"suffix":""},{"dropping-particle":"","family":"Wen","given":"Xin","non-dropping-particle":"","parse-names":false,"suffix":""},{"dropping-particle":"","family":"Hao","given":"Junkai","non-dropping-particle":"","parse-names":false,"suffix":""},{"dropping-particle":"","family":"Li","given":"Zongcheng","non-dropping-particle":"","parse-names":false,"suffix":""},{"dropping-particle":"","family":"Ni","given":"Yanli","non-dropping-particle":"","parse-names":false,"suffix":""},{"dropping-particle":"","family":"Li","given":"Xianlong","non-dropping-particle":"","parse-names":false,"suffix":""},{"dropping-particle":"","family":"Zhou","given":"Fan","non-dropping-particle":"","parse-names":false,"suffix":""},{"dropping-particle":"","family":"Li","given":"Qingqing","non-dropping-particle":"","parse-names":false,"suffix":""},{"dropping-particle":"","family":"Wang","given":"Fang","non-dropping-particle":"","parse-names":false,"suffix":""},{"dropping-particle":"","family":"Wang","given":"Xiaoshuang","non-dropping-particle":"","parse-names":false,"suffix":""},{"dropping-particle":"","family":"Si","given":"Yanmin","non-dropping-particle":"","parse-names":false,"suffix":""},{"dropping-particle":"","family":"Zhang","given":"Pengcheng","non-dropping-particle":"","parse-names":false,"suffix":""},{"dropping-particle":"","family":"Liu","given":"Chen","non-dropping-particle":"","parse-names":false,"suffix":""},{"dropping-particle":"","family":"Bartolomei","given":"Marisa","non-dropping-particle":"","parse-names":false,"suffix":""},{"dropping-particle":"","family":"Tang","given":"Fuchou","non-dropping-particle":"","parse-names":false,"suffix":""},{"dropping-particle":"","family":"Liu","given":"Bing","non-dropping-particle":"","parse-names":false,"suffix":""},{"dropping-particle":"","family":"Yu","given":"Jia","non-dropping-particle":"","parse-names":false,"suffix":""},{"dropping-particle":"","family":"Lan","given":"Yu","non-dropping-particle":"","parse-names":false,"suffix":""}],"container-title":"Cell Stem Cell","id":"ITEM-1","issue":"2","issued":{"date-parts":[["2019"]]},"page":"285-298.e5","publisher":"Elsevier Inc.","title":"Combined Single-Cell Profiling of lncRNAs and Functional Screening Reveals that H19 Is Pivotal for Embryonic Hematopoietic Stem Cell Development","type":"article-journal","volume":"24"},"uris":["http://www.mendeley.com/documents/?uuid=89750541-eb7d-4830-8593-edb7bbcea165"]},{"id":"ITEM-2","itemData":{"DOI":"10.1038/nature12303","author":[{"dropping-particle":"","family":"Venkatraman","given":"Aparna","non-dropping-particle":"","parse-names":false,"suffix":""},{"dropping-particle":"","family":"He","given":"Xi C","non-dropping-particle":"","parse-names":false,"suffix":""},{"dropping-particle":"","family":"Thorvaldsen","given":"Joanne L","non-dropping-particle":"","parse-names":false,"suffix":""},{"dropping-particle":"","family":"Sugimura","given":"Ryohichi","non-dropping-particle":"","parse-names":false,"suffix":""},{"dropping-particle":"","family":"Perry","given":"John M","non-dropping-particle":"","parse-names":false,"suffix":""},{"dropping-particle":"","family":"Tao","given":"Fang","non-dropping-particle":"","parse-names":false,"suffix":""},{"dropping-particle":"","family":"Zhao","given":"Meng","non-dropping-particle":"","parse-names":false,"suffix":""},{"dropping-particle":"","family":"Christenson","given":"Matthew K","non-dropping-particle":"","parse-names":false,"suffix":""},{"dropping-particle":"","family":"Sanchez","given":"Rebeca","non-dropping-particle":"","parse-names":false,"suffix":""},{"dropping-particle":"","family":"Yu","given":"Jaclyn Y","non-dropping-particle":"","parse-names":false,"suffix":""},{"dropping-particle":"","family":"Peng","given":"Lai","non-dropping-particle":"","parse-names":false,"suffix":""},{"dropping-particle":"","family":"Haug","given":"Jeffrey S","non-dropping-particle":"","parse-names":false,"suffix":""},{"dropping-particle":"","family":"Paulson","given":"Ariel","non-dropping-particle":"","parse-names":false,"suffix":""},{"dropping-particle":"","family":"Li","given":"Hua","non-dropping-particle":"","parse-names":false,"suffix":""},{"dropping-particle":"","family":"Zhong","given":"Xiao-bo","non-dropping-particle":"","parse-names":false,"suffix":""},{"dropping-particle":"","family":"Clemens","given":"Thomas L","non-dropping-particle":"","parse-names":false,"suffix":""},{"dropping-particle":"","family":"Bartolomei","given":"Marisa S","non-dropping-particle":"","parse-names":false,"suffix":""},{"dropping-particle":"","family":"Li","given":"Linheng","non-dropping-particle":"","parse-names":false,"suffix":""}],"id":"ITEM-2","issued":{"date-parts":[["0"]]},"title":"adult haematopoietic stem cell quiescence","type":"article-journal"},"uris":["http://www.mendeley.com/documents/?uuid=518c8751-697a-4636-829a-780606de34be"]}],"mendeley":{"formattedCitation":"(Venkatraman &lt;i&gt;et al.&lt;/i&gt;, no date; Zhou &lt;i&gt;et al.&lt;/i&gt;, 2019)","manualFormatting":"(Venkatraman et al., 2013; Zhou et al., 2019)","plainTextFormattedCitation":"(Venkatraman et al., no date; Zhou et al., 2019)","previouslyFormattedCitation":"(Venkatraman &lt;i&gt;et al.&lt;/i&gt;, no date; Zhou &lt;i&gt;et al.&lt;/i&gt;, 2019)"},"properties":{"noteIndex":0},"schema":"https://github.com/citation-style-language/schema/raw/master/csl-citation.json"}</w:instrText>
      </w:r>
      <w:r w:rsidR="006E7628" w:rsidRPr="00C673E0">
        <w:rPr>
          <w:rFonts w:ascii="Times New Roman" w:eastAsia="Times New Roman" w:hAnsi="Times New Roman"/>
          <w:b/>
          <w:bCs/>
          <w:sz w:val="20"/>
          <w:szCs w:val="20"/>
          <w:lang w:bidi="ar-EG"/>
        </w:rPr>
        <w:fldChar w:fldCharType="separate"/>
      </w:r>
      <w:r w:rsidR="006C3B20" w:rsidRPr="00C673E0">
        <w:rPr>
          <w:rFonts w:ascii="Times New Roman" w:eastAsia="Times New Roman" w:hAnsi="Times New Roman"/>
          <w:b/>
          <w:bCs/>
          <w:noProof/>
          <w:sz w:val="20"/>
          <w:szCs w:val="20"/>
          <w:lang w:bidi="ar-EG"/>
        </w:rPr>
        <w:t xml:space="preserve">(Venkatraman </w:t>
      </w:r>
      <w:r w:rsidR="006C3B20" w:rsidRPr="00C673E0">
        <w:rPr>
          <w:rFonts w:ascii="Times New Roman" w:eastAsia="Times New Roman" w:hAnsi="Times New Roman"/>
          <w:b/>
          <w:bCs/>
          <w:i/>
          <w:noProof/>
          <w:sz w:val="20"/>
          <w:szCs w:val="20"/>
          <w:lang w:bidi="ar-EG"/>
        </w:rPr>
        <w:t>et al.</w:t>
      </w:r>
      <w:r w:rsidR="006C3B20" w:rsidRPr="00C673E0">
        <w:rPr>
          <w:rFonts w:ascii="Times New Roman" w:eastAsia="Times New Roman" w:hAnsi="Times New Roman"/>
          <w:b/>
          <w:bCs/>
          <w:noProof/>
          <w:sz w:val="20"/>
          <w:szCs w:val="20"/>
          <w:lang w:bidi="ar-EG"/>
        </w:rPr>
        <w:t xml:space="preserve">, 2013; Zhou </w:t>
      </w:r>
      <w:r w:rsidR="006C3B20" w:rsidRPr="00C673E0">
        <w:rPr>
          <w:rFonts w:ascii="Times New Roman" w:eastAsia="Times New Roman" w:hAnsi="Times New Roman"/>
          <w:b/>
          <w:bCs/>
          <w:i/>
          <w:noProof/>
          <w:sz w:val="20"/>
          <w:szCs w:val="20"/>
          <w:lang w:bidi="ar-EG"/>
        </w:rPr>
        <w:t>et al.</w:t>
      </w:r>
      <w:r w:rsidR="006C3B20" w:rsidRPr="00C673E0">
        <w:rPr>
          <w:rFonts w:ascii="Times New Roman" w:eastAsia="Times New Roman" w:hAnsi="Times New Roman"/>
          <w:b/>
          <w:bCs/>
          <w:noProof/>
          <w:sz w:val="20"/>
          <w:szCs w:val="20"/>
          <w:lang w:bidi="ar-EG"/>
        </w:rPr>
        <w:t>, 2019)</w:t>
      </w:r>
      <w:r w:rsidR="006E7628" w:rsidRPr="00C673E0">
        <w:rPr>
          <w:rFonts w:ascii="Times New Roman" w:eastAsia="Times New Roman" w:hAnsi="Times New Roman"/>
          <w:b/>
          <w:bCs/>
          <w:sz w:val="20"/>
          <w:szCs w:val="20"/>
          <w:lang w:bidi="ar-EG"/>
        </w:rPr>
        <w:fldChar w:fldCharType="end"/>
      </w:r>
      <w:r w:rsidR="006C3B20" w:rsidRPr="00C673E0">
        <w:rPr>
          <w:rFonts w:ascii="Times New Roman" w:eastAsia="Times New Roman" w:hAnsi="Times New Roman"/>
          <w:sz w:val="20"/>
          <w:szCs w:val="20"/>
          <w:lang w:bidi="ar-EG"/>
        </w:rPr>
        <w:t xml:space="preserve">. </w:t>
      </w:r>
      <w:r w:rsidR="007713B8" w:rsidRPr="00C673E0">
        <w:rPr>
          <w:rFonts w:ascii="Times New Roman" w:eastAsia="Times New Roman" w:hAnsi="Times New Roman"/>
          <w:sz w:val="20"/>
          <w:szCs w:val="20"/>
          <w:lang w:bidi="ar-EG"/>
        </w:rPr>
        <w:t xml:space="preserve">Taking into account the role of HSCs in the therapy </w:t>
      </w:r>
      <w:r w:rsidR="006C3B20" w:rsidRPr="00C673E0">
        <w:rPr>
          <w:rFonts w:ascii="Times New Roman" w:eastAsia="Calibri" w:hAnsi="Times New Roman"/>
          <w:sz w:val="20"/>
          <w:szCs w:val="20"/>
          <w:shd w:val="clear" w:color="auto" w:fill="FFFFFF"/>
        </w:rPr>
        <w:t>of MS, H19 is a</w:t>
      </w:r>
      <w:r w:rsidR="006C3B20" w:rsidRPr="00C673E0">
        <w:rPr>
          <w:rFonts w:ascii="Times New Roman" w:eastAsia="Times New Roman" w:hAnsi="Times New Roman"/>
          <w:sz w:val="20"/>
          <w:szCs w:val="20"/>
          <w:lang w:bidi="ar-EG"/>
        </w:rPr>
        <w:t xml:space="preserve"> </w:t>
      </w:r>
      <w:r w:rsidR="006C3B20" w:rsidRPr="00C673E0">
        <w:rPr>
          <w:rFonts w:ascii="Times New Roman" w:eastAsia="Calibri" w:hAnsi="Times New Roman"/>
          <w:sz w:val="20"/>
          <w:szCs w:val="20"/>
          <w:shd w:val="clear" w:color="auto" w:fill="FFFFFF"/>
        </w:rPr>
        <w:t xml:space="preserve">putative target in this regard </w:t>
      </w:r>
      <w:r w:rsidR="006E7628" w:rsidRPr="00C673E0">
        <w:rPr>
          <w:rFonts w:ascii="Times New Roman" w:eastAsia="Calibri" w:hAnsi="Times New Roman"/>
          <w:b/>
          <w:bCs/>
          <w:sz w:val="20"/>
          <w:szCs w:val="20"/>
          <w:shd w:val="clear" w:color="auto" w:fill="FFFFFF"/>
        </w:rPr>
        <w:fldChar w:fldCharType="begin" w:fldLock="1"/>
      </w:r>
      <w:r w:rsidR="006C3B20" w:rsidRPr="00C673E0">
        <w:rPr>
          <w:rFonts w:ascii="Times New Roman" w:eastAsia="Calibri" w:hAnsi="Times New Roman"/>
          <w:b/>
          <w:bCs/>
          <w:sz w:val="20"/>
          <w:szCs w:val="20"/>
          <w:shd w:val="clear" w:color="auto" w:fill="FFFFFF"/>
        </w:rPr>
        <w:instrText>ADDIN CSL_CITATION {"citationItems":[{"id":"ITEM-1","itemData":{"DOI":"10.22038/IJBMS.2017.9000","author":[{"dropping-particle":"","family":"Low","given":"Thomas","non-dropping-particle":"","parse-names":false,"suffix":""},{"dropping-particle":"","family":"Kuan","given":"Tat","non-dropping-particle":"","parse-names":false,"suffix":""},{"dropping-particle":"","family":"Amini","given":"Farahnaz","non-dropping-particle":"","parse-names":false,"suffix":""},{"dropping-particle":"","family":"Seghayat","given":"Marjan Sadat","non-dropping-particle":"","parse-names":false,"suffix":""}],"id":"ITEM-1","issue":"1","issued":{"date-parts":[["2016"]]},"title":"Feasibility and toxicity of hematopoietic stem cell transplant in multiple sclerosis","type":"article-journal","volume":"8880"},"uris":["http://www.mendeley.com/documents/?uuid=00c56a53-9a12-4c6d-b093-356791d36545"]}],"mendeley":{"formattedCitation":"(Low &lt;i&gt;et al.&lt;/i&gt;, 2016)","plainTextFormattedCitation":"(Low et al., 2016)","previouslyFormattedCitation":"(Low &lt;i&gt;et al.&lt;/i&gt;, 2016)"},"properties":{"noteIndex":0},"schema":"https://github.com/citation-style-language/schema/raw/master/csl-citation.json"}</w:instrText>
      </w:r>
      <w:r w:rsidR="006E7628" w:rsidRPr="00C673E0">
        <w:rPr>
          <w:rFonts w:ascii="Times New Roman" w:eastAsia="Calibri" w:hAnsi="Times New Roman"/>
          <w:b/>
          <w:bCs/>
          <w:sz w:val="20"/>
          <w:szCs w:val="20"/>
          <w:shd w:val="clear" w:color="auto" w:fill="FFFFFF"/>
        </w:rPr>
        <w:fldChar w:fldCharType="separate"/>
      </w:r>
      <w:r w:rsidR="006C3B20" w:rsidRPr="00C673E0">
        <w:rPr>
          <w:rFonts w:ascii="Times New Roman" w:eastAsia="Calibri" w:hAnsi="Times New Roman"/>
          <w:b/>
          <w:bCs/>
          <w:noProof/>
          <w:sz w:val="20"/>
          <w:szCs w:val="20"/>
          <w:shd w:val="clear" w:color="auto" w:fill="FFFFFF"/>
        </w:rPr>
        <w:t xml:space="preserve">(Low </w:t>
      </w:r>
      <w:r w:rsidR="006C3B20" w:rsidRPr="00C673E0">
        <w:rPr>
          <w:rFonts w:ascii="Times New Roman" w:eastAsia="Calibri" w:hAnsi="Times New Roman"/>
          <w:b/>
          <w:bCs/>
          <w:i/>
          <w:noProof/>
          <w:sz w:val="20"/>
          <w:szCs w:val="20"/>
          <w:shd w:val="clear" w:color="auto" w:fill="FFFFFF"/>
        </w:rPr>
        <w:t>et al.</w:t>
      </w:r>
      <w:r w:rsidR="006C3B20" w:rsidRPr="00C673E0">
        <w:rPr>
          <w:rFonts w:ascii="Times New Roman" w:eastAsia="Calibri" w:hAnsi="Times New Roman"/>
          <w:b/>
          <w:bCs/>
          <w:noProof/>
          <w:sz w:val="20"/>
          <w:szCs w:val="20"/>
          <w:shd w:val="clear" w:color="auto" w:fill="FFFFFF"/>
        </w:rPr>
        <w:t>, 2016)</w:t>
      </w:r>
      <w:r w:rsidR="006E7628" w:rsidRPr="00C673E0">
        <w:rPr>
          <w:rFonts w:ascii="Times New Roman" w:eastAsia="Calibri" w:hAnsi="Times New Roman"/>
          <w:b/>
          <w:bCs/>
          <w:sz w:val="20"/>
          <w:szCs w:val="20"/>
          <w:shd w:val="clear" w:color="auto" w:fill="FFFFFF"/>
        </w:rPr>
        <w:fldChar w:fldCharType="end"/>
      </w:r>
      <w:r w:rsidR="006C3B20" w:rsidRPr="00C673E0">
        <w:rPr>
          <w:rFonts w:ascii="Times New Roman" w:eastAsia="Calibri" w:hAnsi="Times New Roman"/>
          <w:sz w:val="20"/>
          <w:szCs w:val="20"/>
          <w:shd w:val="clear" w:color="auto" w:fill="FFFFFF"/>
        </w:rPr>
        <w:t xml:space="preserve">. </w:t>
      </w:r>
    </w:p>
    <w:p w:rsidR="006C3B20" w:rsidRPr="00C673E0" w:rsidRDefault="006C3B20" w:rsidP="00644513">
      <w:pPr>
        <w:shd w:val="clear" w:color="auto" w:fill="FFFFFF"/>
        <w:snapToGrid w:val="0"/>
        <w:spacing w:after="0" w:line="240" w:lineRule="auto"/>
        <w:ind w:firstLine="425"/>
        <w:jc w:val="both"/>
        <w:rPr>
          <w:rFonts w:ascii="Times New Roman" w:eastAsia="Times New Roman" w:hAnsi="Times New Roman"/>
          <w:sz w:val="20"/>
          <w:szCs w:val="20"/>
        </w:rPr>
      </w:pPr>
      <w:r w:rsidRPr="00C673E0">
        <w:rPr>
          <w:rFonts w:ascii="Times New Roman" w:eastAsia="Times New Roman" w:hAnsi="Times New Roman"/>
          <w:sz w:val="20"/>
          <w:szCs w:val="20"/>
        </w:rPr>
        <w:t xml:space="preserve">Another mechanism could also contribute to the role of H19 in MS pathogenesis </w:t>
      </w:r>
      <w:r w:rsidR="00420CB8" w:rsidRPr="00C673E0">
        <w:rPr>
          <w:rFonts w:ascii="Times New Roman" w:eastAsia="Times New Roman" w:hAnsi="Times New Roman"/>
          <w:sz w:val="20"/>
          <w:szCs w:val="20"/>
        </w:rPr>
        <w:t xml:space="preserve">in promoter regions is the methylation of CpG islands, a common mechanism for the inactivation of imprinted genes such as </w:t>
      </w:r>
      <w:r w:rsidRPr="00C673E0">
        <w:rPr>
          <w:rFonts w:ascii="Times New Roman" w:eastAsia="Times New Roman" w:hAnsi="Times New Roman"/>
          <w:sz w:val="20"/>
          <w:szCs w:val="20"/>
        </w:rPr>
        <w:t xml:space="preserve">H19. This mechanism has been reported in peripheral blood of patients with MS </w:t>
      </w:r>
      <w:r w:rsidR="006E7628" w:rsidRPr="00C673E0">
        <w:rPr>
          <w:rFonts w:ascii="Times New Roman" w:eastAsia="Times New Roman" w:hAnsi="Times New Roman"/>
          <w:b/>
          <w:bCs/>
          <w:sz w:val="20"/>
          <w:szCs w:val="20"/>
        </w:rPr>
        <w:fldChar w:fldCharType="begin" w:fldLock="1"/>
      </w:r>
      <w:r w:rsidRPr="00C673E0">
        <w:rPr>
          <w:rFonts w:ascii="Times New Roman" w:eastAsia="Times New Roman" w:hAnsi="Times New Roman"/>
          <w:b/>
          <w:bCs/>
          <w:sz w:val="20"/>
          <w:szCs w:val="20"/>
        </w:rPr>
        <w:instrText>ADDIN CSL_CITATION {"citationItems":[{"id":"ITEM-1","itemData":{"DOI":"10.1016/j.ebiom.2019.04.042","ISSN":"23523964","abstract":"Background: Multiple Sclerosis (MS) is a chronic inflammatory disease and a leading cause of progressive neurological disability among young adults. DNA methylation, which intersects genes and environment to control cellular functions on a molecular level, may provide insights into MS pathogenesis. Methods: We measured DNA methylation in CD4+ T cells (n = 31), CD8+ T cells (n = 28), CD14+ monocytes (n = 35) and CD19+ B cells (n = 27) from relapsing-remitting (RRMS), secondary progressive (SPMS) patients and healthy controls (HC) using Infinium HumanMethylation450 arrays. Monocyte (n = 25) and whole blood (n = 275) cohorts were used for validations. Findings: B cells from MS patients displayed most significant differentially methylated positions (DMPs), followed by monocytes, while only few DMPs were detected in T cells. We implemented a non-parametric combination framework (omicsNPC) to increase discovery power by combining evidence from all four cell types. Identified shared DMPs co-localized at MS risk loci and clustered into distinct groups. Functional exploration of changes discriminating RRMS and SPMS from HC implicated lymphocyte signaling, T cell activation and migration. SPMS-specific changes, on the other hand, implicated myeloid cell functions and metabolism. Interestingly, neuronal and neurodegenerative genes and pathways were also specifically enriched in the SPMS cluster. Interpretation: We utilized a statistical framework (omicsNPC) that combines multiple layers of evidence to identify DNA methylation changes that provide new insights into MS pathogenesis in general, and disease progression, in particular. Fund: This work was supported by the Swedish Research Council, Stockholm County Council, AstraZeneca, European Research Council, Karolinska Institutet and Margaretha af Ugglas Foundation.","author":[{"dropping-particle":"","family":"Ewing","given":"Ewoud","non-dropping-particle":"","parse-names":false,"suffix":""},{"dropping-particle":"","family":"Kular","given":"Lara","non-dropping-particle":"","parse-names":false,"suffix":""},{"dropping-particle":"","family":"Fernandes","given":"Sunjay J.","non-dropping-particle":"","parse-names":false,"suffix":""},{"dropping-particle":"","family":"Karathanasis","given":"Nestoras","non-dropping-particle":"","parse-names":false,"suffix":""},{"dropping-particle":"","family":"Lagani","given":"Vincenzo","non-dropping-particle":"","parse-names":false,"suffix":""},{"dropping-particle":"","family":"Ruhrmann","given":"Sabrina","non-dropping-particle":"","parse-names":false,"suffix":""},{"dropping-particle":"","family":"Tsamardinos","given":"Ioannis","non-dropping-particle":"","parse-names":false,"suffix":""},{"dropping-particle":"","family":"Tegner","given":"Jesper","non-dropping-particle":"","parse-names":false,"suffix":""},{"dropping-particle":"","family":"Piehl","given":"Fredrik","non-dropping-particle":"","parse-names":false,"suffix":""},{"dropping-particle":"","family":"Gomez-Cabrero","given":"David","non-dropping-particle":"","parse-names":false,"suffix":""},{"dropping-particle":"","family":"Jagodic","given":"Maja","non-dropping-particle":"","parse-names":false,"suffix":""}],"container-title":"EBioMedicine","id":"ITEM-1","issued":{"date-parts":[["2019"]]},"page":"411-423","publisher":"The Authors","title":"Combining evidence from four immune cell types identifies DNA methylation patterns that implicate functionally distinct pathways during Multiple Sclerosis progression","type":"article-journal","volume":"43"},"uris":["http://www.mendeley.com/documents/?uuid=37c3df1e-e486-4d6b-a605-873dfed8f36e"]}],"mendeley":{"formattedCitation":"(Ewing &lt;i&gt;et al.&lt;/i&gt;, 2019)","plainTextFormattedCitation":"(Ewing et al., 2019)","previouslyFormattedCitation":"(Ewing &lt;i&gt;et al.&lt;/i&gt;, 2019)"},"properties":{"noteIndex":0},"schema":"https://github.com/citation-style-language/schema/raw/master/csl-citation.json"}</w:instrText>
      </w:r>
      <w:r w:rsidR="006E7628" w:rsidRPr="00C673E0">
        <w:rPr>
          <w:rFonts w:ascii="Times New Roman" w:eastAsia="Times New Roman" w:hAnsi="Times New Roman"/>
          <w:b/>
          <w:bCs/>
          <w:sz w:val="20"/>
          <w:szCs w:val="20"/>
        </w:rPr>
        <w:fldChar w:fldCharType="separate"/>
      </w:r>
      <w:r w:rsidRPr="00C673E0">
        <w:rPr>
          <w:rFonts w:ascii="Times New Roman" w:eastAsia="Times New Roman" w:hAnsi="Times New Roman"/>
          <w:b/>
          <w:bCs/>
          <w:noProof/>
          <w:sz w:val="20"/>
          <w:szCs w:val="20"/>
        </w:rPr>
        <w:t xml:space="preserve">(Ewing </w:t>
      </w:r>
      <w:r w:rsidRPr="00C673E0">
        <w:rPr>
          <w:rFonts w:ascii="Times New Roman" w:eastAsia="Times New Roman" w:hAnsi="Times New Roman"/>
          <w:b/>
          <w:bCs/>
          <w:i/>
          <w:noProof/>
          <w:sz w:val="20"/>
          <w:szCs w:val="20"/>
        </w:rPr>
        <w:t>et al.</w:t>
      </w:r>
      <w:r w:rsidRPr="00C673E0">
        <w:rPr>
          <w:rFonts w:ascii="Times New Roman" w:eastAsia="Times New Roman" w:hAnsi="Times New Roman"/>
          <w:b/>
          <w:bCs/>
          <w:noProof/>
          <w:sz w:val="20"/>
          <w:szCs w:val="20"/>
        </w:rPr>
        <w:t>, 2019)</w:t>
      </w:r>
      <w:r w:rsidR="006E7628" w:rsidRPr="00C673E0">
        <w:rPr>
          <w:rFonts w:ascii="Times New Roman" w:eastAsia="Times New Roman" w:hAnsi="Times New Roman"/>
          <w:b/>
          <w:bCs/>
          <w:sz w:val="20"/>
          <w:szCs w:val="20"/>
        </w:rPr>
        <w:fldChar w:fldCharType="end"/>
      </w:r>
      <w:r w:rsidRPr="00C673E0">
        <w:rPr>
          <w:rFonts w:ascii="Times New Roman" w:eastAsia="Times New Roman" w:hAnsi="Times New Roman"/>
          <w:sz w:val="20"/>
          <w:szCs w:val="20"/>
        </w:rPr>
        <w:t>.</w:t>
      </w:r>
      <w:r w:rsidR="003E3F44" w:rsidRPr="00C673E0">
        <w:rPr>
          <w:rFonts w:ascii="Times New Roman" w:eastAsia="Times New Roman" w:hAnsi="Times New Roman"/>
          <w:sz w:val="20"/>
          <w:szCs w:val="20"/>
        </w:rPr>
        <w:t xml:space="preserve"> </w:t>
      </w:r>
    </w:p>
    <w:p w:rsidR="006C3B20" w:rsidRPr="00C673E0" w:rsidRDefault="006C3B20" w:rsidP="00644513">
      <w:pPr>
        <w:snapToGrid w:val="0"/>
        <w:spacing w:after="0" w:line="240" w:lineRule="auto"/>
        <w:ind w:firstLine="425"/>
        <w:jc w:val="both"/>
        <w:rPr>
          <w:rFonts w:ascii="Times New Roman" w:eastAsia="Calibri" w:hAnsi="Times New Roman"/>
          <w:sz w:val="20"/>
          <w:szCs w:val="20"/>
          <w:shd w:val="clear" w:color="auto" w:fill="FFFFFF"/>
        </w:rPr>
      </w:pPr>
      <w:r w:rsidRPr="00C673E0">
        <w:rPr>
          <w:rFonts w:ascii="Times New Roman" w:eastAsia="Times New Roman" w:hAnsi="Times New Roman"/>
          <w:sz w:val="20"/>
          <w:szCs w:val="20"/>
        </w:rPr>
        <w:t xml:space="preserve">The role of H19 in chronic inflammation is also supported by the finding that its expression level seemed to be variable in chronic inflammatory vascular diseases, including atherosclerosis, aortic aneurysm and ischemic myocardial damage. </w:t>
      </w:r>
      <w:r w:rsidR="00ED755B" w:rsidRPr="00C673E0">
        <w:rPr>
          <w:rFonts w:ascii="Times New Roman" w:eastAsia="Times New Roman" w:hAnsi="Times New Roman"/>
          <w:sz w:val="20"/>
          <w:szCs w:val="20"/>
        </w:rPr>
        <w:t xml:space="preserve">In chronic inflammatory cardiac diseases, studies have shown that the role of H19 is different and its function can be defined by specific pathological changes </w:t>
      </w:r>
      <w:r w:rsidR="006E7628" w:rsidRPr="00C673E0">
        <w:rPr>
          <w:rFonts w:ascii="Times New Roman" w:eastAsia="Times New Roman" w:hAnsi="Times New Roman"/>
          <w:b/>
          <w:bCs/>
          <w:sz w:val="20"/>
          <w:szCs w:val="20"/>
        </w:rPr>
        <w:fldChar w:fldCharType="begin" w:fldLock="1"/>
      </w:r>
      <w:r w:rsidRPr="00C673E0">
        <w:rPr>
          <w:rFonts w:ascii="Times New Roman" w:eastAsia="Times New Roman" w:hAnsi="Times New Roman"/>
          <w:b/>
          <w:bCs/>
          <w:sz w:val="20"/>
          <w:szCs w:val="20"/>
        </w:rPr>
        <w:instrText>ADDIN CSL_CITATION {"citationItems":[{"id":"ITEM-1","itemData":{"DOI":"10.1016/j.omtn.2019.05.031","ISSN":"21622531","author":[{"dropping-particle":"","family":"Li","given":"Xin","non-dropping-particle":"","parse-names":false,"suffix":""},{"dropping-particle":"","family":"Luo","given":"Shenjian","non-dropping-particle":"","parse-names":false,"suffix":""},{"dropping-particle":"","family":"Zhang","given":"Jifan","non-dropping-particle":"","parse-names":false,"suffix":""},{"dropping-particle":"","family":"Yuan","given":"Yin","non-dropping-particle":"","parse-names":false,"suffix":""},{"dropping-particle":"","family":"Jiang","given":"Wenmei","non-dropping-particle":"","parse-names":false,"suffix":""},{"dropping-particle":"","family":"Zhu","given":"Haixia","non-dropping-particle":"","parse-names":false,"suffix":""},{"dropping-particle":"","family":"Ding","given":"Xin","non-dropping-particle":"","parse-names":false,"suffix":""},{"dropping-particle":"","family":"Zhan","given":"Linfeng","non-dropping-particle":"","parse-names":false,"suffix":""},{"dropping-particle":"","family":"Wu","given":"Hao","non-dropping-particle":"","parse-names":false,"suffix":""},{"dropping-particle":"","family":"Xie","given":"Yilin","non-dropping-particle":"","parse-names":false,"suffix":""},{"dropping-particle":"","family":"Song","given":"Rui","non-dropping-particle":"","parse-names":false,"suffix":""},{"dropping-particle":"","family":"Pan","given":"Zhenwei","non-dropping-particle":"","parse-names":false,"suffix":""},{"dropping-particle":"","family":"Lu","given":"Yanjie","non-dropping-particle":"","parse-names":false,"suffix":""}],"container-title":"Molecular Therapy - Nucleic Acids","id":"ITEM-1","issue":"September","issued":{"date-parts":[["2019"]]},"page":"297-309","publisher":"Elsevier Ltd.","title":"LncRNA H19 Alleviated Myocardial Ischemia Reperfusion Injury via Suppressing miR-877-3p/Bcl-2-mediated Mitochondrial Apoptosis","type":"article-journal","volume":"17"},"uris":["http://www.mendeley.com/documents/?uuid=423cd3f7-c922-4902-8b1f-050bce4acb00"]}],"mendeley":{"formattedCitation":"(Li &lt;i&gt;et al.&lt;/i&gt;, 2019)","plainTextFormattedCitation":"(Li et al., 2019)","previouslyFormattedCitation":"(Li &lt;i&gt;et al.&lt;/i&gt;, 2019)"},"properties":{"noteIndex":0},"schema":"https://github.com/citation-style-language/schema/raw/master/csl-citation.json"}</w:instrText>
      </w:r>
      <w:r w:rsidR="006E7628" w:rsidRPr="00C673E0">
        <w:rPr>
          <w:rFonts w:ascii="Times New Roman" w:eastAsia="Times New Roman" w:hAnsi="Times New Roman"/>
          <w:b/>
          <w:bCs/>
          <w:sz w:val="20"/>
          <w:szCs w:val="20"/>
        </w:rPr>
        <w:fldChar w:fldCharType="separate"/>
      </w:r>
      <w:r w:rsidRPr="00C673E0">
        <w:rPr>
          <w:rFonts w:ascii="Times New Roman" w:eastAsia="Times New Roman" w:hAnsi="Times New Roman"/>
          <w:b/>
          <w:bCs/>
          <w:noProof/>
          <w:sz w:val="20"/>
          <w:szCs w:val="20"/>
        </w:rPr>
        <w:t xml:space="preserve">(Li </w:t>
      </w:r>
      <w:r w:rsidRPr="00C673E0">
        <w:rPr>
          <w:rFonts w:ascii="Times New Roman" w:eastAsia="Times New Roman" w:hAnsi="Times New Roman"/>
          <w:b/>
          <w:bCs/>
          <w:i/>
          <w:noProof/>
          <w:sz w:val="20"/>
          <w:szCs w:val="20"/>
        </w:rPr>
        <w:t>et al.</w:t>
      </w:r>
      <w:r w:rsidRPr="00C673E0">
        <w:rPr>
          <w:rFonts w:ascii="Times New Roman" w:eastAsia="Times New Roman" w:hAnsi="Times New Roman"/>
          <w:b/>
          <w:bCs/>
          <w:noProof/>
          <w:sz w:val="20"/>
          <w:szCs w:val="20"/>
        </w:rPr>
        <w:t>, 2019)</w:t>
      </w:r>
      <w:r w:rsidR="006E7628" w:rsidRPr="00C673E0">
        <w:rPr>
          <w:rFonts w:ascii="Times New Roman" w:eastAsia="Times New Roman" w:hAnsi="Times New Roman"/>
          <w:b/>
          <w:bCs/>
          <w:sz w:val="20"/>
          <w:szCs w:val="20"/>
        </w:rPr>
        <w:fldChar w:fldCharType="end"/>
      </w:r>
      <w:r w:rsidRPr="00C673E0">
        <w:rPr>
          <w:rFonts w:ascii="Times New Roman" w:eastAsia="Times New Roman" w:hAnsi="Times New Roman"/>
          <w:sz w:val="20"/>
          <w:szCs w:val="20"/>
        </w:rPr>
        <w:t>.</w:t>
      </w:r>
    </w:p>
    <w:p w:rsidR="006C3B20" w:rsidRPr="00C673E0" w:rsidRDefault="006C3B20" w:rsidP="00644513">
      <w:pPr>
        <w:snapToGrid w:val="0"/>
        <w:spacing w:after="0" w:line="240" w:lineRule="auto"/>
        <w:ind w:firstLine="425"/>
        <w:jc w:val="both"/>
        <w:rPr>
          <w:rFonts w:ascii="Times New Roman" w:eastAsia="Calibri" w:hAnsi="Times New Roman"/>
          <w:sz w:val="20"/>
          <w:szCs w:val="20"/>
          <w:shd w:val="clear" w:color="auto" w:fill="FFFFFF"/>
        </w:rPr>
      </w:pPr>
      <w:r w:rsidRPr="00C673E0">
        <w:rPr>
          <w:rFonts w:ascii="Times New Roman" w:eastAsia="Calibri" w:hAnsi="Times New Roman"/>
          <w:sz w:val="20"/>
          <w:szCs w:val="20"/>
          <w:shd w:val="clear" w:color="auto" w:fill="FFFFFF"/>
        </w:rPr>
        <w:t xml:space="preserve">In agreement with our study, recent study </w:t>
      </w:r>
      <w:r w:rsidR="00441029" w:rsidRPr="00C673E0">
        <w:rPr>
          <w:rFonts w:ascii="Times New Roman" w:eastAsia="Calibri" w:hAnsi="Times New Roman"/>
          <w:sz w:val="20"/>
          <w:szCs w:val="20"/>
          <w:shd w:val="clear" w:color="auto" w:fill="FFFFFF"/>
        </w:rPr>
        <w:t>demonstrated</w:t>
      </w:r>
      <w:r w:rsidRPr="00C673E0">
        <w:rPr>
          <w:rFonts w:ascii="Times New Roman" w:eastAsia="Calibri" w:hAnsi="Times New Roman"/>
          <w:sz w:val="20"/>
          <w:szCs w:val="20"/>
          <w:shd w:val="clear" w:color="auto" w:fill="FFFFFF"/>
        </w:rPr>
        <w:t xml:space="preserve"> that H19 expression was down-regulated in the ischemic hearts and </w:t>
      </w:r>
      <w:r w:rsidR="00AB354D" w:rsidRPr="00C673E0">
        <w:rPr>
          <w:rFonts w:ascii="Times New Roman" w:eastAsia="Calibri" w:hAnsi="Times New Roman"/>
          <w:sz w:val="20"/>
          <w:szCs w:val="20"/>
          <w:shd w:val="clear" w:color="auto" w:fill="FFFFFF"/>
        </w:rPr>
        <w:t>H2O2-treated cardiomyocytes. H19 overexpression alleviated myocardial ischemia and H2O2-induced damage to cardiomyocytes. H19 worked for miR-877-3p as a competitive endogenous RNA</w:t>
      </w:r>
      <w:r w:rsidRPr="00C673E0">
        <w:rPr>
          <w:rFonts w:ascii="Times New Roman" w:eastAsia="Calibri" w:hAnsi="Times New Roman"/>
          <w:sz w:val="20"/>
          <w:szCs w:val="20"/>
          <w:shd w:val="clear" w:color="auto" w:fill="FFFFFF"/>
        </w:rPr>
        <w:t xml:space="preserve">. MiR-877-3p was reported to regulate the production of </w:t>
      </w:r>
      <w:r w:rsidR="00B42F2C" w:rsidRPr="00C673E0">
        <w:rPr>
          <w:rFonts w:ascii="Times New Roman" w:eastAsia="Calibri" w:hAnsi="Times New Roman"/>
          <w:sz w:val="20"/>
          <w:szCs w:val="20"/>
          <w:shd w:val="clear" w:color="auto" w:fill="FFFFFF"/>
        </w:rPr>
        <w:t>IL-8 and IL-1b pro-inflammatory cytokines.</w:t>
      </w:r>
      <w:r w:rsidRPr="00C673E0">
        <w:rPr>
          <w:rFonts w:ascii="Times New Roman" w:eastAsia="Calibri" w:hAnsi="Times New Roman"/>
          <w:sz w:val="20"/>
          <w:szCs w:val="20"/>
          <w:shd w:val="clear" w:color="auto" w:fill="FFFFFF"/>
        </w:rPr>
        <w:t xml:space="preserve"> These data showed the anti-inflammatory role of lncRNA-H19 </w:t>
      </w:r>
      <w:r w:rsidR="006E7628" w:rsidRPr="00C673E0">
        <w:rPr>
          <w:rFonts w:ascii="Times New Roman" w:eastAsia="Times New Roman" w:hAnsi="Times New Roman"/>
          <w:b/>
          <w:bCs/>
          <w:sz w:val="20"/>
          <w:szCs w:val="20"/>
        </w:rPr>
        <w:fldChar w:fldCharType="begin" w:fldLock="1"/>
      </w:r>
      <w:r w:rsidRPr="00C673E0">
        <w:rPr>
          <w:rFonts w:ascii="Times New Roman" w:eastAsia="Times New Roman" w:hAnsi="Times New Roman"/>
          <w:b/>
          <w:bCs/>
          <w:sz w:val="20"/>
          <w:szCs w:val="20"/>
        </w:rPr>
        <w:instrText>ADDIN CSL_CITATION {"citationItems":[{"id":"ITEM-1","itemData":{"DOI":"10.1016/j.omtn.2019.05.031","ISSN":"21622531","author":[{"dropping-particle":"","family":"Li","given":"Xin","non-dropping-particle":"","parse-names":false,"suffix":""},{"dropping-particle":"","family":"Luo","given":"Shenjian","non-dropping-particle":"","parse-names":false,"suffix":""},{"dropping-particle":"","family":"Zhang","given":"Jifan","non-dropping-particle":"","parse-names":false,"suffix":""},{"dropping-particle":"","family":"Yuan","given":"Yin","non-dropping-particle":"","parse-names":false,"suffix":""},{"dropping-particle":"","family":"Jiang","given":"Wenmei","non-dropping-particle":"","parse-names":false,"suffix":""},{"dropping-particle":"","family":"Zhu","given":"Haixia","non-dropping-particle":"","parse-names":false,"suffix":""},{"dropping-particle":"","family":"Ding","given":"Xin","non-dropping-particle":"","parse-names":false,"suffix":""},{"dropping-particle":"","family":"Zhan","given":"Linfeng","non-dropping-particle":"","parse-names":false,"suffix":""},{"dropping-particle":"","family":"Wu","given":"Hao","non-dropping-particle":"","parse-names":false,"suffix":""},{"dropping-particle":"","family":"Xie","given":"Yilin","non-dropping-particle":"","parse-names":false,"suffix":""},{"dropping-particle":"","family":"Song","given":"Rui","non-dropping-particle":"","parse-names":false,"suffix":""},{"dropping-particle":"","family":"Pan","given":"Zhenwei","non-dropping-particle":"","parse-names":false,"suffix":""},{"dropping-particle":"","family":"Lu","given":"Yanjie","non-dropping-particle":"","parse-names":false,"suffix":""}],"container-title":"Molecular Therapy - Nucleic Acids","id":"ITEM-1","issue":"September","issued":{"date-parts":[["2019"]]},"page":"297-309","publisher":"Elsevier Ltd.","title":"LncRNA H19 Alleviated Myocardial Ischemia Reperfusion Injury via Suppressing miR-877-3p/Bcl-2-mediated Mitochondrial Apoptosis","type":"article-journal","volume":"17"},"uris":["http://www.mendeley.com/documents/?uuid=423cd3f7-c922-4902-8b1f-050bce4acb00"]}],"mendeley":{"formattedCitation":"(Li &lt;i&gt;et al.&lt;/i&gt;, 2019)","plainTextFormattedCitation":"(Li et al., 2019)","previouslyFormattedCitation":"(Li &lt;i&gt;et al.&lt;/i&gt;, 2019)"},"properties":{"noteIndex":0},"schema":"https://github.com/citation-style-language/schema/raw/master/csl-citation.json"}</w:instrText>
      </w:r>
      <w:r w:rsidR="006E7628" w:rsidRPr="00C673E0">
        <w:rPr>
          <w:rFonts w:ascii="Times New Roman" w:eastAsia="Times New Roman" w:hAnsi="Times New Roman"/>
          <w:b/>
          <w:bCs/>
          <w:sz w:val="20"/>
          <w:szCs w:val="20"/>
        </w:rPr>
        <w:fldChar w:fldCharType="separate"/>
      </w:r>
      <w:r w:rsidRPr="00C673E0">
        <w:rPr>
          <w:rFonts w:ascii="Times New Roman" w:eastAsia="Times New Roman" w:hAnsi="Times New Roman"/>
          <w:b/>
          <w:bCs/>
          <w:noProof/>
          <w:sz w:val="20"/>
          <w:szCs w:val="20"/>
        </w:rPr>
        <w:t xml:space="preserve">(Li </w:t>
      </w:r>
      <w:r w:rsidRPr="00C673E0">
        <w:rPr>
          <w:rFonts w:ascii="Times New Roman" w:eastAsia="Times New Roman" w:hAnsi="Times New Roman"/>
          <w:b/>
          <w:bCs/>
          <w:i/>
          <w:noProof/>
          <w:sz w:val="20"/>
          <w:szCs w:val="20"/>
        </w:rPr>
        <w:t>et al.</w:t>
      </w:r>
      <w:r w:rsidRPr="00C673E0">
        <w:rPr>
          <w:rFonts w:ascii="Times New Roman" w:eastAsia="Times New Roman" w:hAnsi="Times New Roman"/>
          <w:b/>
          <w:bCs/>
          <w:noProof/>
          <w:sz w:val="20"/>
          <w:szCs w:val="20"/>
        </w:rPr>
        <w:t>, 2019)</w:t>
      </w:r>
      <w:r w:rsidR="006E7628" w:rsidRPr="00C673E0">
        <w:rPr>
          <w:rFonts w:ascii="Times New Roman" w:eastAsia="Times New Roman" w:hAnsi="Times New Roman"/>
          <w:b/>
          <w:bCs/>
          <w:sz w:val="20"/>
          <w:szCs w:val="20"/>
        </w:rPr>
        <w:fldChar w:fldCharType="end"/>
      </w:r>
      <w:r w:rsidRPr="00C673E0">
        <w:rPr>
          <w:rFonts w:ascii="Times New Roman" w:eastAsia="Calibri" w:hAnsi="Times New Roman"/>
          <w:sz w:val="20"/>
          <w:szCs w:val="20"/>
          <w:shd w:val="clear" w:color="auto" w:fill="FFFFFF"/>
        </w:rPr>
        <w:t xml:space="preserve">. Another study revealed that lncRNA-H19 regulates inflammation response in macrophages by up-regulating miR-130b. Overexpressed miR-130b ameliorates inflammation by </w:t>
      </w:r>
      <w:r w:rsidR="00C86C76" w:rsidRPr="00C673E0">
        <w:rPr>
          <w:rFonts w:ascii="Times New Roman" w:eastAsia="Calibri" w:hAnsi="Times New Roman"/>
          <w:sz w:val="20"/>
          <w:szCs w:val="20"/>
          <w:shd w:val="clear" w:color="auto" w:fill="FFFFFF"/>
        </w:rPr>
        <w:t xml:space="preserve">reducing the high </w:t>
      </w:r>
      <w:r w:rsidRPr="00C673E0">
        <w:rPr>
          <w:rFonts w:ascii="Times New Roman" w:eastAsia="Calibri" w:hAnsi="Times New Roman"/>
          <w:sz w:val="20"/>
          <w:szCs w:val="20"/>
          <w:shd w:val="clear" w:color="auto" w:fill="FFFFFF"/>
        </w:rPr>
        <w:t>translational levels of TNF-α and NF-κB</w:t>
      </w:r>
      <w:r w:rsidR="003E3F44" w:rsidRPr="00C673E0">
        <w:rPr>
          <w:rFonts w:ascii="Times New Roman" w:eastAsia="Calibri" w:hAnsi="Times New Roman"/>
          <w:sz w:val="20"/>
          <w:szCs w:val="20"/>
          <w:shd w:val="clear" w:color="auto" w:fill="FFFFFF"/>
        </w:rPr>
        <w:t xml:space="preserve"> </w:t>
      </w:r>
      <w:r w:rsidR="006E7628" w:rsidRPr="00C673E0">
        <w:rPr>
          <w:rFonts w:ascii="Times New Roman" w:eastAsia="Calibri" w:hAnsi="Times New Roman"/>
          <w:b/>
          <w:bCs/>
          <w:sz w:val="20"/>
          <w:szCs w:val="20"/>
          <w:shd w:val="clear" w:color="auto" w:fill="FFFFFF"/>
        </w:rPr>
        <w:fldChar w:fldCharType="begin" w:fldLock="1"/>
      </w:r>
      <w:r w:rsidRPr="00C673E0">
        <w:rPr>
          <w:rFonts w:ascii="Times New Roman" w:eastAsia="Calibri" w:hAnsi="Times New Roman"/>
          <w:b/>
          <w:bCs/>
          <w:sz w:val="20"/>
          <w:szCs w:val="20"/>
          <w:shd w:val="clear" w:color="auto" w:fill="FFFFFF"/>
        </w:rPr>
        <w:instrText>ADDIN CSL_CITATION {"citationItems":[{"id":"ITEM-1","itemData":{"DOI":"10.1016/j.molimm.2017.11.017","ISSN":"18729142","abstract":"Atherosclerosis (AS) is the main cause of cardiovascular diseases (CADs). Lipid accumulation and inflammatory response in macrophages are two key factors in the pathogenesis of AS. In this study, we aimed to explore the regulating role of long non-coding RNA (LncRNA)-H19 in oxygenized low density lipoprotein (ox-LDL)-treated Raw264.7 cells. Compared with the healthy control, a relatively higher level of H19 was detected in the blood samples from AS patients. Obviously up-regulated expression of TG (triglycerides)/TC (total cholesterol)/LDL-C (low density lipoprotein-cholesterol) and down-regulated level of HDL-C (high density lipoprotein-cholesterol) were detected in ox-LDL-treated Raw264.7 cells. Besides that, increased expression of H19 was detected in ox-LDL-treated Raw264.7 cells. To examine the function of H19, gene knockdown was performed using short hairpin RNAs (shRNAs). The expression of TG, TC, LDL-C and HDL-C was detected by enzyme linked immunosorbent assay (Elisa) and the expression of lipolytic genes/lipogenic genes (PPARα, CPT-1/REBP-1c, ACS) was examined through western blot. In combination with the result of oil red O staining, we concluded that H19 shRNA effectively decreased lipid accumulation in ox-LDL-treated Raw264.7 cells. Besides that, H19 shRNA decreased the level of pro-inflammatory factors (TNF-α, IL-1β)/CD68+ cells and increased the level of anti-inflammatory factors (IL-4, IL-10)/CD163+ cells compared with the control group. Combined the bioinformatics analyses/luciferase assay with the promoting effect of H19 shRNA on the expression of miR-130b, we speculated that miR-130b was a target of H19 in ox-LDL-treated Raw264.7 cells. Moreover, the adding of LncRNA H19 abolished the facilitating effect of miR-130b inhibitor on adipogenesis and inflammation response by up-regulating the expression of miR-130b. Taken together, our research indicated a H19-miR130b pathway in regulating lipid metabolism and inflammation response in ox-LDL-treated Raw264.7 cells, providing new targets for AS treatment.","author":[{"dropping-particle":"","family":"Han","given":"Yong","non-dropping-particle":"","parse-names":false,"suffix":""},{"dropping-particle":"","family":"Ma","given":"Jie","non-dropping-particle":"","parse-names":false,"suffix":""},{"dropping-particle":"","family":"Wang","given":"Junping","non-dropping-particle":"","parse-names":false,"suffix":""},{"dropping-particle":"","family":"Wang","given":"Liping","non-dropping-particle":"","parse-names":false,"suffix":""}],"container-title":"Molecular Immunology","id":"ITEM-1","issue":"August 2017","issued":{"date-parts":[["2018"]]},"page":"107-114","publisher":"Elsevier","title":"Silencing of H19 inhibits the adipogenesis and inflammation response in ox-LDL-treated Raw264.7 cells by up-regulating miR-130b","type":"article-journal","volume":"93"},"uris":["http://www.mendeley.com/documents/?uuid=9a07929b-6cef-405a-8ca4-6923ec79db04"]}],"mendeley":{"formattedCitation":"(Han &lt;i&gt;et al.&lt;/i&gt;, 2018)","plainTextFormattedCitation":"(Han et al., 2018)","previouslyFormattedCitation":"(Han &lt;i&gt;et al.&lt;/i&gt;, 2018)"},"properties":{"noteIndex":0},"schema":"https://github.com/citation-style-language/schema/raw/master/csl-citation.json"}</w:instrText>
      </w:r>
      <w:r w:rsidR="006E7628" w:rsidRPr="00C673E0">
        <w:rPr>
          <w:rFonts w:ascii="Times New Roman" w:eastAsia="Calibri" w:hAnsi="Times New Roman"/>
          <w:b/>
          <w:bCs/>
          <w:sz w:val="20"/>
          <w:szCs w:val="20"/>
          <w:shd w:val="clear" w:color="auto" w:fill="FFFFFF"/>
        </w:rPr>
        <w:fldChar w:fldCharType="separate"/>
      </w:r>
      <w:r w:rsidRPr="00C673E0">
        <w:rPr>
          <w:rFonts w:ascii="Times New Roman" w:eastAsia="Calibri" w:hAnsi="Times New Roman"/>
          <w:b/>
          <w:bCs/>
          <w:noProof/>
          <w:sz w:val="20"/>
          <w:szCs w:val="20"/>
          <w:shd w:val="clear" w:color="auto" w:fill="FFFFFF"/>
        </w:rPr>
        <w:t xml:space="preserve">(Han </w:t>
      </w:r>
      <w:r w:rsidRPr="00C673E0">
        <w:rPr>
          <w:rFonts w:ascii="Times New Roman" w:eastAsia="Calibri" w:hAnsi="Times New Roman"/>
          <w:b/>
          <w:bCs/>
          <w:i/>
          <w:noProof/>
          <w:sz w:val="20"/>
          <w:szCs w:val="20"/>
          <w:shd w:val="clear" w:color="auto" w:fill="FFFFFF"/>
        </w:rPr>
        <w:t>et al.</w:t>
      </w:r>
      <w:r w:rsidRPr="00C673E0">
        <w:rPr>
          <w:rFonts w:ascii="Times New Roman" w:eastAsia="Calibri" w:hAnsi="Times New Roman"/>
          <w:b/>
          <w:bCs/>
          <w:noProof/>
          <w:sz w:val="20"/>
          <w:szCs w:val="20"/>
          <w:shd w:val="clear" w:color="auto" w:fill="FFFFFF"/>
        </w:rPr>
        <w:t>, 2018)</w:t>
      </w:r>
      <w:r w:rsidR="006E7628" w:rsidRPr="00C673E0">
        <w:rPr>
          <w:rFonts w:ascii="Times New Roman" w:eastAsia="Calibri" w:hAnsi="Times New Roman"/>
          <w:b/>
          <w:bCs/>
          <w:sz w:val="20"/>
          <w:szCs w:val="20"/>
          <w:shd w:val="clear" w:color="auto" w:fill="FFFFFF"/>
        </w:rPr>
        <w:fldChar w:fldCharType="end"/>
      </w:r>
      <w:r w:rsidRPr="00C673E0">
        <w:rPr>
          <w:rFonts w:ascii="Times New Roman" w:eastAsia="Calibri" w:hAnsi="Times New Roman"/>
          <w:sz w:val="20"/>
          <w:szCs w:val="20"/>
          <w:shd w:val="clear" w:color="auto" w:fill="FFFFFF"/>
        </w:rPr>
        <w:t>.</w:t>
      </w:r>
    </w:p>
    <w:p w:rsidR="006C3B20" w:rsidRPr="00C673E0" w:rsidRDefault="006C3B20" w:rsidP="00644513">
      <w:pPr>
        <w:snapToGrid w:val="0"/>
        <w:spacing w:after="0" w:line="240" w:lineRule="auto"/>
        <w:ind w:firstLine="425"/>
        <w:jc w:val="both"/>
        <w:rPr>
          <w:rFonts w:ascii="Times New Roman" w:eastAsia="Times New Roman" w:hAnsi="Times New Roman"/>
          <w:sz w:val="20"/>
          <w:szCs w:val="20"/>
        </w:rPr>
      </w:pPr>
      <w:r w:rsidRPr="00C673E0">
        <w:rPr>
          <w:rFonts w:ascii="Times New Roman" w:eastAsia="Times New Roman" w:hAnsi="Times New Roman"/>
          <w:sz w:val="20"/>
          <w:szCs w:val="20"/>
        </w:rPr>
        <w:t xml:space="preserve">On the other hand, </w:t>
      </w:r>
      <w:r w:rsidR="00EC6154" w:rsidRPr="00C673E0">
        <w:rPr>
          <w:rFonts w:ascii="Times New Roman" w:eastAsia="Times New Roman" w:hAnsi="Times New Roman"/>
          <w:sz w:val="20"/>
          <w:szCs w:val="20"/>
        </w:rPr>
        <w:t xml:space="preserve">H19 expression was revealed to be substantially elevated in the plasma of atherosclerosis patients relative to healthy participants </w:t>
      </w:r>
      <w:r w:rsidRPr="00C673E0">
        <w:rPr>
          <w:rFonts w:ascii="Times New Roman" w:eastAsia="Times New Roman" w:hAnsi="Times New Roman"/>
          <w:sz w:val="20"/>
          <w:szCs w:val="20"/>
        </w:rPr>
        <w:t>and was also highly expressed in atherosclerotic plaques. Overexpression of H19 in endothelial cells increased their proliferation by regulating</w:t>
      </w:r>
      <w:r w:rsidR="007B3361" w:rsidRPr="00C673E0">
        <w:rPr>
          <w:rFonts w:ascii="Times New Roman" w:hAnsi="Times New Roman"/>
          <w:sz w:val="20"/>
          <w:szCs w:val="20"/>
        </w:rPr>
        <w:t xml:space="preserve"> </w:t>
      </w:r>
      <w:r w:rsidR="007B3361" w:rsidRPr="00C673E0">
        <w:rPr>
          <w:rFonts w:ascii="Times New Roman" w:eastAsia="Times New Roman" w:hAnsi="Times New Roman"/>
          <w:sz w:val="20"/>
          <w:szCs w:val="20"/>
        </w:rPr>
        <w:t>the signaling pathways</w:t>
      </w:r>
      <w:r w:rsidRPr="00C673E0">
        <w:rPr>
          <w:rFonts w:ascii="Times New Roman" w:eastAsia="Times New Roman" w:hAnsi="Times New Roman"/>
          <w:sz w:val="20"/>
          <w:szCs w:val="20"/>
        </w:rPr>
        <w:t xml:space="preserve"> p38-MAPK and NF-κB</w:t>
      </w:r>
      <w:r w:rsidR="007B3361" w:rsidRPr="00C673E0">
        <w:rPr>
          <w:rFonts w:ascii="Times New Roman" w:eastAsia="Times New Roman" w:hAnsi="Times New Roman"/>
          <w:sz w:val="20"/>
          <w:szCs w:val="20"/>
        </w:rPr>
        <w:t xml:space="preserve"> </w:t>
      </w:r>
      <w:r w:rsidR="006E7628" w:rsidRPr="006E7628">
        <w:rPr>
          <w:rFonts w:ascii="Times New Roman" w:eastAsia="Times New Roman" w:hAnsi="Times New Roman"/>
          <w:b/>
          <w:bCs/>
          <w:sz w:val="20"/>
          <w:szCs w:val="20"/>
        </w:rPr>
        <w:fldChar w:fldCharType="begin" w:fldLock="1"/>
      </w:r>
      <w:r w:rsidRPr="00C673E0">
        <w:rPr>
          <w:rFonts w:ascii="Times New Roman" w:eastAsia="Times New Roman" w:hAnsi="Times New Roman"/>
          <w:b/>
          <w:bCs/>
          <w:sz w:val="20"/>
          <w:szCs w:val="20"/>
        </w:rPr>
        <w:instrText>ADDIN CSL_CITATION {"citationItems":[{"id":"ITEM-1","itemData":{"ISSN":"22840729","abstract":"OBJECTIVE Atherosclerosis is one of the leading causes of mortality in the world, which is a multistep cardiovascular disease promoted by several of risk factors. However, the detailed mechanism of atherosclerosis remained unclear. LncRNAs have been proved to play an important role in various of biological and pathological processes, but the role of lncRNA in atherosclerosis largely remained unidentified. PATIENTS AND METHODS Blood sample were collected from 42 patients with atherosclerosis and 37 healthy volunteers. The expression of lncRNA H19 was detected by the qRT-PCR assay. Proliferation and apoptosis of HUVEC were also detected after lncRNA H19 was overexpressed. The expression of p38 and p65 were also measured by Western blot. RESULTS Compared with the normal healthy people, the expression of H19 was higher in patients with atherosclerosis. After lncRNA H19 was overexpressed in HUVEC, the proliferation ability was increased while apoptosis was suppressed. What's more, p38 and p65 were increased after lncRNA H19 was overexpressed. CONCLUSIONS LncRNA H19 was highly expressed in atherosclerosis, which could be used as a potential target for treating atherosclerosis.","author":[{"dropping-particle":"","family":"Pan","given":"J. X.","non-dropping-particle":"","parse-names":false,"suffix":""}],"container-title":"European review for medical and pharmacological sciences","id":"ITEM-1","issue":"2","issued":{"date-parts":[["2017"]]},"page":"322-328","title":"LncRNA H19 promotes atherosclerosis by regulating MAPK and NF-kB signaling pathway","type":"article-journal","volume":"21"},"uris":["http://www.mendeley.com/documents/?uuid=217e3c95-4ae4-4731-b704-016a1c7c7688"]}],"mendeley":{"formattedCitation":"(Pan, 2017)","plainTextFormattedCitation":"(Pan, 2017)","previouslyFormattedCitation":"(Pan, 2017)"},"properties":{"noteIndex":0},"schema":"https://github.com/citation-style-language/schema/raw/master/csl-citation.json"}</w:instrText>
      </w:r>
      <w:r w:rsidR="006E7628" w:rsidRPr="006E7628">
        <w:rPr>
          <w:rFonts w:ascii="Times New Roman" w:eastAsia="Times New Roman" w:hAnsi="Times New Roman"/>
          <w:b/>
          <w:bCs/>
          <w:sz w:val="20"/>
          <w:szCs w:val="20"/>
        </w:rPr>
        <w:fldChar w:fldCharType="separate"/>
      </w:r>
      <w:r w:rsidRPr="00C673E0">
        <w:rPr>
          <w:rFonts w:ascii="Times New Roman" w:eastAsia="Times New Roman" w:hAnsi="Times New Roman"/>
          <w:b/>
          <w:bCs/>
          <w:noProof/>
          <w:sz w:val="20"/>
          <w:szCs w:val="20"/>
        </w:rPr>
        <w:t>(Pan, 2017)</w:t>
      </w:r>
      <w:r w:rsidR="006E7628" w:rsidRPr="00C673E0">
        <w:rPr>
          <w:rFonts w:ascii="Times New Roman" w:eastAsia="Times New Roman" w:hAnsi="Times New Roman"/>
          <w:sz w:val="20"/>
          <w:szCs w:val="20"/>
        </w:rPr>
        <w:fldChar w:fldCharType="end"/>
      </w:r>
      <w:r w:rsidRPr="00C673E0">
        <w:rPr>
          <w:rFonts w:ascii="Times New Roman" w:eastAsia="Times New Roman" w:hAnsi="Times New Roman"/>
          <w:sz w:val="20"/>
          <w:szCs w:val="20"/>
        </w:rPr>
        <w:t>.</w:t>
      </w:r>
      <w:r w:rsidRPr="00C673E0">
        <w:rPr>
          <w:rFonts w:ascii="Times New Roman" w:eastAsia="Calibri" w:hAnsi="Times New Roman"/>
          <w:sz w:val="20"/>
          <w:szCs w:val="20"/>
          <w:shd w:val="clear" w:color="auto" w:fill="FFFFFF"/>
        </w:rPr>
        <w:t xml:space="preserve"> Both MAPK and NF-kB signaling pathways have been reported to be involved in regulation of MS</w:t>
      </w:r>
      <w:r w:rsidRPr="00C673E0">
        <w:rPr>
          <w:rFonts w:ascii="Times New Roman" w:eastAsia="Calibri" w:hAnsi="Times New Roman"/>
          <w:b/>
          <w:bCs/>
          <w:sz w:val="20"/>
          <w:szCs w:val="20"/>
        </w:rPr>
        <w:t xml:space="preserve"> </w:t>
      </w:r>
      <w:r w:rsidR="006E7628" w:rsidRPr="00C673E0">
        <w:rPr>
          <w:rFonts w:ascii="Times New Roman" w:eastAsia="Calibri" w:hAnsi="Times New Roman"/>
          <w:b/>
          <w:bCs/>
          <w:sz w:val="20"/>
          <w:szCs w:val="20"/>
        </w:rPr>
        <w:fldChar w:fldCharType="begin" w:fldLock="1"/>
      </w:r>
      <w:r w:rsidRPr="00C673E0">
        <w:rPr>
          <w:rFonts w:ascii="Times New Roman" w:eastAsia="Calibri" w:hAnsi="Times New Roman"/>
          <w:b/>
          <w:bCs/>
          <w:sz w:val="20"/>
          <w:szCs w:val="20"/>
        </w:rPr>
        <w:instrText>ADDIN CSL_CITATION {"citationItems":[{"id":"ITEM-1","itemData":{"DOI":"10.1523/jneurosci.3286-17.2018","ISSN":"0270-6474","author":[{"dropping-particle":"","family":"Shao","given":"Xiaowei","non-dropping-particle":"","parse-names":false,"suffix":""}],"container-title":"The Journal of Neuroscience","id":"ITEM-1","issue":"10","issued":{"date-parts":[["2018"]]},"page":"2416-2417","title":"Protective Role of NF-κB in Inflammatory Demyelination","type":"article-journal","volume":"38"},"uris":["http://www.mendeley.com/documents/?uuid=40325a9c-c38e-4f96-bf27-17514316d412"]},{"id":"ITEM-2","itemData":{"DOI":"10.4103/1673-5374.237109","ISSN":"18767958","abstract":"The transcription factor nuclear factor kappaB (NF-kappaB) plays major roles in inflammatory diseases through regulation of inflammation and cell viability. Multiple sclerosis (MS) is a chronic inflammatory demyelinating and neurodegenerative disease of the central nervous system (CNS). It has been shown that NF-kappaB is activated in multiple cell types in the CNS of MS patients, including T cells, microglia/macrophages, astrocytes, oligodendrocytes, and neurons. Interestingly, data from animal model studies, particularly studies of experimental autoimmune encephalomyelitis, have suggested that NF-kappaB activation in these individual cell types has distinct effects on the development of MS. In this review, we will cover the current literature on NF-kappaB and the evidence for its role in the development of MS and its animal model experimental autoimmune encephalomyelitis\n","author":[{"dropping-particle":"","family":"Yue","given":"Yuan","non-dropping-particle":"","parse-names":false,"suffix":""},{"dropping-particle":"","family":"Stone","given":"Sarrabeth","non-dropping-particle":"","parse-names":false,"suffix":""},{"dropping-particle":"","family":"Lin","given":"Wensheng","non-dropping-particle":"","parse-names":false,"suffix":""}],"container-title":"Neural Regeneration Research","id":"ITEM-2","issue":"9","issued":{"date-parts":[["2018"]]},"page":"1507-1515","title":"Role of nuclear factor κb in multiple sclerosis and experimental autoimmune encephalomyelitis","type":"article-journal","volume":"13"},"uris":["http://www.mendeley.com/documents/?uuid=9bdb3854-d026-4309-b543-9506b3f87472"]},{"id":"ITEM-3","itemData":{"DOI":"10.1016/j.molcel.2017.08.025","ISSN":"10974164","abstract":"Genomic imprinting is an allelic gene expression phenomenon primarily controlled by allele-specific DNA methylation at the imprinting control region (ICR), but the underlying mechanism remains largely unclear. N-α-acetyltransferase 10 protein (Naa10p) catalyzes N-α-acetylation of nascent proteins, and mutation of human Naa10p is linked to severe developmental delays. Here we report that Naa10-null mice display partial embryonic lethality, growth retardation, brain disorders, and maternal effect lethality, phenotypes commonly observed in defective genomic imprinting. Genome-wide analyses further revealed global DNA hypomethylation and enriched dysregulation of imprinted genes in Naa10p-knockout embryos and embryonic stem cells. Mechanistically, Naa10p facilitates binding of DNA methyltransferase 1 (Dnmt1) to DNA substrates, including the ICRs of the imprinted allele during S phase. Moreover, the lethal Ogden syndrome-associated mutation of human Naa10p disrupts its binding to the ICR of H19 and Dnmt1 recruitment. Our study thus links Naa10p mutation-associated Ogden syndrome to defective DNA methylation and genomic imprinting. Lee et al. reveal an unexpected function for Naa10p, which is primarily known to acetylate nascent peptides from ribosomes, in maintaining global DNA methylation and marking the imprinted allele for genomic imprinting maintenance. Their results suggest that defects in DNA methylation and genomic imprinting may contribute to Naa10p-associated Ogden syndrome.","author":[{"dropping-particle":"","family":"Lee","given":"Chen Cheng","non-dropping-particle":"","parse-names":false,"suffix":""},{"dropping-particle":"","family":"Peng","given":"Shih Huan","non-dropping-particle":"","parse-names":false,"suffix":""},{"dropping-particle":"","family":"Shen","given":"Li","non-dropping-particle":"","parse-names":false,"suffix":""},{"dropping-particle":"","family":"Lee","given":"Chung Fan","non-dropping-particle":"","parse-names":false,"suffix":""},{"dropping-particle":"","family":"Du","given":"Ting Huei","non-dropping-particle":"","parse-names":false,"suffix":""},{"dropping-particle":"","family":"Kang","given":"Ming Lun","non-dropping-particle":"","parse-names":false,"suffix":""},{"dropping-particle":"","family":"Xu","given":"Guo Liang","non-dropping-particle":"","parse-names":false,"suffix":""},{"dropping-particle":"","family":"Upadhyay","given":"Anup K.","non-dropping-particle":"","parse-names":false,"suffix":""},{"dropping-particle":"","family":"Cheng","given":"Xiaodong","non-dropping-particle":"","parse-names":false,"suffix":""},{"dropping-particle":"","family":"Yan","given":"Yu Ting","non-dropping-particle":"","parse-names":false,"suffix":""},{"dropping-particle":"","family":"Zhang","given":"Yi","non-dropping-particle":"","parse-names":false,"suffix":""},{"dropping-particle":"","family":"Juan","given":"Li Jung","non-dropping-particle":"","parse-names":false,"suffix":""}],"container-title":"Molecular Cell","id":"ITEM-3","issue":"1","issued":{"date-parts":[["2017"]]},"page":"89-103.e7","publisher":"Elsevier Inc.","title":"The Role of N-α-acetyltransferase 10 Protein in DNA Methylation and Genomic Imprinting","type":"article-journal","volume":"68"},"uris":["http://www.mendeley.com/documents/?uuid=edc33d69-e641-4dc4-9920-8d6b4df81e5b"]}],"mendeley":{"formattedCitation":"(Lee &lt;i&gt;et al.&lt;/i&gt;, 2017; Shao, 2018; Yue, Stone and Lin, 2018)","manualFormatting":"(Lee et al., 2017; Shao, 2018; Yue et al., 2018)","plainTextFormattedCitation":"(Lee et al., 2017; Shao, 2018; Yue, Stone and Lin, 2018)","previouslyFormattedCitation":"(Lee &lt;i&gt;et al.&lt;/i&gt;, 2017; Shao, 2018; Yue, Stone and Lin, 2018)"},"properties":{"noteIndex":0},"schema":"https://github.com/citation-style-language/schema/raw/master/csl-citation.json"}</w:instrText>
      </w:r>
      <w:r w:rsidR="006E7628" w:rsidRPr="00C673E0">
        <w:rPr>
          <w:rFonts w:ascii="Times New Roman" w:eastAsia="Calibri" w:hAnsi="Times New Roman"/>
          <w:b/>
          <w:bCs/>
          <w:sz w:val="20"/>
          <w:szCs w:val="20"/>
        </w:rPr>
        <w:fldChar w:fldCharType="separate"/>
      </w:r>
      <w:r w:rsidRPr="00C673E0">
        <w:rPr>
          <w:rFonts w:ascii="Times New Roman" w:eastAsia="Calibri" w:hAnsi="Times New Roman"/>
          <w:b/>
          <w:bCs/>
          <w:noProof/>
          <w:sz w:val="20"/>
          <w:szCs w:val="20"/>
        </w:rPr>
        <w:t xml:space="preserve">(Lee </w:t>
      </w:r>
      <w:r w:rsidRPr="00C673E0">
        <w:rPr>
          <w:rFonts w:ascii="Times New Roman" w:eastAsia="Calibri" w:hAnsi="Times New Roman"/>
          <w:b/>
          <w:bCs/>
          <w:i/>
          <w:noProof/>
          <w:sz w:val="20"/>
          <w:szCs w:val="20"/>
        </w:rPr>
        <w:t>et al.</w:t>
      </w:r>
      <w:r w:rsidRPr="00C673E0">
        <w:rPr>
          <w:rFonts w:ascii="Times New Roman" w:eastAsia="Calibri" w:hAnsi="Times New Roman"/>
          <w:b/>
          <w:bCs/>
          <w:noProof/>
          <w:sz w:val="20"/>
          <w:szCs w:val="20"/>
        </w:rPr>
        <w:t xml:space="preserve">, 2017; Shao, 2018; Yue </w:t>
      </w:r>
      <w:r w:rsidRPr="00C673E0">
        <w:rPr>
          <w:rFonts w:ascii="Times New Roman" w:eastAsia="Calibri" w:hAnsi="Times New Roman"/>
          <w:b/>
          <w:bCs/>
          <w:i/>
          <w:iCs/>
          <w:noProof/>
          <w:sz w:val="20"/>
          <w:szCs w:val="20"/>
        </w:rPr>
        <w:t>et al</w:t>
      </w:r>
      <w:r w:rsidRPr="00C673E0">
        <w:rPr>
          <w:rFonts w:ascii="Times New Roman" w:eastAsia="Calibri" w:hAnsi="Times New Roman"/>
          <w:b/>
          <w:bCs/>
          <w:noProof/>
          <w:sz w:val="20"/>
          <w:szCs w:val="20"/>
        </w:rPr>
        <w:t>., 2018)</w:t>
      </w:r>
      <w:r w:rsidR="006E7628" w:rsidRPr="00C673E0">
        <w:rPr>
          <w:rFonts w:ascii="Times New Roman" w:eastAsia="Calibri" w:hAnsi="Times New Roman"/>
          <w:b/>
          <w:bCs/>
          <w:sz w:val="20"/>
          <w:szCs w:val="20"/>
        </w:rPr>
        <w:fldChar w:fldCharType="end"/>
      </w:r>
      <w:r w:rsidRPr="00C673E0">
        <w:rPr>
          <w:rFonts w:ascii="Times New Roman" w:eastAsia="Calibri" w:hAnsi="Times New Roman"/>
          <w:sz w:val="20"/>
          <w:szCs w:val="20"/>
        </w:rPr>
        <w:t>.</w:t>
      </w:r>
      <w:r w:rsidRPr="00C673E0">
        <w:rPr>
          <w:rFonts w:ascii="Times New Roman" w:eastAsia="Calibri" w:hAnsi="Times New Roman"/>
          <w:sz w:val="20"/>
          <w:szCs w:val="20"/>
          <w:shd w:val="clear" w:color="auto" w:fill="FFFFFF"/>
        </w:rPr>
        <w:t xml:space="preserve"> </w:t>
      </w:r>
      <w:r w:rsidRPr="00C673E0">
        <w:rPr>
          <w:rFonts w:ascii="Times New Roman" w:eastAsia="Times New Roman" w:hAnsi="Times New Roman"/>
          <w:sz w:val="20"/>
          <w:szCs w:val="20"/>
        </w:rPr>
        <w:t xml:space="preserve">Furthermore, recent study demonstrated that H19 induced </w:t>
      </w:r>
      <w:r w:rsidR="002B13A9" w:rsidRPr="00C673E0">
        <w:rPr>
          <w:rFonts w:ascii="Times New Roman" w:eastAsia="Times New Roman" w:hAnsi="Times New Roman"/>
          <w:sz w:val="20"/>
          <w:szCs w:val="20"/>
        </w:rPr>
        <w:t xml:space="preserve">abdominal aortic aneurysm formation, which is recognized as a chronic inflammatory vascular disease, to cause the transcription of its target gene, IL-6, which acts as a pro-inflammatory cytokine, by acting as ceRNA for let-7a miRNA </w:t>
      </w:r>
      <w:r w:rsidR="006E7628" w:rsidRPr="00C673E0">
        <w:rPr>
          <w:rFonts w:ascii="Times New Roman" w:eastAsia="Times New Roman" w:hAnsi="Times New Roman"/>
          <w:b/>
          <w:bCs/>
          <w:sz w:val="20"/>
          <w:szCs w:val="20"/>
        </w:rPr>
        <w:fldChar w:fldCharType="begin" w:fldLock="1"/>
      </w:r>
      <w:r w:rsidRPr="00C673E0">
        <w:rPr>
          <w:rFonts w:ascii="Times New Roman" w:eastAsia="Times New Roman" w:hAnsi="Times New Roman"/>
          <w:b/>
          <w:bCs/>
          <w:sz w:val="20"/>
          <w:szCs w:val="20"/>
        </w:rPr>
        <w:instrText>ADDIN CSL_CITATION {"citationItems":[{"id":"ITEM-1","itemData":{"DOI":"10.1016/j.yjmcc.2019.04.004","ISSN":"10958584","abstract":"Abdominal aortic aneurysm (AAA) is accepted as a chronic vascular inflammatory disease. However, how the inflammatory response is regulated during AAA formation is not fully understood. This study was undertaken to determine whether the long noncoding RNA (lncRNA) H19 (H19) promotes AAA formation by enhancing aortic inflammation. qRT-PCR detected the upregulation of H19 in human and mouse AAA tissue samples. Co-staining for H19 and the macrophage marker MAC-2 showed that H19 was located in vascular smooth muscle cells (VSMCs) and infiltrating aortic macrophages. In vivo overexpression of H19 increased vascular inflammation and induced AAA formation, which was supported by exacerbated aortic morphology, maximum aortic diameter values, elastin degradation, expression of interleukin-6 (IL-6) and macrophage chemoattractant protein-1 (MCP-1), and macrophage infiltration. H19 suppression resulted in the opposite effects. A rescue experiment indicated that IL-6 neutralization significantly mitigated the aortic inflammation and AAA formation evoked by H19 overexpression. Luciferase reporter assays and ex vivo experiments using VSMCs and macrophages confirmed that H19 induced aneurysm formation in part via endogenous competition with the let-7a microRNA to induce the transcription of its target gene, IL-6. This mechanism was further validated by in vivo experiments using a mutant H19 that could not effectively bind let-7a. Collectively, our study revealed a pathogenic H19/let-7a/IL-6 inflammatory pathway in AAA formation, which offers a new potential therapeutic strategy for AAA.","author":[{"dropping-particle":"","family":"Sun","given":"Yili","non-dropping-particle":"","parse-names":false,"suffix":""},{"dropping-particle":"","family":"Zhong","given":"Lintao","non-dropping-particle":"","parse-names":false,"suffix":""},{"dropping-particle":"","family":"He","given":"Xiang","non-dropping-particle":"","parse-names":false,"suffix":""},{"dropping-particle":"","family":"Wang","given":"Shifei","non-dropping-particle":"","parse-names":false,"suffix":""},{"dropping-particle":"","family":"Lai","given":"Yanxian","non-dropping-particle":"","parse-names":false,"suffix":""},{"dropping-particle":"","family":"Wu","given":"Weilan","non-dropping-particle":"","parse-names":false,"suffix":""},{"dropping-particle":"","family":"Song","given":"Haoyu","non-dropping-particle":"","parse-names":false,"suffix":""},{"dropping-particle":"","family":"Chen","given":"Yijin","non-dropping-particle":"","parse-names":false,"suffix":""},{"dropping-particle":"","family":"Yang","given":"Yang","non-dropping-particle":"","parse-names":false,"suffix":""},{"dropping-particle":"","family":"Liao","given":"Wangjun","non-dropping-particle":"","parse-names":false,"suffix":""},{"dropping-particle":"","family":"Liao","given":"Yulin","non-dropping-particle":"","parse-names":false,"suffix":""},{"dropping-particle":"","family":"Bin","given":"Jianping","non-dropping-particle":"","parse-names":false,"suffix":""}],"container-title":"Journal of Molecular and Cellular Cardiology","id":"ITEM-1","issue":"June 2018","issued":{"date-parts":[["2019"]]},"page":"66-81","publisher":"Elsevier","title":"LncRNA H19 promotes vascular inflammation and abdominal aortic aneurysm formation by functioning as a competing endogenous RNA","type":"article-journal","volume":"131"},"uris":["http://www.mendeley.com/documents/?uuid=1951c9da-4b9d-4d39-bc6d-4f9fa76932a5"]}],"mendeley":{"formattedCitation":"(Sun &lt;i&gt;et al.&lt;/i&gt;, 2019)","plainTextFormattedCitation":"(Sun et al., 2019)","previouslyFormattedCitation":"(Sun &lt;i&gt;et al.&lt;/i&gt;, 2019)"},"properties":{"noteIndex":0},"schema":"https://github.com/citation-style-language/schema/raw/master/csl-citation.json"}</w:instrText>
      </w:r>
      <w:r w:rsidR="006E7628" w:rsidRPr="00C673E0">
        <w:rPr>
          <w:rFonts w:ascii="Times New Roman" w:eastAsia="Times New Roman" w:hAnsi="Times New Roman"/>
          <w:b/>
          <w:bCs/>
          <w:sz w:val="20"/>
          <w:szCs w:val="20"/>
        </w:rPr>
        <w:fldChar w:fldCharType="separate"/>
      </w:r>
      <w:r w:rsidRPr="00C673E0">
        <w:rPr>
          <w:rFonts w:ascii="Times New Roman" w:eastAsia="Times New Roman" w:hAnsi="Times New Roman"/>
          <w:b/>
          <w:bCs/>
          <w:noProof/>
          <w:sz w:val="20"/>
          <w:szCs w:val="20"/>
        </w:rPr>
        <w:t xml:space="preserve">(Sun </w:t>
      </w:r>
      <w:r w:rsidRPr="00C673E0">
        <w:rPr>
          <w:rFonts w:ascii="Times New Roman" w:eastAsia="Times New Roman" w:hAnsi="Times New Roman"/>
          <w:b/>
          <w:bCs/>
          <w:i/>
          <w:noProof/>
          <w:sz w:val="20"/>
          <w:szCs w:val="20"/>
        </w:rPr>
        <w:t>et al.</w:t>
      </w:r>
      <w:r w:rsidRPr="00C673E0">
        <w:rPr>
          <w:rFonts w:ascii="Times New Roman" w:eastAsia="Times New Roman" w:hAnsi="Times New Roman"/>
          <w:b/>
          <w:bCs/>
          <w:noProof/>
          <w:sz w:val="20"/>
          <w:szCs w:val="20"/>
        </w:rPr>
        <w:t>, 2019)</w:t>
      </w:r>
      <w:r w:rsidR="006E7628" w:rsidRPr="00C673E0">
        <w:rPr>
          <w:rFonts w:ascii="Times New Roman" w:eastAsia="Times New Roman" w:hAnsi="Times New Roman"/>
          <w:b/>
          <w:bCs/>
          <w:sz w:val="20"/>
          <w:szCs w:val="20"/>
        </w:rPr>
        <w:fldChar w:fldCharType="end"/>
      </w:r>
      <w:r w:rsidRPr="00C673E0">
        <w:rPr>
          <w:rFonts w:ascii="Times New Roman" w:eastAsia="Times New Roman" w:hAnsi="Times New Roman"/>
          <w:sz w:val="20"/>
          <w:szCs w:val="20"/>
        </w:rPr>
        <w:t>.</w:t>
      </w:r>
    </w:p>
    <w:p w:rsidR="006C3B20" w:rsidRPr="00C673E0" w:rsidRDefault="006C3B20" w:rsidP="00644513">
      <w:pPr>
        <w:snapToGrid w:val="0"/>
        <w:spacing w:after="0" w:line="240" w:lineRule="auto"/>
        <w:ind w:firstLine="425"/>
        <w:jc w:val="both"/>
        <w:rPr>
          <w:rFonts w:ascii="Times New Roman" w:eastAsia="Calibri" w:hAnsi="Times New Roman"/>
          <w:sz w:val="20"/>
          <w:szCs w:val="20"/>
          <w:shd w:val="clear" w:color="auto" w:fill="FFFFFF"/>
        </w:rPr>
      </w:pPr>
      <w:r w:rsidRPr="00C673E0">
        <w:rPr>
          <w:rFonts w:ascii="Times New Roman" w:eastAsia="Calibri" w:hAnsi="Times New Roman"/>
          <w:sz w:val="20"/>
          <w:szCs w:val="20"/>
          <w:shd w:val="clear" w:color="auto" w:fill="FFFFFF"/>
        </w:rPr>
        <w:t xml:space="preserve">Interestingly, a previous study in sepsis, which is accepted as inflammatory disease closely </w:t>
      </w:r>
      <w:r w:rsidR="00F01852" w:rsidRPr="00C673E0">
        <w:rPr>
          <w:rFonts w:ascii="Times New Roman" w:eastAsia="Calibri" w:hAnsi="Times New Roman"/>
          <w:sz w:val="20"/>
          <w:szCs w:val="20"/>
          <w:shd w:val="clear" w:color="auto" w:fill="FFFFFF"/>
        </w:rPr>
        <w:t xml:space="preserve">correlated </w:t>
      </w:r>
      <w:r w:rsidR="00F01852" w:rsidRPr="00C673E0">
        <w:rPr>
          <w:rFonts w:ascii="Times New Roman" w:eastAsia="Calibri" w:hAnsi="Times New Roman"/>
          <w:sz w:val="20"/>
          <w:szCs w:val="20"/>
          <w:shd w:val="clear" w:color="auto" w:fill="FFFFFF"/>
        </w:rPr>
        <w:lastRenderedPageBreak/>
        <w:t>with</w:t>
      </w:r>
      <w:r w:rsidRPr="00C673E0">
        <w:rPr>
          <w:rFonts w:ascii="Times New Roman" w:eastAsia="Calibri" w:hAnsi="Times New Roman"/>
          <w:sz w:val="20"/>
          <w:szCs w:val="20"/>
          <w:shd w:val="clear" w:color="auto" w:fill="FFFFFF"/>
        </w:rPr>
        <w:t xml:space="preserve"> dysfunction of immune system and gene expressions, concluded that H19 acted as ceRNA in regulating miR-874 and its targets. MiR-874 </w:t>
      </w:r>
      <w:r w:rsidR="00F01852" w:rsidRPr="00C673E0">
        <w:rPr>
          <w:rFonts w:ascii="Times New Roman" w:eastAsia="Calibri" w:hAnsi="Times New Roman"/>
          <w:sz w:val="20"/>
          <w:szCs w:val="20"/>
          <w:shd w:val="clear" w:color="auto" w:fill="FFFFFF"/>
        </w:rPr>
        <w:t>stimulated</w:t>
      </w:r>
      <w:r w:rsidRPr="00C673E0">
        <w:rPr>
          <w:rFonts w:ascii="Times New Roman" w:eastAsia="Calibri" w:hAnsi="Times New Roman"/>
          <w:sz w:val="20"/>
          <w:szCs w:val="20"/>
          <w:shd w:val="clear" w:color="auto" w:fill="FFFFFF"/>
        </w:rPr>
        <w:t xml:space="preserve"> anti-inflammatory responses, </w:t>
      </w:r>
      <w:r w:rsidR="007C0128" w:rsidRPr="00C673E0">
        <w:rPr>
          <w:rFonts w:ascii="Times New Roman" w:eastAsia="Calibri" w:hAnsi="Times New Roman"/>
          <w:sz w:val="20"/>
          <w:szCs w:val="20"/>
          <w:shd w:val="clear" w:color="auto" w:fill="FFFFFF"/>
        </w:rPr>
        <w:t>implying that</w:t>
      </w:r>
      <w:r w:rsidRPr="00C673E0">
        <w:rPr>
          <w:rFonts w:ascii="Times New Roman" w:eastAsia="Calibri" w:hAnsi="Times New Roman"/>
          <w:sz w:val="20"/>
          <w:szCs w:val="20"/>
          <w:shd w:val="clear" w:color="auto" w:fill="FFFFFF"/>
        </w:rPr>
        <w:t xml:space="preserve"> H19 </w:t>
      </w:r>
      <w:r w:rsidR="007C0128" w:rsidRPr="00C673E0">
        <w:rPr>
          <w:rFonts w:ascii="Times New Roman" w:eastAsia="Calibri" w:hAnsi="Times New Roman"/>
          <w:sz w:val="20"/>
          <w:szCs w:val="20"/>
          <w:shd w:val="clear" w:color="auto" w:fill="FFFFFF"/>
        </w:rPr>
        <w:t>may</w:t>
      </w:r>
      <w:r w:rsidRPr="00C673E0">
        <w:rPr>
          <w:rFonts w:ascii="Times New Roman" w:eastAsia="Calibri" w:hAnsi="Times New Roman"/>
          <w:sz w:val="20"/>
          <w:szCs w:val="20"/>
          <w:shd w:val="clear" w:color="auto" w:fill="FFFFFF"/>
        </w:rPr>
        <w:t xml:space="preserve"> act as a protective element in inflammation, and regulating secretion of anti-inflammatory cytokines </w:t>
      </w:r>
      <w:r w:rsidR="006E7628" w:rsidRPr="006E7628">
        <w:rPr>
          <w:rFonts w:ascii="Times New Roman" w:eastAsia="Calibri" w:hAnsi="Times New Roman"/>
          <w:b/>
          <w:bCs/>
          <w:sz w:val="20"/>
          <w:szCs w:val="20"/>
          <w:shd w:val="clear" w:color="auto" w:fill="FFFFFF"/>
        </w:rPr>
        <w:fldChar w:fldCharType="begin" w:fldLock="1"/>
      </w:r>
      <w:r w:rsidRPr="00C673E0">
        <w:rPr>
          <w:rFonts w:ascii="Times New Roman" w:eastAsia="Calibri" w:hAnsi="Times New Roman"/>
          <w:b/>
          <w:bCs/>
          <w:sz w:val="20"/>
          <w:szCs w:val="20"/>
          <w:shd w:val="clear" w:color="auto" w:fill="FFFFFF"/>
        </w:rPr>
        <w:instrText>ADDIN CSL_CITATION {"citationItems":[{"id":"ITEM-1","itemData":{"DOI":"10.1016/j.biopha.2018.06.007","ISSN":"19506007","abstract":"Objective: Sepsis is a whole-body inflammation disease after severe trauma, burn injury, infection and major surgeries, accompanied by multiple organs failure. We sought to investigate the potential mechanism of Aquaporin 1 (AQP1), miRNA-874, and lncRNA H19 in lipopolysaccharide (LPS) sepsis and the anti-inflammatory responses related to sepsis myocardial dysfunction. Material and methods: Serum from peripheral blood samples of sepsis patients and in vivo mice model were collected for AQP1, H19, and miR-874 expression. In vitro model in cardiomyocytes was established using LPS. H19 and miR-874 expressions were interfered in LPS induced mice and cardiomyocytes to explore the association between them and its effect on anti-inflammatory responses. Results: H19 and AQP1 decreased and accompanied with elevated miR-874 expression in sepsis samples, in vivo mice model and in vitro cells. There was negative relationship between expression of H19 and miR-874, and a positive correlation between H19 and AQP1 expression. However, H19 overexpression transfection significantly reversed LPS induced dysregulation in expression of miR-874 and AQP1, secretion of anti-inflammatory cytokines, and myocardial dysfunction in vivo and in vitro. Conclusion: We determined that H19 acted as AQP1 ceRNA in regulating miR-874. H19 acted as AQP1 ceRNA in regulating miR-874 and restoring LPS dysregulated inflammatory responses and myocardial dysfunction. H19 expression might be used as a potential therapeutic target for LPS induced sepsis and myocardial dysfunction.","author":[{"dropping-particle":"","family":"Fang","given":"Yu","non-dropping-particle":"","parse-names":false,"suffix":""},{"dropping-particle":"","family":"Hu","given":"Jingfei","non-dropping-particle":"","parse-names":false,"suffix":""},{"dropping-particle":"","family":"Wang","given":"Zhenhua","non-dropping-particle":"","parse-names":false,"suffix":""},{"dropping-particle":"","family":"Zong","given":"Huili","non-dropping-particle":"","parse-names":false,"suffix":""},{"dropping-particle":"","family":"Zhang","given":"Lu","non-dropping-particle":"","parse-names":false,"suffix":""},{"dropping-particle":"","family":"Zhang","given":"Ruifang","non-dropping-particle":"","parse-names":false,"suffix":""},{"dropping-particle":"","family":"Sun","given":"Limin","non-dropping-particle":"","parse-names":false,"suffix":""}],"container-title":"Biomedicine and Pharmacotherapy","id":"ITEM-1","issue":"1","issued":{"date-parts":[["2018"]]},"page":"1183-1191","publisher":"Elsevier","title":"LncRNA H19 functions as an Aquaporin 1 competitive endogenous RNA to regulate microRNA-874 expression in LPS sepsis","type":"article-journal","volume":"105"},"uris":["http://www.mendeley.com/documents/?uuid=9ac64568-a38f-468a-b530-6894bb3aae5a"]}],"mendeley":{"formattedCitation":"(Fang &lt;i&gt;et al.&lt;/i&gt;, 2018)","plainTextFormattedCitation":"(Fang et al., 2018)","previouslyFormattedCitation":"(Fang &lt;i&gt;et al.&lt;/i&gt;, 2018)"},"properties":{"noteIndex":0},"schema":"https://github.com/citation-style-language/schema/raw/master/csl-citation.json"}</w:instrText>
      </w:r>
      <w:r w:rsidR="006E7628" w:rsidRPr="006E7628">
        <w:rPr>
          <w:rFonts w:ascii="Times New Roman" w:eastAsia="Calibri" w:hAnsi="Times New Roman"/>
          <w:b/>
          <w:bCs/>
          <w:sz w:val="20"/>
          <w:szCs w:val="20"/>
          <w:shd w:val="clear" w:color="auto" w:fill="FFFFFF"/>
        </w:rPr>
        <w:fldChar w:fldCharType="separate"/>
      </w:r>
      <w:r w:rsidRPr="00C673E0">
        <w:rPr>
          <w:rFonts w:ascii="Times New Roman" w:eastAsia="Calibri" w:hAnsi="Times New Roman"/>
          <w:b/>
          <w:bCs/>
          <w:noProof/>
          <w:sz w:val="20"/>
          <w:szCs w:val="20"/>
          <w:shd w:val="clear" w:color="auto" w:fill="FFFFFF"/>
        </w:rPr>
        <w:t xml:space="preserve">(Fang </w:t>
      </w:r>
      <w:r w:rsidRPr="00C673E0">
        <w:rPr>
          <w:rFonts w:ascii="Times New Roman" w:eastAsia="Calibri" w:hAnsi="Times New Roman"/>
          <w:b/>
          <w:bCs/>
          <w:i/>
          <w:noProof/>
          <w:sz w:val="20"/>
          <w:szCs w:val="20"/>
          <w:shd w:val="clear" w:color="auto" w:fill="FFFFFF"/>
        </w:rPr>
        <w:t>et al.</w:t>
      </w:r>
      <w:r w:rsidRPr="00C673E0">
        <w:rPr>
          <w:rFonts w:ascii="Times New Roman" w:eastAsia="Calibri" w:hAnsi="Times New Roman"/>
          <w:b/>
          <w:bCs/>
          <w:noProof/>
          <w:sz w:val="20"/>
          <w:szCs w:val="20"/>
          <w:shd w:val="clear" w:color="auto" w:fill="FFFFFF"/>
        </w:rPr>
        <w:t>, 2018)</w:t>
      </w:r>
      <w:r w:rsidR="006E7628" w:rsidRPr="00C673E0">
        <w:rPr>
          <w:rFonts w:ascii="Times New Roman" w:eastAsia="Calibri" w:hAnsi="Times New Roman"/>
          <w:sz w:val="20"/>
          <w:szCs w:val="20"/>
          <w:shd w:val="clear" w:color="auto" w:fill="FFFFFF"/>
        </w:rPr>
        <w:fldChar w:fldCharType="end"/>
      </w:r>
      <w:r w:rsidRPr="00C673E0">
        <w:rPr>
          <w:rFonts w:ascii="Times New Roman" w:eastAsia="Calibri" w:hAnsi="Times New Roman"/>
          <w:sz w:val="20"/>
          <w:szCs w:val="20"/>
          <w:shd w:val="clear" w:color="auto" w:fill="FFFFFF"/>
        </w:rPr>
        <w:t xml:space="preserve">. </w:t>
      </w:r>
    </w:p>
    <w:p w:rsidR="006C3B20" w:rsidRPr="00C673E0" w:rsidRDefault="006C3B20" w:rsidP="00644513">
      <w:pPr>
        <w:shd w:val="clear" w:color="auto" w:fill="FFFFFF"/>
        <w:snapToGrid w:val="0"/>
        <w:spacing w:after="0" w:line="240" w:lineRule="auto"/>
        <w:ind w:firstLine="425"/>
        <w:jc w:val="both"/>
        <w:rPr>
          <w:rFonts w:ascii="Times New Roman" w:eastAsia="Times New Roman" w:hAnsi="Times New Roman"/>
          <w:sz w:val="20"/>
          <w:szCs w:val="20"/>
        </w:rPr>
      </w:pPr>
      <w:r w:rsidRPr="00C673E0">
        <w:rPr>
          <w:rFonts w:ascii="Times New Roman" w:eastAsia="Times New Roman" w:hAnsi="Times New Roman"/>
          <w:sz w:val="20"/>
          <w:szCs w:val="20"/>
        </w:rPr>
        <w:t>Limited studies demonstrated the expression level of lncRNA-H19</w:t>
      </w:r>
      <w:r w:rsidRPr="00C673E0">
        <w:rPr>
          <w:rFonts w:ascii="Times New Roman" w:eastAsia="Times New Roman" w:hAnsi="Times New Roman"/>
          <w:i/>
          <w:iCs/>
          <w:sz w:val="20"/>
          <w:szCs w:val="20"/>
        </w:rPr>
        <w:t xml:space="preserve"> </w:t>
      </w:r>
      <w:r w:rsidRPr="00C673E0">
        <w:rPr>
          <w:rFonts w:ascii="Times New Roman" w:eastAsia="Times New Roman" w:hAnsi="Times New Roman"/>
          <w:sz w:val="20"/>
          <w:szCs w:val="20"/>
        </w:rPr>
        <w:t>in other autoimmune diseases.</w:t>
      </w:r>
      <w:r w:rsidRPr="00C673E0">
        <w:rPr>
          <w:rFonts w:ascii="Times New Roman" w:eastAsia="Times New Roman" w:hAnsi="Times New Roman"/>
          <w:b/>
          <w:bCs/>
          <w:sz w:val="20"/>
          <w:szCs w:val="20"/>
        </w:rPr>
        <w:t xml:space="preserve"> </w:t>
      </w:r>
      <w:r w:rsidRPr="00C673E0">
        <w:rPr>
          <w:rFonts w:ascii="Times New Roman" w:eastAsia="Times New Roman" w:hAnsi="Times New Roman"/>
          <w:sz w:val="20"/>
          <w:szCs w:val="20"/>
        </w:rPr>
        <w:t>The only available study in RA</w:t>
      </w:r>
      <w:r w:rsidRPr="00C673E0">
        <w:rPr>
          <w:rFonts w:ascii="Times New Roman" w:eastAsia="Times New Roman" w:hAnsi="Times New Roman"/>
          <w:b/>
          <w:bCs/>
          <w:sz w:val="20"/>
          <w:szCs w:val="20"/>
        </w:rPr>
        <w:t xml:space="preserve"> </w:t>
      </w:r>
      <w:r w:rsidR="00742B4D" w:rsidRPr="00C673E0">
        <w:rPr>
          <w:rFonts w:ascii="Times New Roman" w:eastAsia="Times New Roman" w:hAnsi="Times New Roman"/>
          <w:sz w:val="20"/>
          <w:szCs w:val="20"/>
        </w:rPr>
        <w:t>showed that H19 expression in synovial tissue (particularly synovial macrophages and fibroblasts) of patients with RA was up-regulated compared</w:t>
      </w:r>
      <w:r w:rsidRPr="00C673E0">
        <w:rPr>
          <w:rFonts w:ascii="Times New Roman" w:eastAsia="Times New Roman" w:hAnsi="Times New Roman"/>
          <w:sz w:val="20"/>
          <w:szCs w:val="20"/>
        </w:rPr>
        <w:t xml:space="preserve"> to healthy controls. </w:t>
      </w:r>
      <w:r w:rsidR="003324A1" w:rsidRPr="00C673E0">
        <w:rPr>
          <w:rFonts w:ascii="Times New Roman" w:eastAsia="Times New Roman" w:hAnsi="Times New Roman"/>
          <w:sz w:val="20"/>
          <w:szCs w:val="20"/>
        </w:rPr>
        <w:t>Intriguingly, H19 expression can be highly triggered by starvation stress to a higher level in RA fibroblasts</w:t>
      </w:r>
      <w:r w:rsidRPr="00C673E0">
        <w:rPr>
          <w:rFonts w:ascii="Times New Roman" w:eastAsia="Times New Roman" w:hAnsi="Times New Roman"/>
          <w:sz w:val="20"/>
          <w:szCs w:val="20"/>
        </w:rPr>
        <w:t xml:space="preserve">, which observed to be mediated by MAP-kinases 1/2 and the phosphatidylinositol-3 kinase pathways, with or without cytokines stress </w:t>
      </w:r>
      <w:r w:rsidR="006E7628" w:rsidRPr="00C673E0">
        <w:rPr>
          <w:rFonts w:ascii="Times New Roman" w:eastAsia="Times New Roman" w:hAnsi="Times New Roman"/>
          <w:b/>
          <w:bCs/>
          <w:sz w:val="20"/>
          <w:szCs w:val="20"/>
        </w:rPr>
        <w:fldChar w:fldCharType="begin" w:fldLock="1"/>
      </w:r>
      <w:r w:rsidRPr="00C673E0">
        <w:rPr>
          <w:rFonts w:ascii="Times New Roman" w:eastAsia="Times New Roman" w:hAnsi="Times New Roman"/>
          <w:b/>
          <w:bCs/>
          <w:sz w:val="20"/>
          <w:szCs w:val="20"/>
        </w:rPr>
        <w:instrText>ADDIN CSL_CITATION {"citationItems":[{"id":"ITEM-1","itemData":{"author":[{"dropping-particle":"","family":"Stuhlmu","given":"Bruno","non-dropping-particle":"","parse-names":false,"suffix":""},{"dropping-particle":"","family":"Kunisch","given":"Elke","non-dropping-particle":"","parse-names":false,"suffix":""},{"dropping-particle":"","family":"Franz","given":"Juliane","non-dropping-particle":"","parse-names":false,"suffix":""},{"dropping-particle":"","family":"Martinez-gamboa","given":"Lorena","non-dropping-particle":"","parse-names":false,"suffix":""},{"dropping-particle":"","family":"Hernandez","given":"Maria M","non-dropping-particle":"","parse-names":false,"suffix":""},{"dropping-particle":"","family":"Pruss","given":"Axel","non-dropping-particle":"","parse-names":false,"suffix":""},{"dropping-particle":"","family":"Ulbrich","given":"Norbert","non-dropping-particle":"","parse-names":false,"suffix":""},{"dropping-particle":"","family":"Erdmann","given":"Volker A","non-dropping-particle":"","parse-names":false,"suffix":""},{"dropping-particle":"","family":"Burmester","given":"Gerd R","non-dropping-particle":"","parse-names":false,"suffix":""},{"dropping-particle":"","family":"Kinne","given":"Raimund W","non-dropping-particle":"","parse-names":false,"suffix":""}],"id":"ITEM-1","issue":"3","issued":{"date-parts":[["2003"]]},"page":"901-911","title":"Detection of Oncofetal H19 RNA in Rheumatoid Arthritis Synovial Tissue","type":"article-journal","volume":"163"},"uris":["http://www.mendeley.com/documents/?uuid=896cad77-8f6f-4f2b-b55a-2049d9c34617"]}],"mendeley":{"formattedCitation":"(Stuhlmu &lt;i&gt;et al.&lt;/i&gt;, 2003)","manualFormatting":" Stuhlmüller et al., (2003)","plainTextFormattedCitation":"(Stuhlmu et al., 2003)","previouslyFormattedCitation":"(Stuhlmu &lt;i&gt;et al.&lt;/i&gt;, 2003)"},"properties":{"noteIndex":0},"schema":"https://github.com/citation-style-language/schema/raw/master/csl-citation.json"}</w:instrText>
      </w:r>
      <w:r w:rsidR="006E7628" w:rsidRPr="00C673E0">
        <w:rPr>
          <w:rFonts w:ascii="Times New Roman" w:eastAsia="Times New Roman" w:hAnsi="Times New Roman"/>
          <w:b/>
          <w:bCs/>
          <w:sz w:val="20"/>
          <w:szCs w:val="20"/>
        </w:rPr>
        <w:fldChar w:fldCharType="separate"/>
      </w:r>
      <w:r w:rsidRPr="00C673E0">
        <w:rPr>
          <w:rFonts w:ascii="Times New Roman" w:eastAsia="Times New Roman" w:hAnsi="Times New Roman"/>
          <w:sz w:val="20"/>
          <w:szCs w:val="20"/>
        </w:rPr>
        <w:t>(</w:t>
      </w:r>
      <w:r w:rsidRPr="00C673E0">
        <w:rPr>
          <w:rFonts w:ascii="Times New Roman" w:eastAsia="Times New Roman" w:hAnsi="Times New Roman"/>
          <w:b/>
          <w:bCs/>
          <w:noProof/>
          <w:sz w:val="20"/>
          <w:szCs w:val="20"/>
        </w:rPr>
        <w:t xml:space="preserve">Stuhlmüller </w:t>
      </w:r>
      <w:r w:rsidRPr="00C673E0">
        <w:rPr>
          <w:rFonts w:ascii="Times New Roman" w:eastAsia="Times New Roman" w:hAnsi="Times New Roman"/>
          <w:b/>
          <w:bCs/>
          <w:i/>
          <w:noProof/>
          <w:sz w:val="20"/>
          <w:szCs w:val="20"/>
        </w:rPr>
        <w:t>et al.</w:t>
      </w:r>
      <w:r w:rsidRPr="00C673E0">
        <w:rPr>
          <w:rFonts w:ascii="Times New Roman" w:eastAsia="Times New Roman" w:hAnsi="Times New Roman"/>
          <w:b/>
          <w:bCs/>
          <w:noProof/>
          <w:sz w:val="20"/>
          <w:szCs w:val="20"/>
        </w:rPr>
        <w:t>, 2003)</w:t>
      </w:r>
      <w:r w:rsidR="006E7628" w:rsidRPr="00C673E0">
        <w:rPr>
          <w:rFonts w:ascii="Times New Roman" w:eastAsia="Times New Roman" w:hAnsi="Times New Roman"/>
          <w:b/>
          <w:bCs/>
          <w:sz w:val="20"/>
          <w:szCs w:val="20"/>
        </w:rPr>
        <w:fldChar w:fldCharType="end"/>
      </w:r>
      <w:r w:rsidRPr="00C673E0">
        <w:rPr>
          <w:rFonts w:ascii="Times New Roman" w:eastAsia="Times New Roman" w:hAnsi="Times New Roman"/>
          <w:sz w:val="20"/>
          <w:szCs w:val="20"/>
        </w:rPr>
        <w:t xml:space="preserve">. This significant increased sensitivity of H19 to starvation/cytokine regulation </w:t>
      </w:r>
      <w:r w:rsidR="002E260F" w:rsidRPr="00C673E0">
        <w:rPr>
          <w:rFonts w:ascii="Times New Roman" w:eastAsia="Times New Roman" w:hAnsi="Times New Roman"/>
          <w:sz w:val="20"/>
          <w:szCs w:val="20"/>
        </w:rPr>
        <w:t>indicates the</w:t>
      </w:r>
      <w:r w:rsidRPr="00C673E0">
        <w:rPr>
          <w:rFonts w:ascii="Times New Roman" w:eastAsia="Times New Roman" w:hAnsi="Times New Roman"/>
          <w:sz w:val="20"/>
          <w:szCs w:val="20"/>
        </w:rPr>
        <w:t xml:space="preserve"> </w:t>
      </w:r>
      <w:r w:rsidR="008E5A8E" w:rsidRPr="00C673E0">
        <w:rPr>
          <w:rFonts w:ascii="Times New Roman" w:eastAsia="Times New Roman" w:hAnsi="Times New Roman"/>
          <w:sz w:val="20"/>
          <w:szCs w:val="20"/>
        </w:rPr>
        <w:t>function</w:t>
      </w:r>
      <w:r w:rsidRPr="00C673E0">
        <w:rPr>
          <w:rFonts w:ascii="Times New Roman" w:eastAsia="Times New Roman" w:hAnsi="Times New Roman"/>
          <w:sz w:val="20"/>
          <w:szCs w:val="20"/>
        </w:rPr>
        <w:t xml:space="preserve"> of this gene in the pathogenesis of RA</w:t>
      </w:r>
      <w:r w:rsidRPr="00C673E0">
        <w:rPr>
          <w:rFonts w:ascii="Times New Roman" w:eastAsia="Times New Roman" w:hAnsi="Times New Roman"/>
          <w:b/>
          <w:bCs/>
          <w:sz w:val="20"/>
          <w:szCs w:val="20"/>
        </w:rPr>
        <w:t xml:space="preserve"> </w:t>
      </w:r>
      <w:r w:rsidRPr="00C673E0">
        <w:rPr>
          <w:rFonts w:ascii="Times New Roman" w:eastAsia="Times New Roman" w:hAnsi="Times New Roman"/>
          <w:sz w:val="20"/>
          <w:szCs w:val="20"/>
        </w:rPr>
        <w:t>which is one of autoimmune chronic inflammatory diseases like MS.</w:t>
      </w:r>
      <w:r w:rsidRPr="00C673E0">
        <w:rPr>
          <w:rFonts w:ascii="Times New Roman" w:eastAsia="Calibri" w:hAnsi="Times New Roman"/>
          <w:sz w:val="20"/>
          <w:szCs w:val="20"/>
          <w:shd w:val="clear" w:color="auto" w:fill="FFFFFF"/>
        </w:rPr>
        <w:t xml:space="preserve"> Indeed, cytokine stress, and/or oxidative stress are also reported to contribute to pathogenesis of MS</w:t>
      </w:r>
      <w:r w:rsidRPr="00C673E0">
        <w:rPr>
          <w:rFonts w:ascii="Times New Roman" w:eastAsia="Calibri" w:hAnsi="Times New Roman"/>
          <w:b/>
          <w:bCs/>
          <w:sz w:val="20"/>
          <w:szCs w:val="20"/>
          <w:shd w:val="clear" w:color="auto" w:fill="FFFFFF"/>
        </w:rPr>
        <w:t xml:space="preserve"> </w:t>
      </w:r>
      <w:r w:rsidR="006E7628" w:rsidRPr="006E7628">
        <w:rPr>
          <w:rFonts w:ascii="Times New Roman" w:eastAsia="Calibri" w:hAnsi="Times New Roman"/>
          <w:b/>
          <w:bCs/>
          <w:sz w:val="20"/>
          <w:szCs w:val="20"/>
          <w:shd w:val="clear" w:color="auto" w:fill="FFFFFF"/>
        </w:rPr>
        <w:fldChar w:fldCharType="begin" w:fldLock="1"/>
      </w:r>
      <w:r w:rsidRPr="00C673E0">
        <w:rPr>
          <w:rFonts w:ascii="Times New Roman" w:eastAsia="Calibri" w:hAnsi="Times New Roman"/>
          <w:b/>
          <w:bCs/>
          <w:sz w:val="20"/>
          <w:szCs w:val="20"/>
          <w:shd w:val="clear" w:color="auto" w:fill="FFFFFF"/>
        </w:rPr>
        <w:instrText>ADDIN CSL_CITATION {"citationItems":[{"id":"ITEM-1","itemData":{"author":[{"dropping-particle":"","family":"Adamczyk-sowa","given":"Monika","non-dropping-particle":"","parse-names":false,"suffix":""}],"id":"ITEM-1","issued":{"date-parts":[["2016"]]},"title":"New Insights into the Role of Oxidative Stress Mechanisms in the Pathophysiology and Treatment of Multiple Sclerosis","type":"article-journal","volume":"2016"},"uris":["http://www.mendeley.com/documents/?uuid=6fb41060-85e2-4538-909c-465b147e170a"]}],"mendeley":{"formattedCitation":"(Adamczyk-sowa, 2016)","plainTextFormattedCitation":"(Adamczyk-sowa, 2016)","previouslyFormattedCitation":"(Adamczyk-sowa, 2016)"},"properties":{"noteIndex":0},"schema":"https://github.com/citation-style-language/schema/raw/master/csl-citation.json"}</w:instrText>
      </w:r>
      <w:r w:rsidR="006E7628" w:rsidRPr="006E7628">
        <w:rPr>
          <w:rFonts w:ascii="Times New Roman" w:eastAsia="Calibri" w:hAnsi="Times New Roman"/>
          <w:b/>
          <w:bCs/>
          <w:sz w:val="20"/>
          <w:szCs w:val="20"/>
          <w:shd w:val="clear" w:color="auto" w:fill="FFFFFF"/>
        </w:rPr>
        <w:fldChar w:fldCharType="separate"/>
      </w:r>
      <w:r w:rsidRPr="00C673E0">
        <w:rPr>
          <w:rFonts w:ascii="Times New Roman" w:eastAsia="Calibri" w:hAnsi="Times New Roman"/>
          <w:b/>
          <w:bCs/>
          <w:noProof/>
          <w:sz w:val="20"/>
          <w:szCs w:val="20"/>
          <w:shd w:val="clear" w:color="auto" w:fill="FFFFFF"/>
        </w:rPr>
        <w:t>(</w:t>
      </w:r>
      <w:r w:rsidRPr="00C673E0">
        <w:rPr>
          <w:rFonts w:ascii="Times New Roman" w:eastAsia="Calibri" w:hAnsi="Times New Roman"/>
          <w:b/>
          <w:bCs/>
          <w:noProof/>
          <w:sz w:val="20"/>
          <w:szCs w:val="20"/>
        </w:rPr>
        <w:t>Adamczyk-sowa and Adamczyk, 2016</w:t>
      </w:r>
      <w:r w:rsidRPr="00C673E0">
        <w:rPr>
          <w:rFonts w:ascii="Times New Roman" w:eastAsia="Calibri" w:hAnsi="Times New Roman"/>
          <w:b/>
          <w:bCs/>
          <w:noProof/>
          <w:sz w:val="20"/>
          <w:szCs w:val="20"/>
          <w:shd w:val="clear" w:color="auto" w:fill="FFFFFF"/>
        </w:rPr>
        <w:t>)</w:t>
      </w:r>
      <w:r w:rsidR="006E7628" w:rsidRPr="00C673E0">
        <w:rPr>
          <w:rFonts w:ascii="Times New Roman" w:eastAsia="Calibri" w:hAnsi="Times New Roman"/>
          <w:sz w:val="20"/>
          <w:szCs w:val="20"/>
          <w:shd w:val="clear" w:color="auto" w:fill="FFFFFF"/>
        </w:rPr>
        <w:fldChar w:fldCharType="end"/>
      </w:r>
      <w:r w:rsidRPr="00C673E0">
        <w:rPr>
          <w:rFonts w:ascii="Times New Roman" w:eastAsia="Calibri" w:hAnsi="Times New Roman"/>
          <w:sz w:val="20"/>
          <w:szCs w:val="20"/>
          <w:shd w:val="clear" w:color="auto" w:fill="FFFFFF"/>
        </w:rPr>
        <w:t xml:space="preserve">. </w:t>
      </w:r>
    </w:p>
    <w:p w:rsidR="006C3B20" w:rsidRPr="00C673E0" w:rsidRDefault="006C3B20" w:rsidP="00644513">
      <w:pPr>
        <w:shd w:val="clear" w:color="auto" w:fill="FFFFFF"/>
        <w:snapToGrid w:val="0"/>
        <w:spacing w:after="0" w:line="240" w:lineRule="auto"/>
        <w:ind w:firstLine="425"/>
        <w:jc w:val="both"/>
        <w:rPr>
          <w:rFonts w:ascii="Times New Roman" w:eastAsia="Times New Roman" w:hAnsi="Times New Roman"/>
          <w:sz w:val="20"/>
          <w:szCs w:val="20"/>
        </w:rPr>
      </w:pPr>
      <w:r w:rsidRPr="00C673E0">
        <w:rPr>
          <w:rFonts w:ascii="Times New Roman" w:eastAsia="Times New Roman" w:hAnsi="Times New Roman"/>
          <w:sz w:val="20"/>
          <w:szCs w:val="20"/>
        </w:rPr>
        <w:t>Moreover</w:t>
      </w:r>
      <w:r w:rsidRPr="00C673E0">
        <w:rPr>
          <w:rFonts w:ascii="Times New Roman" w:eastAsia="Times New Roman" w:hAnsi="Times New Roman"/>
          <w:b/>
          <w:bCs/>
          <w:sz w:val="20"/>
          <w:szCs w:val="20"/>
        </w:rPr>
        <w:t xml:space="preserve">, Chen </w:t>
      </w:r>
      <w:r w:rsidRPr="00C673E0">
        <w:rPr>
          <w:rFonts w:ascii="Times New Roman" w:eastAsia="Times New Roman" w:hAnsi="Times New Roman"/>
          <w:b/>
          <w:bCs/>
          <w:i/>
          <w:iCs/>
          <w:sz w:val="20"/>
          <w:szCs w:val="20"/>
        </w:rPr>
        <w:t>et al</w:t>
      </w:r>
      <w:r w:rsidRPr="00C673E0">
        <w:rPr>
          <w:rFonts w:ascii="Times New Roman" w:eastAsia="Times New Roman" w:hAnsi="Times New Roman"/>
          <w:b/>
          <w:bCs/>
          <w:sz w:val="20"/>
          <w:szCs w:val="20"/>
        </w:rPr>
        <w:t>., (2016)</w:t>
      </w:r>
      <w:r w:rsidRPr="00C673E0">
        <w:rPr>
          <w:rFonts w:ascii="Times New Roman" w:eastAsia="Times New Roman" w:hAnsi="Times New Roman"/>
          <w:sz w:val="20"/>
          <w:szCs w:val="20"/>
        </w:rPr>
        <w:t xml:space="preserve"> performed a study in IBD, which is a group of </w:t>
      </w:r>
      <w:r w:rsidR="00165EF1" w:rsidRPr="00C673E0">
        <w:rPr>
          <w:rFonts w:ascii="Times New Roman" w:eastAsia="Times New Roman" w:hAnsi="Times New Roman"/>
          <w:sz w:val="20"/>
          <w:szCs w:val="20"/>
        </w:rPr>
        <w:t xml:space="preserve">chronic inflammatory relapsing disorders involving the gastrointestinal tract and has two main manifestations </w:t>
      </w:r>
      <w:r w:rsidRPr="00C673E0">
        <w:rPr>
          <w:rFonts w:ascii="Times New Roman" w:eastAsia="Times New Roman" w:hAnsi="Times New Roman"/>
          <w:sz w:val="20"/>
          <w:szCs w:val="20"/>
        </w:rPr>
        <w:t xml:space="preserve">(Crohn’s disease and UC). They investigated the role of H19 in UC development and showed that overexpression of H19 resulted in </w:t>
      </w:r>
      <w:r w:rsidR="006415EE" w:rsidRPr="00C673E0">
        <w:rPr>
          <w:rFonts w:ascii="Times New Roman" w:eastAsia="Times New Roman" w:hAnsi="Times New Roman"/>
          <w:sz w:val="20"/>
          <w:szCs w:val="20"/>
        </w:rPr>
        <w:t xml:space="preserve">substantially reduced </w:t>
      </w:r>
      <w:r w:rsidRPr="00C673E0">
        <w:rPr>
          <w:rFonts w:ascii="Times New Roman" w:eastAsia="Times New Roman" w:hAnsi="Times New Roman"/>
          <w:sz w:val="20"/>
          <w:szCs w:val="20"/>
        </w:rPr>
        <w:t xml:space="preserve">expression of the vitamin D receptor which plays an important role in inflammation regulation. </w:t>
      </w:r>
    </w:p>
    <w:p w:rsidR="006C3B20" w:rsidRPr="00C673E0" w:rsidRDefault="006C3B20" w:rsidP="00644513">
      <w:pPr>
        <w:snapToGrid w:val="0"/>
        <w:spacing w:after="0" w:line="240" w:lineRule="auto"/>
        <w:ind w:firstLine="425"/>
        <w:jc w:val="both"/>
        <w:rPr>
          <w:rFonts w:ascii="Times New Roman" w:eastAsia="Times New Roman" w:hAnsi="Times New Roman"/>
          <w:sz w:val="20"/>
          <w:szCs w:val="20"/>
          <w:lang w:bidi="ar-EG"/>
        </w:rPr>
      </w:pPr>
      <w:r w:rsidRPr="00C673E0">
        <w:rPr>
          <w:rFonts w:ascii="Times New Roman" w:eastAsia="Times New Roman" w:hAnsi="Times New Roman"/>
          <w:sz w:val="20"/>
          <w:szCs w:val="20"/>
          <w:lang w:bidi="ar-EG"/>
        </w:rPr>
        <w:t>In the current study, as regard to sex of patients, we detected that male patients had significant higher serum expression levels of lncRNA-H19 compared to female patients (p-value=</w:t>
      </w:r>
      <w:r w:rsidRPr="00C673E0">
        <w:rPr>
          <w:rFonts w:ascii="Times New Roman" w:eastAsia="Times New Roman" w:hAnsi="Times New Roman"/>
          <w:sz w:val="20"/>
          <w:szCs w:val="20"/>
        </w:rPr>
        <w:t xml:space="preserve"> 0.008)</w:t>
      </w:r>
      <w:r w:rsidRPr="00C673E0">
        <w:rPr>
          <w:rFonts w:ascii="Times New Roman" w:eastAsia="Times New Roman" w:hAnsi="Times New Roman"/>
          <w:sz w:val="20"/>
          <w:szCs w:val="20"/>
          <w:lang w:bidi="ar-EG"/>
        </w:rPr>
        <w:t xml:space="preserve">. This finding is consistent with finding that the expression level of a group of imprinted genes, including H19, was </w:t>
      </w:r>
      <w:r w:rsidR="006E369C" w:rsidRPr="00C673E0">
        <w:rPr>
          <w:rFonts w:ascii="Times New Roman" w:eastAsia="Times New Roman" w:hAnsi="Times New Roman"/>
          <w:sz w:val="20"/>
          <w:szCs w:val="20"/>
          <w:lang w:bidi="ar-EG"/>
        </w:rPr>
        <w:t>higher</w:t>
      </w:r>
      <w:r w:rsidRPr="00C673E0">
        <w:rPr>
          <w:rFonts w:ascii="Times New Roman" w:eastAsia="Times New Roman" w:hAnsi="Times New Roman"/>
          <w:sz w:val="20"/>
          <w:szCs w:val="20"/>
          <w:lang w:bidi="ar-EG"/>
        </w:rPr>
        <w:t xml:space="preserve"> in male mice than female mice. </w:t>
      </w:r>
      <w:r w:rsidR="005A3558" w:rsidRPr="00C673E0">
        <w:rPr>
          <w:rFonts w:ascii="Times New Roman" w:eastAsia="Times New Roman" w:hAnsi="Times New Roman"/>
          <w:sz w:val="20"/>
          <w:szCs w:val="20"/>
          <w:lang w:bidi="ar-EG"/>
        </w:rPr>
        <w:t>Before the sexual differentiation phase, this bias was not obvious. Therefore the sexual bias found in the imprinted genes was most likely due to gonadal hormones instead of sex chromosome supplements, suggesting that unknown mechanisms related to sexual differentiation could affect the transcriptional regulation of imprinted genes</w:t>
      </w:r>
      <w:r w:rsidRPr="00C673E0">
        <w:rPr>
          <w:rFonts w:ascii="Times New Roman" w:eastAsia="Times New Roman" w:hAnsi="Times New Roman"/>
          <w:b/>
          <w:bCs/>
          <w:sz w:val="20"/>
          <w:szCs w:val="20"/>
          <w:lang w:bidi="ar-EG"/>
        </w:rPr>
        <w:t xml:space="preserve"> </w:t>
      </w:r>
      <w:r w:rsidR="006E7628" w:rsidRPr="00C673E0">
        <w:rPr>
          <w:rFonts w:ascii="Times New Roman" w:eastAsia="Times New Roman" w:hAnsi="Times New Roman"/>
          <w:b/>
          <w:bCs/>
          <w:sz w:val="20"/>
          <w:szCs w:val="20"/>
          <w:lang w:bidi="ar-EG"/>
        </w:rPr>
        <w:fldChar w:fldCharType="begin" w:fldLock="1"/>
      </w:r>
      <w:r w:rsidRPr="00C673E0">
        <w:rPr>
          <w:rFonts w:ascii="Times New Roman" w:eastAsia="Times New Roman" w:hAnsi="Times New Roman"/>
          <w:b/>
          <w:bCs/>
          <w:sz w:val="20"/>
          <w:szCs w:val="20"/>
          <w:lang w:bidi="ar-EG"/>
        </w:rPr>
        <w:instrText>ADDIN CSL_CITATION {"citationItems":[{"id":"ITEM-1","itemData":{"DOI":"10.1038/jid.2014.371","ISBN":"6176321972","ISSN":"15378276","PMID":"1000000221","author":[{"dropping-particle":"","family":"Faisal","given":"Mohammed","non-dropping-particle":"","parse-names":false,"suffix":""},{"dropping-particle":"","family":"Kim","given":"Hana","non-dropping-particle":"","parse-names":false,"suffix":""},{"dropping-particle":"","family":"Kim","given":"Joomyeong","non-dropping-particle":"","parse-names":false,"suffix":""}],"container-title":"Elsevier","id":"ITEM-1","issue":"1","issued":{"date-parts":[["2014"]]},"page":"1-12","title":"</w:instrText>
      </w:r>
      <w:r w:rsidRPr="00C673E0">
        <w:rPr>
          <w:rFonts w:ascii="Times New Roman" w:eastAsia="MS Mincho" w:hAnsi="Cambria Math"/>
          <w:b/>
          <w:bCs/>
          <w:sz w:val="20"/>
          <w:szCs w:val="20"/>
          <w:lang w:bidi="ar-EG"/>
        </w:rPr>
        <w:instrText>基因的改</w:instrText>
      </w:r>
      <w:r w:rsidRPr="00C673E0">
        <w:rPr>
          <w:rFonts w:ascii="Times New Roman" w:eastAsia="PMingLiU" w:hAnsi="Cambria Math"/>
          <w:b/>
          <w:bCs/>
          <w:sz w:val="20"/>
          <w:szCs w:val="20"/>
          <w:lang w:bidi="ar-EG"/>
        </w:rPr>
        <w:instrText>变</w:instrText>
      </w:r>
      <w:r w:rsidRPr="00C673E0">
        <w:rPr>
          <w:rFonts w:ascii="Times New Roman" w:eastAsia="Times New Roman" w:hAnsi="Times New Roman"/>
          <w:b/>
          <w:bCs/>
          <w:sz w:val="20"/>
          <w:szCs w:val="20"/>
          <w:lang w:bidi="ar-EG"/>
        </w:rPr>
        <w:instrText>NIH Public Access","type":"article-journal","volume":"23"},"uris":["http://www.mendeley.com/documents/?uuid=0fb78e25-037c-43a1-8a6a-da729743293f"]}],"mendeley":{"formattedCitation":"(Faisal, Kim and Kim, 2014)","manualFormatting":"(Faisal et al., 2014)","plainTextFormattedCitation":"(Faisal, Kim and Kim, 2014)","previouslyFormattedCitation":"(Faisal, Kim and Kim, 2014)"},"properties":{"noteIndex":0},"schema":"https://github.com/citation-style-language/schema/raw/master/csl-citation.json"}</w:instrText>
      </w:r>
      <w:r w:rsidR="006E7628" w:rsidRPr="00C673E0">
        <w:rPr>
          <w:rFonts w:ascii="Times New Roman" w:eastAsia="Times New Roman" w:hAnsi="Times New Roman"/>
          <w:b/>
          <w:bCs/>
          <w:sz w:val="20"/>
          <w:szCs w:val="20"/>
          <w:lang w:bidi="ar-EG"/>
        </w:rPr>
        <w:fldChar w:fldCharType="separate"/>
      </w:r>
      <w:r w:rsidRPr="00C673E0">
        <w:rPr>
          <w:rFonts w:ascii="Times New Roman" w:eastAsia="Times New Roman" w:hAnsi="Times New Roman"/>
          <w:b/>
          <w:bCs/>
          <w:noProof/>
          <w:sz w:val="20"/>
          <w:szCs w:val="20"/>
          <w:lang w:bidi="ar-EG"/>
        </w:rPr>
        <w:t xml:space="preserve">(Faisal </w:t>
      </w:r>
      <w:r w:rsidRPr="00C673E0">
        <w:rPr>
          <w:rFonts w:ascii="Times New Roman" w:eastAsia="Times New Roman" w:hAnsi="Times New Roman"/>
          <w:b/>
          <w:bCs/>
          <w:i/>
          <w:iCs/>
          <w:noProof/>
          <w:sz w:val="20"/>
          <w:szCs w:val="20"/>
          <w:lang w:bidi="ar-EG"/>
        </w:rPr>
        <w:t>et al</w:t>
      </w:r>
      <w:r w:rsidRPr="00C673E0">
        <w:rPr>
          <w:rFonts w:ascii="Times New Roman" w:eastAsia="Times New Roman" w:hAnsi="Times New Roman"/>
          <w:b/>
          <w:bCs/>
          <w:noProof/>
          <w:sz w:val="20"/>
          <w:szCs w:val="20"/>
          <w:lang w:bidi="ar-EG"/>
        </w:rPr>
        <w:t>., 2014)</w:t>
      </w:r>
      <w:r w:rsidR="006E7628" w:rsidRPr="00C673E0">
        <w:rPr>
          <w:rFonts w:ascii="Times New Roman" w:eastAsia="Times New Roman" w:hAnsi="Times New Roman"/>
          <w:b/>
          <w:bCs/>
          <w:sz w:val="20"/>
          <w:szCs w:val="20"/>
          <w:lang w:bidi="ar-EG"/>
        </w:rPr>
        <w:fldChar w:fldCharType="end"/>
      </w:r>
      <w:r w:rsidRPr="00C673E0">
        <w:rPr>
          <w:rFonts w:ascii="Times New Roman" w:eastAsia="Times New Roman" w:hAnsi="Times New Roman"/>
          <w:sz w:val="20"/>
          <w:szCs w:val="20"/>
          <w:lang w:bidi="ar-EG"/>
        </w:rPr>
        <w:t xml:space="preserve">. As a </w:t>
      </w:r>
      <w:r w:rsidR="00013948" w:rsidRPr="00C673E0">
        <w:rPr>
          <w:rFonts w:ascii="Times New Roman" w:eastAsia="Times New Roman" w:hAnsi="Times New Roman"/>
          <w:sz w:val="20"/>
          <w:szCs w:val="20"/>
          <w:lang w:bidi="ar-EG"/>
        </w:rPr>
        <w:t>preserved lncRNA, the H19 gene sequence stays constant with few mutations in exon a</w:t>
      </w:r>
      <w:r w:rsidR="00586F4A" w:rsidRPr="00C673E0">
        <w:rPr>
          <w:rFonts w:ascii="Times New Roman" w:eastAsia="Times New Roman" w:hAnsi="Times New Roman"/>
          <w:sz w:val="20"/>
          <w:szCs w:val="20"/>
          <w:lang w:bidi="ar-EG"/>
        </w:rPr>
        <w:t xml:space="preserve">reas between multiple organisms </w:t>
      </w:r>
      <w:r w:rsidR="006E7628" w:rsidRPr="006E7628">
        <w:rPr>
          <w:rFonts w:ascii="Times New Roman" w:eastAsia="Times New Roman" w:hAnsi="Times New Roman"/>
          <w:b/>
          <w:bCs/>
          <w:sz w:val="20"/>
          <w:szCs w:val="20"/>
          <w:lang w:bidi="ar-EG"/>
        </w:rPr>
        <w:fldChar w:fldCharType="begin" w:fldLock="1"/>
      </w:r>
      <w:r w:rsidRPr="00C673E0">
        <w:rPr>
          <w:rFonts w:ascii="Times New Roman" w:eastAsia="Times New Roman" w:hAnsi="Times New Roman"/>
          <w:b/>
          <w:bCs/>
          <w:sz w:val="20"/>
          <w:szCs w:val="20"/>
          <w:lang w:bidi="ar-EG"/>
        </w:rPr>
        <w:instrText>ADDIN CSL_CITATION {"citationItems":[{"id":"ITEM-1","itemData":{"DOI":"10.1016/j.yexcr.2017.09.007","ISSN":"10902422","abstract":"The long non-coding RNAs (lncRNAs) have gained much attention due to its essential roles in molecular regulation. As one of the classic lncRNAs, H19 is strongly expressed during embryogenesis and plays a crucial biological function during development. Mesenchymal stem cells (MSCs) are an ideal cell source for tissue engineering in musculoskeletal system as they own the multi-differentiation ability towards osteogenesis, adipogenesis, tenogenesis or chondrogenesis. In recent years, many studies have been found in the field of H19 mediated cellular differentiation of MSCs. Here, we summarized the current understanding of H19 during multi-differentiation of MSCs and its application in tissue regeneration of musculoskeletal system. Particularly, its molecular regulation and biological function during the multi-differentiation were also discussed.","author":[{"dropping-particle":"","family":"Liu","given":"Yang","non-dropping-particle":"","parse-names":false,"suffix":""},{"dropping-particle":"","family":"Li","given":"Gang","non-dropping-particle":"","parse-names":false,"suffix":""},{"dropping-particle":"","family":"Zhang","given":"Jin fang","non-dropping-particle":"","parse-names":false,"suffix":""}],"container-title":"Experimental Cell Research","id":"ITEM-1","issue":"2","issued":{"date-parts":[["2017"]]},"page":"61-65","publisher":"Elsevier Inc.","title":"The role of long non-coding RNA H19 in musculoskeletal system: A new player in an old game","type":"article-journal","volume":"360"},"uris":["http://www.mendeley.com/documents/?uuid=d642be23-f2e2-461b-8eee-5a4c45c56fb7"]}],"mendeley":{"formattedCitation":"(Liu, Li and Zhang, 2017)","manualFormatting":"(Liu et al., 2017)","plainTextFormattedCitation":"(Liu, Li and Zhang, 2017)","previouslyFormattedCitation":"(Liu, Li and Zhang, 2017)"},"properties":{"noteIndex":0},"schema":"https://github.com/citation-style-language/schema/raw/master/csl-citation.json"}</w:instrText>
      </w:r>
      <w:r w:rsidR="006E7628" w:rsidRPr="006E7628">
        <w:rPr>
          <w:rFonts w:ascii="Times New Roman" w:eastAsia="Times New Roman" w:hAnsi="Times New Roman"/>
          <w:b/>
          <w:bCs/>
          <w:sz w:val="20"/>
          <w:szCs w:val="20"/>
          <w:lang w:bidi="ar-EG"/>
        </w:rPr>
        <w:fldChar w:fldCharType="separate"/>
      </w:r>
      <w:r w:rsidRPr="00C673E0">
        <w:rPr>
          <w:rFonts w:ascii="Times New Roman" w:eastAsia="Times New Roman" w:hAnsi="Times New Roman"/>
          <w:b/>
          <w:bCs/>
          <w:noProof/>
          <w:sz w:val="20"/>
          <w:szCs w:val="20"/>
          <w:lang w:bidi="ar-EG"/>
        </w:rPr>
        <w:t xml:space="preserve">(Liu </w:t>
      </w:r>
      <w:r w:rsidRPr="00C673E0">
        <w:rPr>
          <w:rFonts w:ascii="Times New Roman" w:eastAsia="Times New Roman" w:hAnsi="Times New Roman"/>
          <w:b/>
          <w:bCs/>
          <w:i/>
          <w:iCs/>
          <w:noProof/>
          <w:sz w:val="20"/>
          <w:szCs w:val="20"/>
          <w:lang w:bidi="ar-EG"/>
        </w:rPr>
        <w:t>et al</w:t>
      </w:r>
      <w:r w:rsidRPr="00C673E0">
        <w:rPr>
          <w:rFonts w:ascii="Times New Roman" w:eastAsia="Times New Roman" w:hAnsi="Times New Roman"/>
          <w:b/>
          <w:bCs/>
          <w:noProof/>
          <w:sz w:val="20"/>
          <w:szCs w:val="20"/>
          <w:lang w:bidi="ar-EG"/>
        </w:rPr>
        <w:t>., 2017)</w:t>
      </w:r>
      <w:r w:rsidR="006E7628" w:rsidRPr="00C673E0">
        <w:rPr>
          <w:rFonts w:ascii="Times New Roman" w:eastAsia="Times New Roman" w:hAnsi="Times New Roman"/>
          <w:sz w:val="20"/>
          <w:szCs w:val="20"/>
          <w:lang w:bidi="ar-EG"/>
        </w:rPr>
        <w:fldChar w:fldCharType="end"/>
      </w:r>
      <w:r w:rsidRPr="00C673E0">
        <w:rPr>
          <w:rFonts w:ascii="Times New Roman" w:eastAsia="Times New Roman" w:hAnsi="Times New Roman"/>
          <w:sz w:val="20"/>
          <w:szCs w:val="20"/>
          <w:lang w:bidi="ar-EG"/>
        </w:rPr>
        <w:t xml:space="preserve">. Based on the low number of individuals in male subgroup in the present study (12 male patients only of 74 MS patients), such data should be interpreted with caution. </w:t>
      </w:r>
    </w:p>
    <w:p w:rsidR="006C3B20" w:rsidRPr="00C673E0" w:rsidRDefault="006C3B20" w:rsidP="00644513">
      <w:pPr>
        <w:snapToGrid w:val="0"/>
        <w:spacing w:after="0" w:line="240" w:lineRule="auto"/>
        <w:ind w:firstLine="425"/>
        <w:jc w:val="both"/>
        <w:rPr>
          <w:rFonts w:ascii="Times New Roman" w:eastAsia="Times New Roman" w:hAnsi="Times New Roman"/>
          <w:sz w:val="20"/>
          <w:szCs w:val="20"/>
          <w:lang w:bidi="ar-EG"/>
        </w:rPr>
      </w:pPr>
      <w:r w:rsidRPr="00C673E0">
        <w:rPr>
          <w:rFonts w:ascii="Times New Roman" w:eastAsia="Times New Roman" w:hAnsi="Times New Roman"/>
          <w:sz w:val="20"/>
          <w:szCs w:val="20"/>
          <w:lang w:bidi="ar-EG"/>
        </w:rPr>
        <w:t xml:space="preserve">Meanwhile, in the current study, no significant difference was observed in serum expression level of </w:t>
      </w:r>
      <w:r w:rsidRPr="00C673E0">
        <w:rPr>
          <w:rFonts w:ascii="Times New Roman" w:eastAsia="Times New Roman" w:hAnsi="Times New Roman"/>
          <w:sz w:val="20"/>
          <w:szCs w:val="20"/>
          <w:lang w:bidi="ar-EG"/>
        </w:rPr>
        <w:lastRenderedPageBreak/>
        <w:t>lncRNA-H19 among MS patients</w:t>
      </w:r>
      <w:r w:rsidRPr="00C673E0">
        <w:rPr>
          <w:rFonts w:ascii="Times New Roman" w:eastAsia="Calibri" w:hAnsi="Times New Roman"/>
          <w:sz w:val="20"/>
          <w:szCs w:val="20"/>
        </w:rPr>
        <w:t xml:space="preserve"> </w:t>
      </w:r>
      <w:r w:rsidRPr="00C673E0">
        <w:rPr>
          <w:rFonts w:ascii="Times New Roman" w:eastAsia="Times New Roman" w:hAnsi="Times New Roman"/>
          <w:sz w:val="20"/>
          <w:szCs w:val="20"/>
          <w:lang w:bidi="ar-EG"/>
        </w:rPr>
        <w:t>as regard to other variables.</w:t>
      </w:r>
      <w:r w:rsidRPr="00C673E0">
        <w:rPr>
          <w:rFonts w:ascii="Times New Roman" w:eastAsia="Times New Roman" w:hAnsi="Times New Roman"/>
          <w:sz w:val="20"/>
          <w:szCs w:val="20"/>
        </w:rPr>
        <w:t xml:space="preserve"> </w:t>
      </w:r>
      <w:r w:rsidRPr="00C673E0">
        <w:rPr>
          <w:rFonts w:ascii="Times New Roman" w:eastAsia="Times New Roman" w:hAnsi="Times New Roman"/>
          <w:sz w:val="20"/>
          <w:szCs w:val="20"/>
          <w:lang w:bidi="ar-EG"/>
        </w:rPr>
        <w:t xml:space="preserve">This finding does not necessarily </w:t>
      </w:r>
      <w:r w:rsidR="00586F4A" w:rsidRPr="00C673E0">
        <w:rPr>
          <w:rFonts w:ascii="Times New Roman" w:eastAsia="Times New Roman" w:hAnsi="Times New Roman"/>
          <w:sz w:val="20"/>
          <w:szCs w:val="20"/>
          <w:lang w:bidi="ar-EG"/>
        </w:rPr>
        <w:t xml:space="preserve">preclude the involvement </w:t>
      </w:r>
      <w:r w:rsidRPr="00C673E0">
        <w:rPr>
          <w:rFonts w:ascii="Times New Roman" w:eastAsia="Times New Roman" w:hAnsi="Times New Roman"/>
          <w:sz w:val="20"/>
          <w:szCs w:val="20"/>
          <w:lang w:bidi="ar-EG"/>
        </w:rPr>
        <w:t xml:space="preserve">of H19 in </w:t>
      </w:r>
      <w:r w:rsidR="0032721F" w:rsidRPr="00C673E0">
        <w:rPr>
          <w:rFonts w:ascii="Times New Roman" w:eastAsia="Times New Roman" w:hAnsi="Times New Roman"/>
          <w:sz w:val="20"/>
          <w:szCs w:val="20"/>
          <w:lang w:bidi="ar-EG"/>
        </w:rPr>
        <w:t xml:space="preserve">the MS pathogenesis </w:t>
      </w:r>
      <w:r w:rsidRPr="00C673E0">
        <w:rPr>
          <w:rFonts w:ascii="Times New Roman" w:eastAsia="Times New Roman" w:hAnsi="Times New Roman"/>
          <w:sz w:val="20"/>
          <w:szCs w:val="20"/>
          <w:lang w:bidi="ar-EG"/>
        </w:rPr>
        <w:t>and they may be due to low number of analyzed samples.</w:t>
      </w:r>
    </w:p>
    <w:p w:rsidR="006C3B20" w:rsidRPr="00C673E0" w:rsidRDefault="006C3B20" w:rsidP="00644513">
      <w:pPr>
        <w:snapToGrid w:val="0"/>
        <w:spacing w:after="0" w:line="240" w:lineRule="auto"/>
        <w:ind w:firstLine="425"/>
        <w:jc w:val="both"/>
        <w:rPr>
          <w:rFonts w:ascii="Times New Roman" w:eastAsia="Calibri" w:hAnsi="Times New Roman"/>
          <w:sz w:val="20"/>
          <w:szCs w:val="20"/>
          <w:lang w:bidi="ar-EG"/>
        </w:rPr>
      </w:pPr>
      <w:r w:rsidRPr="00C673E0">
        <w:rPr>
          <w:rFonts w:ascii="Times New Roman" w:eastAsia="Calibri" w:hAnsi="Times New Roman"/>
          <w:sz w:val="20"/>
          <w:szCs w:val="20"/>
          <w:lang w:bidi="ar-EG"/>
        </w:rPr>
        <w:t xml:space="preserve">Regarding lincRNA-p21, our results demonstrated that </w:t>
      </w:r>
      <w:r w:rsidRPr="00C673E0">
        <w:rPr>
          <w:rFonts w:ascii="Times New Roman" w:eastAsia="Times New Roman" w:hAnsi="Times New Roman"/>
          <w:sz w:val="20"/>
          <w:szCs w:val="20"/>
          <w:lang w:bidi="ar-EG"/>
        </w:rPr>
        <w:t xml:space="preserve">its serum expression level </w:t>
      </w:r>
      <w:r w:rsidRPr="00C673E0">
        <w:rPr>
          <w:rFonts w:ascii="Times New Roman" w:eastAsia="Calibri" w:hAnsi="Times New Roman"/>
          <w:sz w:val="20"/>
          <w:szCs w:val="20"/>
          <w:lang w:bidi="ar-EG"/>
        </w:rPr>
        <w:t xml:space="preserve">was significantly down-regulated among MS patients compared to healthy controls. To our knowledge, lincRNA-p21 is of significance in regulating cellular responses to p53 that presents anti-inflammatory properties. In contrast, NF-κB is an important pro-inflammatory transcription factor, and a variety of stimulants, including cytokines, can induce its activation. Thus, lincRNA-p21 and NF-κB may be considered biologically antagonistic. Therefore, studies suggested that lincRNA-p21 may affect the inflammatory response by regulating the NF-κB signaling pathway </w:t>
      </w:r>
      <w:r w:rsidR="006E7628" w:rsidRPr="00C673E0">
        <w:rPr>
          <w:rFonts w:ascii="Times New Roman" w:eastAsia="Calibri" w:hAnsi="Times New Roman"/>
          <w:b/>
          <w:bCs/>
          <w:sz w:val="20"/>
          <w:szCs w:val="20"/>
          <w:lang w:bidi="ar-EG"/>
        </w:rPr>
        <w:fldChar w:fldCharType="begin" w:fldLock="1"/>
      </w:r>
      <w:r w:rsidRPr="00C673E0">
        <w:rPr>
          <w:rFonts w:ascii="Times New Roman" w:eastAsia="Calibri" w:hAnsi="Times New Roman"/>
          <w:b/>
          <w:bCs/>
          <w:sz w:val="20"/>
          <w:szCs w:val="20"/>
          <w:lang w:bidi="ar-EG"/>
        </w:rPr>
        <w:instrText>ADDIN CSL_CITATION {"citationItems":[{"id":"ITEM-1","itemData":{"ISSN":"1940-5901","author":[{"dropping-particle":"","family":"Cui","given":"Danyu","non-dropping-particle":"","parse-names":false,"suffix":""},{"dropping-particle":"","family":"Zhu","given":"Dingji","non-dropping-particle":"","parse-names":false,"suffix":""},{"dropping-particle":"","family":"Ren","given":"Hao","non-dropping-particle":"","parse-names":false,"suffix":""},{"dropping-particle":"","family":"Lin","given":"Jingli","non-dropping-particle":"","parse-names":false,"suffix":""},{"dropping-particle":"","family":"Yang","given":"Min","non-dropping-particle":"","parse-names":false,"suffix":""}],"container-title":"International Journal of Clinical and Experimental Medicine","id":"ITEM-1","issue":"2","issued":{"date-parts":[["2018"]]},"page":"1217-1225","title":"LincRNA-p21 inhibits inflammatory response and angiogenesis through the NF-κB signaling pathway in rats with rheumatoid arthritis","type":"article-journal","volume":"11"},"uris":["http://www.mendeley.com/documents/?uuid=51efd294-8644-4ed8-b14c-1f778f8c25c6"]}],"mendeley":{"formattedCitation":"(Cui &lt;i&gt;et al.&lt;/i&gt;, 2018)","plainTextFormattedCitation":"(Cui et al., 2018)","previouslyFormattedCitation":"(Cui &lt;i&gt;et al.&lt;/i&gt;, 2018)"},"properties":{"noteIndex":0},"schema":"https://github.com/citation-style-language/schema/raw/master/csl-citation.json"}</w:instrText>
      </w:r>
      <w:r w:rsidR="006E7628" w:rsidRPr="00C673E0">
        <w:rPr>
          <w:rFonts w:ascii="Times New Roman" w:eastAsia="Calibri" w:hAnsi="Times New Roman"/>
          <w:b/>
          <w:bCs/>
          <w:sz w:val="20"/>
          <w:szCs w:val="20"/>
          <w:lang w:bidi="ar-EG"/>
        </w:rPr>
        <w:fldChar w:fldCharType="separate"/>
      </w:r>
      <w:r w:rsidRPr="00C673E0">
        <w:rPr>
          <w:rFonts w:ascii="Times New Roman" w:eastAsia="Calibri" w:hAnsi="Times New Roman"/>
          <w:b/>
          <w:bCs/>
          <w:noProof/>
          <w:sz w:val="20"/>
          <w:szCs w:val="20"/>
          <w:lang w:bidi="ar-EG"/>
        </w:rPr>
        <w:t xml:space="preserve">(Cui </w:t>
      </w:r>
      <w:r w:rsidRPr="00C673E0">
        <w:rPr>
          <w:rFonts w:ascii="Times New Roman" w:eastAsia="Calibri" w:hAnsi="Times New Roman"/>
          <w:b/>
          <w:bCs/>
          <w:i/>
          <w:iCs/>
          <w:noProof/>
          <w:sz w:val="20"/>
          <w:szCs w:val="20"/>
          <w:lang w:bidi="ar-EG"/>
        </w:rPr>
        <w:t>et al</w:t>
      </w:r>
      <w:r w:rsidRPr="00C673E0">
        <w:rPr>
          <w:rFonts w:ascii="Times New Roman" w:eastAsia="Calibri" w:hAnsi="Times New Roman"/>
          <w:b/>
          <w:bCs/>
          <w:noProof/>
          <w:sz w:val="20"/>
          <w:szCs w:val="20"/>
          <w:lang w:bidi="ar-EG"/>
        </w:rPr>
        <w:t>., 2018)</w:t>
      </w:r>
      <w:r w:rsidR="006E7628" w:rsidRPr="00C673E0">
        <w:rPr>
          <w:rFonts w:ascii="Times New Roman" w:eastAsia="Calibri" w:hAnsi="Times New Roman"/>
          <w:b/>
          <w:bCs/>
          <w:sz w:val="20"/>
          <w:szCs w:val="20"/>
          <w:lang w:bidi="ar-EG"/>
        </w:rPr>
        <w:fldChar w:fldCharType="end"/>
      </w:r>
      <w:r w:rsidRPr="00C673E0">
        <w:rPr>
          <w:rFonts w:ascii="Times New Roman" w:eastAsia="Calibri" w:hAnsi="Times New Roman"/>
          <w:sz w:val="20"/>
          <w:szCs w:val="20"/>
          <w:lang w:bidi="ar-EG"/>
        </w:rPr>
        <w:t>.</w:t>
      </w:r>
    </w:p>
    <w:p w:rsidR="001D37E9" w:rsidRPr="00C673E0" w:rsidRDefault="006C3B20" w:rsidP="00644513">
      <w:pPr>
        <w:snapToGrid w:val="0"/>
        <w:spacing w:after="0" w:line="240" w:lineRule="auto"/>
        <w:ind w:firstLine="425"/>
        <w:jc w:val="both"/>
        <w:rPr>
          <w:rFonts w:ascii="Times New Roman" w:eastAsia="Calibri" w:hAnsi="Times New Roman"/>
          <w:sz w:val="20"/>
          <w:szCs w:val="20"/>
          <w:lang w:bidi="ar-EG"/>
        </w:rPr>
      </w:pPr>
      <w:r w:rsidRPr="00C673E0">
        <w:rPr>
          <w:rFonts w:ascii="Times New Roman" w:eastAsia="Calibri" w:hAnsi="Times New Roman"/>
          <w:sz w:val="20"/>
          <w:szCs w:val="20"/>
          <w:lang w:bidi="ar-EG"/>
        </w:rPr>
        <w:t xml:space="preserve">Consistently with our results, </w:t>
      </w:r>
      <w:r w:rsidRPr="00C673E0">
        <w:rPr>
          <w:rFonts w:ascii="Times New Roman" w:eastAsia="Calibri" w:hAnsi="Times New Roman"/>
          <w:b/>
          <w:bCs/>
          <w:sz w:val="20"/>
          <w:szCs w:val="20"/>
          <w:lang w:bidi="ar-EG"/>
        </w:rPr>
        <w:t xml:space="preserve">Spurlock </w:t>
      </w:r>
      <w:r w:rsidRPr="00C673E0">
        <w:rPr>
          <w:rFonts w:ascii="Times New Roman" w:eastAsia="Calibri" w:hAnsi="Times New Roman"/>
          <w:b/>
          <w:bCs/>
          <w:i/>
          <w:iCs/>
          <w:sz w:val="20"/>
          <w:szCs w:val="20"/>
          <w:lang w:bidi="ar-EG"/>
        </w:rPr>
        <w:t>et al</w:t>
      </w:r>
      <w:r w:rsidRPr="00C673E0">
        <w:rPr>
          <w:rFonts w:ascii="Times New Roman" w:eastAsia="Calibri" w:hAnsi="Times New Roman"/>
          <w:b/>
          <w:bCs/>
          <w:sz w:val="20"/>
          <w:szCs w:val="20"/>
          <w:lang w:bidi="ar-EG"/>
        </w:rPr>
        <w:t>., (2014</w:t>
      </w:r>
      <w:r w:rsidRPr="00C673E0">
        <w:rPr>
          <w:rFonts w:ascii="Times New Roman" w:eastAsia="Calibri" w:hAnsi="Times New Roman"/>
          <w:sz w:val="20"/>
          <w:szCs w:val="20"/>
          <w:lang w:bidi="ar-EG"/>
        </w:rPr>
        <w:t>)</w:t>
      </w:r>
      <w:r w:rsidRPr="00C673E0">
        <w:rPr>
          <w:rFonts w:ascii="Times New Roman" w:eastAsia="Calibri" w:hAnsi="Times New Roman"/>
          <w:i/>
          <w:iCs/>
          <w:sz w:val="20"/>
          <w:szCs w:val="20"/>
          <w:lang w:bidi="ar-EG"/>
        </w:rPr>
        <w:t xml:space="preserve"> </w:t>
      </w:r>
      <w:r w:rsidRPr="00C673E0">
        <w:rPr>
          <w:rFonts w:ascii="Times New Roman" w:eastAsia="Calibri" w:hAnsi="Times New Roman"/>
          <w:sz w:val="20"/>
          <w:szCs w:val="20"/>
          <w:lang w:bidi="ar-EG"/>
        </w:rPr>
        <w:t>found that subjects with RA showed decreased expression levels of lincRNA-p21 and higher basal level of phosphorylated p65 (a NF-κB subunit) when compared to control subjects. Furthermore,</w:t>
      </w:r>
      <w:r w:rsidRPr="00C673E0">
        <w:rPr>
          <w:rFonts w:ascii="Times New Roman" w:eastAsia="Times New Roman" w:hAnsi="Times New Roman"/>
          <w:sz w:val="20"/>
          <w:szCs w:val="20"/>
        </w:rPr>
        <w:t xml:space="preserve"> </w:t>
      </w:r>
      <w:r w:rsidR="002A1F83" w:rsidRPr="00C673E0">
        <w:rPr>
          <w:rFonts w:ascii="Times New Roman" w:eastAsia="Calibri" w:hAnsi="Times New Roman"/>
          <w:sz w:val="20"/>
          <w:szCs w:val="20"/>
          <w:lang w:bidi="ar-EG"/>
        </w:rPr>
        <w:t>depressed</w:t>
      </w:r>
      <w:r w:rsidR="001D37E9" w:rsidRPr="00C673E0">
        <w:rPr>
          <w:rFonts w:ascii="Times New Roman" w:eastAsia="Calibri" w:hAnsi="Times New Roman"/>
          <w:sz w:val="20"/>
          <w:szCs w:val="20"/>
          <w:lang w:bidi="ar-EG"/>
        </w:rPr>
        <w:t xml:space="preserve"> levels of TP53 and lincRNA-p21 have been found to increase NF-κB activity in</w:t>
      </w:r>
      <w:r w:rsidR="002A1F83" w:rsidRPr="00C673E0">
        <w:rPr>
          <w:rFonts w:ascii="Times New Roman" w:eastAsia="Calibri" w:hAnsi="Times New Roman"/>
          <w:sz w:val="20"/>
          <w:szCs w:val="20"/>
          <w:lang w:bidi="ar-EG"/>
        </w:rPr>
        <w:t xml:space="preserve"> cell lines. The high </w:t>
      </w:r>
      <w:r w:rsidR="001B6955" w:rsidRPr="00C673E0">
        <w:rPr>
          <w:rFonts w:ascii="Times New Roman" w:eastAsia="Calibri" w:hAnsi="Times New Roman"/>
          <w:sz w:val="20"/>
          <w:szCs w:val="20"/>
          <w:lang w:bidi="ar-EG"/>
        </w:rPr>
        <w:t>levels of lincRNA-p21 are</w:t>
      </w:r>
      <w:r w:rsidR="001D37E9" w:rsidRPr="00C673E0">
        <w:rPr>
          <w:rFonts w:ascii="Times New Roman" w:eastAsia="Calibri" w:hAnsi="Times New Roman"/>
          <w:sz w:val="20"/>
          <w:szCs w:val="20"/>
          <w:lang w:bidi="ar-EG"/>
        </w:rPr>
        <w:t xml:space="preserve"> expected to play a protective role in RA in this situation.</w:t>
      </w:r>
    </w:p>
    <w:p w:rsidR="001B6955" w:rsidRPr="00C673E0" w:rsidRDefault="006C3B20" w:rsidP="00644513">
      <w:pPr>
        <w:snapToGrid w:val="0"/>
        <w:spacing w:after="0" w:line="240" w:lineRule="auto"/>
        <w:ind w:firstLine="425"/>
        <w:jc w:val="both"/>
        <w:rPr>
          <w:rFonts w:ascii="Times New Roman" w:eastAsia="Calibri" w:hAnsi="Times New Roman"/>
          <w:sz w:val="20"/>
          <w:szCs w:val="20"/>
          <w:lang w:bidi="ar-EG"/>
        </w:rPr>
      </w:pPr>
      <w:r w:rsidRPr="00C673E0">
        <w:rPr>
          <w:rFonts w:ascii="Times New Roman" w:eastAsia="Calibri" w:hAnsi="Times New Roman"/>
          <w:sz w:val="20"/>
          <w:szCs w:val="20"/>
          <w:lang w:bidi="ar-EG"/>
        </w:rPr>
        <w:t xml:space="preserve">A possible mechanism involved in this regard pertains to a research performed by </w:t>
      </w:r>
      <w:r w:rsidRPr="00C673E0">
        <w:rPr>
          <w:rFonts w:ascii="Times New Roman" w:eastAsia="Calibri" w:hAnsi="Times New Roman"/>
          <w:b/>
          <w:bCs/>
          <w:sz w:val="20"/>
          <w:szCs w:val="20"/>
          <w:lang w:bidi="ar-EG"/>
        </w:rPr>
        <w:t>Pearson and Jones (2016)</w:t>
      </w:r>
      <w:r w:rsidRPr="00C673E0">
        <w:rPr>
          <w:rFonts w:ascii="Times New Roman" w:eastAsia="Calibri" w:hAnsi="Times New Roman"/>
          <w:sz w:val="20"/>
          <w:szCs w:val="20"/>
          <w:lang w:bidi="ar-EG"/>
        </w:rPr>
        <w:t xml:space="preserve">. They suggested that </w:t>
      </w:r>
      <w:r w:rsidR="001B6955" w:rsidRPr="00C673E0">
        <w:rPr>
          <w:rFonts w:ascii="Times New Roman" w:eastAsia="Calibri" w:hAnsi="Times New Roman"/>
          <w:sz w:val="20"/>
          <w:szCs w:val="20"/>
          <w:lang w:bidi="ar-EG"/>
        </w:rPr>
        <w:t>in RA patients treated with methotrexate, lincRNA-p21 has the potential to suppress NF-kB signaling by sequestrating RelA (the NF-kB subunit p65) in T cells.</w:t>
      </w:r>
    </w:p>
    <w:p w:rsidR="006C3B20" w:rsidRPr="00C673E0" w:rsidRDefault="006C3B20" w:rsidP="00644513">
      <w:pPr>
        <w:snapToGrid w:val="0"/>
        <w:spacing w:after="0" w:line="240" w:lineRule="auto"/>
        <w:ind w:firstLine="425"/>
        <w:jc w:val="both"/>
        <w:rPr>
          <w:rFonts w:ascii="Times New Roman" w:eastAsia="Calibri" w:hAnsi="Times New Roman"/>
          <w:sz w:val="20"/>
          <w:szCs w:val="20"/>
          <w:lang w:bidi="ar-EG"/>
        </w:rPr>
      </w:pPr>
      <w:r w:rsidRPr="00C673E0">
        <w:rPr>
          <w:rFonts w:ascii="Times New Roman" w:eastAsia="Calibri" w:hAnsi="Times New Roman"/>
          <w:sz w:val="20"/>
          <w:szCs w:val="20"/>
          <w:lang w:bidi="ar-EG"/>
        </w:rPr>
        <w:t xml:space="preserve">As </w:t>
      </w:r>
      <w:r w:rsidRPr="00C673E0">
        <w:rPr>
          <w:rFonts w:ascii="Times New Roman" w:eastAsia="Times New Roman" w:hAnsi="Times New Roman"/>
          <w:sz w:val="20"/>
          <w:szCs w:val="20"/>
        </w:rPr>
        <w:t xml:space="preserve">a transcriptional target of p53, </w:t>
      </w:r>
      <w:r w:rsidR="008F4B78" w:rsidRPr="00C673E0">
        <w:rPr>
          <w:rFonts w:ascii="Times New Roman" w:eastAsia="Calibri" w:hAnsi="Times New Roman"/>
          <w:sz w:val="20"/>
          <w:szCs w:val="20"/>
          <w:lang w:bidi="ar-EG"/>
        </w:rPr>
        <w:t>an</w:t>
      </w:r>
      <w:r w:rsidRPr="00C673E0">
        <w:rPr>
          <w:rFonts w:ascii="Times New Roman" w:eastAsia="Calibri" w:hAnsi="Times New Roman"/>
          <w:sz w:val="20"/>
          <w:szCs w:val="20"/>
          <w:lang w:bidi="ar-EG"/>
        </w:rPr>
        <w:t xml:space="preserve"> </w:t>
      </w:r>
      <w:r w:rsidR="00E32858" w:rsidRPr="00C673E0">
        <w:rPr>
          <w:rFonts w:ascii="Times New Roman" w:eastAsia="Calibri" w:hAnsi="Times New Roman"/>
          <w:sz w:val="20"/>
          <w:szCs w:val="20"/>
          <w:lang w:bidi="ar-EG"/>
        </w:rPr>
        <w:t xml:space="preserve">increasing </w:t>
      </w:r>
      <w:r w:rsidRPr="00C673E0">
        <w:rPr>
          <w:rFonts w:ascii="Times New Roman" w:eastAsia="Calibri" w:hAnsi="Times New Roman"/>
          <w:sz w:val="20"/>
          <w:szCs w:val="20"/>
          <w:lang w:bidi="ar-EG"/>
        </w:rPr>
        <w:t xml:space="preserve">body of evidence </w:t>
      </w:r>
      <w:r w:rsidR="008F4B78" w:rsidRPr="00C673E0">
        <w:rPr>
          <w:rFonts w:ascii="Times New Roman" w:eastAsia="Calibri" w:hAnsi="Times New Roman"/>
          <w:sz w:val="20"/>
          <w:szCs w:val="20"/>
          <w:lang w:bidi="ar-EG"/>
        </w:rPr>
        <w:t>indicates</w:t>
      </w:r>
      <w:r w:rsidRPr="00C673E0">
        <w:rPr>
          <w:rFonts w:ascii="Times New Roman" w:eastAsia="Calibri" w:hAnsi="Times New Roman"/>
          <w:sz w:val="20"/>
          <w:szCs w:val="20"/>
          <w:lang w:bidi="ar-EG"/>
        </w:rPr>
        <w:t xml:space="preserve"> that lincRNA-p21 is a novel regulator of</w:t>
      </w:r>
      <w:r w:rsidR="003E3F44" w:rsidRPr="00C673E0">
        <w:rPr>
          <w:rFonts w:ascii="Times New Roman" w:eastAsia="Calibri" w:hAnsi="Times New Roman"/>
          <w:sz w:val="20"/>
          <w:szCs w:val="20"/>
          <w:lang w:bidi="ar-EG"/>
        </w:rPr>
        <w:t xml:space="preserve"> </w:t>
      </w:r>
      <w:r w:rsidRPr="00C673E0">
        <w:rPr>
          <w:rFonts w:ascii="Times New Roman" w:eastAsia="Calibri" w:hAnsi="Times New Roman"/>
          <w:sz w:val="20"/>
          <w:szCs w:val="20"/>
          <w:lang w:bidi="ar-EG"/>
        </w:rPr>
        <w:t xml:space="preserve">apoptosis </w:t>
      </w:r>
      <w:r w:rsidR="006E7628" w:rsidRPr="00C673E0">
        <w:rPr>
          <w:rFonts w:ascii="Times New Roman" w:eastAsia="Calibri" w:hAnsi="Times New Roman"/>
          <w:b/>
          <w:bCs/>
          <w:sz w:val="20"/>
          <w:szCs w:val="20"/>
          <w:lang w:bidi="ar-EG"/>
        </w:rPr>
        <w:fldChar w:fldCharType="begin" w:fldLock="1"/>
      </w:r>
      <w:r w:rsidRPr="00C673E0">
        <w:rPr>
          <w:rFonts w:ascii="Times New Roman" w:eastAsia="Calibri" w:hAnsi="Times New Roman"/>
          <w:b/>
          <w:bCs/>
          <w:sz w:val="20"/>
          <w:szCs w:val="20"/>
          <w:lang w:bidi="ar-EG"/>
        </w:rPr>
        <w:instrText>ADDIN CSL_CITATION {"citationItems":[{"id":"ITEM-1","itemData":{"DOI":"10.1093/nar/gkw599","ISSN":"13624962","abstract":"LincRNA-p21 is a long intergenic non-coding RNA (lincRNA) involved in the p53-mediated stress response. We sequenced the human lincRNA-p21 (hLincRNA-p21) and found that it has a single exon that includes inverted repeat Alu elements (IRAlus). Sense and antisense Alu elements fold independently of one another into a secondary structure that is conserved in lincRNA-p21 among primates. Moreover, the structures formed by IRAlus are involved in the localization of hLincRNA-p21 in the nucleus, where hLincRNA-p21 colocalizes with paraspeckles. Our results underscore the importance of IRAlus structures for the function of hLincRNA-p21 during the stress response.","author":[{"dropping-particle":"","family":"Chillón","given":"Isabel","non-dropping-particle":"","parse-names":false,"suffix":""},{"dropping-particle":"","family":"Pyle","given":"Anna M.","non-dropping-particle":"","parse-names":false,"suffix":""}],"container-title":"Nucleic Acids Research","id":"ITEM-1","issue":"19","issued":{"date-parts":[["2016"]]},"page":"9462-9471","title":"Inverted repeat Alu elements in the human lincRNA-p21 adopt a conserved secondary structure that regulates RNA function","type":"article-journal","volume":"44"},"uris":["http://www.mendeley.com/documents/?uuid=9d66b653-ad9d-4b66-ba2d-5f39697fe745"]}],"mendeley":{"formattedCitation":"(Chillón and Pyle, 2016)","plainTextFormattedCitation":"(Chillón and Pyle, 2016)"},"properties":{"noteIndex":0},"schema":"https://github.com/citation-style-language/schema/raw/master/csl-citation.json"}</w:instrText>
      </w:r>
      <w:r w:rsidR="006E7628" w:rsidRPr="00C673E0">
        <w:rPr>
          <w:rFonts w:ascii="Times New Roman" w:eastAsia="Calibri" w:hAnsi="Times New Roman"/>
          <w:b/>
          <w:bCs/>
          <w:sz w:val="20"/>
          <w:szCs w:val="20"/>
          <w:lang w:bidi="ar-EG"/>
        </w:rPr>
        <w:fldChar w:fldCharType="separate"/>
      </w:r>
      <w:r w:rsidRPr="00C673E0">
        <w:rPr>
          <w:rFonts w:ascii="Times New Roman" w:eastAsia="Calibri" w:hAnsi="Times New Roman"/>
          <w:b/>
          <w:bCs/>
          <w:noProof/>
          <w:sz w:val="20"/>
          <w:szCs w:val="20"/>
          <w:lang w:bidi="ar-EG"/>
        </w:rPr>
        <w:t>(Chillón and Pyle, 2016)</w:t>
      </w:r>
      <w:r w:rsidR="006E7628" w:rsidRPr="00C673E0">
        <w:rPr>
          <w:rFonts w:ascii="Times New Roman" w:eastAsia="Calibri" w:hAnsi="Times New Roman"/>
          <w:b/>
          <w:bCs/>
          <w:sz w:val="20"/>
          <w:szCs w:val="20"/>
          <w:lang w:bidi="ar-EG"/>
        </w:rPr>
        <w:fldChar w:fldCharType="end"/>
      </w:r>
      <w:r w:rsidRPr="00C673E0">
        <w:rPr>
          <w:rFonts w:ascii="Times New Roman" w:eastAsia="Calibri" w:hAnsi="Times New Roman"/>
          <w:sz w:val="20"/>
          <w:szCs w:val="20"/>
          <w:lang w:bidi="ar-EG"/>
        </w:rPr>
        <w:t>. Studies demonstrated the association of deregulated apoptosis</w:t>
      </w:r>
      <w:r w:rsidRPr="00C673E0">
        <w:rPr>
          <w:rFonts w:ascii="Times New Roman" w:eastAsia="Calibri" w:hAnsi="Times New Roman"/>
          <w:sz w:val="20"/>
          <w:szCs w:val="20"/>
        </w:rPr>
        <w:t xml:space="preserve"> </w:t>
      </w:r>
      <w:r w:rsidRPr="00C673E0">
        <w:rPr>
          <w:rFonts w:ascii="Times New Roman" w:eastAsia="Calibri" w:hAnsi="Times New Roman"/>
          <w:sz w:val="20"/>
          <w:szCs w:val="20"/>
          <w:lang w:bidi="ar-EG"/>
        </w:rPr>
        <w:t xml:space="preserve">with maintenance of auto-reactive T cells in the CNS of EAE models and MS patients </w:t>
      </w:r>
      <w:r w:rsidR="006E7628" w:rsidRPr="00C673E0">
        <w:rPr>
          <w:rFonts w:ascii="Times New Roman" w:eastAsia="Calibri" w:hAnsi="Times New Roman"/>
          <w:b/>
          <w:bCs/>
          <w:sz w:val="20"/>
          <w:szCs w:val="20"/>
        </w:rPr>
        <w:fldChar w:fldCharType="begin" w:fldLock="1"/>
      </w:r>
      <w:r w:rsidRPr="00C673E0">
        <w:rPr>
          <w:rFonts w:ascii="Times New Roman" w:eastAsia="Calibri" w:hAnsi="Times New Roman"/>
          <w:b/>
          <w:bCs/>
          <w:sz w:val="20"/>
          <w:szCs w:val="20"/>
        </w:rPr>
        <w:instrText>ADDIN CSL_CITATION {"citationItems":[{"id":"ITEM-1","itemData":{"DOI":"10.1111/cei.12895","ISSN":"13652249","abstract":"</w:instrText>
      </w:r>
      <w:r w:rsidRPr="00C673E0">
        <w:rPr>
          <w:rFonts w:ascii="Times New Roman" w:eastAsia="Calibri" w:hAnsi="Cambria Math"/>
          <w:b/>
          <w:bCs/>
          <w:sz w:val="20"/>
          <w:szCs w:val="20"/>
        </w:rPr>
        <w:instrText>�</w:instrText>
      </w:r>
      <w:r w:rsidRPr="00C673E0">
        <w:rPr>
          <w:rFonts w:ascii="Times New Roman" w:eastAsia="Calibri" w:hAnsi="Times New Roman"/>
          <w:b/>
          <w:bCs/>
          <w:sz w:val="20"/>
          <w:szCs w:val="20"/>
        </w:rPr>
        <w:instrText xml:space="preserve"> 2016 British Society for Immunology Defective apoptosis might be involved in the pathogenesis of multiple sclerosis (MS). We evaluated apoptosis-related molecules in MS patients before and after autologous haematopoietic stem cell transplantation (AHSCT) using BCNU, Etoposide, AraC and Melphalan (BEAM) or cyclophosphamide (CY)-based conditioning regimens. Patients were followed for clinical and immunological parameters for 2 years after AHSCT. At baseline, MS patients had decreased proapoptotic BAD, BAX and FASL and increased A1 gene expression when compared with healthy counterparts. In the BEAM group, BAK, BIK, BIMEL, FAS, FASL, A1, BCL2, BCLXL, CFLIPL and CIAP2 genes were up-regulated after AHSCT. With the exception of BIK, BIMEL and A1, all genes reached levels similar to controls at day</w:instrText>
      </w:r>
      <w:r w:rsidRPr="00C673E0">
        <w:rPr>
          <w:rFonts w:ascii="Times New Roman" w:eastAsia="Calibri" w:hAnsi="Cambria Math"/>
          <w:b/>
          <w:bCs/>
          <w:sz w:val="20"/>
          <w:szCs w:val="20"/>
        </w:rPr>
        <w:instrText>�</w:instrText>
      </w:r>
      <w:r w:rsidRPr="00C673E0">
        <w:rPr>
          <w:rFonts w:ascii="Times New Roman" w:eastAsia="Calibri" w:hAnsi="Times New Roman"/>
          <w:b/>
          <w:bCs/>
          <w:sz w:val="20"/>
          <w:szCs w:val="20"/>
        </w:rPr>
        <w:instrText>+</w:instrText>
      </w:r>
      <w:r w:rsidRPr="00C673E0">
        <w:rPr>
          <w:rFonts w:ascii="Times New Roman" w:eastAsia="Calibri" w:hAnsi="Cambria Math"/>
          <w:b/>
          <w:bCs/>
          <w:sz w:val="20"/>
          <w:szCs w:val="20"/>
        </w:rPr>
        <w:instrText>�</w:instrText>
      </w:r>
      <w:r w:rsidRPr="00C673E0">
        <w:rPr>
          <w:rFonts w:ascii="Times New Roman" w:eastAsia="Calibri" w:hAnsi="Times New Roman"/>
          <w:b/>
          <w:bCs/>
          <w:sz w:val="20"/>
          <w:szCs w:val="20"/>
        </w:rPr>
        <w:instrText>720 post-transplantation. Furthermore, in these patients, we observed increased CD8+ Fas+ T cell frequencies after AHSCT when compared to baseline. In the CY group, we observed increased BAX, BCLW, CFLIPL and CIAP1 and decreased BIK and BID gene expressions after transplantation. At day +</w:instrText>
      </w:r>
      <w:r w:rsidRPr="00C673E0">
        <w:rPr>
          <w:rFonts w:ascii="Times New Roman" w:eastAsia="Calibri" w:hAnsi="Cambria Math"/>
          <w:b/>
          <w:bCs/>
          <w:sz w:val="20"/>
          <w:szCs w:val="20"/>
        </w:rPr>
        <w:instrText>�</w:instrText>
      </w:r>
      <w:r w:rsidRPr="00C673E0">
        <w:rPr>
          <w:rFonts w:ascii="Times New Roman" w:eastAsia="Calibri" w:hAnsi="Times New Roman"/>
          <w:b/>
          <w:bCs/>
          <w:sz w:val="20"/>
          <w:szCs w:val="20"/>
        </w:rPr>
        <w:instrText>720 post-AHSCT, the expression of BAX, FAS, FASL, BCL2, BCLXL and CIAP1 was similar to that of controls. Protein analyses showed increased Bcl-2 expression before transplantation. At 1 year post-AHSCT, expression of Bak, Bim, Bcl-2, Bcl-xL and cFlip-L was decreased when compared to baseline values. In summary, our findings suggest that normalization of apoptosis-related molecules is associated with the early therapeutic effects of AHSCT in MS patients. These mechanisms may be involved in the re-establishment of immune tolerance during the first 2 years post-transplantation.","author":[{"dropping-particle":"","family":"Oliveira","given":"G. L.V.","non-dropping-particle":"de","parse-names":false,"suffix":""},{"dropping-particle":"","family":"Ferreira","given":"A. F.","non-dropping-particle":"","parse-names":false,"suffix":""},{"dropping-particle":"","family":"Gasparotto","given":"E. P.L.","non-dropping-particle":"","parse-names":false,"suffix":""},{"dropping-particle":"","family":"Kashima","given":"S.","non-dropping-particle":"","parse-names":false,"suffix":""},{"dropping-particle":"","family":"Covas","given":"D. T.","non-dropping-particle":"","parse-names":false,"suffix":""},{"dropping-particle":"","family":"Guerreiro","given":"C. T.","non-dropping-particle":"","parse-names":false,"suffix":""},{"dropping-particle":"","family":"Brum","given":"D. G.","non-dropping-particle":"","parse-names":false,"suffix":""},{"dropping-particle":"","family":"Barreira","given":"A. A.","non-dropping-particle":"","parse-names":false,"suffix":""},{"dropping-particle":"","family":"Voltarelli","given":"J. C.","non-dropping-particle":"","parse-names":false,"suffix":""},{"dropping-particle":"","family":"Sim</w:instrText>
      </w:r>
      <w:r w:rsidRPr="00C673E0">
        <w:rPr>
          <w:rFonts w:ascii="Times New Roman" w:eastAsia="Calibri" w:hAnsi="Cambria Math"/>
          <w:b/>
          <w:bCs/>
          <w:sz w:val="20"/>
          <w:szCs w:val="20"/>
        </w:rPr>
        <w:instrText>�</w:instrText>
      </w:r>
      <w:r w:rsidRPr="00C673E0">
        <w:rPr>
          <w:rFonts w:ascii="Times New Roman" w:eastAsia="Calibri" w:hAnsi="Times New Roman"/>
          <w:b/>
          <w:bCs/>
          <w:sz w:val="20"/>
          <w:szCs w:val="20"/>
        </w:rPr>
        <w:instrText>es","given":"B. P.","non-dropping-particle":"","parse-names":false,"suffix":""},{"dropping-particle":"","family":"Oliveira","given":"M. C.","non-dropping-particle":"","parse-names":false,"suffix":""},{"dropping-particle":"","family":"Castro","given":"F. A.","non-dropping-particle":"de","parse-names":false,"suffix":""},{"dropping-particle":"","family":"Malmegrim","given":"K. C.R.","non-dropping-particle":"","parse-names":false,"suffix":""}],"container-title":"Clinical and Experimental Immunology","id":"ITEM-1","issue":"3","issued":{"date-parts":[["2017"]]},"page":"383-398","title":"Defective expression of apoptosis-related molecules in multiple sclerosis patients is normalized early after autologous haematopoietic stem cell transplantation","type":"article-journal","volume":"187"},"uris":["http://www.mendeley.com/documents/?uuid=a615cd08-6d3f-4b4f-bad8-9fe2851caf2a"]}],"mendeley":{"formattedCitation":"(de Oliveira &lt;i&gt;et al.&lt;/i&gt;, 2017)","plainTextFormattedCitation":"(de Oliveira et al., 2017)","previouslyFormattedCitation":"(de Oliveira &lt;i&gt;et al.&lt;/i&gt;, 2017)"},"properties":{"noteIndex":0},"schema":"https://github.com/citation-style-language/schema/raw/master/csl-citation.json"}</w:instrText>
      </w:r>
      <w:r w:rsidR="006E7628" w:rsidRPr="00C673E0">
        <w:rPr>
          <w:rFonts w:ascii="Times New Roman" w:eastAsia="Calibri" w:hAnsi="Times New Roman"/>
          <w:b/>
          <w:bCs/>
          <w:sz w:val="20"/>
          <w:szCs w:val="20"/>
        </w:rPr>
        <w:fldChar w:fldCharType="separate"/>
      </w:r>
      <w:r w:rsidRPr="00C673E0">
        <w:rPr>
          <w:rFonts w:ascii="Times New Roman" w:eastAsia="Calibri" w:hAnsi="Times New Roman"/>
          <w:b/>
          <w:bCs/>
          <w:noProof/>
          <w:sz w:val="20"/>
          <w:szCs w:val="20"/>
        </w:rPr>
        <w:t xml:space="preserve">(de Oliveira </w:t>
      </w:r>
      <w:r w:rsidRPr="00C673E0">
        <w:rPr>
          <w:rFonts w:ascii="Times New Roman" w:eastAsia="Calibri" w:hAnsi="Times New Roman"/>
          <w:b/>
          <w:bCs/>
          <w:i/>
          <w:noProof/>
          <w:sz w:val="20"/>
          <w:szCs w:val="20"/>
        </w:rPr>
        <w:t>et al.</w:t>
      </w:r>
      <w:r w:rsidRPr="00C673E0">
        <w:rPr>
          <w:rFonts w:ascii="Times New Roman" w:eastAsia="Calibri" w:hAnsi="Times New Roman"/>
          <w:b/>
          <w:bCs/>
          <w:noProof/>
          <w:sz w:val="20"/>
          <w:szCs w:val="20"/>
        </w:rPr>
        <w:t>, 2017)</w:t>
      </w:r>
      <w:r w:rsidR="006E7628" w:rsidRPr="00C673E0">
        <w:rPr>
          <w:rFonts w:ascii="Times New Roman" w:eastAsia="Calibri" w:hAnsi="Times New Roman"/>
          <w:b/>
          <w:bCs/>
          <w:sz w:val="20"/>
          <w:szCs w:val="20"/>
        </w:rPr>
        <w:fldChar w:fldCharType="end"/>
      </w:r>
      <w:r w:rsidRPr="00C673E0">
        <w:rPr>
          <w:rFonts w:ascii="Times New Roman" w:eastAsia="Calibri" w:hAnsi="Times New Roman"/>
          <w:sz w:val="20"/>
          <w:szCs w:val="20"/>
          <w:lang w:bidi="ar-EG"/>
        </w:rPr>
        <w:t xml:space="preserve">. The anti-inflammatory role of lincRNA-p21 through apoptosis modulation </w:t>
      </w:r>
      <w:r w:rsidRPr="00C673E0">
        <w:rPr>
          <w:rFonts w:ascii="Times New Roman" w:eastAsia="Times New Roman" w:hAnsi="Times New Roman"/>
          <w:sz w:val="20"/>
          <w:szCs w:val="20"/>
        </w:rPr>
        <w:t xml:space="preserve">was supported by </w:t>
      </w:r>
      <w:r w:rsidR="006E7628" w:rsidRPr="00C673E0">
        <w:rPr>
          <w:rFonts w:ascii="Times New Roman" w:eastAsia="Calibri" w:hAnsi="Times New Roman"/>
          <w:b/>
          <w:bCs/>
          <w:sz w:val="20"/>
          <w:szCs w:val="20"/>
          <w:lang w:bidi="ar-EG"/>
        </w:rPr>
        <w:fldChar w:fldCharType="begin" w:fldLock="1"/>
      </w:r>
      <w:r w:rsidRPr="00C673E0">
        <w:rPr>
          <w:rFonts w:ascii="Times New Roman" w:eastAsia="Calibri" w:hAnsi="Times New Roman"/>
          <w:b/>
          <w:bCs/>
          <w:sz w:val="20"/>
          <w:szCs w:val="20"/>
          <w:lang w:bidi="ar-EG"/>
        </w:rPr>
        <w:instrText>ADDIN CSL_CITATION {"citationItems":[{"id":"ITEM-1","itemData":{"DOI":"10.1161/CIRCULATIONAHA.114.011675.LincRNA-p21","author":[{"dropping-particle":"","family":"Wu","given":"Gengze","non-dropping-particle":"","parse-names":false,"suffix":""},{"dropping-particle":"","family":"Cai","given":"Jin","non-dropping-particle":"","parse-names":false,"suffix":""},{"dropping-particle":"","family":"Han","given":"Yu","non-dropping-particle":"","parse-names":false,"suffix":""},{"dropping-particle":"","family":"Chen","given":"Jinghai","non-dropping-particle":"","parse-names":false,"suffix":""},{"dropping-particle":"","family":"Huang","given":"Zhan","non-dropping-particle":"","parse-names":false,"suffix":""},{"dropping-particle":"","family":"Chen","given":"Caiyu","non-dropping-particle":"","parse-names":false,"suffix":""},{"dropping-particle":"","family":"Cai","given":"Yue","non-dropping-particle":"","parse-names":false,"suffix":""}],"id":"ITEM-1","issue":"17","issued":{"date-parts":[["2014"]]},"page":"1452-1465","title":"LincRNA-p21 Regulates Neointima Formation, Vascular Smooth Muscle Cell Proliferation, Apoptosis and Atherosclerosis by Enhancing p53 Activity","type":"article-journal","volume":"130"},"uris":["http://www.mendeley.com/documents/?uuid=79048f5f-90a0-424a-a8d1-57f0b6279f04"]}],"mendeley":{"formattedCitation":"(Wu &lt;i&gt;et al.&lt;/i&gt;, 2014)","manualFormatting":"Wu et al., (2014)","plainTextFormattedCitation":"(Wu et al., 2014)","previouslyFormattedCitation":"(Wu &lt;i&gt;et al.&lt;/i&gt;, 2014)"},"properties":{"noteIndex":0},"schema":"https://github.com/citation-style-language/schema/raw/master/csl-citation.json"}</w:instrText>
      </w:r>
      <w:r w:rsidR="006E7628" w:rsidRPr="00C673E0">
        <w:rPr>
          <w:rFonts w:ascii="Times New Roman" w:eastAsia="Calibri" w:hAnsi="Times New Roman"/>
          <w:b/>
          <w:bCs/>
          <w:sz w:val="20"/>
          <w:szCs w:val="20"/>
          <w:lang w:bidi="ar-EG"/>
        </w:rPr>
        <w:fldChar w:fldCharType="separate"/>
      </w:r>
      <w:r w:rsidRPr="00C673E0">
        <w:rPr>
          <w:rFonts w:ascii="Times New Roman" w:eastAsia="Calibri" w:hAnsi="Times New Roman"/>
          <w:b/>
          <w:bCs/>
          <w:noProof/>
          <w:sz w:val="20"/>
          <w:szCs w:val="20"/>
          <w:lang w:bidi="ar-EG"/>
        </w:rPr>
        <w:t xml:space="preserve">Wu </w:t>
      </w:r>
      <w:r w:rsidRPr="00C673E0">
        <w:rPr>
          <w:rFonts w:ascii="Times New Roman" w:eastAsia="Calibri" w:hAnsi="Times New Roman"/>
          <w:b/>
          <w:bCs/>
          <w:i/>
          <w:noProof/>
          <w:sz w:val="20"/>
          <w:szCs w:val="20"/>
          <w:lang w:bidi="ar-EG"/>
        </w:rPr>
        <w:t>et al.</w:t>
      </w:r>
      <w:r w:rsidRPr="00C673E0">
        <w:rPr>
          <w:rFonts w:ascii="Times New Roman" w:eastAsia="Calibri" w:hAnsi="Times New Roman"/>
          <w:b/>
          <w:bCs/>
          <w:noProof/>
          <w:sz w:val="20"/>
          <w:szCs w:val="20"/>
          <w:lang w:bidi="ar-EG"/>
        </w:rPr>
        <w:t>, (2014)</w:t>
      </w:r>
      <w:r w:rsidR="006E7628" w:rsidRPr="00C673E0">
        <w:rPr>
          <w:rFonts w:ascii="Times New Roman" w:eastAsia="Calibri" w:hAnsi="Times New Roman"/>
          <w:b/>
          <w:bCs/>
          <w:sz w:val="20"/>
          <w:szCs w:val="20"/>
          <w:lang w:bidi="ar-EG"/>
        </w:rPr>
        <w:fldChar w:fldCharType="end"/>
      </w:r>
      <w:r w:rsidRPr="00C673E0">
        <w:rPr>
          <w:rFonts w:ascii="Times New Roman" w:eastAsia="Calibri" w:hAnsi="Times New Roman"/>
          <w:b/>
          <w:bCs/>
          <w:sz w:val="20"/>
          <w:szCs w:val="20"/>
          <w:lang w:bidi="ar-EG"/>
        </w:rPr>
        <w:t xml:space="preserve"> </w:t>
      </w:r>
      <w:r w:rsidRPr="00C673E0">
        <w:rPr>
          <w:rFonts w:ascii="Times New Roman" w:eastAsia="Times New Roman" w:hAnsi="Times New Roman"/>
          <w:sz w:val="20"/>
          <w:szCs w:val="20"/>
        </w:rPr>
        <w:t xml:space="preserve">who described that lincRNA-p21 is in association with the regulation of atherosclerosis by modulating cell proliferation and apoptosis through activation of p53. They reported that lincRNA-p21 feeds back to </w:t>
      </w:r>
      <w:r w:rsidR="001F018A" w:rsidRPr="00C673E0">
        <w:rPr>
          <w:rFonts w:ascii="Times New Roman" w:eastAsia="Times New Roman" w:hAnsi="Times New Roman"/>
          <w:sz w:val="20"/>
          <w:szCs w:val="20"/>
        </w:rPr>
        <w:t>boost</w:t>
      </w:r>
      <w:r w:rsidRPr="00C673E0">
        <w:rPr>
          <w:rFonts w:ascii="Times New Roman" w:eastAsia="Times New Roman" w:hAnsi="Times New Roman"/>
          <w:sz w:val="20"/>
          <w:szCs w:val="20"/>
        </w:rPr>
        <w:t xml:space="preserve"> p53 transcriptional activity </w:t>
      </w:r>
      <w:r w:rsidR="002B016C" w:rsidRPr="00C673E0">
        <w:rPr>
          <w:rFonts w:ascii="Times New Roman" w:eastAsia="Times New Roman" w:hAnsi="Times New Roman"/>
          <w:sz w:val="20"/>
          <w:szCs w:val="20"/>
        </w:rPr>
        <w:t>through</w:t>
      </w:r>
      <w:r w:rsidRPr="00C673E0">
        <w:rPr>
          <w:rFonts w:ascii="Times New Roman" w:eastAsia="Times New Roman" w:hAnsi="Times New Roman"/>
          <w:sz w:val="20"/>
          <w:szCs w:val="20"/>
        </w:rPr>
        <w:t xml:space="preserve"> binding to MDM2. </w:t>
      </w:r>
      <w:r w:rsidR="00E17BA6" w:rsidRPr="00C673E0">
        <w:rPr>
          <w:rFonts w:ascii="Times New Roman" w:eastAsia="Times New Roman" w:hAnsi="Times New Roman"/>
          <w:sz w:val="20"/>
          <w:szCs w:val="20"/>
        </w:rPr>
        <w:t xml:space="preserve">MDM2 repression of p53 is released by the lincRNA-p21 and MDM2 association, allowing </w:t>
      </w:r>
      <w:r w:rsidRPr="00C673E0">
        <w:rPr>
          <w:rFonts w:ascii="Times New Roman" w:eastAsia="Times New Roman" w:hAnsi="Times New Roman"/>
          <w:sz w:val="20"/>
          <w:szCs w:val="20"/>
        </w:rPr>
        <w:t xml:space="preserve">p53 to interact with p300 and bind to the promoters/enhancers of its target genes. Thus, lincRNA-p21 may be involved in MS through many cellular processes including apoptosis. </w:t>
      </w:r>
    </w:p>
    <w:p w:rsidR="006C3B20" w:rsidRPr="00C673E0" w:rsidRDefault="006C3B20" w:rsidP="00644513">
      <w:pPr>
        <w:snapToGrid w:val="0"/>
        <w:spacing w:after="0" w:line="240" w:lineRule="auto"/>
        <w:ind w:firstLine="425"/>
        <w:jc w:val="both"/>
        <w:rPr>
          <w:rFonts w:ascii="Times New Roman" w:eastAsia="Calibri" w:hAnsi="Times New Roman"/>
          <w:sz w:val="20"/>
          <w:szCs w:val="20"/>
          <w:lang w:bidi="ar-EG"/>
        </w:rPr>
      </w:pPr>
      <w:r w:rsidRPr="00C673E0">
        <w:rPr>
          <w:rFonts w:ascii="Times New Roman" w:eastAsia="Calibri" w:hAnsi="Times New Roman"/>
          <w:sz w:val="20"/>
          <w:szCs w:val="20"/>
          <w:lang w:bidi="ar-EG"/>
        </w:rPr>
        <w:t xml:space="preserve">In the current study, there was significant higher expression levels of lincRNA-p21 among patients who received cyclophosphamide than those who received interferon (p=0.005). Cyclophosphamide is a widely </w:t>
      </w:r>
      <w:r w:rsidRPr="00C673E0">
        <w:rPr>
          <w:rFonts w:ascii="Times New Roman" w:eastAsia="Calibri" w:hAnsi="Times New Roman"/>
          <w:sz w:val="20"/>
          <w:szCs w:val="20"/>
          <w:lang w:bidi="ar-EG"/>
        </w:rPr>
        <w:lastRenderedPageBreak/>
        <w:t xml:space="preserve">used cytotoxic immunosuppressive drug in cancer chemotherapy and autoimmune diseases. Previous studies have shown abnormal expression of pro-apoptotic genes in MS patients using cyclophosphamide compared to controls </w:t>
      </w:r>
      <w:r w:rsidR="006E7628" w:rsidRPr="00C673E0">
        <w:rPr>
          <w:rFonts w:ascii="Times New Roman" w:eastAsia="Calibri" w:hAnsi="Times New Roman"/>
          <w:b/>
          <w:bCs/>
          <w:sz w:val="20"/>
          <w:szCs w:val="20"/>
          <w:lang w:bidi="ar-EG"/>
        </w:rPr>
        <w:fldChar w:fldCharType="begin" w:fldLock="1"/>
      </w:r>
      <w:r w:rsidRPr="00C673E0">
        <w:rPr>
          <w:rFonts w:ascii="Times New Roman" w:eastAsia="Calibri" w:hAnsi="Times New Roman"/>
          <w:b/>
          <w:bCs/>
          <w:sz w:val="20"/>
          <w:szCs w:val="20"/>
          <w:lang w:bidi="ar-EG"/>
        </w:rPr>
        <w:instrText>ADDIN CSL_CITATION {"citationItems":[{"id":"ITEM-1","itemData":{"DOI":"10.1111/cei.12895","ISSN":"13652249","abstract":"</w:instrText>
      </w:r>
      <w:r w:rsidRPr="00C673E0">
        <w:rPr>
          <w:rFonts w:ascii="Times New Roman" w:eastAsia="Calibri" w:hAnsi="Cambria Math"/>
          <w:b/>
          <w:bCs/>
          <w:sz w:val="20"/>
          <w:szCs w:val="20"/>
          <w:lang w:bidi="ar-EG"/>
        </w:rPr>
        <w:instrText>�</w:instrText>
      </w:r>
      <w:r w:rsidRPr="00C673E0">
        <w:rPr>
          <w:rFonts w:ascii="Times New Roman" w:eastAsia="Calibri" w:hAnsi="Times New Roman"/>
          <w:b/>
          <w:bCs/>
          <w:sz w:val="20"/>
          <w:szCs w:val="20"/>
          <w:lang w:bidi="ar-EG"/>
        </w:rPr>
        <w:instrText xml:space="preserve"> 2016 British Society for Immunology Defective apoptosis might be involved in the pathogenesis of multiple sclerosis (MS). We evaluated apoptosis-related molecules in MS patients before and after autologous haematopoietic stem cell transplantation (AHSCT) using BCNU, Etoposide, AraC and Melphalan (BEAM) or cyclophosphamide (CY)-based conditioning regimens. Patients were followed for clinical and immunological parameters for 2 years after AHSCT. At baseline, MS patients had decreased proapoptotic BAD, BAX and FASL and increased A1 gene expression when compared with healthy counterparts. In the BEAM group, BAK, BIK, BIMEL, FAS, FASL, A1, BCL2, BCLXL, CFLIPL and CIAP2 genes were up-regulated after AHSCT. With the exception of BIK, BIMEL and A1, all genes reached levels similar to controls at day</w:instrText>
      </w:r>
      <w:r w:rsidRPr="00C673E0">
        <w:rPr>
          <w:rFonts w:ascii="Times New Roman" w:eastAsia="Calibri" w:hAnsi="Cambria Math"/>
          <w:b/>
          <w:bCs/>
          <w:sz w:val="20"/>
          <w:szCs w:val="20"/>
          <w:lang w:bidi="ar-EG"/>
        </w:rPr>
        <w:instrText>�</w:instrText>
      </w:r>
      <w:r w:rsidRPr="00C673E0">
        <w:rPr>
          <w:rFonts w:ascii="Times New Roman" w:eastAsia="Calibri" w:hAnsi="Times New Roman"/>
          <w:b/>
          <w:bCs/>
          <w:sz w:val="20"/>
          <w:szCs w:val="20"/>
          <w:lang w:bidi="ar-EG"/>
        </w:rPr>
        <w:instrText>+</w:instrText>
      </w:r>
      <w:r w:rsidRPr="00C673E0">
        <w:rPr>
          <w:rFonts w:ascii="Times New Roman" w:eastAsia="Calibri" w:hAnsi="Cambria Math"/>
          <w:b/>
          <w:bCs/>
          <w:sz w:val="20"/>
          <w:szCs w:val="20"/>
          <w:lang w:bidi="ar-EG"/>
        </w:rPr>
        <w:instrText>�</w:instrText>
      </w:r>
      <w:r w:rsidRPr="00C673E0">
        <w:rPr>
          <w:rFonts w:ascii="Times New Roman" w:eastAsia="Calibri" w:hAnsi="Times New Roman"/>
          <w:b/>
          <w:bCs/>
          <w:sz w:val="20"/>
          <w:szCs w:val="20"/>
          <w:lang w:bidi="ar-EG"/>
        </w:rPr>
        <w:instrText>720 post-transplantation. Furthermore, in these patients, we observed increased CD8+ Fas+ T cell frequencies after AHSCT when compared to baseline. In the CY group, we observed increased BAX, BCLW, CFLIPL and CIAP1 and decreased BIK and BID gene expressions after transplantation. At day +</w:instrText>
      </w:r>
      <w:r w:rsidRPr="00C673E0">
        <w:rPr>
          <w:rFonts w:ascii="Times New Roman" w:eastAsia="Calibri" w:hAnsi="Cambria Math"/>
          <w:b/>
          <w:bCs/>
          <w:sz w:val="20"/>
          <w:szCs w:val="20"/>
          <w:lang w:bidi="ar-EG"/>
        </w:rPr>
        <w:instrText>�</w:instrText>
      </w:r>
      <w:r w:rsidRPr="00C673E0">
        <w:rPr>
          <w:rFonts w:ascii="Times New Roman" w:eastAsia="Calibri" w:hAnsi="Times New Roman"/>
          <w:b/>
          <w:bCs/>
          <w:sz w:val="20"/>
          <w:szCs w:val="20"/>
          <w:lang w:bidi="ar-EG"/>
        </w:rPr>
        <w:instrText>720 post-AHSCT, the expression of BAX, FAS, FASL, BCL2, BCLXL and CIAP1 was similar to that of controls. Protein analyses showed increased Bcl-2 expression before transplantation. At 1 year post-AHSCT, expression of Bak, Bim, Bcl-2, Bcl-xL and cFlip-L was decreased when compared to baseline values. In summary, our findings suggest that normalization of apoptosis-related molecules is associated with the early therapeutic effects of AHSCT in MS patients. These mechanisms may be involved in the re-establishment of immune tolerance during the first 2 years post-transplantation.","author":[{"dropping-particle":"","family":"Oliveira","given":"G. L.V.","non-dropping-particle":"de","parse-names":false,"suffix":""},{"dropping-particle":"","family":"Ferreira","given":"A. F.","non-dropping-particle":"","parse-names":false,"suffix":""},{"dropping-particle":"","family":"Gasparotto","given":"E. P.L.","non-dropping-particle":"","parse-names":false,"suffix":""},{"dropping-particle":"","family":"Kashima","given":"S.","non-dropping-particle":"","parse-names":false,"suffix":""},{"dropping-particle":"","family":"Covas","given":"D. T.","non-dropping-particle":"","parse-names":false,"suffix":""},{"dropping-particle":"","family":"Guerreiro","given":"C. T.","non-dropping-particle":"","parse-names":false,"suffix":""},{"dropping-particle":"","family":"Brum","given":"D. G.","non-dropping-particle":"","parse-names":false,"suffix":""},{"dropping-particle":"","family":"Barreira","given":"A. A.","non-dropping-particle":"","parse-names":false,"suffix":""},{"dropping-particle":"","family":"Voltarelli","given":"J. C.","non-dropping-particle":"","parse-names":false,"suffix":""},{"dropping-particle":"","family":"Sim</w:instrText>
      </w:r>
      <w:r w:rsidRPr="00C673E0">
        <w:rPr>
          <w:rFonts w:ascii="Times New Roman" w:eastAsia="Calibri" w:hAnsi="Cambria Math"/>
          <w:b/>
          <w:bCs/>
          <w:sz w:val="20"/>
          <w:szCs w:val="20"/>
          <w:lang w:bidi="ar-EG"/>
        </w:rPr>
        <w:instrText>�</w:instrText>
      </w:r>
      <w:r w:rsidRPr="00C673E0">
        <w:rPr>
          <w:rFonts w:ascii="Times New Roman" w:eastAsia="Calibri" w:hAnsi="Times New Roman"/>
          <w:b/>
          <w:bCs/>
          <w:sz w:val="20"/>
          <w:szCs w:val="20"/>
          <w:lang w:bidi="ar-EG"/>
        </w:rPr>
        <w:instrText>es","given":"B. P.","non-dropping-particle":"","parse-names":false,"suffix":""},{"dropping-particle":"","family":"Oliveira","given":"M. C.","non-dropping-particle":"","parse-names":false,"suffix":""},{"dropping-particle":"","family":"Castro","given":"F. A.","non-dropping-particle":"de","parse-names":false,"suffix":""},{"dropping-particle":"","family":"Malmegrim","given":"K. C.R.","non-dropping-particle":"","parse-names":false,"suffix":""}],"container-title":"Clinical and Experimental Immunology","id":"ITEM-1","issue":"3","issued":{"date-parts":[["2017"]]},"page":"383-398","title":"Defective expression of apoptosis-related molecules in multiple sclerosis patients is normalized early after autologous haematopoietic stem cell transplantation","type":"article-journal","volume":"187"},"uris":["http://www.mendeley.com/documents/?uuid=a615cd08-6d3f-4b4f-bad8-9fe2851caf2a"]}],"mendeley":{"formattedCitation":"(de Oliveira &lt;i&gt;et al.&lt;/i&gt;, 2017)","plainTextFormattedCitation":"(de Oliveira et al., 2017)","previouslyFormattedCitation":"(de Oliveira &lt;i&gt;et al.&lt;/i&gt;, 2017)"},"properties":{"noteIndex":0},"schema":"https://github.com/citation-style-language/schema/raw/master/csl-citation.json"}</w:instrText>
      </w:r>
      <w:r w:rsidR="006E7628" w:rsidRPr="00C673E0">
        <w:rPr>
          <w:rFonts w:ascii="Times New Roman" w:eastAsia="Calibri" w:hAnsi="Times New Roman"/>
          <w:b/>
          <w:bCs/>
          <w:sz w:val="20"/>
          <w:szCs w:val="20"/>
          <w:lang w:bidi="ar-EG"/>
        </w:rPr>
        <w:fldChar w:fldCharType="separate"/>
      </w:r>
      <w:r w:rsidRPr="00C673E0">
        <w:rPr>
          <w:rFonts w:ascii="Times New Roman" w:eastAsia="Calibri" w:hAnsi="Times New Roman"/>
          <w:b/>
          <w:bCs/>
          <w:noProof/>
          <w:sz w:val="20"/>
          <w:szCs w:val="20"/>
          <w:lang w:bidi="ar-EG"/>
        </w:rPr>
        <w:t xml:space="preserve">(de Oliveira </w:t>
      </w:r>
      <w:r w:rsidRPr="00C673E0">
        <w:rPr>
          <w:rFonts w:ascii="Times New Roman" w:eastAsia="Calibri" w:hAnsi="Times New Roman"/>
          <w:b/>
          <w:bCs/>
          <w:i/>
          <w:noProof/>
          <w:sz w:val="20"/>
          <w:szCs w:val="20"/>
          <w:lang w:bidi="ar-EG"/>
        </w:rPr>
        <w:t>et al.</w:t>
      </w:r>
      <w:r w:rsidRPr="00C673E0">
        <w:rPr>
          <w:rFonts w:ascii="Times New Roman" w:eastAsia="Calibri" w:hAnsi="Times New Roman"/>
          <w:b/>
          <w:bCs/>
          <w:noProof/>
          <w:sz w:val="20"/>
          <w:szCs w:val="20"/>
          <w:lang w:bidi="ar-EG"/>
        </w:rPr>
        <w:t>, 2017)</w:t>
      </w:r>
      <w:r w:rsidR="006E7628" w:rsidRPr="00C673E0">
        <w:rPr>
          <w:rFonts w:ascii="Times New Roman" w:eastAsia="Calibri" w:hAnsi="Times New Roman"/>
          <w:b/>
          <w:bCs/>
          <w:sz w:val="20"/>
          <w:szCs w:val="20"/>
          <w:lang w:bidi="ar-EG"/>
        </w:rPr>
        <w:fldChar w:fldCharType="end"/>
      </w:r>
      <w:r w:rsidRPr="00C673E0">
        <w:rPr>
          <w:rFonts w:ascii="Times New Roman" w:eastAsia="Calibri" w:hAnsi="Times New Roman"/>
          <w:sz w:val="20"/>
          <w:szCs w:val="20"/>
          <w:lang w:bidi="ar-EG"/>
        </w:rPr>
        <w:t xml:space="preserve">. Other studies supported that cyclophosphamide significantly increased the expression levels of pro-apoptotic genes, including p53 </w:t>
      </w:r>
      <w:r w:rsidR="006E7628" w:rsidRPr="00C673E0">
        <w:rPr>
          <w:rFonts w:ascii="Times New Roman" w:eastAsia="Calibri" w:hAnsi="Times New Roman"/>
          <w:b/>
          <w:bCs/>
          <w:sz w:val="20"/>
          <w:szCs w:val="20"/>
          <w:lang w:bidi="ar-EG"/>
        </w:rPr>
        <w:fldChar w:fldCharType="begin" w:fldLock="1"/>
      </w:r>
      <w:r w:rsidRPr="00C673E0">
        <w:rPr>
          <w:rFonts w:ascii="Times New Roman" w:eastAsia="Calibri" w:hAnsi="Times New Roman"/>
          <w:b/>
          <w:bCs/>
          <w:sz w:val="20"/>
          <w:szCs w:val="20"/>
          <w:lang w:bidi="ar-EG"/>
        </w:rPr>
        <w:instrText>ADDIN CSL_CITATION {"citationItems":[{"id":"ITEM-1","itemData":{"DOI":"10.4161/oxim.3.5.13107","author":[{"dropping-particle":"","family":"Asiri","given":"Yousif A","non-dropping-particle":"","parse-names":false,"suffix":""}],"id":"ITEM-1","issue":"5","issued":{"date-parts":[["2010"]]},"page":"308-316","title":"Probucol attenuates cyclophosphamide- induced oxidative apoptosis , p53 and Bax signal expression in rat cardiac tissues","type":"article-journal","volume":"3"},"uris":["http://www.mendeley.com/documents/?uuid=9dd0977d-7cbc-45a1-bf51-1297ab5744e9"]}],"mendeley":{"formattedCitation":"(Asiri, 2010)","plainTextFormattedCitation":"(Asiri, 2010)","previouslyFormattedCitation":"(Asiri, 2010)"},"properties":{"noteIndex":0},"schema":"https://github.com/citation-style-language/schema/raw/master/csl-citation.json"}</w:instrText>
      </w:r>
      <w:r w:rsidR="006E7628" w:rsidRPr="00C673E0">
        <w:rPr>
          <w:rFonts w:ascii="Times New Roman" w:eastAsia="Calibri" w:hAnsi="Times New Roman"/>
          <w:b/>
          <w:bCs/>
          <w:sz w:val="20"/>
          <w:szCs w:val="20"/>
          <w:lang w:bidi="ar-EG"/>
        </w:rPr>
        <w:fldChar w:fldCharType="separate"/>
      </w:r>
      <w:r w:rsidRPr="00C673E0">
        <w:rPr>
          <w:rFonts w:ascii="Times New Roman" w:eastAsia="Calibri" w:hAnsi="Times New Roman"/>
          <w:b/>
          <w:bCs/>
          <w:noProof/>
          <w:sz w:val="20"/>
          <w:szCs w:val="20"/>
          <w:lang w:bidi="ar-EG"/>
        </w:rPr>
        <w:t>(Asiri, 2010)</w:t>
      </w:r>
      <w:r w:rsidR="006E7628" w:rsidRPr="00C673E0">
        <w:rPr>
          <w:rFonts w:ascii="Times New Roman" w:eastAsia="Calibri" w:hAnsi="Times New Roman"/>
          <w:b/>
          <w:bCs/>
          <w:sz w:val="20"/>
          <w:szCs w:val="20"/>
          <w:lang w:bidi="ar-EG"/>
        </w:rPr>
        <w:fldChar w:fldCharType="end"/>
      </w:r>
      <w:r w:rsidRPr="00C673E0">
        <w:rPr>
          <w:rFonts w:ascii="Times New Roman" w:eastAsia="Calibri" w:hAnsi="Times New Roman"/>
          <w:sz w:val="20"/>
          <w:szCs w:val="20"/>
          <w:lang w:bidi="ar-EG"/>
        </w:rPr>
        <w:t>.</w:t>
      </w:r>
    </w:p>
    <w:p w:rsidR="006C3B20" w:rsidRPr="00C673E0" w:rsidRDefault="006C3B20" w:rsidP="00644513">
      <w:pPr>
        <w:snapToGrid w:val="0"/>
        <w:spacing w:after="0" w:line="240" w:lineRule="auto"/>
        <w:ind w:firstLine="425"/>
        <w:jc w:val="both"/>
        <w:rPr>
          <w:rFonts w:ascii="Times New Roman" w:eastAsia="Calibri" w:hAnsi="Times New Roman"/>
          <w:sz w:val="20"/>
          <w:szCs w:val="20"/>
          <w:lang w:bidi="ar-EG"/>
        </w:rPr>
      </w:pPr>
      <w:r w:rsidRPr="00C673E0">
        <w:rPr>
          <w:rFonts w:ascii="Times New Roman" w:eastAsia="Calibri" w:hAnsi="Times New Roman"/>
          <w:sz w:val="20"/>
          <w:szCs w:val="20"/>
          <w:lang w:bidi="ar-EG"/>
        </w:rPr>
        <w:t xml:space="preserve">Furthermore, when we classified patients according to EDSS, we found that patients with EDSS </w:t>
      </w:r>
      <w:r w:rsidRPr="00C673E0">
        <w:rPr>
          <w:rFonts w:ascii="Times New Roman" w:eastAsia="Calibri" w:hAnsi="Times New Roman"/>
          <w:b/>
          <w:bCs/>
          <w:sz w:val="20"/>
          <w:szCs w:val="20"/>
          <w:lang w:bidi="ar-EG"/>
        </w:rPr>
        <w:t xml:space="preserve">≥ </w:t>
      </w:r>
      <w:r w:rsidRPr="00C673E0">
        <w:rPr>
          <w:rFonts w:ascii="Times New Roman" w:eastAsia="Calibri" w:hAnsi="Times New Roman"/>
          <w:sz w:val="20"/>
          <w:szCs w:val="20"/>
          <w:lang w:bidi="ar-EG"/>
        </w:rPr>
        <w:t xml:space="preserve">5.5 had significant higher expression level than those with EDSS =1-3 (p=0.027). </w:t>
      </w:r>
      <w:r w:rsidRPr="00C673E0">
        <w:rPr>
          <w:rFonts w:ascii="Times New Roman" w:eastAsia="Times New Roman" w:hAnsi="Times New Roman"/>
          <w:sz w:val="20"/>
          <w:szCs w:val="20"/>
          <w:lang w:bidi="ar-EG"/>
        </w:rPr>
        <w:t xml:space="preserve">This finding may be based on the low number of individuals in (EDSS </w:t>
      </w:r>
      <w:r w:rsidRPr="00C673E0">
        <w:rPr>
          <w:rFonts w:ascii="Times New Roman" w:eastAsia="Times New Roman" w:hAnsi="Times New Roman"/>
          <w:b/>
          <w:bCs/>
          <w:sz w:val="20"/>
          <w:szCs w:val="20"/>
          <w:lang w:bidi="ar-EG"/>
        </w:rPr>
        <w:t xml:space="preserve">≥ </w:t>
      </w:r>
      <w:r w:rsidRPr="00C673E0">
        <w:rPr>
          <w:rFonts w:ascii="Times New Roman" w:eastAsia="Times New Roman" w:hAnsi="Times New Roman"/>
          <w:sz w:val="20"/>
          <w:szCs w:val="20"/>
          <w:lang w:bidi="ar-EG"/>
        </w:rPr>
        <w:t>5.5) subgroup (20 patients only of 74 patients).</w:t>
      </w:r>
      <w:r w:rsidR="003E3F44" w:rsidRPr="00C673E0">
        <w:rPr>
          <w:rFonts w:ascii="Times New Roman" w:eastAsia="Times New Roman" w:hAnsi="Times New Roman"/>
          <w:sz w:val="20"/>
          <w:szCs w:val="20"/>
          <w:lang w:bidi="ar-EG"/>
        </w:rPr>
        <w:t xml:space="preserve"> </w:t>
      </w:r>
      <w:r w:rsidRPr="00C673E0">
        <w:rPr>
          <w:rFonts w:ascii="Times New Roman" w:eastAsia="Calibri" w:hAnsi="Times New Roman"/>
          <w:sz w:val="20"/>
          <w:szCs w:val="20"/>
          <w:lang w:bidi="ar-EG"/>
        </w:rPr>
        <w:t>Meanwhile, expression levels of lincRNA-P21 were not significantly different regarding other variables, which may be due to low number of analyzed samples.</w:t>
      </w:r>
    </w:p>
    <w:p w:rsidR="006C3B20" w:rsidRPr="00C673E0" w:rsidRDefault="006C3B20" w:rsidP="00644513">
      <w:pPr>
        <w:snapToGrid w:val="0"/>
        <w:spacing w:after="0" w:line="240" w:lineRule="auto"/>
        <w:ind w:firstLine="425"/>
        <w:jc w:val="both"/>
        <w:rPr>
          <w:rFonts w:ascii="Times New Roman" w:eastAsia="Calibri" w:hAnsi="Times New Roman"/>
          <w:sz w:val="20"/>
          <w:szCs w:val="20"/>
        </w:rPr>
      </w:pPr>
      <w:r w:rsidRPr="00C673E0">
        <w:rPr>
          <w:rFonts w:ascii="Times New Roman" w:eastAsia="Calibri" w:hAnsi="Times New Roman"/>
          <w:sz w:val="20"/>
          <w:szCs w:val="20"/>
          <w:shd w:val="clear" w:color="auto" w:fill="FFFFFF"/>
        </w:rPr>
        <w:t>Taking these points together, we can assume the potential role of lncRNA-H19 and lincRNA-p21 in the genetic susceptibility to MS</w:t>
      </w:r>
      <w:r w:rsidRPr="00C673E0">
        <w:rPr>
          <w:rFonts w:ascii="Times New Roman" w:eastAsia="Calibri" w:hAnsi="Times New Roman"/>
          <w:sz w:val="20"/>
          <w:szCs w:val="20"/>
          <w:lang w:bidi="ar-EG"/>
        </w:rPr>
        <w:t>.</w:t>
      </w:r>
    </w:p>
    <w:p w:rsidR="007E0E4D" w:rsidRPr="00C673E0" w:rsidRDefault="006C3B20" w:rsidP="00644513">
      <w:pPr>
        <w:snapToGrid w:val="0"/>
        <w:spacing w:after="0" w:line="240" w:lineRule="auto"/>
        <w:ind w:firstLine="425"/>
        <w:jc w:val="both"/>
        <w:rPr>
          <w:rFonts w:ascii="Times New Roman" w:eastAsia="Times New Roman" w:hAnsi="Times New Roman"/>
          <w:b/>
          <w:bCs/>
          <w:sz w:val="20"/>
          <w:szCs w:val="20"/>
        </w:rPr>
      </w:pPr>
      <w:r w:rsidRPr="00C673E0">
        <w:rPr>
          <w:rFonts w:ascii="Times New Roman" w:eastAsia="Calibri" w:hAnsi="Times New Roman"/>
          <w:sz w:val="20"/>
          <w:szCs w:val="20"/>
        </w:rPr>
        <w:t xml:space="preserve">Limitations still exist in this </w:t>
      </w:r>
      <w:r w:rsidR="00473E02" w:rsidRPr="00C673E0">
        <w:rPr>
          <w:rFonts w:ascii="Times New Roman" w:eastAsia="Calibri" w:hAnsi="Times New Roman"/>
          <w:sz w:val="20"/>
          <w:szCs w:val="20"/>
        </w:rPr>
        <w:t>current</w:t>
      </w:r>
      <w:r w:rsidRPr="00C673E0">
        <w:rPr>
          <w:rFonts w:ascii="Times New Roman" w:eastAsia="Calibri" w:hAnsi="Times New Roman"/>
          <w:sz w:val="20"/>
          <w:szCs w:val="20"/>
        </w:rPr>
        <w:t xml:space="preserve"> study </w:t>
      </w:r>
      <w:r w:rsidR="006D36FA" w:rsidRPr="00C673E0">
        <w:rPr>
          <w:rFonts w:ascii="Times New Roman" w:eastAsia="Calibri" w:hAnsi="Times New Roman"/>
          <w:sz w:val="20"/>
          <w:szCs w:val="20"/>
        </w:rPr>
        <w:t>including</w:t>
      </w:r>
      <w:r w:rsidRPr="00C673E0">
        <w:rPr>
          <w:rFonts w:ascii="Times New Roman" w:eastAsia="Calibri" w:hAnsi="Times New Roman"/>
          <w:sz w:val="20"/>
          <w:szCs w:val="20"/>
        </w:rPr>
        <w:t xml:space="preserve"> the </w:t>
      </w:r>
      <w:r w:rsidR="006D36FA" w:rsidRPr="00C673E0">
        <w:rPr>
          <w:rFonts w:ascii="Times New Roman" w:eastAsia="Calibri" w:hAnsi="Times New Roman"/>
          <w:sz w:val="20"/>
          <w:szCs w:val="20"/>
        </w:rPr>
        <w:t>absence</w:t>
      </w:r>
      <w:r w:rsidRPr="00C673E0">
        <w:rPr>
          <w:rFonts w:ascii="Times New Roman" w:eastAsia="Calibri" w:hAnsi="Times New Roman"/>
          <w:sz w:val="20"/>
          <w:szCs w:val="20"/>
        </w:rPr>
        <w:t xml:space="preserve"> of analysis of these two lncRNAs</w:t>
      </w:r>
      <w:r w:rsidRPr="00C673E0">
        <w:rPr>
          <w:rFonts w:ascii="Times New Roman" w:eastAsia="Calibri" w:hAnsi="Times New Roman"/>
          <w:sz w:val="20"/>
          <w:szCs w:val="20"/>
          <w:vertAlign w:val="superscript"/>
        </w:rPr>
        <w:t>'</w:t>
      </w:r>
      <w:r w:rsidRPr="00C673E0">
        <w:rPr>
          <w:rFonts w:ascii="Times New Roman" w:eastAsia="Calibri" w:hAnsi="Times New Roman"/>
          <w:sz w:val="20"/>
          <w:szCs w:val="20"/>
        </w:rPr>
        <w:t xml:space="preserve"> molecular mechanisms, their targets and their related signaling pathways in chronic inflammation and autoimmune diseases. Larger sample size may be needed to explore the influence of these lncRNAs in MS pathogenesis.</w:t>
      </w:r>
    </w:p>
    <w:p w:rsidR="007E0E4D" w:rsidRPr="00C673E0" w:rsidRDefault="007E0E4D" w:rsidP="00644513">
      <w:pPr>
        <w:snapToGrid w:val="0"/>
        <w:spacing w:after="0" w:line="240" w:lineRule="auto"/>
        <w:jc w:val="both"/>
        <w:rPr>
          <w:rFonts w:ascii="Times New Roman" w:eastAsia="Times New Roman" w:hAnsi="Times New Roman"/>
          <w:b/>
          <w:bCs/>
          <w:sz w:val="20"/>
          <w:szCs w:val="20"/>
        </w:rPr>
      </w:pPr>
    </w:p>
    <w:p w:rsidR="007E0E4D" w:rsidRPr="00C673E0" w:rsidRDefault="006D0665" w:rsidP="00644513">
      <w:pPr>
        <w:snapToGrid w:val="0"/>
        <w:spacing w:after="0" w:line="240" w:lineRule="auto"/>
        <w:jc w:val="both"/>
        <w:rPr>
          <w:rFonts w:ascii="Times New Roman" w:hAnsi="Times New Roman"/>
          <w:b/>
          <w:bCs/>
          <w:noProof/>
          <w:sz w:val="20"/>
          <w:szCs w:val="20"/>
          <w:lang w:bidi="ar-EG"/>
        </w:rPr>
      </w:pPr>
      <w:r w:rsidRPr="00C673E0">
        <w:rPr>
          <w:rFonts w:ascii="Times New Roman" w:eastAsia="Times New Roman" w:hAnsi="Times New Roman"/>
          <w:b/>
          <w:bCs/>
          <w:sz w:val="20"/>
          <w:szCs w:val="20"/>
        </w:rPr>
        <w:t>References</w:t>
      </w:r>
    </w:p>
    <w:p w:rsidR="007E0E4D" w:rsidRPr="00C673E0" w:rsidRDefault="007E0E4D" w:rsidP="006D0665">
      <w:pPr>
        <w:numPr>
          <w:ilvl w:val="0"/>
          <w:numId w:val="20"/>
        </w:numPr>
        <w:snapToGrid w:val="0"/>
        <w:spacing w:after="0" w:line="240" w:lineRule="auto"/>
        <w:ind w:left="425" w:hanging="425"/>
        <w:jc w:val="both"/>
        <w:rPr>
          <w:rFonts w:ascii="Times New Roman" w:hAnsi="Times New Roman"/>
          <w:bCs/>
          <w:noProof/>
          <w:sz w:val="20"/>
          <w:szCs w:val="20"/>
          <w:lang w:bidi="ar-EG"/>
        </w:rPr>
      </w:pPr>
      <w:r w:rsidRPr="00C673E0">
        <w:rPr>
          <w:rFonts w:ascii="Times New Roman" w:hAnsi="Times New Roman"/>
          <w:bCs/>
          <w:noProof/>
          <w:sz w:val="20"/>
          <w:szCs w:val="20"/>
          <w:lang w:bidi="ar-EG"/>
        </w:rPr>
        <w:t>Adamczyk-sowa</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M</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and</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Adamczyk</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B</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(2016):</w:t>
      </w:r>
      <w:r w:rsidR="003E3F44" w:rsidRPr="00C673E0">
        <w:rPr>
          <w:rFonts w:ascii="Times New Roman" w:hAnsi="Times New Roman"/>
          <w:bCs/>
          <w:noProof/>
          <w:sz w:val="20"/>
          <w:szCs w:val="20"/>
          <w:lang w:bidi="ar-EG"/>
        </w:rPr>
        <w:t xml:space="preserve"> </w:t>
      </w:r>
      <w:r w:rsidRPr="00C673E0">
        <w:rPr>
          <w:rFonts w:ascii="Times New Roman" w:hAnsi="Times New Roman"/>
          <w:noProof/>
          <w:sz w:val="20"/>
          <w:szCs w:val="20"/>
          <w:lang w:bidi="ar-EG"/>
        </w:rPr>
        <w:t>New</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Insights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into</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the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Role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of</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Oxidative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Stress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Mechanisms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the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Pathophysiology</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and</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Treatment</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of</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Multiple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Sclerosis.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Oxidative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Medicine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and</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Cellular</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Longevity;</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2016:</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1973834.</w:t>
      </w:r>
      <w:r w:rsidR="003E3F44" w:rsidRPr="00C673E0">
        <w:rPr>
          <w:rFonts w:ascii="Times New Roman" w:hAnsi="Times New Roman"/>
          <w:noProof/>
          <w:sz w:val="20"/>
          <w:szCs w:val="20"/>
          <w:lang w:bidi="ar-EG"/>
        </w:rPr>
        <w:t xml:space="preserve"> </w:t>
      </w:r>
    </w:p>
    <w:p w:rsidR="007E0E4D" w:rsidRPr="00C673E0" w:rsidRDefault="007E0E4D" w:rsidP="006D0665">
      <w:pPr>
        <w:numPr>
          <w:ilvl w:val="0"/>
          <w:numId w:val="20"/>
        </w:numPr>
        <w:snapToGrid w:val="0"/>
        <w:spacing w:after="0" w:line="240" w:lineRule="auto"/>
        <w:ind w:left="425" w:hanging="425"/>
        <w:jc w:val="both"/>
        <w:rPr>
          <w:rFonts w:ascii="Times New Roman" w:hAnsi="Times New Roman"/>
          <w:bCs/>
          <w:noProof/>
          <w:sz w:val="20"/>
          <w:szCs w:val="20"/>
          <w:lang w:bidi="ar-EG"/>
        </w:rPr>
      </w:pPr>
      <w:r w:rsidRPr="00C673E0">
        <w:rPr>
          <w:rFonts w:ascii="Times New Roman" w:hAnsi="Times New Roman"/>
          <w:bCs/>
          <w:noProof/>
          <w:sz w:val="20"/>
          <w:szCs w:val="20"/>
          <w:lang w:bidi="ar-EG"/>
        </w:rPr>
        <w:t>Asiri</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Y</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(2010):</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Probucol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attenuates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cyclophosphamide-induced</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oxidative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apoptosis,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p53</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and</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Bax</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signal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expression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rat</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cardiac</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tissues.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Oxidative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Medicine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and</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Cellular</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Longevity;</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3(5):</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308–316.</w:t>
      </w:r>
      <w:r w:rsidR="003E3F44" w:rsidRPr="00C673E0">
        <w:rPr>
          <w:rFonts w:ascii="Times New Roman" w:hAnsi="Times New Roman"/>
          <w:noProof/>
          <w:sz w:val="20"/>
          <w:szCs w:val="20"/>
          <w:lang w:bidi="ar-EG"/>
        </w:rPr>
        <w:t xml:space="preserve"> </w:t>
      </w:r>
    </w:p>
    <w:p w:rsidR="007E0E4D" w:rsidRPr="00C673E0" w:rsidRDefault="007E0E4D" w:rsidP="006D0665">
      <w:pPr>
        <w:numPr>
          <w:ilvl w:val="0"/>
          <w:numId w:val="20"/>
        </w:numPr>
        <w:snapToGrid w:val="0"/>
        <w:spacing w:after="0" w:line="240" w:lineRule="auto"/>
        <w:ind w:left="425" w:hanging="425"/>
        <w:jc w:val="both"/>
        <w:rPr>
          <w:rFonts w:ascii="Times New Roman" w:hAnsi="Times New Roman"/>
          <w:bCs/>
          <w:noProof/>
          <w:sz w:val="20"/>
          <w:szCs w:val="20"/>
          <w:lang w:bidi="ar-EG"/>
        </w:rPr>
      </w:pPr>
      <w:r w:rsidRPr="00C673E0">
        <w:rPr>
          <w:rFonts w:ascii="Times New Roman" w:hAnsi="Times New Roman"/>
          <w:bCs/>
          <w:noProof/>
          <w:sz w:val="20"/>
          <w:szCs w:val="20"/>
          <w:lang w:bidi="ar-EG"/>
        </w:rPr>
        <w:t>Becher</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J,</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Simula</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L,</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Volpe</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E</w:t>
      </w:r>
      <w:r w:rsidR="003E3F44" w:rsidRPr="00C673E0">
        <w:rPr>
          <w:rFonts w:ascii="Times New Roman" w:hAnsi="Times New Roman"/>
          <w:bCs/>
          <w:noProof/>
          <w:sz w:val="20"/>
          <w:szCs w:val="20"/>
          <w:lang w:bidi="ar-EG"/>
        </w:rPr>
        <w:t xml:space="preserve"> </w:t>
      </w:r>
      <w:r w:rsidRPr="00C673E0">
        <w:rPr>
          <w:rFonts w:ascii="Times New Roman" w:hAnsi="Times New Roman"/>
          <w:bCs/>
          <w:i/>
          <w:iCs/>
          <w:noProof/>
          <w:sz w:val="20"/>
          <w:szCs w:val="20"/>
          <w:lang w:bidi="ar-EG"/>
        </w:rPr>
        <w:t>et</w:t>
      </w:r>
      <w:r w:rsidR="003E3F44" w:rsidRPr="00C673E0">
        <w:rPr>
          <w:rFonts w:ascii="Times New Roman" w:hAnsi="Times New Roman"/>
          <w:bCs/>
          <w:i/>
          <w:iCs/>
          <w:noProof/>
          <w:sz w:val="20"/>
          <w:szCs w:val="20"/>
          <w:lang w:bidi="ar-EG"/>
        </w:rPr>
        <w:t xml:space="preserve"> </w:t>
      </w:r>
      <w:r w:rsidRPr="00C673E0">
        <w:rPr>
          <w:rFonts w:ascii="Times New Roman" w:hAnsi="Times New Roman"/>
          <w:bCs/>
          <w:i/>
          <w:iCs/>
          <w:noProof/>
          <w:sz w:val="20"/>
          <w:szCs w:val="20"/>
          <w:lang w:bidi="ar-EG"/>
        </w:rPr>
        <w:t>al</w:t>
      </w:r>
      <w:r w:rsidRPr="00C673E0">
        <w:rPr>
          <w:rFonts w:ascii="Times New Roman" w:hAnsi="Times New Roman"/>
          <w:bCs/>
          <w:noProof/>
          <w:sz w:val="20"/>
          <w:szCs w:val="20"/>
          <w:lang w:bidi="ar-EG"/>
        </w:rPr>
        <w:t>.,</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(2018):</w:t>
      </w:r>
      <w:r w:rsidR="003E3F44" w:rsidRPr="00C673E0">
        <w:rPr>
          <w:rFonts w:ascii="Times New Roman" w:hAnsi="Times New Roman"/>
          <w:bCs/>
          <w:noProof/>
          <w:sz w:val="20"/>
          <w:szCs w:val="20"/>
          <w:lang w:bidi="ar-EG"/>
        </w:rPr>
        <w:t xml:space="preserve"> </w:t>
      </w:r>
      <w:r w:rsidRPr="00C673E0">
        <w:rPr>
          <w:rFonts w:ascii="Times New Roman" w:hAnsi="Times New Roman"/>
          <w:noProof/>
          <w:sz w:val="20"/>
          <w:szCs w:val="20"/>
          <w:lang w:bidi="ar-EG"/>
        </w:rPr>
        <w:t>AMBRA1</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controls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regulatory</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T-cell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differentiation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and</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homeostasis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upstream</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of</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the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FOXO3-FOXP3</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Axis.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Developmental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Cell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Journal;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47(5):</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592-607.</w:t>
      </w:r>
    </w:p>
    <w:p w:rsidR="007E0E4D" w:rsidRPr="00C673E0" w:rsidRDefault="007E0E4D" w:rsidP="006D0665">
      <w:pPr>
        <w:numPr>
          <w:ilvl w:val="0"/>
          <w:numId w:val="20"/>
        </w:numPr>
        <w:snapToGrid w:val="0"/>
        <w:spacing w:after="0" w:line="240" w:lineRule="auto"/>
        <w:ind w:left="425" w:hanging="425"/>
        <w:jc w:val="both"/>
        <w:rPr>
          <w:rFonts w:ascii="Times New Roman" w:hAnsi="Times New Roman"/>
          <w:bCs/>
          <w:noProof/>
          <w:sz w:val="20"/>
          <w:szCs w:val="20"/>
          <w:lang w:bidi="ar-EG"/>
        </w:rPr>
      </w:pPr>
      <w:r w:rsidRPr="00C673E0">
        <w:rPr>
          <w:rFonts w:ascii="Times New Roman" w:hAnsi="Times New Roman"/>
          <w:bCs/>
          <w:noProof/>
          <w:sz w:val="20"/>
          <w:szCs w:val="20"/>
          <w:lang w:bidi="ar-EG"/>
        </w:rPr>
        <w:t>Bhan</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A</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and</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Mandal</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S</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(2014):</w:t>
      </w:r>
      <w:r w:rsidR="003E3F44" w:rsidRPr="00C673E0">
        <w:rPr>
          <w:rFonts w:ascii="Times New Roman" w:hAnsi="Times New Roman"/>
          <w:bCs/>
          <w:noProof/>
          <w:sz w:val="20"/>
          <w:szCs w:val="20"/>
          <w:lang w:bidi="ar-EG"/>
        </w:rPr>
        <w:t xml:space="preserve"> </w:t>
      </w:r>
      <w:r w:rsidRPr="00C673E0">
        <w:rPr>
          <w:rFonts w:ascii="Times New Roman" w:hAnsi="Times New Roman"/>
          <w:noProof/>
          <w:sz w:val="20"/>
          <w:szCs w:val="20"/>
          <w:lang w:bidi="ar-EG"/>
        </w:rPr>
        <w:t>Long</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Noncoding</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RNAs :</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Emerging</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Stars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Gene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Regulation.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Epigenetics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and</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Human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Disease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Journal;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9:</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1932–1956.</w:t>
      </w:r>
      <w:r w:rsidR="003E3F44" w:rsidRPr="00C673E0">
        <w:rPr>
          <w:rFonts w:ascii="Times New Roman" w:hAnsi="Times New Roman"/>
          <w:noProof/>
          <w:sz w:val="20"/>
          <w:szCs w:val="20"/>
          <w:lang w:bidi="ar-EG"/>
        </w:rPr>
        <w:t xml:space="preserve"> </w:t>
      </w:r>
    </w:p>
    <w:p w:rsidR="007E0E4D" w:rsidRPr="00C673E0" w:rsidRDefault="007E0E4D" w:rsidP="006D0665">
      <w:pPr>
        <w:numPr>
          <w:ilvl w:val="0"/>
          <w:numId w:val="20"/>
        </w:numPr>
        <w:snapToGrid w:val="0"/>
        <w:spacing w:after="0" w:line="240" w:lineRule="auto"/>
        <w:ind w:left="425" w:hanging="425"/>
        <w:jc w:val="both"/>
        <w:rPr>
          <w:rFonts w:ascii="Times New Roman" w:hAnsi="Times New Roman"/>
          <w:bCs/>
          <w:noProof/>
          <w:sz w:val="20"/>
          <w:szCs w:val="20"/>
          <w:lang w:bidi="ar-EG"/>
        </w:rPr>
      </w:pPr>
      <w:r w:rsidRPr="00C673E0">
        <w:rPr>
          <w:rFonts w:ascii="Times New Roman" w:hAnsi="Times New Roman"/>
          <w:bCs/>
          <w:noProof/>
          <w:sz w:val="20"/>
          <w:szCs w:val="20"/>
          <w:lang w:bidi="ar-EG"/>
        </w:rPr>
        <w:t>Cao</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M,</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Zhao</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J,</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Hu</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G</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(2019):</w:t>
      </w:r>
      <w:r w:rsidR="003E3F44" w:rsidRPr="00C673E0">
        <w:rPr>
          <w:rFonts w:ascii="Times New Roman" w:hAnsi="Times New Roman"/>
          <w:bCs/>
          <w:noProof/>
          <w:sz w:val="20"/>
          <w:szCs w:val="20"/>
          <w:lang w:bidi="ar-EG"/>
        </w:rPr>
        <w:t xml:space="preserve"> </w:t>
      </w:r>
      <w:r w:rsidRPr="00C673E0">
        <w:rPr>
          <w:rFonts w:ascii="Times New Roman" w:hAnsi="Times New Roman"/>
          <w:noProof/>
          <w:sz w:val="20"/>
          <w:szCs w:val="20"/>
          <w:lang w:bidi="ar-EG"/>
        </w:rPr>
        <w:t>Genome-wide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methods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for</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investigating</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long</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noncoding</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RNAs.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Biomedicine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and</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Pharmacotherapy</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Journal;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111:</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395–401.</w:t>
      </w:r>
      <w:r w:rsidR="003E3F44" w:rsidRPr="00C673E0">
        <w:rPr>
          <w:rFonts w:ascii="Times New Roman" w:hAnsi="Times New Roman"/>
          <w:noProof/>
          <w:sz w:val="20"/>
          <w:szCs w:val="20"/>
          <w:lang w:bidi="ar-EG"/>
        </w:rPr>
        <w:t xml:space="preserve"> </w:t>
      </w:r>
    </w:p>
    <w:p w:rsidR="007E0E4D" w:rsidRPr="00C673E0" w:rsidRDefault="007E0E4D" w:rsidP="006D0665">
      <w:pPr>
        <w:numPr>
          <w:ilvl w:val="0"/>
          <w:numId w:val="20"/>
        </w:numPr>
        <w:snapToGrid w:val="0"/>
        <w:spacing w:after="0" w:line="240" w:lineRule="auto"/>
        <w:ind w:left="425" w:hanging="425"/>
        <w:jc w:val="both"/>
        <w:rPr>
          <w:rFonts w:ascii="Times New Roman" w:hAnsi="Times New Roman"/>
          <w:bCs/>
          <w:noProof/>
          <w:sz w:val="20"/>
          <w:szCs w:val="20"/>
          <w:lang w:bidi="ar-EG"/>
        </w:rPr>
      </w:pPr>
      <w:r w:rsidRPr="00C673E0">
        <w:rPr>
          <w:rFonts w:ascii="Times New Roman" w:hAnsi="Times New Roman"/>
          <w:bCs/>
          <w:noProof/>
          <w:sz w:val="20"/>
          <w:szCs w:val="20"/>
          <w:lang w:bidi="ar-EG"/>
        </w:rPr>
        <w:lastRenderedPageBreak/>
        <w:t>Chan</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YH</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(2003a):</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Biostatistics102:</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Quantitative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Data</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Parametric</w:t>
      </w:r>
      <w:r w:rsidR="003E3F44" w:rsidRPr="00C673E0">
        <w:rPr>
          <w:rFonts w:ascii="Times New Roman" w:hAnsi="Times New Roman"/>
          <w:noProof/>
          <w:sz w:val="20"/>
          <w:szCs w:val="20"/>
          <w:lang w:bidi="ar-EG"/>
        </w:rPr>
        <w:t xml:space="preserve"> &amp; </w:t>
      </w:r>
      <w:r w:rsidRPr="00C673E0">
        <w:rPr>
          <w:rFonts w:ascii="Times New Roman" w:hAnsi="Times New Roman"/>
          <w:noProof/>
          <w:sz w:val="20"/>
          <w:szCs w:val="20"/>
          <w:lang w:bidi="ar-EG"/>
        </w:rPr>
        <w:t>Non-parametric</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Tests.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Singapore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Medicine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Journal;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44(8):</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391-396.</w:t>
      </w:r>
      <w:r w:rsidR="003E3F44" w:rsidRPr="00C673E0">
        <w:rPr>
          <w:rFonts w:ascii="Times New Roman" w:hAnsi="Times New Roman"/>
          <w:noProof/>
          <w:sz w:val="20"/>
          <w:szCs w:val="20"/>
          <w:lang w:bidi="ar-EG"/>
        </w:rPr>
        <w:t xml:space="preserve"> </w:t>
      </w:r>
    </w:p>
    <w:p w:rsidR="007E0E4D" w:rsidRPr="00C673E0" w:rsidRDefault="007E0E4D" w:rsidP="006D0665">
      <w:pPr>
        <w:numPr>
          <w:ilvl w:val="0"/>
          <w:numId w:val="20"/>
        </w:numPr>
        <w:snapToGrid w:val="0"/>
        <w:spacing w:after="0" w:line="240" w:lineRule="auto"/>
        <w:ind w:left="425" w:hanging="425"/>
        <w:jc w:val="both"/>
        <w:rPr>
          <w:rFonts w:ascii="Times New Roman" w:hAnsi="Times New Roman"/>
          <w:bCs/>
          <w:noProof/>
          <w:sz w:val="20"/>
          <w:szCs w:val="20"/>
          <w:lang w:bidi="ar-EG"/>
        </w:rPr>
      </w:pPr>
      <w:r w:rsidRPr="00C673E0">
        <w:rPr>
          <w:rFonts w:ascii="Times New Roman" w:hAnsi="Times New Roman"/>
          <w:bCs/>
          <w:noProof/>
          <w:sz w:val="20"/>
          <w:szCs w:val="20"/>
          <w:lang w:bidi="ar-EG"/>
        </w:rPr>
        <w:t>Chan</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YH</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(2003b):</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Biostatistics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103:</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Qualitative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Data</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–Tests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of</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Independence.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Singapore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Medicine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Journal;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44(10):</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498-503.</w:t>
      </w:r>
    </w:p>
    <w:p w:rsidR="007E0E4D" w:rsidRPr="00C673E0" w:rsidRDefault="007E0E4D" w:rsidP="006D0665">
      <w:pPr>
        <w:numPr>
          <w:ilvl w:val="0"/>
          <w:numId w:val="20"/>
        </w:numPr>
        <w:snapToGrid w:val="0"/>
        <w:spacing w:after="0" w:line="240" w:lineRule="auto"/>
        <w:ind w:left="425" w:hanging="425"/>
        <w:jc w:val="both"/>
        <w:rPr>
          <w:rFonts w:ascii="Times New Roman" w:hAnsi="Times New Roman"/>
          <w:bCs/>
          <w:noProof/>
          <w:sz w:val="20"/>
          <w:szCs w:val="20"/>
          <w:lang w:bidi="ar-EG"/>
        </w:rPr>
      </w:pPr>
      <w:r w:rsidRPr="00C673E0">
        <w:rPr>
          <w:rFonts w:ascii="Times New Roman" w:hAnsi="Times New Roman"/>
          <w:bCs/>
          <w:noProof/>
          <w:sz w:val="20"/>
          <w:szCs w:val="20"/>
          <w:lang w:bidi="ar-EG"/>
        </w:rPr>
        <w:t>Chan</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YH</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(2003c):</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Biostatistics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104:</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Correlational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Analysis.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Singapore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Medicine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Journal;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44(12)</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614-619.</w:t>
      </w:r>
    </w:p>
    <w:p w:rsidR="007E0E4D" w:rsidRPr="00C673E0" w:rsidRDefault="007E0E4D" w:rsidP="006D0665">
      <w:pPr>
        <w:numPr>
          <w:ilvl w:val="0"/>
          <w:numId w:val="20"/>
        </w:numPr>
        <w:snapToGrid w:val="0"/>
        <w:spacing w:after="0" w:line="240" w:lineRule="auto"/>
        <w:ind w:left="425" w:hanging="425"/>
        <w:jc w:val="both"/>
        <w:rPr>
          <w:rFonts w:ascii="Times New Roman" w:hAnsi="Times New Roman"/>
          <w:bCs/>
          <w:noProof/>
          <w:sz w:val="20"/>
          <w:szCs w:val="20"/>
          <w:lang w:bidi="ar-EG"/>
        </w:rPr>
      </w:pPr>
      <w:r w:rsidRPr="00C673E0">
        <w:rPr>
          <w:rFonts w:ascii="Times New Roman" w:hAnsi="Times New Roman"/>
          <w:bCs/>
          <w:noProof/>
          <w:sz w:val="20"/>
          <w:szCs w:val="20"/>
          <w:lang w:bidi="ar-EG"/>
        </w:rPr>
        <w:t>Chen</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S,</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Wang</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P,</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Liu</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Y</w:t>
      </w:r>
      <w:r w:rsidR="003E3F44" w:rsidRPr="00C673E0">
        <w:rPr>
          <w:rFonts w:ascii="Times New Roman" w:hAnsi="Times New Roman"/>
          <w:bCs/>
          <w:noProof/>
          <w:sz w:val="20"/>
          <w:szCs w:val="20"/>
          <w:lang w:bidi="ar-EG"/>
        </w:rPr>
        <w:t xml:space="preserve"> </w:t>
      </w:r>
      <w:r w:rsidRPr="00C673E0">
        <w:rPr>
          <w:rFonts w:ascii="Times New Roman" w:hAnsi="Times New Roman"/>
          <w:bCs/>
          <w:i/>
          <w:iCs/>
          <w:noProof/>
          <w:sz w:val="20"/>
          <w:szCs w:val="20"/>
          <w:lang w:bidi="ar-EG"/>
        </w:rPr>
        <w:t>et</w:t>
      </w:r>
      <w:r w:rsidR="003E3F44" w:rsidRPr="00C673E0">
        <w:rPr>
          <w:rFonts w:ascii="Times New Roman" w:hAnsi="Times New Roman"/>
          <w:bCs/>
          <w:i/>
          <w:iCs/>
          <w:noProof/>
          <w:sz w:val="20"/>
          <w:szCs w:val="20"/>
          <w:lang w:bidi="ar-EG"/>
        </w:rPr>
        <w:t xml:space="preserve"> </w:t>
      </w:r>
      <w:r w:rsidRPr="00C673E0">
        <w:rPr>
          <w:rFonts w:ascii="Times New Roman" w:hAnsi="Times New Roman"/>
          <w:bCs/>
          <w:i/>
          <w:iCs/>
          <w:noProof/>
          <w:sz w:val="20"/>
          <w:szCs w:val="20"/>
          <w:lang w:bidi="ar-EG"/>
        </w:rPr>
        <w:t>al</w:t>
      </w:r>
      <w:r w:rsidRPr="00C673E0">
        <w:rPr>
          <w:rFonts w:ascii="Times New Roman" w:hAnsi="Times New Roman"/>
          <w:bCs/>
          <w:noProof/>
          <w:sz w:val="20"/>
          <w:szCs w:val="20"/>
          <w:lang w:bidi="ar-EG"/>
        </w:rPr>
        <w:t>.,</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(2016):</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Effect</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of</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long</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noncoding</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RNA</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H19</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overexpression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on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intestinal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barrier</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function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and</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its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potential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role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the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pathogenesis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of</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ulcerative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colitis.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Inflammatory</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Bowel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Diseases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Journal;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22</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(11):</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2582–2592.</w:t>
      </w:r>
    </w:p>
    <w:p w:rsidR="007E0E4D" w:rsidRPr="00C673E0" w:rsidRDefault="007E0E4D" w:rsidP="006D0665">
      <w:pPr>
        <w:numPr>
          <w:ilvl w:val="0"/>
          <w:numId w:val="20"/>
        </w:numPr>
        <w:snapToGrid w:val="0"/>
        <w:spacing w:after="0" w:line="240" w:lineRule="auto"/>
        <w:ind w:left="425" w:hanging="425"/>
        <w:jc w:val="both"/>
        <w:rPr>
          <w:rFonts w:ascii="Times New Roman" w:hAnsi="Times New Roman"/>
          <w:bCs/>
          <w:noProof/>
          <w:sz w:val="20"/>
          <w:szCs w:val="20"/>
          <w:lang w:bidi="ar-EG"/>
        </w:rPr>
      </w:pPr>
      <w:r w:rsidRPr="00C673E0">
        <w:rPr>
          <w:rFonts w:ascii="Times New Roman" w:hAnsi="Times New Roman"/>
          <w:bCs/>
          <w:noProof/>
          <w:sz w:val="20"/>
          <w:szCs w:val="20"/>
          <w:lang w:bidi="ar-EG"/>
        </w:rPr>
        <w:t>Chesik</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D,</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Wilczak</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N,</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De</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Keyser</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J</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(2007):</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The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insulin-like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growth</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factor</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system</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multiple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sclerosis.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International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Review</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of</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Neurobiology;</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79:</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203–226.</w:t>
      </w:r>
    </w:p>
    <w:p w:rsidR="007E0E4D" w:rsidRPr="00C673E0" w:rsidRDefault="007E0E4D" w:rsidP="006D0665">
      <w:pPr>
        <w:numPr>
          <w:ilvl w:val="0"/>
          <w:numId w:val="20"/>
        </w:numPr>
        <w:snapToGrid w:val="0"/>
        <w:spacing w:after="0" w:line="240" w:lineRule="auto"/>
        <w:ind w:left="425" w:hanging="425"/>
        <w:jc w:val="both"/>
        <w:rPr>
          <w:rFonts w:ascii="Times New Roman" w:hAnsi="Times New Roman"/>
          <w:bCs/>
          <w:noProof/>
          <w:sz w:val="20"/>
          <w:szCs w:val="20"/>
          <w:lang w:bidi="ar-EG"/>
        </w:rPr>
      </w:pPr>
      <w:r w:rsidRPr="00C673E0">
        <w:rPr>
          <w:rFonts w:ascii="Times New Roman" w:hAnsi="Times New Roman"/>
          <w:bCs/>
          <w:noProof/>
          <w:sz w:val="20"/>
          <w:szCs w:val="20"/>
          <w:lang w:bidi="ar-EG"/>
        </w:rPr>
        <w:t>Chillón</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I</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and</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Pyle</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A</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(2016):</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Inverted</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repeat</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Alu</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elements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the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human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lincRNA-p21</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adopt</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conserved</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secondary</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structure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that</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regulates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RNA</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function.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Nucleic</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Acids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Research</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Journal;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44(19):</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9462–9471.</w:t>
      </w:r>
      <w:r w:rsidR="003E3F44" w:rsidRPr="00C673E0">
        <w:rPr>
          <w:rFonts w:ascii="Times New Roman" w:hAnsi="Times New Roman"/>
          <w:noProof/>
          <w:sz w:val="20"/>
          <w:szCs w:val="20"/>
          <w:lang w:bidi="ar-EG"/>
        </w:rPr>
        <w:t xml:space="preserve"> </w:t>
      </w:r>
    </w:p>
    <w:p w:rsidR="007E0E4D" w:rsidRPr="00C673E0" w:rsidRDefault="007E0E4D" w:rsidP="006D0665">
      <w:pPr>
        <w:numPr>
          <w:ilvl w:val="0"/>
          <w:numId w:val="20"/>
        </w:numPr>
        <w:snapToGrid w:val="0"/>
        <w:spacing w:after="0" w:line="240" w:lineRule="auto"/>
        <w:ind w:left="425" w:hanging="425"/>
        <w:jc w:val="both"/>
        <w:rPr>
          <w:rFonts w:ascii="Times New Roman" w:hAnsi="Times New Roman"/>
          <w:bCs/>
          <w:noProof/>
          <w:sz w:val="20"/>
          <w:szCs w:val="20"/>
          <w:lang w:bidi="ar-EG"/>
        </w:rPr>
      </w:pPr>
      <w:r w:rsidRPr="00C673E0">
        <w:rPr>
          <w:rFonts w:ascii="Times New Roman" w:hAnsi="Times New Roman"/>
          <w:bCs/>
          <w:noProof/>
          <w:sz w:val="20"/>
          <w:szCs w:val="20"/>
          <w:lang w:bidi="ar-EG"/>
        </w:rPr>
        <w:t>Cui</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D,</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Zhu</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D,</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Ren</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H</w:t>
      </w:r>
      <w:r w:rsidR="003E3F44" w:rsidRPr="00C673E0">
        <w:rPr>
          <w:rFonts w:ascii="Times New Roman" w:hAnsi="Times New Roman"/>
          <w:bCs/>
          <w:noProof/>
          <w:sz w:val="20"/>
          <w:szCs w:val="20"/>
          <w:lang w:bidi="ar-EG"/>
        </w:rPr>
        <w:t xml:space="preserve"> </w:t>
      </w:r>
      <w:r w:rsidRPr="00C673E0">
        <w:rPr>
          <w:rFonts w:ascii="Times New Roman" w:hAnsi="Times New Roman"/>
          <w:bCs/>
          <w:i/>
          <w:iCs/>
          <w:noProof/>
          <w:sz w:val="20"/>
          <w:szCs w:val="20"/>
          <w:lang w:bidi="ar-EG"/>
        </w:rPr>
        <w:t>et</w:t>
      </w:r>
      <w:r w:rsidR="003E3F44" w:rsidRPr="00C673E0">
        <w:rPr>
          <w:rFonts w:ascii="Times New Roman" w:hAnsi="Times New Roman"/>
          <w:bCs/>
          <w:i/>
          <w:iCs/>
          <w:noProof/>
          <w:sz w:val="20"/>
          <w:szCs w:val="20"/>
          <w:lang w:bidi="ar-EG"/>
        </w:rPr>
        <w:t xml:space="preserve"> </w:t>
      </w:r>
      <w:r w:rsidRPr="00C673E0">
        <w:rPr>
          <w:rFonts w:ascii="Times New Roman" w:hAnsi="Times New Roman"/>
          <w:bCs/>
          <w:i/>
          <w:iCs/>
          <w:noProof/>
          <w:sz w:val="20"/>
          <w:szCs w:val="20"/>
          <w:lang w:bidi="ar-EG"/>
        </w:rPr>
        <w:t>al</w:t>
      </w:r>
      <w:r w:rsidRPr="00C673E0">
        <w:rPr>
          <w:rFonts w:ascii="Times New Roman" w:hAnsi="Times New Roman"/>
          <w:bCs/>
          <w:noProof/>
          <w:sz w:val="20"/>
          <w:szCs w:val="20"/>
          <w:lang w:bidi="ar-EG"/>
        </w:rPr>
        <w:t>.,</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(2018):</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LincRNA-p21</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inhibits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inflammatory</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response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and</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angiogenesis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through</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the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NF-κB</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signaling</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pathway</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rats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with</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rheumatoid</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arthritis.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International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Journal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of</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Clinical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and</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Experimental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Medicine;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11(2):</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1217–1225.</w:t>
      </w:r>
    </w:p>
    <w:p w:rsidR="007E0E4D" w:rsidRPr="00C673E0" w:rsidRDefault="007E0E4D" w:rsidP="006D0665">
      <w:pPr>
        <w:numPr>
          <w:ilvl w:val="0"/>
          <w:numId w:val="20"/>
        </w:numPr>
        <w:snapToGrid w:val="0"/>
        <w:spacing w:after="0" w:line="240" w:lineRule="auto"/>
        <w:ind w:left="425" w:hanging="425"/>
        <w:jc w:val="both"/>
        <w:rPr>
          <w:rFonts w:ascii="Times New Roman" w:hAnsi="Times New Roman"/>
          <w:bCs/>
          <w:noProof/>
          <w:sz w:val="20"/>
          <w:szCs w:val="20"/>
          <w:lang w:bidi="ar-EG"/>
        </w:rPr>
      </w:pPr>
      <w:r w:rsidRPr="00C673E0">
        <w:rPr>
          <w:rFonts w:ascii="Times New Roman" w:hAnsi="Times New Roman"/>
          <w:bCs/>
          <w:noProof/>
          <w:sz w:val="20"/>
          <w:szCs w:val="20"/>
          <w:lang w:bidi="ar-EG"/>
        </w:rPr>
        <w:t>Dangelmaier</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E,</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Lazar</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S,</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Lal</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A</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(2019):</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Long</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noncoding</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RNAs: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P53’s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secret</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weapon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the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fight</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against</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cancer.</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PLOS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Biology</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Journal;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17(2):</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1–11.</w:t>
      </w:r>
      <w:r w:rsidR="003E3F44" w:rsidRPr="00C673E0">
        <w:rPr>
          <w:rFonts w:ascii="Times New Roman" w:hAnsi="Times New Roman"/>
          <w:noProof/>
          <w:sz w:val="20"/>
          <w:szCs w:val="20"/>
          <w:lang w:bidi="ar-EG"/>
        </w:rPr>
        <w:t xml:space="preserve"> </w:t>
      </w:r>
    </w:p>
    <w:p w:rsidR="007E0E4D" w:rsidRPr="00C673E0" w:rsidRDefault="007E0E4D" w:rsidP="006D0665">
      <w:pPr>
        <w:numPr>
          <w:ilvl w:val="0"/>
          <w:numId w:val="20"/>
        </w:numPr>
        <w:snapToGrid w:val="0"/>
        <w:spacing w:after="0" w:line="240" w:lineRule="auto"/>
        <w:ind w:left="425" w:hanging="425"/>
        <w:jc w:val="both"/>
        <w:rPr>
          <w:rFonts w:ascii="Times New Roman" w:hAnsi="Times New Roman"/>
          <w:bCs/>
          <w:noProof/>
          <w:sz w:val="20"/>
          <w:szCs w:val="20"/>
          <w:lang w:bidi="ar-EG"/>
        </w:rPr>
      </w:pPr>
      <w:r w:rsidRPr="00C673E0">
        <w:rPr>
          <w:rFonts w:ascii="Times New Roman" w:hAnsi="Times New Roman"/>
          <w:bCs/>
          <w:noProof/>
          <w:sz w:val="20"/>
          <w:szCs w:val="20"/>
          <w:lang w:bidi="ar-EG"/>
        </w:rPr>
        <w:t>de</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Oliveira</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G,</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Ferreira</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A,</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Gasparotto</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E</w:t>
      </w:r>
      <w:r w:rsidR="003E3F44" w:rsidRPr="00C673E0">
        <w:rPr>
          <w:rFonts w:ascii="Times New Roman" w:hAnsi="Times New Roman"/>
          <w:bCs/>
          <w:noProof/>
          <w:sz w:val="20"/>
          <w:szCs w:val="20"/>
          <w:lang w:bidi="ar-EG"/>
        </w:rPr>
        <w:t xml:space="preserve"> </w:t>
      </w:r>
      <w:r w:rsidRPr="00C673E0">
        <w:rPr>
          <w:rFonts w:ascii="Times New Roman" w:hAnsi="Times New Roman"/>
          <w:bCs/>
          <w:i/>
          <w:iCs/>
          <w:noProof/>
          <w:sz w:val="20"/>
          <w:szCs w:val="20"/>
          <w:lang w:bidi="ar-EG"/>
        </w:rPr>
        <w:t>et</w:t>
      </w:r>
      <w:r w:rsidR="003E3F44" w:rsidRPr="00C673E0">
        <w:rPr>
          <w:rFonts w:ascii="Times New Roman" w:hAnsi="Times New Roman"/>
          <w:bCs/>
          <w:i/>
          <w:iCs/>
          <w:noProof/>
          <w:sz w:val="20"/>
          <w:szCs w:val="20"/>
          <w:lang w:bidi="ar-EG"/>
        </w:rPr>
        <w:t xml:space="preserve"> </w:t>
      </w:r>
      <w:r w:rsidRPr="00C673E0">
        <w:rPr>
          <w:rFonts w:ascii="Times New Roman" w:hAnsi="Times New Roman"/>
          <w:bCs/>
          <w:i/>
          <w:iCs/>
          <w:noProof/>
          <w:sz w:val="20"/>
          <w:szCs w:val="20"/>
          <w:lang w:bidi="ar-EG"/>
        </w:rPr>
        <w:t>al</w:t>
      </w:r>
      <w:r w:rsidRPr="00C673E0">
        <w:rPr>
          <w:rFonts w:ascii="Times New Roman" w:hAnsi="Times New Roman"/>
          <w:bCs/>
          <w:noProof/>
          <w:sz w:val="20"/>
          <w:szCs w:val="20"/>
          <w:lang w:bidi="ar-EG"/>
        </w:rPr>
        <w:t>.,</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(2017):</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Defective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expression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of</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apoptosis-related</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molecules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multiple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sclerosis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patients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normalized</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early</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after</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autologous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haematopoietic</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stem</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cell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transplantation.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Clinical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and</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Experimental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Immunology</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Journal;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187(3):</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383–398.</w:t>
      </w:r>
      <w:r w:rsidR="003E3F44" w:rsidRPr="00C673E0">
        <w:rPr>
          <w:rFonts w:ascii="Times New Roman" w:hAnsi="Times New Roman"/>
          <w:noProof/>
          <w:sz w:val="20"/>
          <w:szCs w:val="20"/>
          <w:lang w:bidi="ar-EG"/>
        </w:rPr>
        <w:t xml:space="preserve"> </w:t>
      </w:r>
    </w:p>
    <w:p w:rsidR="007E0E4D" w:rsidRPr="00C673E0" w:rsidRDefault="007E0E4D" w:rsidP="006D0665">
      <w:pPr>
        <w:numPr>
          <w:ilvl w:val="0"/>
          <w:numId w:val="20"/>
        </w:numPr>
        <w:snapToGrid w:val="0"/>
        <w:spacing w:after="0" w:line="240" w:lineRule="auto"/>
        <w:ind w:left="425" w:hanging="425"/>
        <w:jc w:val="both"/>
        <w:rPr>
          <w:rFonts w:ascii="Times New Roman" w:hAnsi="Times New Roman"/>
          <w:bCs/>
          <w:noProof/>
          <w:sz w:val="20"/>
          <w:szCs w:val="20"/>
          <w:lang w:bidi="ar-EG"/>
        </w:rPr>
      </w:pPr>
      <w:r w:rsidRPr="00C673E0">
        <w:rPr>
          <w:rFonts w:ascii="Times New Roman" w:hAnsi="Times New Roman"/>
          <w:bCs/>
          <w:noProof/>
          <w:sz w:val="20"/>
          <w:szCs w:val="20"/>
          <w:lang w:bidi="ar-EG"/>
        </w:rPr>
        <w:t>Ewing</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E,</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Kular</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L,</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Fernandes</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S</w:t>
      </w:r>
      <w:r w:rsidR="003E3F44" w:rsidRPr="00C673E0">
        <w:rPr>
          <w:rFonts w:ascii="Times New Roman" w:hAnsi="Times New Roman"/>
          <w:bCs/>
          <w:noProof/>
          <w:sz w:val="20"/>
          <w:szCs w:val="20"/>
          <w:lang w:bidi="ar-EG"/>
        </w:rPr>
        <w:t xml:space="preserve"> </w:t>
      </w:r>
      <w:r w:rsidRPr="00C673E0">
        <w:rPr>
          <w:rFonts w:ascii="Times New Roman" w:hAnsi="Times New Roman"/>
          <w:bCs/>
          <w:i/>
          <w:iCs/>
          <w:noProof/>
          <w:sz w:val="20"/>
          <w:szCs w:val="20"/>
          <w:lang w:bidi="ar-EG"/>
        </w:rPr>
        <w:t>et</w:t>
      </w:r>
      <w:r w:rsidR="003E3F44" w:rsidRPr="00C673E0">
        <w:rPr>
          <w:rFonts w:ascii="Times New Roman" w:hAnsi="Times New Roman"/>
          <w:bCs/>
          <w:i/>
          <w:iCs/>
          <w:noProof/>
          <w:sz w:val="20"/>
          <w:szCs w:val="20"/>
          <w:lang w:bidi="ar-EG"/>
        </w:rPr>
        <w:t xml:space="preserve"> </w:t>
      </w:r>
      <w:r w:rsidRPr="00C673E0">
        <w:rPr>
          <w:rFonts w:ascii="Times New Roman" w:hAnsi="Times New Roman"/>
          <w:bCs/>
          <w:i/>
          <w:iCs/>
          <w:noProof/>
          <w:sz w:val="20"/>
          <w:szCs w:val="20"/>
          <w:lang w:bidi="ar-EG"/>
        </w:rPr>
        <w:t>al</w:t>
      </w:r>
      <w:r w:rsidRPr="00C673E0">
        <w:rPr>
          <w:rFonts w:ascii="Times New Roman" w:hAnsi="Times New Roman"/>
          <w:bCs/>
          <w:noProof/>
          <w:sz w:val="20"/>
          <w:szCs w:val="20"/>
          <w:lang w:bidi="ar-EG"/>
        </w:rPr>
        <w:t>.,</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(2019):</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Combining</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evidence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from</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four</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immune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cell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types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identifies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DNA</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methylation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patterns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that</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implicate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functionally</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distinct</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pathways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during</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Multiple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Sclerosis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progression.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EBio</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Medicine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Journal;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43:</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411–423.</w:t>
      </w:r>
    </w:p>
    <w:p w:rsidR="007E0E4D" w:rsidRPr="00C673E0" w:rsidRDefault="007E0E4D" w:rsidP="006D0665">
      <w:pPr>
        <w:numPr>
          <w:ilvl w:val="0"/>
          <w:numId w:val="20"/>
        </w:numPr>
        <w:snapToGrid w:val="0"/>
        <w:spacing w:after="0" w:line="240" w:lineRule="auto"/>
        <w:ind w:left="425" w:hanging="425"/>
        <w:jc w:val="both"/>
        <w:rPr>
          <w:rFonts w:ascii="Times New Roman" w:hAnsi="Times New Roman"/>
          <w:bCs/>
          <w:noProof/>
          <w:sz w:val="20"/>
          <w:szCs w:val="20"/>
          <w:lang w:bidi="ar-EG"/>
        </w:rPr>
      </w:pPr>
      <w:r w:rsidRPr="00C673E0">
        <w:rPr>
          <w:rFonts w:ascii="Times New Roman" w:hAnsi="Times New Roman"/>
          <w:bCs/>
          <w:noProof/>
          <w:sz w:val="20"/>
          <w:szCs w:val="20"/>
          <w:lang w:bidi="ar-EG"/>
        </w:rPr>
        <w:t>Faisal</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M,</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Kim</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H,</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Kim</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J</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(2014):</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Sexual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differences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of</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imprinted</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genes’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expression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levels.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Gene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Journal;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533(1):</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434–438.</w:t>
      </w:r>
      <w:r w:rsidR="003E3F44" w:rsidRPr="00C673E0">
        <w:rPr>
          <w:rFonts w:ascii="Times New Roman" w:hAnsi="Times New Roman"/>
          <w:noProof/>
          <w:sz w:val="20"/>
          <w:szCs w:val="20"/>
          <w:lang w:bidi="ar-EG"/>
        </w:rPr>
        <w:t xml:space="preserve"> </w:t>
      </w:r>
    </w:p>
    <w:p w:rsidR="007E0E4D" w:rsidRPr="00C673E0" w:rsidRDefault="007E0E4D" w:rsidP="006D0665">
      <w:pPr>
        <w:numPr>
          <w:ilvl w:val="0"/>
          <w:numId w:val="20"/>
        </w:numPr>
        <w:snapToGrid w:val="0"/>
        <w:spacing w:after="0" w:line="240" w:lineRule="auto"/>
        <w:ind w:left="425" w:hanging="425"/>
        <w:jc w:val="both"/>
        <w:rPr>
          <w:rFonts w:ascii="Times New Roman" w:hAnsi="Times New Roman"/>
          <w:bCs/>
          <w:noProof/>
          <w:sz w:val="20"/>
          <w:szCs w:val="20"/>
          <w:lang w:bidi="ar-EG"/>
        </w:rPr>
      </w:pPr>
      <w:r w:rsidRPr="00C673E0">
        <w:rPr>
          <w:rFonts w:ascii="Times New Roman" w:hAnsi="Times New Roman"/>
          <w:bCs/>
          <w:noProof/>
          <w:sz w:val="20"/>
          <w:szCs w:val="20"/>
          <w:lang w:bidi="ar-EG"/>
        </w:rPr>
        <w:t>Fang</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Y,</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Hu</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J,</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Wang</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Z</w:t>
      </w:r>
      <w:r w:rsidR="003E3F44" w:rsidRPr="00C673E0">
        <w:rPr>
          <w:rFonts w:ascii="Times New Roman" w:hAnsi="Times New Roman"/>
          <w:bCs/>
          <w:noProof/>
          <w:sz w:val="20"/>
          <w:szCs w:val="20"/>
          <w:lang w:bidi="ar-EG"/>
        </w:rPr>
        <w:t xml:space="preserve"> </w:t>
      </w:r>
      <w:r w:rsidRPr="00C673E0">
        <w:rPr>
          <w:rFonts w:ascii="Times New Roman" w:hAnsi="Times New Roman"/>
          <w:bCs/>
          <w:i/>
          <w:iCs/>
          <w:noProof/>
          <w:sz w:val="20"/>
          <w:szCs w:val="20"/>
          <w:lang w:bidi="ar-EG"/>
        </w:rPr>
        <w:t>et</w:t>
      </w:r>
      <w:r w:rsidR="003E3F44" w:rsidRPr="00C673E0">
        <w:rPr>
          <w:rFonts w:ascii="Times New Roman" w:hAnsi="Times New Roman"/>
          <w:bCs/>
          <w:i/>
          <w:iCs/>
          <w:noProof/>
          <w:sz w:val="20"/>
          <w:szCs w:val="20"/>
          <w:lang w:bidi="ar-EG"/>
        </w:rPr>
        <w:t xml:space="preserve"> </w:t>
      </w:r>
      <w:r w:rsidRPr="00C673E0">
        <w:rPr>
          <w:rFonts w:ascii="Times New Roman" w:hAnsi="Times New Roman"/>
          <w:bCs/>
          <w:i/>
          <w:iCs/>
          <w:noProof/>
          <w:sz w:val="20"/>
          <w:szCs w:val="20"/>
          <w:lang w:bidi="ar-EG"/>
        </w:rPr>
        <w:t>al</w:t>
      </w:r>
      <w:r w:rsidRPr="00C673E0">
        <w:rPr>
          <w:rFonts w:ascii="Times New Roman" w:hAnsi="Times New Roman"/>
          <w:bCs/>
          <w:noProof/>
          <w:sz w:val="20"/>
          <w:szCs w:val="20"/>
          <w:lang w:bidi="ar-EG"/>
        </w:rPr>
        <w:t>.,</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(2018):</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LncRNA</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H19</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functions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Aquaporin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1</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competitive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endogenous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RNA</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to</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regulate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microRNA-874</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expression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LPS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sepsis.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Biomedicine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and</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Pharmacotherapy</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Journal;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105(1):</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1183–1191.</w:t>
      </w:r>
      <w:r w:rsidR="003E3F44" w:rsidRPr="00C673E0">
        <w:rPr>
          <w:rFonts w:ascii="Times New Roman" w:hAnsi="Times New Roman"/>
          <w:noProof/>
          <w:sz w:val="20"/>
          <w:szCs w:val="20"/>
          <w:lang w:bidi="ar-EG"/>
        </w:rPr>
        <w:t xml:space="preserve"> </w:t>
      </w:r>
    </w:p>
    <w:p w:rsidR="007E0E4D" w:rsidRPr="00C673E0" w:rsidRDefault="007E0E4D" w:rsidP="006D0665">
      <w:pPr>
        <w:numPr>
          <w:ilvl w:val="0"/>
          <w:numId w:val="20"/>
        </w:numPr>
        <w:snapToGrid w:val="0"/>
        <w:spacing w:after="0" w:line="240" w:lineRule="auto"/>
        <w:ind w:left="425" w:hanging="425"/>
        <w:jc w:val="both"/>
        <w:rPr>
          <w:rFonts w:ascii="Times New Roman" w:hAnsi="Times New Roman"/>
          <w:bCs/>
          <w:noProof/>
          <w:sz w:val="20"/>
          <w:szCs w:val="20"/>
          <w:lang w:bidi="ar-EG"/>
        </w:rPr>
      </w:pPr>
      <w:r w:rsidRPr="00C673E0">
        <w:rPr>
          <w:rFonts w:ascii="Times New Roman" w:hAnsi="Times New Roman"/>
          <w:bCs/>
          <w:noProof/>
          <w:sz w:val="20"/>
          <w:szCs w:val="20"/>
          <w:lang w:bidi="ar-EG"/>
        </w:rPr>
        <w:lastRenderedPageBreak/>
        <w:t>Geng</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H</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and</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Tan</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XD</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(2016):</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Functional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diversity</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of</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long</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non-coding</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RNAs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immune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regulation.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Genes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and</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Diseases;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3(1):</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72–81.</w:t>
      </w:r>
      <w:r w:rsidR="003E3F44" w:rsidRPr="00C673E0">
        <w:rPr>
          <w:rFonts w:ascii="Times New Roman" w:hAnsi="Times New Roman"/>
          <w:noProof/>
          <w:sz w:val="20"/>
          <w:szCs w:val="20"/>
          <w:lang w:bidi="ar-EG"/>
        </w:rPr>
        <w:t xml:space="preserve"> </w:t>
      </w:r>
    </w:p>
    <w:p w:rsidR="007E0E4D" w:rsidRPr="00C673E0" w:rsidRDefault="007E0E4D" w:rsidP="006D0665">
      <w:pPr>
        <w:numPr>
          <w:ilvl w:val="0"/>
          <w:numId w:val="20"/>
        </w:numPr>
        <w:snapToGrid w:val="0"/>
        <w:spacing w:after="0" w:line="240" w:lineRule="auto"/>
        <w:ind w:left="425" w:hanging="425"/>
        <w:jc w:val="both"/>
        <w:rPr>
          <w:rFonts w:ascii="Times New Roman" w:hAnsi="Times New Roman"/>
          <w:bCs/>
          <w:noProof/>
          <w:sz w:val="20"/>
          <w:szCs w:val="20"/>
          <w:lang w:bidi="ar-EG"/>
        </w:rPr>
      </w:pPr>
      <w:r w:rsidRPr="00C673E0">
        <w:rPr>
          <w:rFonts w:ascii="Times New Roman" w:hAnsi="Times New Roman"/>
          <w:bCs/>
          <w:noProof/>
          <w:sz w:val="20"/>
          <w:szCs w:val="20"/>
          <w:lang w:bidi="ar-EG"/>
        </w:rPr>
        <w:t>Granick</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J,</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Simon</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S,</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Borjesson</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D</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(2012):</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Hematopoietic</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Stem</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and</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Progenitor</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Cells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Effectors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Innate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Immunity.</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Bone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Marrow</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Research;</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2012:</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165107.</w:t>
      </w:r>
      <w:r w:rsidR="003E3F44" w:rsidRPr="00C673E0">
        <w:rPr>
          <w:rFonts w:ascii="Times New Roman" w:hAnsi="Times New Roman"/>
          <w:noProof/>
          <w:sz w:val="20"/>
          <w:szCs w:val="20"/>
          <w:lang w:bidi="ar-EG"/>
        </w:rPr>
        <w:t xml:space="preserve"> </w:t>
      </w:r>
    </w:p>
    <w:p w:rsidR="007E0E4D" w:rsidRPr="00C673E0" w:rsidRDefault="007E0E4D" w:rsidP="006D0665">
      <w:pPr>
        <w:numPr>
          <w:ilvl w:val="0"/>
          <w:numId w:val="20"/>
        </w:numPr>
        <w:snapToGrid w:val="0"/>
        <w:spacing w:after="0" w:line="240" w:lineRule="auto"/>
        <w:ind w:left="425" w:hanging="425"/>
        <w:jc w:val="both"/>
        <w:rPr>
          <w:rFonts w:ascii="Times New Roman" w:hAnsi="Times New Roman"/>
          <w:bCs/>
          <w:noProof/>
          <w:sz w:val="20"/>
          <w:szCs w:val="20"/>
          <w:lang w:bidi="ar-EG"/>
        </w:rPr>
      </w:pPr>
      <w:r w:rsidRPr="00C673E0">
        <w:rPr>
          <w:rFonts w:ascii="Times New Roman" w:hAnsi="Times New Roman"/>
          <w:bCs/>
          <w:noProof/>
          <w:sz w:val="20"/>
          <w:szCs w:val="20"/>
          <w:lang w:bidi="ar-EG"/>
        </w:rPr>
        <w:t>Han</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Y,</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Ma</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J,</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Wang</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J</w:t>
      </w:r>
      <w:r w:rsidR="003E3F44" w:rsidRPr="00C673E0">
        <w:rPr>
          <w:rFonts w:ascii="Times New Roman" w:hAnsi="Times New Roman"/>
          <w:bCs/>
          <w:noProof/>
          <w:sz w:val="20"/>
          <w:szCs w:val="20"/>
          <w:lang w:bidi="ar-EG"/>
        </w:rPr>
        <w:t xml:space="preserve"> </w:t>
      </w:r>
      <w:r w:rsidRPr="00C673E0">
        <w:rPr>
          <w:rFonts w:ascii="Times New Roman" w:hAnsi="Times New Roman"/>
          <w:bCs/>
          <w:i/>
          <w:iCs/>
          <w:noProof/>
          <w:sz w:val="20"/>
          <w:szCs w:val="20"/>
          <w:lang w:bidi="ar-EG"/>
        </w:rPr>
        <w:t>et</w:t>
      </w:r>
      <w:r w:rsidR="003E3F44" w:rsidRPr="00C673E0">
        <w:rPr>
          <w:rFonts w:ascii="Times New Roman" w:hAnsi="Times New Roman"/>
          <w:bCs/>
          <w:i/>
          <w:iCs/>
          <w:noProof/>
          <w:sz w:val="20"/>
          <w:szCs w:val="20"/>
          <w:lang w:bidi="ar-EG"/>
        </w:rPr>
        <w:t xml:space="preserve"> </w:t>
      </w:r>
      <w:r w:rsidRPr="00C673E0">
        <w:rPr>
          <w:rFonts w:ascii="Times New Roman" w:hAnsi="Times New Roman"/>
          <w:bCs/>
          <w:i/>
          <w:iCs/>
          <w:noProof/>
          <w:sz w:val="20"/>
          <w:szCs w:val="20"/>
          <w:lang w:bidi="ar-EG"/>
        </w:rPr>
        <w:t>al</w:t>
      </w:r>
      <w:r w:rsidRPr="00C673E0">
        <w:rPr>
          <w:rFonts w:ascii="Times New Roman" w:hAnsi="Times New Roman"/>
          <w:bCs/>
          <w:noProof/>
          <w:sz w:val="20"/>
          <w:szCs w:val="20"/>
          <w:lang w:bidi="ar-EG"/>
        </w:rPr>
        <w:t>.,</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(2018):</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Silencing</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of</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H19</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inhibits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the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adipogenesis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and</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inflammation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response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ox-LDL-treated</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Raw264.7</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cells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by</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up-regulating</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miR-130b.</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Molecular</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Immunology;</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93:107–114.</w:t>
      </w:r>
      <w:r w:rsidR="003E3F44" w:rsidRPr="00C673E0">
        <w:rPr>
          <w:rFonts w:ascii="Times New Roman" w:hAnsi="Times New Roman"/>
          <w:noProof/>
          <w:sz w:val="20"/>
          <w:szCs w:val="20"/>
          <w:lang w:bidi="ar-EG"/>
        </w:rPr>
        <w:t xml:space="preserve"> </w:t>
      </w:r>
    </w:p>
    <w:p w:rsidR="007E0E4D" w:rsidRPr="00C673E0" w:rsidRDefault="007E0E4D" w:rsidP="006D0665">
      <w:pPr>
        <w:numPr>
          <w:ilvl w:val="0"/>
          <w:numId w:val="20"/>
        </w:numPr>
        <w:snapToGrid w:val="0"/>
        <w:spacing w:after="0" w:line="240" w:lineRule="auto"/>
        <w:ind w:left="425" w:hanging="425"/>
        <w:jc w:val="both"/>
        <w:rPr>
          <w:rFonts w:ascii="Times New Roman" w:hAnsi="Times New Roman"/>
          <w:bCs/>
          <w:noProof/>
          <w:sz w:val="20"/>
          <w:szCs w:val="20"/>
          <w:lang w:bidi="ar-EG"/>
        </w:rPr>
      </w:pPr>
      <w:r w:rsidRPr="00C673E0">
        <w:rPr>
          <w:rFonts w:ascii="Times New Roman" w:hAnsi="Times New Roman"/>
          <w:bCs/>
          <w:noProof/>
          <w:sz w:val="20"/>
          <w:szCs w:val="20"/>
          <w:lang w:bidi="ar-EG"/>
        </w:rPr>
        <w:t>Hoo</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Z,</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Candlish</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J,</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Teare</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D</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(2017):</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What</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ROC</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curve?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Emergency</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Medicine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Journal;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34(6):</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357–359.</w:t>
      </w:r>
      <w:r w:rsidR="003E3F44" w:rsidRPr="00C673E0">
        <w:rPr>
          <w:rFonts w:ascii="Times New Roman" w:hAnsi="Times New Roman"/>
          <w:noProof/>
          <w:sz w:val="20"/>
          <w:szCs w:val="20"/>
          <w:lang w:bidi="ar-EG"/>
        </w:rPr>
        <w:t xml:space="preserve"> </w:t>
      </w:r>
    </w:p>
    <w:p w:rsidR="007E0E4D" w:rsidRPr="00C673E0" w:rsidRDefault="007E0E4D" w:rsidP="006D0665">
      <w:pPr>
        <w:numPr>
          <w:ilvl w:val="0"/>
          <w:numId w:val="20"/>
        </w:numPr>
        <w:snapToGrid w:val="0"/>
        <w:spacing w:after="0" w:line="240" w:lineRule="auto"/>
        <w:ind w:left="425" w:hanging="425"/>
        <w:jc w:val="both"/>
        <w:rPr>
          <w:rFonts w:ascii="Times New Roman" w:hAnsi="Times New Roman"/>
          <w:bCs/>
          <w:noProof/>
          <w:sz w:val="20"/>
          <w:szCs w:val="20"/>
          <w:lang w:bidi="ar-EG"/>
        </w:rPr>
      </w:pPr>
      <w:r w:rsidRPr="00C673E0">
        <w:rPr>
          <w:rFonts w:ascii="Times New Roman" w:hAnsi="Times New Roman"/>
          <w:bCs/>
          <w:noProof/>
          <w:sz w:val="20"/>
          <w:szCs w:val="20"/>
          <w:lang w:bidi="ar-EG"/>
        </w:rPr>
        <w:t>Koriem</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K</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(2017):</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Corrigendum</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to</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‘Multiple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sclerosis: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New</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insights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and</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trends.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Asian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Pacific</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Journal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of</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Tropical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Biomedicine;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7(5):</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493–504.</w:t>
      </w:r>
      <w:r w:rsidR="003E3F44" w:rsidRPr="00C673E0">
        <w:rPr>
          <w:rFonts w:ascii="Times New Roman" w:hAnsi="Times New Roman"/>
          <w:noProof/>
          <w:sz w:val="20"/>
          <w:szCs w:val="20"/>
          <w:lang w:bidi="ar-EG"/>
        </w:rPr>
        <w:t xml:space="preserve"> </w:t>
      </w:r>
    </w:p>
    <w:p w:rsidR="007E0E4D" w:rsidRPr="00C673E0" w:rsidRDefault="007E0E4D" w:rsidP="006D0665">
      <w:pPr>
        <w:numPr>
          <w:ilvl w:val="0"/>
          <w:numId w:val="20"/>
        </w:numPr>
        <w:snapToGrid w:val="0"/>
        <w:spacing w:after="0" w:line="240" w:lineRule="auto"/>
        <w:ind w:left="425" w:hanging="425"/>
        <w:jc w:val="both"/>
        <w:rPr>
          <w:rFonts w:ascii="Times New Roman" w:hAnsi="Times New Roman"/>
          <w:bCs/>
          <w:noProof/>
          <w:sz w:val="20"/>
          <w:szCs w:val="20"/>
          <w:lang w:bidi="ar-EG"/>
        </w:rPr>
      </w:pPr>
      <w:r w:rsidRPr="00C673E0">
        <w:rPr>
          <w:rFonts w:ascii="Times New Roman" w:hAnsi="Times New Roman"/>
          <w:bCs/>
          <w:noProof/>
          <w:sz w:val="20"/>
          <w:szCs w:val="20"/>
          <w:lang w:bidi="ar-EG"/>
        </w:rPr>
        <w:t>Kurtzke</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J</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(1983):</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Rating</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neurologic</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impairment</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multiple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sclerosis :</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expanded</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disability</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status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scale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(EDSS).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Neurology</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Journal;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33:1444-1452.</w:t>
      </w:r>
    </w:p>
    <w:p w:rsidR="007E0E4D" w:rsidRPr="00C673E0" w:rsidRDefault="007E0E4D" w:rsidP="006D0665">
      <w:pPr>
        <w:numPr>
          <w:ilvl w:val="0"/>
          <w:numId w:val="20"/>
        </w:numPr>
        <w:snapToGrid w:val="0"/>
        <w:spacing w:after="0" w:line="240" w:lineRule="auto"/>
        <w:ind w:left="425" w:hanging="425"/>
        <w:jc w:val="both"/>
        <w:rPr>
          <w:rFonts w:ascii="Times New Roman" w:hAnsi="Times New Roman"/>
          <w:bCs/>
          <w:noProof/>
          <w:sz w:val="20"/>
          <w:szCs w:val="20"/>
          <w:lang w:bidi="ar-EG"/>
        </w:rPr>
      </w:pPr>
      <w:r w:rsidRPr="00C673E0">
        <w:rPr>
          <w:rFonts w:ascii="Times New Roman" w:hAnsi="Times New Roman"/>
          <w:bCs/>
          <w:noProof/>
          <w:sz w:val="20"/>
          <w:szCs w:val="20"/>
          <w:lang w:bidi="ar-EG"/>
        </w:rPr>
        <w:t>Lee</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C,</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Peng</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S,</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Shen</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L</w:t>
      </w:r>
      <w:r w:rsidR="003E3F44" w:rsidRPr="00C673E0">
        <w:rPr>
          <w:rFonts w:ascii="Times New Roman" w:hAnsi="Times New Roman"/>
          <w:bCs/>
          <w:noProof/>
          <w:sz w:val="20"/>
          <w:szCs w:val="20"/>
          <w:lang w:bidi="ar-EG"/>
        </w:rPr>
        <w:t xml:space="preserve"> </w:t>
      </w:r>
      <w:r w:rsidRPr="00C673E0">
        <w:rPr>
          <w:rFonts w:ascii="Times New Roman" w:hAnsi="Times New Roman"/>
          <w:bCs/>
          <w:i/>
          <w:iCs/>
          <w:noProof/>
          <w:sz w:val="20"/>
          <w:szCs w:val="20"/>
          <w:lang w:bidi="ar-EG"/>
        </w:rPr>
        <w:t>et</w:t>
      </w:r>
      <w:r w:rsidR="003E3F44" w:rsidRPr="00C673E0">
        <w:rPr>
          <w:rFonts w:ascii="Times New Roman" w:hAnsi="Times New Roman"/>
          <w:bCs/>
          <w:i/>
          <w:iCs/>
          <w:noProof/>
          <w:sz w:val="20"/>
          <w:szCs w:val="20"/>
          <w:lang w:bidi="ar-EG"/>
        </w:rPr>
        <w:t xml:space="preserve"> </w:t>
      </w:r>
      <w:r w:rsidRPr="00C673E0">
        <w:rPr>
          <w:rFonts w:ascii="Times New Roman" w:hAnsi="Times New Roman"/>
          <w:bCs/>
          <w:i/>
          <w:iCs/>
          <w:noProof/>
          <w:sz w:val="20"/>
          <w:szCs w:val="20"/>
          <w:lang w:bidi="ar-EG"/>
        </w:rPr>
        <w:t>al</w:t>
      </w:r>
      <w:r w:rsidRPr="00C673E0">
        <w:rPr>
          <w:rFonts w:ascii="Times New Roman" w:hAnsi="Times New Roman"/>
          <w:bCs/>
          <w:noProof/>
          <w:sz w:val="20"/>
          <w:szCs w:val="20"/>
          <w:lang w:bidi="ar-EG"/>
        </w:rPr>
        <w:t>.,</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(2017):</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The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Role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of</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N-α-acetyltransferase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10</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Protein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DNA</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Methylation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and</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Genomic</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Imprinting.</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Molecular</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Cell;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68(1):</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89–103.</w:t>
      </w:r>
      <w:r w:rsidR="003E3F44" w:rsidRPr="00C673E0">
        <w:rPr>
          <w:rFonts w:ascii="Times New Roman" w:hAnsi="Times New Roman"/>
          <w:noProof/>
          <w:sz w:val="20"/>
          <w:szCs w:val="20"/>
          <w:lang w:bidi="ar-EG"/>
        </w:rPr>
        <w:t xml:space="preserve"> </w:t>
      </w:r>
    </w:p>
    <w:p w:rsidR="007E0E4D" w:rsidRPr="00C673E0" w:rsidRDefault="007E0E4D" w:rsidP="006D0665">
      <w:pPr>
        <w:numPr>
          <w:ilvl w:val="0"/>
          <w:numId w:val="20"/>
        </w:numPr>
        <w:snapToGrid w:val="0"/>
        <w:spacing w:after="0" w:line="240" w:lineRule="auto"/>
        <w:ind w:left="425" w:hanging="425"/>
        <w:jc w:val="both"/>
        <w:rPr>
          <w:rFonts w:ascii="Times New Roman" w:hAnsi="Times New Roman"/>
          <w:bCs/>
          <w:noProof/>
          <w:sz w:val="20"/>
          <w:szCs w:val="20"/>
          <w:lang w:bidi="ar-EG"/>
        </w:rPr>
      </w:pPr>
      <w:r w:rsidRPr="00C673E0">
        <w:rPr>
          <w:rFonts w:ascii="Times New Roman" w:hAnsi="Times New Roman"/>
          <w:bCs/>
          <w:noProof/>
          <w:sz w:val="20"/>
          <w:szCs w:val="20"/>
          <w:lang w:bidi="ar-EG"/>
        </w:rPr>
        <w:t>Li</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X,</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Luo</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S,</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Zhang</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J</w:t>
      </w:r>
      <w:r w:rsidR="003E3F44" w:rsidRPr="00C673E0">
        <w:rPr>
          <w:rFonts w:ascii="Times New Roman" w:hAnsi="Times New Roman"/>
          <w:bCs/>
          <w:noProof/>
          <w:sz w:val="20"/>
          <w:szCs w:val="20"/>
          <w:lang w:bidi="ar-EG"/>
        </w:rPr>
        <w:t xml:space="preserve"> </w:t>
      </w:r>
      <w:r w:rsidRPr="00C673E0">
        <w:rPr>
          <w:rFonts w:ascii="Times New Roman" w:hAnsi="Times New Roman"/>
          <w:bCs/>
          <w:i/>
          <w:iCs/>
          <w:noProof/>
          <w:sz w:val="20"/>
          <w:szCs w:val="20"/>
          <w:lang w:bidi="ar-EG"/>
        </w:rPr>
        <w:t>et</w:t>
      </w:r>
      <w:r w:rsidR="003E3F44" w:rsidRPr="00C673E0">
        <w:rPr>
          <w:rFonts w:ascii="Times New Roman" w:hAnsi="Times New Roman"/>
          <w:bCs/>
          <w:i/>
          <w:iCs/>
          <w:noProof/>
          <w:sz w:val="20"/>
          <w:szCs w:val="20"/>
          <w:lang w:bidi="ar-EG"/>
        </w:rPr>
        <w:t xml:space="preserve"> </w:t>
      </w:r>
      <w:r w:rsidRPr="00C673E0">
        <w:rPr>
          <w:rFonts w:ascii="Times New Roman" w:hAnsi="Times New Roman"/>
          <w:bCs/>
          <w:i/>
          <w:iCs/>
          <w:noProof/>
          <w:sz w:val="20"/>
          <w:szCs w:val="20"/>
          <w:lang w:bidi="ar-EG"/>
        </w:rPr>
        <w:t>al</w:t>
      </w:r>
      <w:r w:rsidRPr="00C673E0">
        <w:rPr>
          <w:rFonts w:ascii="Times New Roman" w:hAnsi="Times New Roman"/>
          <w:bCs/>
          <w:noProof/>
          <w:sz w:val="20"/>
          <w:szCs w:val="20"/>
          <w:lang w:bidi="ar-EG"/>
        </w:rPr>
        <w:t>.,</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(2019):</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LncRNA</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H19</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Alleviated</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Myocardial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Ischemia</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Reperfusion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Injury</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via</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Suppressing</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miR-877-3p/Bcl-2-mediated</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Mitochondrial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Apoptosis.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Molecular</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Therapy</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Nucleic</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Acids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Journal;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17:</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297–309.</w:t>
      </w:r>
    </w:p>
    <w:p w:rsidR="007E0E4D" w:rsidRPr="00C673E0" w:rsidRDefault="007E0E4D" w:rsidP="006D0665">
      <w:pPr>
        <w:numPr>
          <w:ilvl w:val="0"/>
          <w:numId w:val="20"/>
        </w:numPr>
        <w:snapToGrid w:val="0"/>
        <w:spacing w:after="0" w:line="240" w:lineRule="auto"/>
        <w:ind w:left="425" w:hanging="425"/>
        <w:jc w:val="both"/>
        <w:rPr>
          <w:rFonts w:ascii="Times New Roman" w:hAnsi="Times New Roman"/>
          <w:bCs/>
          <w:noProof/>
          <w:sz w:val="20"/>
          <w:szCs w:val="20"/>
          <w:lang w:bidi="ar-EG"/>
        </w:rPr>
      </w:pPr>
      <w:r w:rsidRPr="00C673E0">
        <w:rPr>
          <w:rFonts w:ascii="Times New Roman" w:hAnsi="Times New Roman"/>
          <w:bCs/>
          <w:noProof/>
          <w:sz w:val="20"/>
          <w:szCs w:val="20"/>
          <w:lang w:bidi="ar-EG"/>
        </w:rPr>
        <w:t>Liu</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Y,</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Li</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G,</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Zhang</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J</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(2017):</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The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role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of</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long</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non-coding</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RNA</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H19</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musculoskeletal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system:</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new</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player</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old</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game.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Experimental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Cell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Research;</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360(2):</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61–65.</w:t>
      </w:r>
      <w:r w:rsidR="003E3F44" w:rsidRPr="00C673E0">
        <w:rPr>
          <w:rFonts w:ascii="Times New Roman" w:hAnsi="Times New Roman"/>
          <w:noProof/>
          <w:sz w:val="20"/>
          <w:szCs w:val="20"/>
          <w:lang w:bidi="ar-EG"/>
        </w:rPr>
        <w:t xml:space="preserve"> </w:t>
      </w:r>
    </w:p>
    <w:p w:rsidR="005A0137" w:rsidRPr="00C673E0" w:rsidRDefault="005A0137" w:rsidP="006D0665">
      <w:pPr>
        <w:numPr>
          <w:ilvl w:val="0"/>
          <w:numId w:val="20"/>
        </w:numPr>
        <w:autoSpaceDE w:val="0"/>
        <w:autoSpaceDN w:val="0"/>
        <w:adjustRightInd w:val="0"/>
        <w:snapToGrid w:val="0"/>
        <w:spacing w:after="0" w:line="240" w:lineRule="auto"/>
        <w:ind w:left="425" w:hanging="425"/>
        <w:jc w:val="both"/>
        <w:rPr>
          <w:rFonts w:ascii="Times New Roman" w:hAnsi="Times New Roman"/>
          <w:noProof/>
          <w:sz w:val="20"/>
          <w:szCs w:val="20"/>
          <w:lang w:bidi="ar-EG"/>
        </w:rPr>
      </w:pPr>
      <w:r w:rsidRPr="00C673E0">
        <w:rPr>
          <w:rFonts w:ascii="Times New Roman" w:hAnsi="Times New Roman"/>
          <w:bCs/>
          <w:noProof/>
          <w:sz w:val="20"/>
          <w:szCs w:val="20"/>
          <w:lang w:bidi="ar-EG"/>
        </w:rPr>
        <w:t>Livak</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K</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and</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Schmittgen</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T</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(2001):</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Analysis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of</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Relative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Gene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Expression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Data</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Using</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Real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Time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Quantitative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PCR</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and</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the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2</w:t>
      </w:r>
      <w:r w:rsidRPr="00C673E0">
        <w:rPr>
          <w:rFonts w:ascii="Times New Roman" w:hAnsi="Times New Roman"/>
          <w:noProof/>
          <w:sz w:val="20"/>
          <w:szCs w:val="20"/>
          <w:vertAlign w:val="superscript"/>
          <w:lang w:bidi="ar-EG"/>
        </w:rPr>
        <w:t>−∆∆Ct</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Method.</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Methods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Journal;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25</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(4):</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402–4080.</w:t>
      </w:r>
    </w:p>
    <w:p w:rsidR="006D0665" w:rsidRPr="00C673E0" w:rsidRDefault="007E0E4D" w:rsidP="006D0665">
      <w:pPr>
        <w:numPr>
          <w:ilvl w:val="0"/>
          <w:numId w:val="20"/>
        </w:numPr>
        <w:snapToGrid w:val="0"/>
        <w:spacing w:after="0" w:line="240" w:lineRule="auto"/>
        <w:ind w:left="425" w:hanging="425"/>
        <w:jc w:val="both"/>
        <w:rPr>
          <w:rFonts w:ascii="Times New Roman" w:hAnsi="Times New Roman"/>
          <w:noProof/>
          <w:sz w:val="20"/>
          <w:szCs w:val="20"/>
          <w:lang w:bidi="ar-EG"/>
        </w:rPr>
      </w:pPr>
      <w:r w:rsidRPr="00C673E0">
        <w:rPr>
          <w:rFonts w:ascii="Times New Roman" w:hAnsi="Times New Roman"/>
          <w:bCs/>
          <w:noProof/>
          <w:sz w:val="20"/>
          <w:szCs w:val="20"/>
          <w:lang w:bidi="ar-EG"/>
        </w:rPr>
        <w:t>Low</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T,</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Kuan</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T,</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Amini</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F</w:t>
      </w:r>
      <w:r w:rsidR="003E3F44" w:rsidRPr="00C673E0">
        <w:rPr>
          <w:rFonts w:ascii="Times New Roman" w:hAnsi="Times New Roman"/>
          <w:bCs/>
          <w:noProof/>
          <w:sz w:val="20"/>
          <w:szCs w:val="20"/>
          <w:lang w:bidi="ar-EG"/>
        </w:rPr>
        <w:t xml:space="preserve"> </w:t>
      </w:r>
      <w:r w:rsidRPr="00C673E0">
        <w:rPr>
          <w:rFonts w:ascii="Times New Roman" w:hAnsi="Times New Roman"/>
          <w:bCs/>
          <w:i/>
          <w:iCs/>
          <w:noProof/>
          <w:sz w:val="20"/>
          <w:szCs w:val="20"/>
          <w:lang w:bidi="ar-EG"/>
        </w:rPr>
        <w:t>et</w:t>
      </w:r>
      <w:r w:rsidR="003E3F44" w:rsidRPr="00C673E0">
        <w:rPr>
          <w:rFonts w:ascii="Times New Roman" w:hAnsi="Times New Roman"/>
          <w:bCs/>
          <w:i/>
          <w:iCs/>
          <w:noProof/>
          <w:sz w:val="20"/>
          <w:szCs w:val="20"/>
          <w:lang w:bidi="ar-EG"/>
        </w:rPr>
        <w:t xml:space="preserve"> </w:t>
      </w:r>
      <w:r w:rsidRPr="00C673E0">
        <w:rPr>
          <w:rFonts w:ascii="Times New Roman" w:hAnsi="Times New Roman"/>
          <w:bCs/>
          <w:i/>
          <w:iCs/>
          <w:noProof/>
          <w:sz w:val="20"/>
          <w:szCs w:val="20"/>
          <w:lang w:bidi="ar-EG"/>
        </w:rPr>
        <w:t>al</w:t>
      </w:r>
      <w:r w:rsidRPr="00C673E0">
        <w:rPr>
          <w:rFonts w:ascii="Times New Roman" w:hAnsi="Times New Roman"/>
          <w:bCs/>
          <w:noProof/>
          <w:sz w:val="20"/>
          <w:szCs w:val="20"/>
          <w:lang w:bidi="ar-EG"/>
        </w:rPr>
        <w:t>.,</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(2016):</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Feasibility</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and</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toxicity</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of</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hematopoietic</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stem</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cell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transplant</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multiple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sclerosis.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Iran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Journal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of</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Basic</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Medical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Science;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20(7):</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900</w:t>
      </w:r>
      <w:r w:rsidR="006D0665" w:rsidRPr="00C673E0">
        <w:rPr>
          <w:rFonts w:ascii="Times New Roman" w:hAnsi="Times New Roman"/>
          <w:noProof/>
          <w:sz w:val="20"/>
          <w:szCs w:val="20"/>
          <w:lang w:bidi="ar-EG"/>
        </w:rPr>
        <w:t>0.</w:t>
      </w:r>
    </w:p>
    <w:p w:rsidR="007E0E4D" w:rsidRPr="00C673E0" w:rsidRDefault="007E0E4D" w:rsidP="006D0665">
      <w:pPr>
        <w:numPr>
          <w:ilvl w:val="0"/>
          <w:numId w:val="20"/>
        </w:numPr>
        <w:snapToGrid w:val="0"/>
        <w:spacing w:after="0" w:line="240" w:lineRule="auto"/>
        <w:ind w:left="425" w:hanging="425"/>
        <w:jc w:val="both"/>
        <w:rPr>
          <w:rFonts w:ascii="Times New Roman" w:hAnsi="Times New Roman"/>
          <w:bCs/>
          <w:noProof/>
          <w:sz w:val="20"/>
          <w:szCs w:val="20"/>
          <w:lang w:bidi="ar-EG"/>
        </w:rPr>
      </w:pPr>
      <w:r w:rsidRPr="00C673E0">
        <w:rPr>
          <w:rFonts w:ascii="Times New Roman" w:hAnsi="Times New Roman"/>
          <w:bCs/>
          <w:noProof/>
          <w:sz w:val="20"/>
          <w:szCs w:val="20"/>
          <w:lang w:bidi="ar-EG"/>
        </w:rPr>
        <w:t>Mazdeh</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M,</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Noroozi</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R,</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Komaki</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A</w:t>
      </w:r>
      <w:r w:rsidR="003E3F44" w:rsidRPr="00C673E0">
        <w:rPr>
          <w:rFonts w:ascii="Times New Roman" w:hAnsi="Times New Roman"/>
          <w:bCs/>
          <w:noProof/>
          <w:sz w:val="20"/>
          <w:szCs w:val="20"/>
          <w:lang w:bidi="ar-EG"/>
        </w:rPr>
        <w:t xml:space="preserve"> </w:t>
      </w:r>
      <w:r w:rsidRPr="00C673E0">
        <w:rPr>
          <w:rFonts w:ascii="Times New Roman" w:hAnsi="Times New Roman"/>
          <w:bCs/>
          <w:i/>
          <w:iCs/>
          <w:noProof/>
          <w:sz w:val="20"/>
          <w:szCs w:val="20"/>
          <w:lang w:bidi="ar-EG"/>
        </w:rPr>
        <w:t>et</w:t>
      </w:r>
      <w:r w:rsidR="003E3F44" w:rsidRPr="00C673E0">
        <w:rPr>
          <w:rFonts w:ascii="Times New Roman" w:hAnsi="Times New Roman"/>
          <w:bCs/>
          <w:i/>
          <w:iCs/>
          <w:noProof/>
          <w:sz w:val="20"/>
          <w:szCs w:val="20"/>
          <w:lang w:bidi="ar-EG"/>
        </w:rPr>
        <w:t xml:space="preserve"> </w:t>
      </w:r>
      <w:r w:rsidRPr="00C673E0">
        <w:rPr>
          <w:rFonts w:ascii="Times New Roman" w:hAnsi="Times New Roman"/>
          <w:bCs/>
          <w:i/>
          <w:iCs/>
          <w:noProof/>
          <w:sz w:val="20"/>
          <w:szCs w:val="20"/>
          <w:lang w:bidi="ar-EG"/>
        </w:rPr>
        <w:t>al</w:t>
      </w:r>
      <w:r w:rsidRPr="00C673E0">
        <w:rPr>
          <w:rFonts w:ascii="Times New Roman" w:hAnsi="Times New Roman"/>
          <w:bCs/>
          <w:noProof/>
          <w:sz w:val="20"/>
          <w:szCs w:val="20"/>
          <w:lang w:bidi="ar-EG"/>
        </w:rPr>
        <w:t>.,</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(2019):</w:t>
      </w:r>
      <w:r w:rsidR="003E3F44" w:rsidRPr="00C673E0">
        <w:rPr>
          <w:rFonts w:ascii="Times New Roman" w:hAnsi="Times New Roman"/>
          <w:bCs/>
          <w:noProof/>
          <w:sz w:val="20"/>
          <w:szCs w:val="20"/>
          <w:lang w:bidi="ar-EG"/>
        </w:rPr>
        <w:t xml:space="preserve"> </w:t>
      </w:r>
      <w:r w:rsidRPr="00C673E0">
        <w:rPr>
          <w:rFonts w:ascii="Times New Roman" w:hAnsi="Times New Roman"/>
          <w:noProof/>
          <w:sz w:val="20"/>
          <w:szCs w:val="20"/>
          <w:lang w:bidi="ar-EG"/>
        </w:rPr>
        <w:t>Single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nucleotide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polymorphisms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of</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lncRNA</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H19</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are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not</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associated</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with</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risk</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of</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multiple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sclerosis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Iranian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population.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Meta</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Gene;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21:</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100592.</w:t>
      </w:r>
      <w:r w:rsidR="003E3F44" w:rsidRPr="00C673E0">
        <w:rPr>
          <w:rFonts w:ascii="Times New Roman" w:hAnsi="Times New Roman"/>
          <w:noProof/>
          <w:sz w:val="20"/>
          <w:szCs w:val="20"/>
          <w:lang w:bidi="ar-EG"/>
        </w:rPr>
        <w:t xml:space="preserve"> </w:t>
      </w:r>
    </w:p>
    <w:p w:rsidR="007E0E4D" w:rsidRPr="00C673E0" w:rsidRDefault="007E0E4D" w:rsidP="006D0665">
      <w:pPr>
        <w:numPr>
          <w:ilvl w:val="0"/>
          <w:numId w:val="20"/>
        </w:numPr>
        <w:snapToGrid w:val="0"/>
        <w:spacing w:after="0" w:line="240" w:lineRule="auto"/>
        <w:ind w:left="425" w:hanging="425"/>
        <w:jc w:val="both"/>
        <w:rPr>
          <w:rFonts w:ascii="Times New Roman" w:hAnsi="Times New Roman"/>
          <w:bCs/>
          <w:noProof/>
          <w:sz w:val="20"/>
          <w:szCs w:val="20"/>
          <w:lang w:bidi="ar-EG"/>
        </w:rPr>
      </w:pPr>
      <w:r w:rsidRPr="00C673E0">
        <w:rPr>
          <w:rFonts w:ascii="Times New Roman" w:hAnsi="Times New Roman"/>
          <w:bCs/>
          <w:noProof/>
          <w:sz w:val="20"/>
          <w:szCs w:val="20"/>
          <w:lang w:bidi="ar-EG"/>
        </w:rPr>
        <w:t>Pan</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JX</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(2017):</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LncRNA</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H19</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promotes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atherosclerosis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by</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regulating</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MAPK</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and</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NF-kB</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signaling</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pathway.</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European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Review</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for</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Medical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and</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Pharmacological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Sciences;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21(2):</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322–328.</w:t>
      </w:r>
    </w:p>
    <w:p w:rsidR="007E0E4D" w:rsidRPr="00C673E0" w:rsidRDefault="007E0E4D" w:rsidP="006D0665">
      <w:pPr>
        <w:numPr>
          <w:ilvl w:val="0"/>
          <w:numId w:val="20"/>
        </w:numPr>
        <w:snapToGrid w:val="0"/>
        <w:spacing w:after="0" w:line="240" w:lineRule="auto"/>
        <w:ind w:left="425" w:hanging="425"/>
        <w:jc w:val="both"/>
        <w:rPr>
          <w:rFonts w:ascii="Times New Roman" w:hAnsi="Times New Roman"/>
          <w:bCs/>
          <w:noProof/>
          <w:sz w:val="20"/>
          <w:szCs w:val="20"/>
          <w:lang w:bidi="ar-EG"/>
        </w:rPr>
      </w:pPr>
      <w:r w:rsidRPr="00C673E0">
        <w:rPr>
          <w:rFonts w:ascii="Times New Roman" w:hAnsi="Times New Roman"/>
          <w:bCs/>
          <w:noProof/>
          <w:sz w:val="20"/>
          <w:szCs w:val="20"/>
          <w:lang w:bidi="ar-EG"/>
        </w:rPr>
        <w:t>Pearson</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M</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and</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Jones</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S</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(2016):</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Long</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Noncoding</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RNAs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the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Regulation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of</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Inflammatory</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Pathways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Rheumatoid</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Arthritis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and</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lastRenderedPageBreak/>
        <w:t>Osteoarthritis.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Arithritis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and</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rheumatology</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Journal;68(11):</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2575–2583.</w:t>
      </w:r>
      <w:r w:rsidR="003E3F44" w:rsidRPr="00C673E0">
        <w:rPr>
          <w:rFonts w:ascii="Times New Roman" w:hAnsi="Times New Roman"/>
          <w:noProof/>
          <w:sz w:val="20"/>
          <w:szCs w:val="20"/>
          <w:lang w:bidi="ar-EG"/>
        </w:rPr>
        <w:t xml:space="preserve"> </w:t>
      </w:r>
    </w:p>
    <w:p w:rsidR="007E0E4D" w:rsidRPr="00C673E0" w:rsidRDefault="007E0E4D" w:rsidP="006D0665">
      <w:pPr>
        <w:numPr>
          <w:ilvl w:val="0"/>
          <w:numId w:val="20"/>
        </w:numPr>
        <w:snapToGrid w:val="0"/>
        <w:spacing w:after="0" w:line="240" w:lineRule="auto"/>
        <w:ind w:left="425" w:hanging="425"/>
        <w:jc w:val="both"/>
        <w:rPr>
          <w:rFonts w:ascii="Times New Roman" w:hAnsi="Times New Roman"/>
          <w:bCs/>
          <w:noProof/>
          <w:sz w:val="20"/>
          <w:szCs w:val="20"/>
          <w:lang w:bidi="ar-EG"/>
        </w:rPr>
      </w:pPr>
      <w:r w:rsidRPr="00C673E0">
        <w:rPr>
          <w:rFonts w:ascii="Times New Roman" w:hAnsi="Times New Roman"/>
          <w:bCs/>
          <w:noProof/>
          <w:sz w:val="20"/>
          <w:szCs w:val="20"/>
          <w:lang w:bidi="ar-EG"/>
        </w:rPr>
        <w:t>Polman</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C,</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Reingold</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S,</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Banwell</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B</w:t>
      </w:r>
      <w:r w:rsidR="003E3F44" w:rsidRPr="00C673E0">
        <w:rPr>
          <w:rFonts w:ascii="Times New Roman" w:hAnsi="Times New Roman"/>
          <w:bCs/>
          <w:noProof/>
          <w:sz w:val="20"/>
          <w:szCs w:val="20"/>
          <w:lang w:bidi="ar-EG"/>
        </w:rPr>
        <w:t xml:space="preserve"> </w:t>
      </w:r>
      <w:r w:rsidRPr="00C673E0">
        <w:rPr>
          <w:rFonts w:ascii="Times New Roman" w:hAnsi="Times New Roman"/>
          <w:bCs/>
          <w:i/>
          <w:iCs/>
          <w:noProof/>
          <w:sz w:val="20"/>
          <w:szCs w:val="20"/>
          <w:lang w:bidi="ar-EG"/>
        </w:rPr>
        <w:t>et</w:t>
      </w:r>
      <w:r w:rsidR="003E3F44" w:rsidRPr="00C673E0">
        <w:rPr>
          <w:rFonts w:ascii="Times New Roman" w:hAnsi="Times New Roman"/>
          <w:bCs/>
          <w:i/>
          <w:iCs/>
          <w:noProof/>
          <w:sz w:val="20"/>
          <w:szCs w:val="20"/>
          <w:lang w:bidi="ar-EG"/>
        </w:rPr>
        <w:t xml:space="preserve"> </w:t>
      </w:r>
      <w:r w:rsidRPr="00C673E0">
        <w:rPr>
          <w:rFonts w:ascii="Times New Roman" w:hAnsi="Times New Roman"/>
          <w:bCs/>
          <w:i/>
          <w:iCs/>
          <w:noProof/>
          <w:sz w:val="20"/>
          <w:szCs w:val="20"/>
          <w:lang w:bidi="ar-EG"/>
        </w:rPr>
        <w:t>al</w:t>
      </w:r>
      <w:r w:rsidRPr="00C673E0">
        <w:rPr>
          <w:rFonts w:ascii="Times New Roman" w:hAnsi="Times New Roman"/>
          <w:bCs/>
          <w:noProof/>
          <w:sz w:val="20"/>
          <w:szCs w:val="20"/>
          <w:lang w:bidi="ar-EG"/>
        </w:rPr>
        <w:t>.,</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(2011):</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Diagnostic</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criteria</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for</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multiple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sclerosis: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2010</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revisions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to</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the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McDonald</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criteria.</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Annals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of</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Neurology;</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69:</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292–302.</w:t>
      </w:r>
    </w:p>
    <w:p w:rsidR="007E0E4D" w:rsidRPr="00C673E0" w:rsidRDefault="007E0E4D" w:rsidP="006D0665">
      <w:pPr>
        <w:numPr>
          <w:ilvl w:val="0"/>
          <w:numId w:val="20"/>
        </w:numPr>
        <w:snapToGrid w:val="0"/>
        <w:spacing w:after="0" w:line="240" w:lineRule="auto"/>
        <w:ind w:left="425" w:hanging="425"/>
        <w:jc w:val="both"/>
        <w:rPr>
          <w:rFonts w:ascii="Times New Roman" w:hAnsi="Times New Roman"/>
          <w:bCs/>
          <w:noProof/>
          <w:sz w:val="20"/>
          <w:szCs w:val="20"/>
          <w:lang w:bidi="ar-EG"/>
        </w:rPr>
      </w:pPr>
      <w:r w:rsidRPr="00C673E0">
        <w:rPr>
          <w:rFonts w:ascii="Times New Roman" w:hAnsi="Times New Roman"/>
          <w:bCs/>
          <w:noProof/>
          <w:sz w:val="20"/>
          <w:szCs w:val="20"/>
          <w:lang w:bidi="ar-EG"/>
        </w:rPr>
        <w:t>Safari</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M,</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Rezaei</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F,</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Dehghan</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A</w:t>
      </w:r>
      <w:r w:rsidR="003E3F44" w:rsidRPr="00C673E0">
        <w:rPr>
          <w:rFonts w:ascii="Times New Roman" w:hAnsi="Times New Roman"/>
          <w:bCs/>
          <w:noProof/>
          <w:sz w:val="20"/>
          <w:szCs w:val="20"/>
          <w:lang w:bidi="ar-EG"/>
        </w:rPr>
        <w:t xml:space="preserve"> </w:t>
      </w:r>
      <w:r w:rsidRPr="00C673E0">
        <w:rPr>
          <w:rFonts w:ascii="Times New Roman" w:hAnsi="Times New Roman"/>
          <w:bCs/>
          <w:i/>
          <w:iCs/>
          <w:noProof/>
          <w:sz w:val="20"/>
          <w:szCs w:val="20"/>
          <w:lang w:bidi="ar-EG"/>
        </w:rPr>
        <w:t>et</w:t>
      </w:r>
      <w:r w:rsidR="003E3F44" w:rsidRPr="00C673E0">
        <w:rPr>
          <w:rFonts w:ascii="Times New Roman" w:hAnsi="Times New Roman"/>
          <w:bCs/>
          <w:i/>
          <w:iCs/>
          <w:noProof/>
          <w:sz w:val="20"/>
          <w:szCs w:val="20"/>
          <w:lang w:bidi="ar-EG"/>
        </w:rPr>
        <w:t xml:space="preserve"> </w:t>
      </w:r>
      <w:r w:rsidRPr="00C673E0">
        <w:rPr>
          <w:rFonts w:ascii="Times New Roman" w:hAnsi="Times New Roman"/>
          <w:bCs/>
          <w:i/>
          <w:iCs/>
          <w:noProof/>
          <w:sz w:val="20"/>
          <w:szCs w:val="20"/>
          <w:lang w:bidi="ar-EG"/>
        </w:rPr>
        <w:t>al</w:t>
      </w:r>
      <w:r w:rsidRPr="00C673E0">
        <w:rPr>
          <w:rFonts w:ascii="Times New Roman" w:hAnsi="Times New Roman"/>
          <w:bCs/>
          <w:noProof/>
          <w:sz w:val="20"/>
          <w:szCs w:val="20"/>
          <w:lang w:bidi="ar-EG"/>
        </w:rPr>
        <w:t>.,</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(2019):</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Genomic</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variants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within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the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long</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non-coding</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RNA</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H19</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confer</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risk</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of</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breast</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cancer</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Iranian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population.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Gene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Journal;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701:</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121–124.</w:t>
      </w:r>
    </w:p>
    <w:p w:rsidR="007E0E4D" w:rsidRPr="00C673E0" w:rsidRDefault="007E0E4D" w:rsidP="006D0665">
      <w:pPr>
        <w:numPr>
          <w:ilvl w:val="0"/>
          <w:numId w:val="20"/>
        </w:numPr>
        <w:snapToGrid w:val="0"/>
        <w:spacing w:after="0" w:line="240" w:lineRule="auto"/>
        <w:ind w:left="425" w:hanging="425"/>
        <w:jc w:val="both"/>
        <w:rPr>
          <w:rFonts w:ascii="Times New Roman" w:hAnsi="Times New Roman"/>
          <w:bCs/>
          <w:noProof/>
          <w:sz w:val="20"/>
          <w:szCs w:val="20"/>
          <w:lang w:bidi="ar-EG"/>
        </w:rPr>
      </w:pPr>
      <w:r w:rsidRPr="00C673E0">
        <w:rPr>
          <w:rFonts w:ascii="Times New Roman" w:hAnsi="Times New Roman"/>
          <w:bCs/>
          <w:noProof/>
          <w:sz w:val="20"/>
          <w:szCs w:val="20"/>
          <w:lang w:bidi="ar-EG"/>
        </w:rPr>
        <w:t>Santoro</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M,</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Nociti</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V,</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Lucchini</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M</w:t>
      </w:r>
      <w:r w:rsidR="003E3F44" w:rsidRPr="00C673E0">
        <w:rPr>
          <w:rFonts w:ascii="Times New Roman" w:hAnsi="Times New Roman"/>
          <w:bCs/>
          <w:noProof/>
          <w:sz w:val="20"/>
          <w:szCs w:val="20"/>
          <w:lang w:bidi="ar-EG"/>
        </w:rPr>
        <w:t xml:space="preserve"> </w:t>
      </w:r>
      <w:r w:rsidRPr="00C673E0">
        <w:rPr>
          <w:rFonts w:ascii="Times New Roman" w:hAnsi="Times New Roman"/>
          <w:bCs/>
          <w:i/>
          <w:iCs/>
          <w:noProof/>
          <w:sz w:val="20"/>
          <w:szCs w:val="20"/>
          <w:lang w:bidi="ar-EG"/>
        </w:rPr>
        <w:t>et</w:t>
      </w:r>
      <w:r w:rsidR="003E3F44" w:rsidRPr="00C673E0">
        <w:rPr>
          <w:rFonts w:ascii="Times New Roman" w:hAnsi="Times New Roman"/>
          <w:bCs/>
          <w:i/>
          <w:iCs/>
          <w:noProof/>
          <w:sz w:val="20"/>
          <w:szCs w:val="20"/>
          <w:lang w:bidi="ar-EG"/>
        </w:rPr>
        <w:t xml:space="preserve"> </w:t>
      </w:r>
      <w:r w:rsidRPr="00C673E0">
        <w:rPr>
          <w:rFonts w:ascii="Times New Roman" w:hAnsi="Times New Roman"/>
          <w:bCs/>
          <w:i/>
          <w:iCs/>
          <w:noProof/>
          <w:sz w:val="20"/>
          <w:szCs w:val="20"/>
          <w:lang w:bidi="ar-EG"/>
        </w:rPr>
        <w:t>al</w:t>
      </w:r>
      <w:r w:rsidRPr="00C673E0">
        <w:rPr>
          <w:rFonts w:ascii="Times New Roman" w:hAnsi="Times New Roman"/>
          <w:bCs/>
          <w:noProof/>
          <w:sz w:val="20"/>
          <w:szCs w:val="20"/>
          <w:lang w:bidi="ar-EG"/>
        </w:rPr>
        <w:t>.,</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(2016):</w:t>
      </w:r>
      <w:r w:rsidR="003E3F44" w:rsidRPr="00C673E0">
        <w:rPr>
          <w:rFonts w:ascii="Times New Roman" w:hAnsi="Times New Roman"/>
          <w:bCs/>
          <w:noProof/>
          <w:sz w:val="20"/>
          <w:szCs w:val="20"/>
          <w:lang w:bidi="ar-EG"/>
        </w:rPr>
        <w:t xml:space="preserve"> </w:t>
      </w:r>
      <w:r w:rsidRPr="00C673E0">
        <w:rPr>
          <w:rFonts w:ascii="Times New Roman" w:hAnsi="Times New Roman"/>
          <w:noProof/>
          <w:sz w:val="20"/>
          <w:szCs w:val="20"/>
          <w:lang w:bidi="ar-EG"/>
        </w:rPr>
        <w:t>Expression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Profile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of</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Long</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Non-Coding</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RNAs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Serum</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of</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Patients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with</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Multiple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Sclerosis.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Journal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of</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Molecular</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Neuroscience;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59(1):</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18–23.</w:t>
      </w:r>
      <w:r w:rsidR="003E3F44" w:rsidRPr="00C673E0">
        <w:rPr>
          <w:rFonts w:ascii="Times New Roman" w:hAnsi="Times New Roman"/>
          <w:noProof/>
          <w:sz w:val="20"/>
          <w:szCs w:val="20"/>
          <w:lang w:bidi="ar-EG"/>
        </w:rPr>
        <w:t xml:space="preserve"> </w:t>
      </w:r>
    </w:p>
    <w:p w:rsidR="007E0E4D" w:rsidRPr="00C673E0" w:rsidRDefault="007E0E4D" w:rsidP="006D0665">
      <w:pPr>
        <w:numPr>
          <w:ilvl w:val="0"/>
          <w:numId w:val="20"/>
        </w:numPr>
        <w:snapToGrid w:val="0"/>
        <w:spacing w:after="0" w:line="240" w:lineRule="auto"/>
        <w:ind w:left="425" w:hanging="425"/>
        <w:jc w:val="both"/>
        <w:rPr>
          <w:rFonts w:ascii="Times New Roman" w:hAnsi="Times New Roman"/>
          <w:bCs/>
          <w:noProof/>
          <w:sz w:val="20"/>
          <w:szCs w:val="20"/>
          <w:lang w:bidi="ar-EG"/>
        </w:rPr>
      </w:pPr>
      <w:r w:rsidRPr="00C673E0">
        <w:rPr>
          <w:rFonts w:ascii="Times New Roman" w:hAnsi="Times New Roman"/>
          <w:bCs/>
          <w:noProof/>
          <w:sz w:val="20"/>
          <w:szCs w:val="20"/>
          <w:lang w:bidi="ar-EG"/>
        </w:rPr>
        <w:t>Shao</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X</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(2018):</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Protective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Role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of</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NF-κB</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Inflammatory</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Demyelination.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The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Journal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of</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Neuroscience;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38(10):</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2416–2417.</w:t>
      </w:r>
    </w:p>
    <w:p w:rsidR="007E0E4D" w:rsidRPr="00C673E0" w:rsidRDefault="007E0E4D" w:rsidP="006D0665">
      <w:pPr>
        <w:numPr>
          <w:ilvl w:val="0"/>
          <w:numId w:val="20"/>
        </w:numPr>
        <w:snapToGrid w:val="0"/>
        <w:spacing w:after="0" w:line="240" w:lineRule="auto"/>
        <w:ind w:left="425" w:hanging="425"/>
        <w:jc w:val="both"/>
        <w:rPr>
          <w:rFonts w:ascii="Times New Roman" w:hAnsi="Times New Roman"/>
          <w:noProof/>
          <w:sz w:val="20"/>
          <w:szCs w:val="20"/>
          <w:lang w:bidi="ar-EG"/>
        </w:rPr>
      </w:pPr>
      <w:r w:rsidRPr="00C673E0">
        <w:rPr>
          <w:rFonts w:ascii="Times New Roman" w:hAnsi="Times New Roman"/>
          <w:bCs/>
          <w:noProof/>
          <w:sz w:val="20"/>
          <w:szCs w:val="20"/>
          <w:lang w:bidi="ar-EG"/>
        </w:rPr>
        <w:t>Spurlock</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C,</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Tossberg</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J,</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Matlock</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B</w:t>
      </w:r>
      <w:r w:rsidR="003E3F44" w:rsidRPr="00C673E0">
        <w:rPr>
          <w:rFonts w:ascii="Times New Roman" w:hAnsi="Times New Roman"/>
          <w:bCs/>
          <w:noProof/>
          <w:sz w:val="20"/>
          <w:szCs w:val="20"/>
          <w:lang w:bidi="ar-EG"/>
        </w:rPr>
        <w:t xml:space="preserve"> </w:t>
      </w:r>
      <w:r w:rsidRPr="00C673E0">
        <w:rPr>
          <w:rFonts w:ascii="Times New Roman" w:hAnsi="Times New Roman"/>
          <w:bCs/>
          <w:i/>
          <w:iCs/>
          <w:noProof/>
          <w:sz w:val="20"/>
          <w:szCs w:val="20"/>
          <w:lang w:bidi="ar-EG"/>
        </w:rPr>
        <w:t>et</w:t>
      </w:r>
      <w:r w:rsidR="003E3F44" w:rsidRPr="00C673E0">
        <w:rPr>
          <w:rFonts w:ascii="Times New Roman" w:hAnsi="Times New Roman"/>
          <w:bCs/>
          <w:i/>
          <w:iCs/>
          <w:noProof/>
          <w:sz w:val="20"/>
          <w:szCs w:val="20"/>
          <w:lang w:bidi="ar-EG"/>
        </w:rPr>
        <w:t xml:space="preserve"> </w:t>
      </w:r>
      <w:r w:rsidRPr="00C673E0">
        <w:rPr>
          <w:rFonts w:ascii="Times New Roman" w:hAnsi="Times New Roman"/>
          <w:bCs/>
          <w:i/>
          <w:iCs/>
          <w:noProof/>
          <w:sz w:val="20"/>
          <w:szCs w:val="20"/>
          <w:lang w:bidi="ar-EG"/>
        </w:rPr>
        <w:t>al</w:t>
      </w:r>
      <w:r w:rsidRPr="00C673E0">
        <w:rPr>
          <w:rFonts w:ascii="Times New Roman" w:hAnsi="Times New Roman"/>
          <w:bCs/>
          <w:noProof/>
          <w:sz w:val="20"/>
          <w:szCs w:val="20"/>
          <w:lang w:bidi="ar-EG"/>
        </w:rPr>
        <w:t>.,</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(2014):</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Methotrexate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inhibits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NF-κB</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activity</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via</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lincRNA-p21</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induction.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Arthritis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and</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Rheumatology</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Journal;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66(11):</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2947–2957.</w:t>
      </w:r>
      <w:r w:rsidR="003E3F44" w:rsidRPr="00C673E0">
        <w:rPr>
          <w:rFonts w:ascii="Times New Roman" w:hAnsi="Times New Roman"/>
          <w:noProof/>
          <w:sz w:val="20"/>
          <w:szCs w:val="20"/>
          <w:lang w:bidi="ar-EG"/>
        </w:rPr>
        <w:t xml:space="preserve"> </w:t>
      </w:r>
    </w:p>
    <w:p w:rsidR="007E0E4D" w:rsidRPr="00C673E0" w:rsidRDefault="007E0E4D" w:rsidP="006D0665">
      <w:pPr>
        <w:numPr>
          <w:ilvl w:val="0"/>
          <w:numId w:val="20"/>
        </w:numPr>
        <w:autoSpaceDE w:val="0"/>
        <w:autoSpaceDN w:val="0"/>
        <w:adjustRightInd w:val="0"/>
        <w:snapToGrid w:val="0"/>
        <w:spacing w:after="0" w:line="240" w:lineRule="auto"/>
        <w:ind w:left="425" w:hanging="425"/>
        <w:jc w:val="both"/>
        <w:rPr>
          <w:rFonts w:ascii="Times New Roman" w:hAnsi="Times New Roman"/>
          <w:noProof/>
          <w:sz w:val="20"/>
          <w:szCs w:val="20"/>
          <w:lang w:bidi="ar-EG"/>
        </w:rPr>
      </w:pPr>
      <w:r w:rsidRPr="00C673E0">
        <w:rPr>
          <w:rFonts w:ascii="Times New Roman" w:hAnsi="Times New Roman"/>
          <w:bCs/>
          <w:noProof/>
          <w:sz w:val="20"/>
          <w:szCs w:val="20"/>
          <w:lang w:bidi="ar-EG"/>
        </w:rPr>
        <w:t>Stuhlmüller</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B,</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Kunisch</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E,</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Franz</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J</w:t>
      </w:r>
      <w:r w:rsidR="003E3F44" w:rsidRPr="00C673E0">
        <w:rPr>
          <w:rFonts w:ascii="Times New Roman" w:hAnsi="Times New Roman"/>
          <w:bCs/>
          <w:noProof/>
          <w:sz w:val="20"/>
          <w:szCs w:val="20"/>
          <w:lang w:bidi="ar-EG"/>
        </w:rPr>
        <w:t xml:space="preserve"> </w:t>
      </w:r>
      <w:r w:rsidRPr="00C673E0">
        <w:rPr>
          <w:rFonts w:ascii="Times New Roman" w:hAnsi="Times New Roman"/>
          <w:bCs/>
          <w:i/>
          <w:iCs/>
          <w:noProof/>
          <w:sz w:val="20"/>
          <w:szCs w:val="20"/>
          <w:lang w:bidi="ar-EG"/>
        </w:rPr>
        <w:t>et</w:t>
      </w:r>
      <w:r w:rsidR="003E3F44" w:rsidRPr="00C673E0">
        <w:rPr>
          <w:rFonts w:ascii="Times New Roman" w:hAnsi="Times New Roman"/>
          <w:bCs/>
          <w:i/>
          <w:iCs/>
          <w:noProof/>
          <w:sz w:val="20"/>
          <w:szCs w:val="20"/>
          <w:lang w:bidi="ar-EG"/>
        </w:rPr>
        <w:t xml:space="preserve"> </w:t>
      </w:r>
      <w:r w:rsidRPr="00C673E0">
        <w:rPr>
          <w:rFonts w:ascii="Times New Roman" w:hAnsi="Times New Roman"/>
          <w:bCs/>
          <w:i/>
          <w:iCs/>
          <w:noProof/>
          <w:sz w:val="20"/>
          <w:szCs w:val="20"/>
          <w:lang w:bidi="ar-EG"/>
        </w:rPr>
        <w:t>al</w:t>
      </w:r>
      <w:r w:rsidRPr="00C673E0">
        <w:rPr>
          <w:rFonts w:ascii="Times New Roman" w:hAnsi="Times New Roman"/>
          <w:bCs/>
          <w:noProof/>
          <w:sz w:val="20"/>
          <w:szCs w:val="20"/>
          <w:lang w:bidi="ar-EG"/>
        </w:rPr>
        <w:t>.,</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(2003):</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Detection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of</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oncofetal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H19</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RNA</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rheumatoid</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arthritis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synovial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tissue.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American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Journal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of</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Pathology;</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163(3):</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901–911.</w:t>
      </w:r>
    </w:p>
    <w:p w:rsidR="007E0E4D" w:rsidRPr="00C673E0" w:rsidRDefault="007E0E4D" w:rsidP="006D0665">
      <w:pPr>
        <w:numPr>
          <w:ilvl w:val="0"/>
          <w:numId w:val="20"/>
        </w:numPr>
        <w:autoSpaceDE w:val="0"/>
        <w:autoSpaceDN w:val="0"/>
        <w:adjustRightInd w:val="0"/>
        <w:snapToGrid w:val="0"/>
        <w:spacing w:after="0" w:line="240" w:lineRule="auto"/>
        <w:ind w:left="425" w:hanging="425"/>
        <w:jc w:val="both"/>
        <w:rPr>
          <w:rFonts w:ascii="Times New Roman" w:hAnsi="Times New Roman"/>
          <w:noProof/>
          <w:sz w:val="20"/>
          <w:szCs w:val="20"/>
          <w:lang w:bidi="ar-EG"/>
        </w:rPr>
      </w:pPr>
      <w:r w:rsidRPr="00C673E0">
        <w:rPr>
          <w:rFonts w:ascii="Times New Roman" w:hAnsi="Times New Roman"/>
          <w:bCs/>
          <w:noProof/>
          <w:sz w:val="20"/>
          <w:szCs w:val="20"/>
          <w:lang w:bidi="ar-EG"/>
        </w:rPr>
        <w:t>Sun</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W,</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Lv</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J,</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Duan</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L</w:t>
      </w:r>
      <w:r w:rsidR="003E3F44" w:rsidRPr="00C673E0">
        <w:rPr>
          <w:rFonts w:ascii="Times New Roman" w:hAnsi="Times New Roman"/>
          <w:bCs/>
          <w:noProof/>
          <w:sz w:val="20"/>
          <w:szCs w:val="20"/>
          <w:lang w:bidi="ar-EG"/>
        </w:rPr>
        <w:t xml:space="preserve"> </w:t>
      </w:r>
      <w:r w:rsidRPr="00C673E0">
        <w:rPr>
          <w:rFonts w:ascii="Times New Roman" w:hAnsi="Times New Roman"/>
          <w:bCs/>
          <w:i/>
          <w:iCs/>
          <w:noProof/>
          <w:sz w:val="20"/>
          <w:szCs w:val="20"/>
          <w:lang w:bidi="ar-EG"/>
        </w:rPr>
        <w:t>et</w:t>
      </w:r>
      <w:r w:rsidR="003E3F44" w:rsidRPr="00C673E0">
        <w:rPr>
          <w:rFonts w:ascii="Times New Roman" w:hAnsi="Times New Roman"/>
          <w:bCs/>
          <w:i/>
          <w:iCs/>
          <w:noProof/>
          <w:sz w:val="20"/>
          <w:szCs w:val="20"/>
          <w:lang w:bidi="ar-EG"/>
        </w:rPr>
        <w:t xml:space="preserve"> </w:t>
      </w:r>
      <w:r w:rsidRPr="00C673E0">
        <w:rPr>
          <w:rFonts w:ascii="Times New Roman" w:hAnsi="Times New Roman"/>
          <w:bCs/>
          <w:i/>
          <w:iCs/>
          <w:noProof/>
          <w:sz w:val="20"/>
          <w:szCs w:val="20"/>
          <w:lang w:bidi="ar-EG"/>
        </w:rPr>
        <w:t>al</w:t>
      </w:r>
      <w:r w:rsidRPr="00C673E0">
        <w:rPr>
          <w:rFonts w:ascii="Times New Roman" w:hAnsi="Times New Roman"/>
          <w:bCs/>
          <w:noProof/>
          <w:sz w:val="20"/>
          <w:szCs w:val="20"/>
          <w:lang w:bidi="ar-EG"/>
        </w:rPr>
        <w:t>.,</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(2019):</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Long</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noncoding</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RNA</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H19</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promotes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vascular</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remodeling</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by</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sponging</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let-7a</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to</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upregulate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the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expression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of</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cyclin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D1.</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Biochemical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and</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Biophysical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Research</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Communications;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508(4):</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1038–1042.</w:t>
      </w:r>
      <w:r w:rsidR="003E3F44" w:rsidRPr="00C673E0">
        <w:rPr>
          <w:rFonts w:ascii="Times New Roman" w:hAnsi="Times New Roman"/>
          <w:noProof/>
          <w:sz w:val="20"/>
          <w:szCs w:val="20"/>
          <w:lang w:bidi="ar-EG"/>
        </w:rPr>
        <w:t xml:space="preserve"> </w:t>
      </w:r>
    </w:p>
    <w:p w:rsidR="007E0E4D" w:rsidRPr="00C673E0" w:rsidRDefault="007E0E4D" w:rsidP="006D0665">
      <w:pPr>
        <w:numPr>
          <w:ilvl w:val="0"/>
          <w:numId w:val="20"/>
        </w:numPr>
        <w:autoSpaceDE w:val="0"/>
        <w:autoSpaceDN w:val="0"/>
        <w:adjustRightInd w:val="0"/>
        <w:snapToGrid w:val="0"/>
        <w:spacing w:after="0" w:line="240" w:lineRule="auto"/>
        <w:ind w:left="425" w:hanging="425"/>
        <w:jc w:val="both"/>
        <w:rPr>
          <w:rFonts w:ascii="Times New Roman" w:hAnsi="Times New Roman"/>
          <w:noProof/>
          <w:sz w:val="20"/>
          <w:szCs w:val="20"/>
          <w:lang w:bidi="ar-EG"/>
        </w:rPr>
      </w:pPr>
      <w:r w:rsidRPr="00C673E0">
        <w:rPr>
          <w:rFonts w:ascii="Times New Roman" w:hAnsi="Times New Roman"/>
          <w:bCs/>
          <w:noProof/>
          <w:sz w:val="20"/>
          <w:szCs w:val="20"/>
          <w:lang w:bidi="ar-EG"/>
        </w:rPr>
        <w:t>Tang</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S,</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Zheng</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B,</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Xiong</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X</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(2015):</w:t>
      </w:r>
      <w:r w:rsidR="003E3F44" w:rsidRPr="00C673E0">
        <w:rPr>
          <w:rFonts w:ascii="Times New Roman" w:hAnsi="Times New Roman"/>
          <w:bCs/>
          <w:noProof/>
          <w:sz w:val="20"/>
          <w:szCs w:val="20"/>
          <w:lang w:bidi="ar-EG"/>
        </w:rPr>
        <w:t xml:space="preserve"> </w:t>
      </w:r>
      <w:r w:rsidRPr="00C673E0">
        <w:rPr>
          <w:rFonts w:ascii="Times New Roman" w:hAnsi="Times New Roman"/>
          <w:noProof/>
          <w:sz w:val="20"/>
          <w:szCs w:val="20"/>
          <w:lang w:bidi="ar-EG"/>
        </w:rPr>
        <w:t>LincRNA-p21:</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Implications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human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diseases.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International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Journal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of</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Molecular</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Sciences;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16(8):</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18732–18740.</w:t>
      </w:r>
    </w:p>
    <w:p w:rsidR="007E0E4D" w:rsidRPr="00C673E0" w:rsidRDefault="007E0E4D" w:rsidP="006D0665">
      <w:pPr>
        <w:numPr>
          <w:ilvl w:val="0"/>
          <w:numId w:val="20"/>
        </w:numPr>
        <w:autoSpaceDE w:val="0"/>
        <w:autoSpaceDN w:val="0"/>
        <w:adjustRightInd w:val="0"/>
        <w:snapToGrid w:val="0"/>
        <w:spacing w:after="0" w:line="240" w:lineRule="auto"/>
        <w:ind w:left="425" w:hanging="425"/>
        <w:jc w:val="both"/>
        <w:rPr>
          <w:rFonts w:ascii="Times New Roman" w:hAnsi="Times New Roman"/>
          <w:noProof/>
          <w:sz w:val="20"/>
          <w:szCs w:val="20"/>
          <w:lang w:bidi="ar-EG"/>
        </w:rPr>
      </w:pPr>
      <w:r w:rsidRPr="00C673E0">
        <w:rPr>
          <w:rFonts w:ascii="Times New Roman" w:hAnsi="Times New Roman"/>
          <w:bCs/>
          <w:noProof/>
          <w:sz w:val="20"/>
          <w:szCs w:val="20"/>
          <w:lang w:bidi="ar-EG"/>
        </w:rPr>
        <w:t>Venkatraman</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A,</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He</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X,</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Thorvaldsen</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J</w:t>
      </w:r>
      <w:r w:rsidR="003E3F44" w:rsidRPr="00C673E0">
        <w:rPr>
          <w:rFonts w:ascii="Times New Roman" w:hAnsi="Times New Roman"/>
          <w:bCs/>
          <w:noProof/>
          <w:sz w:val="20"/>
          <w:szCs w:val="20"/>
          <w:lang w:bidi="ar-EG"/>
        </w:rPr>
        <w:t xml:space="preserve"> </w:t>
      </w:r>
      <w:r w:rsidRPr="00C673E0">
        <w:rPr>
          <w:rFonts w:ascii="Times New Roman" w:hAnsi="Times New Roman"/>
          <w:bCs/>
          <w:i/>
          <w:iCs/>
          <w:noProof/>
          <w:sz w:val="20"/>
          <w:szCs w:val="20"/>
          <w:lang w:bidi="ar-EG"/>
        </w:rPr>
        <w:t>et</w:t>
      </w:r>
      <w:r w:rsidR="003E3F44" w:rsidRPr="00C673E0">
        <w:rPr>
          <w:rFonts w:ascii="Times New Roman" w:hAnsi="Times New Roman"/>
          <w:bCs/>
          <w:i/>
          <w:iCs/>
          <w:noProof/>
          <w:sz w:val="20"/>
          <w:szCs w:val="20"/>
          <w:lang w:bidi="ar-EG"/>
        </w:rPr>
        <w:t xml:space="preserve"> </w:t>
      </w:r>
      <w:r w:rsidRPr="00C673E0">
        <w:rPr>
          <w:rFonts w:ascii="Times New Roman" w:hAnsi="Times New Roman"/>
          <w:bCs/>
          <w:i/>
          <w:iCs/>
          <w:noProof/>
          <w:sz w:val="20"/>
          <w:szCs w:val="20"/>
          <w:lang w:bidi="ar-EG"/>
        </w:rPr>
        <w:t>al</w:t>
      </w:r>
      <w:r w:rsidRPr="00C673E0">
        <w:rPr>
          <w:rFonts w:ascii="Times New Roman" w:hAnsi="Times New Roman"/>
          <w:bCs/>
          <w:noProof/>
          <w:sz w:val="20"/>
          <w:szCs w:val="20"/>
          <w:lang w:bidi="ar-EG"/>
        </w:rPr>
        <w:t>.,</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(2013):</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Maternal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imprinting</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at</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the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H19–Igf2</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locus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maintains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adult</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haematopoietic</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stem</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cell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quiescence.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Nature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Journal;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500:</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345-349.</w:t>
      </w:r>
      <w:r w:rsidR="003E3F44" w:rsidRPr="00C673E0">
        <w:rPr>
          <w:rFonts w:ascii="Times New Roman" w:hAnsi="Times New Roman"/>
          <w:noProof/>
          <w:sz w:val="20"/>
          <w:szCs w:val="20"/>
          <w:lang w:bidi="ar-EG"/>
        </w:rPr>
        <w:t xml:space="preserve"> </w:t>
      </w:r>
    </w:p>
    <w:p w:rsidR="007E0E4D" w:rsidRPr="00C673E0" w:rsidRDefault="007E0E4D" w:rsidP="006D0665">
      <w:pPr>
        <w:numPr>
          <w:ilvl w:val="0"/>
          <w:numId w:val="20"/>
        </w:numPr>
        <w:autoSpaceDE w:val="0"/>
        <w:autoSpaceDN w:val="0"/>
        <w:adjustRightInd w:val="0"/>
        <w:snapToGrid w:val="0"/>
        <w:spacing w:after="0" w:line="240" w:lineRule="auto"/>
        <w:ind w:left="425" w:hanging="425"/>
        <w:jc w:val="both"/>
        <w:rPr>
          <w:rFonts w:ascii="Times New Roman" w:hAnsi="Times New Roman"/>
          <w:noProof/>
          <w:sz w:val="20"/>
          <w:szCs w:val="20"/>
          <w:lang w:bidi="ar-EG"/>
        </w:rPr>
      </w:pPr>
      <w:r w:rsidRPr="00C673E0">
        <w:rPr>
          <w:rFonts w:ascii="Times New Roman" w:hAnsi="Times New Roman"/>
          <w:bCs/>
          <w:noProof/>
          <w:sz w:val="20"/>
          <w:szCs w:val="20"/>
          <w:lang w:bidi="ar-EG"/>
        </w:rPr>
        <w:lastRenderedPageBreak/>
        <w:t>Wu</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G,</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Cai</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J,</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Han</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Y</w:t>
      </w:r>
      <w:r w:rsidR="003E3F44" w:rsidRPr="00C673E0">
        <w:rPr>
          <w:rFonts w:ascii="Times New Roman" w:hAnsi="Times New Roman"/>
          <w:bCs/>
          <w:noProof/>
          <w:sz w:val="20"/>
          <w:szCs w:val="20"/>
          <w:lang w:bidi="ar-EG"/>
        </w:rPr>
        <w:t xml:space="preserve"> </w:t>
      </w:r>
      <w:r w:rsidRPr="00C673E0">
        <w:rPr>
          <w:rFonts w:ascii="Times New Roman" w:hAnsi="Times New Roman"/>
          <w:bCs/>
          <w:i/>
          <w:iCs/>
          <w:noProof/>
          <w:sz w:val="20"/>
          <w:szCs w:val="20"/>
          <w:lang w:bidi="ar-EG"/>
        </w:rPr>
        <w:t>et</w:t>
      </w:r>
      <w:r w:rsidR="003E3F44" w:rsidRPr="00C673E0">
        <w:rPr>
          <w:rFonts w:ascii="Times New Roman" w:hAnsi="Times New Roman"/>
          <w:bCs/>
          <w:i/>
          <w:iCs/>
          <w:noProof/>
          <w:sz w:val="20"/>
          <w:szCs w:val="20"/>
          <w:lang w:bidi="ar-EG"/>
        </w:rPr>
        <w:t xml:space="preserve"> </w:t>
      </w:r>
      <w:r w:rsidRPr="00C673E0">
        <w:rPr>
          <w:rFonts w:ascii="Times New Roman" w:hAnsi="Times New Roman"/>
          <w:bCs/>
          <w:i/>
          <w:iCs/>
          <w:noProof/>
          <w:sz w:val="20"/>
          <w:szCs w:val="20"/>
          <w:lang w:bidi="ar-EG"/>
        </w:rPr>
        <w:t>al</w:t>
      </w:r>
      <w:r w:rsidRPr="00C673E0">
        <w:rPr>
          <w:rFonts w:ascii="Times New Roman" w:hAnsi="Times New Roman"/>
          <w:bCs/>
          <w:noProof/>
          <w:sz w:val="20"/>
          <w:szCs w:val="20"/>
          <w:lang w:bidi="ar-EG"/>
        </w:rPr>
        <w:t>.,</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(2014):</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LincRNA-</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p21</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regulates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neointima</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formation,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vascular</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smooth</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muscle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cell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proliferation,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apoptosis,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and</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atherosclerosis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by</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enhancing</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p53</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activity.</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Circulation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Journal;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130(17):</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1452–1465.</w:t>
      </w:r>
    </w:p>
    <w:p w:rsidR="007E0E4D" w:rsidRPr="00C673E0" w:rsidRDefault="007E0E4D" w:rsidP="006D0665">
      <w:pPr>
        <w:numPr>
          <w:ilvl w:val="0"/>
          <w:numId w:val="20"/>
        </w:numPr>
        <w:autoSpaceDE w:val="0"/>
        <w:autoSpaceDN w:val="0"/>
        <w:adjustRightInd w:val="0"/>
        <w:snapToGrid w:val="0"/>
        <w:spacing w:after="0" w:line="240" w:lineRule="auto"/>
        <w:ind w:left="425" w:hanging="425"/>
        <w:jc w:val="both"/>
        <w:rPr>
          <w:rFonts w:ascii="Times New Roman" w:hAnsi="Times New Roman"/>
          <w:noProof/>
          <w:sz w:val="20"/>
          <w:szCs w:val="20"/>
          <w:lang w:bidi="ar-EG"/>
        </w:rPr>
      </w:pPr>
      <w:r w:rsidRPr="00C673E0">
        <w:rPr>
          <w:rFonts w:ascii="Times New Roman" w:hAnsi="Times New Roman"/>
          <w:bCs/>
          <w:noProof/>
          <w:sz w:val="20"/>
          <w:szCs w:val="20"/>
          <w:lang w:bidi="ar-EG"/>
        </w:rPr>
        <w:t>Wu</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GC,</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Pan</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HF,</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Leng</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RX</w:t>
      </w:r>
      <w:r w:rsidR="003E3F44" w:rsidRPr="00C673E0">
        <w:rPr>
          <w:rFonts w:ascii="Times New Roman" w:hAnsi="Times New Roman"/>
          <w:bCs/>
          <w:noProof/>
          <w:sz w:val="20"/>
          <w:szCs w:val="20"/>
          <w:lang w:bidi="ar-EG"/>
        </w:rPr>
        <w:t xml:space="preserve"> </w:t>
      </w:r>
      <w:r w:rsidRPr="00C673E0">
        <w:rPr>
          <w:rFonts w:ascii="Times New Roman" w:hAnsi="Times New Roman"/>
          <w:bCs/>
          <w:i/>
          <w:iCs/>
          <w:noProof/>
          <w:sz w:val="20"/>
          <w:szCs w:val="20"/>
          <w:lang w:bidi="ar-EG"/>
        </w:rPr>
        <w:t>et</w:t>
      </w:r>
      <w:r w:rsidR="003E3F44" w:rsidRPr="00C673E0">
        <w:rPr>
          <w:rFonts w:ascii="Times New Roman" w:hAnsi="Times New Roman"/>
          <w:bCs/>
          <w:i/>
          <w:iCs/>
          <w:noProof/>
          <w:sz w:val="20"/>
          <w:szCs w:val="20"/>
          <w:lang w:bidi="ar-EG"/>
        </w:rPr>
        <w:t xml:space="preserve"> </w:t>
      </w:r>
      <w:r w:rsidRPr="00C673E0">
        <w:rPr>
          <w:rFonts w:ascii="Times New Roman" w:hAnsi="Times New Roman"/>
          <w:bCs/>
          <w:i/>
          <w:iCs/>
          <w:noProof/>
          <w:sz w:val="20"/>
          <w:szCs w:val="20"/>
          <w:lang w:bidi="ar-EG"/>
        </w:rPr>
        <w:t>al</w:t>
      </w:r>
      <w:r w:rsidRPr="00C673E0">
        <w:rPr>
          <w:rFonts w:ascii="Times New Roman" w:hAnsi="Times New Roman"/>
          <w:bCs/>
          <w:noProof/>
          <w:sz w:val="20"/>
          <w:szCs w:val="20"/>
          <w:lang w:bidi="ar-EG"/>
        </w:rPr>
        <w:t>.,</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(2015):</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Emerging</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role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of</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long</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noncoding</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RNAs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autoimmune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diseases.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Autoimmunity</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Reviews;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14(9):</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798–805.</w:t>
      </w:r>
      <w:r w:rsidR="003E3F44" w:rsidRPr="00C673E0">
        <w:rPr>
          <w:rFonts w:ascii="Times New Roman" w:hAnsi="Times New Roman"/>
          <w:noProof/>
          <w:sz w:val="20"/>
          <w:szCs w:val="20"/>
          <w:lang w:bidi="ar-EG"/>
        </w:rPr>
        <w:t xml:space="preserve"> </w:t>
      </w:r>
    </w:p>
    <w:p w:rsidR="007E0E4D" w:rsidRPr="00C673E0" w:rsidRDefault="007E0E4D" w:rsidP="006D0665">
      <w:pPr>
        <w:numPr>
          <w:ilvl w:val="0"/>
          <w:numId w:val="20"/>
        </w:numPr>
        <w:autoSpaceDE w:val="0"/>
        <w:autoSpaceDN w:val="0"/>
        <w:adjustRightInd w:val="0"/>
        <w:snapToGrid w:val="0"/>
        <w:spacing w:after="0" w:line="240" w:lineRule="auto"/>
        <w:ind w:left="425" w:hanging="425"/>
        <w:jc w:val="both"/>
        <w:rPr>
          <w:rFonts w:ascii="Times New Roman" w:hAnsi="Times New Roman"/>
          <w:noProof/>
          <w:sz w:val="20"/>
          <w:szCs w:val="20"/>
          <w:lang w:bidi="ar-EG"/>
        </w:rPr>
      </w:pPr>
      <w:r w:rsidRPr="00C673E0">
        <w:rPr>
          <w:rFonts w:ascii="Times New Roman" w:hAnsi="Times New Roman"/>
          <w:bCs/>
          <w:noProof/>
          <w:sz w:val="20"/>
          <w:szCs w:val="20"/>
          <w:lang w:bidi="ar-EG"/>
        </w:rPr>
        <w:t>Yang</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X,</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Wu</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Y,</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Zhang</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B</w:t>
      </w:r>
      <w:r w:rsidR="003E3F44" w:rsidRPr="00C673E0">
        <w:rPr>
          <w:rFonts w:ascii="Times New Roman" w:hAnsi="Times New Roman"/>
          <w:bCs/>
          <w:noProof/>
          <w:sz w:val="20"/>
          <w:szCs w:val="20"/>
          <w:lang w:bidi="ar-EG"/>
        </w:rPr>
        <w:t xml:space="preserve"> </w:t>
      </w:r>
      <w:r w:rsidRPr="00C673E0">
        <w:rPr>
          <w:rFonts w:ascii="Times New Roman" w:hAnsi="Times New Roman"/>
          <w:bCs/>
          <w:i/>
          <w:iCs/>
          <w:noProof/>
          <w:sz w:val="20"/>
          <w:szCs w:val="20"/>
          <w:lang w:bidi="ar-EG"/>
        </w:rPr>
        <w:t>et</w:t>
      </w:r>
      <w:r w:rsidR="003E3F44" w:rsidRPr="00C673E0">
        <w:rPr>
          <w:rFonts w:ascii="Times New Roman" w:hAnsi="Times New Roman"/>
          <w:bCs/>
          <w:i/>
          <w:iCs/>
          <w:noProof/>
          <w:sz w:val="20"/>
          <w:szCs w:val="20"/>
          <w:lang w:bidi="ar-EG"/>
        </w:rPr>
        <w:t xml:space="preserve"> </w:t>
      </w:r>
      <w:r w:rsidRPr="00C673E0">
        <w:rPr>
          <w:rFonts w:ascii="Times New Roman" w:hAnsi="Times New Roman"/>
          <w:bCs/>
          <w:i/>
          <w:iCs/>
          <w:noProof/>
          <w:sz w:val="20"/>
          <w:szCs w:val="20"/>
          <w:lang w:bidi="ar-EG"/>
        </w:rPr>
        <w:t>al</w:t>
      </w:r>
      <w:r w:rsidRPr="00C673E0">
        <w:rPr>
          <w:rFonts w:ascii="Times New Roman" w:hAnsi="Times New Roman"/>
          <w:bCs/>
          <w:noProof/>
          <w:sz w:val="20"/>
          <w:szCs w:val="20"/>
          <w:lang w:bidi="ar-EG"/>
        </w:rPr>
        <w:t>.,</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(2018):</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Noncoding</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RNAs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multiple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sclerosis.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Journal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of</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Clinical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Epigenetics;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10(1):</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1–12.</w:t>
      </w:r>
      <w:r w:rsidR="003E3F44" w:rsidRPr="00C673E0">
        <w:rPr>
          <w:rFonts w:ascii="Times New Roman" w:hAnsi="Times New Roman"/>
          <w:noProof/>
          <w:sz w:val="20"/>
          <w:szCs w:val="20"/>
          <w:lang w:bidi="ar-EG"/>
        </w:rPr>
        <w:t xml:space="preserve"> </w:t>
      </w:r>
    </w:p>
    <w:p w:rsidR="007E0E4D" w:rsidRPr="00C673E0" w:rsidRDefault="007E0E4D" w:rsidP="006D0665">
      <w:pPr>
        <w:numPr>
          <w:ilvl w:val="0"/>
          <w:numId w:val="20"/>
        </w:numPr>
        <w:autoSpaceDE w:val="0"/>
        <w:autoSpaceDN w:val="0"/>
        <w:adjustRightInd w:val="0"/>
        <w:snapToGrid w:val="0"/>
        <w:spacing w:after="0" w:line="240" w:lineRule="auto"/>
        <w:ind w:left="425" w:hanging="425"/>
        <w:jc w:val="both"/>
        <w:rPr>
          <w:rFonts w:ascii="Times New Roman" w:hAnsi="Times New Roman"/>
          <w:noProof/>
          <w:sz w:val="20"/>
          <w:szCs w:val="20"/>
          <w:lang w:bidi="ar-EG"/>
        </w:rPr>
      </w:pPr>
      <w:r w:rsidRPr="00C673E0">
        <w:rPr>
          <w:rFonts w:ascii="Times New Roman" w:hAnsi="Times New Roman"/>
          <w:bCs/>
          <w:noProof/>
          <w:sz w:val="20"/>
          <w:szCs w:val="20"/>
          <w:lang w:bidi="ar-EG"/>
        </w:rPr>
        <w:t>Yarani</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R,</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Mirza</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A,</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Kaur</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S</w:t>
      </w:r>
      <w:r w:rsidR="003E3F44" w:rsidRPr="00C673E0">
        <w:rPr>
          <w:rFonts w:ascii="Times New Roman" w:hAnsi="Times New Roman"/>
          <w:bCs/>
          <w:noProof/>
          <w:sz w:val="20"/>
          <w:szCs w:val="20"/>
          <w:lang w:bidi="ar-EG"/>
        </w:rPr>
        <w:t xml:space="preserve"> </w:t>
      </w:r>
      <w:r w:rsidRPr="00C673E0">
        <w:rPr>
          <w:rFonts w:ascii="Times New Roman" w:hAnsi="Times New Roman"/>
          <w:bCs/>
          <w:i/>
          <w:iCs/>
          <w:noProof/>
          <w:sz w:val="20"/>
          <w:szCs w:val="20"/>
          <w:lang w:bidi="ar-EG"/>
        </w:rPr>
        <w:t>et</w:t>
      </w:r>
      <w:r w:rsidR="003E3F44" w:rsidRPr="00C673E0">
        <w:rPr>
          <w:rFonts w:ascii="Times New Roman" w:hAnsi="Times New Roman"/>
          <w:bCs/>
          <w:i/>
          <w:iCs/>
          <w:noProof/>
          <w:sz w:val="20"/>
          <w:szCs w:val="20"/>
          <w:lang w:bidi="ar-EG"/>
        </w:rPr>
        <w:t xml:space="preserve"> </w:t>
      </w:r>
      <w:r w:rsidRPr="00C673E0">
        <w:rPr>
          <w:rFonts w:ascii="Times New Roman" w:hAnsi="Times New Roman"/>
          <w:bCs/>
          <w:i/>
          <w:iCs/>
          <w:noProof/>
          <w:sz w:val="20"/>
          <w:szCs w:val="20"/>
          <w:lang w:bidi="ar-EG"/>
        </w:rPr>
        <w:t>al</w:t>
      </w:r>
      <w:r w:rsidRPr="00C673E0">
        <w:rPr>
          <w:rFonts w:ascii="Times New Roman" w:hAnsi="Times New Roman"/>
          <w:bCs/>
          <w:noProof/>
          <w:sz w:val="20"/>
          <w:szCs w:val="20"/>
          <w:lang w:bidi="ar-EG"/>
        </w:rPr>
        <w:t>.,</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(2018):</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The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emerging</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role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of</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lncRNAs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inflammatory</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bowel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disease.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Experimental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and</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Molecular</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Medicine;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50(12):</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01889.</w:t>
      </w:r>
    </w:p>
    <w:p w:rsidR="007E0E4D" w:rsidRPr="00C673E0" w:rsidRDefault="007E0E4D" w:rsidP="006D0665">
      <w:pPr>
        <w:numPr>
          <w:ilvl w:val="0"/>
          <w:numId w:val="20"/>
        </w:numPr>
        <w:autoSpaceDE w:val="0"/>
        <w:autoSpaceDN w:val="0"/>
        <w:adjustRightInd w:val="0"/>
        <w:snapToGrid w:val="0"/>
        <w:spacing w:after="0" w:line="240" w:lineRule="auto"/>
        <w:ind w:left="425" w:hanging="425"/>
        <w:jc w:val="both"/>
        <w:rPr>
          <w:rFonts w:ascii="Times New Roman" w:hAnsi="Times New Roman"/>
          <w:noProof/>
          <w:sz w:val="20"/>
          <w:szCs w:val="20"/>
          <w:lang w:bidi="ar-EG"/>
        </w:rPr>
      </w:pPr>
      <w:r w:rsidRPr="00C673E0">
        <w:rPr>
          <w:rFonts w:ascii="Times New Roman" w:hAnsi="Times New Roman"/>
          <w:bCs/>
          <w:noProof/>
          <w:sz w:val="20"/>
          <w:szCs w:val="20"/>
          <w:lang w:bidi="ar-EG"/>
        </w:rPr>
        <w:t>Yue</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Y,</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Stone</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S,</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Lin</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W</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(2018):</w:t>
      </w:r>
      <w:r w:rsidR="003E3F44" w:rsidRPr="00C673E0">
        <w:rPr>
          <w:rFonts w:ascii="Times New Roman" w:hAnsi="Times New Roman"/>
          <w:bCs/>
          <w:noProof/>
          <w:sz w:val="20"/>
          <w:szCs w:val="20"/>
          <w:lang w:bidi="ar-EG"/>
        </w:rPr>
        <w:t xml:space="preserve"> </w:t>
      </w:r>
      <w:r w:rsidRPr="00C673E0">
        <w:rPr>
          <w:rFonts w:ascii="Times New Roman" w:hAnsi="Times New Roman"/>
          <w:noProof/>
          <w:sz w:val="20"/>
          <w:szCs w:val="20"/>
          <w:lang w:bidi="ar-EG"/>
        </w:rPr>
        <w:t>Role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of</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nuclear</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factor</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kappa-B</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multiple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sclerosis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and</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experimental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autoimmune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encephalomyelitis.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Neural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Regeneration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Research;</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13(9):</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1507–1515.</w:t>
      </w:r>
      <w:r w:rsidR="003E3F44" w:rsidRPr="00C673E0">
        <w:rPr>
          <w:rFonts w:ascii="Times New Roman" w:hAnsi="Times New Roman"/>
          <w:noProof/>
          <w:sz w:val="20"/>
          <w:szCs w:val="20"/>
          <w:lang w:bidi="ar-EG"/>
        </w:rPr>
        <w:t xml:space="preserve"> </w:t>
      </w:r>
    </w:p>
    <w:p w:rsidR="007E0E4D" w:rsidRPr="00C673E0" w:rsidRDefault="007E0E4D" w:rsidP="006D0665">
      <w:pPr>
        <w:numPr>
          <w:ilvl w:val="0"/>
          <w:numId w:val="20"/>
        </w:numPr>
        <w:autoSpaceDE w:val="0"/>
        <w:autoSpaceDN w:val="0"/>
        <w:adjustRightInd w:val="0"/>
        <w:snapToGrid w:val="0"/>
        <w:spacing w:after="0" w:line="240" w:lineRule="auto"/>
        <w:ind w:left="425" w:hanging="425"/>
        <w:jc w:val="both"/>
        <w:rPr>
          <w:rFonts w:ascii="Times New Roman" w:hAnsi="Times New Roman"/>
          <w:noProof/>
          <w:sz w:val="20"/>
          <w:szCs w:val="20"/>
          <w:lang w:bidi="ar-EG"/>
        </w:rPr>
      </w:pPr>
      <w:r w:rsidRPr="00C673E0">
        <w:rPr>
          <w:rFonts w:ascii="Times New Roman" w:hAnsi="Times New Roman"/>
          <w:bCs/>
          <w:noProof/>
          <w:sz w:val="20"/>
          <w:szCs w:val="20"/>
          <w:lang w:bidi="ar-EG"/>
        </w:rPr>
        <w:t>Zeis</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T,</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Howell</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O,</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Reynolds</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R</w:t>
      </w:r>
      <w:r w:rsidR="003E3F44" w:rsidRPr="00C673E0">
        <w:rPr>
          <w:rFonts w:ascii="Times New Roman" w:hAnsi="Times New Roman"/>
          <w:bCs/>
          <w:noProof/>
          <w:sz w:val="20"/>
          <w:szCs w:val="20"/>
          <w:lang w:bidi="ar-EG"/>
        </w:rPr>
        <w:t xml:space="preserve"> </w:t>
      </w:r>
      <w:r w:rsidRPr="00C673E0">
        <w:rPr>
          <w:rFonts w:ascii="Times New Roman" w:hAnsi="Times New Roman"/>
          <w:bCs/>
          <w:i/>
          <w:iCs/>
          <w:noProof/>
          <w:sz w:val="20"/>
          <w:szCs w:val="20"/>
          <w:lang w:bidi="ar-EG"/>
        </w:rPr>
        <w:t>et</w:t>
      </w:r>
      <w:r w:rsidR="003E3F44" w:rsidRPr="00C673E0">
        <w:rPr>
          <w:rFonts w:ascii="Times New Roman" w:hAnsi="Times New Roman"/>
          <w:bCs/>
          <w:i/>
          <w:iCs/>
          <w:noProof/>
          <w:sz w:val="20"/>
          <w:szCs w:val="20"/>
          <w:lang w:bidi="ar-EG"/>
        </w:rPr>
        <w:t xml:space="preserve"> </w:t>
      </w:r>
      <w:r w:rsidRPr="00C673E0">
        <w:rPr>
          <w:rFonts w:ascii="Times New Roman" w:hAnsi="Times New Roman"/>
          <w:bCs/>
          <w:i/>
          <w:iCs/>
          <w:noProof/>
          <w:sz w:val="20"/>
          <w:szCs w:val="20"/>
          <w:lang w:bidi="ar-EG"/>
        </w:rPr>
        <w:t>al</w:t>
      </w:r>
      <w:r w:rsidRPr="00C673E0">
        <w:rPr>
          <w:rFonts w:ascii="Times New Roman" w:hAnsi="Times New Roman"/>
          <w:bCs/>
          <w:noProof/>
          <w:sz w:val="20"/>
          <w:szCs w:val="20"/>
          <w:lang w:bidi="ar-EG"/>
        </w:rPr>
        <w:t>.,</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(2018):</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Molecular</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pathology</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of</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Multiple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Sclerosis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lesions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reveals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heterogeneous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expression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pattern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of</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genes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involved</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oligodendrogliogenesis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IdL.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Experimental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Neurology;</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305:76–88.</w:t>
      </w:r>
      <w:r w:rsidR="003E3F44" w:rsidRPr="00C673E0">
        <w:rPr>
          <w:rFonts w:ascii="Times New Roman" w:hAnsi="Times New Roman"/>
          <w:noProof/>
          <w:sz w:val="20"/>
          <w:szCs w:val="20"/>
          <w:lang w:bidi="ar-EG"/>
        </w:rPr>
        <w:t xml:space="preserve"> </w:t>
      </w:r>
    </w:p>
    <w:p w:rsidR="007E0E4D" w:rsidRPr="00C673E0" w:rsidRDefault="007E0E4D" w:rsidP="006D0665">
      <w:pPr>
        <w:numPr>
          <w:ilvl w:val="0"/>
          <w:numId w:val="20"/>
        </w:numPr>
        <w:autoSpaceDE w:val="0"/>
        <w:autoSpaceDN w:val="0"/>
        <w:adjustRightInd w:val="0"/>
        <w:snapToGrid w:val="0"/>
        <w:spacing w:after="0" w:line="240" w:lineRule="auto"/>
        <w:ind w:left="425" w:hanging="425"/>
        <w:jc w:val="both"/>
        <w:rPr>
          <w:rFonts w:ascii="Times New Roman" w:hAnsi="Times New Roman"/>
          <w:noProof/>
          <w:sz w:val="20"/>
          <w:szCs w:val="20"/>
          <w:lang w:bidi="ar-EG"/>
        </w:rPr>
      </w:pPr>
      <w:r w:rsidRPr="00C673E0">
        <w:rPr>
          <w:rFonts w:ascii="Times New Roman" w:hAnsi="Times New Roman"/>
          <w:bCs/>
          <w:noProof/>
          <w:sz w:val="20"/>
          <w:szCs w:val="20"/>
          <w:lang w:bidi="ar-EG"/>
        </w:rPr>
        <w:t>Zhang</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Y</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and</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Cao</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X</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(2016):</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Long</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noncoding</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RNAs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innate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immunity.</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Cellular</w:t>
      </w:r>
      <w:r w:rsidR="003E3F44" w:rsidRPr="00C673E0">
        <w:rPr>
          <w:rFonts w:ascii="Times New Roman" w:hAnsi="Times New Roman"/>
          <w:noProof/>
          <w:sz w:val="20"/>
          <w:szCs w:val="20"/>
          <w:lang w:bidi="ar-EG"/>
        </w:rPr>
        <w:t xml:space="preserve"> &amp; </w:t>
      </w:r>
      <w:r w:rsidRPr="00C673E0">
        <w:rPr>
          <w:rFonts w:ascii="Times New Roman" w:hAnsi="Times New Roman"/>
          <w:noProof/>
          <w:sz w:val="20"/>
          <w:szCs w:val="20"/>
          <w:lang w:bidi="ar-EG"/>
        </w:rPr>
        <w:t>Molecular</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Immunology;</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13:138–147.</w:t>
      </w:r>
    </w:p>
    <w:p w:rsidR="007E0E4D" w:rsidRPr="00C673E0" w:rsidRDefault="007E0E4D" w:rsidP="006D0665">
      <w:pPr>
        <w:numPr>
          <w:ilvl w:val="0"/>
          <w:numId w:val="20"/>
        </w:numPr>
        <w:autoSpaceDE w:val="0"/>
        <w:autoSpaceDN w:val="0"/>
        <w:adjustRightInd w:val="0"/>
        <w:snapToGrid w:val="0"/>
        <w:spacing w:after="0" w:line="240" w:lineRule="auto"/>
        <w:ind w:left="425" w:hanging="425"/>
        <w:jc w:val="both"/>
        <w:rPr>
          <w:rFonts w:ascii="Times New Roman" w:hAnsi="Times New Roman"/>
          <w:noProof/>
          <w:sz w:val="20"/>
          <w:szCs w:val="20"/>
          <w:lang w:bidi="ar-EG"/>
        </w:rPr>
      </w:pPr>
      <w:r w:rsidRPr="00C673E0">
        <w:rPr>
          <w:rFonts w:ascii="Times New Roman" w:hAnsi="Times New Roman"/>
          <w:bCs/>
          <w:noProof/>
          <w:sz w:val="20"/>
          <w:szCs w:val="20"/>
          <w:lang w:bidi="ar-EG"/>
        </w:rPr>
        <w:t>Zhang</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Y,</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Zhang</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M,</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Xu</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W</w:t>
      </w:r>
      <w:r w:rsidR="003E3F44" w:rsidRPr="00C673E0">
        <w:rPr>
          <w:rFonts w:ascii="Times New Roman" w:hAnsi="Times New Roman"/>
          <w:bCs/>
          <w:noProof/>
          <w:sz w:val="20"/>
          <w:szCs w:val="20"/>
          <w:lang w:bidi="ar-EG"/>
        </w:rPr>
        <w:t xml:space="preserve"> </w:t>
      </w:r>
      <w:r w:rsidRPr="00C673E0">
        <w:rPr>
          <w:rFonts w:ascii="Times New Roman" w:hAnsi="Times New Roman"/>
          <w:bCs/>
          <w:i/>
          <w:iCs/>
          <w:noProof/>
          <w:sz w:val="20"/>
          <w:szCs w:val="20"/>
          <w:lang w:bidi="ar-EG"/>
        </w:rPr>
        <w:t>et</w:t>
      </w:r>
      <w:r w:rsidR="003E3F44" w:rsidRPr="00C673E0">
        <w:rPr>
          <w:rFonts w:ascii="Times New Roman" w:hAnsi="Times New Roman"/>
          <w:bCs/>
          <w:i/>
          <w:iCs/>
          <w:noProof/>
          <w:sz w:val="20"/>
          <w:szCs w:val="20"/>
          <w:lang w:bidi="ar-EG"/>
        </w:rPr>
        <w:t xml:space="preserve"> </w:t>
      </w:r>
      <w:r w:rsidRPr="00C673E0">
        <w:rPr>
          <w:rFonts w:ascii="Times New Roman" w:hAnsi="Times New Roman"/>
          <w:bCs/>
          <w:i/>
          <w:iCs/>
          <w:noProof/>
          <w:sz w:val="20"/>
          <w:szCs w:val="20"/>
          <w:lang w:bidi="ar-EG"/>
        </w:rPr>
        <w:t>al</w:t>
      </w:r>
      <w:r w:rsidRPr="00C673E0">
        <w:rPr>
          <w:rFonts w:ascii="Times New Roman" w:hAnsi="Times New Roman"/>
          <w:bCs/>
          <w:noProof/>
          <w:sz w:val="20"/>
          <w:szCs w:val="20"/>
          <w:lang w:bidi="ar-EG"/>
        </w:rPr>
        <w:t>.,</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(2017):</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The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long</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non-coding</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RNA</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H19</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promotes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cardiomyocyte</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apoptosis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in</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dilated</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cardiomyopathy.</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Oncotarget;</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8(17):</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28588–28594.</w:t>
      </w:r>
      <w:r w:rsidR="003E3F44" w:rsidRPr="00C673E0">
        <w:rPr>
          <w:rFonts w:ascii="Times New Roman" w:hAnsi="Times New Roman"/>
          <w:noProof/>
          <w:sz w:val="20"/>
          <w:szCs w:val="20"/>
          <w:lang w:bidi="ar-EG"/>
        </w:rPr>
        <w:t xml:space="preserve"> </w:t>
      </w:r>
    </w:p>
    <w:p w:rsidR="007E0E4D" w:rsidRPr="00C673E0" w:rsidRDefault="007E0E4D" w:rsidP="006D0665">
      <w:pPr>
        <w:numPr>
          <w:ilvl w:val="0"/>
          <w:numId w:val="20"/>
        </w:numPr>
        <w:autoSpaceDE w:val="0"/>
        <w:autoSpaceDN w:val="0"/>
        <w:adjustRightInd w:val="0"/>
        <w:snapToGrid w:val="0"/>
        <w:spacing w:after="0" w:line="240" w:lineRule="auto"/>
        <w:ind w:left="425" w:hanging="425"/>
        <w:jc w:val="both"/>
        <w:rPr>
          <w:rFonts w:ascii="Times New Roman" w:hAnsi="Times New Roman"/>
          <w:noProof/>
          <w:sz w:val="20"/>
          <w:szCs w:val="20"/>
          <w:lang w:bidi="ar-EG"/>
        </w:rPr>
      </w:pPr>
      <w:r w:rsidRPr="00C673E0">
        <w:rPr>
          <w:rFonts w:ascii="Times New Roman" w:hAnsi="Times New Roman"/>
          <w:bCs/>
          <w:noProof/>
          <w:sz w:val="20"/>
          <w:szCs w:val="20"/>
          <w:lang w:bidi="ar-EG"/>
        </w:rPr>
        <w:t>Zhou</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J,</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Xu</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J,</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Zhang</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L</w:t>
      </w:r>
      <w:r w:rsidR="003E3F44" w:rsidRPr="00C673E0">
        <w:rPr>
          <w:rFonts w:ascii="Times New Roman" w:hAnsi="Times New Roman"/>
          <w:bCs/>
          <w:noProof/>
          <w:sz w:val="20"/>
          <w:szCs w:val="20"/>
          <w:lang w:bidi="ar-EG"/>
        </w:rPr>
        <w:t xml:space="preserve"> </w:t>
      </w:r>
      <w:r w:rsidRPr="00C673E0">
        <w:rPr>
          <w:rFonts w:ascii="Times New Roman" w:hAnsi="Times New Roman"/>
          <w:bCs/>
          <w:i/>
          <w:iCs/>
          <w:noProof/>
          <w:sz w:val="20"/>
          <w:szCs w:val="20"/>
          <w:lang w:bidi="ar-EG"/>
        </w:rPr>
        <w:t>et</w:t>
      </w:r>
      <w:r w:rsidR="003E3F44" w:rsidRPr="00C673E0">
        <w:rPr>
          <w:rFonts w:ascii="Times New Roman" w:hAnsi="Times New Roman"/>
          <w:bCs/>
          <w:i/>
          <w:iCs/>
          <w:noProof/>
          <w:sz w:val="20"/>
          <w:szCs w:val="20"/>
          <w:lang w:bidi="ar-EG"/>
        </w:rPr>
        <w:t xml:space="preserve"> </w:t>
      </w:r>
      <w:r w:rsidRPr="00C673E0">
        <w:rPr>
          <w:rFonts w:ascii="Times New Roman" w:hAnsi="Times New Roman"/>
          <w:bCs/>
          <w:i/>
          <w:iCs/>
          <w:noProof/>
          <w:sz w:val="20"/>
          <w:szCs w:val="20"/>
          <w:lang w:bidi="ar-EG"/>
        </w:rPr>
        <w:t>al</w:t>
      </w:r>
      <w:r w:rsidRPr="00C673E0">
        <w:rPr>
          <w:rFonts w:ascii="Times New Roman" w:hAnsi="Times New Roman"/>
          <w:bCs/>
          <w:noProof/>
          <w:sz w:val="20"/>
          <w:szCs w:val="20"/>
          <w:lang w:bidi="ar-EG"/>
        </w:rPr>
        <w:t>.,</w:t>
      </w:r>
      <w:r w:rsidR="003E3F44" w:rsidRPr="00C673E0">
        <w:rPr>
          <w:rFonts w:ascii="Times New Roman" w:hAnsi="Times New Roman"/>
          <w:bCs/>
          <w:noProof/>
          <w:sz w:val="20"/>
          <w:szCs w:val="20"/>
          <w:lang w:bidi="ar-EG"/>
        </w:rPr>
        <w:t xml:space="preserve"> </w:t>
      </w:r>
      <w:r w:rsidRPr="00C673E0">
        <w:rPr>
          <w:rFonts w:ascii="Times New Roman" w:hAnsi="Times New Roman"/>
          <w:bCs/>
          <w:noProof/>
          <w:sz w:val="20"/>
          <w:szCs w:val="20"/>
          <w:lang w:bidi="ar-EG"/>
        </w:rPr>
        <w:t>(2019):</w:t>
      </w:r>
      <w:r w:rsidR="003E3F44" w:rsidRPr="00C673E0">
        <w:rPr>
          <w:rFonts w:ascii="Times New Roman" w:hAnsi="Times New Roman"/>
          <w:bCs/>
          <w:noProof/>
          <w:sz w:val="20"/>
          <w:szCs w:val="20"/>
          <w:lang w:bidi="ar-EG"/>
        </w:rPr>
        <w:t xml:space="preserve"> </w:t>
      </w:r>
      <w:r w:rsidRPr="00C673E0">
        <w:rPr>
          <w:rFonts w:ascii="Times New Roman" w:hAnsi="Times New Roman"/>
          <w:noProof/>
          <w:sz w:val="20"/>
          <w:szCs w:val="20"/>
          <w:lang w:bidi="ar-EG"/>
        </w:rPr>
        <w:t>Combined</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Single-Cell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Profiling</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of</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lncRNAs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and</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Functional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Screening</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Reveals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that</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H19</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Is</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Pivotal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for</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Embryonic</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Hematopoietic</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Stem</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Cell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Development.</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Cell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Stem</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Cell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Journal;</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24(2):</w:t>
      </w:r>
      <w:r w:rsidR="003E3F44" w:rsidRPr="00C673E0">
        <w:rPr>
          <w:rFonts w:ascii="Times New Roman" w:hAnsi="Times New Roman"/>
          <w:noProof/>
          <w:sz w:val="20"/>
          <w:szCs w:val="20"/>
          <w:lang w:bidi="ar-EG"/>
        </w:rPr>
        <w:t xml:space="preserve"> </w:t>
      </w:r>
      <w:r w:rsidRPr="00C673E0">
        <w:rPr>
          <w:rFonts w:ascii="Times New Roman" w:hAnsi="Times New Roman"/>
          <w:noProof/>
          <w:sz w:val="20"/>
          <w:szCs w:val="20"/>
          <w:lang w:bidi="ar-EG"/>
        </w:rPr>
        <w:t>285–298.</w:t>
      </w:r>
    </w:p>
    <w:p w:rsidR="000F71AB" w:rsidRPr="00C673E0" w:rsidRDefault="000F71AB" w:rsidP="006D0665">
      <w:pPr>
        <w:snapToGrid w:val="0"/>
        <w:spacing w:after="0" w:line="240" w:lineRule="auto"/>
        <w:ind w:left="425" w:hanging="425"/>
        <w:jc w:val="both"/>
        <w:rPr>
          <w:rFonts w:ascii="Times New Roman" w:eastAsia="Calibri" w:hAnsi="Times New Roman"/>
          <w:sz w:val="20"/>
          <w:szCs w:val="20"/>
        </w:rPr>
        <w:sectPr w:rsidR="000F71AB" w:rsidRPr="00C673E0" w:rsidSect="000F71AB">
          <w:type w:val="continuous"/>
          <w:pgSz w:w="12240" w:h="15840" w:code="9"/>
          <w:pgMar w:top="1440" w:right="1440" w:bottom="1440" w:left="1440" w:header="720" w:footer="720" w:gutter="0"/>
          <w:cols w:num="2" w:space="550"/>
          <w:docGrid w:linePitch="360"/>
        </w:sectPr>
      </w:pPr>
    </w:p>
    <w:p w:rsidR="007E0E4D" w:rsidRPr="00C673E0" w:rsidRDefault="006D0665" w:rsidP="006D0665">
      <w:pPr>
        <w:snapToGrid w:val="0"/>
        <w:spacing w:after="0" w:line="240" w:lineRule="auto"/>
        <w:ind w:left="425" w:hanging="425"/>
        <w:jc w:val="both"/>
        <w:rPr>
          <w:rFonts w:ascii="Times New Roman" w:eastAsiaTheme="minorEastAsia" w:hAnsi="Times New Roman"/>
          <w:sz w:val="20"/>
          <w:szCs w:val="20"/>
          <w:lang w:eastAsia="zh-CN"/>
        </w:rPr>
      </w:pPr>
      <w:r w:rsidRPr="00C673E0">
        <w:rPr>
          <w:rFonts w:ascii="Times New Roman" w:eastAsiaTheme="minorEastAsia" w:hAnsi="Times New Roman" w:hint="eastAsia"/>
          <w:sz w:val="20"/>
          <w:szCs w:val="20"/>
          <w:lang w:eastAsia="zh-CN"/>
        </w:rPr>
        <w:lastRenderedPageBreak/>
        <w:t xml:space="preserve"> </w:t>
      </w:r>
    </w:p>
    <w:p w:rsidR="00DB10AF" w:rsidRPr="00C673E0" w:rsidRDefault="006D0665" w:rsidP="006D0665">
      <w:pPr>
        <w:snapToGrid w:val="0"/>
        <w:spacing w:after="0" w:line="240" w:lineRule="auto"/>
        <w:ind w:left="425" w:hanging="425"/>
        <w:jc w:val="both"/>
        <w:rPr>
          <w:rFonts w:ascii="Times New Roman" w:hAnsi="Times New Roman"/>
          <w:bCs/>
          <w:sz w:val="20"/>
          <w:szCs w:val="20"/>
          <w:lang w:eastAsia="zh-CN"/>
        </w:rPr>
      </w:pPr>
      <w:r w:rsidRPr="00C673E0">
        <w:rPr>
          <w:rFonts w:ascii="Times New Roman" w:hAnsi="Times New Roman" w:hint="eastAsia"/>
          <w:bCs/>
          <w:sz w:val="20"/>
          <w:szCs w:val="20"/>
          <w:lang w:eastAsia="zh-CN"/>
        </w:rPr>
        <w:t xml:space="preserve">  </w:t>
      </w:r>
    </w:p>
    <w:p w:rsidR="003E3F44" w:rsidRPr="00C673E0" w:rsidRDefault="003E3F44" w:rsidP="00644513">
      <w:pPr>
        <w:snapToGrid w:val="0"/>
        <w:spacing w:after="0" w:line="240" w:lineRule="auto"/>
        <w:jc w:val="both"/>
        <w:rPr>
          <w:rFonts w:ascii="Times New Roman" w:hAnsi="Times New Roman"/>
          <w:b/>
          <w:bCs/>
          <w:sz w:val="20"/>
          <w:szCs w:val="20"/>
        </w:rPr>
      </w:pPr>
    </w:p>
    <w:p w:rsidR="00EF0355" w:rsidRPr="00C673E0" w:rsidRDefault="003E3F44" w:rsidP="00644513">
      <w:pPr>
        <w:snapToGrid w:val="0"/>
        <w:spacing w:after="0" w:line="240" w:lineRule="auto"/>
        <w:jc w:val="both"/>
        <w:rPr>
          <w:rFonts w:ascii="Times New Roman" w:hAnsi="Times New Roman"/>
          <w:bCs/>
          <w:sz w:val="20"/>
          <w:szCs w:val="20"/>
        </w:rPr>
      </w:pPr>
      <w:r w:rsidRPr="00C673E0">
        <w:rPr>
          <w:rFonts w:ascii="Times New Roman" w:hAnsi="Times New Roman"/>
          <w:bCs/>
          <w:sz w:val="20"/>
          <w:szCs w:val="20"/>
        </w:rPr>
        <w:t>11/21/2020</w:t>
      </w:r>
    </w:p>
    <w:sectPr w:rsidR="00EF0355" w:rsidRPr="00C673E0" w:rsidSect="003E3F44">
      <w:type w:val="continuous"/>
      <w:pgSz w:w="12240" w:h="15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7AD" w:rsidRDefault="00FD07AD" w:rsidP="00742BC3">
      <w:pPr>
        <w:spacing w:after="0" w:line="240" w:lineRule="auto"/>
      </w:pPr>
      <w:r>
        <w:separator/>
      </w:r>
    </w:p>
  </w:endnote>
  <w:endnote w:type="continuationSeparator" w:id="0">
    <w:p w:rsidR="00FD07AD" w:rsidRDefault="00FD07AD" w:rsidP="00742B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nion Pro">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宋">
    <w:altName w:val="宋体"/>
    <w:panose1 w:val="00000000000000000000"/>
    <w:charset w:val="86"/>
    <w:family w:val="roman"/>
    <w:notTrueType/>
    <w:pitch w:val="default"/>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1"/>
    <w:family w:val="roman"/>
    <w:notTrueType/>
    <w:pitch w:val="variable"/>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513" w:rsidRPr="001E5B60" w:rsidRDefault="006E7628" w:rsidP="001E5B60">
    <w:pPr>
      <w:spacing w:after="0" w:line="240" w:lineRule="auto"/>
      <w:jc w:val="center"/>
      <w:rPr>
        <w:rFonts w:ascii="Times New Roman" w:hAnsi="Times New Roman"/>
        <w:sz w:val="20"/>
      </w:rPr>
    </w:pPr>
    <w:r w:rsidRPr="001E5B60">
      <w:rPr>
        <w:rFonts w:ascii="Times New Roman" w:hAnsi="Times New Roman"/>
        <w:sz w:val="20"/>
      </w:rPr>
      <w:fldChar w:fldCharType="begin"/>
    </w:r>
    <w:r w:rsidR="001E5B60" w:rsidRPr="001E5B60">
      <w:rPr>
        <w:rFonts w:ascii="Times New Roman" w:hAnsi="Times New Roman"/>
        <w:sz w:val="20"/>
      </w:rPr>
      <w:instrText xml:space="preserve"> page </w:instrText>
    </w:r>
    <w:r w:rsidRPr="001E5B60">
      <w:rPr>
        <w:rFonts w:ascii="Times New Roman" w:hAnsi="Times New Roman"/>
        <w:sz w:val="20"/>
      </w:rPr>
      <w:fldChar w:fldCharType="separate"/>
    </w:r>
    <w:r w:rsidR="00FE2F23">
      <w:rPr>
        <w:rFonts w:ascii="Times New Roman" w:hAnsi="Times New Roman"/>
        <w:noProof/>
        <w:sz w:val="20"/>
      </w:rPr>
      <w:t>8</w:t>
    </w:r>
    <w:r w:rsidRPr="001E5B60">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7AD" w:rsidRDefault="00FD07AD" w:rsidP="00742BC3">
      <w:pPr>
        <w:spacing w:after="0" w:line="240" w:lineRule="auto"/>
      </w:pPr>
      <w:r>
        <w:separator/>
      </w:r>
    </w:p>
  </w:footnote>
  <w:footnote w:type="continuationSeparator" w:id="0">
    <w:p w:rsidR="00FD07AD" w:rsidRDefault="00FD07AD" w:rsidP="00742B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B60" w:rsidRPr="001E5B60" w:rsidRDefault="006E7628" w:rsidP="001E5B60">
    <w:pPr>
      <w:tabs>
        <w:tab w:val="left" w:pos="851"/>
        <w:tab w:val="right" w:pos="8364"/>
      </w:tabs>
      <w:adjustRightInd w:val="0"/>
      <w:snapToGrid w:val="0"/>
      <w:spacing w:after="0" w:line="240" w:lineRule="auto"/>
      <w:jc w:val="both"/>
      <w:rPr>
        <w:rFonts w:ascii="Times New Roman" w:hAnsi="Times New Roman"/>
        <w:sz w:val="20"/>
        <w:szCs w:val="20"/>
      </w:rPr>
    </w:pPr>
    <w:r w:rsidRPr="006E7628">
      <w:rPr>
        <w:rFonts w:ascii="Times New Roman" w:hAnsi="Times New Roman"/>
        <w:iCs/>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67.7pt;height:62pt">
          <v:imagedata r:id="rId1" o:title="Mslndlogo-cbj"/>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944" w:rsidRPr="001E5B60" w:rsidRDefault="00044944" w:rsidP="001E5B6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color w:val="0000FF"/>
        <w:sz w:val="20"/>
      </w:rPr>
    </w:pPr>
    <w:r w:rsidRPr="001E5B60">
      <w:rPr>
        <w:rFonts w:ascii="Times New Roman" w:hAnsi="Times New Roman" w:hint="eastAsia"/>
        <w:iCs/>
        <w:color w:val="000000"/>
        <w:sz w:val="20"/>
      </w:rPr>
      <w:tab/>
    </w:r>
    <w:r w:rsidRPr="001E5B60">
      <w:rPr>
        <w:rFonts w:ascii="Times New Roman" w:hAnsi="Times New Roman"/>
        <w:iCs/>
        <w:color w:val="000000"/>
        <w:sz w:val="20"/>
      </w:rPr>
      <w:t xml:space="preserve">Cancer Biology </w:t>
    </w:r>
    <w:r w:rsidRPr="001E5B60">
      <w:rPr>
        <w:rFonts w:ascii="Times New Roman" w:hAnsi="Times New Roman"/>
        <w:iCs/>
        <w:sz w:val="20"/>
      </w:rPr>
      <w:t>20</w:t>
    </w:r>
    <w:r w:rsidRPr="001E5B60">
      <w:rPr>
        <w:rFonts w:ascii="Times New Roman" w:hAnsi="Times New Roman" w:hint="eastAsia"/>
        <w:iCs/>
        <w:sz w:val="20"/>
      </w:rPr>
      <w:t>20</w:t>
    </w:r>
    <w:r w:rsidRPr="001E5B60">
      <w:rPr>
        <w:rFonts w:ascii="Times New Roman" w:hAnsi="Times New Roman"/>
        <w:iCs/>
        <w:sz w:val="20"/>
      </w:rPr>
      <w:t>;</w:t>
    </w:r>
    <w:r w:rsidRPr="001E5B60">
      <w:rPr>
        <w:rFonts w:ascii="Times New Roman" w:hAnsi="Times New Roman" w:hint="eastAsia"/>
        <w:iCs/>
        <w:sz w:val="20"/>
      </w:rPr>
      <w:t>10</w:t>
    </w:r>
    <w:r w:rsidRPr="001E5B60">
      <w:rPr>
        <w:rFonts w:ascii="Times New Roman" w:hAnsi="Times New Roman"/>
        <w:iCs/>
        <w:sz w:val="20"/>
      </w:rPr>
      <w:t>(</w:t>
    </w:r>
    <w:r w:rsidRPr="001E5B60">
      <w:rPr>
        <w:rFonts w:ascii="Times New Roman" w:hAnsi="Times New Roman" w:hint="eastAsia"/>
        <w:iCs/>
        <w:sz w:val="20"/>
      </w:rPr>
      <w:t>4</w:t>
    </w:r>
    <w:r w:rsidRPr="001E5B60">
      <w:rPr>
        <w:rFonts w:ascii="Times New Roman" w:hAnsi="Times New Roman"/>
        <w:iCs/>
        <w:sz w:val="20"/>
      </w:rPr>
      <w:t xml:space="preserve">)  </w:t>
    </w:r>
    <w:r w:rsidRPr="001E5B60">
      <w:rPr>
        <w:rFonts w:ascii="Times New Roman" w:hAnsi="Times New Roman" w:hint="eastAsia"/>
        <w:iCs/>
        <w:sz w:val="20"/>
      </w:rPr>
      <w:t xml:space="preserve">   </w:t>
    </w:r>
    <w:r w:rsidRPr="001E5B60">
      <w:rPr>
        <w:rFonts w:ascii="Times New Roman" w:hAnsi="Times New Roman" w:hint="eastAsia"/>
        <w:iCs/>
        <w:sz w:val="20"/>
      </w:rPr>
      <w:tab/>
      <w:t xml:space="preserve">   </w:t>
    </w:r>
    <w:r w:rsidRPr="001E5B60">
      <w:rPr>
        <w:rFonts w:ascii="Times New Roman" w:hAnsi="Times New Roman"/>
        <w:iCs/>
        <w:sz w:val="20"/>
      </w:rPr>
      <w:t xml:space="preserve"> </w:t>
    </w:r>
    <w:r w:rsidRPr="001E5B60">
      <w:rPr>
        <w:rFonts w:ascii="Times New Roman" w:hAnsi="Times New Roman"/>
        <w:sz w:val="20"/>
      </w:rPr>
      <w:t xml:space="preserve">  </w:t>
    </w:r>
    <w:hyperlink r:id="rId1" w:history="1">
      <w:r w:rsidRPr="001E5B60">
        <w:rPr>
          <w:rStyle w:val="Hyperlink"/>
          <w:rFonts w:ascii="Times New Roman" w:hAnsi="Times New Roman"/>
          <w:sz w:val="20"/>
        </w:rPr>
        <w:t>http://www.cancerbio.net</w:t>
      </w:r>
    </w:hyperlink>
    <w:r w:rsidRPr="001E5B60">
      <w:rPr>
        <w:rFonts w:ascii="Times New Roman" w:hAnsi="Times New Roman" w:hint="eastAsia"/>
        <w:sz w:val="20"/>
      </w:rPr>
      <w:t xml:space="preserve">   </w:t>
    </w:r>
    <w:r w:rsidRPr="001E5B60">
      <w:rPr>
        <w:rFonts w:ascii="Times New Roman" w:hAnsi="Times New Roman" w:hint="eastAsia"/>
        <w:b/>
        <w:i/>
        <w:color w:val="FF0000"/>
        <w:sz w:val="20"/>
        <w:szCs w:val="20"/>
        <w:bdr w:val="single" w:sz="4" w:space="0" w:color="FF0000"/>
      </w:rPr>
      <w:t>CBJ</w:t>
    </w:r>
  </w:p>
  <w:p w:rsidR="00044944" w:rsidRPr="001E5B60" w:rsidRDefault="00044944" w:rsidP="001E5B60">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D57DC"/>
    <w:multiLevelType w:val="multilevel"/>
    <w:tmpl w:val="6E124760"/>
    <w:lvl w:ilvl="0">
      <w:start w:val="1"/>
      <w:numFmt w:val="decimal"/>
      <w:lvlText w:val="%1."/>
      <w:lvlJc w:val="left"/>
      <w:pPr>
        <w:ind w:left="360" w:hanging="360"/>
      </w:pPr>
    </w:lvl>
    <w:lvl w:ilvl="1">
      <w:start w:val="1"/>
      <w:numFmt w:val="decimal"/>
      <w:isLgl/>
      <w:lvlText w:val="%1.%2."/>
      <w:lvlJc w:val="left"/>
      <w:pPr>
        <w:ind w:left="720" w:hanging="720"/>
      </w:pPr>
      <w:rPr>
        <w:b/>
        <w:bCs/>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
    <w:nsid w:val="25A72DC3"/>
    <w:multiLevelType w:val="hybridMultilevel"/>
    <w:tmpl w:val="0BD2E570"/>
    <w:lvl w:ilvl="0" w:tplc="0409000F">
      <w:start w:val="1"/>
      <w:numFmt w:val="decimal"/>
      <w:lvlText w:val="%1."/>
      <w:lvlJc w:val="left"/>
      <w:pPr>
        <w:ind w:left="720" w:hanging="360"/>
      </w:pPr>
    </w:lvl>
    <w:lvl w:ilvl="1" w:tplc="97A87EAC">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DB06393"/>
    <w:multiLevelType w:val="hybridMultilevel"/>
    <w:tmpl w:val="A0C4F24C"/>
    <w:lvl w:ilvl="0" w:tplc="04090011">
      <w:start w:val="1"/>
      <w:numFmt w:val="decimal"/>
      <w:lvlText w:val="%1)"/>
      <w:lvlJc w:val="left"/>
      <w:pPr>
        <w:ind w:left="720" w:hanging="360"/>
      </w:pPr>
    </w:lvl>
    <w:lvl w:ilvl="1" w:tplc="04090011">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DC5272F"/>
    <w:multiLevelType w:val="hybridMultilevel"/>
    <w:tmpl w:val="CA909D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5A7E66"/>
    <w:multiLevelType w:val="hybridMultilevel"/>
    <w:tmpl w:val="EA9ABBE6"/>
    <w:lvl w:ilvl="0" w:tplc="C5DAEC6A">
      <w:start w:val="14"/>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FB75D4"/>
    <w:multiLevelType w:val="hybridMultilevel"/>
    <w:tmpl w:val="557869DC"/>
    <w:lvl w:ilvl="0" w:tplc="2F5C3050">
      <w:start w:val="13"/>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97295C"/>
    <w:multiLevelType w:val="hybridMultilevel"/>
    <w:tmpl w:val="E58CAB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471373D8"/>
    <w:multiLevelType w:val="hybridMultilevel"/>
    <w:tmpl w:val="D382A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8B17198"/>
    <w:multiLevelType w:val="multilevel"/>
    <w:tmpl w:val="150CB15C"/>
    <w:lvl w:ilvl="0">
      <w:start w:val="1"/>
      <w:numFmt w:val="decimal"/>
      <w:lvlText w:val="%1."/>
      <w:lvlJc w:val="left"/>
      <w:pPr>
        <w:ind w:left="720" w:hanging="360"/>
      </w:pPr>
    </w:lvl>
    <w:lvl w:ilvl="1">
      <w:start w:val="1"/>
      <w:numFmt w:val="decimal"/>
      <w:isLgl/>
      <w:lvlText w:val="%1.%2."/>
      <w:lvlJc w:val="left"/>
      <w:pPr>
        <w:ind w:left="360" w:hanging="360"/>
      </w:pPr>
      <w:rPr>
        <w:rFonts w:hint="default"/>
        <w:b/>
        <w:bCs/>
        <w:sz w:val="24"/>
        <w:szCs w:val="24"/>
      </w:rPr>
    </w:lvl>
    <w:lvl w:ilvl="2">
      <w:start w:val="1"/>
      <w:numFmt w:val="decimal"/>
      <w:isLgl/>
      <w:lvlText w:val="%1.%2.%3."/>
      <w:lvlJc w:val="left"/>
      <w:pPr>
        <w:ind w:left="1080" w:hanging="720"/>
      </w:pPr>
      <w:rPr>
        <w:rFonts w:hint="default"/>
        <w:b/>
        <w:bCs/>
        <w:vertAlign w:val="baseli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D602EEC"/>
    <w:multiLevelType w:val="hybridMultilevel"/>
    <w:tmpl w:val="D2664D62"/>
    <w:lvl w:ilvl="0" w:tplc="3CEC9B1A">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5E0413EB"/>
    <w:multiLevelType w:val="multilevel"/>
    <w:tmpl w:val="D91A4A90"/>
    <w:lvl w:ilvl="0">
      <w:start w:val="1"/>
      <w:numFmt w:val="decimal"/>
      <w:lvlText w:val="%1."/>
      <w:lvlJc w:val="left"/>
      <w:pPr>
        <w:ind w:left="360" w:hanging="360"/>
      </w:pPr>
    </w:lvl>
    <w:lvl w:ilvl="1">
      <w:start w:val="1"/>
      <w:numFmt w:val="decimal"/>
      <w:isLgl/>
      <w:lvlText w:val="%1.%2."/>
      <w:lvlJc w:val="left"/>
      <w:pPr>
        <w:ind w:left="720" w:hanging="360"/>
      </w:pPr>
      <w:rPr>
        <w:rFonts w:hint="default"/>
        <w:b/>
        <w:bCs/>
        <w:i w:val="0"/>
        <w:iCs w:val="0"/>
        <w:sz w:val="24"/>
        <w:szCs w:val="24"/>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880" w:hanging="1080"/>
      </w:pPr>
      <w:rPr>
        <w:rFonts w:hint="default"/>
        <w:b w:val="0"/>
      </w:rPr>
    </w:lvl>
    <w:lvl w:ilvl="6">
      <w:start w:val="1"/>
      <w:numFmt w:val="decimal"/>
      <w:isLgl/>
      <w:lvlText w:val="%1.%2.%3.%4.%5.%6.%7."/>
      <w:lvlJc w:val="left"/>
      <w:pPr>
        <w:ind w:left="360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680" w:hanging="1800"/>
      </w:pPr>
      <w:rPr>
        <w:rFonts w:hint="default"/>
        <w:b w:val="0"/>
      </w:rPr>
    </w:lvl>
  </w:abstractNum>
  <w:abstractNum w:abstractNumId="11">
    <w:nsid w:val="5EA41048"/>
    <w:multiLevelType w:val="hybridMultilevel"/>
    <w:tmpl w:val="DAD24750"/>
    <w:lvl w:ilvl="0" w:tplc="2F5C3050">
      <w:start w:val="12"/>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0F1B3D"/>
    <w:multiLevelType w:val="hybridMultilevel"/>
    <w:tmpl w:val="026093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6D7E42AC"/>
    <w:multiLevelType w:val="multilevel"/>
    <w:tmpl w:val="45983D22"/>
    <w:lvl w:ilvl="0">
      <w:start w:val="1"/>
      <w:numFmt w:val="decimal"/>
      <w:lvlText w:val="%1."/>
      <w:lvlJc w:val="left"/>
      <w:pPr>
        <w:ind w:left="720" w:hanging="36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4">
    <w:nsid w:val="7B35690B"/>
    <w:multiLevelType w:val="hybridMultilevel"/>
    <w:tmpl w:val="32DC6B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CF22EA9"/>
    <w:multiLevelType w:val="hybridMultilevel"/>
    <w:tmpl w:val="8F7C144E"/>
    <w:lvl w:ilvl="0" w:tplc="09125250">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1"/>
  </w:num>
  <w:num w:numId="12">
    <w:abstractNumId w:val="5"/>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7"/>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42BC3"/>
    <w:rsid w:val="00001014"/>
    <w:rsid w:val="00004B2B"/>
    <w:rsid w:val="00004D3F"/>
    <w:rsid w:val="00007569"/>
    <w:rsid w:val="000104AA"/>
    <w:rsid w:val="00011A70"/>
    <w:rsid w:val="000130E3"/>
    <w:rsid w:val="00013948"/>
    <w:rsid w:val="00015BCA"/>
    <w:rsid w:val="000169DD"/>
    <w:rsid w:val="00016CCD"/>
    <w:rsid w:val="000174F2"/>
    <w:rsid w:val="00017AF4"/>
    <w:rsid w:val="00020AAD"/>
    <w:rsid w:val="00020F2C"/>
    <w:rsid w:val="000230E2"/>
    <w:rsid w:val="00025A91"/>
    <w:rsid w:val="00026A02"/>
    <w:rsid w:val="00031284"/>
    <w:rsid w:val="000313A4"/>
    <w:rsid w:val="00032862"/>
    <w:rsid w:val="00033023"/>
    <w:rsid w:val="00034478"/>
    <w:rsid w:val="0003512F"/>
    <w:rsid w:val="00035748"/>
    <w:rsid w:val="000404E5"/>
    <w:rsid w:val="00041428"/>
    <w:rsid w:val="0004194F"/>
    <w:rsid w:val="00041B4D"/>
    <w:rsid w:val="0004208B"/>
    <w:rsid w:val="00043A72"/>
    <w:rsid w:val="00043D78"/>
    <w:rsid w:val="00043FC4"/>
    <w:rsid w:val="00044944"/>
    <w:rsid w:val="00044CF3"/>
    <w:rsid w:val="000460BB"/>
    <w:rsid w:val="000466CA"/>
    <w:rsid w:val="000474A6"/>
    <w:rsid w:val="00047B87"/>
    <w:rsid w:val="0005198B"/>
    <w:rsid w:val="00052E06"/>
    <w:rsid w:val="00053A55"/>
    <w:rsid w:val="00054347"/>
    <w:rsid w:val="000543BE"/>
    <w:rsid w:val="00054BFC"/>
    <w:rsid w:val="0005683C"/>
    <w:rsid w:val="000576F9"/>
    <w:rsid w:val="00066C58"/>
    <w:rsid w:val="00070E00"/>
    <w:rsid w:val="000719D4"/>
    <w:rsid w:val="00071FDD"/>
    <w:rsid w:val="00073348"/>
    <w:rsid w:val="00074C0F"/>
    <w:rsid w:val="00074FC7"/>
    <w:rsid w:val="00076291"/>
    <w:rsid w:val="00077D93"/>
    <w:rsid w:val="00080956"/>
    <w:rsid w:val="00081070"/>
    <w:rsid w:val="00081E2A"/>
    <w:rsid w:val="0008313E"/>
    <w:rsid w:val="00083A91"/>
    <w:rsid w:val="00083D60"/>
    <w:rsid w:val="00083D7F"/>
    <w:rsid w:val="000844FF"/>
    <w:rsid w:val="00085233"/>
    <w:rsid w:val="000859F1"/>
    <w:rsid w:val="00085FB5"/>
    <w:rsid w:val="00086ACF"/>
    <w:rsid w:val="0008732E"/>
    <w:rsid w:val="000925BB"/>
    <w:rsid w:val="00092CC7"/>
    <w:rsid w:val="00092FE7"/>
    <w:rsid w:val="00094509"/>
    <w:rsid w:val="000947F1"/>
    <w:rsid w:val="00095CBE"/>
    <w:rsid w:val="000963DC"/>
    <w:rsid w:val="00097E12"/>
    <w:rsid w:val="000A079C"/>
    <w:rsid w:val="000A16A1"/>
    <w:rsid w:val="000A1940"/>
    <w:rsid w:val="000A2F00"/>
    <w:rsid w:val="000A5545"/>
    <w:rsid w:val="000A6158"/>
    <w:rsid w:val="000B1CB2"/>
    <w:rsid w:val="000B2127"/>
    <w:rsid w:val="000B4360"/>
    <w:rsid w:val="000B4A66"/>
    <w:rsid w:val="000B5D1E"/>
    <w:rsid w:val="000B6530"/>
    <w:rsid w:val="000C0A4B"/>
    <w:rsid w:val="000C0E36"/>
    <w:rsid w:val="000C2F3D"/>
    <w:rsid w:val="000C6553"/>
    <w:rsid w:val="000C7E9A"/>
    <w:rsid w:val="000D2B7F"/>
    <w:rsid w:val="000D314D"/>
    <w:rsid w:val="000D35A0"/>
    <w:rsid w:val="000D3C94"/>
    <w:rsid w:val="000D6D3D"/>
    <w:rsid w:val="000D6F7C"/>
    <w:rsid w:val="000D6FA6"/>
    <w:rsid w:val="000D7872"/>
    <w:rsid w:val="000E02BF"/>
    <w:rsid w:val="000E4AAD"/>
    <w:rsid w:val="000E57F7"/>
    <w:rsid w:val="000E7562"/>
    <w:rsid w:val="000F1698"/>
    <w:rsid w:val="000F18F2"/>
    <w:rsid w:val="000F2360"/>
    <w:rsid w:val="000F2A55"/>
    <w:rsid w:val="000F30FF"/>
    <w:rsid w:val="000F3933"/>
    <w:rsid w:val="000F422B"/>
    <w:rsid w:val="000F5C54"/>
    <w:rsid w:val="000F71AB"/>
    <w:rsid w:val="000F7753"/>
    <w:rsid w:val="00100F79"/>
    <w:rsid w:val="001027C6"/>
    <w:rsid w:val="00102EAD"/>
    <w:rsid w:val="001038A7"/>
    <w:rsid w:val="00103E7B"/>
    <w:rsid w:val="00104EBA"/>
    <w:rsid w:val="00104EEF"/>
    <w:rsid w:val="001062EE"/>
    <w:rsid w:val="00106B64"/>
    <w:rsid w:val="001124B2"/>
    <w:rsid w:val="00112A8E"/>
    <w:rsid w:val="00113127"/>
    <w:rsid w:val="0011400F"/>
    <w:rsid w:val="001153CB"/>
    <w:rsid w:val="00116B5D"/>
    <w:rsid w:val="00120042"/>
    <w:rsid w:val="00123449"/>
    <w:rsid w:val="00123858"/>
    <w:rsid w:val="00123E7C"/>
    <w:rsid w:val="00125F8A"/>
    <w:rsid w:val="00125F94"/>
    <w:rsid w:val="0012744B"/>
    <w:rsid w:val="00130183"/>
    <w:rsid w:val="001323A6"/>
    <w:rsid w:val="0013268F"/>
    <w:rsid w:val="00132A16"/>
    <w:rsid w:val="00134A24"/>
    <w:rsid w:val="00134BEE"/>
    <w:rsid w:val="00135633"/>
    <w:rsid w:val="00137363"/>
    <w:rsid w:val="0014004B"/>
    <w:rsid w:val="00141BA4"/>
    <w:rsid w:val="00141D94"/>
    <w:rsid w:val="001431A3"/>
    <w:rsid w:val="00144FC9"/>
    <w:rsid w:val="001451C5"/>
    <w:rsid w:val="001468B4"/>
    <w:rsid w:val="00150E9C"/>
    <w:rsid w:val="001532C1"/>
    <w:rsid w:val="001552C2"/>
    <w:rsid w:val="00157606"/>
    <w:rsid w:val="001605CD"/>
    <w:rsid w:val="00161A92"/>
    <w:rsid w:val="00162A8F"/>
    <w:rsid w:val="00163D9D"/>
    <w:rsid w:val="001645BF"/>
    <w:rsid w:val="00165EF1"/>
    <w:rsid w:val="00167025"/>
    <w:rsid w:val="001706DD"/>
    <w:rsid w:val="001708A2"/>
    <w:rsid w:val="00170F4A"/>
    <w:rsid w:val="0017127C"/>
    <w:rsid w:val="00171E05"/>
    <w:rsid w:val="00173614"/>
    <w:rsid w:val="00174553"/>
    <w:rsid w:val="00180304"/>
    <w:rsid w:val="00180769"/>
    <w:rsid w:val="00180C87"/>
    <w:rsid w:val="001816AB"/>
    <w:rsid w:val="0018240A"/>
    <w:rsid w:val="00182F31"/>
    <w:rsid w:val="00184E39"/>
    <w:rsid w:val="00186821"/>
    <w:rsid w:val="00186A66"/>
    <w:rsid w:val="0018703E"/>
    <w:rsid w:val="00190D11"/>
    <w:rsid w:val="001935EC"/>
    <w:rsid w:val="001942CC"/>
    <w:rsid w:val="00194731"/>
    <w:rsid w:val="001953DE"/>
    <w:rsid w:val="00197F4F"/>
    <w:rsid w:val="001A00F4"/>
    <w:rsid w:val="001A1848"/>
    <w:rsid w:val="001A51BA"/>
    <w:rsid w:val="001A54A3"/>
    <w:rsid w:val="001A5F00"/>
    <w:rsid w:val="001A69CA"/>
    <w:rsid w:val="001A798B"/>
    <w:rsid w:val="001B434E"/>
    <w:rsid w:val="001B4C05"/>
    <w:rsid w:val="001B5AE1"/>
    <w:rsid w:val="001B6955"/>
    <w:rsid w:val="001B724F"/>
    <w:rsid w:val="001B7C87"/>
    <w:rsid w:val="001B7C96"/>
    <w:rsid w:val="001B7D22"/>
    <w:rsid w:val="001C1D76"/>
    <w:rsid w:val="001C1F6D"/>
    <w:rsid w:val="001C24C8"/>
    <w:rsid w:val="001C28F8"/>
    <w:rsid w:val="001C29A0"/>
    <w:rsid w:val="001C3D1F"/>
    <w:rsid w:val="001C4450"/>
    <w:rsid w:val="001C4579"/>
    <w:rsid w:val="001C5AD8"/>
    <w:rsid w:val="001D16FD"/>
    <w:rsid w:val="001D1837"/>
    <w:rsid w:val="001D22D7"/>
    <w:rsid w:val="001D2AAF"/>
    <w:rsid w:val="001D37E9"/>
    <w:rsid w:val="001D4DD5"/>
    <w:rsid w:val="001D55E0"/>
    <w:rsid w:val="001D73E3"/>
    <w:rsid w:val="001D744B"/>
    <w:rsid w:val="001D7688"/>
    <w:rsid w:val="001E214D"/>
    <w:rsid w:val="001E282D"/>
    <w:rsid w:val="001E3D5D"/>
    <w:rsid w:val="001E53BA"/>
    <w:rsid w:val="001E5B60"/>
    <w:rsid w:val="001E63A3"/>
    <w:rsid w:val="001F018A"/>
    <w:rsid w:val="001F2BED"/>
    <w:rsid w:val="001F3870"/>
    <w:rsid w:val="001F3A44"/>
    <w:rsid w:val="001F46B0"/>
    <w:rsid w:val="001F711D"/>
    <w:rsid w:val="00200C7E"/>
    <w:rsid w:val="00200E58"/>
    <w:rsid w:val="00202BD8"/>
    <w:rsid w:val="00203CA6"/>
    <w:rsid w:val="0020713C"/>
    <w:rsid w:val="00210D0D"/>
    <w:rsid w:val="002128F6"/>
    <w:rsid w:val="002157B2"/>
    <w:rsid w:val="00217CE0"/>
    <w:rsid w:val="00217F65"/>
    <w:rsid w:val="00222223"/>
    <w:rsid w:val="002225FE"/>
    <w:rsid w:val="00222F0C"/>
    <w:rsid w:val="00223017"/>
    <w:rsid w:val="0022485B"/>
    <w:rsid w:val="00225020"/>
    <w:rsid w:val="00226B46"/>
    <w:rsid w:val="0022730D"/>
    <w:rsid w:val="00230246"/>
    <w:rsid w:val="002317AB"/>
    <w:rsid w:val="002345DB"/>
    <w:rsid w:val="00234AC6"/>
    <w:rsid w:val="0023501B"/>
    <w:rsid w:val="00235F79"/>
    <w:rsid w:val="002369F9"/>
    <w:rsid w:val="00237681"/>
    <w:rsid w:val="00237B5C"/>
    <w:rsid w:val="00241078"/>
    <w:rsid w:val="00241089"/>
    <w:rsid w:val="00241746"/>
    <w:rsid w:val="00241762"/>
    <w:rsid w:val="002435C2"/>
    <w:rsid w:val="00244084"/>
    <w:rsid w:val="00250106"/>
    <w:rsid w:val="002521A9"/>
    <w:rsid w:val="002548F8"/>
    <w:rsid w:val="002557C8"/>
    <w:rsid w:val="002618A5"/>
    <w:rsid w:val="002636A1"/>
    <w:rsid w:val="0026441B"/>
    <w:rsid w:val="00264C78"/>
    <w:rsid w:val="00265FD3"/>
    <w:rsid w:val="00266409"/>
    <w:rsid w:val="002675F3"/>
    <w:rsid w:val="00267E88"/>
    <w:rsid w:val="00270367"/>
    <w:rsid w:val="00271142"/>
    <w:rsid w:val="0027156E"/>
    <w:rsid w:val="00272107"/>
    <w:rsid w:val="00272DD3"/>
    <w:rsid w:val="002732AD"/>
    <w:rsid w:val="00273C1F"/>
    <w:rsid w:val="002740D9"/>
    <w:rsid w:val="0027455C"/>
    <w:rsid w:val="00275F67"/>
    <w:rsid w:val="00277DA3"/>
    <w:rsid w:val="00277EB8"/>
    <w:rsid w:val="002804F4"/>
    <w:rsid w:val="00280B25"/>
    <w:rsid w:val="00280CD7"/>
    <w:rsid w:val="00281D84"/>
    <w:rsid w:val="002829C0"/>
    <w:rsid w:val="00287C6F"/>
    <w:rsid w:val="00287E85"/>
    <w:rsid w:val="0029071A"/>
    <w:rsid w:val="00291C72"/>
    <w:rsid w:val="002924C8"/>
    <w:rsid w:val="002946EF"/>
    <w:rsid w:val="0029580C"/>
    <w:rsid w:val="00295B24"/>
    <w:rsid w:val="002960CB"/>
    <w:rsid w:val="002A0512"/>
    <w:rsid w:val="002A187A"/>
    <w:rsid w:val="002A1E56"/>
    <w:rsid w:val="002A1F83"/>
    <w:rsid w:val="002A24AE"/>
    <w:rsid w:val="002A2F1C"/>
    <w:rsid w:val="002A36E6"/>
    <w:rsid w:val="002A37E7"/>
    <w:rsid w:val="002A3BB8"/>
    <w:rsid w:val="002A4420"/>
    <w:rsid w:val="002A453D"/>
    <w:rsid w:val="002A52BF"/>
    <w:rsid w:val="002A536B"/>
    <w:rsid w:val="002B016C"/>
    <w:rsid w:val="002B1040"/>
    <w:rsid w:val="002B13A9"/>
    <w:rsid w:val="002B19C5"/>
    <w:rsid w:val="002B3DC9"/>
    <w:rsid w:val="002B56AC"/>
    <w:rsid w:val="002B5EB7"/>
    <w:rsid w:val="002B74F5"/>
    <w:rsid w:val="002B78E1"/>
    <w:rsid w:val="002C0564"/>
    <w:rsid w:val="002C163B"/>
    <w:rsid w:val="002C2677"/>
    <w:rsid w:val="002C31C3"/>
    <w:rsid w:val="002C39E6"/>
    <w:rsid w:val="002C3B33"/>
    <w:rsid w:val="002C4ACD"/>
    <w:rsid w:val="002C649F"/>
    <w:rsid w:val="002C76ED"/>
    <w:rsid w:val="002C794D"/>
    <w:rsid w:val="002D10F7"/>
    <w:rsid w:val="002D19AE"/>
    <w:rsid w:val="002D1E49"/>
    <w:rsid w:val="002D4B22"/>
    <w:rsid w:val="002D65AE"/>
    <w:rsid w:val="002D7482"/>
    <w:rsid w:val="002D79E9"/>
    <w:rsid w:val="002E260F"/>
    <w:rsid w:val="002E31BE"/>
    <w:rsid w:val="002E68FD"/>
    <w:rsid w:val="002E783E"/>
    <w:rsid w:val="002E7E7D"/>
    <w:rsid w:val="002F003B"/>
    <w:rsid w:val="002F049A"/>
    <w:rsid w:val="002F0532"/>
    <w:rsid w:val="002F0AE6"/>
    <w:rsid w:val="002F0B16"/>
    <w:rsid w:val="002F0D87"/>
    <w:rsid w:val="002F129D"/>
    <w:rsid w:val="002F1C31"/>
    <w:rsid w:val="002F2007"/>
    <w:rsid w:val="002F4287"/>
    <w:rsid w:val="002F47B1"/>
    <w:rsid w:val="002F59A4"/>
    <w:rsid w:val="002F75A9"/>
    <w:rsid w:val="0030153C"/>
    <w:rsid w:val="003015D0"/>
    <w:rsid w:val="003021AD"/>
    <w:rsid w:val="00303FBF"/>
    <w:rsid w:val="00304663"/>
    <w:rsid w:val="00306313"/>
    <w:rsid w:val="00306517"/>
    <w:rsid w:val="00306792"/>
    <w:rsid w:val="00306EA5"/>
    <w:rsid w:val="00307B6A"/>
    <w:rsid w:val="00307E13"/>
    <w:rsid w:val="00311C19"/>
    <w:rsid w:val="00312A4E"/>
    <w:rsid w:val="00312C97"/>
    <w:rsid w:val="003131DC"/>
    <w:rsid w:val="00314436"/>
    <w:rsid w:val="00315032"/>
    <w:rsid w:val="0031558E"/>
    <w:rsid w:val="0031584C"/>
    <w:rsid w:val="0031782A"/>
    <w:rsid w:val="00320169"/>
    <w:rsid w:val="00320CF0"/>
    <w:rsid w:val="0032182C"/>
    <w:rsid w:val="00321BC9"/>
    <w:rsid w:val="00322100"/>
    <w:rsid w:val="0032216C"/>
    <w:rsid w:val="00322430"/>
    <w:rsid w:val="00322891"/>
    <w:rsid w:val="00325D3D"/>
    <w:rsid w:val="0032721F"/>
    <w:rsid w:val="00327D19"/>
    <w:rsid w:val="00331090"/>
    <w:rsid w:val="003324A1"/>
    <w:rsid w:val="00332B2C"/>
    <w:rsid w:val="00332EF4"/>
    <w:rsid w:val="003341B6"/>
    <w:rsid w:val="0033490D"/>
    <w:rsid w:val="00334B1B"/>
    <w:rsid w:val="00343A22"/>
    <w:rsid w:val="00344916"/>
    <w:rsid w:val="003451D4"/>
    <w:rsid w:val="003463BA"/>
    <w:rsid w:val="0034695B"/>
    <w:rsid w:val="00347327"/>
    <w:rsid w:val="00350ACE"/>
    <w:rsid w:val="00350B4D"/>
    <w:rsid w:val="00350F7C"/>
    <w:rsid w:val="00351344"/>
    <w:rsid w:val="003536E0"/>
    <w:rsid w:val="003541EB"/>
    <w:rsid w:val="00357A82"/>
    <w:rsid w:val="00360AB7"/>
    <w:rsid w:val="00365349"/>
    <w:rsid w:val="00370053"/>
    <w:rsid w:val="00370B82"/>
    <w:rsid w:val="00371706"/>
    <w:rsid w:val="003757A8"/>
    <w:rsid w:val="0037593A"/>
    <w:rsid w:val="003769B5"/>
    <w:rsid w:val="00377559"/>
    <w:rsid w:val="003808C3"/>
    <w:rsid w:val="00380A3E"/>
    <w:rsid w:val="00384217"/>
    <w:rsid w:val="00390ECD"/>
    <w:rsid w:val="00391BEF"/>
    <w:rsid w:val="00393BD3"/>
    <w:rsid w:val="0039546D"/>
    <w:rsid w:val="00395966"/>
    <w:rsid w:val="003A003C"/>
    <w:rsid w:val="003A1C1B"/>
    <w:rsid w:val="003A1D9C"/>
    <w:rsid w:val="003A22DC"/>
    <w:rsid w:val="003A290C"/>
    <w:rsid w:val="003A40A0"/>
    <w:rsid w:val="003A68D9"/>
    <w:rsid w:val="003A6E1A"/>
    <w:rsid w:val="003B0837"/>
    <w:rsid w:val="003B21CD"/>
    <w:rsid w:val="003B28B0"/>
    <w:rsid w:val="003B3E2E"/>
    <w:rsid w:val="003B4045"/>
    <w:rsid w:val="003B459A"/>
    <w:rsid w:val="003B5DAC"/>
    <w:rsid w:val="003B610B"/>
    <w:rsid w:val="003B7209"/>
    <w:rsid w:val="003B779E"/>
    <w:rsid w:val="003C483B"/>
    <w:rsid w:val="003C4E3B"/>
    <w:rsid w:val="003C6128"/>
    <w:rsid w:val="003C79B7"/>
    <w:rsid w:val="003D05D1"/>
    <w:rsid w:val="003D1888"/>
    <w:rsid w:val="003D2287"/>
    <w:rsid w:val="003D2978"/>
    <w:rsid w:val="003D31FA"/>
    <w:rsid w:val="003D3700"/>
    <w:rsid w:val="003D3B08"/>
    <w:rsid w:val="003D71B3"/>
    <w:rsid w:val="003E1767"/>
    <w:rsid w:val="003E24BB"/>
    <w:rsid w:val="003E3288"/>
    <w:rsid w:val="003E3C1B"/>
    <w:rsid w:val="003E3C7C"/>
    <w:rsid w:val="003E3F44"/>
    <w:rsid w:val="003E5012"/>
    <w:rsid w:val="003E5A11"/>
    <w:rsid w:val="003E7C88"/>
    <w:rsid w:val="003F083D"/>
    <w:rsid w:val="003F0A1F"/>
    <w:rsid w:val="003F113A"/>
    <w:rsid w:val="003F11DF"/>
    <w:rsid w:val="003F13E5"/>
    <w:rsid w:val="003F355A"/>
    <w:rsid w:val="003F372D"/>
    <w:rsid w:val="003F5CB4"/>
    <w:rsid w:val="00400B9B"/>
    <w:rsid w:val="00401899"/>
    <w:rsid w:val="00401F6B"/>
    <w:rsid w:val="00405DB8"/>
    <w:rsid w:val="00407004"/>
    <w:rsid w:val="004070F4"/>
    <w:rsid w:val="004079D5"/>
    <w:rsid w:val="0041029F"/>
    <w:rsid w:val="004116BC"/>
    <w:rsid w:val="00412298"/>
    <w:rsid w:val="00417015"/>
    <w:rsid w:val="0041712F"/>
    <w:rsid w:val="0041724D"/>
    <w:rsid w:val="00420640"/>
    <w:rsid w:val="004209BE"/>
    <w:rsid w:val="00420CB8"/>
    <w:rsid w:val="00420E1F"/>
    <w:rsid w:val="00421DFE"/>
    <w:rsid w:val="004226A1"/>
    <w:rsid w:val="00422A52"/>
    <w:rsid w:val="004233E4"/>
    <w:rsid w:val="00423F9A"/>
    <w:rsid w:val="00423FD8"/>
    <w:rsid w:val="00424068"/>
    <w:rsid w:val="00426004"/>
    <w:rsid w:val="00427190"/>
    <w:rsid w:val="00433DFF"/>
    <w:rsid w:val="00436015"/>
    <w:rsid w:val="00436BF1"/>
    <w:rsid w:val="00436D75"/>
    <w:rsid w:val="0043782C"/>
    <w:rsid w:val="00440DC2"/>
    <w:rsid w:val="00441029"/>
    <w:rsid w:val="00441A3E"/>
    <w:rsid w:val="00441FFE"/>
    <w:rsid w:val="004428EB"/>
    <w:rsid w:val="00442E33"/>
    <w:rsid w:val="00442E53"/>
    <w:rsid w:val="00444D46"/>
    <w:rsid w:val="004464E4"/>
    <w:rsid w:val="00447A21"/>
    <w:rsid w:val="00447B7C"/>
    <w:rsid w:val="00451052"/>
    <w:rsid w:val="004524F6"/>
    <w:rsid w:val="004528F8"/>
    <w:rsid w:val="00453342"/>
    <w:rsid w:val="004538F0"/>
    <w:rsid w:val="00454641"/>
    <w:rsid w:val="0045471C"/>
    <w:rsid w:val="00454F4A"/>
    <w:rsid w:val="0045549A"/>
    <w:rsid w:val="0045583C"/>
    <w:rsid w:val="0045590A"/>
    <w:rsid w:val="0045641A"/>
    <w:rsid w:val="00457EE9"/>
    <w:rsid w:val="00460B70"/>
    <w:rsid w:val="004630A8"/>
    <w:rsid w:val="004638CB"/>
    <w:rsid w:val="00463A85"/>
    <w:rsid w:val="0046557E"/>
    <w:rsid w:val="00465757"/>
    <w:rsid w:val="00466DF5"/>
    <w:rsid w:val="00466FCA"/>
    <w:rsid w:val="00467E2A"/>
    <w:rsid w:val="004704FB"/>
    <w:rsid w:val="0047286A"/>
    <w:rsid w:val="00473D77"/>
    <w:rsid w:val="00473E02"/>
    <w:rsid w:val="00474A62"/>
    <w:rsid w:val="00474E88"/>
    <w:rsid w:val="004757EF"/>
    <w:rsid w:val="0047589A"/>
    <w:rsid w:val="0047682F"/>
    <w:rsid w:val="004829C7"/>
    <w:rsid w:val="00484CB1"/>
    <w:rsid w:val="004869F6"/>
    <w:rsid w:val="0049076F"/>
    <w:rsid w:val="0049278F"/>
    <w:rsid w:val="004929AE"/>
    <w:rsid w:val="00492AD5"/>
    <w:rsid w:val="00492FBC"/>
    <w:rsid w:val="0049350E"/>
    <w:rsid w:val="0049461A"/>
    <w:rsid w:val="004A02C6"/>
    <w:rsid w:val="004A3B43"/>
    <w:rsid w:val="004A3F98"/>
    <w:rsid w:val="004A5369"/>
    <w:rsid w:val="004A5741"/>
    <w:rsid w:val="004A5963"/>
    <w:rsid w:val="004A5CD8"/>
    <w:rsid w:val="004A7821"/>
    <w:rsid w:val="004A7E29"/>
    <w:rsid w:val="004B2255"/>
    <w:rsid w:val="004B2754"/>
    <w:rsid w:val="004B284C"/>
    <w:rsid w:val="004B65DD"/>
    <w:rsid w:val="004B6AEF"/>
    <w:rsid w:val="004B7705"/>
    <w:rsid w:val="004C1391"/>
    <w:rsid w:val="004C1FAE"/>
    <w:rsid w:val="004C2083"/>
    <w:rsid w:val="004C500B"/>
    <w:rsid w:val="004C68D1"/>
    <w:rsid w:val="004D2176"/>
    <w:rsid w:val="004D2950"/>
    <w:rsid w:val="004D3342"/>
    <w:rsid w:val="004D5A17"/>
    <w:rsid w:val="004D6E67"/>
    <w:rsid w:val="004D7793"/>
    <w:rsid w:val="004E041A"/>
    <w:rsid w:val="004E4C06"/>
    <w:rsid w:val="004E6F5D"/>
    <w:rsid w:val="004F1AF7"/>
    <w:rsid w:val="004F1BA2"/>
    <w:rsid w:val="004F1C0A"/>
    <w:rsid w:val="004F2E36"/>
    <w:rsid w:val="004F31EB"/>
    <w:rsid w:val="004F3D1C"/>
    <w:rsid w:val="004F3F32"/>
    <w:rsid w:val="004F403D"/>
    <w:rsid w:val="004F5DFB"/>
    <w:rsid w:val="004F7510"/>
    <w:rsid w:val="004F761A"/>
    <w:rsid w:val="004F7D93"/>
    <w:rsid w:val="00500A16"/>
    <w:rsid w:val="00500C57"/>
    <w:rsid w:val="005019BB"/>
    <w:rsid w:val="00502146"/>
    <w:rsid w:val="00502612"/>
    <w:rsid w:val="00502C41"/>
    <w:rsid w:val="00504BEF"/>
    <w:rsid w:val="00504EF0"/>
    <w:rsid w:val="005057CD"/>
    <w:rsid w:val="00507506"/>
    <w:rsid w:val="00507BA0"/>
    <w:rsid w:val="00510B16"/>
    <w:rsid w:val="00511224"/>
    <w:rsid w:val="0051146E"/>
    <w:rsid w:val="00512275"/>
    <w:rsid w:val="005132ED"/>
    <w:rsid w:val="00513323"/>
    <w:rsid w:val="0051457B"/>
    <w:rsid w:val="00514CD9"/>
    <w:rsid w:val="0051507D"/>
    <w:rsid w:val="0051689D"/>
    <w:rsid w:val="0051741E"/>
    <w:rsid w:val="00517590"/>
    <w:rsid w:val="00517F5F"/>
    <w:rsid w:val="00521622"/>
    <w:rsid w:val="00522EA0"/>
    <w:rsid w:val="005317BD"/>
    <w:rsid w:val="0053414E"/>
    <w:rsid w:val="005407EB"/>
    <w:rsid w:val="00541102"/>
    <w:rsid w:val="00543473"/>
    <w:rsid w:val="00543863"/>
    <w:rsid w:val="005442D4"/>
    <w:rsid w:val="005445B7"/>
    <w:rsid w:val="00544A90"/>
    <w:rsid w:val="00544B5D"/>
    <w:rsid w:val="005469AD"/>
    <w:rsid w:val="005474DC"/>
    <w:rsid w:val="0055006E"/>
    <w:rsid w:val="00552EA0"/>
    <w:rsid w:val="00554009"/>
    <w:rsid w:val="00555172"/>
    <w:rsid w:val="00555497"/>
    <w:rsid w:val="0055708C"/>
    <w:rsid w:val="00560299"/>
    <w:rsid w:val="00560A1D"/>
    <w:rsid w:val="00561208"/>
    <w:rsid w:val="00561231"/>
    <w:rsid w:val="00562E1D"/>
    <w:rsid w:val="005639F1"/>
    <w:rsid w:val="005645A7"/>
    <w:rsid w:val="005646C1"/>
    <w:rsid w:val="005662DA"/>
    <w:rsid w:val="0056681A"/>
    <w:rsid w:val="00566C1A"/>
    <w:rsid w:val="00570BB1"/>
    <w:rsid w:val="005712BE"/>
    <w:rsid w:val="0057364C"/>
    <w:rsid w:val="005739EA"/>
    <w:rsid w:val="00573AB1"/>
    <w:rsid w:val="005747AC"/>
    <w:rsid w:val="005755F1"/>
    <w:rsid w:val="00575A1C"/>
    <w:rsid w:val="00576D8E"/>
    <w:rsid w:val="0057775F"/>
    <w:rsid w:val="00577F57"/>
    <w:rsid w:val="005817CA"/>
    <w:rsid w:val="00581929"/>
    <w:rsid w:val="00582A23"/>
    <w:rsid w:val="00586F4A"/>
    <w:rsid w:val="00590690"/>
    <w:rsid w:val="005908E8"/>
    <w:rsid w:val="005911FA"/>
    <w:rsid w:val="0059213B"/>
    <w:rsid w:val="0059313D"/>
    <w:rsid w:val="005934B5"/>
    <w:rsid w:val="005938BD"/>
    <w:rsid w:val="00594A03"/>
    <w:rsid w:val="005964CE"/>
    <w:rsid w:val="005A0137"/>
    <w:rsid w:val="005A048C"/>
    <w:rsid w:val="005A3536"/>
    <w:rsid w:val="005A3558"/>
    <w:rsid w:val="005A4882"/>
    <w:rsid w:val="005A5B1A"/>
    <w:rsid w:val="005A67C7"/>
    <w:rsid w:val="005A6D82"/>
    <w:rsid w:val="005A7027"/>
    <w:rsid w:val="005A7F81"/>
    <w:rsid w:val="005B1389"/>
    <w:rsid w:val="005B1AF7"/>
    <w:rsid w:val="005B50B4"/>
    <w:rsid w:val="005B5972"/>
    <w:rsid w:val="005B5BA4"/>
    <w:rsid w:val="005B68F9"/>
    <w:rsid w:val="005B77C5"/>
    <w:rsid w:val="005C121A"/>
    <w:rsid w:val="005C255A"/>
    <w:rsid w:val="005C26DA"/>
    <w:rsid w:val="005C29DE"/>
    <w:rsid w:val="005C2E47"/>
    <w:rsid w:val="005C3525"/>
    <w:rsid w:val="005C48A5"/>
    <w:rsid w:val="005C6DCE"/>
    <w:rsid w:val="005D20E2"/>
    <w:rsid w:val="005D27F2"/>
    <w:rsid w:val="005D4843"/>
    <w:rsid w:val="005D53FD"/>
    <w:rsid w:val="005D65F4"/>
    <w:rsid w:val="005E01CC"/>
    <w:rsid w:val="005E065C"/>
    <w:rsid w:val="005E2B15"/>
    <w:rsid w:val="005E3D24"/>
    <w:rsid w:val="005E799C"/>
    <w:rsid w:val="005F138E"/>
    <w:rsid w:val="005F1A0E"/>
    <w:rsid w:val="005F328B"/>
    <w:rsid w:val="005F3D1E"/>
    <w:rsid w:val="005F3FE4"/>
    <w:rsid w:val="005F4399"/>
    <w:rsid w:val="005F4C55"/>
    <w:rsid w:val="005F575B"/>
    <w:rsid w:val="005F7B3D"/>
    <w:rsid w:val="006033B9"/>
    <w:rsid w:val="006052F0"/>
    <w:rsid w:val="00605568"/>
    <w:rsid w:val="00607DB5"/>
    <w:rsid w:val="0061043D"/>
    <w:rsid w:val="006118ED"/>
    <w:rsid w:val="00612FAA"/>
    <w:rsid w:val="0061326E"/>
    <w:rsid w:val="00614685"/>
    <w:rsid w:val="0061503B"/>
    <w:rsid w:val="006155D5"/>
    <w:rsid w:val="006165F6"/>
    <w:rsid w:val="00617416"/>
    <w:rsid w:val="006178B7"/>
    <w:rsid w:val="00620841"/>
    <w:rsid w:val="0062148C"/>
    <w:rsid w:val="00622EF7"/>
    <w:rsid w:val="0062365B"/>
    <w:rsid w:val="006240E9"/>
    <w:rsid w:val="006242D6"/>
    <w:rsid w:val="006264D3"/>
    <w:rsid w:val="00626959"/>
    <w:rsid w:val="00627FB6"/>
    <w:rsid w:val="00630F6D"/>
    <w:rsid w:val="0063130B"/>
    <w:rsid w:val="006316C9"/>
    <w:rsid w:val="006321BC"/>
    <w:rsid w:val="0063289B"/>
    <w:rsid w:val="00632D1C"/>
    <w:rsid w:val="00633647"/>
    <w:rsid w:val="00633FE4"/>
    <w:rsid w:val="00635A3C"/>
    <w:rsid w:val="00636186"/>
    <w:rsid w:val="0063751F"/>
    <w:rsid w:val="006403FC"/>
    <w:rsid w:val="006415EE"/>
    <w:rsid w:val="00644513"/>
    <w:rsid w:val="006467EC"/>
    <w:rsid w:val="0064753D"/>
    <w:rsid w:val="006507AB"/>
    <w:rsid w:val="006521E2"/>
    <w:rsid w:val="00652B0B"/>
    <w:rsid w:val="00653CD2"/>
    <w:rsid w:val="0065680E"/>
    <w:rsid w:val="00656A16"/>
    <w:rsid w:val="00656C66"/>
    <w:rsid w:val="00662267"/>
    <w:rsid w:val="00664469"/>
    <w:rsid w:val="0066464F"/>
    <w:rsid w:val="00665324"/>
    <w:rsid w:val="006656CB"/>
    <w:rsid w:val="00665818"/>
    <w:rsid w:val="00667BAC"/>
    <w:rsid w:val="0067356B"/>
    <w:rsid w:val="006750E9"/>
    <w:rsid w:val="00675293"/>
    <w:rsid w:val="006759E5"/>
    <w:rsid w:val="00677E3A"/>
    <w:rsid w:val="006807A9"/>
    <w:rsid w:val="00681734"/>
    <w:rsid w:val="00682B4A"/>
    <w:rsid w:val="00682DEA"/>
    <w:rsid w:val="006875DD"/>
    <w:rsid w:val="00687B4A"/>
    <w:rsid w:val="006908FC"/>
    <w:rsid w:val="006929F9"/>
    <w:rsid w:val="00692BF1"/>
    <w:rsid w:val="00692EF3"/>
    <w:rsid w:val="006956C6"/>
    <w:rsid w:val="00697570"/>
    <w:rsid w:val="006975AB"/>
    <w:rsid w:val="006A01B4"/>
    <w:rsid w:val="006A0E9E"/>
    <w:rsid w:val="006A14A5"/>
    <w:rsid w:val="006A193E"/>
    <w:rsid w:val="006A4867"/>
    <w:rsid w:val="006A637F"/>
    <w:rsid w:val="006A6803"/>
    <w:rsid w:val="006A77CB"/>
    <w:rsid w:val="006B06F6"/>
    <w:rsid w:val="006B086E"/>
    <w:rsid w:val="006B1574"/>
    <w:rsid w:val="006B1990"/>
    <w:rsid w:val="006B26D8"/>
    <w:rsid w:val="006B4356"/>
    <w:rsid w:val="006B777B"/>
    <w:rsid w:val="006C0DA4"/>
    <w:rsid w:val="006C1A22"/>
    <w:rsid w:val="006C3797"/>
    <w:rsid w:val="006C3B20"/>
    <w:rsid w:val="006C5C13"/>
    <w:rsid w:val="006C5F80"/>
    <w:rsid w:val="006C653D"/>
    <w:rsid w:val="006C6E9C"/>
    <w:rsid w:val="006C7210"/>
    <w:rsid w:val="006C7639"/>
    <w:rsid w:val="006C7CFC"/>
    <w:rsid w:val="006D058C"/>
    <w:rsid w:val="006D0665"/>
    <w:rsid w:val="006D0B06"/>
    <w:rsid w:val="006D148B"/>
    <w:rsid w:val="006D328B"/>
    <w:rsid w:val="006D36FA"/>
    <w:rsid w:val="006D47E1"/>
    <w:rsid w:val="006D4DB6"/>
    <w:rsid w:val="006D6120"/>
    <w:rsid w:val="006D7696"/>
    <w:rsid w:val="006D7E49"/>
    <w:rsid w:val="006E01B8"/>
    <w:rsid w:val="006E1DC2"/>
    <w:rsid w:val="006E22CA"/>
    <w:rsid w:val="006E261F"/>
    <w:rsid w:val="006E27B0"/>
    <w:rsid w:val="006E369C"/>
    <w:rsid w:val="006E470C"/>
    <w:rsid w:val="006E51EB"/>
    <w:rsid w:val="006E67A0"/>
    <w:rsid w:val="006E7628"/>
    <w:rsid w:val="006F13CE"/>
    <w:rsid w:val="006F2C3C"/>
    <w:rsid w:val="00703254"/>
    <w:rsid w:val="007062C4"/>
    <w:rsid w:val="00712B5E"/>
    <w:rsid w:val="0071339C"/>
    <w:rsid w:val="0071356E"/>
    <w:rsid w:val="007135CF"/>
    <w:rsid w:val="00713BD1"/>
    <w:rsid w:val="0071462B"/>
    <w:rsid w:val="0071506F"/>
    <w:rsid w:val="00715430"/>
    <w:rsid w:val="00722810"/>
    <w:rsid w:val="00727F31"/>
    <w:rsid w:val="007307D6"/>
    <w:rsid w:val="00732E94"/>
    <w:rsid w:val="00733249"/>
    <w:rsid w:val="00733713"/>
    <w:rsid w:val="007338CC"/>
    <w:rsid w:val="007353ED"/>
    <w:rsid w:val="00736B94"/>
    <w:rsid w:val="0073785B"/>
    <w:rsid w:val="007403C8"/>
    <w:rsid w:val="007408EA"/>
    <w:rsid w:val="00740BCE"/>
    <w:rsid w:val="0074250A"/>
    <w:rsid w:val="00742B4D"/>
    <w:rsid w:val="00742BC3"/>
    <w:rsid w:val="007443D8"/>
    <w:rsid w:val="0074458D"/>
    <w:rsid w:val="00747936"/>
    <w:rsid w:val="00747C3D"/>
    <w:rsid w:val="00750340"/>
    <w:rsid w:val="007518C3"/>
    <w:rsid w:val="00752B8A"/>
    <w:rsid w:val="00756B94"/>
    <w:rsid w:val="0075725B"/>
    <w:rsid w:val="007619A3"/>
    <w:rsid w:val="0076219F"/>
    <w:rsid w:val="0076387C"/>
    <w:rsid w:val="00763C31"/>
    <w:rsid w:val="0076403B"/>
    <w:rsid w:val="0076460C"/>
    <w:rsid w:val="00765578"/>
    <w:rsid w:val="007657BB"/>
    <w:rsid w:val="007662BC"/>
    <w:rsid w:val="007668F5"/>
    <w:rsid w:val="00766C16"/>
    <w:rsid w:val="007713B8"/>
    <w:rsid w:val="007716F2"/>
    <w:rsid w:val="00771723"/>
    <w:rsid w:val="00771F94"/>
    <w:rsid w:val="00773CC0"/>
    <w:rsid w:val="0077562C"/>
    <w:rsid w:val="0077583F"/>
    <w:rsid w:val="00775898"/>
    <w:rsid w:val="00775A71"/>
    <w:rsid w:val="00775BE7"/>
    <w:rsid w:val="00776F2F"/>
    <w:rsid w:val="00782081"/>
    <w:rsid w:val="00782247"/>
    <w:rsid w:val="00782D90"/>
    <w:rsid w:val="00784032"/>
    <w:rsid w:val="007853D4"/>
    <w:rsid w:val="00786186"/>
    <w:rsid w:val="00787E36"/>
    <w:rsid w:val="00790AC8"/>
    <w:rsid w:val="00791862"/>
    <w:rsid w:val="00791DAD"/>
    <w:rsid w:val="00794691"/>
    <w:rsid w:val="00794BC2"/>
    <w:rsid w:val="007A22D6"/>
    <w:rsid w:val="007A29E3"/>
    <w:rsid w:val="007A33FA"/>
    <w:rsid w:val="007A45FB"/>
    <w:rsid w:val="007A4DCC"/>
    <w:rsid w:val="007A53BF"/>
    <w:rsid w:val="007A5822"/>
    <w:rsid w:val="007A5A62"/>
    <w:rsid w:val="007A6092"/>
    <w:rsid w:val="007A6D2E"/>
    <w:rsid w:val="007A7556"/>
    <w:rsid w:val="007B00E9"/>
    <w:rsid w:val="007B08DE"/>
    <w:rsid w:val="007B08F9"/>
    <w:rsid w:val="007B0D30"/>
    <w:rsid w:val="007B1640"/>
    <w:rsid w:val="007B1C2C"/>
    <w:rsid w:val="007B2744"/>
    <w:rsid w:val="007B2CBB"/>
    <w:rsid w:val="007B2F5B"/>
    <w:rsid w:val="007B3361"/>
    <w:rsid w:val="007B3B59"/>
    <w:rsid w:val="007B3E6C"/>
    <w:rsid w:val="007B4065"/>
    <w:rsid w:val="007B58C1"/>
    <w:rsid w:val="007B6FBE"/>
    <w:rsid w:val="007B7620"/>
    <w:rsid w:val="007C0128"/>
    <w:rsid w:val="007C0C8C"/>
    <w:rsid w:val="007C2E96"/>
    <w:rsid w:val="007C3BCE"/>
    <w:rsid w:val="007C3F13"/>
    <w:rsid w:val="007C5617"/>
    <w:rsid w:val="007D0D3E"/>
    <w:rsid w:val="007D1C27"/>
    <w:rsid w:val="007D3291"/>
    <w:rsid w:val="007D509D"/>
    <w:rsid w:val="007D6314"/>
    <w:rsid w:val="007D6721"/>
    <w:rsid w:val="007E0586"/>
    <w:rsid w:val="007E0E4D"/>
    <w:rsid w:val="007E0EF7"/>
    <w:rsid w:val="007E10EE"/>
    <w:rsid w:val="007E324D"/>
    <w:rsid w:val="007E3AB7"/>
    <w:rsid w:val="007E4A7C"/>
    <w:rsid w:val="007E7A2A"/>
    <w:rsid w:val="007F0AD1"/>
    <w:rsid w:val="007F1AC5"/>
    <w:rsid w:val="007F2354"/>
    <w:rsid w:val="007F32D7"/>
    <w:rsid w:val="007F4701"/>
    <w:rsid w:val="007F48CC"/>
    <w:rsid w:val="007F58DD"/>
    <w:rsid w:val="007F6B08"/>
    <w:rsid w:val="007F755B"/>
    <w:rsid w:val="007F785E"/>
    <w:rsid w:val="008009C5"/>
    <w:rsid w:val="00800C65"/>
    <w:rsid w:val="00802E95"/>
    <w:rsid w:val="008039D7"/>
    <w:rsid w:val="00804071"/>
    <w:rsid w:val="008059D8"/>
    <w:rsid w:val="00805BE9"/>
    <w:rsid w:val="00810246"/>
    <w:rsid w:val="00810504"/>
    <w:rsid w:val="00810A21"/>
    <w:rsid w:val="00813056"/>
    <w:rsid w:val="00813265"/>
    <w:rsid w:val="00814789"/>
    <w:rsid w:val="00814B38"/>
    <w:rsid w:val="00814E47"/>
    <w:rsid w:val="008210D1"/>
    <w:rsid w:val="008224AF"/>
    <w:rsid w:val="00823C80"/>
    <w:rsid w:val="00824E37"/>
    <w:rsid w:val="00824F2C"/>
    <w:rsid w:val="008256F8"/>
    <w:rsid w:val="008264E8"/>
    <w:rsid w:val="00826874"/>
    <w:rsid w:val="00826EFE"/>
    <w:rsid w:val="00827CEE"/>
    <w:rsid w:val="00827E2C"/>
    <w:rsid w:val="00832C26"/>
    <w:rsid w:val="00833022"/>
    <w:rsid w:val="00833293"/>
    <w:rsid w:val="00835101"/>
    <w:rsid w:val="008352CA"/>
    <w:rsid w:val="008359B4"/>
    <w:rsid w:val="00840EFE"/>
    <w:rsid w:val="00841044"/>
    <w:rsid w:val="00842F8A"/>
    <w:rsid w:val="008434D9"/>
    <w:rsid w:val="00843763"/>
    <w:rsid w:val="00843B62"/>
    <w:rsid w:val="00843BF2"/>
    <w:rsid w:val="00844F1C"/>
    <w:rsid w:val="00846A74"/>
    <w:rsid w:val="00846F44"/>
    <w:rsid w:val="00852231"/>
    <w:rsid w:val="008563DC"/>
    <w:rsid w:val="00860014"/>
    <w:rsid w:val="008621EA"/>
    <w:rsid w:val="00863EE8"/>
    <w:rsid w:val="008655FB"/>
    <w:rsid w:val="0086655F"/>
    <w:rsid w:val="008722A2"/>
    <w:rsid w:val="008727D7"/>
    <w:rsid w:val="00872DCC"/>
    <w:rsid w:val="00872E06"/>
    <w:rsid w:val="008745BB"/>
    <w:rsid w:val="00874906"/>
    <w:rsid w:val="0087514C"/>
    <w:rsid w:val="00877D7B"/>
    <w:rsid w:val="008824EB"/>
    <w:rsid w:val="008824F5"/>
    <w:rsid w:val="00882D1A"/>
    <w:rsid w:val="00883095"/>
    <w:rsid w:val="00883615"/>
    <w:rsid w:val="00884656"/>
    <w:rsid w:val="00884BE3"/>
    <w:rsid w:val="008857BC"/>
    <w:rsid w:val="0088613E"/>
    <w:rsid w:val="00886F7E"/>
    <w:rsid w:val="00890E4E"/>
    <w:rsid w:val="00891995"/>
    <w:rsid w:val="00891DDE"/>
    <w:rsid w:val="00891E8B"/>
    <w:rsid w:val="008923D6"/>
    <w:rsid w:val="0089304A"/>
    <w:rsid w:val="008930EC"/>
    <w:rsid w:val="00895E1F"/>
    <w:rsid w:val="00896EAA"/>
    <w:rsid w:val="00897888"/>
    <w:rsid w:val="008978A9"/>
    <w:rsid w:val="008A05F0"/>
    <w:rsid w:val="008A0FEE"/>
    <w:rsid w:val="008A15B1"/>
    <w:rsid w:val="008A2599"/>
    <w:rsid w:val="008A50EC"/>
    <w:rsid w:val="008A5FEF"/>
    <w:rsid w:val="008A6334"/>
    <w:rsid w:val="008A68C5"/>
    <w:rsid w:val="008A7975"/>
    <w:rsid w:val="008A7A3D"/>
    <w:rsid w:val="008B2114"/>
    <w:rsid w:val="008B2649"/>
    <w:rsid w:val="008B376C"/>
    <w:rsid w:val="008B3AD7"/>
    <w:rsid w:val="008B3E08"/>
    <w:rsid w:val="008B4C86"/>
    <w:rsid w:val="008B63A2"/>
    <w:rsid w:val="008B685C"/>
    <w:rsid w:val="008B7B0F"/>
    <w:rsid w:val="008C075C"/>
    <w:rsid w:val="008C1260"/>
    <w:rsid w:val="008C15CB"/>
    <w:rsid w:val="008C15DF"/>
    <w:rsid w:val="008C17C8"/>
    <w:rsid w:val="008C300A"/>
    <w:rsid w:val="008C37CE"/>
    <w:rsid w:val="008C4980"/>
    <w:rsid w:val="008C4AC2"/>
    <w:rsid w:val="008C527E"/>
    <w:rsid w:val="008C782C"/>
    <w:rsid w:val="008C7BD8"/>
    <w:rsid w:val="008C7E4B"/>
    <w:rsid w:val="008D0CDD"/>
    <w:rsid w:val="008D3C07"/>
    <w:rsid w:val="008D3E27"/>
    <w:rsid w:val="008D41FD"/>
    <w:rsid w:val="008D4D1B"/>
    <w:rsid w:val="008D5B3C"/>
    <w:rsid w:val="008D6E26"/>
    <w:rsid w:val="008D7D18"/>
    <w:rsid w:val="008E30A9"/>
    <w:rsid w:val="008E4E39"/>
    <w:rsid w:val="008E5745"/>
    <w:rsid w:val="008E5A8E"/>
    <w:rsid w:val="008E6782"/>
    <w:rsid w:val="008E69AF"/>
    <w:rsid w:val="008F1557"/>
    <w:rsid w:val="008F18A4"/>
    <w:rsid w:val="008F382B"/>
    <w:rsid w:val="008F4B78"/>
    <w:rsid w:val="008F56BE"/>
    <w:rsid w:val="008F6788"/>
    <w:rsid w:val="008F6BB6"/>
    <w:rsid w:val="008F6CF4"/>
    <w:rsid w:val="008F6E24"/>
    <w:rsid w:val="008F6E54"/>
    <w:rsid w:val="0090063D"/>
    <w:rsid w:val="00900FFB"/>
    <w:rsid w:val="00901894"/>
    <w:rsid w:val="00901F7D"/>
    <w:rsid w:val="0090274B"/>
    <w:rsid w:val="0090315D"/>
    <w:rsid w:val="00903D7E"/>
    <w:rsid w:val="00904200"/>
    <w:rsid w:val="009047A2"/>
    <w:rsid w:val="00904ABF"/>
    <w:rsid w:val="00904AE4"/>
    <w:rsid w:val="00905318"/>
    <w:rsid w:val="0090619E"/>
    <w:rsid w:val="00906889"/>
    <w:rsid w:val="009073A2"/>
    <w:rsid w:val="009079BD"/>
    <w:rsid w:val="00911C2F"/>
    <w:rsid w:val="00911F71"/>
    <w:rsid w:val="00912FDA"/>
    <w:rsid w:val="00913ED1"/>
    <w:rsid w:val="009143B7"/>
    <w:rsid w:val="0091466E"/>
    <w:rsid w:val="00915394"/>
    <w:rsid w:val="00916901"/>
    <w:rsid w:val="00916C46"/>
    <w:rsid w:val="0091722C"/>
    <w:rsid w:val="009206A1"/>
    <w:rsid w:val="009209E2"/>
    <w:rsid w:val="0092115D"/>
    <w:rsid w:val="0092258F"/>
    <w:rsid w:val="00922836"/>
    <w:rsid w:val="009237DB"/>
    <w:rsid w:val="009239D6"/>
    <w:rsid w:val="009263AE"/>
    <w:rsid w:val="00930486"/>
    <w:rsid w:val="00931A0B"/>
    <w:rsid w:val="009320B5"/>
    <w:rsid w:val="00932B7B"/>
    <w:rsid w:val="00933296"/>
    <w:rsid w:val="00934073"/>
    <w:rsid w:val="0093451E"/>
    <w:rsid w:val="00934722"/>
    <w:rsid w:val="009353BC"/>
    <w:rsid w:val="00935F02"/>
    <w:rsid w:val="00935F88"/>
    <w:rsid w:val="00937D37"/>
    <w:rsid w:val="00941856"/>
    <w:rsid w:val="00942A3C"/>
    <w:rsid w:val="00942DDD"/>
    <w:rsid w:val="00943481"/>
    <w:rsid w:val="009446A7"/>
    <w:rsid w:val="009449E1"/>
    <w:rsid w:val="00950C62"/>
    <w:rsid w:val="00951FCD"/>
    <w:rsid w:val="00952CA5"/>
    <w:rsid w:val="00952DC0"/>
    <w:rsid w:val="0095311E"/>
    <w:rsid w:val="00955B82"/>
    <w:rsid w:val="009565F2"/>
    <w:rsid w:val="00964366"/>
    <w:rsid w:val="0096791E"/>
    <w:rsid w:val="00971088"/>
    <w:rsid w:val="009715CB"/>
    <w:rsid w:val="00972F62"/>
    <w:rsid w:val="0097364E"/>
    <w:rsid w:val="00974F5E"/>
    <w:rsid w:val="00975A53"/>
    <w:rsid w:val="00977D3D"/>
    <w:rsid w:val="009814E6"/>
    <w:rsid w:val="00981858"/>
    <w:rsid w:val="00981F7B"/>
    <w:rsid w:val="00983A9F"/>
    <w:rsid w:val="00985995"/>
    <w:rsid w:val="009865E2"/>
    <w:rsid w:val="00987990"/>
    <w:rsid w:val="00990057"/>
    <w:rsid w:val="009927CB"/>
    <w:rsid w:val="009928C6"/>
    <w:rsid w:val="00992AFC"/>
    <w:rsid w:val="0099418E"/>
    <w:rsid w:val="0099441B"/>
    <w:rsid w:val="00994D76"/>
    <w:rsid w:val="00995735"/>
    <w:rsid w:val="00995CE6"/>
    <w:rsid w:val="00996864"/>
    <w:rsid w:val="009973B7"/>
    <w:rsid w:val="009A2090"/>
    <w:rsid w:val="009A21D9"/>
    <w:rsid w:val="009A286D"/>
    <w:rsid w:val="009A4AE7"/>
    <w:rsid w:val="009A57D5"/>
    <w:rsid w:val="009A5BDB"/>
    <w:rsid w:val="009A6ABC"/>
    <w:rsid w:val="009A75E6"/>
    <w:rsid w:val="009A7A3E"/>
    <w:rsid w:val="009B29D9"/>
    <w:rsid w:val="009B3A82"/>
    <w:rsid w:val="009B588E"/>
    <w:rsid w:val="009B5BF9"/>
    <w:rsid w:val="009B670E"/>
    <w:rsid w:val="009B6AB1"/>
    <w:rsid w:val="009B769A"/>
    <w:rsid w:val="009C08AF"/>
    <w:rsid w:val="009C2780"/>
    <w:rsid w:val="009C4EC7"/>
    <w:rsid w:val="009C55B9"/>
    <w:rsid w:val="009C7561"/>
    <w:rsid w:val="009D07C5"/>
    <w:rsid w:val="009D4AD1"/>
    <w:rsid w:val="009D4DC9"/>
    <w:rsid w:val="009D4FED"/>
    <w:rsid w:val="009D685F"/>
    <w:rsid w:val="009D7D95"/>
    <w:rsid w:val="009E05BF"/>
    <w:rsid w:val="009E2342"/>
    <w:rsid w:val="009E3368"/>
    <w:rsid w:val="009E4329"/>
    <w:rsid w:val="009E43ED"/>
    <w:rsid w:val="009E5D83"/>
    <w:rsid w:val="009E6279"/>
    <w:rsid w:val="009E70AF"/>
    <w:rsid w:val="009F1775"/>
    <w:rsid w:val="009F1EE9"/>
    <w:rsid w:val="009F2F84"/>
    <w:rsid w:val="009F3A91"/>
    <w:rsid w:val="009F6A76"/>
    <w:rsid w:val="00A016BE"/>
    <w:rsid w:val="00A0180D"/>
    <w:rsid w:val="00A024C8"/>
    <w:rsid w:val="00A02A3A"/>
    <w:rsid w:val="00A04E30"/>
    <w:rsid w:val="00A05304"/>
    <w:rsid w:val="00A07027"/>
    <w:rsid w:val="00A11089"/>
    <w:rsid w:val="00A11176"/>
    <w:rsid w:val="00A14469"/>
    <w:rsid w:val="00A14C9A"/>
    <w:rsid w:val="00A163F7"/>
    <w:rsid w:val="00A17533"/>
    <w:rsid w:val="00A20375"/>
    <w:rsid w:val="00A21106"/>
    <w:rsid w:val="00A21E89"/>
    <w:rsid w:val="00A21FE4"/>
    <w:rsid w:val="00A2272B"/>
    <w:rsid w:val="00A22C60"/>
    <w:rsid w:val="00A22E09"/>
    <w:rsid w:val="00A2300C"/>
    <w:rsid w:val="00A245DC"/>
    <w:rsid w:val="00A26BED"/>
    <w:rsid w:val="00A26CF1"/>
    <w:rsid w:val="00A27D24"/>
    <w:rsid w:val="00A30AAB"/>
    <w:rsid w:val="00A31F97"/>
    <w:rsid w:val="00A32C98"/>
    <w:rsid w:val="00A3375F"/>
    <w:rsid w:val="00A36166"/>
    <w:rsid w:val="00A37072"/>
    <w:rsid w:val="00A41D6E"/>
    <w:rsid w:val="00A42B7B"/>
    <w:rsid w:val="00A431FB"/>
    <w:rsid w:val="00A43272"/>
    <w:rsid w:val="00A46667"/>
    <w:rsid w:val="00A46D6D"/>
    <w:rsid w:val="00A47A31"/>
    <w:rsid w:val="00A50AAC"/>
    <w:rsid w:val="00A51015"/>
    <w:rsid w:val="00A5137C"/>
    <w:rsid w:val="00A533CB"/>
    <w:rsid w:val="00A55A37"/>
    <w:rsid w:val="00A56275"/>
    <w:rsid w:val="00A56445"/>
    <w:rsid w:val="00A57BE7"/>
    <w:rsid w:val="00A60589"/>
    <w:rsid w:val="00A60E69"/>
    <w:rsid w:val="00A61745"/>
    <w:rsid w:val="00A65433"/>
    <w:rsid w:val="00A65CA6"/>
    <w:rsid w:val="00A65EF0"/>
    <w:rsid w:val="00A66378"/>
    <w:rsid w:val="00A71AED"/>
    <w:rsid w:val="00A71B95"/>
    <w:rsid w:val="00A73929"/>
    <w:rsid w:val="00A77161"/>
    <w:rsid w:val="00A776BF"/>
    <w:rsid w:val="00A7795C"/>
    <w:rsid w:val="00A8220A"/>
    <w:rsid w:val="00A82432"/>
    <w:rsid w:val="00A825F6"/>
    <w:rsid w:val="00A83CAA"/>
    <w:rsid w:val="00A84A8B"/>
    <w:rsid w:val="00A85578"/>
    <w:rsid w:val="00A8650E"/>
    <w:rsid w:val="00A92206"/>
    <w:rsid w:val="00A935FE"/>
    <w:rsid w:val="00A95E10"/>
    <w:rsid w:val="00A9683E"/>
    <w:rsid w:val="00AA18E1"/>
    <w:rsid w:val="00AA21AE"/>
    <w:rsid w:val="00AA2D02"/>
    <w:rsid w:val="00AA4B6E"/>
    <w:rsid w:val="00AA50B5"/>
    <w:rsid w:val="00AA5BFC"/>
    <w:rsid w:val="00AB1123"/>
    <w:rsid w:val="00AB354D"/>
    <w:rsid w:val="00AB6847"/>
    <w:rsid w:val="00AB687F"/>
    <w:rsid w:val="00AC15FB"/>
    <w:rsid w:val="00AC2718"/>
    <w:rsid w:val="00AC3EA0"/>
    <w:rsid w:val="00AD108F"/>
    <w:rsid w:val="00AD23FF"/>
    <w:rsid w:val="00AD2B4A"/>
    <w:rsid w:val="00AD361B"/>
    <w:rsid w:val="00AD39E5"/>
    <w:rsid w:val="00AD5664"/>
    <w:rsid w:val="00AD588C"/>
    <w:rsid w:val="00AD5BE3"/>
    <w:rsid w:val="00AD6A2F"/>
    <w:rsid w:val="00AE008A"/>
    <w:rsid w:val="00AE14A3"/>
    <w:rsid w:val="00AE2F92"/>
    <w:rsid w:val="00AE3049"/>
    <w:rsid w:val="00AE4C44"/>
    <w:rsid w:val="00AE4CF8"/>
    <w:rsid w:val="00AE50A2"/>
    <w:rsid w:val="00AF0553"/>
    <w:rsid w:val="00AF0CAA"/>
    <w:rsid w:val="00AF0EED"/>
    <w:rsid w:val="00AF1EB0"/>
    <w:rsid w:val="00AF4376"/>
    <w:rsid w:val="00AF4486"/>
    <w:rsid w:val="00AF59B1"/>
    <w:rsid w:val="00AF6846"/>
    <w:rsid w:val="00AF6D10"/>
    <w:rsid w:val="00B00A62"/>
    <w:rsid w:val="00B0222D"/>
    <w:rsid w:val="00B05AA9"/>
    <w:rsid w:val="00B063D4"/>
    <w:rsid w:val="00B07B17"/>
    <w:rsid w:val="00B10917"/>
    <w:rsid w:val="00B10C17"/>
    <w:rsid w:val="00B110B7"/>
    <w:rsid w:val="00B115ED"/>
    <w:rsid w:val="00B1168E"/>
    <w:rsid w:val="00B116A9"/>
    <w:rsid w:val="00B11794"/>
    <w:rsid w:val="00B11D0F"/>
    <w:rsid w:val="00B121BC"/>
    <w:rsid w:val="00B142D3"/>
    <w:rsid w:val="00B15260"/>
    <w:rsid w:val="00B162EF"/>
    <w:rsid w:val="00B20DA6"/>
    <w:rsid w:val="00B2146B"/>
    <w:rsid w:val="00B250D1"/>
    <w:rsid w:val="00B256F0"/>
    <w:rsid w:val="00B25A7F"/>
    <w:rsid w:val="00B2673F"/>
    <w:rsid w:val="00B26989"/>
    <w:rsid w:val="00B270BC"/>
    <w:rsid w:val="00B27724"/>
    <w:rsid w:val="00B27888"/>
    <w:rsid w:val="00B30CB5"/>
    <w:rsid w:val="00B3191B"/>
    <w:rsid w:val="00B3194F"/>
    <w:rsid w:val="00B33472"/>
    <w:rsid w:val="00B34C22"/>
    <w:rsid w:val="00B365D0"/>
    <w:rsid w:val="00B40792"/>
    <w:rsid w:val="00B4097A"/>
    <w:rsid w:val="00B420D9"/>
    <w:rsid w:val="00B426DD"/>
    <w:rsid w:val="00B42F2C"/>
    <w:rsid w:val="00B43BBB"/>
    <w:rsid w:val="00B43D8F"/>
    <w:rsid w:val="00B44149"/>
    <w:rsid w:val="00B47BFD"/>
    <w:rsid w:val="00B500EF"/>
    <w:rsid w:val="00B54138"/>
    <w:rsid w:val="00B54466"/>
    <w:rsid w:val="00B55EB9"/>
    <w:rsid w:val="00B562D2"/>
    <w:rsid w:val="00B564B7"/>
    <w:rsid w:val="00B56E78"/>
    <w:rsid w:val="00B605BC"/>
    <w:rsid w:val="00B60AC9"/>
    <w:rsid w:val="00B62714"/>
    <w:rsid w:val="00B6560E"/>
    <w:rsid w:val="00B666FF"/>
    <w:rsid w:val="00B721F6"/>
    <w:rsid w:val="00B7253C"/>
    <w:rsid w:val="00B738B3"/>
    <w:rsid w:val="00B743C5"/>
    <w:rsid w:val="00B74C2A"/>
    <w:rsid w:val="00B7563D"/>
    <w:rsid w:val="00B75CCC"/>
    <w:rsid w:val="00B76380"/>
    <w:rsid w:val="00B767BA"/>
    <w:rsid w:val="00B7726D"/>
    <w:rsid w:val="00B77C9D"/>
    <w:rsid w:val="00B8033F"/>
    <w:rsid w:val="00B823A3"/>
    <w:rsid w:val="00B823DF"/>
    <w:rsid w:val="00B82C23"/>
    <w:rsid w:val="00B83672"/>
    <w:rsid w:val="00B83742"/>
    <w:rsid w:val="00B84029"/>
    <w:rsid w:val="00B840AA"/>
    <w:rsid w:val="00B84CE2"/>
    <w:rsid w:val="00B85BED"/>
    <w:rsid w:val="00B8691A"/>
    <w:rsid w:val="00B873DA"/>
    <w:rsid w:val="00B9083A"/>
    <w:rsid w:val="00B90D52"/>
    <w:rsid w:val="00B919D4"/>
    <w:rsid w:val="00B9261D"/>
    <w:rsid w:val="00B93E1D"/>
    <w:rsid w:val="00B953FC"/>
    <w:rsid w:val="00B95AFB"/>
    <w:rsid w:val="00B96A66"/>
    <w:rsid w:val="00B96AD7"/>
    <w:rsid w:val="00B971AB"/>
    <w:rsid w:val="00B9772A"/>
    <w:rsid w:val="00BA06EC"/>
    <w:rsid w:val="00BA40A9"/>
    <w:rsid w:val="00BA451A"/>
    <w:rsid w:val="00BA4626"/>
    <w:rsid w:val="00BA5452"/>
    <w:rsid w:val="00BA604F"/>
    <w:rsid w:val="00BA7AE5"/>
    <w:rsid w:val="00BB0EE8"/>
    <w:rsid w:val="00BB1444"/>
    <w:rsid w:val="00BB296A"/>
    <w:rsid w:val="00BB5304"/>
    <w:rsid w:val="00BB5E77"/>
    <w:rsid w:val="00BB64EF"/>
    <w:rsid w:val="00BB6DC3"/>
    <w:rsid w:val="00BC0F43"/>
    <w:rsid w:val="00BC11EC"/>
    <w:rsid w:val="00BC26A3"/>
    <w:rsid w:val="00BC40EE"/>
    <w:rsid w:val="00BC5546"/>
    <w:rsid w:val="00BC61FB"/>
    <w:rsid w:val="00BD02E5"/>
    <w:rsid w:val="00BD05A0"/>
    <w:rsid w:val="00BD0B49"/>
    <w:rsid w:val="00BD100A"/>
    <w:rsid w:val="00BD1C1C"/>
    <w:rsid w:val="00BD1E27"/>
    <w:rsid w:val="00BD3491"/>
    <w:rsid w:val="00BD37FD"/>
    <w:rsid w:val="00BD4467"/>
    <w:rsid w:val="00BD48FC"/>
    <w:rsid w:val="00BD5C65"/>
    <w:rsid w:val="00BD603E"/>
    <w:rsid w:val="00BE0DA0"/>
    <w:rsid w:val="00BE218D"/>
    <w:rsid w:val="00BE2A10"/>
    <w:rsid w:val="00BE4820"/>
    <w:rsid w:val="00BE7DDF"/>
    <w:rsid w:val="00BF0C0B"/>
    <w:rsid w:val="00BF2B3A"/>
    <w:rsid w:val="00BF2E46"/>
    <w:rsid w:val="00BF4FBA"/>
    <w:rsid w:val="00BF500B"/>
    <w:rsid w:val="00BF5263"/>
    <w:rsid w:val="00BF6B0F"/>
    <w:rsid w:val="00BF73CA"/>
    <w:rsid w:val="00BF7679"/>
    <w:rsid w:val="00C05415"/>
    <w:rsid w:val="00C062A8"/>
    <w:rsid w:val="00C0756A"/>
    <w:rsid w:val="00C11339"/>
    <w:rsid w:val="00C123C2"/>
    <w:rsid w:val="00C12A72"/>
    <w:rsid w:val="00C15666"/>
    <w:rsid w:val="00C1719D"/>
    <w:rsid w:val="00C234F3"/>
    <w:rsid w:val="00C2426E"/>
    <w:rsid w:val="00C24E58"/>
    <w:rsid w:val="00C24F13"/>
    <w:rsid w:val="00C26302"/>
    <w:rsid w:val="00C26AAF"/>
    <w:rsid w:val="00C26BE9"/>
    <w:rsid w:val="00C27943"/>
    <w:rsid w:val="00C307E5"/>
    <w:rsid w:val="00C31EC3"/>
    <w:rsid w:val="00C32383"/>
    <w:rsid w:val="00C32487"/>
    <w:rsid w:val="00C33A42"/>
    <w:rsid w:val="00C34586"/>
    <w:rsid w:val="00C3545B"/>
    <w:rsid w:val="00C36459"/>
    <w:rsid w:val="00C36B98"/>
    <w:rsid w:val="00C37376"/>
    <w:rsid w:val="00C378A2"/>
    <w:rsid w:val="00C40743"/>
    <w:rsid w:val="00C437FE"/>
    <w:rsid w:val="00C43DB9"/>
    <w:rsid w:val="00C44B60"/>
    <w:rsid w:val="00C44CF1"/>
    <w:rsid w:val="00C451DE"/>
    <w:rsid w:val="00C4552B"/>
    <w:rsid w:val="00C45A85"/>
    <w:rsid w:val="00C45B3A"/>
    <w:rsid w:val="00C47447"/>
    <w:rsid w:val="00C4773E"/>
    <w:rsid w:val="00C51CCF"/>
    <w:rsid w:val="00C5237F"/>
    <w:rsid w:val="00C535AB"/>
    <w:rsid w:val="00C545E0"/>
    <w:rsid w:val="00C5483D"/>
    <w:rsid w:val="00C54CB5"/>
    <w:rsid w:val="00C55612"/>
    <w:rsid w:val="00C55A8A"/>
    <w:rsid w:val="00C565AE"/>
    <w:rsid w:val="00C56EEB"/>
    <w:rsid w:val="00C5775C"/>
    <w:rsid w:val="00C6336A"/>
    <w:rsid w:val="00C6652D"/>
    <w:rsid w:val="00C6679D"/>
    <w:rsid w:val="00C66D2D"/>
    <w:rsid w:val="00C6731A"/>
    <w:rsid w:val="00C673E0"/>
    <w:rsid w:val="00C674FC"/>
    <w:rsid w:val="00C70514"/>
    <w:rsid w:val="00C73B06"/>
    <w:rsid w:val="00C74CB6"/>
    <w:rsid w:val="00C75DDD"/>
    <w:rsid w:val="00C76184"/>
    <w:rsid w:val="00C77791"/>
    <w:rsid w:val="00C80D64"/>
    <w:rsid w:val="00C8176E"/>
    <w:rsid w:val="00C8439C"/>
    <w:rsid w:val="00C86C76"/>
    <w:rsid w:val="00C87F2F"/>
    <w:rsid w:val="00C91CBC"/>
    <w:rsid w:val="00C91ECC"/>
    <w:rsid w:val="00C92B3A"/>
    <w:rsid w:val="00C92C67"/>
    <w:rsid w:val="00C92EF5"/>
    <w:rsid w:val="00C94CD1"/>
    <w:rsid w:val="00C95E54"/>
    <w:rsid w:val="00C960D6"/>
    <w:rsid w:val="00C9685D"/>
    <w:rsid w:val="00CA0D49"/>
    <w:rsid w:val="00CA235F"/>
    <w:rsid w:val="00CA66B9"/>
    <w:rsid w:val="00CB00F2"/>
    <w:rsid w:val="00CB0D4D"/>
    <w:rsid w:val="00CB150C"/>
    <w:rsid w:val="00CB1ABA"/>
    <w:rsid w:val="00CB1B2F"/>
    <w:rsid w:val="00CB32B6"/>
    <w:rsid w:val="00CB43A2"/>
    <w:rsid w:val="00CC14FF"/>
    <w:rsid w:val="00CC19E1"/>
    <w:rsid w:val="00CC1A65"/>
    <w:rsid w:val="00CC20FE"/>
    <w:rsid w:val="00CC2FBF"/>
    <w:rsid w:val="00CC34C1"/>
    <w:rsid w:val="00CC48D6"/>
    <w:rsid w:val="00CC4999"/>
    <w:rsid w:val="00CC4D89"/>
    <w:rsid w:val="00CC6A32"/>
    <w:rsid w:val="00CC7473"/>
    <w:rsid w:val="00CC7515"/>
    <w:rsid w:val="00CC7C52"/>
    <w:rsid w:val="00CD09EC"/>
    <w:rsid w:val="00CD4AFB"/>
    <w:rsid w:val="00CD68BE"/>
    <w:rsid w:val="00CE0BB7"/>
    <w:rsid w:val="00CE2614"/>
    <w:rsid w:val="00CE362C"/>
    <w:rsid w:val="00CE4114"/>
    <w:rsid w:val="00CE4CF2"/>
    <w:rsid w:val="00CE53B4"/>
    <w:rsid w:val="00CE5D82"/>
    <w:rsid w:val="00CE6086"/>
    <w:rsid w:val="00CE6BC2"/>
    <w:rsid w:val="00CE71C8"/>
    <w:rsid w:val="00CE740E"/>
    <w:rsid w:val="00CE7FF3"/>
    <w:rsid w:val="00CF011D"/>
    <w:rsid w:val="00CF0181"/>
    <w:rsid w:val="00CF108E"/>
    <w:rsid w:val="00CF6ADD"/>
    <w:rsid w:val="00CF7762"/>
    <w:rsid w:val="00D0157C"/>
    <w:rsid w:val="00D01822"/>
    <w:rsid w:val="00D01F80"/>
    <w:rsid w:val="00D02AA5"/>
    <w:rsid w:val="00D02D67"/>
    <w:rsid w:val="00D043FC"/>
    <w:rsid w:val="00D04450"/>
    <w:rsid w:val="00D045F0"/>
    <w:rsid w:val="00D058ED"/>
    <w:rsid w:val="00D060DB"/>
    <w:rsid w:val="00D06407"/>
    <w:rsid w:val="00D123DA"/>
    <w:rsid w:val="00D12E8E"/>
    <w:rsid w:val="00D139C9"/>
    <w:rsid w:val="00D144D0"/>
    <w:rsid w:val="00D14CF0"/>
    <w:rsid w:val="00D15AD7"/>
    <w:rsid w:val="00D166B5"/>
    <w:rsid w:val="00D16AD9"/>
    <w:rsid w:val="00D224FF"/>
    <w:rsid w:val="00D225D1"/>
    <w:rsid w:val="00D32F4F"/>
    <w:rsid w:val="00D35D5F"/>
    <w:rsid w:val="00D37569"/>
    <w:rsid w:val="00D37C6E"/>
    <w:rsid w:val="00D40C0C"/>
    <w:rsid w:val="00D42437"/>
    <w:rsid w:val="00D424F1"/>
    <w:rsid w:val="00D4519B"/>
    <w:rsid w:val="00D4724B"/>
    <w:rsid w:val="00D50ADD"/>
    <w:rsid w:val="00D5140B"/>
    <w:rsid w:val="00D51EF9"/>
    <w:rsid w:val="00D52167"/>
    <w:rsid w:val="00D535AA"/>
    <w:rsid w:val="00D53A54"/>
    <w:rsid w:val="00D54D7C"/>
    <w:rsid w:val="00D55137"/>
    <w:rsid w:val="00D569A0"/>
    <w:rsid w:val="00D572E2"/>
    <w:rsid w:val="00D6308A"/>
    <w:rsid w:val="00D63ADF"/>
    <w:rsid w:val="00D64092"/>
    <w:rsid w:val="00D642CE"/>
    <w:rsid w:val="00D6622C"/>
    <w:rsid w:val="00D6774A"/>
    <w:rsid w:val="00D71516"/>
    <w:rsid w:val="00D74920"/>
    <w:rsid w:val="00D7754A"/>
    <w:rsid w:val="00D80985"/>
    <w:rsid w:val="00D8376B"/>
    <w:rsid w:val="00D84115"/>
    <w:rsid w:val="00D86A5D"/>
    <w:rsid w:val="00D86F23"/>
    <w:rsid w:val="00D87DEB"/>
    <w:rsid w:val="00D909F1"/>
    <w:rsid w:val="00D92AE3"/>
    <w:rsid w:val="00D94F87"/>
    <w:rsid w:val="00D950B3"/>
    <w:rsid w:val="00D961B5"/>
    <w:rsid w:val="00D96212"/>
    <w:rsid w:val="00D97580"/>
    <w:rsid w:val="00D97F77"/>
    <w:rsid w:val="00DA1D7E"/>
    <w:rsid w:val="00DA3114"/>
    <w:rsid w:val="00DA3B8C"/>
    <w:rsid w:val="00DA4161"/>
    <w:rsid w:val="00DA6057"/>
    <w:rsid w:val="00DA6CEB"/>
    <w:rsid w:val="00DA7ECE"/>
    <w:rsid w:val="00DB08B9"/>
    <w:rsid w:val="00DB10AF"/>
    <w:rsid w:val="00DB2836"/>
    <w:rsid w:val="00DB2C65"/>
    <w:rsid w:val="00DB2D62"/>
    <w:rsid w:val="00DB3240"/>
    <w:rsid w:val="00DB4953"/>
    <w:rsid w:val="00DB79BF"/>
    <w:rsid w:val="00DB7E8B"/>
    <w:rsid w:val="00DC039D"/>
    <w:rsid w:val="00DC0B8D"/>
    <w:rsid w:val="00DC3630"/>
    <w:rsid w:val="00DC38F2"/>
    <w:rsid w:val="00DC39F5"/>
    <w:rsid w:val="00DC3C90"/>
    <w:rsid w:val="00DC3D70"/>
    <w:rsid w:val="00DC4003"/>
    <w:rsid w:val="00DC4C6A"/>
    <w:rsid w:val="00DC6A98"/>
    <w:rsid w:val="00DC6C64"/>
    <w:rsid w:val="00DD17AE"/>
    <w:rsid w:val="00DD2003"/>
    <w:rsid w:val="00DD3C63"/>
    <w:rsid w:val="00DD3F83"/>
    <w:rsid w:val="00DD4A06"/>
    <w:rsid w:val="00DD5C34"/>
    <w:rsid w:val="00DD7809"/>
    <w:rsid w:val="00DD7EE2"/>
    <w:rsid w:val="00DE3671"/>
    <w:rsid w:val="00DE41C4"/>
    <w:rsid w:val="00DE51B1"/>
    <w:rsid w:val="00DE5B23"/>
    <w:rsid w:val="00DE5DFE"/>
    <w:rsid w:val="00DE6491"/>
    <w:rsid w:val="00DE64E2"/>
    <w:rsid w:val="00DE68AB"/>
    <w:rsid w:val="00DE6E0C"/>
    <w:rsid w:val="00DE6EE7"/>
    <w:rsid w:val="00DF0308"/>
    <w:rsid w:val="00DF0AFD"/>
    <w:rsid w:val="00DF14AC"/>
    <w:rsid w:val="00DF2C26"/>
    <w:rsid w:val="00DF3D20"/>
    <w:rsid w:val="00DF53D1"/>
    <w:rsid w:val="00DF78A1"/>
    <w:rsid w:val="00E00C88"/>
    <w:rsid w:val="00E013ED"/>
    <w:rsid w:val="00E02110"/>
    <w:rsid w:val="00E025C7"/>
    <w:rsid w:val="00E02AF1"/>
    <w:rsid w:val="00E03589"/>
    <w:rsid w:val="00E03633"/>
    <w:rsid w:val="00E04B34"/>
    <w:rsid w:val="00E07045"/>
    <w:rsid w:val="00E07B89"/>
    <w:rsid w:val="00E1018C"/>
    <w:rsid w:val="00E106CA"/>
    <w:rsid w:val="00E118AD"/>
    <w:rsid w:val="00E12555"/>
    <w:rsid w:val="00E134B0"/>
    <w:rsid w:val="00E14220"/>
    <w:rsid w:val="00E169ED"/>
    <w:rsid w:val="00E16DEE"/>
    <w:rsid w:val="00E178CA"/>
    <w:rsid w:val="00E17BA6"/>
    <w:rsid w:val="00E22592"/>
    <w:rsid w:val="00E22D8B"/>
    <w:rsid w:val="00E22FF2"/>
    <w:rsid w:val="00E232DD"/>
    <w:rsid w:val="00E2374A"/>
    <w:rsid w:val="00E25581"/>
    <w:rsid w:val="00E306C8"/>
    <w:rsid w:val="00E32284"/>
    <w:rsid w:val="00E32434"/>
    <w:rsid w:val="00E32858"/>
    <w:rsid w:val="00E32D23"/>
    <w:rsid w:val="00E32FD9"/>
    <w:rsid w:val="00E33C68"/>
    <w:rsid w:val="00E360BF"/>
    <w:rsid w:val="00E3665D"/>
    <w:rsid w:val="00E40E4F"/>
    <w:rsid w:val="00E436F5"/>
    <w:rsid w:val="00E457A8"/>
    <w:rsid w:val="00E46FE2"/>
    <w:rsid w:val="00E4747D"/>
    <w:rsid w:val="00E51190"/>
    <w:rsid w:val="00E52785"/>
    <w:rsid w:val="00E52A2E"/>
    <w:rsid w:val="00E52CEF"/>
    <w:rsid w:val="00E5376E"/>
    <w:rsid w:val="00E53C02"/>
    <w:rsid w:val="00E57173"/>
    <w:rsid w:val="00E576F0"/>
    <w:rsid w:val="00E57BBD"/>
    <w:rsid w:val="00E57EB9"/>
    <w:rsid w:val="00E60184"/>
    <w:rsid w:val="00E60589"/>
    <w:rsid w:val="00E60A5B"/>
    <w:rsid w:val="00E60C22"/>
    <w:rsid w:val="00E60E15"/>
    <w:rsid w:val="00E615D3"/>
    <w:rsid w:val="00E62177"/>
    <w:rsid w:val="00E636B2"/>
    <w:rsid w:val="00E63DF4"/>
    <w:rsid w:val="00E63E4B"/>
    <w:rsid w:val="00E65062"/>
    <w:rsid w:val="00E67F1A"/>
    <w:rsid w:val="00E7320F"/>
    <w:rsid w:val="00E73820"/>
    <w:rsid w:val="00E747EB"/>
    <w:rsid w:val="00E765BE"/>
    <w:rsid w:val="00E773FD"/>
    <w:rsid w:val="00E8190D"/>
    <w:rsid w:val="00E821C4"/>
    <w:rsid w:val="00E82B91"/>
    <w:rsid w:val="00E8372B"/>
    <w:rsid w:val="00E84B8F"/>
    <w:rsid w:val="00E8677A"/>
    <w:rsid w:val="00E87383"/>
    <w:rsid w:val="00E87A13"/>
    <w:rsid w:val="00E926DC"/>
    <w:rsid w:val="00E932C0"/>
    <w:rsid w:val="00E93DE8"/>
    <w:rsid w:val="00E95389"/>
    <w:rsid w:val="00E960C2"/>
    <w:rsid w:val="00E96FC5"/>
    <w:rsid w:val="00EA0B9C"/>
    <w:rsid w:val="00EA0CF0"/>
    <w:rsid w:val="00EA2C64"/>
    <w:rsid w:val="00EA5D4B"/>
    <w:rsid w:val="00EB203B"/>
    <w:rsid w:val="00EB20D8"/>
    <w:rsid w:val="00EB3505"/>
    <w:rsid w:val="00EB4ACD"/>
    <w:rsid w:val="00EB54D7"/>
    <w:rsid w:val="00EB75F9"/>
    <w:rsid w:val="00EC107D"/>
    <w:rsid w:val="00EC3D58"/>
    <w:rsid w:val="00EC4703"/>
    <w:rsid w:val="00EC6154"/>
    <w:rsid w:val="00EC6793"/>
    <w:rsid w:val="00EC68D6"/>
    <w:rsid w:val="00EC6E07"/>
    <w:rsid w:val="00ED0259"/>
    <w:rsid w:val="00ED0A33"/>
    <w:rsid w:val="00ED4D16"/>
    <w:rsid w:val="00ED57A9"/>
    <w:rsid w:val="00ED66B4"/>
    <w:rsid w:val="00ED755B"/>
    <w:rsid w:val="00ED755E"/>
    <w:rsid w:val="00EE20B9"/>
    <w:rsid w:val="00EE34DB"/>
    <w:rsid w:val="00EE387D"/>
    <w:rsid w:val="00EE40FB"/>
    <w:rsid w:val="00EE6370"/>
    <w:rsid w:val="00EF0262"/>
    <w:rsid w:val="00EF0355"/>
    <w:rsid w:val="00EF1FF8"/>
    <w:rsid w:val="00EF22F2"/>
    <w:rsid w:val="00EF513B"/>
    <w:rsid w:val="00EF55D2"/>
    <w:rsid w:val="00EF659B"/>
    <w:rsid w:val="00EF66C1"/>
    <w:rsid w:val="00EF6DB6"/>
    <w:rsid w:val="00F00E5A"/>
    <w:rsid w:val="00F01852"/>
    <w:rsid w:val="00F0198C"/>
    <w:rsid w:val="00F0229D"/>
    <w:rsid w:val="00F02CA0"/>
    <w:rsid w:val="00F038E2"/>
    <w:rsid w:val="00F05F1D"/>
    <w:rsid w:val="00F06AC2"/>
    <w:rsid w:val="00F07A2E"/>
    <w:rsid w:val="00F10176"/>
    <w:rsid w:val="00F11C08"/>
    <w:rsid w:val="00F14AB3"/>
    <w:rsid w:val="00F1560D"/>
    <w:rsid w:val="00F20E84"/>
    <w:rsid w:val="00F22C3B"/>
    <w:rsid w:val="00F23408"/>
    <w:rsid w:val="00F24233"/>
    <w:rsid w:val="00F2696E"/>
    <w:rsid w:val="00F30B52"/>
    <w:rsid w:val="00F312E5"/>
    <w:rsid w:val="00F3286F"/>
    <w:rsid w:val="00F32E3E"/>
    <w:rsid w:val="00F32FE8"/>
    <w:rsid w:val="00F331BD"/>
    <w:rsid w:val="00F35626"/>
    <w:rsid w:val="00F4056F"/>
    <w:rsid w:val="00F447B5"/>
    <w:rsid w:val="00F4560D"/>
    <w:rsid w:val="00F45E92"/>
    <w:rsid w:val="00F4640D"/>
    <w:rsid w:val="00F46488"/>
    <w:rsid w:val="00F47103"/>
    <w:rsid w:val="00F47B52"/>
    <w:rsid w:val="00F500B1"/>
    <w:rsid w:val="00F50A47"/>
    <w:rsid w:val="00F517A1"/>
    <w:rsid w:val="00F54562"/>
    <w:rsid w:val="00F5604F"/>
    <w:rsid w:val="00F60F98"/>
    <w:rsid w:val="00F636D8"/>
    <w:rsid w:val="00F64114"/>
    <w:rsid w:val="00F673DF"/>
    <w:rsid w:val="00F6744F"/>
    <w:rsid w:val="00F679F8"/>
    <w:rsid w:val="00F714C0"/>
    <w:rsid w:val="00F726AF"/>
    <w:rsid w:val="00F73949"/>
    <w:rsid w:val="00F8058C"/>
    <w:rsid w:val="00F80C8C"/>
    <w:rsid w:val="00F818E6"/>
    <w:rsid w:val="00F82008"/>
    <w:rsid w:val="00F82475"/>
    <w:rsid w:val="00F82677"/>
    <w:rsid w:val="00F82944"/>
    <w:rsid w:val="00F83018"/>
    <w:rsid w:val="00F83BAD"/>
    <w:rsid w:val="00F871CA"/>
    <w:rsid w:val="00F90412"/>
    <w:rsid w:val="00F9189F"/>
    <w:rsid w:val="00F91C45"/>
    <w:rsid w:val="00F926AF"/>
    <w:rsid w:val="00F92705"/>
    <w:rsid w:val="00F92DA0"/>
    <w:rsid w:val="00F94986"/>
    <w:rsid w:val="00FA1D90"/>
    <w:rsid w:val="00FA6631"/>
    <w:rsid w:val="00FA6BEB"/>
    <w:rsid w:val="00FA6BF3"/>
    <w:rsid w:val="00FA763B"/>
    <w:rsid w:val="00FB03C0"/>
    <w:rsid w:val="00FB03EE"/>
    <w:rsid w:val="00FB0588"/>
    <w:rsid w:val="00FB15FA"/>
    <w:rsid w:val="00FB25BA"/>
    <w:rsid w:val="00FB27AC"/>
    <w:rsid w:val="00FB33FD"/>
    <w:rsid w:val="00FB36B5"/>
    <w:rsid w:val="00FB4EFC"/>
    <w:rsid w:val="00FB5A9B"/>
    <w:rsid w:val="00FB6964"/>
    <w:rsid w:val="00FB6C88"/>
    <w:rsid w:val="00FC0764"/>
    <w:rsid w:val="00FC095D"/>
    <w:rsid w:val="00FC2009"/>
    <w:rsid w:val="00FC271A"/>
    <w:rsid w:val="00FC2877"/>
    <w:rsid w:val="00FC35E7"/>
    <w:rsid w:val="00FC36FA"/>
    <w:rsid w:val="00FC3FC3"/>
    <w:rsid w:val="00FC5437"/>
    <w:rsid w:val="00FC6C39"/>
    <w:rsid w:val="00FC76BE"/>
    <w:rsid w:val="00FD063B"/>
    <w:rsid w:val="00FD07AD"/>
    <w:rsid w:val="00FD08C3"/>
    <w:rsid w:val="00FD0F7B"/>
    <w:rsid w:val="00FD295B"/>
    <w:rsid w:val="00FD3919"/>
    <w:rsid w:val="00FD4DF6"/>
    <w:rsid w:val="00FD5F8A"/>
    <w:rsid w:val="00FD7D69"/>
    <w:rsid w:val="00FE29CD"/>
    <w:rsid w:val="00FE29CF"/>
    <w:rsid w:val="00FE2F23"/>
    <w:rsid w:val="00FE3385"/>
    <w:rsid w:val="00FE664B"/>
    <w:rsid w:val="00FF01B9"/>
    <w:rsid w:val="00FF15AA"/>
    <w:rsid w:val="00FF1B3F"/>
    <w:rsid w:val="00FF3D9A"/>
    <w:rsid w:val="00FF4A39"/>
    <w:rsid w:val="00FF65E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BC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2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BC3"/>
  </w:style>
  <w:style w:type="paragraph" w:styleId="Footer">
    <w:name w:val="footer"/>
    <w:basedOn w:val="Normal"/>
    <w:link w:val="FooterChar"/>
    <w:uiPriority w:val="99"/>
    <w:unhideWhenUsed/>
    <w:rsid w:val="00742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BC3"/>
  </w:style>
  <w:style w:type="paragraph" w:customStyle="1" w:styleId="Pa6">
    <w:name w:val="Pa6"/>
    <w:basedOn w:val="Normal"/>
    <w:next w:val="Normal"/>
    <w:uiPriority w:val="99"/>
    <w:rsid w:val="00742BC3"/>
    <w:pPr>
      <w:autoSpaceDE w:val="0"/>
      <w:autoSpaceDN w:val="0"/>
      <w:adjustRightInd w:val="0"/>
      <w:spacing w:before="40" w:after="40" w:line="220" w:lineRule="atLeast"/>
    </w:pPr>
    <w:rPr>
      <w:rFonts w:ascii="Minion Pro" w:eastAsia="Calibri" w:hAnsi="Minion Pro" w:cs="Arial"/>
      <w:sz w:val="24"/>
      <w:szCs w:val="24"/>
    </w:rPr>
  </w:style>
  <w:style w:type="paragraph" w:styleId="ListParagraph">
    <w:name w:val="List Paragraph"/>
    <w:basedOn w:val="Normal"/>
    <w:uiPriority w:val="34"/>
    <w:qFormat/>
    <w:rsid w:val="00B15260"/>
    <w:pPr>
      <w:ind w:left="720"/>
      <w:contextualSpacing/>
    </w:pPr>
  </w:style>
  <w:style w:type="character" w:styleId="Hyperlink">
    <w:name w:val="Hyperlink"/>
    <w:uiPriority w:val="99"/>
    <w:unhideWhenUsed/>
    <w:rsid w:val="0097364E"/>
    <w:rPr>
      <w:color w:val="0000FF"/>
      <w:u w:val="single"/>
    </w:rPr>
  </w:style>
  <w:style w:type="paragraph" w:styleId="NoSpacing">
    <w:name w:val="No Spacing"/>
    <w:link w:val="NoSpacingChar"/>
    <w:qFormat/>
    <w:rsid w:val="0097364E"/>
    <w:rPr>
      <w:rFonts w:ascii="Times New Roman" w:eastAsia="Calibri" w:hAnsi="Times New Roman"/>
      <w:sz w:val="24"/>
      <w:szCs w:val="24"/>
      <w:lang w:val="en-GB" w:eastAsia="en-GB"/>
    </w:rPr>
  </w:style>
  <w:style w:type="paragraph" w:customStyle="1" w:styleId="Normalblack">
    <w:name w:val="Normal+black"/>
    <w:basedOn w:val="Normal"/>
    <w:rsid w:val="00C43DB9"/>
    <w:pPr>
      <w:tabs>
        <w:tab w:val="left" w:pos="2585"/>
        <w:tab w:val="center" w:pos="4156"/>
      </w:tabs>
      <w:bidi/>
      <w:spacing w:after="0" w:line="240" w:lineRule="auto"/>
      <w:ind w:left="-103"/>
      <w:jc w:val="center"/>
      <w:outlineLvl w:val="0"/>
    </w:pPr>
    <w:rPr>
      <w:rFonts w:ascii="Times New Roman" w:eastAsia="Times New Roman" w:hAnsi="Times New Roman"/>
      <w:b/>
      <w:bCs/>
      <w:sz w:val="24"/>
      <w:szCs w:val="24"/>
    </w:rPr>
  </w:style>
  <w:style w:type="table" w:customStyle="1" w:styleId="GridTable4-Accent11">
    <w:name w:val="Grid Table 4 - Accent 11"/>
    <w:basedOn w:val="TableNormal"/>
    <w:uiPriority w:val="49"/>
    <w:rsid w:val="009320B5"/>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BalloonText">
    <w:name w:val="Balloon Text"/>
    <w:basedOn w:val="Normal"/>
    <w:link w:val="BalloonTextChar"/>
    <w:uiPriority w:val="99"/>
    <w:semiHidden/>
    <w:unhideWhenUsed/>
    <w:rsid w:val="00327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D19"/>
    <w:rPr>
      <w:rFonts w:ascii="Tahoma" w:hAnsi="Tahoma" w:cs="Tahoma"/>
      <w:sz w:val="16"/>
      <w:szCs w:val="16"/>
    </w:rPr>
  </w:style>
  <w:style w:type="character" w:customStyle="1" w:styleId="NoSpacingChar">
    <w:name w:val="No Spacing Char"/>
    <w:basedOn w:val="DefaultParagraphFont"/>
    <w:link w:val="NoSpacing"/>
    <w:locked/>
    <w:rsid w:val="00644513"/>
    <w:rPr>
      <w:rFonts w:ascii="Times New Roman" w:eastAsia="Calibri" w:hAnsi="Times New Roman"/>
      <w:sz w:val="24"/>
      <w:szCs w:val="24"/>
      <w:lang w:val="en-GB" w:eastAsia="en-GB" w:bidi="ar-SA"/>
    </w:rPr>
  </w:style>
  <w:style w:type="character" w:customStyle="1" w:styleId="msonormal0">
    <w:name w:val="msonormal0"/>
    <w:basedOn w:val="DefaultParagraphFont"/>
    <w:rsid w:val="006445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B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2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BC3"/>
  </w:style>
  <w:style w:type="paragraph" w:styleId="Footer">
    <w:name w:val="footer"/>
    <w:basedOn w:val="Normal"/>
    <w:link w:val="FooterChar"/>
    <w:uiPriority w:val="99"/>
    <w:unhideWhenUsed/>
    <w:rsid w:val="00742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BC3"/>
  </w:style>
  <w:style w:type="paragraph" w:customStyle="1" w:styleId="Pa6">
    <w:name w:val="Pa6"/>
    <w:basedOn w:val="Normal"/>
    <w:next w:val="Normal"/>
    <w:uiPriority w:val="99"/>
    <w:rsid w:val="00742BC3"/>
    <w:pPr>
      <w:autoSpaceDE w:val="0"/>
      <w:autoSpaceDN w:val="0"/>
      <w:adjustRightInd w:val="0"/>
      <w:spacing w:before="40" w:after="40" w:line="220" w:lineRule="atLeast"/>
    </w:pPr>
    <w:rPr>
      <w:rFonts w:ascii="Minion Pro" w:eastAsia="Calibri" w:hAnsi="Minion Pro" w:cs="Arial"/>
      <w:sz w:val="24"/>
      <w:szCs w:val="24"/>
    </w:rPr>
  </w:style>
  <w:style w:type="paragraph" w:styleId="ListParagraph">
    <w:name w:val="List Paragraph"/>
    <w:basedOn w:val="Normal"/>
    <w:uiPriority w:val="34"/>
    <w:qFormat/>
    <w:rsid w:val="00B15260"/>
    <w:pPr>
      <w:ind w:left="720"/>
      <w:contextualSpacing/>
    </w:pPr>
  </w:style>
  <w:style w:type="character" w:styleId="Hyperlink">
    <w:name w:val="Hyperlink"/>
    <w:uiPriority w:val="99"/>
    <w:unhideWhenUsed/>
    <w:rsid w:val="0097364E"/>
    <w:rPr>
      <w:color w:val="0000FF"/>
      <w:u w:val="single"/>
    </w:rPr>
  </w:style>
  <w:style w:type="paragraph" w:styleId="NoSpacing">
    <w:name w:val="No Spacing"/>
    <w:qFormat/>
    <w:rsid w:val="0097364E"/>
    <w:pPr>
      <w:spacing w:after="0" w:line="240" w:lineRule="auto"/>
    </w:pPr>
    <w:rPr>
      <w:rFonts w:ascii="Times New Roman" w:eastAsia="Calibri" w:hAnsi="Times New Roman" w:cs="Times New Roman"/>
      <w:sz w:val="24"/>
      <w:szCs w:val="24"/>
      <w:lang w:val="en-GB" w:eastAsia="en-GB"/>
    </w:rPr>
  </w:style>
  <w:style w:type="paragraph" w:customStyle="1" w:styleId="Normalblack">
    <w:name w:val="Normal+black"/>
    <w:basedOn w:val="Normal"/>
    <w:rsid w:val="00C43DB9"/>
    <w:pPr>
      <w:tabs>
        <w:tab w:val="left" w:pos="2585"/>
        <w:tab w:val="center" w:pos="4156"/>
      </w:tabs>
      <w:bidi/>
      <w:spacing w:after="0" w:line="240" w:lineRule="auto"/>
      <w:ind w:left="-103"/>
      <w:jc w:val="center"/>
      <w:outlineLvl w:val="0"/>
    </w:pPr>
    <w:rPr>
      <w:rFonts w:ascii="Times New Roman" w:eastAsia="Times New Roman" w:hAnsi="Times New Roman" w:cs="Times New Roman"/>
      <w:b/>
      <w:bCs/>
      <w:sz w:val="24"/>
      <w:szCs w:val="24"/>
    </w:rPr>
  </w:style>
  <w:style w:type="table" w:customStyle="1" w:styleId="GridTable4-Accent11">
    <w:name w:val="Grid Table 4 - Accent 11"/>
    <w:basedOn w:val="TableNormal"/>
    <w:uiPriority w:val="49"/>
    <w:rsid w:val="009320B5"/>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alloonText">
    <w:name w:val="Balloon Text"/>
    <w:basedOn w:val="Normal"/>
    <w:link w:val="BalloonTextChar"/>
    <w:uiPriority w:val="99"/>
    <w:semiHidden/>
    <w:unhideWhenUsed/>
    <w:rsid w:val="00327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D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9983">
      <w:bodyDiv w:val="1"/>
      <w:marLeft w:val="0"/>
      <w:marRight w:val="0"/>
      <w:marTop w:val="0"/>
      <w:marBottom w:val="0"/>
      <w:divBdr>
        <w:top w:val="none" w:sz="0" w:space="0" w:color="auto"/>
        <w:left w:val="none" w:sz="0" w:space="0" w:color="auto"/>
        <w:bottom w:val="none" w:sz="0" w:space="0" w:color="auto"/>
        <w:right w:val="none" w:sz="0" w:space="0" w:color="auto"/>
      </w:divBdr>
    </w:div>
    <w:div w:id="2174573">
      <w:bodyDiv w:val="1"/>
      <w:marLeft w:val="0"/>
      <w:marRight w:val="0"/>
      <w:marTop w:val="0"/>
      <w:marBottom w:val="0"/>
      <w:divBdr>
        <w:top w:val="none" w:sz="0" w:space="0" w:color="auto"/>
        <w:left w:val="none" w:sz="0" w:space="0" w:color="auto"/>
        <w:bottom w:val="none" w:sz="0" w:space="0" w:color="auto"/>
        <w:right w:val="none" w:sz="0" w:space="0" w:color="auto"/>
      </w:divBdr>
    </w:div>
    <w:div w:id="46153756">
      <w:bodyDiv w:val="1"/>
      <w:marLeft w:val="0"/>
      <w:marRight w:val="0"/>
      <w:marTop w:val="0"/>
      <w:marBottom w:val="0"/>
      <w:divBdr>
        <w:top w:val="none" w:sz="0" w:space="0" w:color="auto"/>
        <w:left w:val="none" w:sz="0" w:space="0" w:color="auto"/>
        <w:bottom w:val="none" w:sz="0" w:space="0" w:color="auto"/>
        <w:right w:val="none" w:sz="0" w:space="0" w:color="auto"/>
      </w:divBdr>
    </w:div>
    <w:div w:id="56905206">
      <w:bodyDiv w:val="1"/>
      <w:marLeft w:val="0"/>
      <w:marRight w:val="0"/>
      <w:marTop w:val="0"/>
      <w:marBottom w:val="0"/>
      <w:divBdr>
        <w:top w:val="none" w:sz="0" w:space="0" w:color="auto"/>
        <w:left w:val="none" w:sz="0" w:space="0" w:color="auto"/>
        <w:bottom w:val="none" w:sz="0" w:space="0" w:color="auto"/>
        <w:right w:val="none" w:sz="0" w:space="0" w:color="auto"/>
      </w:divBdr>
    </w:div>
    <w:div w:id="57829786">
      <w:bodyDiv w:val="1"/>
      <w:marLeft w:val="0"/>
      <w:marRight w:val="0"/>
      <w:marTop w:val="0"/>
      <w:marBottom w:val="0"/>
      <w:divBdr>
        <w:top w:val="none" w:sz="0" w:space="0" w:color="auto"/>
        <w:left w:val="none" w:sz="0" w:space="0" w:color="auto"/>
        <w:bottom w:val="none" w:sz="0" w:space="0" w:color="auto"/>
        <w:right w:val="none" w:sz="0" w:space="0" w:color="auto"/>
      </w:divBdr>
    </w:div>
    <w:div w:id="77556445">
      <w:bodyDiv w:val="1"/>
      <w:marLeft w:val="0"/>
      <w:marRight w:val="0"/>
      <w:marTop w:val="0"/>
      <w:marBottom w:val="0"/>
      <w:divBdr>
        <w:top w:val="none" w:sz="0" w:space="0" w:color="auto"/>
        <w:left w:val="none" w:sz="0" w:space="0" w:color="auto"/>
        <w:bottom w:val="none" w:sz="0" w:space="0" w:color="auto"/>
        <w:right w:val="none" w:sz="0" w:space="0" w:color="auto"/>
      </w:divBdr>
    </w:div>
    <w:div w:id="110128879">
      <w:bodyDiv w:val="1"/>
      <w:marLeft w:val="0"/>
      <w:marRight w:val="0"/>
      <w:marTop w:val="0"/>
      <w:marBottom w:val="0"/>
      <w:divBdr>
        <w:top w:val="none" w:sz="0" w:space="0" w:color="auto"/>
        <w:left w:val="none" w:sz="0" w:space="0" w:color="auto"/>
        <w:bottom w:val="none" w:sz="0" w:space="0" w:color="auto"/>
        <w:right w:val="none" w:sz="0" w:space="0" w:color="auto"/>
      </w:divBdr>
    </w:div>
    <w:div w:id="119610000">
      <w:bodyDiv w:val="1"/>
      <w:marLeft w:val="0"/>
      <w:marRight w:val="0"/>
      <w:marTop w:val="0"/>
      <w:marBottom w:val="0"/>
      <w:divBdr>
        <w:top w:val="none" w:sz="0" w:space="0" w:color="auto"/>
        <w:left w:val="none" w:sz="0" w:space="0" w:color="auto"/>
        <w:bottom w:val="none" w:sz="0" w:space="0" w:color="auto"/>
        <w:right w:val="none" w:sz="0" w:space="0" w:color="auto"/>
      </w:divBdr>
    </w:div>
    <w:div w:id="126507434">
      <w:bodyDiv w:val="1"/>
      <w:marLeft w:val="0"/>
      <w:marRight w:val="0"/>
      <w:marTop w:val="0"/>
      <w:marBottom w:val="0"/>
      <w:divBdr>
        <w:top w:val="none" w:sz="0" w:space="0" w:color="auto"/>
        <w:left w:val="none" w:sz="0" w:space="0" w:color="auto"/>
        <w:bottom w:val="none" w:sz="0" w:space="0" w:color="auto"/>
        <w:right w:val="none" w:sz="0" w:space="0" w:color="auto"/>
      </w:divBdr>
    </w:div>
    <w:div w:id="131793576">
      <w:bodyDiv w:val="1"/>
      <w:marLeft w:val="0"/>
      <w:marRight w:val="0"/>
      <w:marTop w:val="0"/>
      <w:marBottom w:val="0"/>
      <w:divBdr>
        <w:top w:val="none" w:sz="0" w:space="0" w:color="auto"/>
        <w:left w:val="none" w:sz="0" w:space="0" w:color="auto"/>
        <w:bottom w:val="none" w:sz="0" w:space="0" w:color="auto"/>
        <w:right w:val="none" w:sz="0" w:space="0" w:color="auto"/>
      </w:divBdr>
    </w:div>
    <w:div w:id="140587553">
      <w:bodyDiv w:val="1"/>
      <w:marLeft w:val="0"/>
      <w:marRight w:val="0"/>
      <w:marTop w:val="0"/>
      <w:marBottom w:val="0"/>
      <w:divBdr>
        <w:top w:val="none" w:sz="0" w:space="0" w:color="auto"/>
        <w:left w:val="none" w:sz="0" w:space="0" w:color="auto"/>
        <w:bottom w:val="none" w:sz="0" w:space="0" w:color="auto"/>
        <w:right w:val="none" w:sz="0" w:space="0" w:color="auto"/>
      </w:divBdr>
    </w:div>
    <w:div w:id="148399245">
      <w:bodyDiv w:val="1"/>
      <w:marLeft w:val="0"/>
      <w:marRight w:val="0"/>
      <w:marTop w:val="0"/>
      <w:marBottom w:val="0"/>
      <w:divBdr>
        <w:top w:val="none" w:sz="0" w:space="0" w:color="auto"/>
        <w:left w:val="none" w:sz="0" w:space="0" w:color="auto"/>
        <w:bottom w:val="none" w:sz="0" w:space="0" w:color="auto"/>
        <w:right w:val="none" w:sz="0" w:space="0" w:color="auto"/>
      </w:divBdr>
    </w:div>
    <w:div w:id="191501535">
      <w:bodyDiv w:val="1"/>
      <w:marLeft w:val="0"/>
      <w:marRight w:val="0"/>
      <w:marTop w:val="0"/>
      <w:marBottom w:val="0"/>
      <w:divBdr>
        <w:top w:val="none" w:sz="0" w:space="0" w:color="auto"/>
        <w:left w:val="none" w:sz="0" w:space="0" w:color="auto"/>
        <w:bottom w:val="none" w:sz="0" w:space="0" w:color="auto"/>
        <w:right w:val="none" w:sz="0" w:space="0" w:color="auto"/>
      </w:divBdr>
    </w:div>
    <w:div w:id="205798701">
      <w:bodyDiv w:val="1"/>
      <w:marLeft w:val="0"/>
      <w:marRight w:val="0"/>
      <w:marTop w:val="0"/>
      <w:marBottom w:val="0"/>
      <w:divBdr>
        <w:top w:val="none" w:sz="0" w:space="0" w:color="auto"/>
        <w:left w:val="none" w:sz="0" w:space="0" w:color="auto"/>
        <w:bottom w:val="none" w:sz="0" w:space="0" w:color="auto"/>
        <w:right w:val="none" w:sz="0" w:space="0" w:color="auto"/>
      </w:divBdr>
    </w:div>
    <w:div w:id="219286764">
      <w:bodyDiv w:val="1"/>
      <w:marLeft w:val="0"/>
      <w:marRight w:val="0"/>
      <w:marTop w:val="0"/>
      <w:marBottom w:val="0"/>
      <w:divBdr>
        <w:top w:val="none" w:sz="0" w:space="0" w:color="auto"/>
        <w:left w:val="none" w:sz="0" w:space="0" w:color="auto"/>
        <w:bottom w:val="none" w:sz="0" w:space="0" w:color="auto"/>
        <w:right w:val="none" w:sz="0" w:space="0" w:color="auto"/>
      </w:divBdr>
    </w:div>
    <w:div w:id="232080538">
      <w:bodyDiv w:val="1"/>
      <w:marLeft w:val="0"/>
      <w:marRight w:val="0"/>
      <w:marTop w:val="0"/>
      <w:marBottom w:val="0"/>
      <w:divBdr>
        <w:top w:val="none" w:sz="0" w:space="0" w:color="auto"/>
        <w:left w:val="none" w:sz="0" w:space="0" w:color="auto"/>
        <w:bottom w:val="none" w:sz="0" w:space="0" w:color="auto"/>
        <w:right w:val="none" w:sz="0" w:space="0" w:color="auto"/>
      </w:divBdr>
    </w:div>
    <w:div w:id="235822560">
      <w:bodyDiv w:val="1"/>
      <w:marLeft w:val="0"/>
      <w:marRight w:val="0"/>
      <w:marTop w:val="0"/>
      <w:marBottom w:val="0"/>
      <w:divBdr>
        <w:top w:val="none" w:sz="0" w:space="0" w:color="auto"/>
        <w:left w:val="none" w:sz="0" w:space="0" w:color="auto"/>
        <w:bottom w:val="none" w:sz="0" w:space="0" w:color="auto"/>
        <w:right w:val="none" w:sz="0" w:space="0" w:color="auto"/>
      </w:divBdr>
    </w:div>
    <w:div w:id="262803900">
      <w:bodyDiv w:val="1"/>
      <w:marLeft w:val="0"/>
      <w:marRight w:val="0"/>
      <w:marTop w:val="0"/>
      <w:marBottom w:val="0"/>
      <w:divBdr>
        <w:top w:val="none" w:sz="0" w:space="0" w:color="auto"/>
        <w:left w:val="none" w:sz="0" w:space="0" w:color="auto"/>
        <w:bottom w:val="none" w:sz="0" w:space="0" w:color="auto"/>
        <w:right w:val="none" w:sz="0" w:space="0" w:color="auto"/>
      </w:divBdr>
    </w:div>
    <w:div w:id="290789901">
      <w:bodyDiv w:val="1"/>
      <w:marLeft w:val="0"/>
      <w:marRight w:val="0"/>
      <w:marTop w:val="0"/>
      <w:marBottom w:val="0"/>
      <w:divBdr>
        <w:top w:val="none" w:sz="0" w:space="0" w:color="auto"/>
        <w:left w:val="none" w:sz="0" w:space="0" w:color="auto"/>
        <w:bottom w:val="none" w:sz="0" w:space="0" w:color="auto"/>
        <w:right w:val="none" w:sz="0" w:space="0" w:color="auto"/>
      </w:divBdr>
    </w:div>
    <w:div w:id="291441469">
      <w:bodyDiv w:val="1"/>
      <w:marLeft w:val="0"/>
      <w:marRight w:val="0"/>
      <w:marTop w:val="0"/>
      <w:marBottom w:val="0"/>
      <w:divBdr>
        <w:top w:val="none" w:sz="0" w:space="0" w:color="auto"/>
        <w:left w:val="none" w:sz="0" w:space="0" w:color="auto"/>
        <w:bottom w:val="none" w:sz="0" w:space="0" w:color="auto"/>
        <w:right w:val="none" w:sz="0" w:space="0" w:color="auto"/>
      </w:divBdr>
    </w:div>
    <w:div w:id="321466120">
      <w:bodyDiv w:val="1"/>
      <w:marLeft w:val="0"/>
      <w:marRight w:val="0"/>
      <w:marTop w:val="0"/>
      <w:marBottom w:val="0"/>
      <w:divBdr>
        <w:top w:val="none" w:sz="0" w:space="0" w:color="auto"/>
        <w:left w:val="none" w:sz="0" w:space="0" w:color="auto"/>
        <w:bottom w:val="none" w:sz="0" w:space="0" w:color="auto"/>
        <w:right w:val="none" w:sz="0" w:space="0" w:color="auto"/>
      </w:divBdr>
    </w:div>
    <w:div w:id="332298436">
      <w:bodyDiv w:val="1"/>
      <w:marLeft w:val="0"/>
      <w:marRight w:val="0"/>
      <w:marTop w:val="0"/>
      <w:marBottom w:val="0"/>
      <w:divBdr>
        <w:top w:val="none" w:sz="0" w:space="0" w:color="auto"/>
        <w:left w:val="none" w:sz="0" w:space="0" w:color="auto"/>
        <w:bottom w:val="none" w:sz="0" w:space="0" w:color="auto"/>
        <w:right w:val="none" w:sz="0" w:space="0" w:color="auto"/>
      </w:divBdr>
    </w:div>
    <w:div w:id="332605613">
      <w:bodyDiv w:val="1"/>
      <w:marLeft w:val="0"/>
      <w:marRight w:val="0"/>
      <w:marTop w:val="0"/>
      <w:marBottom w:val="0"/>
      <w:divBdr>
        <w:top w:val="none" w:sz="0" w:space="0" w:color="auto"/>
        <w:left w:val="none" w:sz="0" w:space="0" w:color="auto"/>
        <w:bottom w:val="none" w:sz="0" w:space="0" w:color="auto"/>
        <w:right w:val="none" w:sz="0" w:space="0" w:color="auto"/>
      </w:divBdr>
    </w:div>
    <w:div w:id="333149476">
      <w:bodyDiv w:val="1"/>
      <w:marLeft w:val="0"/>
      <w:marRight w:val="0"/>
      <w:marTop w:val="0"/>
      <w:marBottom w:val="0"/>
      <w:divBdr>
        <w:top w:val="none" w:sz="0" w:space="0" w:color="auto"/>
        <w:left w:val="none" w:sz="0" w:space="0" w:color="auto"/>
        <w:bottom w:val="none" w:sz="0" w:space="0" w:color="auto"/>
        <w:right w:val="none" w:sz="0" w:space="0" w:color="auto"/>
      </w:divBdr>
    </w:div>
    <w:div w:id="335697579">
      <w:bodyDiv w:val="1"/>
      <w:marLeft w:val="0"/>
      <w:marRight w:val="0"/>
      <w:marTop w:val="0"/>
      <w:marBottom w:val="0"/>
      <w:divBdr>
        <w:top w:val="none" w:sz="0" w:space="0" w:color="auto"/>
        <w:left w:val="none" w:sz="0" w:space="0" w:color="auto"/>
        <w:bottom w:val="none" w:sz="0" w:space="0" w:color="auto"/>
        <w:right w:val="none" w:sz="0" w:space="0" w:color="auto"/>
      </w:divBdr>
    </w:div>
    <w:div w:id="341710240">
      <w:bodyDiv w:val="1"/>
      <w:marLeft w:val="0"/>
      <w:marRight w:val="0"/>
      <w:marTop w:val="0"/>
      <w:marBottom w:val="0"/>
      <w:divBdr>
        <w:top w:val="none" w:sz="0" w:space="0" w:color="auto"/>
        <w:left w:val="none" w:sz="0" w:space="0" w:color="auto"/>
        <w:bottom w:val="none" w:sz="0" w:space="0" w:color="auto"/>
        <w:right w:val="none" w:sz="0" w:space="0" w:color="auto"/>
      </w:divBdr>
    </w:div>
    <w:div w:id="343748443">
      <w:bodyDiv w:val="1"/>
      <w:marLeft w:val="0"/>
      <w:marRight w:val="0"/>
      <w:marTop w:val="0"/>
      <w:marBottom w:val="0"/>
      <w:divBdr>
        <w:top w:val="none" w:sz="0" w:space="0" w:color="auto"/>
        <w:left w:val="none" w:sz="0" w:space="0" w:color="auto"/>
        <w:bottom w:val="none" w:sz="0" w:space="0" w:color="auto"/>
        <w:right w:val="none" w:sz="0" w:space="0" w:color="auto"/>
      </w:divBdr>
    </w:div>
    <w:div w:id="351418391">
      <w:bodyDiv w:val="1"/>
      <w:marLeft w:val="0"/>
      <w:marRight w:val="0"/>
      <w:marTop w:val="0"/>
      <w:marBottom w:val="0"/>
      <w:divBdr>
        <w:top w:val="none" w:sz="0" w:space="0" w:color="auto"/>
        <w:left w:val="none" w:sz="0" w:space="0" w:color="auto"/>
        <w:bottom w:val="none" w:sz="0" w:space="0" w:color="auto"/>
        <w:right w:val="none" w:sz="0" w:space="0" w:color="auto"/>
      </w:divBdr>
    </w:div>
    <w:div w:id="354582377">
      <w:bodyDiv w:val="1"/>
      <w:marLeft w:val="0"/>
      <w:marRight w:val="0"/>
      <w:marTop w:val="0"/>
      <w:marBottom w:val="0"/>
      <w:divBdr>
        <w:top w:val="none" w:sz="0" w:space="0" w:color="auto"/>
        <w:left w:val="none" w:sz="0" w:space="0" w:color="auto"/>
        <w:bottom w:val="none" w:sz="0" w:space="0" w:color="auto"/>
        <w:right w:val="none" w:sz="0" w:space="0" w:color="auto"/>
      </w:divBdr>
    </w:div>
    <w:div w:id="360976942">
      <w:bodyDiv w:val="1"/>
      <w:marLeft w:val="0"/>
      <w:marRight w:val="0"/>
      <w:marTop w:val="0"/>
      <w:marBottom w:val="0"/>
      <w:divBdr>
        <w:top w:val="none" w:sz="0" w:space="0" w:color="auto"/>
        <w:left w:val="none" w:sz="0" w:space="0" w:color="auto"/>
        <w:bottom w:val="none" w:sz="0" w:space="0" w:color="auto"/>
        <w:right w:val="none" w:sz="0" w:space="0" w:color="auto"/>
      </w:divBdr>
    </w:div>
    <w:div w:id="390466062">
      <w:bodyDiv w:val="1"/>
      <w:marLeft w:val="0"/>
      <w:marRight w:val="0"/>
      <w:marTop w:val="0"/>
      <w:marBottom w:val="0"/>
      <w:divBdr>
        <w:top w:val="none" w:sz="0" w:space="0" w:color="auto"/>
        <w:left w:val="none" w:sz="0" w:space="0" w:color="auto"/>
        <w:bottom w:val="none" w:sz="0" w:space="0" w:color="auto"/>
        <w:right w:val="none" w:sz="0" w:space="0" w:color="auto"/>
      </w:divBdr>
    </w:div>
    <w:div w:id="427433211">
      <w:bodyDiv w:val="1"/>
      <w:marLeft w:val="0"/>
      <w:marRight w:val="0"/>
      <w:marTop w:val="0"/>
      <w:marBottom w:val="0"/>
      <w:divBdr>
        <w:top w:val="none" w:sz="0" w:space="0" w:color="auto"/>
        <w:left w:val="none" w:sz="0" w:space="0" w:color="auto"/>
        <w:bottom w:val="none" w:sz="0" w:space="0" w:color="auto"/>
        <w:right w:val="none" w:sz="0" w:space="0" w:color="auto"/>
      </w:divBdr>
    </w:div>
    <w:div w:id="442772381">
      <w:bodyDiv w:val="1"/>
      <w:marLeft w:val="0"/>
      <w:marRight w:val="0"/>
      <w:marTop w:val="0"/>
      <w:marBottom w:val="0"/>
      <w:divBdr>
        <w:top w:val="none" w:sz="0" w:space="0" w:color="auto"/>
        <w:left w:val="none" w:sz="0" w:space="0" w:color="auto"/>
        <w:bottom w:val="none" w:sz="0" w:space="0" w:color="auto"/>
        <w:right w:val="none" w:sz="0" w:space="0" w:color="auto"/>
      </w:divBdr>
    </w:div>
    <w:div w:id="445469415">
      <w:bodyDiv w:val="1"/>
      <w:marLeft w:val="0"/>
      <w:marRight w:val="0"/>
      <w:marTop w:val="0"/>
      <w:marBottom w:val="0"/>
      <w:divBdr>
        <w:top w:val="none" w:sz="0" w:space="0" w:color="auto"/>
        <w:left w:val="none" w:sz="0" w:space="0" w:color="auto"/>
        <w:bottom w:val="none" w:sz="0" w:space="0" w:color="auto"/>
        <w:right w:val="none" w:sz="0" w:space="0" w:color="auto"/>
      </w:divBdr>
    </w:div>
    <w:div w:id="455291467">
      <w:bodyDiv w:val="1"/>
      <w:marLeft w:val="0"/>
      <w:marRight w:val="0"/>
      <w:marTop w:val="0"/>
      <w:marBottom w:val="0"/>
      <w:divBdr>
        <w:top w:val="none" w:sz="0" w:space="0" w:color="auto"/>
        <w:left w:val="none" w:sz="0" w:space="0" w:color="auto"/>
        <w:bottom w:val="none" w:sz="0" w:space="0" w:color="auto"/>
        <w:right w:val="none" w:sz="0" w:space="0" w:color="auto"/>
      </w:divBdr>
    </w:div>
    <w:div w:id="478038131">
      <w:bodyDiv w:val="1"/>
      <w:marLeft w:val="0"/>
      <w:marRight w:val="0"/>
      <w:marTop w:val="0"/>
      <w:marBottom w:val="0"/>
      <w:divBdr>
        <w:top w:val="none" w:sz="0" w:space="0" w:color="auto"/>
        <w:left w:val="none" w:sz="0" w:space="0" w:color="auto"/>
        <w:bottom w:val="none" w:sz="0" w:space="0" w:color="auto"/>
        <w:right w:val="none" w:sz="0" w:space="0" w:color="auto"/>
      </w:divBdr>
    </w:div>
    <w:div w:id="484051385">
      <w:bodyDiv w:val="1"/>
      <w:marLeft w:val="0"/>
      <w:marRight w:val="0"/>
      <w:marTop w:val="0"/>
      <w:marBottom w:val="0"/>
      <w:divBdr>
        <w:top w:val="none" w:sz="0" w:space="0" w:color="auto"/>
        <w:left w:val="none" w:sz="0" w:space="0" w:color="auto"/>
        <w:bottom w:val="none" w:sz="0" w:space="0" w:color="auto"/>
        <w:right w:val="none" w:sz="0" w:space="0" w:color="auto"/>
      </w:divBdr>
    </w:div>
    <w:div w:id="492142025">
      <w:bodyDiv w:val="1"/>
      <w:marLeft w:val="0"/>
      <w:marRight w:val="0"/>
      <w:marTop w:val="0"/>
      <w:marBottom w:val="0"/>
      <w:divBdr>
        <w:top w:val="none" w:sz="0" w:space="0" w:color="auto"/>
        <w:left w:val="none" w:sz="0" w:space="0" w:color="auto"/>
        <w:bottom w:val="none" w:sz="0" w:space="0" w:color="auto"/>
        <w:right w:val="none" w:sz="0" w:space="0" w:color="auto"/>
      </w:divBdr>
    </w:div>
    <w:div w:id="493422650">
      <w:bodyDiv w:val="1"/>
      <w:marLeft w:val="0"/>
      <w:marRight w:val="0"/>
      <w:marTop w:val="0"/>
      <w:marBottom w:val="0"/>
      <w:divBdr>
        <w:top w:val="none" w:sz="0" w:space="0" w:color="auto"/>
        <w:left w:val="none" w:sz="0" w:space="0" w:color="auto"/>
        <w:bottom w:val="none" w:sz="0" w:space="0" w:color="auto"/>
        <w:right w:val="none" w:sz="0" w:space="0" w:color="auto"/>
      </w:divBdr>
    </w:div>
    <w:div w:id="495150150">
      <w:bodyDiv w:val="1"/>
      <w:marLeft w:val="0"/>
      <w:marRight w:val="0"/>
      <w:marTop w:val="0"/>
      <w:marBottom w:val="0"/>
      <w:divBdr>
        <w:top w:val="none" w:sz="0" w:space="0" w:color="auto"/>
        <w:left w:val="none" w:sz="0" w:space="0" w:color="auto"/>
        <w:bottom w:val="none" w:sz="0" w:space="0" w:color="auto"/>
        <w:right w:val="none" w:sz="0" w:space="0" w:color="auto"/>
      </w:divBdr>
    </w:div>
    <w:div w:id="501316101">
      <w:bodyDiv w:val="1"/>
      <w:marLeft w:val="0"/>
      <w:marRight w:val="0"/>
      <w:marTop w:val="0"/>
      <w:marBottom w:val="0"/>
      <w:divBdr>
        <w:top w:val="none" w:sz="0" w:space="0" w:color="auto"/>
        <w:left w:val="none" w:sz="0" w:space="0" w:color="auto"/>
        <w:bottom w:val="none" w:sz="0" w:space="0" w:color="auto"/>
        <w:right w:val="none" w:sz="0" w:space="0" w:color="auto"/>
      </w:divBdr>
    </w:div>
    <w:div w:id="508566916">
      <w:bodyDiv w:val="1"/>
      <w:marLeft w:val="0"/>
      <w:marRight w:val="0"/>
      <w:marTop w:val="0"/>
      <w:marBottom w:val="0"/>
      <w:divBdr>
        <w:top w:val="none" w:sz="0" w:space="0" w:color="auto"/>
        <w:left w:val="none" w:sz="0" w:space="0" w:color="auto"/>
        <w:bottom w:val="none" w:sz="0" w:space="0" w:color="auto"/>
        <w:right w:val="none" w:sz="0" w:space="0" w:color="auto"/>
      </w:divBdr>
    </w:div>
    <w:div w:id="527059548">
      <w:bodyDiv w:val="1"/>
      <w:marLeft w:val="0"/>
      <w:marRight w:val="0"/>
      <w:marTop w:val="0"/>
      <w:marBottom w:val="0"/>
      <w:divBdr>
        <w:top w:val="none" w:sz="0" w:space="0" w:color="auto"/>
        <w:left w:val="none" w:sz="0" w:space="0" w:color="auto"/>
        <w:bottom w:val="none" w:sz="0" w:space="0" w:color="auto"/>
        <w:right w:val="none" w:sz="0" w:space="0" w:color="auto"/>
      </w:divBdr>
    </w:div>
    <w:div w:id="542056419">
      <w:bodyDiv w:val="1"/>
      <w:marLeft w:val="0"/>
      <w:marRight w:val="0"/>
      <w:marTop w:val="0"/>
      <w:marBottom w:val="0"/>
      <w:divBdr>
        <w:top w:val="none" w:sz="0" w:space="0" w:color="auto"/>
        <w:left w:val="none" w:sz="0" w:space="0" w:color="auto"/>
        <w:bottom w:val="none" w:sz="0" w:space="0" w:color="auto"/>
        <w:right w:val="none" w:sz="0" w:space="0" w:color="auto"/>
      </w:divBdr>
    </w:div>
    <w:div w:id="548146864">
      <w:bodyDiv w:val="1"/>
      <w:marLeft w:val="0"/>
      <w:marRight w:val="0"/>
      <w:marTop w:val="0"/>
      <w:marBottom w:val="0"/>
      <w:divBdr>
        <w:top w:val="none" w:sz="0" w:space="0" w:color="auto"/>
        <w:left w:val="none" w:sz="0" w:space="0" w:color="auto"/>
        <w:bottom w:val="none" w:sz="0" w:space="0" w:color="auto"/>
        <w:right w:val="none" w:sz="0" w:space="0" w:color="auto"/>
      </w:divBdr>
    </w:div>
    <w:div w:id="557598189">
      <w:bodyDiv w:val="1"/>
      <w:marLeft w:val="0"/>
      <w:marRight w:val="0"/>
      <w:marTop w:val="0"/>
      <w:marBottom w:val="0"/>
      <w:divBdr>
        <w:top w:val="none" w:sz="0" w:space="0" w:color="auto"/>
        <w:left w:val="none" w:sz="0" w:space="0" w:color="auto"/>
        <w:bottom w:val="none" w:sz="0" w:space="0" w:color="auto"/>
        <w:right w:val="none" w:sz="0" w:space="0" w:color="auto"/>
      </w:divBdr>
    </w:div>
    <w:div w:id="557933815">
      <w:bodyDiv w:val="1"/>
      <w:marLeft w:val="0"/>
      <w:marRight w:val="0"/>
      <w:marTop w:val="0"/>
      <w:marBottom w:val="0"/>
      <w:divBdr>
        <w:top w:val="none" w:sz="0" w:space="0" w:color="auto"/>
        <w:left w:val="none" w:sz="0" w:space="0" w:color="auto"/>
        <w:bottom w:val="none" w:sz="0" w:space="0" w:color="auto"/>
        <w:right w:val="none" w:sz="0" w:space="0" w:color="auto"/>
      </w:divBdr>
    </w:div>
    <w:div w:id="571280418">
      <w:bodyDiv w:val="1"/>
      <w:marLeft w:val="0"/>
      <w:marRight w:val="0"/>
      <w:marTop w:val="0"/>
      <w:marBottom w:val="0"/>
      <w:divBdr>
        <w:top w:val="none" w:sz="0" w:space="0" w:color="auto"/>
        <w:left w:val="none" w:sz="0" w:space="0" w:color="auto"/>
        <w:bottom w:val="none" w:sz="0" w:space="0" w:color="auto"/>
        <w:right w:val="none" w:sz="0" w:space="0" w:color="auto"/>
      </w:divBdr>
    </w:div>
    <w:div w:id="604968211">
      <w:bodyDiv w:val="1"/>
      <w:marLeft w:val="0"/>
      <w:marRight w:val="0"/>
      <w:marTop w:val="0"/>
      <w:marBottom w:val="0"/>
      <w:divBdr>
        <w:top w:val="none" w:sz="0" w:space="0" w:color="auto"/>
        <w:left w:val="none" w:sz="0" w:space="0" w:color="auto"/>
        <w:bottom w:val="none" w:sz="0" w:space="0" w:color="auto"/>
        <w:right w:val="none" w:sz="0" w:space="0" w:color="auto"/>
      </w:divBdr>
    </w:div>
    <w:div w:id="627929597">
      <w:bodyDiv w:val="1"/>
      <w:marLeft w:val="0"/>
      <w:marRight w:val="0"/>
      <w:marTop w:val="0"/>
      <w:marBottom w:val="0"/>
      <w:divBdr>
        <w:top w:val="none" w:sz="0" w:space="0" w:color="auto"/>
        <w:left w:val="none" w:sz="0" w:space="0" w:color="auto"/>
        <w:bottom w:val="none" w:sz="0" w:space="0" w:color="auto"/>
        <w:right w:val="none" w:sz="0" w:space="0" w:color="auto"/>
      </w:divBdr>
    </w:div>
    <w:div w:id="650644655">
      <w:bodyDiv w:val="1"/>
      <w:marLeft w:val="0"/>
      <w:marRight w:val="0"/>
      <w:marTop w:val="0"/>
      <w:marBottom w:val="0"/>
      <w:divBdr>
        <w:top w:val="none" w:sz="0" w:space="0" w:color="auto"/>
        <w:left w:val="none" w:sz="0" w:space="0" w:color="auto"/>
        <w:bottom w:val="none" w:sz="0" w:space="0" w:color="auto"/>
        <w:right w:val="none" w:sz="0" w:space="0" w:color="auto"/>
      </w:divBdr>
    </w:div>
    <w:div w:id="650721201">
      <w:bodyDiv w:val="1"/>
      <w:marLeft w:val="0"/>
      <w:marRight w:val="0"/>
      <w:marTop w:val="0"/>
      <w:marBottom w:val="0"/>
      <w:divBdr>
        <w:top w:val="none" w:sz="0" w:space="0" w:color="auto"/>
        <w:left w:val="none" w:sz="0" w:space="0" w:color="auto"/>
        <w:bottom w:val="none" w:sz="0" w:space="0" w:color="auto"/>
        <w:right w:val="none" w:sz="0" w:space="0" w:color="auto"/>
      </w:divBdr>
    </w:div>
    <w:div w:id="651065779">
      <w:bodyDiv w:val="1"/>
      <w:marLeft w:val="0"/>
      <w:marRight w:val="0"/>
      <w:marTop w:val="0"/>
      <w:marBottom w:val="0"/>
      <w:divBdr>
        <w:top w:val="none" w:sz="0" w:space="0" w:color="auto"/>
        <w:left w:val="none" w:sz="0" w:space="0" w:color="auto"/>
        <w:bottom w:val="none" w:sz="0" w:space="0" w:color="auto"/>
        <w:right w:val="none" w:sz="0" w:space="0" w:color="auto"/>
      </w:divBdr>
    </w:div>
    <w:div w:id="655187941">
      <w:bodyDiv w:val="1"/>
      <w:marLeft w:val="0"/>
      <w:marRight w:val="0"/>
      <w:marTop w:val="0"/>
      <w:marBottom w:val="0"/>
      <w:divBdr>
        <w:top w:val="none" w:sz="0" w:space="0" w:color="auto"/>
        <w:left w:val="none" w:sz="0" w:space="0" w:color="auto"/>
        <w:bottom w:val="none" w:sz="0" w:space="0" w:color="auto"/>
        <w:right w:val="none" w:sz="0" w:space="0" w:color="auto"/>
      </w:divBdr>
    </w:div>
    <w:div w:id="723989915">
      <w:bodyDiv w:val="1"/>
      <w:marLeft w:val="0"/>
      <w:marRight w:val="0"/>
      <w:marTop w:val="0"/>
      <w:marBottom w:val="0"/>
      <w:divBdr>
        <w:top w:val="none" w:sz="0" w:space="0" w:color="auto"/>
        <w:left w:val="none" w:sz="0" w:space="0" w:color="auto"/>
        <w:bottom w:val="none" w:sz="0" w:space="0" w:color="auto"/>
        <w:right w:val="none" w:sz="0" w:space="0" w:color="auto"/>
      </w:divBdr>
    </w:div>
    <w:div w:id="768043458">
      <w:bodyDiv w:val="1"/>
      <w:marLeft w:val="0"/>
      <w:marRight w:val="0"/>
      <w:marTop w:val="0"/>
      <w:marBottom w:val="0"/>
      <w:divBdr>
        <w:top w:val="none" w:sz="0" w:space="0" w:color="auto"/>
        <w:left w:val="none" w:sz="0" w:space="0" w:color="auto"/>
        <w:bottom w:val="none" w:sz="0" w:space="0" w:color="auto"/>
        <w:right w:val="none" w:sz="0" w:space="0" w:color="auto"/>
      </w:divBdr>
    </w:div>
    <w:div w:id="798498417">
      <w:bodyDiv w:val="1"/>
      <w:marLeft w:val="0"/>
      <w:marRight w:val="0"/>
      <w:marTop w:val="0"/>
      <w:marBottom w:val="0"/>
      <w:divBdr>
        <w:top w:val="none" w:sz="0" w:space="0" w:color="auto"/>
        <w:left w:val="none" w:sz="0" w:space="0" w:color="auto"/>
        <w:bottom w:val="none" w:sz="0" w:space="0" w:color="auto"/>
        <w:right w:val="none" w:sz="0" w:space="0" w:color="auto"/>
      </w:divBdr>
    </w:div>
    <w:div w:id="884174426">
      <w:bodyDiv w:val="1"/>
      <w:marLeft w:val="0"/>
      <w:marRight w:val="0"/>
      <w:marTop w:val="0"/>
      <w:marBottom w:val="0"/>
      <w:divBdr>
        <w:top w:val="none" w:sz="0" w:space="0" w:color="auto"/>
        <w:left w:val="none" w:sz="0" w:space="0" w:color="auto"/>
        <w:bottom w:val="none" w:sz="0" w:space="0" w:color="auto"/>
        <w:right w:val="none" w:sz="0" w:space="0" w:color="auto"/>
      </w:divBdr>
    </w:div>
    <w:div w:id="898394001">
      <w:bodyDiv w:val="1"/>
      <w:marLeft w:val="0"/>
      <w:marRight w:val="0"/>
      <w:marTop w:val="0"/>
      <w:marBottom w:val="0"/>
      <w:divBdr>
        <w:top w:val="none" w:sz="0" w:space="0" w:color="auto"/>
        <w:left w:val="none" w:sz="0" w:space="0" w:color="auto"/>
        <w:bottom w:val="none" w:sz="0" w:space="0" w:color="auto"/>
        <w:right w:val="none" w:sz="0" w:space="0" w:color="auto"/>
      </w:divBdr>
    </w:div>
    <w:div w:id="900478301">
      <w:bodyDiv w:val="1"/>
      <w:marLeft w:val="0"/>
      <w:marRight w:val="0"/>
      <w:marTop w:val="0"/>
      <w:marBottom w:val="0"/>
      <w:divBdr>
        <w:top w:val="none" w:sz="0" w:space="0" w:color="auto"/>
        <w:left w:val="none" w:sz="0" w:space="0" w:color="auto"/>
        <w:bottom w:val="none" w:sz="0" w:space="0" w:color="auto"/>
        <w:right w:val="none" w:sz="0" w:space="0" w:color="auto"/>
      </w:divBdr>
    </w:div>
    <w:div w:id="912351788">
      <w:bodyDiv w:val="1"/>
      <w:marLeft w:val="0"/>
      <w:marRight w:val="0"/>
      <w:marTop w:val="0"/>
      <w:marBottom w:val="0"/>
      <w:divBdr>
        <w:top w:val="none" w:sz="0" w:space="0" w:color="auto"/>
        <w:left w:val="none" w:sz="0" w:space="0" w:color="auto"/>
        <w:bottom w:val="none" w:sz="0" w:space="0" w:color="auto"/>
        <w:right w:val="none" w:sz="0" w:space="0" w:color="auto"/>
      </w:divBdr>
    </w:div>
    <w:div w:id="948240810">
      <w:bodyDiv w:val="1"/>
      <w:marLeft w:val="0"/>
      <w:marRight w:val="0"/>
      <w:marTop w:val="0"/>
      <w:marBottom w:val="0"/>
      <w:divBdr>
        <w:top w:val="none" w:sz="0" w:space="0" w:color="auto"/>
        <w:left w:val="none" w:sz="0" w:space="0" w:color="auto"/>
        <w:bottom w:val="none" w:sz="0" w:space="0" w:color="auto"/>
        <w:right w:val="none" w:sz="0" w:space="0" w:color="auto"/>
      </w:divBdr>
    </w:div>
    <w:div w:id="957831072">
      <w:bodyDiv w:val="1"/>
      <w:marLeft w:val="0"/>
      <w:marRight w:val="0"/>
      <w:marTop w:val="0"/>
      <w:marBottom w:val="0"/>
      <w:divBdr>
        <w:top w:val="none" w:sz="0" w:space="0" w:color="auto"/>
        <w:left w:val="none" w:sz="0" w:space="0" w:color="auto"/>
        <w:bottom w:val="none" w:sz="0" w:space="0" w:color="auto"/>
        <w:right w:val="none" w:sz="0" w:space="0" w:color="auto"/>
      </w:divBdr>
    </w:div>
    <w:div w:id="977220976">
      <w:bodyDiv w:val="1"/>
      <w:marLeft w:val="0"/>
      <w:marRight w:val="0"/>
      <w:marTop w:val="0"/>
      <w:marBottom w:val="0"/>
      <w:divBdr>
        <w:top w:val="none" w:sz="0" w:space="0" w:color="auto"/>
        <w:left w:val="none" w:sz="0" w:space="0" w:color="auto"/>
        <w:bottom w:val="none" w:sz="0" w:space="0" w:color="auto"/>
        <w:right w:val="none" w:sz="0" w:space="0" w:color="auto"/>
      </w:divBdr>
    </w:div>
    <w:div w:id="984236240">
      <w:bodyDiv w:val="1"/>
      <w:marLeft w:val="0"/>
      <w:marRight w:val="0"/>
      <w:marTop w:val="0"/>
      <w:marBottom w:val="0"/>
      <w:divBdr>
        <w:top w:val="none" w:sz="0" w:space="0" w:color="auto"/>
        <w:left w:val="none" w:sz="0" w:space="0" w:color="auto"/>
        <w:bottom w:val="none" w:sz="0" w:space="0" w:color="auto"/>
        <w:right w:val="none" w:sz="0" w:space="0" w:color="auto"/>
      </w:divBdr>
    </w:div>
    <w:div w:id="989486021">
      <w:bodyDiv w:val="1"/>
      <w:marLeft w:val="0"/>
      <w:marRight w:val="0"/>
      <w:marTop w:val="0"/>
      <w:marBottom w:val="0"/>
      <w:divBdr>
        <w:top w:val="none" w:sz="0" w:space="0" w:color="auto"/>
        <w:left w:val="none" w:sz="0" w:space="0" w:color="auto"/>
        <w:bottom w:val="none" w:sz="0" w:space="0" w:color="auto"/>
        <w:right w:val="none" w:sz="0" w:space="0" w:color="auto"/>
      </w:divBdr>
    </w:div>
    <w:div w:id="991059901">
      <w:bodyDiv w:val="1"/>
      <w:marLeft w:val="0"/>
      <w:marRight w:val="0"/>
      <w:marTop w:val="0"/>
      <w:marBottom w:val="0"/>
      <w:divBdr>
        <w:top w:val="none" w:sz="0" w:space="0" w:color="auto"/>
        <w:left w:val="none" w:sz="0" w:space="0" w:color="auto"/>
        <w:bottom w:val="none" w:sz="0" w:space="0" w:color="auto"/>
        <w:right w:val="none" w:sz="0" w:space="0" w:color="auto"/>
      </w:divBdr>
    </w:div>
    <w:div w:id="1009989676">
      <w:bodyDiv w:val="1"/>
      <w:marLeft w:val="0"/>
      <w:marRight w:val="0"/>
      <w:marTop w:val="0"/>
      <w:marBottom w:val="0"/>
      <w:divBdr>
        <w:top w:val="none" w:sz="0" w:space="0" w:color="auto"/>
        <w:left w:val="none" w:sz="0" w:space="0" w:color="auto"/>
        <w:bottom w:val="none" w:sz="0" w:space="0" w:color="auto"/>
        <w:right w:val="none" w:sz="0" w:space="0" w:color="auto"/>
      </w:divBdr>
    </w:div>
    <w:div w:id="1012872779">
      <w:bodyDiv w:val="1"/>
      <w:marLeft w:val="0"/>
      <w:marRight w:val="0"/>
      <w:marTop w:val="0"/>
      <w:marBottom w:val="0"/>
      <w:divBdr>
        <w:top w:val="none" w:sz="0" w:space="0" w:color="auto"/>
        <w:left w:val="none" w:sz="0" w:space="0" w:color="auto"/>
        <w:bottom w:val="none" w:sz="0" w:space="0" w:color="auto"/>
        <w:right w:val="none" w:sz="0" w:space="0" w:color="auto"/>
      </w:divBdr>
    </w:div>
    <w:div w:id="1022437927">
      <w:bodyDiv w:val="1"/>
      <w:marLeft w:val="0"/>
      <w:marRight w:val="0"/>
      <w:marTop w:val="0"/>
      <w:marBottom w:val="0"/>
      <w:divBdr>
        <w:top w:val="none" w:sz="0" w:space="0" w:color="auto"/>
        <w:left w:val="none" w:sz="0" w:space="0" w:color="auto"/>
        <w:bottom w:val="none" w:sz="0" w:space="0" w:color="auto"/>
        <w:right w:val="none" w:sz="0" w:space="0" w:color="auto"/>
      </w:divBdr>
    </w:div>
    <w:div w:id="1031491328">
      <w:bodyDiv w:val="1"/>
      <w:marLeft w:val="0"/>
      <w:marRight w:val="0"/>
      <w:marTop w:val="0"/>
      <w:marBottom w:val="0"/>
      <w:divBdr>
        <w:top w:val="none" w:sz="0" w:space="0" w:color="auto"/>
        <w:left w:val="none" w:sz="0" w:space="0" w:color="auto"/>
        <w:bottom w:val="none" w:sz="0" w:space="0" w:color="auto"/>
        <w:right w:val="none" w:sz="0" w:space="0" w:color="auto"/>
      </w:divBdr>
    </w:div>
    <w:div w:id="1031491787">
      <w:bodyDiv w:val="1"/>
      <w:marLeft w:val="0"/>
      <w:marRight w:val="0"/>
      <w:marTop w:val="0"/>
      <w:marBottom w:val="0"/>
      <w:divBdr>
        <w:top w:val="none" w:sz="0" w:space="0" w:color="auto"/>
        <w:left w:val="none" w:sz="0" w:space="0" w:color="auto"/>
        <w:bottom w:val="none" w:sz="0" w:space="0" w:color="auto"/>
        <w:right w:val="none" w:sz="0" w:space="0" w:color="auto"/>
      </w:divBdr>
    </w:div>
    <w:div w:id="1033455196">
      <w:bodyDiv w:val="1"/>
      <w:marLeft w:val="0"/>
      <w:marRight w:val="0"/>
      <w:marTop w:val="0"/>
      <w:marBottom w:val="0"/>
      <w:divBdr>
        <w:top w:val="none" w:sz="0" w:space="0" w:color="auto"/>
        <w:left w:val="none" w:sz="0" w:space="0" w:color="auto"/>
        <w:bottom w:val="none" w:sz="0" w:space="0" w:color="auto"/>
        <w:right w:val="none" w:sz="0" w:space="0" w:color="auto"/>
      </w:divBdr>
    </w:div>
    <w:div w:id="1075513513">
      <w:bodyDiv w:val="1"/>
      <w:marLeft w:val="0"/>
      <w:marRight w:val="0"/>
      <w:marTop w:val="0"/>
      <w:marBottom w:val="0"/>
      <w:divBdr>
        <w:top w:val="none" w:sz="0" w:space="0" w:color="auto"/>
        <w:left w:val="none" w:sz="0" w:space="0" w:color="auto"/>
        <w:bottom w:val="none" w:sz="0" w:space="0" w:color="auto"/>
        <w:right w:val="none" w:sz="0" w:space="0" w:color="auto"/>
      </w:divBdr>
    </w:div>
    <w:div w:id="1083143768">
      <w:bodyDiv w:val="1"/>
      <w:marLeft w:val="0"/>
      <w:marRight w:val="0"/>
      <w:marTop w:val="0"/>
      <w:marBottom w:val="0"/>
      <w:divBdr>
        <w:top w:val="none" w:sz="0" w:space="0" w:color="auto"/>
        <w:left w:val="none" w:sz="0" w:space="0" w:color="auto"/>
        <w:bottom w:val="none" w:sz="0" w:space="0" w:color="auto"/>
        <w:right w:val="none" w:sz="0" w:space="0" w:color="auto"/>
      </w:divBdr>
    </w:div>
    <w:div w:id="1099302456">
      <w:bodyDiv w:val="1"/>
      <w:marLeft w:val="0"/>
      <w:marRight w:val="0"/>
      <w:marTop w:val="0"/>
      <w:marBottom w:val="0"/>
      <w:divBdr>
        <w:top w:val="none" w:sz="0" w:space="0" w:color="auto"/>
        <w:left w:val="none" w:sz="0" w:space="0" w:color="auto"/>
        <w:bottom w:val="none" w:sz="0" w:space="0" w:color="auto"/>
        <w:right w:val="none" w:sz="0" w:space="0" w:color="auto"/>
      </w:divBdr>
    </w:div>
    <w:div w:id="1125195861">
      <w:bodyDiv w:val="1"/>
      <w:marLeft w:val="0"/>
      <w:marRight w:val="0"/>
      <w:marTop w:val="0"/>
      <w:marBottom w:val="0"/>
      <w:divBdr>
        <w:top w:val="none" w:sz="0" w:space="0" w:color="auto"/>
        <w:left w:val="none" w:sz="0" w:space="0" w:color="auto"/>
        <w:bottom w:val="none" w:sz="0" w:space="0" w:color="auto"/>
        <w:right w:val="none" w:sz="0" w:space="0" w:color="auto"/>
      </w:divBdr>
    </w:div>
    <w:div w:id="1126506774">
      <w:bodyDiv w:val="1"/>
      <w:marLeft w:val="0"/>
      <w:marRight w:val="0"/>
      <w:marTop w:val="0"/>
      <w:marBottom w:val="0"/>
      <w:divBdr>
        <w:top w:val="none" w:sz="0" w:space="0" w:color="auto"/>
        <w:left w:val="none" w:sz="0" w:space="0" w:color="auto"/>
        <w:bottom w:val="none" w:sz="0" w:space="0" w:color="auto"/>
        <w:right w:val="none" w:sz="0" w:space="0" w:color="auto"/>
      </w:divBdr>
    </w:div>
    <w:div w:id="1149905381">
      <w:bodyDiv w:val="1"/>
      <w:marLeft w:val="0"/>
      <w:marRight w:val="0"/>
      <w:marTop w:val="0"/>
      <w:marBottom w:val="0"/>
      <w:divBdr>
        <w:top w:val="none" w:sz="0" w:space="0" w:color="auto"/>
        <w:left w:val="none" w:sz="0" w:space="0" w:color="auto"/>
        <w:bottom w:val="none" w:sz="0" w:space="0" w:color="auto"/>
        <w:right w:val="none" w:sz="0" w:space="0" w:color="auto"/>
      </w:divBdr>
    </w:div>
    <w:div w:id="1218977728">
      <w:bodyDiv w:val="1"/>
      <w:marLeft w:val="0"/>
      <w:marRight w:val="0"/>
      <w:marTop w:val="0"/>
      <w:marBottom w:val="0"/>
      <w:divBdr>
        <w:top w:val="none" w:sz="0" w:space="0" w:color="auto"/>
        <w:left w:val="none" w:sz="0" w:space="0" w:color="auto"/>
        <w:bottom w:val="none" w:sz="0" w:space="0" w:color="auto"/>
        <w:right w:val="none" w:sz="0" w:space="0" w:color="auto"/>
      </w:divBdr>
    </w:div>
    <w:div w:id="1245719913">
      <w:bodyDiv w:val="1"/>
      <w:marLeft w:val="0"/>
      <w:marRight w:val="0"/>
      <w:marTop w:val="0"/>
      <w:marBottom w:val="0"/>
      <w:divBdr>
        <w:top w:val="none" w:sz="0" w:space="0" w:color="auto"/>
        <w:left w:val="none" w:sz="0" w:space="0" w:color="auto"/>
        <w:bottom w:val="none" w:sz="0" w:space="0" w:color="auto"/>
        <w:right w:val="none" w:sz="0" w:space="0" w:color="auto"/>
      </w:divBdr>
    </w:div>
    <w:div w:id="1247034023">
      <w:bodyDiv w:val="1"/>
      <w:marLeft w:val="0"/>
      <w:marRight w:val="0"/>
      <w:marTop w:val="0"/>
      <w:marBottom w:val="0"/>
      <w:divBdr>
        <w:top w:val="none" w:sz="0" w:space="0" w:color="auto"/>
        <w:left w:val="none" w:sz="0" w:space="0" w:color="auto"/>
        <w:bottom w:val="none" w:sz="0" w:space="0" w:color="auto"/>
        <w:right w:val="none" w:sz="0" w:space="0" w:color="auto"/>
      </w:divBdr>
    </w:div>
    <w:div w:id="1248342925">
      <w:bodyDiv w:val="1"/>
      <w:marLeft w:val="0"/>
      <w:marRight w:val="0"/>
      <w:marTop w:val="0"/>
      <w:marBottom w:val="0"/>
      <w:divBdr>
        <w:top w:val="none" w:sz="0" w:space="0" w:color="auto"/>
        <w:left w:val="none" w:sz="0" w:space="0" w:color="auto"/>
        <w:bottom w:val="none" w:sz="0" w:space="0" w:color="auto"/>
        <w:right w:val="none" w:sz="0" w:space="0" w:color="auto"/>
      </w:divBdr>
    </w:div>
    <w:div w:id="1264655788">
      <w:bodyDiv w:val="1"/>
      <w:marLeft w:val="0"/>
      <w:marRight w:val="0"/>
      <w:marTop w:val="0"/>
      <w:marBottom w:val="0"/>
      <w:divBdr>
        <w:top w:val="none" w:sz="0" w:space="0" w:color="auto"/>
        <w:left w:val="none" w:sz="0" w:space="0" w:color="auto"/>
        <w:bottom w:val="none" w:sz="0" w:space="0" w:color="auto"/>
        <w:right w:val="none" w:sz="0" w:space="0" w:color="auto"/>
      </w:divBdr>
    </w:div>
    <w:div w:id="1267226759">
      <w:bodyDiv w:val="1"/>
      <w:marLeft w:val="0"/>
      <w:marRight w:val="0"/>
      <w:marTop w:val="0"/>
      <w:marBottom w:val="0"/>
      <w:divBdr>
        <w:top w:val="none" w:sz="0" w:space="0" w:color="auto"/>
        <w:left w:val="none" w:sz="0" w:space="0" w:color="auto"/>
        <w:bottom w:val="none" w:sz="0" w:space="0" w:color="auto"/>
        <w:right w:val="none" w:sz="0" w:space="0" w:color="auto"/>
      </w:divBdr>
    </w:div>
    <w:div w:id="1307665402">
      <w:bodyDiv w:val="1"/>
      <w:marLeft w:val="0"/>
      <w:marRight w:val="0"/>
      <w:marTop w:val="0"/>
      <w:marBottom w:val="0"/>
      <w:divBdr>
        <w:top w:val="none" w:sz="0" w:space="0" w:color="auto"/>
        <w:left w:val="none" w:sz="0" w:space="0" w:color="auto"/>
        <w:bottom w:val="none" w:sz="0" w:space="0" w:color="auto"/>
        <w:right w:val="none" w:sz="0" w:space="0" w:color="auto"/>
      </w:divBdr>
    </w:div>
    <w:div w:id="1312753063">
      <w:bodyDiv w:val="1"/>
      <w:marLeft w:val="0"/>
      <w:marRight w:val="0"/>
      <w:marTop w:val="0"/>
      <w:marBottom w:val="0"/>
      <w:divBdr>
        <w:top w:val="none" w:sz="0" w:space="0" w:color="auto"/>
        <w:left w:val="none" w:sz="0" w:space="0" w:color="auto"/>
        <w:bottom w:val="none" w:sz="0" w:space="0" w:color="auto"/>
        <w:right w:val="none" w:sz="0" w:space="0" w:color="auto"/>
      </w:divBdr>
    </w:div>
    <w:div w:id="1336153733">
      <w:bodyDiv w:val="1"/>
      <w:marLeft w:val="0"/>
      <w:marRight w:val="0"/>
      <w:marTop w:val="0"/>
      <w:marBottom w:val="0"/>
      <w:divBdr>
        <w:top w:val="none" w:sz="0" w:space="0" w:color="auto"/>
        <w:left w:val="none" w:sz="0" w:space="0" w:color="auto"/>
        <w:bottom w:val="none" w:sz="0" w:space="0" w:color="auto"/>
        <w:right w:val="none" w:sz="0" w:space="0" w:color="auto"/>
      </w:divBdr>
    </w:div>
    <w:div w:id="1339621534">
      <w:bodyDiv w:val="1"/>
      <w:marLeft w:val="0"/>
      <w:marRight w:val="0"/>
      <w:marTop w:val="0"/>
      <w:marBottom w:val="0"/>
      <w:divBdr>
        <w:top w:val="none" w:sz="0" w:space="0" w:color="auto"/>
        <w:left w:val="none" w:sz="0" w:space="0" w:color="auto"/>
        <w:bottom w:val="none" w:sz="0" w:space="0" w:color="auto"/>
        <w:right w:val="none" w:sz="0" w:space="0" w:color="auto"/>
      </w:divBdr>
    </w:div>
    <w:div w:id="1353993768">
      <w:bodyDiv w:val="1"/>
      <w:marLeft w:val="0"/>
      <w:marRight w:val="0"/>
      <w:marTop w:val="0"/>
      <w:marBottom w:val="0"/>
      <w:divBdr>
        <w:top w:val="none" w:sz="0" w:space="0" w:color="auto"/>
        <w:left w:val="none" w:sz="0" w:space="0" w:color="auto"/>
        <w:bottom w:val="none" w:sz="0" w:space="0" w:color="auto"/>
        <w:right w:val="none" w:sz="0" w:space="0" w:color="auto"/>
      </w:divBdr>
    </w:div>
    <w:div w:id="1372150263">
      <w:bodyDiv w:val="1"/>
      <w:marLeft w:val="0"/>
      <w:marRight w:val="0"/>
      <w:marTop w:val="0"/>
      <w:marBottom w:val="0"/>
      <w:divBdr>
        <w:top w:val="none" w:sz="0" w:space="0" w:color="auto"/>
        <w:left w:val="none" w:sz="0" w:space="0" w:color="auto"/>
        <w:bottom w:val="none" w:sz="0" w:space="0" w:color="auto"/>
        <w:right w:val="none" w:sz="0" w:space="0" w:color="auto"/>
      </w:divBdr>
    </w:div>
    <w:div w:id="1372267013">
      <w:bodyDiv w:val="1"/>
      <w:marLeft w:val="0"/>
      <w:marRight w:val="0"/>
      <w:marTop w:val="0"/>
      <w:marBottom w:val="0"/>
      <w:divBdr>
        <w:top w:val="none" w:sz="0" w:space="0" w:color="auto"/>
        <w:left w:val="none" w:sz="0" w:space="0" w:color="auto"/>
        <w:bottom w:val="none" w:sz="0" w:space="0" w:color="auto"/>
        <w:right w:val="none" w:sz="0" w:space="0" w:color="auto"/>
      </w:divBdr>
    </w:div>
    <w:div w:id="1379862275">
      <w:bodyDiv w:val="1"/>
      <w:marLeft w:val="0"/>
      <w:marRight w:val="0"/>
      <w:marTop w:val="0"/>
      <w:marBottom w:val="0"/>
      <w:divBdr>
        <w:top w:val="none" w:sz="0" w:space="0" w:color="auto"/>
        <w:left w:val="none" w:sz="0" w:space="0" w:color="auto"/>
        <w:bottom w:val="none" w:sz="0" w:space="0" w:color="auto"/>
        <w:right w:val="none" w:sz="0" w:space="0" w:color="auto"/>
      </w:divBdr>
    </w:div>
    <w:div w:id="1380395661">
      <w:bodyDiv w:val="1"/>
      <w:marLeft w:val="0"/>
      <w:marRight w:val="0"/>
      <w:marTop w:val="0"/>
      <w:marBottom w:val="0"/>
      <w:divBdr>
        <w:top w:val="none" w:sz="0" w:space="0" w:color="auto"/>
        <w:left w:val="none" w:sz="0" w:space="0" w:color="auto"/>
        <w:bottom w:val="none" w:sz="0" w:space="0" w:color="auto"/>
        <w:right w:val="none" w:sz="0" w:space="0" w:color="auto"/>
      </w:divBdr>
    </w:div>
    <w:div w:id="1389374782">
      <w:bodyDiv w:val="1"/>
      <w:marLeft w:val="0"/>
      <w:marRight w:val="0"/>
      <w:marTop w:val="0"/>
      <w:marBottom w:val="0"/>
      <w:divBdr>
        <w:top w:val="none" w:sz="0" w:space="0" w:color="auto"/>
        <w:left w:val="none" w:sz="0" w:space="0" w:color="auto"/>
        <w:bottom w:val="none" w:sz="0" w:space="0" w:color="auto"/>
        <w:right w:val="none" w:sz="0" w:space="0" w:color="auto"/>
      </w:divBdr>
    </w:div>
    <w:div w:id="1405882877">
      <w:bodyDiv w:val="1"/>
      <w:marLeft w:val="0"/>
      <w:marRight w:val="0"/>
      <w:marTop w:val="0"/>
      <w:marBottom w:val="0"/>
      <w:divBdr>
        <w:top w:val="none" w:sz="0" w:space="0" w:color="auto"/>
        <w:left w:val="none" w:sz="0" w:space="0" w:color="auto"/>
        <w:bottom w:val="none" w:sz="0" w:space="0" w:color="auto"/>
        <w:right w:val="none" w:sz="0" w:space="0" w:color="auto"/>
      </w:divBdr>
    </w:div>
    <w:div w:id="1420639819">
      <w:bodyDiv w:val="1"/>
      <w:marLeft w:val="0"/>
      <w:marRight w:val="0"/>
      <w:marTop w:val="0"/>
      <w:marBottom w:val="0"/>
      <w:divBdr>
        <w:top w:val="none" w:sz="0" w:space="0" w:color="auto"/>
        <w:left w:val="none" w:sz="0" w:space="0" w:color="auto"/>
        <w:bottom w:val="none" w:sz="0" w:space="0" w:color="auto"/>
        <w:right w:val="none" w:sz="0" w:space="0" w:color="auto"/>
      </w:divBdr>
    </w:div>
    <w:div w:id="1425879976">
      <w:bodyDiv w:val="1"/>
      <w:marLeft w:val="0"/>
      <w:marRight w:val="0"/>
      <w:marTop w:val="0"/>
      <w:marBottom w:val="0"/>
      <w:divBdr>
        <w:top w:val="none" w:sz="0" w:space="0" w:color="auto"/>
        <w:left w:val="none" w:sz="0" w:space="0" w:color="auto"/>
        <w:bottom w:val="none" w:sz="0" w:space="0" w:color="auto"/>
        <w:right w:val="none" w:sz="0" w:space="0" w:color="auto"/>
      </w:divBdr>
    </w:div>
    <w:div w:id="1454708075">
      <w:bodyDiv w:val="1"/>
      <w:marLeft w:val="0"/>
      <w:marRight w:val="0"/>
      <w:marTop w:val="0"/>
      <w:marBottom w:val="0"/>
      <w:divBdr>
        <w:top w:val="none" w:sz="0" w:space="0" w:color="auto"/>
        <w:left w:val="none" w:sz="0" w:space="0" w:color="auto"/>
        <w:bottom w:val="none" w:sz="0" w:space="0" w:color="auto"/>
        <w:right w:val="none" w:sz="0" w:space="0" w:color="auto"/>
      </w:divBdr>
    </w:div>
    <w:div w:id="1501196371">
      <w:bodyDiv w:val="1"/>
      <w:marLeft w:val="0"/>
      <w:marRight w:val="0"/>
      <w:marTop w:val="0"/>
      <w:marBottom w:val="0"/>
      <w:divBdr>
        <w:top w:val="none" w:sz="0" w:space="0" w:color="auto"/>
        <w:left w:val="none" w:sz="0" w:space="0" w:color="auto"/>
        <w:bottom w:val="none" w:sz="0" w:space="0" w:color="auto"/>
        <w:right w:val="none" w:sz="0" w:space="0" w:color="auto"/>
      </w:divBdr>
    </w:div>
    <w:div w:id="1514223632">
      <w:bodyDiv w:val="1"/>
      <w:marLeft w:val="0"/>
      <w:marRight w:val="0"/>
      <w:marTop w:val="0"/>
      <w:marBottom w:val="0"/>
      <w:divBdr>
        <w:top w:val="none" w:sz="0" w:space="0" w:color="auto"/>
        <w:left w:val="none" w:sz="0" w:space="0" w:color="auto"/>
        <w:bottom w:val="none" w:sz="0" w:space="0" w:color="auto"/>
        <w:right w:val="none" w:sz="0" w:space="0" w:color="auto"/>
      </w:divBdr>
    </w:div>
    <w:div w:id="1593198501">
      <w:bodyDiv w:val="1"/>
      <w:marLeft w:val="0"/>
      <w:marRight w:val="0"/>
      <w:marTop w:val="0"/>
      <w:marBottom w:val="0"/>
      <w:divBdr>
        <w:top w:val="none" w:sz="0" w:space="0" w:color="auto"/>
        <w:left w:val="none" w:sz="0" w:space="0" w:color="auto"/>
        <w:bottom w:val="none" w:sz="0" w:space="0" w:color="auto"/>
        <w:right w:val="none" w:sz="0" w:space="0" w:color="auto"/>
      </w:divBdr>
    </w:div>
    <w:div w:id="1602832772">
      <w:bodyDiv w:val="1"/>
      <w:marLeft w:val="0"/>
      <w:marRight w:val="0"/>
      <w:marTop w:val="0"/>
      <w:marBottom w:val="0"/>
      <w:divBdr>
        <w:top w:val="none" w:sz="0" w:space="0" w:color="auto"/>
        <w:left w:val="none" w:sz="0" w:space="0" w:color="auto"/>
        <w:bottom w:val="none" w:sz="0" w:space="0" w:color="auto"/>
        <w:right w:val="none" w:sz="0" w:space="0" w:color="auto"/>
      </w:divBdr>
    </w:div>
    <w:div w:id="1603997531">
      <w:bodyDiv w:val="1"/>
      <w:marLeft w:val="0"/>
      <w:marRight w:val="0"/>
      <w:marTop w:val="0"/>
      <w:marBottom w:val="0"/>
      <w:divBdr>
        <w:top w:val="none" w:sz="0" w:space="0" w:color="auto"/>
        <w:left w:val="none" w:sz="0" w:space="0" w:color="auto"/>
        <w:bottom w:val="none" w:sz="0" w:space="0" w:color="auto"/>
        <w:right w:val="none" w:sz="0" w:space="0" w:color="auto"/>
      </w:divBdr>
    </w:div>
    <w:div w:id="1635913032">
      <w:bodyDiv w:val="1"/>
      <w:marLeft w:val="0"/>
      <w:marRight w:val="0"/>
      <w:marTop w:val="0"/>
      <w:marBottom w:val="0"/>
      <w:divBdr>
        <w:top w:val="none" w:sz="0" w:space="0" w:color="auto"/>
        <w:left w:val="none" w:sz="0" w:space="0" w:color="auto"/>
        <w:bottom w:val="none" w:sz="0" w:space="0" w:color="auto"/>
        <w:right w:val="none" w:sz="0" w:space="0" w:color="auto"/>
      </w:divBdr>
    </w:div>
    <w:div w:id="1638946291">
      <w:bodyDiv w:val="1"/>
      <w:marLeft w:val="0"/>
      <w:marRight w:val="0"/>
      <w:marTop w:val="0"/>
      <w:marBottom w:val="0"/>
      <w:divBdr>
        <w:top w:val="none" w:sz="0" w:space="0" w:color="auto"/>
        <w:left w:val="none" w:sz="0" w:space="0" w:color="auto"/>
        <w:bottom w:val="none" w:sz="0" w:space="0" w:color="auto"/>
        <w:right w:val="none" w:sz="0" w:space="0" w:color="auto"/>
      </w:divBdr>
    </w:div>
    <w:div w:id="1664309080">
      <w:bodyDiv w:val="1"/>
      <w:marLeft w:val="0"/>
      <w:marRight w:val="0"/>
      <w:marTop w:val="0"/>
      <w:marBottom w:val="0"/>
      <w:divBdr>
        <w:top w:val="none" w:sz="0" w:space="0" w:color="auto"/>
        <w:left w:val="none" w:sz="0" w:space="0" w:color="auto"/>
        <w:bottom w:val="none" w:sz="0" w:space="0" w:color="auto"/>
        <w:right w:val="none" w:sz="0" w:space="0" w:color="auto"/>
      </w:divBdr>
    </w:div>
    <w:div w:id="1664553126">
      <w:bodyDiv w:val="1"/>
      <w:marLeft w:val="0"/>
      <w:marRight w:val="0"/>
      <w:marTop w:val="0"/>
      <w:marBottom w:val="0"/>
      <w:divBdr>
        <w:top w:val="none" w:sz="0" w:space="0" w:color="auto"/>
        <w:left w:val="none" w:sz="0" w:space="0" w:color="auto"/>
        <w:bottom w:val="none" w:sz="0" w:space="0" w:color="auto"/>
        <w:right w:val="none" w:sz="0" w:space="0" w:color="auto"/>
      </w:divBdr>
    </w:div>
    <w:div w:id="1665159783">
      <w:bodyDiv w:val="1"/>
      <w:marLeft w:val="0"/>
      <w:marRight w:val="0"/>
      <w:marTop w:val="0"/>
      <w:marBottom w:val="0"/>
      <w:divBdr>
        <w:top w:val="none" w:sz="0" w:space="0" w:color="auto"/>
        <w:left w:val="none" w:sz="0" w:space="0" w:color="auto"/>
        <w:bottom w:val="none" w:sz="0" w:space="0" w:color="auto"/>
        <w:right w:val="none" w:sz="0" w:space="0" w:color="auto"/>
      </w:divBdr>
    </w:div>
    <w:div w:id="1667974051">
      <w:bodyDiv w:val="1"/>
      <w:marLeft w:val="0"/>
      <w:marRight w:val="0"/>
      <w:marTop w:val="0"/>
      <w:marBottom w:val="0"/>
      <w:divBdr>
        <w:top w:val="none" w:sz="0" w:space="0" w:color="auto"/>
        <w:left w:val="none" w:sz="0" w:space="0" w:color="auto"/>
        <w:bottom w:val="none" w:sz="0" w:space="0" w:color="auto"/>
        <w:right w:val="none" w:sz="0" w:space="0" w:color="auto"/>
      </w:divBdr>
    </w:div>
    <w:div w:id="1684163421">
      <w:bodyDiv w:val="1"/>
      <w:marLeft w:val="0"/>
      <w:marRight w:val="0"/>
      <w:marTop w:val="0"/>
      <w:marBottom w:val="0"/>
      <w:divBdr>
        <w:top w:val="none" w:sz="0" w:space="0" w:color="auto"/>
        <w:left w:val="none" w:sz="0" w:space="0" w:color="auto"/>
        <w:bottom w:val="none" w:sz="0" w:space="0" w:color="auto"/>
        <w:right w:val="none" w:sz="0" w:space="0" w:color="auto"/>
      </w:divBdr>
    </w:div>
    <w:div w:id="1726180463">
      <w:bodyDiv w:val="1"/>
      <w:marLeft w:val="0"/>
      <w:marRight w:val="0"/>
      <w:marTop w:val="0"/>
      <w:marBottom w:val="0"/>
      <w:divBdr>
        <w:top w:val="none" w:sz="0" w:space="0" w:color="auto"/>
        <w:left w:val="none" w:sz="0" w:space="0" w:color="auto"/>
        <w:bottom w:val="none" w:sz="0" w:space="0" w:color="auto"/>
        <w:right w:val="none" w:sz="0" w:space="0" w:color="auto"/>
      </w:divBdr>
    </w:div>
    <w:div w:id="1739816065">
      <w:bodyDiv w:val="1"/>
      <w:marLeft w:val="0"/>
      <w:marRight w:val="0"/>
      <w:marTop w:val="0"/>
      <w:marBottom w:val="0"/>
      <w:divBdr>
        <w:top w:val="none" w:sz="0" w:space="0" w:color="auto"/>
        <w:left w:val="none" w:sz="0" w:space="0" w:color="auto"/>
        <w:bottom w:val="none" w:sz="0" w:space="0" w:color="auto"/>
        <w:right w:val="none" w:sz="0" w:space="0" w:color="auto"/>
      </w:divBdr>
    </w:div>
    <w:div w:id="1748576491">
      <w:bodyDiv w:val="1"/>
      <w:marLeft w:val="0"/>
      <w:marRight w:val="0"/>
      <w:marTop w:val="0"/>
      <w:marBottom w:val="0"/>
      <w:divBdr>
        <w:top w:val="none" w:sz="0" w:space="0" w:color="auto"/>
        <w:left w:val="none" w:sz="0" w:space="0" w:color="auto"/>
        <w:bottom w:val="none" w:sz="0" w:space="0" w:color="auto"/>
        <w:right w:val="none" w:sz="0" w:space="0" w:color="auto"/>
      </w:divBdr>
    </w:div>
    <w:div w:id="1751853418">
      <w:bodyDiv w:val="1"/>
      <w:marLeft w:val="0"/>
      <w:marRight w:val="0"/>
      <w:marTop w:val="0"/>
      <w:marBottom w:val="0"/>
      <w:divBdr>
        <w:top w:val="none" w:sz="0" w:space="0" w:color="auto"/>
        <w:left w:val="none" w:sz="0" w:space="0" w:color="auto"/>
        <w:bottom w:val="none" w:sz="0" w:space="0" w:color="auto"/>
        <w:right w:val="none" w:sz="0" w:space="0" w:color="auto"/>
      </w:divBdr>
    </w:div>
    <w:div w:id="1760635289">
      <w:bodyDiv w:val="1"/>
      <w:marLeft w:val="0"/>
      <w:marRight w:val="0"/>
      <w:marTop w:val="0"/>
      <w:marBottom w:val="0"/>
      <w:divBdr>
        <w:top w:val="none" w:sz="0" w:space="0" w:color="auto"/>
        <w:left w:val="none" w:sz="0" w:space="0" w:color="auto"/>
        <w:bottom w:val="none" w:sz="0" w:space="0" w:color="auto"/>
        <w:right w:val="none" w:sz="0" w:space="0" w:color="auto"/>
      </w:divBdr>
    </w:div>
    <w:div w:id="1783843956">
      <w:bodyDiv w:val="1"/>
      <w:marLeft w:val="0"/>
      <w:marRight w:val="0"/>
      <w:marTop w:val="0"/>
      <w:marBottom w:val="0"/>
      <w:divBdr>
        <w:top w:val="none" w:sz="0" w:space="0" w:color="auto"/>
        <w:left w:val="none" w:sz="0" w:space="0" w:color="auto"/>
        <w:bottom w:val="none" w:sz="0" w:space="0" w:color="auto"/>
        <w:right w:val="none" w:sz="0" w:space="0" w:color="auto"/>
      </w:divBdr>
    </w:div>
    <w:div w:id="1843087944">
      <w:bodyDiv w:val="1"/>
      <w:marLeft w:val="0"/>
      <w:marRight w:val="0"/>
      <w:marTop w:val="0"/>
      <w:marBottom w:val="0"/>
      <w:divBdr>
        <w:top w:val="none" w:sz="0" w:space="0" w:color="auto"/>
        <w:left w:val="none" w:sz="0" w:space="0" w:color="auto"/>
        <w:bottom w:val="none" w:sz="0" w:space="0" w:color="auto"/>
        <w:right w:val="none" w:sz="0" w:space="0" w:color="auto"/>
      </w:divBdr>
    </w:div>
    <w:div w:id="1849101727">
      <w:bodyDiv w:val="1"/>
      <w:marLeft w:val="0"/>
      <w:marRight w:val="0"/>
      <w:marTop w:val="0"/>
      <w:marBottom w:val="0"/>
      <w:divBdr>
        <w:top w:val="none" w:sz="0" w:space="0" w:color="auto"/>
        <w:left w:val="none" w:sz="0" w:space="0" w:color="auto"/>
        <w:bottom w:val="none" w:sz="0" w:space="0" w:color="auto"/>
        <w:right w:val="none" w:sz="0" w:space="0" w:color="auto"/>
      </w:divBdr>
    </w:div>
    <w:div w:id="1854806505">
      <w:bodyDiv w:val="1"/>
      <w:marLeft w:val="0"/>
      <w:marRight w:val="0"/>
      <w:marTop w:val="0"/>
      <w:marBottom w:val="0"/>
      <w:divBdr>
        <w:top w:val="none" w:sz="0" w:space="0" w:color="auto"/>
        <w:left w:val="none" w:sz="0" w:space="0" w:color="auto"/>
        <w:bottom w:val="none" w:sz="0" w:space="0" w:color="auto"/>
        <w:right w:val="none" w:sz="0" w:space="0" w:color="auto"/>
      </w:divBdr>
    </w:div>
    <w:div w:id="1862669747">
      <w:bodyDiv w:val="1"/>
      <w:marLeft w:val="0"/>
      <w:marRight w:val="0"/>
      <w:marTop w:val="0"/>
      <w:marBottom w:val="0"/>
      <w:divBdr>
        <w:top w:val="none" w:sz="0" w:space="0" w:color="auto"/>
        <w:left w:val="none" w:sz="0" w:space="0" w:color="auto"/>
        <w:bottom w:val="none" w:sz="0" w:space="0" w:color="auto"/>
        <w:right w:val="none" w:sz="0" w:space="0" w:color="auto"/>
      </w:divBdr>
    </w:div>
    <w:div w:id="1866013932">
      <w:bodyDiv w:val="1"/>
      <w:marLeft w:val="0"/>
      <w:marRight w:val="0"/>
      <w:marTop w:val="0"/>
      <w:marBottom w:val="0"/>
      <w:divBdr>
        <w:top w:val="none" w:sz="0" w:space="0" w:color="auto"/>
        <w:left w:val="none" w:sz="0" w:space="0" w:color="auto"/>
        <w:bottom w:val="none" w:sz="0" w:space="0" w:color="auto"/>
        <w:right w:val="none" w:sz="0" w:space="0" w:color="auto"/>
      </w:divBdr>
    </w:div>
    <w:div w:id="1866743877">
      <w:bodyDiv w:val="1"/>
      <w:marLeft w:val="0"/>
      <w:marRight w:val="0"/>
      <w:marTop w:val="0"/>
      <w:marBottom w:val="0"/>
      <w:divBdr>
        <w:top w:val="none" w:sz="0" w:space="0" w:color="auto"/>
        <w:left w:val="none" w:sz="0" w:space="0" w:color="auto"/>
        <w:bottom w:val="none" w:sz="0" w:space="0" w:color="auto"/>
        <w:right w:val="none" w:sz="0" w:space="0" w:color="auto"/>
      </w:divBdr>
    </w:div>
    <w:div w:id="1868835848">
      <w:bodyDiv w:val="1"/>
      <w:marLeft w:val="0"/>
      <w:marRight w:val="0"/>
      <w:marTop w:val="0"/>
      <w:marBottom w:val="0"/>
      <w:divBdr>
        <w:top w:val="none" w:sz="0" w:space="0" w:color="auto"/>
        <w:left w:val="none" w:sz="0" w:space="0" w:color="auto"/>
        <w:bottom w:val="none" w:sz="0" w:space="0" w:color="auto"/>
        <w:right w:val="none" w:sz="0" w:space="0" w:color="auto"/>
      </w:divBdr>
    </w:div>
    <w:div w:id="1897664118">
      <w:bodyDiv w:val="1"/>
      <w:marLeft w:val="0"/>
      <w:marRight w:val="0"/>
      <w:marTop w:val="0"/>
      <w:marBottom w:val="0"/>
      <w:divBdr>
        <w:top w:val="none" w:sz="0" w:space="0" w:color="auto"/>
        <w:left w:val="none" w:sz="0" w:space="0" w:color="auto"/>
        <w:bottom w:val="none" w:sz="0" w:space="0" w:color="auto"/>
        <w:right w:val="none" w:sz="0" w:space="0" w:color="auto"/>
      </w:divBdr>
    </w:div>
    <w:div w:id="1898740117">
      <w:bodyDiv w:val="1"/>
      <w:marLeft w:val="0"/>
      <w:marRight w:val="0"/>
      <w:marTop w:val="0"/>
      <w:marBottom w:val="0"/>
      <w:divBdr>
        <w:top w:val="none" w:sz="0" w:space="0" w:color="auto"/>
        <w:left w:val="none" w:sz="0" w:space="0" w:color="auto"/>
        <w:bottom w:val="none" w:sz="0" w:space="0" w:color="auto"/>
        <w:right w:val="none" w:sz="0" w:space="0" w:color="auto"/>
      </w:divBdr>
    </w:div>
    <w:div w:id="1902981275">
      <w:bodyDiv w:val="1"/>
      <w:marLeft w:val="0"/>
      <w:marRight w:val="0"/>
      <w:marTop w:val="0"/>
      <w:marBottom w:val="0"/>
      <w:divBdr>
        <w:top w:val="none" w:sz="0" w:space="0" w:color="auto"/>
        <w:left w:val="none" w:sz="0" w:space="0" w:color="auto"/>
        <w:bottom w:val="none" w:sz="0" w:space="0" w:color="auto"/>
        <w:right w:val="none" w:sz="0" w:space="0" w:color="auto"/>
      </w:divBdr>
    </w:div>
    <w:div w:id="1904753363">
      <w:bodyDiv w:val="1"/>
      <w:marLeft w:val="0"/>
      <w:marRight w:val="0"/>
      <w:marTop w:val="0"/>
      <w:marBottom w:val="0"/>
      <w:divBdr>
        <w:top w:val="none" w:sz="0" w:space="0" w:color="auto"/>
        <w:left w:val="none" w:sz="0" w:space="0" w:color="auto"/>
        <w:bottom w:val="none" w:sz="0" w:space="0" w:color="auto"/>
        <w:right w:val="none" w:sz="0" w:space="0" w:color="auto"/>
      </w:divBdr>
    </w:div>
    <w:div w:id="1962686547">
      <w:bodyDiv w:val="1"/>
      <w:marLeft w:val="0"/>
      <w:marRight w:val="0"/>
      <w:marTop w:val="0"/>
      <w:marBottom w:val="0"/>
      <w:divBdr>
        <w:top w:val="none" w:sz="0" w:space="0" w:color="auto"/>
        <w:left w:val="none" w:sz="0" w:space="0" w:color="auto"/>
        <w:bottom w:val="none" w:sz="0" w:space="0" w:color="auto"/>
        <w:right w:val="none" w:sz="0" w:space="0" w:color="auto"/>
      </w:divBdr>
    </w:div>
    <w:div w:id="1964725202">
      <w:bodyDiv w:val="1"/>
      <w:marLeft w:val="0"/>
      <w:marRight w:val="0"/>
      <w:marTop w:val="0"/>
      <w:marBottom w:val="0"/>
      <w:divBdr>
        <w:top w:val="none" w:sz="0" w:space="0" w:color="auto"/>
        <w:left w:val="none" w:sz="0" w:space="0" w:color="auto"/>
        <w:bottom w:val="none" w:sz="0" w:space="0" w:color="auto"/>
        <w:right w:val="none" w:sz="0" w:space="0" w:color="auto"/>
      </w:divBdr>
    </w:div>
    <w:div w:id="1966499746">
      <w:bodyDiv w:val="1"/>
      <w:marLeft w:val="0"/>
      <w:marRight w:val="0"/>
      <w:marTop w:val="0"/>
      <w:marBottom w:val="0"/>
      <w:divBdr>
        <w:top w:val="none" w:sz="0" w:space="0" w:color="auto"/>
        <w:left w:val="none" w:sz="0" w:space="0" w:color="auto"/>
        <w:bottom w:val="none" w:sz="0" w:space="0" w:color="auto"/>
        <w:right w:val="none" w:sz="0" w:space="0" w:color="auto"/>
      </w:divBdr>
    </w:div>
    <w:div w:id="1973246082">
      <w:bodyDiv w:val="1"/>
      <w:marLeft w:val="0"/>
      <w:marRight w:val="0"/>
      <w:marTop w:val="0"/>
      <w:marBottom w:val="0"/>
      <w:divBdr>
        <w:top w:val="none" w:sz="0" w:space="0" w:color="auto"/>
        <w:left w:val="none" w:sz="0" w:space="0" w:color="auto"/>
        <w:bottom w:val="none" w:sz="0" w:space="0" w:color="auto"/>
        <w:right w:val="none" w:sz="0" w:space="0" w:color="auto"/>
      </w:divBdr>
    </w:div>
    <w:div w:id="2008826771">
      <w:bodyDiv w:val="1"/>
      <w:marLeft w:val="0"/>
      <w:marRight w:val="0"/>
      <w:marTop w:val="0"/>
      <w:marBottom w:val="0"/>
      <w:divBdr>
        <w:top w:val="none" w:sz="0" w:space="0" w:color="auto"/>
        <w:left w:val="none" w:sz="0" w:space="0" w:color="auto"/>
        <w:bottom w:val="none" w:sz="0" w:space="0" w:color="auto"/>
        <w:right w:val="none" w:sz="0" w:space="0" w:color="auto"/>
      </w:divBdr>
    </w:div>
    <w:div w:id="2038004000">
      <w:bodyDiv w:val="1"/>
      <w:marLeft w:val="0"/>
      <w:marRight w:val="0"/>
      <w:marTop w:val="0"/>
      <w:marBottom w:val="0"/>
      <w:divBdr>
        <w:top w:val="none" w:sz="0" w:space="0" w:color="auto"/>
        <w:left w:val="none" w:sz="0" w:space="0" w:color="auto"/>
        <w:bottom w:val="none" w:sz="0" w:space="0" w:color="auto"/>
        <w:right w:val="none" w:sz="0" w:space="0" w:color="auto"/>
      </w:divBdr>
    </w:div>
    <w:div w:id="2038114274">
      <w:bodyDiv w:val="1"/>
      <w:marLeft w:val="0"/>
      <w:marRight w:val="0"/>
      <w:marTop w:val="0"/>
      <w:marBottom w:val="0"/>
      <w:divBdr>
        <w:top w:val="none" w:sz="0" w:space="0" w:color="auto"/>
        <w:left w:val="none" w:sz="0" w:space="0" w:color="auto"/>
        <w:bottom w:val="none" w:sz="0" w:space="0" w:color="auto"/>
        <w:right w:val="none" w:sz="0" w:space="0" w:color="auto"/>
      </w:divBdr>
    </w:div>
    <w:div w:id="2039701834">
      <w:bodyDiv w:val="1"/>
      <w:marLeft w:val="0"/>
      <w:marRight w:val="0"/>
      <w:marTop w:val="0"/>
      <w:marBottom w:val="0"/>
      <w:divBdr>
        <w:top w:val="none" w:sz="0" w:space="0" w:color="auto"/>
        <w:left w:val="none" w:sz="0" w:space="0" w:color="auto"/>
        <w:bottom w:val="none" w:sz="0" w:space="0" w:color="auto"/>
        <w:right w:val="none" w:sz="0" w:space="0" w:color="auto"/>
      </w:divBdr>
    </w:div>
    <w:div w:id="2040349093">
      <w:bodyDiv w:val="1"/>
      <w:marLeft w:val="0"/>
      <w:marRight w:val="0"/>
      <w:marTop w:val="0"/>
      <w:marBottom w:val="0"/>
      <w:divBdr>
        <w:top w:val="none" w:sz="0" w:space="0" w:color="auto"/>
        <w:left w:val="none" w:sz="0" w:space="0" w:color="auto"/>
        <w:bottom w:val="none" w:sz="0" w:space="0" w:color="auto"/>
        <w:right w:val="none" w:sz="0" w:space="0" w:color="auto"/>
      </w:divBdr>
    </w:div>
    <w:div w:id="2042238275">
      <w:bodyDiv w:val="1"/>
      <w:marLeft w:val="0"/>
      <w:marRight w:val="0"/>
      <w:marTop w:val="0"/>
      <w:marBottom w:val="0"/>
      <w:divBdr>
        <w:top w:val="none" w:sz="0" w:space="0" w:color="auto"/>
        <w:left w:val="none" w:sz="0" w:space="0" w:color="auto"/>
        <w:bottom w:val="none" w:sz="0" w:space="0" w:color="auto"/>
        <w:right w:val="none" w:sz="0" w:space="0" w:color="auto"/>
      </w:divBdr>
    </w:div>
    <w:div w:id="2052610413">
      <w:bodyDiv w:val="1"/>
      <w:marLeft w:val="0"/>
      <w:marRight w:val="0"/>
      <w:marTop w:val="0"/>
      <w:marBottom w:val="0"/>
      <w:divBdr>
        <w:top w:val="none" w:sz="0" w:space="0" w:color="auto"/>
        <w:left w:val="none" w:sz="0" w:space="0" w:color="auto"/>
        <w:bottom w:val="none" w:sz="0" w:space="0" w:color="auto"/>
        <w:right w:val="none" w:sz="0" w:space="0" w:color="auto"/>
      </w:divBdr>
    </w:div>
    <w:div w:id="2089034834">
      <w:bodyDiv w:val="1"/>
      <w:marLeft w:val="0"/>
      <w:marRight w:val="0"/>
      <w:marTop w:val="0"/>
      <w:marBottom w:val="0"/>
      <w:divBdr>
        <w:top w:val="none" w:sz="0" w:space="0" w:color="auto"/>
        <w:left w:val="none" w:sz="0" w:space="0" w:color="auto"/>
        <w:bottom w:val="none" w:sz="0" w:space="0" w:color="auto"/>
        <w:right w:val="none" w:sz="0" w:space="0" w:color="auto"/>
      </w:divBdr>
    </w:div>
    <w:div w:id="2092045798">
      <w:bodyDiv w:val="1"/>
      <w:marLeft w:val="0"/>
      <w:marRight w:val="0"/>
      <w:marTop w:val="0"/>
      <w:marBottom w:val="0"/>
      <w:divBdr>
        <w:top w:val="none" w:sz="0" w:space="0" w:color="auto"/>
        <w:left w:val="none" w:sz="0" w:space="0" w:color="auto"/>
        <w:bottom w:val="none" w:sz="0" w:space="0" w:color="auto"/>
        <w:right w:val="none" w:sz="0" w:space="0" w:color="auto"/>
      </w:divBdr>
    </w:div>
    <w:div w:id="2095199479">
      <w:bodyDiv w:val="1"/>
      <w:marLeft w:val="0"/>
      <w:marRight w:val="0"/>
      <w:marTop w:val="0"/>
      <w:marBottom w:val="0"/>
      <w:divBdr>
        <w:top w:val="none" w:sz="0" w:space="0" w:color="auto"/>
        <w:left w:val="none" w:sz="0" w:space="0" w:color="auto"/>
        <w:bottom w:val="none" w:sz="0" w:space="0" w:color="auto"/>
        <w:right w:val="none" w:sz="0" w:space="0" w:color="auto"/>
      </w:divBdr>
    </w:div>
    <w:div w:id="2115974705">
      <w:bodyDiv w:val="1"/>
      <w:marLeft w:val="0"/>
      <w:marRight w:val="0"/>
      <w:marTop w:val="0"/>
      <w:marBottom w:val="0"/>
      <w:divBdr>
        <w:top w:val="none" w:sz="0" w:space="0" w:color="auto"/>
        <w:left w:val="none" w:sz="0" w:space="0" w:color="auto"/>
        <w:bottom w:val="none" w:sz="0" w:space="0" w:color="auto"/>
        <w:right w:val="none" w:sz="0" w:space="0" w:color="auto"/>
      </w:divBdr>
    </w:div>
    <w:div w:id="2121416600">
      <w:bodyDiv w:val="1"/>
      <w:marLeft w:val="0"/>
      <w:marRight w:val="0"/>
      <w:marTop w:val="0"/>
      <w:marBottom w:val="0"/>
      <w:divBdr>
        <w:top w:val="none" w:sz="0" w:space="0" w:color="auto"/>
        <w:left w:val="none" w:sz="0" w:space="0" w:color="auto"/>
        <w:bottom w:val="none" w:sz="0" w:space="0" w:color="auto"/>
        <w:right w:val="none" w:sz="0" w:space="0" w:color="auto"/>
      </w:divBdr>
    </w:div>
    <w:div w:id="212318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ila.mahdi@med.helwan.edu.eg" TargetMode="External"/><Relationship Id="rId13" Type="http://schemas.openxmlformats.org/officeDocument/2006/relationships/footer" Target="footer1.xml"/><Relationship Id="rId18" Type="http://schemas.openxmlformats.org/officeDocument/2006/relationships/image" Target="media/image5.png"/><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ncbi.nlm.nih.gov/pubmed/?term=Cao%20X%5BAuthor%5D&amp;cauthor=true&amp;cauthor_uid=262778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cbj100420.02"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cancerbio.net" TargetMode="External"/><Relationship Id="rId19" Type="http://schemas.openxmlformats.org/officeDocument/2006/relationships/hyperlink" Target="https://www.ncbi.nlm.nih.gov/pubmed/?term=Zhang%20Y%5BAuthor%5D&amp;cauthor=true&amp;cauthor_uid=26277893" TargetMode="External"/><Relationship Id="rId4" Type="http://schemas.openxmlformats.org/officeDocument/2006/relationships/settings" Target="settings.xml"/><Relationship Id="rId9" Type="http://schemas.openxmlformats.org/officeDocument/2006/relationships/hyperlink" Target="mailto:lailamahdi15@yahoo.com" TargetMode="Externa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FBBA3-A675-4606-BA16-336E936B0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20401</Words>
  <Characters>116292</Characters>
  <Application>Microsoft Office Word</Application>
  <DocSecurity>0</DocSecurity>
  <Lines>969</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5</cp:revision>
  <cp:lastPrinted>2020-10-27T06:53:00Z</cp:lastPrinted>
  <dcterms:created xsi:type="dcterms:W3CDTF">2020-11-23T09:25:00Z</dcterms:created>
  <dcterms:modified xsi:type="dcterms:W3CDTF">2020-11-24T00:41:00Z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03384cbf-7699-3b99-a1cd-b67be065af04</vt:lpwstr>
  </property>
  <property fmtid="{D5CDD505-2E9C-101B-9397-08002B2CF9AE}" pid="24" name="Mendeley Citation Style_1">
    <vt:lpwstr>http://www.zotero.org/styles/harvard-cite-them-right</vt:lpwstr>
  </property>
</Properties>
</file>