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13" w:rsidRPr="00C673E0" w:rsidRDefault="00644513" w:rsidP="00644513">
      <w:pPr>
        <w:snapToGrid w:val="0"/>
        <w:spacing w:after="0" w:line="240" w:lineRule="auto"/>
        <w:jc w:val="center"/>
        <w:rPr>
          <w:rFonts w:ascii="Times New Roman" w:hAnsi="Times New Roman"/>
          <w:b/>
          <w:bCs/>
          <w:sz w:val="20"/>
          <w:szCs w:val="20"/>
          <w:lang w:eastAsia="zh-CN"/>
        </w:rPr>
      </w:pPr>
    </w:p>
    <w:p w:rsidR="003E3F44" w:rsidRPr="00C673E0" w:rsidRDefault="007E0E4D" w:rsidP="00644513">
      <w:pPr>
        <w:snapToGrid w:val="0"/>
        <w:spacing w:after="0" w:line="240" w:lineRule="auto"/>
        <w:jc w:val="center"/>
        <w:rPr>
          <w:rFonts w:ascii="Times New Roman" w:hAnsi="Times New Roman"/>
          <w:b/>
          <w:bCs/>
          <w:sz w:val="20"/>
          <w:szCs w:val="20"/>
        </w:rPr>
      </w:pPr>
      <w:r w:rsidRPr="00C673E0">
        <w:rPr>
          <w:rFonts w:ascii="Times New Roman" w:hAnsi="Times New Roman"/>
          <w:b/>
          <w:bCs/>
          <w:sz w:val="20"/>
          <w:szCs w:val="20"/>
        </w:rPr>
        <w:t>Role of lincRNA-p21 and lncRNA-H19 in multiple sclerosis disease</w:t>
      </w:r>
    </w:p>
    <w:p w:rsidR="003E3F44" w:rsidRPr="00C673E0" w:rsidRDefault="003E3F44" w:rsidP="00644513">
      <w:pPr>
        <w:snapToGrid w:val="0"/>
        <w:spacing w:after="0" w:line="240" w:lineRule="auto"/>
        <w:jc w:val="center"/>
        <w:rPr>
          <w:rFonts w:ascii="Times New Roman" w:hAnsi="Times New Roman"/>
          <w:b/>
          <w:bCs/>
          <w:sz w:val="20"/>
          <w:szCs w:val="20"/>
        </w:rPr>
      </w:pPr>
    </w:p>
    <w:p w:rsidR="003E3F44" w:rsidRPr="00C673E0" w:rsidRDefault="007E0E4D" w:rsidP="00644513">
      <w:pPr>
        <w:tabs>
          <w:tab w:val="left" w:pos="2941"/>
        </w:tabs>
        <w:snapToGrid w:val="0"/>
        <w:spacing w:after="0" w:line="240" w:lineRule="auto"/>
        <w:jc w:val="center"/>
        <w:rPr>
          <w:rFonts w:ascii="Times New Roman" w:hAnsi="Times New Roman"/>
          <w:sz w:val="20"/>
          <w:szCs w:val="20"/>
        </w:rPr>
      </w:pPr>
      <w:r w:rsidRPr="00C673E0">
        <w:rPr>
          <w:rFonts w:ascii="Times New Roman" w:hAnsi="Times New Roman"/>
          <w:sz w:val="20"/>
          <w:szCs w:val="20"/>
        </w:rPr>
        <w:t>Laila M. Meber</w:t>
      </w:r>
      <w:r w:rsidRPr="00C673E0">
        <w:rPr>
          <w:rFonts w:ascii="Times New Roman" w:hAnsi="Times New Roman"/>
          <w:sz w:val="20"/>
          <w:szCs w:val="20"/>
          <w:vertAlign w:val="superscript"/>
        </w:rPr>
        <w:t>1</w:t>
      </w:r>
      <w:r w:rsidRPr="00C673E0">
        <w:rPr>
          <w:rFonts w:ascii="Times New Roman" w:hAnsi="Times New Roman"/>
          <w:sz w:val="20"/>
          <w:szCs w:val="20"/>
        </w:rPr>
        <w:t>. Olfat G. Shaker</w:t>
      </w:r>
      <w:r w:rsidRPr="00C673E0">
        <w:rPr>
          <w:rFonts w:ascii="Times New Roman" w:hAnsi="Times New Roman"/>
          <w:sz w:val="20"/>
          <w:szCs w:val="20"/>
          <w:vertAlign w:val="superscript"/>
        </w:rPr>
        <w:t>2</w:t>
      </w:r>
      <w:r w:rsidRPr="00C673E0">
        <w:rPr>
          <w:rFonts w:ascii="Times New Roman" w:hAnsi="Times New Roman"/>
          <w:sz w:val="20"/>
          <w:szCs w:val="20"/>
        </w:rPr>
        <w:t xml:space="preserve">. Amr H. El-Sayed </w:t>
      </w:r>
      <w:r w:rsidRPr="00C673E0">
        <w:rPr>
          <w:rFonts w:ascii="Times New Roman" w:hAnsi="Times New Roman"/>
          <w:sz w:val="20"/>
          <w:szCs w:val="20"/>
          <w:vertAlign w:val="superscript"/>
        </w:rPr>
        <w:t>3</w:t>
      </w:r>
      <w:r w:rsidRPr="00C673E0">
        <w:rPr>
          <w:rFonts w:ascii="Times New Roman" w:hAnsi="Times New Roman"/>
          <w:sz w:val="20"/>
          <w:szCs w:val="20"/>
        </w:rPr>
        <w:t xml:space="preserve">. Nermien </w:t>
      </w:r>
      <w:r w:rsidR="00076291" w:rsidRPr="00C673E0">
        <w:rPr>
          <w:rFonts w:ascii="Times New Roman" w:hAnsi="Times New Roman"/>
          <w:sz w:val="20"/>
          <w:szCs w:val="20"/>
        </w:rPr>
        <w:t xml:space="preserve">E. </w:t>
      </w:r>
      <w:r w:rsidRPr="00C673E0">
        <w:rPr>
          <w:rFonts w:ascii="Times New Roman" w:hAnsi="Times New Roman"/>
          <w:sz w:val="20"/>
          <w:szCs w:val="20"/>
        </w:rPr>
        <w:t>Waly,</w:t>
      </w:r>
      <w:r w:rsidR="00076291" w:rsidRPr="00C673E0">
        <w:rPr>
          <w:rFonts w:ascii="Times New Roman" w:hAnsi="Times New Roman"/>
          <w:sz w:val="20"/>
          <w:szCs w:val="20"/>
        </w:rPr>
        <w:t xml:space="preserve"> </w:t>
      </w:r>
      <w:r w:rsidRPr="00C673E0">
        <w:rPr>
          <w:rFonts w:ascii="Times New Roman" w:hAnsi="Times New Roman"/>
          <w:sz w:val="20"/>
          <w:szCs w:val="20"/>
        </w:rPr>
        <w:t xml:space="preserve">MD, PhD </w:t>
      </w:r>
      <w:r w:rsidRPr="00C673E0">
        <w:rPr>
          <w:rFonts w:ascii="Times New Roman" w:hAnsi="Times New Roman"/>
          <w:sz w:val="20"/>
          <w:szCs w:val="20"/>
          <w:vertAlign w:val="superscript"/>
        </w:rPr>
        <w:t>4,5</w:t>
      </w:r>
      <w:r w:rsidRPr="00C673E0">
        <w:rPr>
          <w:rFonts w:ascii="Times New Roman" w:hAnsi="Times New Roman"/>
          <w:sz w:val="20"/>
          <w:szCs w:val="20"/>
        </w:rPr>
        <w:t>.</w:t>
      </w:r>
    </w:p>
    <w:p w:rsidR="003E3F44" w:rsidRPr="00C673E0" w:rsidRDefault="003E3F44" w:rsidP="00644513">
      <w:pPr>
        <w:tabs>
          <w:tab w:val="left" w:pos="2941"/>
        </w:tabs>
        <w:snapToGrid w:val="0"/>
        <w:spacing w:after="0" w:line="240" w:lineRule="auto"/>
        <w:jc w:val="center"/>
        <w:rPr>
          <w:rFonts w:ascii="Times New Roman" w:hAnsi="Times New Roman"/>
          <w:sz w:val="20"/>
          <w:szCs w:val="20"/>
        </w:rPr>
      </w:pPr>
    </w:p>
    <w:p w:rsidR="007E0E4D" w:rsidRPr="00C673E0" w:rsidRDefault="007E0E4D" w:rsidP="00644513">
      <w:pPr>
        <w:tabs>
          <w:tab w:val="left" w:pos="2941"/>
        </w:tabs>
        <w:snapToGrid w:val="0"/>
        <w:spacing w:after="0" w:line="240" w:lineRule="auto"/>
        <w:jc w:val="center"/>
        <w:rPr>
          <w:rFonts w:ascii="Times New Roman" w:hAnsi="Times New Roman"/>
          <w:sz w:val="20"/>
          <w:szCs w:val="20"/>
        </w:rPr>
      </w:pPr>
      <w:r w:rsidRPr="00C673E0">
        <w:rPr>
          <w:rFonts w:ascii="Times New Roman" w:hAnsi="Times New Roman"/>
          <w:sz w:val="20"/>
          <w:szCs w:val="20"/>
          <w:vertAlign w:val="superscript"/>
        </w:rPr>
        <w:t>1</w:t>
      </w:r>
      <w:r w:rsidRPr="00C673E0">
        <w:rPr>
          <w:rFonts w:ascii="Times New Roman" w:hAnsi="Times New Roman"/>
          <w:sz w:val="20"/>
          <w:szCs w:val="20"/>
        </w:rPr>
        <w:t xml:space="preserve"> </w:t>
      </w:r>
      <w:r w:rsidR="00B873DA" w:rsidRPr="00C673E0">
        <w:rPr>
          <w:rFonts w:ascii="Times New Roman" w:hAnsi="Times New Roman"/>
          <w:sz w:val="20"/>
          <w:szCs w:val="20"/>
        </w:rPr>
        <w:t>Assistant lecturer</w:t>
      </w:r>
      <w:r w:rsidR="003E3F44" w:rsidRPr="00C673E0">
        <w:rPr>
          <w:rFonts w:ascii="Times New Roman" w:hAnsi="Times New Roman"/>
          <w:sz w:val="20"/>
          <w:szCs w:val="20"/>
        </w:rPr>
        <w:t>,</w:t>
      </w:r>
      <w:r w:rsidR="00B873DA" w:rsidRPr="00C673E0">
        <w:rPr>
          <w:rFonts w:ascii="Times New Roman" w:hAnsi="Times New Roman"/>
          <w:sz w:val="20"/>
          <w:szCs w:val="20"/>
        </w:rPr>
        <w:t xml:space="preserve"> </w:t>
      </w:r>
      <w:r w:rsidRPr="00C673E0">
        <w:rPr>
          <w:rFonts w:ascii="Times New Roman" w:hAnsi="Times New Roman"/>
          <w:sz w:val="20"/>
          <w:szCs w:val="20"/>
        </w:rPr>
        <w:t>Department of Medical Biochemistry</w:t>
      </w:r>
      <w:r w:rsidR="003E3F44" w:rsidRPr="00C673E0">
        <w:rPr>
          <w:rFonts w:ascii="Times New Roman" w:hAnsi="Times New Roman"/>
          <w:sz w:val="20"/>
          <w:szCs w:val="20"/>
        </w:rPr>
        <w:t xml:space="preserve"> &amp; </w:t>
      </w:r>
      <w:r w:rsidRPr="00C673E0">
        <w:rPr>
          <w:rFonts w:ascii="Times New Roman" w:hAnsi="Times New Roman"/>
          <w:sz w:val="20"/>
          <w:szCs w:val="20"/>
        </w:rPr>
        <w:t xml:space="preserve">Molecular Biology, Faculty of Medicine, Helwan University, Ain-Helwan, Cairo, Egypt. </w:t>
      </w:r>
    </w:p>
    <w:p w:rsidR="007E0E4D" w:rsidRPr="00C673E0" w:rsidRDefault="007E0E4D" w:rsidP="00644513">
      <w:pPr>
        <w:autoSpaceDE w:val="0"/>
        <w:autoSpaceDN w:val="0"/>
        <w:adjustRightInd w:val="0"/>
        <w:snapToGrid w:val="0"/>
        <w:spacing w:after="0" w:line="240" w:lineRule="auto"/>
        <w:jc w:val="center"/>
        <w:rPr>
          <w:rFonts w:ascii="Times New Roman" w:eastAsia="MS Mincho" w:hAnsi="Times New Roman"/>
          <w:sz w:val="20"/>
          <w:szCs w:val="20"/>
        </w:rPr>
      </w:pPr>
      <w:r w:rsidRPr="00C673E0">
        <w:rPr>
          <w:rFonts w:ascii="Times New Roman" w:eastAsia="MS Mincho" w:hAnsi="Times New Roman"/>
          <w:sz w:val="20"/>
          <w:szCs w:val="20"/>
          <w:vertAlign w:val="superscript"/>
        </w:rPr>
        <w:t>2</w:t>
      </w:r>
      <w:r w:rsidRPr="00C673E0">
        <w:rPr>
          <w:rFonts w:ascii="Times New Roman" w:eastAsia="MS Mincho" w:hAnsi="Times New Roman"/>
          <w:sz w:val="20"/>
          <w:szCs w:val="20"/>
        </w:rPr>
        <w:t xml:space="preserve"> </w:t>
      </w:r>
      <w:r w:rsidR="00B873DA" w:rsidRPr="00C673E0">
        <w:rPr>
          <w:rFonts w:ascii="Times New Roman" w:eastAsia="MS Mincho" w:hAnsi="Times New Roman"/>
          <w:sz w:val="20"/>
          <w:szCs w:val="20"/>
        </w:rPr>
        <w:t>Professor,</w:t>
      </w:r>
      <w:r w:rsidR="003E3F44" w:rsidRPr="00C673E0">
        <w:rPr>
          <w:rFonts w:ascii="Times New Roman" w:hAnsi="Times New Roman"/>
          <w:i/>
          <w:iCs/>
          <w:sz w:val="20"/>
          <w:szCs w:val="20"/>
        </w:rPr>
        <w:t xml:space="preserve"> </w:t>
      </w:r>
      <w:r w:rsidRPr="00C673E0">
        <w:rPr>
          <w:rFonts w:ascii="Times New Roman" w:eastAsia="MS Mincho" w:hAnsi="Times New Roman"/>
          <w:sz w:val="20"/>
          <w:szCs w:val="20"/>
        </w:rPr>
        <w:t>Department of Medical Biochemistry</w:t>
      </w:r>
      <w:r w:rsidR="003E3F44" w:rsidRPr="00C673E0">
        <w:rPr>
          <w:rFonts w:ascii="Times New Roman" w:eastAsia="MS Mincho" w:hAnsi="Times New Roman"/>
          <w:sz w:val="20"/>
          <w:szCs w:val="20"/>
        </w:rPr>
        <w:t xml:space="preserve"> &amp; </w:t>
      </w:r>
      <w:r w:rsidRPr="00C673E0">
        <w:rPr>
          <w:rFonts w:ascii="Times New Roman" w:eastAsia="MS Mincho" w:hAnsi="Times New Roman"/>
          <w:sz w:val="20"/>
          <w:szCs w:val="20"/>
        </w:rPr>
        <w:t>Molecular Biology, Faculty of Medicine, Cairo University, Cairo, Egypt.</w:t>
      </w:r>
    </w:p>
    <w:p w:rsidR="007E0E4D" w:rsidRPr="00C673E0" w:rsidRDefault="007E0E4D" w:rsidP="00644513">
      <w:pPr>
        <w:autoSpaceDE w:val="0"/>
        <w:autoSpaceDN w:val="0"/>
        <w:adjustRightInd w:val="0"/>
        <w:snapToGrid w:val="0"/>
        <w:spacing w:after="0" w:line="240" w:lineRule="auto"/>
        <w:jc w:val="center"/>
        <w:rPr>
          <w:rFonts w:ascii="Times New Roman" w:eastAsia="MS Mincho" w:hAnsi="Times New Roman"/>
          <w:sz w:val="20"/>
          <w:szCs w:val="20"/>
        </w:rPr>
      </w:pPr>
      <w:r w:rsidRPr="00C673E0">
        <w:rPr>
          <w:rFonts w:ascii="Times New Roman" w:eastAsia="MS Mincho" w:hAnsi="Times New Roman"/>
          <w:sz w:val="20"/>
          <w:szCs w:val="20"/>
          <w:vertAlign w:val="superscript"/>
        </w:rPr>
        <w:t xml:space="preserve">3 </w:t>
      </w:r>
      <w:r w:rsidR="00B873DA" w:rsidRPr="00C673E0">
        <w:rPr>
          <w:rFonts w:ascii="Times New Roman" w:eastAsia="MS Mincho" w:hAnsi="Times New Roman"/>
          <w:sz w:val="20"/>
          <w:szCs w:val="20"/>
        </w:rPr>
        <w:t xml:space="preserve">Professor, </w:t>
      </w:r>
      <w:r w:rsidRPr="00C673E0">
        <w:rPr>
          <w:rFonts w:ascii="Times New Roman" w:eastAsia="MS Mincho" w:hAnsi="Times New Roman"/>
          <w:sz w:val="20"/>
          <w:szCs w:val="20"/>
        </w:rPr>
        <w:t>Department of Neurology, Faculty of Medicine, Cairo University, Cairo, Egypt.</w:t>
      </w:r>
    </w:p>
    <w:p w:rsidR="007E0E4D" w:rsidRPr="00C673E0" w:rsidRDefault="007E0E4D" w:rsidP="00644513">
      <w:pPr>
        <w:autoSpaceDE w:val="0"/>
        <w:autoSpaceDN w:val="0"/>
        <w:adjustRightInd w:val="0"/>
        <w:snapToGrid w:val="0"/>
        <w:spacing w:after="0" w:line="240" w:lineRule="auto"/>
        <w:jc w:val="center"/>
        <w:rPr>
          <w:rFonts w:ascii="Times New Roman" w:eastAsia="MS Mincho" w:hAnsi="Times New Roman"/>
          <w:sz w:val="20"/>
          <w:szCs w:val="20"/>
        </w:rPr>
      </w:pPr>
      <w:r w:rsidRPr="00C673E0">
        <w:rPr>
          <w:rFonts w:ascii="Times New Roman" w:eastAsia="MS Mincho" w:hAnsi="Times New Roman"/>
          <w:sz w:val="20"/>
          <w:szCs w:val="20"/>
          <w:vertAlign w:val="superscript"/>
        </w:rPr>
        <w:t>4</w:t>
      </w:r>
      <w:r w:rsidRPr="00C673E0">
        <w:rPr>
          <w:rFonts w:ascii="Times New Roman" w:eastAsia="MS Mincho" w:hAnsi="Times New Roman"/>
          <w:sz w:val="20"/>
          <w:szCs w:val="20"/>
        </w:rPr>
        <w:t xml:space="preserve"> </w:t>
      </w:r>
      <w:r w:rsidR="00B873DA" w:rsidRPr="00C673E0">
        <w:rPr>
          <w:rFonts w:ascii="Times New Roman" w:eastAsia="MS Mincho" w:hAnsi="Times New Roman"/>
          <w:sz w:val="20"/>
          <w:szCs w:val="20"/>
        </w:rPr>
        <w:t xml:space="preserve">Associate Professor, </w:t>
      </w:r>
      <w:r w:rsidRPr="00C673E0">
        <w:rPr>
          <w:rFonts w:ascii="Times New Roman" w:eastAsia="MS Mincho" w:hAnsi="Times New Roman"/>
          <w:sz w:val="20"/>
          <w:szCs w:val="20"/>
        </w:rPr>
        <w:t>Department of Physiology, Faculty of Medicine, Helwan University, Ain-Helwan, Cairo, Egypt.</w:t>
      </w:r>
    </w:p>
    <w:p w:rsidR="007E0E4D" w:rsidRPr="00C673E0" w:rsidRDefault="007E0E4D" w:rsidP="00644513">
      <w:pPr>
        <w:snapToGrid w:val="0"/>
        <w:spacing w:after="0" w:line="240" w:lineRule="auto"/>
        <w:jc w:val="center"/>
        <w:rPr>
          <w:rFonts w:ascii="Times New Roman" w:hAnsi="Times New Roman"/>
          <w:sz w:val="20"/>
          <w:szCs w:val="20"/>
        </w:rPr>
      </w:pPr>
      <w:r w:rsidRPr="00C673E0">
        <w:rPr>
          <w:rFonts w:ascii="Times New Roman" w:hAnsi="Times New Roman"/>
          <w:sz w:val="20"/>
          <w:szCs w:val="20"/>
          <w:vertAlign w:val="superscript"/>
        </w:rPr>
        <w:t>5</w:t>
      </w:r>
      <w:r w:rsidRPr="00C673E0">
        <w:rPr>
          <w:rFonts w:ascii="Times New Roman" w:hAnsi="Times New Roman"/>
          <w:sz w:val="20"/>
          <w:szCs w:val="20"/>
        </w:rPr>
        <w:t xml:space="preserve"> Department of Medical Education, Creighton School of Medicine, Creighton University, Omaha, NE, USA 68178</w:t>
      </w:r>
    </w:p>
    <w:p w:rsidR="007E0E4D" w:rsidRPr="00C673E0" w:rsidRDefault="007E0E4D" w:rsidP="00644513">
      <w:pPr>
        <w:snapToGrid w:val="0"/>
        <w:spacing w:after="0" w:line="240" w:lineRule="auto"/>
        <w:jc w:val="center"/>
        <w:rPr>
          <w:rFonts w:ascii="Times New Roman" w:hAnsi="Times New Roman"/>
          <w:sz w:val="20"/>
          <w:szCs w:val="20"/>
        </w:rPr>
      </w:pPr>
      <w:r w:rsidRPr="00C673E0">
        <w:rPr>
          <w:rFonts w:ascii="Times New Roman" w:hAnsi="Times New Roman"/>
          <w:sz w:val="20"/>
          <w:szCs w:val="20"/>
        </w:rPr>
        <w:t xml:space="preserve">*Correspondence to: Laila Mahdi Mohamed Meber </w:t>
      </w:r>
    </w:p>
    <w:p w:rsidR="007E0E4D" w:rsidRPr="00C673E0" w:rsidRDefault="007E0E4D" w:rsidP="00644513">
      <w:pPr>
        <w:snapToGrid w:val="0"/>
        <w:spacing w:after="0" w:line="240" w:lineRule="auto"/>
        <w:jc w:val="center"/>
        <w:rPr>
          <w:rFonts w:ascii="Times New Roman" w:hAnsi="Times New Roman"/>
          <w:sz w:val="20"/>
          <w:szCs w:val="20"/>
        </w:rPr>
      </w:pPr>
      <w:r w:rsidRPr="00C673E0">
        <w:rPr>
          <w:rFonts w:ascii="Times New Roman" w:hAnsi="Times New Roman"/>
          <w:sz w:val="20"/>
          <w:szCs w:val="20"/>
        </w:rPr>
        <w:t>Telephone:</w:t>
      </w:r>
      <w:r w:rsidR="003E3F44" w:rsidRPr="00C673E0">
        <w:rPr>
          <w:rFonts w:ascii="Times New Roman" w:hAnsi="Times New Roman"/>
          <w:sz w:val="20"/>
          <w:szCs w:val="20"/>
        </w:rPr>
        <w:t xml:space="preserve"> </w:t>
      </w:r>
      <w:r w:rsidRPr="00C673E0">
        <w:rPr>
          <w:rFonts w:ascii="Times New Roman" w:hAnsi="Times New Roman"/>
          <w:sz w:val="20"/>
          <w:szCs w:val="20"/>
        </w:rPr>
        <w:t>01066615134</w:t>
      </w:r>
      <w:r w:rsidR="003E3F44" w:rsidRPr="00C673E0">
        <w:rPr>
          <w:rFonts w:ascii="Times New Roman" w:hAnsi="Times New Roman"/>
          <w:sz w:val="20"/>
          <w:szCs w:val="20"/>
        </w:rPr>
        <w:t xml:space="preserve"> </w:t>
      </w:r>
    </w:p>
    <w:p w:rsidR="003E3F44" w:rsidRPr="00C673E0" w:rsidRDefault="007E0E4D" w:rsidP="00644513">
      <w:pPr>
        <w:snapToGrid w:val="0"/>
        <w:spacing w:after="0" w:line="240" w:lineRule="auto"/>
        <w:jc w:val="center"/>
        <w:rPr>
          <w:rFonts w:ascii="Times New Roman" w:eastAsia="Calibri" w:hAnsi="Times New Roman"/>
          <w:bCs/>
          <w:sz w:val="20"/>
          <w:szCs w:val="20"/>
        </w:rPr>
      </w:pPr>
      <w:r w:rsidRPr="00C673E0">
        <w:rPr>
          <w:rFonts w:ascii="Times New Roman" w:hAnsi="Times New Roman"/>
          <w:sz w:val="20"/>
          <w:szCs w:val="20"/>
        </w:rPr>
        <w:t xml:space="preserve">Email: </w:t>
      </w:r>
      <w:hyperlink r:id="rId8" w:history="1">
        <w:r w:rsidRPr="00C673E0">
          <w:rPr>
            <w:rStyle w:val="Hyperlink"/>
            <w:rFonts w:ascii="Times New Roman" w:eastAsia="Calibri" w:hAnsi="Times New Roman"/>
            <w:bCs/>
            <w:sz w:val="20"/>
            <w:szCs w:val="20"/>
          </w:rPr>
          <w:t>laila.mahdi@med.helwan.edu.eg</w:t>
        </w:r>
      </w:hyperlink>
      <w:r w:rsidR="003E3F44" w:rsidRPr="00C673E0">
        <w:rPr>
          <w:rFonts w:ascii="Times New Roman" w:hAnsi="Times New Roman"/>
          <w:sz w:val="20"/>
          <w:szCs w:val="20"/>
          <w:lang w:eastAsia="zh-CN"/>
        </w:rPr>
        <w:t xml:space="preserve">, </w:t>
      </w:r>
      <w:hyperlink r:id="rId9" w:history="1">
        <w:r w:rsidRPr="00C673E0">
          <w:rPr>
            <w:rStyle w:val="Hyperlink"/>
            <w:rFonts w:ascii="Times New Roman" w:eastAsia="Calibri" w:hAnsi="Times New Roman"/>
            <w:bCs/>
            <w:sz w:val="20"/>
            <w:szCs w:val="20"/>
          </w:rPr>
          <w:t>lailamahdi15@yahoo.com</w:t>
        </w:r>
      </w:hyperlink>
    </w:p>
    <w:p w:rsidR="003E3F44" w:rsidRPr="00C673E0" w:rsidRDefault="003E3F44" w:rsidP="00644513">
      <w:pPr>
        <w:snapToGrid w:val="0"/>
        <w:spacing w:after="0" w:line="240" w:lineRule="auto"/>
        <w:jc w:val="center"/>
        <w:rPr>
          <w:rFonts w:ascii="Times New Roman" w:eastAsia="Calibri" w:hAnsi="Times New Roman"/>
          <w:bCs/>
          <w:sz w:val="20"/>
          <w:szCs w:val="20"/>
        </w:rPr>
      </w:pPr>
    </w:p>
    <w:p w:rsidR="00644513" w:rsidRPr="00C673E0" w:rsidRDefault="00644513" w:rsidP="000F71AB">
      <w:pPr>
        <w:snapToGrid w:val="0"/>
        <w:spacing w:after="0" w:line="240" w:lineRule="auto"/>
        <w:jc w:val="both"/>
        <w:rPr>
          <w:rFonts w:ascii="Times New Roman" w:hAnsi="Times New Roman"/>
          <w:sz w:val="20"/>
          <w:szCs w:val="20"/>
        </w:rPr>
      </w:pPr>
      <w:r w:rsidRPr="00C673E0">
        <w:rPr>
          <w:rFonts w:ascii="Times New Roman" w:hAnsi="Times New Roman"/>
          <w:b/>
          <w:bCs/>
          <w:sz w:val="20"/>
          <w:szCs w:val="20"/>
        </w:rPr>
        <w:t>Abstract</w:t>
      </w:r>
      <w:r w:rsidRPr="00C673E0">
        <w:rPr>
          <w:rFonts w:ascii="Times New Roman" w:hAnsi="Times New Roman"/>
          <w:b/>
          <w:bCs/>
          <w:sz w:val="20"/>
          <w:szCs w:val="20"/>
          <w:lang w:eastAsia="zh-CN"/>
        </w:rPr>
        <w:t xml:space="preserve">: </w:t>
      </w:r>
      <w:r w:rsidR="007A5A62" w:rsidRPr="00C673E0">
        <w:rPr>
          <w:rFonts w:ascii="Times New Roman" w:eastAsia="Times New Roman" w:hAnsi="Times New Roman"/>
          <w:sz w:val="20"/>
          <w:szCs w:val="20"/>
        </w:rPr>
        <w:t xml:space="preserve">Multiple sclerosis (MS) is a chronic </w:t>
      </w:r>
      <w:r w:rsidR="0020713C" w:rsidRPr="00C673E0">
        <w:rPr>
          <w:rFonts w:ascii="Times New Roman" w:eastAsia="Times New Roman" w:hAnsi="Times New Roman"/>
          <w:sz w:val="20"/>
          <w:szCs w:val="20"/>
        </w:rPr>
        <w:t>immune-mediated central nervous system (CNS) disorder with several environmental and genetic factors. To participate in the regulation of immune responses, long non</w:t>
      </w:r>
      <w:r w:rsidR="008A7975" w:rsidRPr="00C673E0">
        <w:rPr>
          <w:rFonts w:ascii="Times New Roman" w:eastAsia="Times New Roman" w:hAnsi="Times New Roman"/>
          <w:sz w:val="20"/>
          <w:szCs w:val="20"/>
        </w:rPr>
        <w:t>-</w:t>
      </w:r>
      <w:r w:rsidR="0020713C" w:rsidRPr="00C673E0">
        <w:rPr>
          <w:rFonts w:ascii="Times New Roman" w:eastAsia="Times New Roman" w:hAnsi="Times New Roman"/>
          <w:sz w:val="20"/>
          <w:szCs w:val="20"/>
        </w:rPr>
        <w:t>coding RNAs (lncRNAs) have recently been published.</w:t>
      </w:r>
      <w:r w:rsidR="007A5A62" w:rsidRPr="00C673E0">
        <w:rPr>
          <w:rFonts w:ascii="Times New Roman" w:eastAsia="Times New Roman" w:hAnsi="Times New Roman"/>
          <w:sz w:val="20"/>
          <w:szCs w:val="20"/>
        </w:rPr>
        <w:t xml:space="preserve"> </w:t>
      </w:r>
      <w:r w:rsidR="00161A92" w:rsidRPr="00C673E0">
        <w:rPr>
          <w:rFonts w:ascii="Times New Roman" w:eastAsia="Times New Roman" w:hAnsi="Times New Roman"/>
          <w:sz w:val="20"/>
          <w:szCs w:val="20"/>
        </w:rPr>
        <w:t xml:space="preserve">As a result, aberrant expression of lncRNAs has been proposed as an underlying cause of MS. In the current research, by means of quantitative real-time polymerase chain reaction (PCR), we assessed the expression levels of two lncRNAs with putative functions in the regulation of immune response, namely lncRNA-H19 and lincRNA-p21, in serum of 74 Egyptian patients with MS relative to healthy people. </w:t>
      </w:r>
      <w:r w:rsidR="00E306C8" w:rsidRPr="00C673E0">
        <w:rPr>
          <w:rFonts w:ascii="Times New Roman" w:hAnsi="Times New Roman"/>
          <w:sz w:val="20"/>
          <w:szCs w:val="20"/>
        </w:rPr>
        <w:t xml:space="preserve">Significant </w:t>
      </w:r>
      <w:r w:rsidR="00C673E0" w:rsidRPr="00C673E0">
        <w:rPr>
          <w:rFonts w:ascii="Times New Roman" w:hAnsi="Times New Roman"/>
          <w:sz w:val="20"/>
          <w:szCs w:val="20"/>
        </w:rPr>
        <w:t>down regulation</w:t>
      </w:r>
      <w:r w:rsidR="00E306C8" w:rsidRPr="00C673E0">
        <w:rPr>
          <w:rFonts w:ascii="Times New Roman" w:hAnsi="Times New Roman"/>
          <w:sz w:val="20"/>
          <w:szCs w:val="20"/>
        </w:rPr>
        <w:t xml:space="preserve"> of lncRNA-H19 and lincRNA-P21 expression levels relative to controls in the serum of MS patients was observed (P &lt; 0.001).</w:t>
      </w:r>
      <w:r w:rsidR="00B142D3" w:rsidRPr="00C673E0">
        <w:rPr>
          <w:rFonts w:ascii="Times New Roman" w:hAnsi="Times New Roman"/>
          <w:sz w:val="20"/>
          <w:szCs w:val="20"/>
        </w:rPr>
        <w:t xml:space="preserve"> </w:t>
      </w:r>
      <w:r w:rsidR="0062148C" w:rsidRPr="00C673E0">
        <w:rPr>
          <w:rFonts w:ascii="Times New Roman" w:hAnsi="Times New Roman"/>
          <w:sz w:val="20"/>
          <w:szCs w:val="20"/>
        </w:rPr>
        <w:t xml:space="preserve">Correlation analyses </w:t>
      </w:r>
      <w:r w:rsidR="006C5C13" w:rsidRPr="00C673E0">
        <w:rPr>
          <w:rFonts w:ascii="Times New Roman" w:hAnsi="Times New Roman"/>
          <w:sz w:val="20"/>
          <w:szCs w:val="20"/>
        </w:rPr>
        <w:t>of lncRNA expression levels and MS patient clinical data showed a substantial moderate positive linkage among lincRNA-p21 serum expression levels and the Expanded Disability Status Scale (EDSS), a substantial moderate negative linkage among lncRNA-H19 expression levels and MS onset age and no substantial correlation among these lncRNAs and patient age</w:t>
      </w:r>
      <w:r w:rsidR="0062148C" w:rsidRPr="00C673E0">
        <w:rPr>
          <w:rFonts w:ascii="Times New Roman" w:hAnsi="Times New Roman"/>
          <w:sz w:val="20"/>
          <w:szCs w:val="20"/>
        </w:rPr>
        <w:t xml:space="preserve">. </w:t>
      </w:r>
      <w:r w:rsidR="00A8220A" w:rsidRPr="00C673E0">
        <w:rPr>
          <w:rFonts w:ascii="Times New Roman" w:hAnsi="Times New Roman"/>
          <w:sz w:val="20"/>
          <w:szCs w:val="20"/>
        </w:rPr>
        <w:t xml:space="preserve">Furthermore, we showed </w:t>
      </w:r>
      <w:r w:rsidR="00371706" w:rsidRPr="00C673E0">
        <w:rPr>
          <w:rFonts w:ascii="Times New Roman" w:hAnsi="Times New Roman"/>
          <w:sz w:val="20"/>
          <w:szCs w:val="20"/>
        </w:rPr>
        <w:t xml:space="preserve">no significant correlation </w:t>
      </w:r>
      <w:r w:rsidR="00A8220A" w:rsidRPr="00C673E0">
        <w:rPr>
          <w:rFonts w:ascii="Times New Roman" w:hAnsi="Times New Roman"/>
          <w:sz w:val="20"/>
          <w:szCs w:val="20"/>
        </w:rPr>
        <w:t>among</w:t>
      </w:r>
      <w:r w:rsidR="00371706" w:rsidRPr="00C673E0">
        <w:rPr>
          <w:rFonts w:ascii="Times New Roman" w:hAnsi="Times New Roman"/>
          <w:sz w:val="20"/>
          <w:szCs w:val="20"/>
        </w:rPr>
        <w:t xml:space="preserve"> lncRNA-H19 and lincRNA-p21 serum expression levels</w:t>
      </w:r>
      <w:r w:rsidR="0062148C" w:rsidRPr="00C673E0">
        <w:rPr>
          <w:rFonts w:ascii="Times New Roman" w:hAnsi="Times New Roman"/>
          <w:sz w:val="20"/>
          <w:szCs w:val="20"/>
        </w:rPr>
        <w:t xml:space="preserve">. </w:t>
      </w:r>
      <w:r w:rsidR="00B142D3" w:rsidRPr="00C673E0">
        <w:rPr>
          <w:rFonts w:ascii="Times New Roman" w:hAnsi="Times New Roman"/>
          <w:sz w:val="20"/>
          <w:szCs w:val="20"/>
        </w:rPr>
        <w:t xml:space="preserve">In brief, </w:t>
      </w:r>
      <w:r w:rsidR="0089304A" w:rsidRPr="00C673E0">
        <w:rPr>
          <w:rFonts w:ascii="Times New Roman" w:hAnsi="Times New Roman"/>
          <w:sz w:val="20"/>
          <w:szCs w:val="20"/>
        </w:rPr>
        <w:t>in MS patients, we have shown dysregulation of two lncRNAs. To explore the precise mechanisms through which lncRNAs engage in the regulation of immune responses, more studies are required.</w:t>
      </w:r>
    </w:p>
    <w:p w:rsidR="00644513" w:rsidRPr="00C673E0" w:rsidRDefault="00644513" w:rsidP="000F71AB">
      <w:pPr>
        <w:tabs>
          <w:tab w:val="left" w:pos="2941"/>
        </w:tabs>
        <w:snapToGrid w:val="0"/>
        <w:spacing w:after="0" w:line="240" w:lineRule="auto"/>
        <w:jc w:val="both"/>
        <w:rPr>
          <w:rFonts w:ascii="Times New Roman" w:hAnsi="Times New Roman"/>
          <w:b/>
          <w:bCs/>
          <w:sz w:val="20"/>
          <w:szCs w:val="20"/>
        </w:rPr>
      </w:pPr>
      <w:r w:rsidRPr="00C673E0">
        <w:rPr>
          <w:rFonts w:ascii="Times New Roman" w:hAnsi="Times New Roman"/>
          <w:b/>
          <w:sz w:val="20"/>
          <w:szCs w:val="20"/>
          <w:lang w:val="en-GB"/>
        </w:rPr>
        <w:t>[</w:t>
      </w:r>
      <w:r w:rsidRPr="00C673E0">
        <w:rPr>
          <w:rFonts w:ascii="Times New Roman" w:hAnsi="Times New Roman"/>
          <w:sz w:val="20"/>
          <w:szCs w:val="20"/>
        </w:rPr>
        <w:t xml:space="preserve">Laila M. Meber. Olfat G. Shaker. Amr H. El-Sayed. Nermien E. Waly, MD, PhD,. </w:t>
      </w:r>
      <w:r w:rsidRPr="00C673E0">
        <w:rPr>
          <w:rFonts w:ascii="Times New Roman" w:hAnsi="Times New Roman"/>
          <w:b/>
          <w:bCs/>
          <w:sz w:val="20"/>
          <w:szCs w:val="20"/>
        </w:rPr>
        <w:t>Role of lincRNA-p21 and lncRNA-H19 in multiple sclerosis disease</w:t>
      </w:r>
      <w:r w:rsidRPr="00C673E0">
        <w:rPr>
          <w:rFonts w:ascii="Times New Roman" w:eastAsia="Times New Roman" w:hAnsi="Times New Roman"/>
          <w:b/>
          <w:bCs/>
          <w:sz w:val="20"/>
          <w:szCs w:val="20"/>
          <w:lang w:bidi="fa-IR"/>
        </w:rPr>
        <w:t>.</w:t>
      </w:r>
      <w:r w:rsidRPr="00C673E0">
        <w:rPr>
          <w:rFonts w:ascii="Times New Roman" w:hAnsi="Times New Roman"/>
          <w:i/>
          <w:sz w:val="20"/>
          <w:szCs w:val="20"/>
        </w:rPr>
        <w:t xml:space="preserve"> Cancer Biology</w:t>
      </w:r>
      <w:r w:rsidRPr="00C673E0">
        <w:rPr>
          <w:rFonts w:ascii="Times New Roman" w:hAnsi="Times New Roman"/>
          <w:sz w:val="20"/>
          <w:szCs w:val="20"/>
        </w:rPr>
        <w:t xml:space="preserve"> 2020;10(4):</w:t>
      </w:r>
      <w:r w:rsidR="00044944" w:rsidRPr="00C673E0">
        <w:rPr>
          <w:rFonts w:ascii="Times New Roman" w:hAnsi="Times New Roman"/>
          <w:noProof/>
          <w:color w:val="000000"/>
          <w:sz w:val="20"/>
          <w:szCs w:val="20"/>
        </w:rPr>
        <w:t>7-15</w:t>
      </w:r>
      <w:r w:rsidRPr="00C673E0">
        <w:rPr>
          <w:rFonts w:ascii="Times New Roman" w:hAnsi="Times New Roman"/>
          <w:sz w:val="20"/>
          <w:szCs w:val="20"/>
        </w:rPr>
        <w:t xml:space="preserve">]. </w:t>
      </w:r>
      <w:r w:rsidRPr="00C673E0">
        <w:rPr>
          <w:rStyle w:val="msonormal0"/>
          <w:rFonts w:ascii="Times New Roman" w:eastAsia="宋" w:hAnsi="Times New Roman"/>
          <w:sz w:val="20"/>
          <w:szCs w:val="20"/>
        </w:rPr>
        <w:t>ISSN: 2150-1041 (print); ISSN: 2150-105X (online)</w:t>
      </w:r>
      <w:r w:rsidRPr="00C673E0">
        <w:rPr>
          <w:rFonts w:ascii="Times New Roman" w:hAnsi="Times New Roman"/>
          <w:sz w:val="20"/>
          <w:szCs w:val="20"/>
        </w:rPr>
        <w:t xml:space="preserve">. </w:t>
      </w:r>
      <w:hyperlink r:id="rId10" w:history="1">
        <w:r w:rsidRPr="00C673E0">
          <w:rPr>
            <w:rStyle w:val="Hyperlink"/>
            <w:rFonts w:ascii="Times New Roman" w:hAnsi="Times New Roman"/>
            <w:sz w:val="20"/>
            <w:szCs w:val="20"/>
          </w:rPr>
          <w:t>http://www.cancerbio.net</w:t>
        </w:r>
      </w:hyperlink>
      <w:r w:rsidRPr="00C673E0">
        <w:rPr>
          <w:rFonts w:ascii="Times New Roman" w:hAnsi="Times New Roman"/>
          <w:sz w:val="20"/>
          <w:szCs w:val="20"/>
        </w:rPr>
        <w:t xml:space="preserve">. </w:t>
      </w:r>
      <w:r w:rsidRPr="00C673E0">
        <w:rPr>
          <w:rFonts w:ascii="Times New Roman" w:hAnsi="Times New Roman"/>
          <w:sz w:val="20"/>
          <w:szCs w:val="20"/>
          <w:lang w:eastAsia="zh-CN"/>
        </w:rPr>
        <w:t>2</w:t>
      </w:r>
      <w:r w:rsidRPr="00C673E0">
        <w:rPr>
          <w:rFonts w:ascii="Times New Roman" w:hAnsi="Times New Roman"/>
          <w:sz w:val="20"/>
          <w:szCs w:val="20"/>
        </w:rPr>
        <w:t xml:space="preserve">. </w:t>
      </w:r>
      <w:r w:rsidRPr="00C673E0">
        <w:rPr>
          <w:rFonts w:ascii="Times New Roman" w:hAnsi="Times New Roman"/>
          <w:color w:val="000000"/>
          <w:sz w:val="20"/>
          <w:szCs w:val="20"/>
          <w:shd w:val="clear" w:color="auto" w:fill="FFFFFF"/>
        </w:rPr>
        <w:t>doi:</w:t>
      </w:r>
      <w:hyperlink r:id="rId11" w:history="1">
        <w:r w:rsidRPr="00C673E0">
          <w:rPr>
            <w:rStyle w:val="Hyperlink"/>
            <w:rFonts w:ascii="Times New Roman" w:hAnsi="Times New Roman"/>
            <w:sz w:val="20"/>
            <w:szCs w:val="20"/>
            <w:shd w:val="clear" w:color="auto" w:fill="FFFFFF"/>
          </w:rPr>
          <w:t>10.7537/marscbj100420.0</w:t>
        </w:r>
        <w:r w:rsidRPr="00C673E0">
          <w:rPr>
            <w:rStyle w:val="Hyperlink"/>
            <w:rFonts w:ascii="Times New Roman" w:hAnsi="Times New Roman"/>
            <w:sz w:val="20"/>
            <w:szCs w:val="20"/>
            <w:shd w:val="clear" w:color="auto" w:fill="FFFFFF"/>
            <w:lang w:eastAsia="zh-CN"/>
          </w:rPr>
          <w:t>2</w:t>
        </w:r>
      </w:hyperlink>
      <w:r w:rsidRPr="00C673E0">
        <w:rPr>
          <w:rFonts w:ascii="Times New Roman" w:hAnsi="Times New Roman"/>
          <w:color w:val="000000"/>
          <w:sz w:val="20"/>
          <w:szCs w:val="20"/>
          <w:shd w:val="clear" w:color="auto" w:fill="FFFFFF"/>
        </w:rPr>
        <w:t>.</w:t>
      </w:r>
    </w:p>
    <w:p w:rsidR="003E5012" w:rsidRPr="00C673E0" w:rsidRDefault="003E5012" w:rsidP="000F71AB">
      <w:pPr>
        <w:snapToGrid w:val="0"/>
        <w:spacing w:after="0" w:line="240" w:lineRule="auto"/>
        <w:rPr>
          <w:rFonts w:ascii="Times New Roman" w:hAnsi="Times New Roman"/>
          <w:sz w:val="20"/>
          <w:szCs w:val="20"/>
        </w:rPr>
      </w:pPr>
    </w:p>
    <w:p w:rsidR="00D7754A" w:rsidRPr="00C673E0" w:rsidRDefault="0018240A" w:rsidP="000F71AB">
      <w:pPr>
        <w:pStyle w:val="Pa6"/>
        <w:snapToGrid w:val="0"/>
        <w:spacing w:before="0" w:after="0" w:line="240" w:lineRule="auto"/>
        <w:jc w:val="both"/>
        <w:rPr>
          <w:rFonts w:ascii="Times New Roman" w:hAnsi="Times New Roman" w:cs="Times New Roman"/>
          <w:sz w:val="20"/>
          <w:szCs w:val="20"/>
        </w:rPr>
      </w:pPr>
      <w:r w:rsidRPr="00C673E0">
        <w:rPr>
          <w:rFonts w:ascii="Times New Roman" w:hAnsi="Times New Roman" w:cs="Times New Roman"/>
          <w:b/>
          <w:bCs/>
          <w:sz w:val="20"/>
          <w:szCs w:val="20"/>
        </w:rPr>
        <w:t>Key words</w:t>
      </w:r>
      <w:r w:rsidR="00076291" w:rsidRPr="00C673E0">
        <w:rPr>
          <w:rFonts w:ascii="Times New Roman" w:hAnsi="Times New Roman" w:cs="Times New Roman"/>
          <w:b/>
          <w:bCs/>
          <w:sz w:val="20"/>
          <w:szCs w:val="20"/>
        </w:rPr>
        <w:t>:</w:t>
      </w:r>
      <w:r w:rsidR="00076291" w:rsidRPr="00C673E0">
        <w:rPr>
          <w:rFonts w:ascii="Times New Roman" w:hAnsi="Times New Roman" w:cs="Times New Roman"/>
          <w:sz w:val="20"/>
          <w:szCs w:val="20"/>
        </w:rPr>
        <w:t xml:space="preserve"> </w:t>
      </w:r>
      <w:r w:rsidR="00B142D3" w:rsidRPr="00C673E0">
        <w:rPr>
          <w:rFonts w:ascii="Times New Roman" w:hAnsi="Times New Roman" w:cs="Times New Roman"/>
          <w:sz w:val="20"/>
          <w:szCs w:val="20"/>
        </w:rPr>
        <w:t>M</w:t>
      </w:r>
      <w:r w:rsidR="009E4329" w:rsidRPr="00C673E0">
        <w:rPr>
          <w:rFonts w:ascii="Times New Roman" w:hAnsi="Times New Roman" w:cs="Times New Roman"/>
          <w:sz w:val="20"/>
          <w:szCs w:val="20"/>
        </w:rPr>
        <w:t>ultiple sclerosis</w:t>
      </w:r>
      <w:r w:rsidR="00076291" w:rsidRPr="00C673E0">
        <w:rPr>
          <w:rFonts w:ascii="Times New Roman" w:hAnsi="Times New Roman" w:cs="Times New Roman"/>
          <w:sz w:val="20"/>
          <w:szCs w:val="20"/>
        </w:rPr>
        <w:t>, LncRNA</w:t>
      </w:r>
      <w:r w:rsidR="00B142D3" w:rsidRPr="00C673E0">
        <w:rPr>
          <w:rFonts w:ascii="Times New Roman" w:hAnsi="Times New Roman" w:cs="Times New Roman"/>
          <w:sz w:val="20"/>
          <w:szCs w:val="20"/>
        </w:rPr>
        <w:t>-H19</w:t>
      </w:r>
      <w:r w:rsidR="00076291" w:rsidRPr="00C673E0">
        <w:rPr>
          <w:rFonts w:ascii="Times New Roman" w:hAnsi="Times New Roman" w:cs="Times New Roman"/>
          <w:sz w:val="20"/>
          <w:szCs w:val="20"/>
        </w:rPr>
        <w:t>, LincRNA</w:t>
      </w:r>
      <w:r w:rsidR="00B142D3" w:rsidRPr="00C673E0">
        <w:rPr>
          <w:rFonts w:ascii="Times New Roman" w:hAnsi="Times New Roman" w:cs="Times New Roman"/>
          <w:sz w:val="20"/>
          <w:szCs w:val="20"/>
        </w:rPr>
        <w:t>-p21.</w:t>
      </w:r>
    </w:p>
    <w:p w:rsidR="00076291" w:rsidRPr="00C673E0" w:rsidRDefault="00076291" w:rsidP="000F71AB">
      <w:pPr>
        <w:snapToGrid w:val="0"/>
        <w:spacing w:after="0" w:line="240" w:lineRule="auto"/>
        <w:jc w:val="both"/>
        <w:rPr>
          <w:rFonts w:ascii="Times New Roman" w:hAnsi="Times New Roman"/>
          <w:b/>
          <w:bCs/>
          <w:sz w:val="20"/>
          <w:szCs w:val="20"/>
        </w:rPr>
      </w:pPr>
    </w:p>
    <w:p w:rsidR="000F71AB" w:rsidRPr="00C673E0" w:rsidRDefault="000F71AB" w:rsidP="000F71AB">
      <w:pPr>
        <w:snapToGrid w:val="0"/>
        <w:spacing w:after="0" w:line="240" w:lineRule="auto"/>
        <w:jc w:val="both"/>
        <w:rPr>
          <w:rFonts w:ascii="Times New Roman" w:hAnsi="Times New Roman"/>
          <w:b/>
          <w:bCs/>
          <w:sz w:val="20"/>
          <w:szCs w:val="20"/>
        </w:rPr>
        <w:sectPr w:rsidR="000F71AB" w:rsidRPr="00C673E0" w:rsidSect="00044944">
          <w:headerReference w:type="default" r:id="rId12"/>
          <w:footerReference w:type="default" r:id="rId13"/>
          <w:type w:val="continuous"/>
          <w:pgSz w:w="12240" w:h="15840" w:code="9"/>
          <w:pgMar w:top="1440" w:right="1440" w:bottom="1440" w:left="1440" w:header="720" w:footer="720" w:gutter="0"/>
          <w:pgNumType w:start="7"/>
          <w:cols w:space="720"/>
          <w:docGrid w:linePitch="360"/>
        </w:sectPr>
      </w:pPr>
    </w:p>
    <w:p w:rsidR="00D7754A" w:rsidRPr="00C673E0" w:rsidRDefault="00D7754A" w:rsidP="000F71AB">
      <w:pPr>
        <w:snapToGrid w:val="0"/>
        <w:spacing w:after="0" w:line="240" w:lineRule="auto"/>
        <w:jc w:val="both"/>
        <w:rPr>
          <w:rFonts w:ascii="Times New Roman" w:hAnsi="Times New Roman"/>
          <w:sz w:val="20"/>
          <w:szCs w:val="20"/>
        </w:rPr>
      </w:pPr>
      <w:r w:rsidRPr="00C673E0">
        <w:rPr>
          <w:rFonts w:ascii="Times New Roman" w:hAnsi="Times New Roman"/>
          <w:b/>
          <w:bCs/>
          <w:sz w:val="20"/>
          <w:szCs w:val="20"/>
        </w:rPr>
        <w:lastRenderedPageBreak/>
        <w:t>Introduction</w:t>
      </w:r>
    </w:p>
    <w:p w:rsidR="00D7754A" w:rsidRPr="00C673E0" w:rsidRDefault="00BE2A10" w:rsidP="000F71AB">
      <w:pPr>
        <w:snapToGrid w:val="0"/>
        <w:spacing w:after="0" w:line="240" w:lineRule="auto"/>
        <w:ind w:firstLine="425"/>
        <w:jc w:val="both"/>
        <w:rPr>
          <w:rFonts w:ascii="Times New Roman" w:hAnsi="Times New Roman"/>
          <w:sz w:val="20"/>
          <w:szCs w:val="20"/>
        </w:rPr>
      </w:pPr>
      <w:r w:rsidRPr="00C673E0">
        <w:rPr>
          <w:rFonts w:ascii="Times New Roman" w:hAnsi="Times New Roman"/>
          <w:sz w:val="20"/>
          <w:szCs w:val="20"/>
        </w:rPr>
        <w:t>Complex diseases arising from the interaction among environmental and genetic factors over time are autoimmune diseases. A large variety of diseases, including rheumatoid arthritis (RA), systemic lupus erythematosus (SLE) and multiple sclerosi</w:t>
      </w:r>
      <w:r w:rsidR="008A6334" w:rsidRPr="00C673E0">
        <w:rPr>
          <w:rFonts w:ascii="Times New Roman" w:hAnsi="Times New Roman"/>
          <w:sz w:val="20"/>
          <w:szCs w:val="20"/>
        </w:rPr>
        <w:t xml:space="preserve">s (MS), are autoimmune diseases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{"citationItems":[{"id":"ITEM-1","itemData":{"DOI":"10.1016/j.autrev.2015.05.004","ISSN":"18730183","abstract":"Long noncoding RNA (lncRNA), with size larger than 200 nucleotides, is a new class of noncoding RNA. Emerging evidence has revealed that lncRNAs play a key role in the regulation of immunological functions and autoimmunity. Herein, we review the recent findings of lncRNA regulation in immune functions and in the development of autoimmunity and autoimmune disease. In addition, we focus on the involvement of lncRNA regulation in innate and adaptive immune responses, immune cell development, and differential expression of lncRNAs in autoimmune diseases, including systemic lupus erythematosus (SLE), rheumatoid arthritis (RA), type 1 diabetes mellitus (T1DM), multiple sclerosis (MS), autoimmune thyroid disease (AITD), psoriasis, polymyositis/dermatomyositis (PM/DM) and Crohn's disease (CD).","author":[{"dropping-particle":"","family":"Wu","given":"Guo Cui","non-dropping-particle":"","parse-names":false,"suffix":""},{"dropping-particle":"","family":"Pan","given":"Hai Feng","non-dropping-particle":"","parse-names":false,"suffix":""},{"dropping-particle":"","family":"Leng","given":"Rui Xue","non-dropping-particle":"","parse-names":false,"suffix":""},{"dropping-particle":"","family":"Wang","given":"De Guang","non-dropping-particle":"","parse-names":false,"suffix":""},{"dropping-particle":"","family":"Li","given":"Xiang Pei","non-dropping-particle":"","parse-names":false,"suffix":""},{"dropping-particle":"","family":"Li","given":"Xiao Mei","non-dropping-particle":"","parse-names":false,"suffix":""},{"dropping-particle":"","family":"Ye","given":"Dong Qing","non-dropping-particle":"","parse-names":false,"suffix":""}],"container-title":"Autoimmunity Reviews","id":"ITEM-1","issue":"9","issued":{"date-parts":[["2015"]]},"page":"798-805","publisher":"Elsevier B.V.","title":"Emerging role of long noncoding RNAs in autoimmune diseases","type":"article-journal","volume":"14"},"uris":["http://www.mendeley.com/documents/?uuid=33068ce1-bd71-4f18-93f5-fc0479cb344c"]}],"mendeley":{"formattedCitation":"(Wu &lt;i&gt;et al.&lt;/i&gt;, 2015)","plainTextFormattedCitation":"(Wu et al., 2015)","previouslyFormattedCitation":"(Wu &lt;i&gt;et al.&lt;/i&gt;, 2015)"},"properties":{"noteIndex":0},"schema":"https://github.com/citation-style-language/schema/raw/master/csl-citation.json"}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(Wu </w:t>
      </w:r>
      <w:r w:rsidR="00D7754A" w:rsidRPr="00C673E0">
        <w:rPr>
          <w:rFonts w:ascii="Times New Roman" w:hAnsi="Times New Roman"/>
          <w:b/>
          <w:bCs/>
          <w:i/>
          <w:noProof/>
          <w:sz w:val="20"/>
          <w:szCs w:val="20"/>
        </w:rPr>
        <w:t>et al.</w:t>
      </w:r>
      <w:r w:rsidR="00D7754A" w:rsidRPr="00C673E0">
        <w:rPr>
          <w:rFonts w:ascii="Times New Roman" w:hAnsi="Times New Roman"/>
          <w:b/>
          <w:bCs/>
          <w:noProof/>
          <w:sz w:val="20"/>
          <w:szCs w:val="20"/>
        </w:rPr>
        <w:t>, 2015)</w:t>
      </w:r>
      <w:r w:rsidR="006E7628" w:rsidRPr="00C673E0">
        <w:rPr>
          <w:rFonts w:ascii="Times New Roman" w:hAnsi="Times New Roman"/>
          <w:sz w:val="20"/>
          <w:szCs w:val="20"/>
        </w:rPr>
        <w:fldChar w:fldCharType="end"/>
      </w:r>
      <w:r w:rsidR="00D7754A" w:rsidRPr="00C673E0">
        <w:rPr>
          <w:rFonts w:ascii="Times New Roman" w:hAnsi="Times New Roman"/>
          <w:b/>
          <w:bCs/>
          <w:sz w:val="20"/>
          <w:szCs w:val="20"/>
        </w:rPr>
        <w:t>.</w:t>
      </w:r>
      <w:r w:rsidR="00D7754A" w:rsidRPr="00C673E0">
        <w:rPr>
          <w:rFonts w:ascii="Times New Roman" w:hAnsi="Times New Roman"/>
          <w:sz w:val="20"/>
          <w:szCs w:val="20"/>
        </w:rPr>
        <w:t xml:space="preserve"> MS is </w:t>
      </w:r>
      <w:r w:rsidR="00F07A2E" w:rsidRPr="00C673E0">
        <w:rPr>
          <w:rFonts w:ascii="Times New Roman" w:hAnsi="Times New Roman"/>
          <w:sz w:val="20"/>
          <w:szCs w:val="20"/>
        </w:rPr>
        <w:t xml:space="preserve">a central nervous system (CNS) autoimmune chronic inflammatory disease. </w:t>
      </w:r>
      <w:r w:rsidR="00D7754A" w:rsidRPr="00C673E0">
        <w:rPr>
          <w:rFonts w:ascii="Times New Roman" w:hAnsi="Times New Roman"/>
          <w:sz w:val="20"/>
          <w:szCs w:val="20"/>
        </w:rPr>
        <w:t xml:space="preserve">It is </w:t>
      </w:r>
      <w:r w:rsidR="009A7A3E" w:rsidRPr="00C673E0">
        <w:rPr>
          <w:rFonts w:ascii="Times New Roman" w:hAnsi="Times New Roman"/>
          <w:sz w:val="20"/>
          <w:szCs w:val="20"/>
        </w:rPr>
        <w:t>commonly</w:t>
      </w:r>
      <w:r w:rsidR="00D7754A" w:rsidRPr="00C673E0">
        <w:rPr>
          <w:rFonts w:ascii="Times New Roman" w:hAnsi="Times New Roman"/>
          <w:sz w:val="20"/>
          <w:szCs w:val="20"/>
        </w:rPr>
        <w:t xml:space="preserve"> </w:t>
      </w:r>
      <w:r w:rsidR="009A7A3E" w:rsidRPr="00C673E0">
        <w:rPr>
          <w:rFonts w:ascii="Times New Roman" w:hAnsi="Times New Roman"/>
          <w:sz w:val="20"/>
          <w:szCs w:val="20"/>
        </w:rPr>
        <w:t xml:space="preserve">approved </w:t>
      </w:r>
      <w:r w:rsidR="00D7754A" w:rsidRPr="00C673E0">
        <w:rPr>
          <w:rFonts w:ascii="Times New Roman" w:hAnsi="Times New Roman"/>
          <w:sz w:val="20"/>
          <w:szCs w:val="20"/>
        </w:rPr>
        <w:t xml:space="preserve">that susceptibility to MS depends on a combination of genetic and environmental factors and their interactions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{"citationItems":[{"id":"ITEM-1","itemData":{"DOI":"10.1016/j.apjtb.2017.02.001","ISSN":"22211691","abstract":"Multiple sclerosis (MS) is the most famous autoimmune disease attacking the central nervous system. It attacks people from age 20–50 years old and the females’ attacks double than males’ attacks. MS is an autoimmune disease affecting principally the central nervous system that causes nerve sheath demyelination, followed by axon damage and paralysis. MS symptoms include muscle weakness, weak reflexes, muscle spasm, difficulties in movement and unbalance. Many factors may be responsible for MS: microorganism, virus, smoking, stress, environmental toxins, contaminated diet and gout. MS is widely spread in the population in North Europe and this is related to lack of vitamin D due to decrease of sunlight exposure. MS biomarkers include nitric oxide, interleukin-6, nitric oxide synthase, fetuin-A and osteopontin. MS is not a genetic disease (not transferred from parents into next generations) but MS appears when leukocyte antigen system-related genes are changed in human chromosome 6. The physiology of MS patients is controlled by numbers of biological processes such as activation of immune-inflammatory, oxidative and nitrosative stress pathways. MS includes two main steps: (1) myelin sheath destruction and formation of lesions and, (2) inflammation. Four types of MS can be distinguished: relapsing-remitting, primary progressive, secondary progressive and progressive relapsing. Nine treatments have been accepted for relapsing-remitting MS type: interferon β-1a, interferon β-1b, mitoxantrone, natalizumab, glatiramer acetate, fingolimod, dimethyl fumarate, teriflunomide, and alemtuzumab. However, the only treatment used is mitoxantrone for progressive MS with many side effects. Complementary treatments are also used in MS treatments such as vitamin D, Yoga, medicinal plants, oxygen therapy, acupuncture and reflexology.","author":[{"dropping-particle":"","family":"Koriem","given":"Khaled Mohamed Mohamed","non-dropping-particle":"","parse-names":false,"suffix":""}],"container-title":"Asian Pacific Journal of Tropical Biomedicine","id":"ITEM-1","issue":"5","issued":{"date-parts":[["2017"]]},"page":"493-504","publisher":"Elsevier B.V.","title":"Corrigendum to ‘Multiple sclerosis: New insights and trends’ (Asian Pacific Journal of Tropical Biomedicine (2017) 7(5) (493–504) (S2221169116302453) (10.1016/j.apjtb.2016.03.009))","type":"article-journal","volume":"7"},"uris":["http://www.mendeley.com/documents/?uuid=16032eb4-f787-4e99-8122-61445aca61cf"]}],"mendeley":{"formattedCitation":"(Koriem, 2017)","plainTextFormattedCitation":"(Koriem, 2017)","previouslyFormattedCitation":"(Koriem, 2017)"},"properties":{"noteIndex":0},"schema":"https://github.com/citation-style-language/schema/raw/master/csl-citation.json"}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(Koriem, 2017)</w:t>
      </w:r>
      <w:r w:rsidR="006E7628" w:rsidRPr="00C673E0">
        <w:rPr>
          <w:rFonts w:ascii="Times New Roman" w:hAnsi="Times New Roman"/>
          <w:sz w:val="20"/>
          <w:szCs w:val="20"/>
        </w:rPr>
        <w:fldChar w:fldCharType="end"/>
      </w:r>
      <w:r w:rsidR="00D7754A" w:rsidRPr="00C673E0">
        <w:rPr>
          <w:rFonts w:ascii="Times New Roman" w:hAnsi="Times New Roman"/>
          <w:sz w:val="20"/>
          <w:szCs w:val="20"/>
        </w:rPr>
        <w:t>.</w:t>
      </w:r>
    </w:p>
    <w:p w:rsidR="00D7754A" w:rsidRPr="00C673E0" w:rsidRDefault="006240E9" w:rsidP="00644513">
      <w:pPr>
        <w:snapToGrid w:val="0"/>
        <w:spacing w:after="0" w:line="240" w:lineRule="auto"/>
        <w:ind w:firstLine="425"/>
        <w:jc w:val="both"/>
        <w:rPr>
          <w:rFonts w:ascii="Times New Roman" w:hAnsi="Times New Roman"/>
          <w:sz w:val="20"/>
          <w:szCs w:val="20"/>
        </w:rPr>
      </w:pPr>
      <w:r w:rsidRPr="00C673E0">
        <w:rPr>
          <w:rFonts w:ascii="Times New Roman" w:hAnsi="Times New Roman"/>
          <w:sz w:val="20"/>
          <w:szCs w:val="20"/>
        </w:rPr>
        <w:t xml:space="preserve">Non-protein coding RNA transcripts that are greater than 200 nucleotides in length are long non-coding RNAs (lncRNAs)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{"citationItems":[{"id":"ITEM-1","itemData":{"DOI":"10.1016/j.biopha.2018.12.078","ISSN":"19506007","abstract":"Long noncoding RNAs (lncRNAs) are large RNA transcripts that do not code for proteins but exert their effects in the form of RNA. To date many thousands of lncRNAs have been identified, their molecular functions and mechanisms of action however are largely unknown. The development of high-throughput experimental technologies, such as ChIRP (Chromatin isolation by RNA purification), CHART (Capture Hybridization Analysis of RNA Targets), RAP (RNA antisense purification), RIP (RNA Immunoprecipitation), CLIP (cross-linking and immunoprecipitation) and RNA pull-down, has led to a rapid expansion of lncRNA research and resulted in many publicly-available databases. This review provides an overview of the current methodologies available for discovering and investigating functions of lncRNAs in various human diseases. A comparison and application of these methods are also included. Finally, this paper surveys current databases containing annotations, interactome networks and functions of lncRNAs. The appropriate use of these methods and databases will provide not only high-resolution functional features of lncRNAs, but also enhance our understanding of the underlying mechanisms by which lncRNAs regulate a variety of biological processes.","author":[{"dropping-particle":"","family":"Cao","given":"Mei","non-dropping-particle":"","parse-names":false,"suffix":""},{"dropping-particle":"","family":"Zhao","given":"Jian","non-dropping-particle":"","parse-names":false,"suffix":""},{"dropping-particle":"","family":"Hu","given":"Guoku","non-dropping-particle":"","parse-names":false,"suffix":""}],"container-title":"Biomedicine and Pharmacotherapy","id":"ITEM-1","issue":"November 2018","issued":{"date-parts":[["2019"]]},"page":"395-401","publisher":"Elsevier","title":"Genome-wide methods for investigating long noncoding RNAs","type":"article-journal","volume":"111"},"uris":["http://www.mendeley.com/documents/?uuid=5fb9d7bb-c858-4040-bd56-e42811bd5a6a"]},{"id":"ITEM-2","itemData":{"DOI":"10.1016/j.gendis.2016.01.004","ISSN":"23523042","abstract":"Precise and dynamic regulation of gene expression is a key feature of immunity. In recent years, rapid advances in transcriptome profiling analysis have led to recognize long non-coding RNAs (lncRNAs) as an additional layer of gene regulation context. In the immune system, lncRNAs are found to be widely expressed in immune cells including monocytes, macrophages, dendritic cells (DC), neutrophils, T cells and B cells during their development, differentiation and activation. However, the functional importance of immune-related lncRNAs is just emerging to be characterized. In this review, we discuss the up-to-date knowledge of lncRNAs in immune regulation.","author":[{"dropping-particle":"","family":"Geng","given":"Hua","non-dropping-particle":"","parse-names":false,"suffix":""},{"dropping-particle":"","family":"Tan","given":"Xiao-Di","non-dropping-particle":"","parse-names":false,"suffix":""}],"container-title":"Genes and Diseases","id":"ITEM-2","issue":"1","issued":{"date-parts":[["2016"]]},"page":"72-81","publisher":"Elsevier Ltd","title":"Functional diversity of long non-coding RNAs in immune regulation","type":"article-journal","volume":"3"},"uris":["http://www.mendeley.com/documents/?uuid=7d2c2c0e-ec70-4891-9fb4-76e3c958853c"]}],"mendeley":{"formattedCitation":"(Geng and Tan, 2016; Cao, Zhao and Hu, 2019)","manualFormatting":"(Geng and Tan, 2016; Cao et al., 2019)","plainTextFormattedCitation":"(Geng and Tan, 2016; Cao, Zhao and Hu, 2019)","previouslyFormattedCitation":"(Geng and Tan, 2016; Cao, Zhao and Hu, 2019)"},"properties":{"noteIndex":0},"schema":"https://github.com/citation-style-language/schema/raw/master/csl-citation.json"}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(Geng and Tan, 2016; Cao </w:t>
      </w:r>
      <w:r w:rsidR="00D7754A" w:rsidRPr="00C673E0">
        <w:rPr>
          <w:rFonts w:ascii="Times New Roman" w:hAnsi="Times New Roman"/>
          <w:b/>
          <w:bCs/>
          <w:i/>
          <w:iCs/>
          <w:noProof/>
          <w:sz w:val="20"/>
          <w:szCs w:val="20"/>
        </w:rPr>
        <w:t>et al</w:t>
      </w:r>
      <w:r w:rsidR="00D7754A" w:rsidRPr="00C673E0">
        <w:rPr>
          <w:rFonts w:ascii="Times New Roman" w:hAnsi="Times New Roman"/>
          <w:b/>
          <w:bCs/>
          <w:noProof/>
          <w:sz w:val="20"/>
          <w:szCs w:val="20"/>
        </w:rPr>
        <w:t>., 2019)</w:t>
      </w:r>
      <w:r w:rsidR="006E7628" w:rsidRPr="00C673E0">
        <w:rPr>
          <w:rFonts w:ascii="Times New Roman" w:hAnsi="Times New Roman"/>
          <w:sz w:val="20"/>
          <w:szCs w:val="20"/>
        </w:rPr>
        <w:fldChar w:fldCharType="end"/>
      </w:r>
      <w:r w:rsidR="00D7754A" w:rsidRPr="00C673E0">
        <w:rPr>
          <w:rFonts w:ascii="Times New Roman" w:hAnsi="Times New Roman"/>
          <w:sz w:val="20"/>
          <w:szCs w:val="20"/>
        </w:rPr>
        <w:t xml:space="preserve">. LncRNAs have been found to play important roles in many diseases such as cancer, </w:t>
      </w:r>
      <w:r w:rsidR="00D7754A" w:rsidRPr="00C673E0">
        <w:rPr>
          <w:rFonts w:ascii="Times New Roman" w:hAnsi="Times New Roman"/>
          <w:sz w:val="20"/>
          <w:szCs w:val="20"/>
        </w:rPr>
        <w:lastRenderedPageBreak/>
        <w:t xml:space="preserve">Alzheimer’s disease, cardiovascular diseases, diabetes mellitus, RA and SLE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{"citationItems":[{"id":"ITEM-1","itemData":{"DOI":"10.1371/journal.pbio.3000143","ISBN":"1111111111","ISSN":"15457885","abstract":"p53 regulates the expression of hundreds of genes. Recent surprising observations indicate that no single protein-coding gene controls the tumor suppressor effects of p53. This raises the possibility that a subset of these genes, regulated by a p53-induced long noncoding RNA (lncRNA), could control p53’s tumor suppressor function. We propose molecular mechanisms through which lncRNAs could regulate this subset of genes and hypothesize an exciting, direct role of lncRNAs in p53’s genome stability maintenance function. Exploring these mechanisms could reveal lncRNAs as indispensable mediators of p53 and lay the foundation for understanding how other transcription factors could act via lncRNAs.","author":[{"dropping-particle":"","family":"Dangelmaier","given":"Emily","non-dropping-particle":"","parse-names":false,"suffix":""},{"dropping-particle":"","family":"Lazar","given":"Sarah B.","non-dropping-particle":"","parse-names":false,"suffix":""},{"dropping-particle":"","family":"Lal","given":"Ashish","non-dropping-particle":"","parse-names":false,"suffix":""}],"container-title":"PLoS Biology","id":"ITEM-1","issue":"2","issued":{"date-parts":[["2019"]]},"page":"1-11","title":"Long noncoding RNAs: P53’s secret weapon in the fight against cancer?","type":"article-journal","volume":"17"},"uris":["http://www.mendeley.com/documents/?uuid=6f9a3e21-a637-474a-97b0-937fa310b09a"]},{"id":"ITEM-2","itemData":{"DOI":"10.18632/oncotarget.15544","abstract":"In the previous study, we generated a rat model of dilated cardiomyopathy (DCM) induced by adriamycin and found that the expression of lncRNA H19 was significantly upregulated in myocardial tissue. The present study was aimed to investigate the potential role of H19 in the pathogenesis of adriamycin-induced DCM. H19 knockdown in the myocardium of DCM rats attenuated cardiomyocyte apoptosis and improved left ventricular structure and function. Adriamycin treatment was associated with elevated H19 and miR-675 expression and increased apoptosis in neonatal cardiomyocytes. Enforced expression of miR-675 was found to induce apoptosis in cardiomyocytes with adriamycin treatment and H19-siRNA transfection. The 3’-untranslated region of PA2G4 was cloned downstream of a luciferase reporter construct and cotransfected into HEK293 cells with miR-675 mimic. The results of luciferase assay showed that PA2G4 was a direct target of miR-675. The expression of PA2G4 was reduced in cardiomyocytes transfected with miR-675 mimic. Moreover, H19 knockdown was found to increase PA2G4 expression and suppress apoptosis in cardiomyocytes exposed to adriamycin. In conclusion, our study suggests that H19/miR-675 axis is involved in the promotion of cardiomyocyte apoptosis by targeting PA2G4, which may provide a new therapeutic strategy for the treatment of adriamycin-induced DCM.","author":[{"dropping-particle":"","family":"Zhang","given":"Yanlin","non-dropping-particle":"","parse-names":false,"suffix":""},{"dropping-particle":"","family":"Zhang","given":"Mengyao","non-dropping-particle":"","parse-names":false,"suffix":""},{"dropping-particle":"","family":"Xu","given":"Weiting","non-dropping-particle":"","parse-names":false,"suffix":""},{"dropping-particle":"","family":"Chen","given":"Jianchang","non-dropping-particle":"","parse-names":false,"suffix":""},{"dropping-particle":"","family":"Zhou","given":"Xiang","non-dropping-particle":"","parse-names":false,"suffix":""}],"container-title":"Oncotarget","id":"ITEM-2","issue":"17","issued":{"date-parts":[["2017"]]},"page":"28588-28594","title":"The long non-coding RNA H19 promotes cardiomyocyte apoptosis in dilated cardiomyopathy","type":"article-journal","volume":"8"},"uris":["http://www.mendeley.com/documents/?uuid=310b7af0-d2f2-440b-b6e0-d7cb4fc69e96"]}],"mendeley":{"formattedCitation":"(Zhang &lt;i&gt;et al.&lt;/i&gt;, 2017; Dangelmaier, Lazar and Lal, 2019)","manualFormatting":"(Zhang et al., 2017; Dangelmaier et al., 2019)","plainTextFormattedCitation":"(Zhang et al., 2017; Dangelmaier, Lazar and Lal, 2019)","previouslyFormattedCitation":"(Zhang &lt;i&gt;et al.&lt;/i&gt;, 2017; Dangelmaier, Lazar and Lal, 2019)"},"properties":{"noteIndex":0},"schema":"https://github.com/citation-style-language/schema/raw/master/csl-citation.json"}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(Zhang </w:t>
      </w:r>
      <w:r w:rsidR="00D7754A" w:rsidRPr="00C673E0">
        <w:rPr>
          <w:rFonts w:ascii="Times New Roman" w:hAnsi="Times New Roman"/>
          <w:b/>
          <w:bCs/>
          <w:i/>
          <w:noProof/>
          <w:sz w:val="20"/>
          <w:szCs w:val="20"/>
        </w:rPr>
        <w:t>et al.</w:t>
      </w:r>
      <w:r w:rsidR="00D7754A" w:rsidRPr="00C673E0">
        <w:rPr>
          <w:rFonts w:ascii="Times New Roman" w:hAnsi="Times New Roman"/>
          <w:b/>
          <w:bCs/>
          <w:noProof/>
          <w:sz w:val="20"/>
          <w:szCs w:val="20"/>
        </w:rPr>
        <w:t xml:space="preserve">, 2017; Dangelmaier </w:t>
      </w:r>
      <w:r w:rsidR="00D7754A" w:rsidRPr="00C673E0">
        <w:rPr>
          <w:rFonts w:ascii="Times New Roman" w:hAnsi="Times New Roman"/>
          <w:b/>
          <w:bCs/>
          <w:i/>
          <w:iCs/>
          <w:noProof/>
          <w:sz w:val="20"/>
          <w:szCs w:val="20"/>
        </w:rPr>
        <w:t>et al</w:t>
      </w:r>
      <w:r w:rsidR="00D7754A" w:rsidRPr="00C673E0">
        <w:rPr>
          <w:rFonts w:ascii="Times New Roman" w:hAnsi="Times New Roman"/>
          <w:b/>
          <w:bCs/>
          <w:noProof/>
          <w:sz w:val="20"/>
          <w:szCs w:val="20"/>
        </w:rPr>
        <w:t>., 2019)</w:t>
      </w:r>
      <w:r w:rsidR="006E7628" w:rsidRPr="00C673E0">
        <w:rPr>
          <w:rFonts w:ascii="Times New Roman" w:hAnsi="Times New Roman"/>
          <w:sz w:val="20"/>
          <w:szCs w:val="20"/>
        </w:rPr>
        <w:fldChar w:fldCharType="end"/>
      </w:r>
      <w:r w:rsidR="00D7754A" w:rsidRPr="00C673E0">
        <w:rPr>
          <w:rFonts w:ascii="Times New Roman" w:hAnsi="Times New Roman"/>
          <w:b/>
          <w:bCs/>
          <w:sz w:val="20"/>
          <w:szCs w:val="20"/>
        </w:rPr>
        <w:t>.</w:t>
      </w:r>
    </w:p>
    <w:p w:rsidR="00044944" w:rsidRPr="00C673E0" w:rsidRDefault="000F3933" w:rsidP="00644513">
      <w:pPr>
        <w:snapToGrid w:val="0"/>
        <w:spacing w:after="0" w:line="240" w:lineRule="auto"/>
        <w:ind w:firstLine="425"/>
        <w:jc w:val="both"/>
        <w:rPr>
          <w:rFonts w:ascii="Times New Roman" w:hAnsi="Times New Roman"/>
          <w:sz w:val="20"/>
          <w:szCs w:val="20"/>
        </w:rPr>
        <w:sectPr w:rsidR="00044944" w:rsidRPr="00C673E0" w:rsidSect="000F71AB">
          <w:type w:val="continuous"/>
          <w:pgSz w:w="12240" w:h="15840" w:code="9"/>
          <w:pgMar w:top="1440" w:right="1440" w:bottom="1440" w:left="1440" w:header="720" w:footer="720" w:gutter="0"/>
          <w:cols w:num="2" w:space="550"/>
          <w:docGrid w:linePitch="360"/>
        </w:sectPr>
      </w:pPr>
      <w:r w:rsidRPr="00C673E0">
        <w:rPr>
          <w:rFonts w:ascii="Times New Roman" w:hAnsi="Times New Roman"/>
          <w:sz w:val="20"/>
          <w:szCs w:val="20"/>
        </w:rPr>
        <w:t>In MS patients, a number of lncRN</w:t>
      </w:r>
      <w:r w:rsidR="0096791E" w:rsidRPr="00C673E0">
        <w:rPr>
          <w:rFonts w:ascii="Times New Roman" w:hAnsi="Times New Roman"/>
          <w:sz w:val="20"/>
          <w:szCs w:val="20"/>
        </w:rPr>
        <w:t>As was shown to be dysregulated</w:t>
      </w:r>
      <w:r w:rsidRPr="00C673E0">
        <w:rPr>
          <w:rFonts w:ascii="Times New Roman" w:hAnsi="Times New Roman"/>
          <w:sz w:val="20"/>
          <w:szCs w:val="20"/>
        </w:rPr>
        <w:t xml:space="preserve">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{"citationItems":[{"id":"ITEM-1","itemData":{"DOI":"10.1016/j.mgene.2019.100592","ISSN":"22145400","abstract":"Multiple Sclerosis (MS) as a chronic demyelinating disorder of the central nervous system (CNS) has been associated with dysregulation of several genetic and epigenetic factors. Long non-coding RNAs (lncRNAs) as important epigenetic regulators of gene expression might also contribute in the pathogenesis of MS. In the current study, we genotyped two single nucleotide polymorphisms (SNPs) within the lncRNA H19 (rs2839698 and rs217727) in a population of 402 MS patients and 392 healthy subjects using tetra-primer amplification-refractory mutation system-PCR technique. No significant association was found between the mentioned SNPs and MS risk in any of inheritance model. Moreover, the distributions of the four expected haplotypes were similar in MS patients and controls. Despite the previously acknowledged role of H19 in regulation of immune response, the mentioned SNPs do not contribute in the pathogenesis of MS in Iranian population. Future studies are needed to assess the associations between other SNPs within this lncRNA and risk of MS.","author":[{"dropping-particle":"","family":"Mazdeh","given":"Mehrdokht","non-dropping-particle":"","parse-names":false,"suffix":""},{"dropping-particle":"","family":"Noroozi","given":"Rezvan","non-dropping-particle":"","parse-names":false,"suffix":""},{"dropping-particle":"","family":"Komaki","given":"Alireza","non-dropping-particle":"","parse-names":false,"suffix":""},{"dropping-particle":"","family":"Taheri","given":"Mohammad","non-dropping-particle":"","parse-names":false,"suffix":""},{"dropping-particle":"","family":"Ghafouri-Fard","given":"Soudeh","non-dropping-particle":"","parse-names":false,"suffix":""}],"container-title":"Meta Gene","id":"ITEM-1","issue":"April","issued":{"date-parts":[["2019"]]},"page":"100592","publisher":"Elsevier","title":"Single nucleotide polymorphisms of lncRNA H19 are not associated with risk of multiple sclerosis in Iranian population","type":"article-journal","volume":"21"},"uris":["http://www.mendeley.com/documents/?uuid=84bdc706-a88a-4bea-8ca3-703545d9322a"]}],"mendeley":{"formattedCitation":"(Mazdeh &lt;i&gt;et al.&lt;/i&gt;, 2019)","plainTextFormattedCitation":"(Mazdeh et al., 2019)","previouslyFormattedCitation":"(Mazdeh &lt;i&gt;et al.&lt;/i&gt;, 2019)"},"properties":{"noteIndex":0},"schema":"https://github.com/citation-style-language/schema/raw/master/csl-citation.json"}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(Mazdeh </w:t>
      </w:r>
      <w:r w:rsidR="00D7754A" w:rsidRPr="00C673E0">
        <w:rPr>
          <w:rFonts w:ascii="Times New Roman" w:hAnsi="Times New Roman"/>
          <w:b/>
          <w:bCs/>
          <w:i/>
          <w:noProof/>
          <w:sz w:val="20"/>
          <w:szCs w:val="20"/>
        </w:rPr>
        <w:t>et al.</w:t>
      </w:r>
      <w:r w:rsidR="00D7754A" w:rsidRPr="00C673E0">
        <w:rPr>
          <w:rFonts w:ascii="Times New Roman" w:hAnsi="Times New Roman"/>
          <w:b/>
          <w:bCs/>
          <w:noProof/>
          <w:sz w:val="20"/>
          <w:szCs w:val="20"/>
        </w:rPr>
        <w:t>, 2019)</w:t>
      </w:r>
      <w:r w:rsidR="006E7628" w:rsidRPr="00C673E0">
        <w:rPr>
          <w:rFonts w:ascii="Times New Roman" w:hAnsi="Times New Roman"/>
          <w:sz w:val="20"/>
          <w:szCs w:val="20"/>
        </w:rPr>
        <w:fldChar w:fldCharType="end"/>
      </w:r>
      <w:r w:rsidR="00D7754A" w:rsidRPr="00C673E0">
        <w:rPr>
          <w:rFonts w:ascii="Times New Roman" w:hAnsi="Times New Roman"/>
          <w:sz w:val="20"/>
          <w:szCs w:val="20"/>
        </w:rPr>
        <w:t xml:space="preserve">. </w:t>
      </w:r>
      <w:r w:rsidR="0096791E" w:rsidRPr="00C673E0">
        <w:rPr>
          <w:rFonts w:ascii="Times New Roman" w:hAnsi="Times New Roman"/>
          <w:sz w:val="20"/>
          <w:szCs w:val="20"/>
        </w:rPr>
        <w:t>Concerning MS as a common autoimmune disease and leading to the immune control and pathogenesis of other autoimmune diseases such as SLE and RA by lncRNAs,</w:t>
      </w:r>
      <w:r w:rsidR="00D7754A" w:rsidRPr="00C673E0">
        <w:rPr>
          <w:rFonts w:ascii="Times New Roman" w:hAnsi="Times New Roman"/>
          <w:sz w:val="20"/>
          <w:szCs w:val="20"/>
        </w:rPr>
        <w:t xml:space="preserve"> an increasing number of research groups have identified lncRNAs that can predict the disease activity and its progression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{"citationItems":[{"id":"ITEM-1","itemData":{"DOI":"10.1038/s12276-018-0188-9","ISSN":"20926413","abstract":"Dysregulation of long noncoding RNA (lncRNA) expression is linked to the development of various diseases. Recently, an emerging body of evidence has indicated that lncRNAs play important roles in the pathogenesis of inflammatory bowel diseases (IBDs), including Crohn's disease (CD) and ulcerative Colitis (UC). In IBD, lncRNAs have been shown to be involved in diverse processes, including the regulation of intestinal epithelial cell apoptosis, association with lipid metabolism, and cell-cell interactions, thereby enhancing inflammation and the functional regulation of regulatory T cells. In this review, we aim to summarize the current knowledge regarding the role of lncRNAs in IBD and highlight potential avenues for future investigation. We also collate potentially immune-relevant, IBD-associated lncRNAs identified through a built-by association analysis with respect to their neighboring protein-coding genes within IBD-susceptible loci. We further underscore their importance by highlighting their enrichment for various aspects of immune system regulation, including antigen processing/presentation, immune cell proliferation and differentiation, and chronic inflammatory responses. Finally, we summarize the potential of lncRNAs as diagnostic biomarkers in IBD.","author":[{"dropping-particle":"","family":"Yarani","given":"Reza","non-dropping-particle":"","parse-names":false,"suffix":""},{"dropping-particle":"","family":"Mirza","given":"Aashiq H.","non-dropping-particle":"","parse-names":false,"suffix":""},{"dropping-particle":"","family":"Kaur","given":"Simranjeet","non-dropping-particle":"","parse-names":false,"suffix":""},{"dropping-particle":"","family":"Pociot","given":"Flemming","non-dropping-particle":"","parse-names":false,"suffix":""}],"container-title":"Experimental and Molecular Medicine","id":"ITEM-1","issue":"12","issued":{"date-parts":[["2018"]]},"publisher":"Springer US","title":"The emerging role of lncrnas in inflammatory bowel disease","type":"article-journal","volume":"50"},"uris":["http://www.mendeley.com/documents/?uuid=ff738171-c32b-4d06-a3c7-9fe80b487458"]},{"id":"ITEM-2","itemData":{"DOI":"10.1016/j.gendis.2016.01.004","ISSN":"23523042","abstract":"Precise and dynamic regulation of gene expression is a key feature of immunity. In recent years, rapid advances in transcriptome profiling analysis have led to recognize long non-coding RNAs (lncRNAs) as an additional layer of gene regulation context. In the immune system, lncRNAs are found to be widely expressed in immune cells including monocytes, macrophages, dendritic cells (DC), neutrophils, T cells and B cells during their development, differentiation and activation. However, the functional importance of immune-related lncRNAs is just emerging to be characterized. In this review, we discuss the up-to-date knowledge of lncRNAs in immune regulation.","author":[{"dropping-particle":"","family":"Geng","given":"Hua","non-dropping-particle":"","parse-names":false,"suffix":""},{"dropping-particle":"","family":"Tan","given":"Xiao-Di","non-dropping-particle":"","parse-names":false,"suffix":""}],"container-title":"Genes and Diseases","id":"ITEM-2","issue":"1","issued":{"date-parts":[["2016"]]},"page":"72-81","publisher":"Elsevier Ltd","title":"Functional diversity of long non-coding RNAs in immune regulation","type":"article-journal","volume":"3"},"uris":["http://www.mendeley.com/documents/?uuid=7d2c2c0e-ec70-4891-9fb4-76e3c958853c"]}],"mendeley":{"formattedCitation":"(Geng and Tan, 2016; Yarani &lt;i&gt;et al.&lt;/i&gt;, 2018)","plainTextFormattedCitation":"(Geng and Tan, 2016; Yarani et al., 2018)","previouslyFormattedCitation":"(Geng and Tan, 2016; Yarani &lt;i&gt;et al.&lt;/i&gt;, 2018)"},"properties":{"noteIndex":0},"schema":"https://github.com/citation-style-language/schema/raw/master/csl-citation.json"}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(Geng and Tan, 2016; Yarani </w:t>
      </w:r>
      <w:r w:rsidR="00D7754A" w:rsidRPr="00C673E0">
        <w:rPr>
          <w:rFonts w:ascii="Times New Roman" w:hAnsi="Times New Roman"/>
          <w:b/>
          <w:bCs/>
          <w:i/>
          <w:noProof/>
          <w:sz w:val="20"/>
          <w:szCs w:val="20"/>
        </w:rPr>
        <w:t>et al.</w:t>
      </w:r>
      <w:r w:rsidR="00D7754A" w:rsidRPr="00C673E0">
        <w:rPr>
          <w:rFonts w:ascii="Times New Roman" w:hAnsi="Times New Roman"/>
          <w:b/>
          <w:bCs/>
          <w:noProof/>
          <w:sz w:val="20"/>
          <w:szCs w:val="20"/>
        </w:rPr>
        <w:t>, 2018)</w:t>
      </w:r>
      <w:r w:rsidR="006E7628" w:rsidRPr="00C673E0">
        <w:rPr>
          <w:rFonts w:ascii="Times New Roman" w:hAnsi="Times New Roman"/>
          <w:sz w:val="20"/>
          <w:szCs w:val="20"/>
        </w:rPr>
        <w:fldChar w:fldCharType="end"/>
      </w:r>
      <w:r w:rsidR="00D7754A" w:rsidRPr="00C673E0">
        <w:rPr>
          <w:rFonts w:ascii="Times New Roman" w:hAnsi="Times New Roman"/>
          <w:b/>
          <w:bCs/>
          <w:sz w:val="20"/>
          <w:szCs w:val="20"/>
        </w:rPr>
        <w:t>.</w:t>
      </w:r>
      <w:r w:rsidR="00D7754A" w:rsidRPr="00C673E0">
        <w:rPr>
          <w:rFonts w:ascii="Times New Roman" w:hAnsi="Times New Roman"/>
          <w:sz w:val="20"/>
          <w:szCs w:val="20"/>
        </w:rPr>
        <w:t xml:space="preserve"> </w:t>
      </w:r>
      <w:r w:rsidR="001C1D76" w:rsidRPr="00C673E0">
        <w:rPr>
          <w:rFonts w:ascii="Times New Roman" w:hAnsi="Times New Roman"/>
          <w:sz w:val="20"/>
          <w:szCs w:val="20"/>
        </w:rPr>
        <w:t>T</w:t>
      </w:r>
      <w:r w:rsidR="00D7754A" w:rsidRPr="00C673E0">
        <w:rPr>
          <w:rFonts w:ascii="Times New Roman" w:hAnsi="Times New Roman"/>
          <w:sz w:val="20"/>
          <w:szCs w:val="20"/>
        </w:rPr>
        <w:t xml:space="preserve">o </w:t>
      </w:r>
      <w:r w:rsidR="00800C65" w:rsidRPr="00C673E0">
        <w:rPr>
          <w:rFonts w:ascii="Times New Roman" w:hAnsi="Times New Roman"/>
          <w:sz w:val="20"/>
          <w:szCs w:val="20"/>
        </w:rPr>
        <w:t xml:space="preserve">today, MS diagnosis is dependent on </w:t>
      </w:r>
      <w:r w:rsidR="00D7754A" w:rsidRPr="00C673E0">
        <w:rPr>
          <w:rFonts w:ascii="Times New Roman" w:hAnsi="Times New Roman"/>
          <w:sz w:val="20"/>
          <w:szCs w:val="20"/>
        </w:rPr>
        <w:t xml:space="preserve">clinical evidence. </w:t>
      </w:r>
      <w:r w:rsidR="00041B4D" w:rsidRPr="00C673E0">
        <w:rPr>
          <w:rFonts w:ascii="Times New Roman" w:hAnsi="Times New Roman"/>
          <w:sz w:val="20"/>
          <w:szCs w:val="20"/>
        </w:rPr>
        <w:t xml:space="preserve">However, early signs </w:t>
      </w:r>
    </w:p>
    <w:p w:rsidR="00D7754A" w:rsidRPr="00C673E0" w:rsidRDefault="00041B4D" w:rsidP="00044944">
      <w:pPr>
        <w:snapToGrid w:val="0"/>
        <w:spacing w:after="0" w:line="240" w:lineRule="auto"/>
        <w:jc w:val="both"/>
        <w:rPr>
          <w:rFonts w:ascii="Times New Roman" w:hAnsi="Times New Roman"/>
          <w:sz w:val="20"/>
          <w:szCs w:val="20"/>
        </w:rPr>
      </w:pPr>
      <w:r w:rsidRPr="00C673E0">
        <w:rPr>
          <w:rFonts w:ascii="Times New Roman" w:hAnsi="Times New Roman"/>
          <w:sz w:val="20"/>
          <w:szCs w:val="20"/>
        </w:rPr>
        <w:lastRenderedPageBreak/>
        <w:t>of MS may be nonspecific in many cases. MRI will aid in the diagnosis, but the detection of MS would be much more straightforward and inexpensive with a simple specific lab test</w:t>
      </w:r>
      <w:r w:rsidR="00D7754A" w:rsidRPr="00C673E0">
        <w:rPr>
          <w:rFonts w:ascii="Times New Roman" w:hAnsi="Times New Roman"/>
          <w:sz w:val="20"/>
          <w:szCs w:val="20"/>
        </w:rPr>
        <w:t xml:space="preserve">. </w:t>
      </w:r>
      <w:r w:rsidR="00CB150C" w:rsidRPr="00C673E0">
        <w:rPr>
          <w:rFonts w:ascii="Times New Roman" w:hAnsi="Times New Roman"/>
          <w:sz w:val="20"/>
          <w:szCs w:val="20"/>
        </w:rPr>
        <w:t>As they are simple to acquire, stable, fast to identify by popular molecular biology techniques (e.g. real-time quantitative PCR), quantifiable, cost-effective, and tissue/disease specific, LncRNAs have proved to be useful diagnostic biomarkers of different diseases</w:t>
      </w:r>
      <w:r w:rsidR="00D7754A" w:rsidRPr="00C673E0">
        <w:rPr>
          <w:rFonts w:ascii="Times New Roman" w:hAnsi="Times New Roman"/>
          <w:sz w:val="20"/>
          <w:szCs w:val="20"/>
        </w:rPr>
        <w:t xml:space="preserve">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{"citationItems":[{"id":"ITEM-1","itemData":{"DOI":"10.1186/s13148-018-0586-9","ISBN":"1314801805","ISSN":"1868-7075","abstract":"Multiple sclerosis (MS), a chronic inflammatory demyelinating disease of the central nervous system, is characterized by axonal degeneration and gliosis. Although the causes of MS remain unknown, gene dysregulation in the central nervous system has been associated with the disease pathogenesis. As such, the various regulators of gene expression may be contributing factors. The noncoding (nc) RNAs have piqued the interest of MS researchers due to their known functions in human physiology and various pathological processes, despite being generally characterized as transcripts without apparent protein-coding capacity. Accumulating evidence has indicated that ncRNAs participate in the regulation of MS by acting as epigenetic factors, especially the long (l) ncRNAs and the micro (mi) RNAs, and they are now recognized as key regulatory molecules in MS. In this review, we summarize the most current studies on the contribution of ncRNAs in MS pathogenic processes and discuss their potential applications in the diagnosis and treatment of MS.","author":[{"dropping-particle":"","family":"Yang","given":"Xuan","non-dropping-particle":"","parse-names":false,"suffix":""},{"dropping-particle":"","family":"Wu","given":"Yuzhang","non-dropping-particle":"","parse-names":false,"suffix":""},{"dropping-particle":"","family":"Zhang","given":"Bei","non-dropping-particle":"","parse-names":false,"suffix":""},{"dropping-particle":"","family":"Ni","given":"Bing","non-dropping-particle":"","parse-names":false,"suffix":""}],"container-title":"Clinical Epigenetics","id":"ITEM-1","issue":"1","issued":{"date-parts":[["2018"]]},"page":"1-12","publisher":"Clinical Epigenetics","title":"Noncoding RNAs in multiple sclerosis","type":"article-journal","volume":"10"},"uris":["http://www.mendeley.com/documents/?uuid=e18be312-93b5-4d4e-9956-3e8a6b107b0f"]}],"mendeley":{"formattedCitation":"(Yang &lt;i&gt;et al.&lt;/i&gt;, 2018)","plainTextFormattedCitation":"(Yang et al., 2018)","previouslyFormattedCitation":"(Yang &lt;i&gt;et al.&lt;/i&gt;, 2018)"},"properties":{"noteIndex":0},"schema":"https://github.com/citation-style-language/schema/raw/master/csl-citation.json"}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(Yang </w:t>
      </w:r>
      <w:r w:rsidR="00D7754A" w:rsidRPr="00C673E0">
        <w:rPr>
          <w:rFonts w:ascii="Times New Roman" w:hAnsi="Times New Roman"/>
          <w:b/>
          <w:bCs/>
          <w:i/>
          <w:noProof/>
          <w:sz w:val="20"/>
          <w:szCs w:val="20"/>
        </w:rPr>
        <w:t>et al.</w:t>
      </w:r>
      <w:r w:rsidR="00D7754A" w:rsidRPr="00C673E0">
        <w:rPr>
          <w:rFonts w:ascii="Times New Roman" w:hAnsi="Times New Roman"/>
          <w:b/>
          <w:bCs/>
          <w:noProof/>
          <w:sz w:val="20"/>
          <w:szCs w:val="20"/>
        </w:rPr>
        <w:t>, 2018)</w:t>
      </w:r>
      <w:r w:rsidR="006E7628" w:rsidRPr="00C673E0">
        <w:rPr>
          <w:rFonts w:ascii="Times New Roman" w:hAnsi="Times New Roman"/>
          <w:sz w:val="20"/>
          <w:szCs w:val="20"/>
        </w:rPr>
        <w:fldChar w:fldCharType="end"/>
      </w:r>
      <w:r w:rsidR="00D7754A" w:rsidRPr="00C673E0">
        <w:rPr>
          <w:rFonts w:ascii="Times New Roman" w:hAnsi="Times New Roman"/>
          <w:sz w:val="20"/>
          <w:szCs w:val="20"/>
        </w:rPr>
        <w:t>.</w:t>
      </w:r>
    </w:p>
    <w:p w:rsidR="003E3F44" w:rsidRPr="00C673E0" w:rsidRDefault="00D7754A" w:rsidP="00644513">
      <w:pPr>
        <w:snapToGrid w:val="0"/>
        <w:spacing w:after="0" w:line="240" w:lineRule="auto"/>
        <w:ind w:firstLine="425"/>
        <w:jc w:val="both"/>
        <w:rPr>
          <w:rFonts w:ascii="Times New Roman" w:hAnsi="Times New Roman"/>
          <w:sz w:val="20"/>
          <w:szCs w:val="20"/>
        </w:rPr>
      </w:pPr>
      <w:r w:rsidRPr="00C673E0">
        <w:rPr>
          <w:rFonts w:ascii="Times New Roman" w:hAnsi="Times New Roman"/>
          <w:sz w:val="20"/>
          <w:szCs w:val="20"/>
        </w:rPr>
        <w:t>LncRNA-H19</w:t>
      </w:r>
      <w:r w:rsidR="00500C57" w:rsidRPr="00C673E0">
        <w:rPr>
          <w:rFonts w:ascii="Times New Roman" w:hAnsi="Times New Roman"/>
          <w:sz w:val="20"/>
          <w:szCs w:val="20"/>
        </w:rPr>
        <w:t xml:space="preserve"> is an imprinted gene which is expressed only by the maternal allele, located on chromosome 7 in mice and chromosome 11 in humans </w:t>
      </w:r>
      <w:r w:rsidR="006E7628" w:rsidRPr="006E7628">
        <w:rPr>
          <w:rFonts w:ascii="Times New Roman" w:hAnsi="Times New Roman"/>
          <w:b/>
          <w:bCs/>
          <w:sz w:val="20"/>
          <w:szCs w:val="20"/>
        </w:rPr>
        <w:fldChar w:fldCharType="begin" w:fldLock="1"/>
      </w:r>
      <w:r w:rsidRPr="00C673E0">
        <w:rPr>
          <w:rFonts w:ascii="Times New Roman" w:hAnsi="Times New Roman"/>
          <w:b/>
          <w:bCs/>
          <w:sz w:val="20"/>
          <w:szCs w:val="20"/>
        </w:rPr>
        <w:instrText>ADDIN CSL_CITATION {"citationItems":[{"id":"ITEM-1","itemData":{"DOI":"10.1016/j.yexcr.2017.09.007","ISSN":"10902422","abstract":"The long non-coding RNAs (lncRNAs) have gained much attention due to its essential roles in molecular regulation. As one of the classic lncRNAs, H19 is strongly expressed during embryogenesis and plays a crucial biological function during development. Mesenchymal stem cells (MSCs) are an ideal cell source for tissue engineering in musculoskeletal system as they own the multi-differentiation ability towards osteogenesis, adipogenesis, tenogenesis or chondrogenesis. In recent years, many studies have been found in the field of H19 mediated cellular differentiation of MSCs. Here, we summarized the current understanding of H19 during multi-differentiation of MSCs and its application in tissue regeneration of musculoskeletal system. Particularly, its molecular regulation and biological function during the multi-differentiation were also discussed.","author":[{"dropping-particle":"","family":"Liu","given":"Yang","non-dropping-particle":"","parse-names":false,"suffix":""},{"dropping-particle":"","family":"Li","given":"Gang","non-dropping-particle":"","parse-names":false,"suffix":""},{"dropping-particle":"","family":"Zhang","given":"Jin fang","non-dropping-particle":"","parse-names":false,"suffix":""}],"container-title":"Experimental Cell Research","id":"ITEM-1","issue":"2","issued":{"date-parts":[["2017"]]},"page":"61-65","publisher":"Elsevier Inc.","title":"The role of long non-coding RNA H19 in musculoskeletal system: A new player in an old game","type":"article-journal","volume":"360"},"uris":["http://www.mendeley.com/documents/?uuid=d642be23-f2e2-461b-8eee-5a4c45c56fb7"]},{"id":"ITEM-2","itemData":{"DOI":"10.1002/cmdc.201300534","author":[{"dropping-particle":"","family":"Bhan","given":"Arunoday","non-dropping-particle":"","parse-names":false,"suffix":""},{"dropping-particle":"","family":"Mandal","given":"Subhrangsu S","non-dropping-particle":"","parse-names":false,"suffix":""}],"id":"ITEM-2","issued":{"date-parts":[["2014"]]},"page":"1932-1956","title":"Long Noncoding RNAs : Emerging Stars in Gene Regulation , Epigenetics and Human Disease","type":"article-journal"},"uris":["http://www.mendeley.com/documents/?uuid=4d7f38ed-8f41-495d-9fd3-d0bcfda6f141"]}],"mendeley":{"formattedCitation":"(Bhan and Mandal, 2014; Liu, Li and Zhang, 2017)","manualFormatting":"(Bhan and Mandal, 2014; Liu et al., 2017)","plainTextFormattedCitation":"(Bhan and Mandal, 2014; Liu, Li and Zhang, 2017)","previouslyFormattedCitation":"(Bhan and Mandal, 2014; Liu, Li and Zhang, 2017)"},"properties":{"noteIndex":0},"schema":"https://github.com/citation-style-language/schema/raw/master/csl-citation.json"}</w:instrText>
      </w:r>
      <w:r w:rsidR="006E7628" w:rsidRPr="006E7628">
        <w:rPr>
          <w:rFonts w:ascii="Times New Roman" w:hAnsi="Times New Roman"/>
          <w:b/>
          <w:bCs/>
          <w:sz w:val="20"/>
          <w:szCs w:val="20"/>
        </w:rPr>
        <w:fldChar w:fldCharType="separate"/>
      </w:r>
      <w:r w:rsidRPr="00C673E0">
        <w:rPr>
          <w:rFonts w:ascii="Times New Roman" w:hAnsi="Times New Roman"/>
          <w:b/>
          <w:bCs/>
          <w:noProof/>
          <w:sz w:val="20"/>
          <w:szCs w:val="20"/>
        </w:rPr>
        <w:t xml:space="preserve">(Bhan and Mandal, 2014; Liu </w:t>
      </w:r>
      <w:r w:rsidRPr="00C673E0">
        <w:rPr>
          <w:rFonts w:ascii="Times New Roman" w:hAnsi="Times New Roman"/>
          <w:b/>
          <w:bCs/>
          <w:i/>
          <w:iCs/>
          <w:noProof/>
          <w:sz w:val="20"/>
          <w:szCs w:val="20"/>
        </w:rPr>
        <w:t>et al</w:t>
      </w:r>
      <w:r w:rsidRPr="00C673E0">
        <w:rPr>
          <w:rFonts w:ascii="Times New Roman" w:hAnsi="Times New Roman"/>
          <w:b/>
          <w:bCs/>
          <w:noProof/>
          <w:sz w:val="20"/>
          <w:szCs w:val="20"/>
        </w:rPr>
        <w:t>., 2017)</w:t>
      </w:r>
      <w:r w:rsidR="006E7628" w:rsidRPr="00C673E0">
        <w:rPr>
          <w:rFonts w:ascii="Times New Roman" w:hAnsi="Times New Roman"/>
          <w:sz w:val="20"/>
          <w:szCs w:val="20"/>
        </w:rPr>
        <w:fldChar w:fldCharType="end"/>
      </w:r>
      <w:r w:rsidRPr="00C673E0">
        <w:rPr>
          <w:rFonts w:ascii="Times New Roman" w:hAnsi="Times New Roman"/>
          <w:sz w:val="20"/>
          <w:szCs w:val="20"/>
        </w:rPr>
        <w:t xml:space="preserve">. Several studies showed that H19 is related to several malignancies. It is </w:t>
      </w:r>
      <w:r w:rsidR="008B4C86" w:rsidRPr="00C673E0">
        <w:rPr>
          <w:rFonts w:ascii="Times New Roman" w:hAnsi="Times New Roman"/>
          <w:sz w:val="20"/>
          <w:szCs w:val="20"/>
        </w:rPr>
        <w:t xml:space="preserve">one of the lncRNAs with a putative role in regulating </w:t>
      </w:r>
      <w:r w:rsidRPr="00C673E0">
        <w:rPr>
          <w:rFonts w:ascii="Times New Roman" w:hAnsi="Times New Roman"/>
          <w:sz w:val="20"/>
          <w:szCs w:val="20"/>
        </w:rPr>
        <w:t xml:space="preserve">of immune response </w:t>
      </w:r>
      <w:r w:rsidRPr="00C673E0">
        <w:rPr>
          <w:rFonts w:ascii="Times New Roman" w:hAnsi="Times New Roman"/>
          <w:b/>
          <w:bCs/>
          <w:sz w:val="20"/>
          <w:szCs w:val="20"/>
        </w:rPr>
        <w:t xml:space="preserve">(Safari </w:t>
      </w:r>
      <w:r w:rsidRPr="00C673E0">
        <w:rPr>
          <w:rFonts w:ascii="Times New Roman" w:hAnsi="Times New Roman"/>
          <w:b/>
          <w:bCs/>
          <w:i/>
          <w:iCs/>
          <w:sz w:val="20"/>
          <w:szCs w:val="20"/>
        </w:rPr>
        <w:t>et al</w:t>
      </w:r>
      <w:r w:rsidRPr="00C673E0">
        <w:rPr>
          <w:rFonts w:ascii="Times New Roman" w:hAnsi="Times New Roman"/>
          <w:b/>
          <w:bCs/>
          <w:sz w:val="20"/>
          <w:szCs w:val="20"/>
        </w:rPr>
        <w:t>., 2019)</w:t>
      </w:r>
      <w:r w:rsidRPr="00C673E0">
        <w:rPr>
          <w:rFonts w:ascii="Times New Roman" w:hAnsi="Times New Roman"/>
          <w:sz w:val="20"/>
          <w:szCs w:val="20"/>
        </w:rPr>
        <w:t xml:space="preserve">. Of interest, H19 has been found to play an important role in RA </w:t>
      </w:r>
      <w:r w:rsidR="006E7628" w:rsidRPr="006E7628">
        <w:rPr>
          <w:rFonts w:ascii="Times New Roman" w:hAnsi="Times New Roman"/>
          <w:b/>
          <w:bCs/>
          <w:sz w:val="20"/>
          <w:szCs w:val="20"/>
        </w:rPr>
        <w:fldChar w:fldCharType="begin" w:fldLock="1"/>
      </w:r>
      <w:r w:rsidRPr="00C673E0">
        <w:rPr>
          <w:rFonts w:ascii="Times New Roman" w:hAnsi="Times New Roman"/>
          <w:b/>
          <w:bCs/>
          <w:sz w:val="20"/>
          <w:szCs w:val="20"/>
        </w:rPr>
        <w:instrText>ADDIN CSL_CITATION {"citationItems":[{"id":"ITEM-1","itemData":{"DOI":"10.1016/S0002-9440(10)63450-5","ISSN":"00029440","abstract":"The expression of oncofetal H19 RNA and its localization/cellular source was analyzed in synovial tissue (ST) and isolated synovial macrophages (MO) or synovial fibroblasts (SFBs) by reverse transcriptase-polymerase chain reaction (RT-PCR), in situ hybridization, and immunohistochemistry. RT-PCR showed significantly higher H19 expression in ST from patients with rheumatoid arthritis (RA) (P = 0.000) and osteoarthritis (OA) (P = 0.009) than in normal/joint trauma controls (N/JT), but comparable levels in reactive arthritis. In situ hybridization demonstrated strong signals in all RA-ST samples (n = 8), with ≥85% positive cells in the lining layer, diffuse infiltrates, and stroma regions. In lymphoid aggregates and endothelial cells only 20% were positive. RA-ST contained a significantly higher percentage of strongly positive lining cells than OA-ST and N/JT-ST. H19 RNA was expressed in both Mφ and SFBs, as confirmed by RT-PCR in isolated RA Mφ and SFBs (n = 3). In RA-SFBs, low constitutive H19 RNA expression in culture (10% fetal calf serum) was strongly increased on starvation (3.5-fold, 1% fetal calf serum), with or without the addition of interleukin-1β (10 to 100 U/mi), tumor necrosis factor-α (1 to 25 ng/ml), or platelet-derived growth factor-BB (2.5 to 10 U/ml). In OA-SFBs, this starvation-induced increase was lower (twofold), reaching significant differences compared with RA-SFBs after stimulation with interleukin-1β and platelet-derived growth factor-BB. In both RA- and OA-SFBs, the MAP-kinase ERK-1/2 pathway and the phosphatidylinositol-3 kinase pathway influenced H19 RNA expression, as shown by inhibitor studies. Significant overexpression of H19 RNA and its increased sensitivity to starvation/cytokine regulation in RA suggests a pathogenetic role of this oncofetal gene, possibly reflecting embryonal dedifferentiation of the adult ST and/or ongoing inflammatory/oxidative stress.","author":[{"dropping-particle":"","family":"Stuhlmüller","given":"Bruno","non-dropping-particle":"","parse-names":false,"suffix":""},{"dropping-particle":"","family":"Kunisch","given":"Elke","non-dropping-particle":"","parse-names":false,"suffix":""},{"dropping-particle":"","family":"Franz","given":"Juliane","non-dropping-particle":"","parse-names":false,"suffix":""},{"dropping-particle":"","family":"Martinez-Gamboa","given":"Lorena","non-dropping-particle":"","parse-names":false,"suffix":""},{"dropping-particle":"","family":"Hernandez","given":"Maria M.","non-dropping-particle":"","parse-names":false,"suffix":""},{"dropping-particle":"","family":"Pruss","given":"Axel","non-dropping-particle":"","parse-names":false,"suffix":""},{"dropping-particle":"","family":"Ulbrich","given":"Norbert","non-dropping-particle":"","parse-names":false,"suffix":""},{"dropping-particle":"","family":"Erdmann","given":"Volker A.","non-dropping-particle":"","parse-names":false,"suffix":""},{"dropping-particle":"","family":"Burmester","given":"Gerd R.","non-dropping-particle":"","parse-names":false,"suffix":""},{"dropping-particle":"","family":"Kinnet","given":"Raimund W.","non-dropping-particle":"","parse-names":false,"suffix":""}],"container-title":"American Journal of Pathology","id":"ITEM-1","issue":"3","issued":{"date-parts":[["2003"]]},"page":"901-911","title":"Detection of oncofetal H19 RNA in rheumatoid arthritis synovial tissue","type":"article-journal","volume":"163"},"uris":["http://www.mendeley.com/documents/?uuid=f14a76e6-3fcb-414a-a138-1cfdf288dd4b"]}],"mendeley":{"formattedCitation":"(Stuhlmüller &lt;i&gt;et al.&lt;/i&gt;, 2003)","plainTextFormattedCitation":"(Stuhlmüller et al., 2003)","previouslyFormattedCitation":"(Stuhlmüller &lt;i&gt;et al.&lt;/i&gt;, 2003)"},"properties":{"noteIndex":0},"schema":"https://github.com/citation-style-language/schema/raw/master/csl-citation.json"}</w:instrText>
      </w:r>
      <w:r w:rsidR="006E7628" w:rsidRPr="006E7628">
        <w:rPr>
          <w:rFonts w:ascii="Times New Roman" w:hAnsi="Times New Roman"/>
          <w:b/>
          <w:bCs/>
          <w:sz w:val="20"/>
          <w:szCs w:val="20"/>
        </w:rPr>
        <w:fldChar w:fldCharType="separate"/>
      </w:r>
      <w:r w:rsidRPr="00C673E0">
        <w:rPr>
          <w:rFonts w:ascii="Times New Roman" w:hAnsi="Times New Roman"/>
          <w:b/>
          <w:bCs/>
          <w:noProof/>
          <w:sz w:val="20"/>
          <w:szCs w:val="20"/>
        </w:rPr>
        <w:t xml:space="preserve">(Stuhlmüller </w:t>
      </w:r>
      <w:r w:rsidRPr="00C673E0">
        <w:rPr>
          <w:rFonts w:ascii="Times New Roman" w:hAnsi="Times New Roman"/>
          <w:b/>
          <w:bCs/>
          <w:i/>
          <w:noProof/>
          <w:sz w:val="20"/>
          <w:szCs w:val="20"/>
        </w:rPr>
        <w:t>et al.</w:t>
      </w:r>
      <w:r w:rsidRPr="00C673E0">
        <w:rPr>
          <w:rFonts w:ascii="Times New Roman" w:hAnsi="Times New Roman"/>
          <w:b/>
          <w:bCs/>
          <w:noProof/>
          <w:sz w:val="20"/>
          <w:szCs w:val="20"/>
        </w:rPr>
        <w:t>, 2003)</w:t>
      </w:r>
      <w:r w:rsidR="006E7628" w:rsidRPr="00C673E0">
        <w:rPr>
          <w:rFonts w:ascii="Times New Roman" w:hAnsi="Times New Roman"/>
          <w:sz w:val="20"/>
          <w:szCs w:val="20"/>
        </w:rPr>
        <w:fldChar w:fldCharType="end"/>
      </w:r>
      <w:r w:rsidRPr="00C673E0">
        <w:rPr>
          <w:rFonts w:ascii="Times New Roman" w:hAnsi="Times New Roman"/>
          <w:sz w:val="20"/>
          <w:szCs w:val="20"/>
        </w:rPr>
        <w:t>.</w:t>
      </w:r>
    </w:p>
    <w:p w:rsidR="00076291" w:rsidRPr="00C673E0" w:rsidRDefault="003E3F44" w:rsidP="00644513">
      <w:pPr>
        <w:snapToGrid w:val="0"/>
        <w:spacing w:after="0" w:line="240" w:lineRule="auto"/>
        <w:ind w:firstLine="425"/>
        <w:jc w:val="both"/>
        <w:rPr>
          <w:rFonts w:ascii="Times New Roman" w:hAnsi="Times New Roman"/>
          <w:sz w:val="20"/>
          <w:szCs w:val="20"/>
        </w:rPr>
      </w:pPr>
      <w:r w:rsidRPr="00C673E0">
        <w:rPr>
          <w:rFonts w:ascii="Times New Roman" w:hAnsi="Times New Roman"/>
          <w:sz w:val="20"/>
          <w:szCs w:val="20"/>
        </w:rPr>
        <w:t>L</w:t>
      </w:r>
      <w:r w:rsidR="00D7754A" w:rsidRPr="00C673E0">
        <w:rPr>
          <w:rFonts w:ascii="Times New Roman" w:hAnsi="Times New Roman"/>
          <w:sz w:val="20"/>
          <w:szCs w:val="20"/>
        </w:rPr>
        <w:t xml:space="preserve">ong </w:t>
      </w:r>
      <w:r w:rsidR="002A0512" w:rsidRPr="00C673E0">
        <w:rPr>
          <w:rFonts w:ascii="Times New Roman" w:hAnsi="Times New Roman"/>
          <w:sz w:val="20"/>
          <w:szCs w:val="20"/>
        </w:rPr>
        <w:t xml:space="preserve">RNA-p21 intergenic noncoding (lincRNA-p21) is found in mice on chromosome 17 </w:t>
      </w:r>
      <w:r w:rsidR="00D7754A" w:rsidRPr="00C673E0">
        <w:rPr>
          <w:rFonts w:ascii="Times New Roman" w:hAnsi="Times New Roman"/>
          <w:sz w:val="20"/>
          <w:szCs w:val="20"/>
        </w:rPr>
        <w:t xml:space="preserve">and chromosome 6 in human. It regulates apoptosis in response to p53 signaling. It is implicated in the development and progression of human diseases, particularly in cancer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{"citationItems":[{"id":"ITEM-1","itemData":{"DOI":"10.1093/nar/gkw599","ISSN":"13624962","abstract":"LincRNA-p21 is a long intergenic non-coding RNA (lincRNA) involved in the p53-mediated stress response. We sequenced the human lincRNA-p21 (hLincRNA-p21) and found that it has a single exon that includes inverted repeat Alu elements (IRAlus). Sense and antisense Alu elements fold independently of one another into a secondary structure that is conserved in lincRNA-p21 among primates. Moreover, the structures formed by IRAlus are involved in the localization of hLincRNA-p21 in the nucleus, where hLincRNA-p21 colocalizes with paraspeckles. Our results underscore the importance of IRAlus structures for the function of hLincRNA-p21 during the stress response.","author":[{"dropping-particle":"","family":"Chillón","given":"Isabel","non-dropping-particle":"","parse-names":false,"suffix":""},{"dropping-particle":"","family":"Pyle","given":"Anna M.","non-dropping-particle":"","parse-names":false,"suffix":""}],"container-title":"Nucleic Acids Research","id":"ITEM-1","issue":"19","issued":{"date-parts":[["2016"]]},"page":"9462-9471","title":"Inverted repeat Alu elements in the human lincRNA-p21 adopt a conserved secondary structure that regulates RNA function","type":"article-journal","volume":"44"},"uris":["http://www.mendeley.com/documents/?uuid=9d66b653-ad9d-4b66-ba2d-5f39697fe745"]},{"id":"ITEM-2","itemData":{"DOI":"10.3390/ijms160818732","ISBN":"8676922896","ISSN":"14220067","abstract":"Long noncoding RNAs (lncRNAs), which lack significant protein-coding capacity, regulate various biological processes through diverse and as yet poorly understood molecular mechanisms. However, a number of studies in the past few years have documented important functions for lncRNAs in human diseases. Among these lncRNAs, lincRNA-p21 has been proposed to be a novel regulator of cell proliferation, apoptosis and DNA damage response, and involved in the initiation and progression of human diseases. In this review, we summarize the current knowledge of lincRNA-p21, mainly focus on the known biological functions and its underlying mechanisms. Moreover, we highlight the growing body of evidences for the importance of lincRNA-p21 in diverse human diseases, which indicate lincRNA-p21 as a potential diagnostic marker and/or a valuable therapeutic target for these diseases.","author":[{"dropping-particle":"","family":"Tang","given":"Sai Sai","non-dropping-particle":"","parse-names":false,"suffix":""},{"dropping-particle":"","family":"Zheng","given":"Bi Ying","non-dropping-particle":"","parse-names":false,"suffix":""},{"dropping-particle":"","family":"Xiong","given":"Xing Dong","non-dropping-particle":"","parse-names":false,"suffix":""}],"container-title":"International Journal of Molecular Sciences","id":"ITEM-2","issue":"8","issued":{"date-parts":[["2015"]]},"page":"18732-18740","title":"LincRNA-p21: Implications in human diseases","type":"article-journal","volume":"16"},"uris":["http://www.mendeley.com/documents/?uuid=470e91ab-8dbd-4b56-ad49-dcaeb1915c00"]}],"mendeley":{"formattedCitation":"(Tang, Zheng and Xiong, 2015; Chillón and Pyle, 2016)","manualFormatting":"(Tang et al., 2015; Chillón and Pyle, 2016)","plainTextFormattedCitation":"(Tang, Zheng and Xiong, 2015; Chillón and Pyle, 2016)","previouslyFormattedCitation":"(Tang, Zheng and Xiong, 2015; Chillón and Pyle, 2016)"},"properties":{"noteIndex":0},"schema":"https://github.com/citation-style-language/schema/raw/master/csl-citation.json"}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(Tang </w:t>
      </w:r>
      <w:r w:rsidR="00D7754A" w:rsidRPr="00C673E0">
        <w:rPr>
          <w:rFonts w:ascii="Times New Roman" w:hAnsi="Times New Roman"/>
          <w:b/>
          <w:bCs/>
          <w:i/>
          <w:iCs/>
          <w:noProof/>
          <w:sz w:val="20"/>
          <w:szCs w:val="20"/>
        </w:rPr>
        <w:t>et al</w:t>
      </w:r>
      <w:r w:rsidR="00D7754A" w:rsidRPr="00C673E0">
        <w:rPr>
          <w:rFonts w:ascii="Times New Roman" w:hAnsi="Times New Roman"/>
          <w:b/>
          <w:bCs/>
          <w:noProof/>
          <w:sz w:val="20"/>
          <w:szCs w:val="20"/>
        </w:rPr>
        <w:t>., 2015; Chillón and Pyle, 2016)</w:t>
      </w:r>
      <w:r w:rsidR="006E7628" w:rsidRPr="00C673E0">
        <w:rPr>
          <w:rFonts w:ascii="Times New Roman" w:hAnsi="Times New Roman"/>
          <w:sz w:val="20"/>
          <w:szCs w:val="20"/>
        </w:rPr>
        <w:fldChar w:fldCharType="end"/>
      </w:r>
      <w:r w:rsidR="00D7754A" w:rsidRPr="00C673E0">
        <w:rPr>
          <w:rFonts w:ascii="Times New Roman" w:hAnsi="Times New Roman"/>
          <w:sz w:val="20"/>
          <w:szCs w:val="20"/>
        </w:rPr>
        <w:t xml:space="preserve">. Interestingly, it was revealed that lincRNA-p21 is correlated with RA by </w:t>
      </w:r>
      <w:r w:rsidR="006C5F80" w:rsidRPr="00C673E0">
        <w:rPr>
          <w:rFonts w:ascii="Times New Roman" w:hAnsi="Times New Roman"/>
          <w:sz w:val="20"/>
          <w:szCs w:val="20"/>
        </w:rPr>
        <w:t>suppressing the activation of the signaling pathway of the nuclear factor kappa-B</w:t>
      </w:r>
      <w:r w:rsidRPr="00C673E0">
        <w:rPr>
          <w:rFonts w:ascii="Times New Roman" w:hAnsi="Times New Roman"/>
          <w:sz w:val="20"/>
          <w:szCs w:val="20"/>
        </w:rPr>
        <w:t xml:space="preserve"> </w:t>
      </w:r>
      <w:r w:rsidR="006C5F80" w:rsidRPr="00C673E0">
        <w:rPr>
          <w:rFonts w:ascii="Times New Roman" w:hAnsi="Times New Roman"/>
          <w:sz w:val="20"/>
          <w:szCs w:val="20"/>
        </w:rPr>
        <w:t xml:space="preserve">(NF-κB) </w:t>
      </w:r>
      <w:r w:rsidR="006E7628" w:rsidRPr="006E7628">
        <w:rPr>
          <w:rFonts w:ascii="Times New Roman" w:hAnsi="Times New Roman"/>
          <w:b/>
          <w:bCs/>
          <w:sz w:val="20"/>
          <w:szCs w:val="20"/>
        </w:rPr>
        <w:fldChar w:fldCharType="begin" w:fldLock="1"/>
      </w:r>
      <w:r w:rsidR="00D7754A" w:rsidRPr="00C673E0">
        <w:rPr>
          <w:rFonts w:ascii="Times New Roman" w:hAnsi="Times New Roman"/>
          <w:b/>
          <w:bCs/>
          <w:sz w:val="20"/>
          <w:szCs w:val="20"/>
        </w:rPr>
        <w:instrText>ADDIN CSL_CITATION {"citationItems":[{"id":"ITEM-1","itemData":{"DOI":"10.3851/IMP2701.Changes","ISBN":"0000000000000","ISSN":"00029378","PMID":"19121661","abstract":"OBJECTIVE.: We sought to determine interrelationships among expression of lincRNA-p21, a long intergenic non-coding RNA, activity of NF-κB, and responses to methotrexate in rheumatoid arthritis (RA) by analyzing patient samples and cell culture models. METHODS.: Expression levels of long non-coding RNAs and messenger RNAs were determined by quantitative reverse transcription-polymerase chain reaction. Western blotting and flow cytometry were used to quantify levels of intracellular proteins. Intracellular NF-κB was determined using an NF-κB luciferase reporter plasmid. RESULTS.: RA patients expressed reduced basal levels of lincRNA-p21 and increased basal levels of phosphorylated p65 (RelA), a marker of NF-κB activation. RA subjects not receiving MTX expressed lower levels of lincRNA-p21 and higher levels of phosphorylated p65 compared to RA subjects receiving low-dose MTX. In cell culture using primary cells and transformed cell lines, we found that MTX induced lincRNA-p21 through a DNA-PKcs-dependent mechanism. Deficiencies of PRKDC mRNA levels in RA subjects were also corrected by MTX, in vivo. Further, MTX lowered NF-κB activity in TNF-α treated cells through a DNA-PKcs-dependent mechanism via induction of lincRNA-p21. Finally, we found that depressed levels of TP53 and lincRNA-p21 increased NF-κB activity in cell lines. Decreased levels of lincRNA-p21 did not alter NFKB1 or RELA transcripts. Rather, lincRNA-p21 physically bound to RELA mRNA. CONCLUSION.: Our findings support a model whereby depressed levels of lincRNA-p21 in RA contribute to increased NF-κB activity. MTX decreases basal levels of NF-κB activity by increasing lincRNA-p21 through a DNA-PKcs dependent mechanism. ","author":[{"dropping-particle":"","family":"Spurlock","given":"Charles F.","non-dropping-particle":"","parse-names":false,"suffix":""},{"dropping-particle":"","family":"Tossberg","given":"John T.","non-dropping-particle":"","parse-names":false,"suffix":""},{"dropping-particle":"","family":"Matlock","given":"Brittany K.","non-dropping-particle":"","parse-names":false,"suffix":""},{"dropping-particle":"","family":"Olsen","given":"Nancy J.","non-dropping-particle":"","parse-names":false,"suffix":""},{"dropping-particle":"","family":"Aune","given":"Thomas M.","non-dropping-particle":"","parse-names":false,"suffix":""}],"container-title":"Arthritis Rheumatol.","id":"ITEM-1","issue":"11","issued":{"date-parts":[["2014"]]},"page":"2947-2957","title":"Methotrexate inhibits NF-κB activity via lincRNA-p21 induction","type":"article-journal","volume":"66"},"uris":["http://www.mendeley.com/documents/?uuid=c3748763-1f49-4dfd-ac0d-4c9b9647a299"]}],"mendeley":{"formattedCitation":"(Spurlock &lt;i&gt;et al.&lt;/i&gt;, 2014)","plainTextFormattedCitation":"(Spurlock et al., 2014)","previouslyFormattedCitation":"(Spurlock &lt;i&gt;et al.&lt;/i&gt;, 2014)"},"properties":{"noteIndex":0},"schema":"https://github.com/citation-style-language/schema/raw/master/csl-citation.json"}</w:instrText>
      </w:r>
      <w:r w:rsidR="006E7628" w:rsidRPr="006E7628">
        <w:rPr>
          <w:rFonts w:ascii="Times New Roman" w:hAnsi="Times New Roman"/>
          <w:b/>
          <w:bCs/>
          <w:sz w:val="20"/>
          <w:szCs w:val="20"/>
        </w:rPr>
        <w:fldChar w:fldCharType="separate"/>
      </w:r>
      <w:r w:rsidR="00D7754A" w:rsidRPr="00C673E0">
        <w:rPr>
          <w:rFonts w:ascii="Times New Roman" w:hAnsi="Times New Roman"/>
          <w:b/>
          <w:bCs/>
          <w:noProof/>
          <w:sz w:val="20"/>
          <w:szCs w:val="20"/>
        </w:rPr>
        <w:t xml:space="preserve">(Spurlock </w:t>
      </w:r>
      <w:r w:rsidR="00D7754A" w:rsidRPr="00C673E0">
        <w:rPr>
          <w:rFonts w:ascii="Times New Roman" w:hAnsi="Times New Roman"/>
          <w:b/>
          <w:bCs/>
          <w:i/>
          <w:noProof/>
          <w:sz w:val="20"/>
          <w:szCs w:val="20"/>
        </w:rPr>
        <w:t>et al.</w:t>
      </w:r>
      <w:r w:rsidR="00D7754A" w:rsidRPr="00C673E0">
        <w:rPr>
          <w:rFonts w:ascii="Times New Roman" w:hAnsi="Times New Roman"/>
          <w:b/>
          <w:bCs/>
          <w:noProof/>
          <w:sz w:val="20"/>
          <w:szCs w:val="20"/>
        </w:rPr>
        <w:t>, 2014)</w:t>
      </w:r>
      <w:r w:rsidR="006E7628" w:rsidRPr="00C673E0">
        <w:rPr>
          <w:rFonts w:ascii="Times New Roman" w:hAnsi="Times New Roman"/>
          <w:sz w:val="20"/>
          <w:szCs w:val="20"/>
        </w:rPr>
        <w:fldChar w:fldCharType="end"/>
      </w:r>
      <w:r w:rsidR="00FD063B" w:rsidRPr="00C673E0">
        <w:rPr>
          <w:rFonts w:ascii="Times New Roman" w:hAnsi="Times New Roman"/>
          <w:sz w:val="20"/>
          <w:szCs w:val="20"/>
        </w:rPr>
        <w:t>.</w:t>
      </w:r>
    </w:p>
    <w:p w:rsidR="00CE362C" w:rsidRPr="00C673E0" w:rsidRDefault="00A14469" w:rsidP="00644513">
      <w:pPr>
        <w:snapToGrid w:val="0"/>
        <w:spacing w:after="0" w:line="240" w:lineRule="auto"/>
        <w:ind w:firstLine="425"/>
        <w:jc w:val="both"/>
        <w:rPr>
          <w:rFonts w:ascii="Times New Roman" w:hAnsi="Times New Roman"/>
          <w:sz w:val="20"/>
          <w:szCs w:val="20"/>
        </w:rPr>
      </w:pPr>
      <w:r w:rsidRPr="00C673E0">
        <w:rPr>
          <w:rFonts w:ascii="Times New Roman" w:hAnsi="Times New Roman"/>
          <w:sz w:val="20"/>
          <w:szCs w:val="20"/>
        </w:rPr>
        <w:t>In the present study, we</w:t>
      </w:r>
      <w:r w:rsidRPr="00C673E0">
        <w:rPr>
          <w:rFonts w:ascii="Times New Roman" w:hAnsi="Times New Roman"/>
          <w:b/>
          <w:bCs/>
          <w:sz w:val="20"/>
          <w:szCs w:val="20"/>
        </w:rPr>
        <w:t xml:space="preserve"> </w:t>
      </w:r>
      <w:r w:rsidR="00D7754A" w:rsidRPr="00C673E0">
        <w:rPr>
          <w:rFonts w:ascii="Times New Roman" w:hAnsi="Times New Roman"/>
          <w:sz w:val="20"/>
          <w:szCs w:val="20"/>
        </w:rPr>
        <w:t xml:space="preserve">investigate serum </w:t>
      </w:r>
      <w:r w:rsidRPr="00C673E0">
        <w:rPr>
          <w:rFonts w:ascii="Times New Roman" w:hAnsi="Times New Roman"/>
          <w:sz w:val="20"/>
          <w:szCs w:val="20"/>
        </w:rPr>
        <w:t xml:space="preserve">expression </w:t>
      </w:r>
      <w:r w:rsidR="00D7754A" w:rsidRPr="00C673E0">
        <w:rPr>
          <w:rFonts w:ascii="Times New Roman" w:hAnsi="Times New Roman"/>
          <w:sz w:val="20"/>
          <w:szCs w:val="20"/>
        </w:rPr>
        <w:t xml:space="preserve">levels of lncRNA-H19 and lincRNA-p21 in </w:t>
      </w:r>
      <w:r w:rsidRPr="00C673E0">
        <w:rPr>
          <w:rFonts w:ascii="Times New Roman" w:hAnsi="Times New Roman"/>
          <w:sz w:val="20"/>
          <w:szCs w:val="20"/>
        </w:rPr>
        <w:lastRenderedPageBreak/>
        <w:t xml:space="preserve">74 </w:t>
      </w:r>
      <w:r w:rsidR="00D7754A" w:rsidRPr="00C673E0">
        <w:rPr>
          <w:rFonts w:ascii="Times New Roman" w:hAnsi="Times New Roman"/>
          <w:sz w:val="20"/>
          <w:szCs w:val="20"/>
        </w:rPr>
        <w:t xml:space="preserve">Egyptian patients with MS to </w:t>
      </w:r>
      <w:r w:rsidR="00C378A2" w:rsidRPr="00C673E0">
        <w:rPr>
          <w:rFonts w:ascii="Times New Roman" w:hAnsi="Times New Roman"/>
          <w:sz w:val="20"/>
          <w:szCs w:val="20"/>
        </w:rPr>
        <w:t>explore their role as new convenient diagnostic biomarkers an</w:t>
      </w:r>
      <w:r w:rsidR="008D6E26" w:rsidRPr="00C673E0">
        <w:rPr>
          <w:rFonts w:ascii="Times New Roman" w:hAnsi="Times New Roman"/>
          <w:sz w:val="20"/>
          <w:szCs w:val="20"/>
        </w:rPr>
        <w:t>d/or therapeutic targets for MS</w:t>
      </w:r>
      <w:r w:rsidR="00D7754A" w:rsidRPr="00C673E0">
        <w:rPr>
          <w:rFonts w:ascii="Times New Roman" w:hAnsi="Times New Roman"/>
          <w:sz w:val="20"/>
          <w:szCs w:val="20"/>
        </w:rPr>
        <w:t xml:space="preserve">. </w:t>
      </w:r>
    </w:p>
    <w:p w:rsidR="00FE2F23" w:rsidRDefault="00FE2F23" w:rsidP="00644513">
      <w:pPr>
        <w:snapToGrid w:val="0"/>
        <w:spacing w:after="0" w:line="240" w:lineRule="auto"/>
        <w:jc w:val="both"/>
        <w:rPr>
          <w:rFonts w:ascii="Times New Roman" w:hAnsi="Times New Roman" w:hint="eastAsia"/>
          <w:b/>
          <w:bCs/>
          <w:sz w:val="20"/>
          <w:szCs w:val="20"/>
          <w:lang w:eastAsia="zh-CN"/>
        </w:rPr>
      </w:pPr>
    </w:p>
    <w:p w:rsidR="00B142D3" w:rsidRPr="00C673E0" w:rsidRDefault="00CE362C" w:rsidP="00644513">
      <w:pPr>
        <w:snapToGrid w:val="0"/>
        <w:spacing w:after="0" w:line="240" w:lineRule="auto"/>
        <w:jc w:val="both"/>
        <w:rPr>
          <w:rFonts w:ascii="Times New Roman" w:hAnsi="Times New Roman"/>
          <w:b/>
          <w:bCs/>
          <w:sz w:val="20"/>
          <w:szCs w:val="20"/>
        </w:rPr>
      </w:pPr>
      <w:r w:rsidRPr="00C673E0">
        <w:rPr>
          <w:rFonts w:ascii="Times New Roman" w:hAnsi="Times New Roman"/>
          <w:b/>
          <w:bCs/>
          <w:sz w:val="20"/>
          <w:szCs w:val="20"/>
        </w:rPr>
        <w:t>Materials and methods</w:t>
      </w:r>
      <w:r w:rsidR="00D7754A" w:rsidRPr="00C673E0">
        <w:rPr>
          <w:rFonts w:ascii="Times New Roman" w:hAnsi="Times New Roman"/>
          <w:b/>
          <w:bCs/>
          <w:sz w:val="20"/>
          <w:szCs w:val="20"/>
        </w:rPr>
        <w:t xml:space="preserve"> </w:t>
      </w:r>
    </w:p>
    <w:p w:rsidR="009E43ED" w:rsidRPr="00C673E0" w:rsidRDefault="009E43ED" w:rsidP="00644513">
      <w:pPr>
        <w:snapToGrid w:val="0"/>
        <w:spacing w:after="0" w:line="240" w:lineRule="auto"/>
        <w:jc w:val="both"/>
        <w:rPr>
          <w:rFonts w:ascii="Times New Roman" w:hAnsi="Times New Roman"/>
          <w:b/>
          <w:bCs/>
          <w:sz w:val="20"/>
          <w:szCs w:val="20"/>
          <w:lang w:bidi="ar-EG"/>
        </w:rPr>
      </w:pPr>
      <w:r w:rsidRPr="00C673E0">
        <w:rPr>
          <w:rFonts w:ascii="Times New Roman" w:hAnsi="Times New Roman"/>
          <w:b/>
          <w:bCs/>
          <w:sz w:val="20"/>
          <w:szCs w:val="20"/>
          <w:lang w:bidi="ar-EG"/>
        </w:rPr>
        <w:t>Study Population</w:t>
      </w:r>
    </w:p>
    <w:p w:rsidR="00043FC4" w:rsidRPr="00C673E0" w:rsidRDefault="00A22E09"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hAnsi="Times New Roman"/>
          <w:sz w:val="20"/>
          <w:szCs w:val="20"/>
          <w:lang w:bidi="ar-EG"/>
        </w:rPr>
        <w:t xml:space="preserve">This case-control </w:t>
      </w:r>
      <w:r w:rsidR="00AA50B5" w:rsidRPr="00C673E0">
        <w:rPr>
          <w:rFonts w:ascii="Times New Roman" w:hAnsi="Times New Roman"/>
          <w:sz w:val="20"/>
          <w:szCs w:val="20"/>
          <w:lang w:bidi="ar-EG"/>
        </w:rPr>
        <w:t xml:space="preserve">research was </w:t>
      </w:r>
      <w:r w:rsidR="0090315D" w:rsidRPr="00C673E0">
        <w:rPr>
          <w:rFonts w:ascii="Times New Roman" w:hAnsi="Times New Roman"/>
          <w:sz w:val="20"/>
          <w:szCs w:val="20"/>
          <w:lang w:bidi="ar-EG"/>
        </w:rPr>
        <w:t>conducted</w:t>
      </w:r>
      <w:r w:rsidR="00AA50B5" w:rsidRPr="00C673E0">
        <w:rPr>
          <w:rFonts w:ascii="Times New Roman" w:hAnsi="Times New Roman"/>
          <w:sz w:val="20"/>
          <w:szCs w:val="20"/>
          <w:lang w:bidi="ar-EG"/>
        </w:rPr>
        <w:t xml:space="preserve"> on 134 participants, 74 of whom were infected</w:t>
      </w:r>
      <w:r w:rsidRPr="00C673E0">
        <w:rPr>
          <w:rFonts w:ascii="Times New Roman" w:hAnsi="Times New Roman"/>
          <w:sz w:val="20"/>
          <w:szCs w:val="20"/>
          <w:lang w:bidi="ar-EG"/>
        </w:rPr>
        <w:t xml:space="preserve"> with MS, </w:t>
      </w:r>
      <w:r w:rsidR="00937D37" w:rsidRPr="00C673E0">
        <w:rPr>
          <w:rFonts w:ascii="Times New Roman" w:hAnsi="Times New Roman"/>
          <w:sz w:val="20"/>
          <w:szCs w:val="20"/>
          <w:lang w:bidi="ar-EG"/>
        </w:rPr>
        <w:t xml:space="preserve">selected from the Multiple Sclerosis Unit-Cairo University Hospital of Kasr Al-Ainy, </w:t>
      </w:r>
      <w:r w:rsidRPr="00C673E0">
        <w:rPr>
          <w:rFonts w:ascii="Times New Roman" w:hAnsi="Times New Roman"/>
          <w:sz w:val="20"/>
          <w:szCs w:val="20"/>
          <w:lang w:bidi="ar-EG"/>
        </w:rPr>
        <w:t xml:space="preserve">and 60 age-and sex-matched healthy controls without clinical evidence, or family history of MS or any other autoimmune disorders. A written informed consent was provided by all participants (patients and controls). This </w:t>
      </w:r>
      <w:r w:rsidR="00F80C8C" w:rsidRPr="00C673E0">
        <w:rPr>
          <w:rFonts w:ascii="Times New Roman" w:hAnsi="Times New Roman"/>
          <w:sz w:val="20"/>
          <w:szCs w:val="20"/>
          <w:lang w:bidi="ar-EG"/>
        </w:rPr>
        <w:t xml:space="preserve">research was reviewed and accepted </w:t>
      </w:r>
      <w:r w:rsidRPr="00C673E0">
        <w:rPr>
          <w:rFonts w:ascii="Times New Roman" w:hAnsi="Times New Roman"/>
          <w:sz w:val="20"/>
          <w:szCs w:val="20"/>
          <w:lang w:bidi="ar-EG"/>
        </w:rPr>
        <w:t xml:space="preserve">by Ethical Committee at Faculty of Medicine, Cairo University "Ethical Code I-201016". It was accomplished in </w:t>
      </w:r>
      <w:r w:rsidR="00FB4EFC" w:rsidRPr="00C673E0">
        <w:rPr>
          <w:rFonts w:ascii="Times New Roman" w:hAnsi="Times New Roman"/>
          <w:sz w:val="20"/>
          <w:szCs w:val="20"/>
          <w:lang w:bidi="ar-EG"/>
        </w:rPr>
        <w:t>compliance with the World Medical Association Code of Ethics (Declaration of Helsinki) for human-related experiments</w:t>
      </w:r>
      <w:r w:rsidRPr="00C673E0">
        <w:rPr>
          <w:rFonts w:ascii="Times New Roman" w:hAnsi="Times New Roman"/>
          <w:sz w:val="20"/>
          <w:szCs w:val="20"/>
          <w:lang w:bidi="ar-EG"/>
        </w:rPr>
        <w:t>.</w:t>
      </w:r>
      <w:r w:rsidR="00264C78" w:rsidRPr="00C673E0">
        <w:rPr>
          <w:rFonts w:ascii="Times New Roman" w:hAnsi="Times New Roman"/>
          <w:sz w:val="20"/>
          <w:szCs w:val="20"/>
          <w:lang w:bidi="ar-EG"/>
        </w:rPr>
        <w:t xml:space="preserve"> Inclusion criteria for both groups were age </w:t>
      </w:r>
      <w:r w:rsidRPr="00C673E0">
        <w:rPr>
          <w:rFonts w:ascii="Times New Roman" w:hAnsi="Times New Roman"/>
          <w:sz w:val="20"/>
          <w:szCs w:val="20"/>
          <w:lang w:bidi="ar-EG"/>
        </w:rPr>
        <w:t>more than 18 years.</w:t>
      </w:r>
      <w:r w:rsidR="00264C78" w:rsidRPr="00C673E0">
        <w:rPr>
          <w:rFonts w:ascii="Times New Roman" w:hAnsi="Times New Roman"/>
          <w:sz w:val="20"/>
          <w:szCs w:val="20"/>
          <w:lang w:bidi="ar-EG"/>
        </w:rPr>
        <w:t xml:space="preserve"> </w:t>
      </w:r>
      <w:r w:rsidRPr="00C673E0">
        <w:rPr>
          <w:rFonts w:ascii="Times New Roman" w:hAnsi="Times New Roman"/>
          <w:sz w:val="20"/>
          <w:szCs w:val="20"/>
          <w:lang w:bidi="ar-EG"/>
        </w:rPr>
        <w:t xml:space="preserve">Patients with RRMS and SPMS </w:t>
      </w:r>
      <w:r w:rsidR="00306792" w:rsidRPr="00C673E0">
        <w:rPr>
          <w:rFonts w:ascii="Times New Roman" w:hAnsi="Times New Roman"/>
          <w:sz w:val="20"/>
          <w:szCs w:val="20"/>
          <w:lang w:bidi="ar-EG"/>
        </w:rPr>
        <w:t xml:space="preserve">met </w:t>
      </w:r>
      <w:r w:rsidRPr="00C673E0">
        <w:rPr>
          <w:rFonts w:ascii="Times New Roman" w:hAnsi="Times New Roman"/>
          <w:sz w:val="20"/>
          <w:szCs w:val="20"/>
          <w:lang w:bidi="ar-EG"/>
        </w:rPr>
        <w:t xml:space="preserve">the 2010 revised McDonald's criteria for diagnosis of MS </w:t>
      </w:r>
      <w:r w:rsidRPr="00C673E0">
        <w:rPr>
          <w:rFonts w:ascii="Times New Roman" w:hAnsi="Times New Roman"/>
          <w:b/>
          <w:bCs/>
          <w:sz w:val="20"/>
          <w:szCs w:val="20"/>
          <w:lang w:bidi="ar-EG"/>
        </w:rPr>
        <w:t xml:space="preserve">(Polman </w:t>
      </w:r>
      <w:r w:rsidRPr="00C673E0">
        <w:rPr>
          <w:rFonts w:ascii="Times New Roman" w:hAnsi="Times New Roman"/>
          <w:b/>
          <w:bCs/>
          <w:i/>
          <w:iCs/>
          <w:sz w:val="20"/>
          <w:szCs w:val="20"/>
          <w:lang w:bidi="ar-EG"/>
        </w:rPr>
        <w:t>et al</w:t>
      </w:r>
      <w:r w:rsidRPr="00C673E0">
        <w:rPr>
          <w:rFonts w:ascii="Times New Roman" w:hAnsi="Times New Roman"/>
          <w:b/>
          <w:bCs/>
          <w:sz w:val="20"/>
          <w:szCs w:val="20"/>
          <w:lang w:bidi="ar-EG"/>
        </w:rPr>
        <w:t>., 2011).</w:t>
      </w:r>
      <w:r w:rsidR="00264C78" w:rsidRPr="00C673E0">
        <w:rPr>
          <w:rFonts w:ascii="Times New Roman" w:hAnsi="Times New Roman"/>
          <w:sz w:val="20"/>
          <w:szCs w:val="20"/>
          <w:lang w:bidi="ar-EG"/>
        </w:rPr>
        <w:t xml:space="preserve"> </w:t>
      </w:r>
      <w:r w:rsidR="00F20E84" w:rsidRPr="00C673E0">
        <w:rPr>
          <w:rFonts w:ascii="Times New Roman" w:hAnsi="Times New Roman"/>
          <w:sz w:val="20"/>
          <w:szCs w:val="20"/>
          <w:lang w:bidi="ar-EG"/>
        </w:rPr>
        <w:t xml:space="preserve">We exclude </w:t>
      </w:r>
      <w:r w:rsidRPr="00C673E0">
        <w:rPr>
          <w:rFonts w:ascii="Times New Roman" w:hAnsi="Times New Roman"/>
          <w:sz w:val="20"/>
          <w:szCs w:val="20"/>
          <w:lang w:bidi="ar-EG"/>
        </w:rPr>
        <w:t>pregnant females, patients who have chronic infectious disease or recent infection within month, patients on steroid therapy, and patients with history of other autoimmune diseases or cancer.</w:t>
      </w:r>
      <w:r w:rsidR="00043FC4" w:rsidRPr="00C673E0">
        <w:rPr>
          <w:rFonts w:ascii="Times New Roman" w:eastAsia="Times New Roman" w:hAnsi="Times New Roman"/>
          <w:sz w:val="20"/>
          <w:szCs w:val="20"/>
          <w:lang w:bidi="ar-EG"/>
        </w:rPr>
        <w:t xml:space="preserve"> </w:t>
      </w:r>
    </w:p>
    <w:p w:rsidR="00043FC4" w:rsidRPr="00C673E0" w:rsidRDefault="00043FC4" w:rsidP="006D0665">
      <w:pPr>
        <w:snapToGrid w:val="0"/>
        <w:spacing w:after="0" w:line="240" w:lineRule="auto"/>
        <w:jc w:val="both"/>
        <w:rPr>
          <w:rFonts w:ascii="Times New Roman" w:hAnsi="Times New Roman"/>
          <w:b/>
          <w:bCs/>
          <w:sz w:val="20"/>
          <w:szCs w:val="20"/>
          <w:lang w:bidi="ar-EG"/>
        </w:rPr>
      </w:pPr>
      <w:r w:rsidRPr="00C673E0">
        <w:rPr>
          <w:rFonts w:ascii="Times New Roman" w:hAnsi="Times New Roman"/>
          <w:b/>
          <w:bCs/>
          <w:sz w:val="20"/>
          <w:szCs w:val="20"/>
          <w:lang w:bidi="ar-EG"/>
        </w:rPr>
        <w:t xml:space="preserve">The following steps were done for all study subjects: </w:t>
      </w:r>
    </w:p>
    <w:p w:rsidR="000F71AB" w:rsidRPr="00C673E0" w:rsidRDefault="000F71AB" w:rsidP="00644513">
      <w:pPr>
        <w:snapToGrid w:val="0"/>
        <w:spacing w:after="0" w:line="240" w:lineRule="auto"/>
        <w:jc w:val="center"/>
        <w:rPr>
          <w:rFonts w:ascii="Times New Roman" w:hAnsi="Times New Roman"/>
          <w:b/>
          <w:bCs/>
          <w:sz w:val="20"/>
          <w:szCs w:val="20"/>
          <w:lang w:bidi="ar-EG"/>
        </w:rPr>
        <w:sectPr w:rsidR="000F71AB" w:rsidRPr="00C673E0" w:rsidSect="00044944">
          <w:headerReference w:type="default" r:id="rId14"/>
          <w:pgSz w:w="12240" w:h="15840" w:code="9"/>
          <w:pgMar w:top="1440" w:right="1440" w:bottom="1440" w:left="1440" w:header="720" w:footer="720" w:gutter="0"/>
          <w:cols w:num="2" w:space="550"/>
          <w:docGrid w:linePitch="360"/>
        </w:sectPr>
      </w:pPr>
    </w:p>
    <w:p w:rsidR="00043FC4" w:rsidRPr="00C673E0" w:rsidRDefault="00043FC4" w:rsidP="00644513">
      <w:pPr>
        <w:snapToGrid w:val="0"/>
        <w:spacing w:after="0" w:line="240" w:lineRule="auto"/>
        <w:jc w:val="center"/>
        <w:rPr>
          <w:rFonts w:ascii="Times New Roman" w:hAnsi="Times New Roman"/>
          <w:b/>
          <w:bCs/>
          <w:sz w:val="20"/>
          <w:szCs w:val="20"/>
          <w:lang w:bidi="ar-EG"/>
        </w:rPr>
      </w:pPr>
    </w:p>
    <w:p w:rsidR="00043FC4" w:rsidRPr="00C673E0" w:rsidRDefault="00043FC4" w:rsidP="00644513">
      <w:pPr>
        <w:snapToGrid w:val="0"/>
        <w:spacing w:after="0" w:line="240" w:lineRule="auto"/>
        <w:jc w:val="center"/>
        <w:rPr>
          <w:rFonts w:ascii="Times New Roman" w:hAnsi="Times New Roman"/>
          <w:sz w:val="20"/>
          <w:szCs w:val="20"/>
          <w:lang w:bidi="ar-EG"/>
        </w:rPr>
      </w:pPr>
      <w:r w:rsidRPr="00C673E0">
        <w:rPr>
          <w:rFonts w:ascii="Times New Roman" w:hAnsi="Times New Roman"/>
          <w:b/>
          <w:bCs/>
          <w:sz w:val="20"/>
          <w:szCs w:val="20"/>
          <w:lang w:bidi="ar-EG"/>
        </w:rPr>
        <w:t xml:space="preserve">Table (1): </w:t>
      </w:r>
      <w:r w:rsidR="00102EAD" w:rsidRPr="00C673E0">
        <w:rPr>
          <w:rFonts w:ascii="Times New Roman" w:hAnsi="Times New Roman"/>
          <w:b/>
          <w:bCs/>
          <w:sz w:val="20"/>
          <w:szCs w:val="20"/>
          <w:lang w:bidi="ar-EG"/>
        </w:rPr>
        <w:t>Study subjects' demographic and clinical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69"/>
        <w:gridCol w:w="3449"/>
        <w:gridCol w:w="1090"/>
        <w:gridCol w:w="1061"/>
        <w:gridCol w:w="864"/>
        <w:gridCol w:w="841"/>
      </w:tblGrid>
      <w:tr w:rsidR="000C0E36" w:rsidRPr="00C673E0" w:rsidTr="006D0665">
        <w:trPr>
          <w:cantSplit/>
          <w:jc w:val="center"/>
        </w:trPr>
        <w:tc>
          <w:tcPr>
            <w:tcW w:w="2965" w:type="pct"/>
            <w:gridSpan w:val="2"/>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Variables</w:t>
            </w:r>
          </w:p>
        </w:tc>
        <w:tc>
          <w:tcPr>
            <w:tcW w:w="1135" w:type="pct"/>
            <w:gridSpan w:val="2"/>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lang w:bidi="ar-EG"/>
              </w:rPr>
            </w:pPr>
            <w:r w:rsidRPr="00C673E0">
              <w:rPr>
                <w:rFonts w:ascii="Times New Roman" w:eastAsia="Times New Roman" w:hAnsi="Times New Roman"/>
                <w:b/>
                <w:bCs/>
                <w:sz w:val="20"/>
                <w:szCs w:val="20"/>
              </w:rPr>
              <w:t>MS patients</w:t>
            </w:r>
            <w:r w:rsidR="001605CD" w:rsidRPr="00C673E0">
              <w:rPr>
                <w:rFonts w:ascii="Times New Roman" w:eastAsia="Times New Roman" w:hAnsi="Times New Roman"/>
                <w:b/>
                <w:bCs/>
                <w:sz w:val="20"/>
                <w:szCs w:val="20"/>
              </w:rPr>
              <w:t xml:space="preserve"> </w:t>
            </w:r>
            <w:r w:rsidRPr="00C673E0">
              <w:rPr>
                <w:rFonts w:ascii="Times New Roman" w:eastAsia="Times New Roman" w:hAnsi="Times New Roman"/>
                <w:sz w:val="20"/>
                <w:szCs w:val="20"/>
                <w:lang w:bidi="ar-EG"/>
              </w:rPr>
              <w:t>(n=74)</w:t>
            </w:r>
          </w:p>
        </w:tc>
        <w:tc>
          <w:tcPr>
            <w:tcW w:w="899" w:type="pct"/>
            <w:gridSpan w:val="2"/>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Control</w:t>
            </w:r>
            <w:r w:rsidR="001605CD" w:rsidRPr="00C673E0">
              <w:rPr>
                <w:rFonts w:ascii="Times New Roman" w:eastAsia="Times New Roman" w:hAnsi="Times New Roman"/>
                <w:sz w:val="20"/>
                <w:szCs w:val="20"/>
              </w:rPr>
              <w:t xml:space="preserve"> </w:t>
            </w:r>
            <w:r w:rsidRPr="00C673E0">
              <w:rPr>
                <w:rFonts w:ascii="Times New Roman" w:eastAsia="Times New Roman" w:hAnsi="Times New Roman"/>
                <w:sz w:val="20"/>
                <w:szCs w:val="20"/>
                <w:lang w:bidi="ar-EG"/>
              </w:rPr>
              <w:t>(n=60)</w:t>
            </w:r>
          </w:p>
        </w:tc>
      </w:tr>
      <w:tr w:rsidR="000C0E36" w:rsidRPr="00C673E0" w:rsidTr="006D0665">
        <w:trPr>
          <w:cantSplit/>
          <w:jc w:val="center"/>
        </w:trPr>
        <w:tc>
          <w:tcPr>
            <w:tcW w:w="2965" w:type="pct"/>
            <w:gridSpan w:val="2"/>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b/>
                <w:bCs/>
                <w:sz w:val="20"/>
                <w:szCs w:val="20"/>
              </w:rPr>
              <w:t>Age [years]</w:t>
            </w:r>
            <w:r w:rsidR="001605CD" w:rsidRPr="00C673E0">
              <w:rPr>
                <w:rFonts w:ascii="Times New Roman" w:eastAsiaTheme="minorEastAsia" w:hAnsi="Times New Roman"/>
                <w:b/>
                <w:bCs/>
                <w:sz w:val="20"/>
                <w:szCs w:val="20"/>
                <w:lang w:eastAsia="zh-CN"/>
              </w:rPr>
              <w:t xml:space="preserve"> </w:t>
            </w:r>
            <w:r w:rsidRPr="00C673E0">
              <w:rPr>
                <w:rFonts w:ascii="Times New Roman" w:eastAsia="Times New Roman" w:hAnsi="Times New Roman"/>
                <w:sz w:val="20"/>
                <w:szCs w:val="20"/>
              </w:rPr>
              <w:t>Mean ± standard deviation (SD</w:t>
            </w:r>
            <w:r w:rsidRPr="00C673E0">
              <w:rPr>
                <w:rFonts w:ascii="Times New Roman" w:eastAsia="Times New Roman" w:hAnsi="Times New Roman"/>
                <w:b/>
                <w:bCs/>
                <w:sz w:val="20"/>
                <w:szCs w:val="20"/>
                <w:lang w:bidi="ar-EG"/>
              </w:rPr>
              <w:t>)</w:t>
            </w:r>
          </w:p>
        </w:tc>
        <w:tc>
          <w:tcPr>
            <w:tcW w:w="1135" w:type="pct"/>
            <w:gridSpan w:val="2"/>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sz w:val="20"/>
                <w:szCs w:val="20"/>
              </w:rPr>
              <w:t>32.5±8.1</w:t>
            </w:r>
          </w:p>
        </w:tc>
        <w:tc>
          <w:tcPr>
            <w:tcW w:w="899" w:type="pct"/>
            <w:gridSpan w:val="2"/>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sz w:val="20"/>
                <w:szCs w:val="20"/>
              </w:rPr>
              <w:t>30.2±8.9</w:t>
            </w:r>
          </w:p>
        </w:tc>
      </w:tr>
      <w:tr w:rsidR="000C0E36" w:rsidRPr="00C673E0" w:rsidTr="006D0665">
        <w:trPr>
          <w:cantSplit/>
          <w:jc w:val="center"/>
        </w:trPr>
        <w:tc>
          <w:tcPr>
            <w:tcW w:w="2965" w:type="pct"/>
            <w:gridSpan w:val="2"/>
            <w:shd w:val="clear" w:color="auto" w:fill="E3E2E7"/>
            <w:vAlign w:val="center"/>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575"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Count</w:t>
            </w:r>
          </w:p>
        </w:tc>
        <w:tc>
          <w:tcPr>
            <w:tcW w:w="56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w:t>
            </w:r>
          </w:p>
        </w:tc>
        <w:tc>
          <w:tcPr>
            <w:tcW w:w="456"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Count</w:t>
            </w:r>
          </w:p>
        </w:tc>
        <w:tc>
          <w:tcPr>
            <w:tcW w:w="444"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w:t>
            </w:r>
          </w:p>
        </w:tc>
      </w:tr>
      <w:tr w:rsidR="003E3F44" w:rsidRPr="00C673E0" w:rsidTr="006D0665">
        <w:trPr>
          <w:cantSplit/>
          <w:jc w:val="center"/>
        </w:trPr>
        <w:tc>
          <w:tcPr>
            <w:tcW w:w="1145" w:type="pct"/>
            <w:vMerge w:val="restar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Gender</w:t>
            </w: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Female</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62</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83.8%</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48</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80.0%</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Male</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12</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16.2%</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12</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20.0%</w:t>
            </w:r>
          </w:p>
        </w:tc>
      </w:tr>
      <w:tr w:rsidR="003E3F44" w:rsidRPr="00C673E0" w:rsidTr="006D0665">
        <w:trPr>
          <w:cantSplit/>
          <w:jc w:val="center"/>
        </w:trPr>
        <w:tc>
          <w:tcPr>
            <w:tcW w:w="1145" w:type="pct"/>
            <w:vMerge w:val="restar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Family history</w:t>
            </w: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Yes</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4</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5.4%</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No</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70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94.6%</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restar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MS Type</w:t>
            </w: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RRMS</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54</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73.0%</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SPMS</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27.0%</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restar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Initial presentation</w:t>
            </w: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Optic neuritis</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24</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32.4%</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Weakness</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30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40.5%</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Sensory symptoms</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13.5%</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Ataxia</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13.5%</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restar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EDSS</w:t>
            </w: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EDSS=1-3</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40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54.1%</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EDSS=3.5-5</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14</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18.9%</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EDSS≥5.5</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27.0%</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restar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Treatment</w:t>
            </w: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Interferon</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40</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54.1%</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Azathioprine</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12</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16.2%</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Cyclophosphamide</w:t>
            </w:r>
            <w:r w:rsidR="003E3F44" w:rsidRPr="00C673E0">
              <w:rPr>
                <w:rFonts w:ascii="Times New Roman" w:eastAsia="Times New Roman" w:hAnsi="Times New Roman"/>
                <w:b/>
                <w:bCs/>
                <w:sz w:val="20"/>
                <w:szCs w:val="20"/>
              </w:rPr>
              <w:t xml:space="preserve"> </w:t>
            </w:r>
            <w:r w:rsidRPr="00C673E0">
              <w:rPr>
                <w:rFonts w:ascii="Times New Roman" w:eastAsia="Times New Roman" w:hAnsi="Times New Roman"/>
                <w:b/>
                <w:bCs/>
                <w:sz w:val="20"/>
                <w:szCs w:val="20"/>
              </w:rPr>
              <w:t>(Endoxane)</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4</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5.4%</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r w:rsidR="003E3F44" w:rsidRPr="00C673E0" w:rsidTr="006D0665">
        <w:trPr>
          <w:cantSplit/>
          <w:jc w:val="center"/>
        </w:trPr>
        <w:tc>
          <w:tcPr>
            <w:tcW w:w="1145" w:type="pct"/>
            <w:vMerge/>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p>
        </w:tc>
        <w:tc>
          <w:tcPr>
            <w:tcW w:w="1820" w:type="pct"/>
            <w:shd w:val="clear" w:color="auto" w:fill="E3E2E7"/>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No treatment</w:t>
            </w:r>
          </w:p>
          <w:p w:rsidR="00043FC4" w:rsidRPr="00C673E0" w:rsidRDefault="00043FC4" w:rsidP="006D0665">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(Drug naiive)</w:t>
            </w:r>
          </w:p>
        </w:tc>
        <w:tc>
          <w:tcPr>
            <w:tcW w:w="575"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18</w:t>
            </w:r>
          </w:p>
        </w:tc>
        <w:tc>
          <w:tcPr>
            <w:tcW w:w="560" w:type="pct"/>
            <w:shd w:val="clear" w:color="auto" w:fill="FFFFFF"/>
            <w:vAlign w:val="center"/>
            <w:hideMark/>
          </w:tcPr>
          <w:p w:rsidR="00043FC4" w:rsidRPr="00C673E0" w:rsidRDefault="00043FC4"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24.3%</w:t>
            </w:r>
          </w:p>
        </w:tc>
        <w:tc>
          <w:tcPr>
            <w:tcW w:w="456"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c>
          <w:tcPr>
            <w:tcW w:w="444" w:type="pct"/>
            <w:shd w:val="clear" w:color="auto" w:fill="FFFFFF"/>
            <w:vAlign w:val="center"/>
            <w:hideMark/>
          </w:tcPr>
          <w:p w:rsidR="00043FC4" w:rsidRPr="00C673E0" w:rsidRDefault="00043FC4" w:rsidP="006D0665">
            <w:pPr>
              <w:snapToGrid w:val="0"/>
              <w:spacing w:after="0" w:line="240" w:lineRule="auto"/>
              <w:jc w:val="both"/>
              <w:rPr>
                <w:rFonts w:ascii="Times New Roman" w:eastAsia="Calibri" w:hAnsi="Times New Roman"/>
                <w:sz w:val="20"/>
                <w:szCs w:val="20"/>
              </w:rPr>
            </w:pPr>
            <w:r w:rsidRPr="00C673E0">
              <w:rPr>
                <w:rFonts w:ascii="Times New Roman" w:eastAsia="Times New Roman" w:hAnsi="Times New Roman"/>
                <w:sz w:val="20"/>
                <w:szCs w:val="20"/>
              </w:rPr>
              <w:t>-----</w:t>
            </w:r>
          </w:p>
        </w:tc>
      </w:tr>
    </w:tbl>
    <w:p w:rsidR="000F71AB" w:rsidRPr="00C673E0" w:rsidRDefault="000F71AB" w:rsidP="00644513">
      <w:pPr>
        <w:snapToGrid w:val="0"/>
        <w:spacing w:after="0" w:line="240" w:lineRule="auto"/>
        <w:jc w:val="both"/>
        <w:rPr>
          <w:rFonts w:ascii="Times New Roman" w:hAnsi="Times New Roman"/>
          <w:b/>
          <w:bCs/>
          <w:sz w:val="20"/>
          <w:szCs w:val="20"/>
          <w:lang w:eastAsia="zh-CN" w:bidi="ar-EG"/>
        </w:rPr>
      </w:pPr>
    </w:p>
    <w:p w:rsidR="00C673E0" w:rsidRPr="00C673E0" w:rsidRDefault="00C673E0" w:rsidP="00644513">
      <w:pPr>
        <w:snapToGrid w:val="0"/>
        <w:spacing w:after="0" w:line="240" w:lineRule="auto"/>
        <w:jc w:val="both"/>
        <w:rPr>
          <w:rFonts w:ascii="Times New Roman" w:hAnsi="Times New Roman"/>
          <w:b/>
          <w:bCs/>
          <w:sz w:val="20"/>
          <w:szCs w:val="20"/>
          <w:lang w:eastAsia="zh-CN" w:bidi="ar-EG"/>
        </w:rPr>
      </w:pPr>
    </w:p>
    <w:p w:rsidR="00C673E0" w:rsidRPr="00C673E0" w:rsidRDefault="00C673E0" w:rsidP="00644513">
      <w:pPr>
        <w:snapToGrid w:val="0"/>
        <w:spacing w:after="0" w:line="240" w:lineRule="auto"/>
        <w:jc w:val="both"/>
        <w:rPr>
          <w:rFonts w:ascii="Times New Roman" w:hAnsi="Times New Roman"/>
          <w:b/>
          <w:bCs/>
          <w:sz w:val="20"/>
          <w:szCs w:val="20"/>
          <w:lang w:eastAsia="zh-CN" w:bidi="ar-EG"/>
        </w:rPr>
        <w:sectPr w:rsidR="00C673E0" w:rsidRPr="00C673E0" w:rsidSect="003E3F44">
          <w:type w:val="continuous"/>
          <w:pgSz w:w="12240" w:h="15840" w:code="9"/>
          <w:pgMar w:top="1440" w:right="1440" w:bottom="1440" w:left="1440" w:header="720" w:footer="720" w:gutter="0"/>
          <w:cols w:space="720"/>
          <w:docGrid w:linePitch="360"/>
        </w:sectPr>
      </w:pPr>
    </w:p>
    <w:p w:rsidR="006D0665" w:rsidRPr="00C673E0" w:rsidRDefault="006D0665" w:rsidP="006D0665">
      <w:pPr>
        <w:snapToGrid w:val="0"/>
        <w:spacing w:after="0" w:line="240" w:lineRule="auto"/>
        <w:ind w:firstLine="425"/>
        <w:jc w:val="both"/>
        <w:rPr>
          <w:rFonts w:ascii="Times New Roman" w:hAnsi="Times New Roman"/>
          <w:b/>
          <w:bCs/>
          <w:sz w:val="20"/>
          <w:szCs w:val="20"/>
          <w:lang w:eastAsia="zh-CN" w:bidi="ar-EG"/>
        </w:rPr>
      </w:pPr>
      <w:r w:rsidRPr="00C673E0">
        <w:rPr>
          <w:rFonts w:ascii="Times New Roman" w:hAnsi="Times New Roman"/>
          <w:b/>
          <w:bCs/>
          <w:sz w:val="20"/>
          <w:szCs w:val="20"/>
          <w:lang w:bidi="ar-EG"/>
        </w:rPr>
        <w:lastRenderedPageBreak/>
        <w:t xml:space="preserve">(1) </w:t>
      </w:r>
      <w:r w:rsidRPr="00C673E0">
        <w:rPr>
          <w:rFonts w:ascii="Times New Roman" w:hAnsi="Times New Roman"/>
          <w:sz w:val="20"/>
          <w:szCs w:val="20"/>
          <w:lang w:bidi="ar-EG"/>
        </w:rPr>
        <w:t xml:space="preserve">General clinical examination and taking full medical history. </w:t>
      </w:r>
      <w:r w:rsidRPr="00C673E0">
        <w:rPr>
          <w:rFonts w:ascii="Times New Roman" w:hAnsi="Times New Roman"/>
          <w:b/>
          <w:bCs/>
          <w:sz w:val="20"/>
          <w:szCs w:val="20"/>
          <w:lang w:bidi="ar-EG"/>
        </w:rPr>
        <w:t xml:space="preserve">(2) </w:t>
      </w:r>
      <w:r w:rsidRPr="00C673E0">
        <w:rPr>
          <w:rFonts w:ascii="Times New Roman" w:hAnsi="Times New Roman"/>
          <w:sz w:val="20"/>
          <w:szCs w:val="20"/>
          <w:lang w:bidi="ar-EG"/>
        </w:rPr>
        <w:t>Neurological examination and evaluation of the clinical disability of MS patients using the expanded disability status scale (EDSS). The patients have been ranked according to EDSS into 3groups, (EDSS= 1.0–3.0), (EDSS= 3.5–5) and (EDSS ≥ 5.5)</w:t>
      </w:r>
      <w:r w:rsidRPr="00C673E0">
        <w:rPr>
          <w:rFonts w:ascii="Times New Roman" w:hAnsi="Times New Roman"/>
          <w:b/>
          <w:bCs/>
          <w:sz w:val="20"/>
          <w:szCs w:val="20"/>
          <w:lang w:bidi="ar-EG"/>
        </w:rPr>
        <w:t xml:space="preserve"> </w:t>
      </w:r>
      <w:r w:rsidR="006E7628" w:rsidRPr="006E7628">
        <w:rPr>
          <w:rFonts w:ascii="Times New Roman" w:hAnsi="Times New Roman"/>
          <w:b/>
          <w:bCs/>
          <w:sz w:val="20"/>
          <w:szCs w:val="20"/>
          <w:lang w:bidi="ar-EG"/>
        </w:rPr>
        <w:fldChar w:fldCharType="begin" w:fldLock="1"/>
      </w:r>
      <w:r w:rsidRPr="00C673E0">
        <w:rPr>
          <w:rFonts w:ascii="Times New Roman" w:hAnsi="Times New Roman"/>
          <w:b/>
          <w:bCs/>
          <w:sz w:val="20"/>
          <w:szCs w:val="20"/>
          <w:lang w:bidi="ar-EG"/>
        </w:rPr>
        <w:instrText>ADDIN CSL_CITATION {"citationItems":[{"id":"ITEM-1","itemData":{"author":[{"dropping-particle":"","family":"Kurtzke","given":"John F","non-dropping-particle":"","parse-names":false,"suffix":""}],"container-title":"NEUROLOGY","id":"ITEM-1","issued":{"date-parts":[["1983"]]},"page":"1444-1452","title":"Rating neurologic impairment in multiple sclerosis : An expanded disability status scale ( EDSS )","type":"article-journal","volume":"33"},"uris":["http://www.mendeley.com/documents/?uuid=fda31ca1-5e75-45f7-94fa-dc4c6709dbe1"]}],"mendeley":{"formattedCitation":"(Kurtzke, 1983)","plainTextFormattedCitation":"(Kurtzke, 1983)","previouslyFormattedCitation":"(Kurtzke, 1983)"},"properties":{"noteIndex":0},"schema":"https://github.com/citation-style-language/schema/raw/master/csl-citation.json"}</w:instrText>
      </w:r>
      <w:r w:rsidR="006E7628" w:rsidRPr="006E7628">
        <w:rPr>
          <w:rFonts w:ascii="Times New Roman" w:hAnsi="Times New Roman"/>
          <w:b/>
          <w:bCs/>
          <w:sz w:val="20"/>
          <w:szCs w:val="20"/>
          <w:lang w:bidi="ar-EG"/>
        </w:rPr>
        <w:fldChar w:fldCharType="separate"/>
      </w:r>
      <w:r w:rsidRPr="00C673E0">
        <w:rPr>
          <w:rFonts w:ascii="Times New Roman" w:hAnsi="Times New Roman"/>
          <w:b/>
          <w:bCs/>
          <w:sz w:val="20"/>
          <w:szCs w:val="20"/>
          <w:lang w:bidi="ar-EG"/>
        </w:rPr>
        <w:t>(Kurtzke, 1983)</w:t>
      </w:r>
      <w:r w:rsidR="006E7628" w:rsidRPr="00C673E0">
        <w:rPr>
          <w:rFonts w:ascii="Times New Roman" w:hAnsi="Times New Roman"/>
          <w:sz w:val="20"/>
          <w:szCs w:val="20"/>
          <w:lang w:bidi="ar-EG"/>
        </w:rPr>
        <w:fldChar w:fldCharType="end"/>
      </w:r>
      <w:r w:rsidRPr="00C673E0">
        <w:rPr>
          <w:rFonts w:ascii="Times New Roman" w:hAnsi="Times New Roman"/>
          <w:sz w:val="20"/>
          <w:szCs w:val="20"/>
          <w:lang w:bidi="ar-EG"/>
        </w:rPr>
        <w:t>.</w:t>
      </w:r>
      <w:r w:rsidRPr="00C673E0">
        <w:rPr>
          <w:rFonts w:ascii="Times New Roman" w:hAnsi="Times New Roman"/>
          <w:b/>
          <w:bCs/>
          <w:sz w:val="20"/>
          <w:szCs w:val="20"/>
          <w:lang w:bidi="ar-EG"/>
        </w:rPr>
        <w:t xml:space="preserve"> (3) </w:t>
      </w:r>
      <w:r w:rsidRPr="00C673E0">
        <w:rPr>
          <w:rFonts w:ascii="Times New Roman" w:hAnsi="Times New Roman"/>
          <w:sz w:val="20"/>
          <w:szCs w:val="20"/>
          <w:lang w:bidi="ar-EG"/>
        </w:rPr>
        <w:t>Samples of whole blood (5ml) were begun taking and the serum was separated. Table (1) shows the demographic and clinical data of the study participants.</w:t>
      </w:r>
    </w:p>
    <w:p w:rsidR="008B2114" w:rsidRPr="00C673E0" w:rsidRDefault="00DE5B23" w:rsidP="00644513">
      <w:pPr>
        <w:snapToGrid w:val="0"/>
        <w:spacing w:after="0" w:line="240" w:lineRule="auto"/>
        <w:jc w:val="both"/>
        <w:rPr>
          <w:rFonts w:ascii="Times New Roman" w:hAnsi="Times New Roman"/>
          <w:b/>
          <w:bCs/>
          <w:sz w:val="20"/>
          <w:szCs w:val="20"/>
          <w:lang w:bidi="ar-EG"/>
        </w:rPr>
      </w:pPr>
      <w:r w:rsidRPr="00C673E0">
        <w:rPr>
          <w:rFonts w:ascii="Times New Roman" w:hAnsi="Times New Roman"/>
          <w:b/>
          <w:bCs/>
          <w:sz w:val="20"/>
          <w:szCs w:val="20"/>
          <w:lang w:bidi="ar-EG"/>
        </w:rPr>
        <w:t xml:space="preserve">Detection of Long Non-Coding RNA in </w:t>
      </w:r>
      <w:r w:rsidR="008B2114" w:rsidRPr="00C673E0">
        <w:rPr>
          <w:rFonts w:ascii="Times New Roman" w:hAnsi="Times New Roman"/>
          <w:b/>
          <w:bCs/>
          <w:sz w:val="20"/>
          <w:szCs w:val="20"/>
          <w:lang w:bidi="ar-EG"/>
        </w:rPr>
        <w:t>MS Patients Serum</w:t>
      </w:r>
    </w:p>
    <w:p w:rsidR="00E926DC" w:rsidRPr="00C673E0" w:rsidRDefault="004B284C" w:rsidP="00644513">
      <w:pPr>
        <w:snapToGrid w:val="0"/>
        <w:spacing w:after="0" w:line="240" w:lineRule="auto"/>
        <w:ind w:firstLine="425"/>
        <w:jc w:val="both"/>
        <w:rPr>
          <w:rFonts w:ascii="Times New Roman" w:hAnsi="Times New Roman"/>
          <w:sz w:val="20"/>
          <w:szCs w:val="20"/>
          <w:lang w:bidi="ar-EG"/>
        </w:rPr>
      </w:pPr>
      <w:r w:rsidRPr="00C673E0">
        <w:rPr>
          <w:rFonts w:ascii="Times New Roman" w:hAnsi="Times New Roman"/>
          <w:sz w:val="20"/>
          <w:szCs w:val="20"/>
          <w:lang w:bidi="ar-EG"/>
        </w:rPr>
        <w:t xml:space="preserve">Total RNA was extracted </w:t>
      </w:r>
      <w:r w:rsidR="00DF0308" w:rsidRPr="00C673E0">
        <w:rPr>
          <w:rFonts w:ascii="Times New Roman" w:hAnsi="Times New Roman"/>
          <w:sz w:val="20"/>
          <w:szCs w:val="20"/>
          <w:lang w:bidi="ar-EG"/>
        </w:rPr>
        <w:t>using the miRNeasy mini kit (Qiagen, Valencia, CA, USA) from serum as directed by the manufacturer. Using the NanoDrop®-1000 spectrophotometer (NanoDrop Technologies, Inc. Wilmington, USA), RNA samples were subjected to RNA quantitation and purity evaluation.</w:t>
      </w:r>
      <w:r w:rsidR="007518C3" w:rsidRPr="00C673E0">
        <w:rPr>
          <w:rFonts w:ascii="Times New Roman" w:hAnsi="Times New Roman"/>
          <w:sz w:val="20"/>
          <w:szCs w:val="20"/>
          <w:lang w:bidi="ar-EG"/>
        </w:rPr>
        <w:t xml:space="preserve"> </w:t>
      </w:r>
      <w:r w:rsidR="008359B4" w:rsidRPr="00C673E0">
        <w:rPr>
          <w:rFonts w:ascii="Times New Roman" w:hAnsi="Times New Roman"/>
          <w:sz w:val="20"/>
          <w:szCs w:val="20"/>
          <w:lang w:bidi="ar-EG"/>
        </w:rPr>
        <w:t xml:space="preserve">Extracted RNA was subjected to complementary DNA (cDNA) </w:t>
      </w:r>
      <w:r w:rsidR="00863EE8" w:rsidRPr="00C673E0">
        <w:rPr>
          <w:rFonts w:ascii="Times New Roman" w:hAnsi="Times New Roman"/>
          <w:sz w:val="20"/>
          <w:szCs w:val="20"/>
          <w:lang w:bidi="ar-EG"/>
        </w:rPr>
        <w:t xml:space="preserve">synthesis </w:t>
      </w:r>
      <w:r w:rsidR="008359B4" w:rsidRPr="00C673E0">
        <w:rPr>
          <w:rFonts w:ascii="Times New Roman" w:hAnsi="Times New Roman"/>
          <w:sz w:val="20"/>
          <w:szCs w:val="20"/>
          <w:lang w:bidi="ar-EG"/>
        </w:rPr>
        <w:t>by r</w:t>
      </w:r>
      <w:r w:rsidR="00E926DC" w:rsidRPr="00C673E0">
        <w:rPr>
          <w:rFonts w:ascii="Times New Roman" w:hAnsi="Times New Roman"/>
          <w:sz w:val="20"/>
          <w:szCs w:val="20"/>
          <w:lang w:bidi="ar-EG"/>
        </w:rPr>
        <w:t xml:space="preserve">everse transcription (RT) </w:t>
      </w:r>
      <w:r w:rsidR="00B90D52" w:rsidRPr="00C673E0">
        <w:rPr>
          <w:rFonts w:ascii="Times New Roman" w:hAnsi="Times New Roman"/>
          <w:sz w:val="20"/>
          <w:szCs w:val="20"/>
          <w:lang w:bidi="ar-EG"/>
        </w:rPr>
        <w:t xml:space="preserve">usage of the first strand kit RT2 (Qiagen, Valencia, CA, USA) in </w:t>
      </w:r>
      <w:r w:rsidR="00B90D52" w:rsidRPr="00C673E0">
        <w:rPr>
          <w:rFonts w:ascii="Times New Roman" w:hAnsi="Times New Roman"/>
          <w:sz w:val="20"/>
          <w:szCs w:val="20"/>
          <w:lang w:bidi="ar-EG"/>
        </w:rPr>
        <w:lastRenderedPageBreak/>
        <w:t>compliance with the instructions of the manufacturer</w:t>
      </w:r>
      <w:r w:rsidRPr="00C673E0">
        <w:rPr>
          <w:rFonts w:ascii="Times New Roman" w:hAnsi="Times New Roman"/>
          <w:sz w:val="20"/>
          <w:szCs w:val="20"/>
          <w:lang w:bidi="ar-EG"/>
        </w:rPr>
        <w:t xml:space="preserve">. </w:t>
      </w:r>
      <w:r w:rsidR="00E926DC" w:rsidRPr="00C673E0">
        <w:rPr>
          <w:rFonts w:ascii="Times New Roman" w:hAnsi="Times New Roman"/>
          <w:sz w:val="20"/>
          <w:szCs w:val="20"/>
          <w:lang w:bidi="ar-EG"/>
        </w:rPr>
        <w:t>The RT reaction was</w:t>
      </w:r>
      <w:r w:rsidR="00A26BED" w:rsidRPr="00C673E0">
        <w:rPr>
          <w:rFonts w:ascii="Times New Roman" w:hAnsi="Times New Roman"/>
          <w:b/>
          <w:bCs/>
          <w:sz w:val="20"/>
          <w:szCs w:val="20"/>
          <w:lang w:bidi="ar-EG"/>
        </w:rPr>
        <w:t xml:space="preserve"> </w:t>
      </w:r>
      <w:r w:rsidR="00A26BED" w:rsidRPr="00C673E0">
        <w:rPr>
          <w:rFonts w:ascii="Times New Roman" w:hAnsi="Times New Roman"/>
          <w:sz w:val="20"/>
          <w:szCs w:val="20"/>
          <w:lang w:bidi="ar-EG"/>
        </w:rPr>
        <w:t>done as follows;</w:t>
      </w:r>
      <w:r w:rsidR="00E926DC" w:rsidRPr="00C673E0">
        <w:rPr>
          <w:rFonts w:ascii="Times New Roman" w:hAnsi="Times New Roman"/>
          <w:b/>
          <w:bCs/>
          <w:sz w:val="20"/>
          <w:szCs w:val="20"/>
          <w:lang w:bidi="ar-EG"/>
        </w:rPr>
        <w:t xml:space="preserve"> </w:t>
      </w:r>
      <w:r w:rsidR="00A26BED" w:rsidRPr="00C673E0">
        <w:rPr>
          <w:rFonts w:ascii="Times New Roman" w:eastAsia="Times New Roman" w:hAnsi="Times New Roman"/>
          <w:sz w:val="20"/>
          <w:szCs w:val="20"/>
        </w:rPr>
        <w:t>t</w:t>
      </w:r>
      <w:r w:rsidR="00E926DC" w:rsidRPr="00C673E0">
        <w:rPr>
          <w:rFonts w:ascii="Times New Roman" w:eastAsia="Times New Roman" w:hAnsi="Times New Roman"/>
          <w:sz w:val="20"/>
          <w:szCs w:val="20"/>
        </w:rPr>
        <w:t>he reverse-transcription master mix was prepa</w:t>
      </w:r>
      <w:r w:rsidR="00A26BED" w:rsidRPr="00C673E0">
        <w:rPr>
          <w:rFonts w:ascii="Times New Roman" w:eastAsia="Times New Roman" w:hAnsi="Times New Roman"/>
          <w:sz w:val="20"/>
          <w:szCs w:val="20"/>
        </w:rPr>
        <w:t>red.</w:t>
      </w:r>
      <w:r w:rsidR="003E3C7C" w:rsidRPr="00C673E0">
        <w:rPr>
          <w:rFonts w:ascii="Times New Roman" w:eastAsia="Times New Roman" w:hAnsi="Times New Roman"/>
          <w:sz w:val="20"/>
          <w:szCs w:val="20"/>
        </w:rPr>
        <w:t xml:space="preserve"> </w:t>
      </w:r>
      <w:r w:rsidR="00B90D52" w:rsidRPr="00C673E0">
        <w:rPr>
          <w:rFonts w:ascii="Times New Roman" w:hAnsi="Times New Roman"/>
          <w:sz w:val="20"/>
          <w:szCs w:val="20"/>
          <w:lang w:bidi="ar-EG"/>
        </w:rPr>
        <w:t>For each tube containing the reverse-transcription master mix, template RNA was added.</w:t>
      </w:r>
      <w:r w:rsidR="00A26BED" w:rsidRPr="00C673E0">
        <w:rPr>
          <w:rFonts w:ascii="Times New Roman" w:hAnsi="Times New Roman"/>
          <w:sz w:val="20"/>
          <w:szCs w:val="20"/>
          <w:lang w:bidi="ar-EG"/>
        </w:rPr>
        <w:t xml:space="preserve"> Gentle mixing was done with centrifugation. Incubation was done for 60 min at 37ºC using conventional PCR. Incubation for 5 min at 95ºC was done to inactivate RT</w:t>
      </w:r>
      <w:r w:rsidR="00A26BED" w:rsidRPr="00C673E0">
        <w:rPr>
          <w:rFonts w:ascii="Times New Roman" w:hAnsi="Times New Roman"/>
          <w:sz w:val="20"/>
          <w:szCs w:val="20"/>
          <w:vertAlign w:val="superscript"/>
          <w:lang w:bidi="ar-EG"/>
        </w:rPr>
        <w:t>2</w:t>
      </w:r>
      <w:r w:rsidR="005B77C5" w:rsidRPr="00C673E0">
        <w:rPr>
          <w:rFonts w:ascii="Times New Roman" w:hAnsi="Times New Roman"/>
          <w:sz w:val="20"/>
          <w:szCs w:val="20"/>
          <w:lang w:bidi="ar-EG"/>
        </w:rPr>
        <w:t xml:space="preserve"> first strand reverse t</w:t>
      </w:r>
      <w:r w:rsidR="00A26BED" w:rsidRPr="00C673E0">
        <w:rPr>
          <w:rFonts w:ascii="Times New Roman" w:hAnsi="Times New Roman"/>
          <w:sz w:val="20"/>
          <w:szCs w:val="20"/>
          <w:lang w:bidi="ar-EG"/>
        </w:rPr>
        <w:t>ranscriptase using conventional PCR.</w:t>
      </w:r>
    </w:p>
    <w:p w:rsidR="007A7556" w:rsidRPr="00C673E0" w:rsidRDefault="007A7556" w:rsidP="00644513">
      <w:pPr>
        <w:autoSpaceDE w:val="0"/>
        <w:autoSpaceDN w:val="0"/>
        <w:adjustRightInd w:val="0"/>
        <w:snapToGrid w:val="0"/>
        <w:spacing w:before="144" w:after="144" w:line="240" w:lineRule="auto"/>
        <w:ind w:firstLine="425"/>
        <w:contextualSpacing/>
        <w:jc w:val="both"/>
        <w:rPr>
          <w:rFonts w:ascii="Times New Roman" w:eastAsia="Times New Roman" w:hAnsi="Times New Roman"/>
          <w:sz w:val="20"/>
          <w:szCs w:val="20"/>
        </w:rPr>
      </w:pPr>
      <w:r w:rsidRPr="00C673E0">
        <w:rPr>
          <w:rFonts w:ascii="Times New Roman" w:eastAsia="Times New Roman" w:hAnsi="Times New Roman"/>
          <w:b/>
          <w:bCs/>
          <w:sz w:val="20"/>
          <w:szCs w:val="20"/>
        </w:rPr>
        <w:t>Real-time qPCR</w:t>
      </w:r>
      <w:r w:rsidRPr="00C673E0">
        <w:rPr>
          <w:rFonts w:ascii="Times New Roman" w:eastAsia="Times New Roman" w:hAnsi="Times New Roman"/>
          <w:sz w:val="20"/>
          <w:szCs w:val="20"/>
        </w:rPr>
        <w:t xml:space="preserve"> was </w:t>
      </w:r>
      <w:r w:rsidR="0047286A" w:rsidRPr="00C673E0">
        <w:rPr>
          <w:rFonts w:ascii="Times New Roman" w:eastAsia="Times New Roman" w:hAnsi="Times New Roman"/>
          <w:sz w:val="20"/>
          <w:szCs w:val="20"/>
        </w:rPr>
        <w:t xml:space="preserve">performed </w:t>
      </w:r>
      <w:r w:rsidRPr="00C673E0">
        <w:rPr>
          <w:rFonts w:ascii="Times New Roman" w:eastAsia="Times New Roman" w:hAnsi="Times New Roman"/>
          <w:sz w:val="20"/>
          <w:szCs w:val="20"/>
        </w:rPr>
        <w:t xml:space="preserve">using </w:t>
      </w:r>
      <w:r w:rsidRPr="00C673E0">
        <w:rPr>
          <w:rFonts w:ascii="Times New Roman" w:eastAsia="Times New Roman" w:hAnsi="Times New Roman"/>
          <w:sz w:val="20"/>
          <w:szCs w:val="20"/>
          <w:lang w:bidi="ar-EG"/>
        </w:rPr>
        <w:t>RT</w:t>
      </w:r>
      <w:r w:rsidRPr="00C673E0">
        <w:rPr>
          <w:rFonts w:ascii="Times New Roman" w:eastAsia="Times New Roman" w:hAnsi="Times New Roman"/>
          <w:sz w:val="20"/>
          <w:szCs w:val="20"/>
          <w:vertAlign w:val="superscript"/>
          <w:lang w:bidi="ar-EG"/>
        </w:rPr>
        <w:t>2</w:t>
      </w:r>
      <w:r w:rsidRPr="00C673E0">
        <w:rPr>
          <w:rFonts w:ascii="Times New Roman" w:eastAsia="Times New Roman" w:hAnsi="Times New Roman"/>
          <w:sz w:val="20"/>
          <w:szCs w:val="20"/>
          <w:lang w:bidi="ar-EG"/>
        </w:rPr>
        <w:t xml:space="preserve"> qPCR Sybr Green/Master Mix kit and RT</w:t>
      </w:r>
      <w:r w:rsidRPr="00C673E0">
        <w:rPr>
          <w:rFonts w:ascii="Times New Roman" w:eastAsia="Times New Roman" w:hAnsi="Times New Roman"/>
          <w:sz w:val="20"/>
          <w:szCs w:val="20"/>
          <w:vertAlign w:val="superscript"/>
          <w:lang w:bidi="ar-EG"/>
        </w:rPr>
        <w:t xml:space="preserve">2 </w:t>
      </w:r>
      <w:r w:rsidRPr="00C673E0">
        <w:rPr>
          <w:rFonts w:ascii="Times New Roman" w:eastAsia="Times New Roman" w:hAnsi="Times New Roman"/>
          <w:sz w:val="20"/>
          <w:szCs w:val="20"/>
          <w:lang w:bidi="ar-EG"/>
        </w:rPr>
        <w:t>lncRNA qPCR primer assays for lncRNA-H19, lincRNA-p21 and GAPDH (used as reference gene). All these kits were purcha</w:t>
      </w:r>
      <w:r w:rsidR="00A65433" w:rsidRPr="00C673E0">
        <w:rPr>
          <w:rFonts w:ascii="Times New Roman" w:eastAsia="Times New Roman" w:hAnsi="Times New Roman"/>
          <w:sz w:val="20"/>
          <w:szCs w:val="20"/>
          <w:lang w:bidi="ar-EG"/>
        </w:rPr>
        <w:t xml:space="preserve">sed from (Qiagen, Valencia, CA, </w:t>
      </w:r>
      <w:r w:rsidRPr="00C673E0">
        <w:rPr>
          <w:rFonts w:ascii="Times New Roman" w:eastAsia="Times New Roman" w:hAnsi="Times New Roman"/>
          <w:sz w:val="20"/>
          <w:szCs w:val="20"/>
          <w:lang w:bidi="ar-EG"/>
        </w:rPr>
        <w:t xml:space="preserve">USA) with catalog no. of lncRNA-H19; </w:t>
      </w:r>
      <w:r w:rsidRPr="00C673E0">
        <w:rPr>
          <w:rFonts w:ascii="Times New Roman" w:eastAsia="Times New Roman" w:hAnsi="Times New Roman"/>
          <w:b/>
          <w:bCs/>
          <w:sz w:val="20"/>
          <w:szCs w:val="20"/>
          <w:lang w:bidi="ar-EG"/>
        </w:rPr>
        <w:t>LPH01147A-200</w:t>
      </w:r>
      <w:r w:rsidRPr="00C673E0">
        <w:rPr>
          <w:rFonts w:ascii="Times New Roman" w:eastAsia="Times New Roman" w:hAnsi="Times New Roman"/>
          <w:sz w:val="20"/>
          <w:szCs w:val="20"/>
          <w:lang w:bidi="ar-EG"/>
        </w:rPr>
        <w:t xml:space="preserve">, catalog no. of lincRNA-p21; </w:t>
      </w:r>
      <w:r w:rsidRPr="00C673E0">
        <w:rPr>
          <w:rFonts w:ascii="Times New Roman" w:eastAsia="Times New Roman" w:hAnsi="Times New Roman"/>
          <w:b/>
          <w:bCs/>
          <w:sz w:val="20"/>
          <w:szCs w:val="20"/>
          <w:lang w:bidi="ar-EG"/>
        </w:rPr>
        <w:t>LPH42417A-200</w:t>
      </w:r>
      <w:r w:rsidRPr="00C673E0">
        <w:rPr>
          <w:rFonts w:ascii="Times New Roman" w:eastAsia="Times New Roman" w:hAnsi="Times New Roman"/>
          <w:sz w:val="20"/>
          <w:szCs w:val="20"/>
          <w:lang w:bidi="ar-EG"/>
        </w:rPr>
        <w:t xml:space="preserve"> and catalog no. of GAPDH; </w:t>
      </w:r>
      <w:r w:rsidRPr="00C673E0">
        <w:rPr>
          <w:rFonts w:ascii="Times New Roman" w:eastAsia="Times New Roman" w:hAnsi="Times New Roman"/>
          <w:b/>
          <w:bCs/>
          <w:sz w:val="20"/>
          <w:szCs w:val="20"/>
          <w:lang w:bidi="ar-EG"/>
        </w:rPr>
        <w:t>QT00079247</w:t>
      </w:r>
      <w:r w:rsidRPr="00C673E0">
        <w:rPr>
          <w:rFonts w:ascii="Times New Roman" w:eastAsia="Times New Roman" w:hAnsi="Times New Roman"/>
          <w:sz w:val="20"/>
          <w:szCs w:val="20"/>
          <w:lang w:bidi="ar-EG"/>
        </w:rPr>
        <w:t xml:space="preserve">. </w:t>
      </w:r>
      <w:r w:rsidRPr="00C673E0">
        <w:rPr>
          <w:rFonts w:ascii="Times New Roman" w:eastAsia="Times New Roman" w:hAnsi="Times New Roman"/>
          <w:sz w:val="20"/>
          <w:szCs w:val="20"/>
        </w:rPr>
        <w:t xml:space="preserve">Reaction mix was prepared for a 20 μl per well reaction volume. The real-time thermocycler Rotor-gene Q System (Qiagen, USA) </w:t>
      </w:r>
      <w:r w:rsidR="002B74F5" w:rsidRPr="00C673E0">
        <w:rPr>
          <w:rFonts w:ascii="Times New Roman" w:eastAsia="Times New Roman" w:hAnsi="Times New Roman"/>
          <w:sz w:val="20"/>
          <w:szCs w:val="20"/>
        </w:rPr>
        <w:t xml:space="preserve">has been </w:t>
      </w:r>
      <w:r w:rsidR="00A65433" w:rsidRPr="00C673E0">
        <w:rPr>
          <w:rFonts w:ascii="Times New Roman" w:eastAsia="Times New Roman" w:hAnsi="Times New Roman"/>
          <w:sz w:val="20"/>
          <w:szCs w:val="20"/>
        </w:rPr>
        <w:t xml:space="preserve">programmed </w:t>
      </w:r>
      <w:r w:rsidR="006875DD" w:rsidRPr="00C673E0">
        <w:rPr>
          <w:rFonts w:ascii="Times New Roman" w:eastAsia="Times New Roman" w:hAnsi="Times New Roman"/>
          <w:sz w:val="20"/>
          <w:szCs w:val="20"/>
        </w:rPr>
        <w:t xml:space="preserve">in accordance with </w:t>
      </w:r>
      <w:r w:rsidR="00A65433" w:rsidRPr="00C673E0">
        <w:rPr>
          <w:rFonts w:ascii="Times New Roman" w:eastAsia="Times New Roman" w:hAnsi="Times New Roman"/>
          <w:sz w:val="20"/>
          <w:szCs w:val="20"/>
        </w:rPr>
        <w:t>table (2</w:t>
      </w:r>
      <w:r w:rsidRPr="00C673E0">
        <w:rPr>
          <w:rFonts w:ascii="Times New Roman" w:eastAsia="Times New Roman" w:hAnsi="Times New Roman"/>
          <w:sz w:val="20"/>
          <w:szCs w:val="20"/>
        </w:rPr>
        <w:t xml:space="preserve">). </w:t>
      </w:r>
      <w:bookmarkStart w:id="0" w:name="_Toc490807055"/>
    </w:p>
    <w:p w:rsidR="000F71AB" w:rsidRPr="00C673E0" w:rsidRDefault="000F71AB" w:rsidP="00644513">
      <w:pPr>
        <w:snapToGrid w:val="0"/>
        <w:spacing w:after="0" w:line="240" w:lineRule="auto"/>
        <w:jc w:val="both"/>
        <w:rPr>
          <w:rFonts w:ascii="Times New Roman" w:eastAsia="Times New Roman" w:hAnsi="Times New Roman"/>
          <w:b/>
          <w:bCs/>
          <w:sz w:val="20"/>
          <w:szCs w:val="20"/>
          <w:lang w:val="de-DE"/>
        </w:rPr>
        <w:sectPr w:rsidR="000F71AB" w:rsidRPr="00C673E0" w:rsidSect="000F71AB">
          <w:type w:val="continuous"/>
          <w:pgSz w:w="12240" w:h="15840" w:code="9"/>
          <w:pgMar w:top="1440" w:right="1440" w:bottom="1440" w:left="1440" w:header="720" w:footer="720" w:gutter="0"/>
          <w:cols w:num="2" w:space="550"/>
          <w:docGrid w:linePitch="360"/>
        </w:sectPr>
      </w:pPr>
    </w:p>
    <w:p w:rsidR="003E3F44" w:rsidRPr="00C673E0" w:rsidRDefault="003E3F44" w:rsidP="00644513">
      <w:pPr>
        <w:snapToGrid w:val="0"/>
        <w:spacing w:after="0" w:line="240" w:lineRule="auto"/>
        <w:jc w:val="both"/>
        <w:rPr>
          <w:rFonts w:ascii="Times New Roman" w:eastAsia="Times New Roman" w:hAnsi="Times New Roman"/>
          <w:b/>
          <w:bCs/>
          <w:sz w:val="20"/>
          <w:szCs w:val="20"/>
          <w:lang w:val="de-DE"/>
        </w:rPr>
      </w:pPr>
    </w:p>
    <w:p w:rsidR="007A7556" w:rsidRPr="00C673E0" w:rsidRDefault="003E3F44" w:rsidP="006D0665">
      <w:pPr>
        <w:snapToGrid w:val="0"/>
        <w:spacing w:after="0" w:line="240" w:lineRule="auto"/>
        <w:jc w:val="center"/>
        <w:rPr>
          <w:rFonts w:ascii="Times New Roman" w:eastAsia="Times New Roman" w:hAnsi="Times New Roman"/>
          <w:b/>
          <w:bCs/>
          <w:sz w:val="20"/>
          <w:szCs w:val="20"/>
        </w:rPr>
      </w:pPr>
      <w:r w:rsidRPr="00C673E0">
        <w:rPr>
          <w:rFonts w:ascii="Times New Roman" w:eastAsia="Times New Roman" w:hAnsi="Times New Roman"/>
          <w:b/>
          <w:bCs/>
          <w:sz w:val="20"/>
          <w:szCs w:val="20"/>
          <w:lang w:val="de-DE"/>
        </w:rPr>
        <w:t>T</w:t>
      </w:r>
      <w:r w:rsidR="007A7556" w:rsidRPr="00C673E0">
        <w:rPr>
          <w:rFonts w:ascii="Times New Roman" w:eastAsia="Times New Roman" w:hAnsi="Times New Roman"/>
          <w:b/>
          <w:bCs/>
          <w:sz w:val="20"/>
          <w:szCs w:val="20"/>
          <w:lang w:val="de-DE"/>
        </w:rPr>
        <w:t>able (</w:t>
      </w:r>
      <w:r w:rsidR="00A65433" w:rsidRPr="00C673E0">
        <w:rPr>
          <w:rFonts w:ascii="Times New Roman" w:eastAsia="Times New Roman" w:hAnsi="Times New Roman"/>
          <w:b/>
          <w:sz w:val="20"/>
          <w:szCs w:val="20"/>
          <w:lang w:val="de-DE"/>
        </w:rPr>
        <w:t>2</w:t>
      </w:r>
      <w:r w:rsidR="007A7556" w:rsidRPr="00C673E0">
        <w:rPr>
          <w:rFonts w:ascii="Times New Roman" w:eastAsia="Times New Roman" w:hAnsi="Times New Roman"/>
          <w:b/>
          <w:bCs/>
          <w:sz w:val="20"/>
          <w:szCs w:val="20"/>
          <w:lang w:val="de-DE"/>
        </w:rPr>
        <w:t xml:space="preserve">): The </w:t>
      </w:r>
      <w:bookmarkEnd w:id="0"/>
      <w:r w:rsidR="007A7556" w:rsidRPr="00C673E0">
        <w:rPr>
          <w:rFonts w:ascii="Times New Roman" w:eastAsia="Times New Roman" w:hAnsi="Times New Roman"/>
          <w:b/>
          <w:bCs/>
          <w:sz w:val="20"/>
          <w:szCs w:val="20"/>
        </w:rPr>
        <w:t>real-time thermocycler</w:t>
      </w:r>
      <w:r w:rsidR="007A7556" w:rsidRPr="00C673E0">
        <w:rPr>
          <w:rFonts w:ascii="Times New Roman" w:eastAsia="Times New Roman" w:hAnsi="Times New Roman"/>
          <w:b/>
          <w:bCs/>
          <w:sz w:val="20"/>
          <w:szCs w:val="20"/>
          <w:lang w:val="de-DE"/>
        </w:rPr>
        <w:t xml:space="preserve"> programming: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75"/>
        <w:gridCol w:w="851"/>
        <w:gridCol w:w="1702"/>
        <w:gridCol w:w="3746"/>
      </w:tblGrid>
      <w:tr w:rsidR="000C0E36" w:rsidRPr="00C673E0" w:rsidTr="00C673E0">
        <w:trPr>
          <w:cantSplit/>
          <w:jc w:val="center"/>
        </w:trPr>
        <w:tc>
          <w:tcPr>
            <w:tcW w:w="1676" w:type="pct"/>
            <w:shd w:val="clear" w:color="auto" w:fill="D9D9D9"/>
            <w:vAlign w:val="center"/>
            <w:hideMark/>
          </w:tcPr>
          <w:p w:rsidR="007A7556" w:rsidRPr="00C673E0" w:rsidRDefault="007A7556" w:rsidP="00644513">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Step</w:t>
            </w:r>
          </w:p>
        </w:tc>
        <w:tc>
          <w:tcPr>
            <w:tcW w:w="449" w:type="pct"/>
            <w:shd w:val="clear" w:color="auto" w:fill="D9D9D9"/>
            <w:vAlign w:val="center"/>
            <w:hideMark/>
          </w:tcPr>
          <w:p w:rsidR="007A7556" w:rsidRPr="00C673E0" w:rsidRDefault="007A7556" w:rsidP="00644513">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Time</w:t>
            </w:r>
          </w:p>
        </w:tc>
        <w:tc>
          <w:tcPr>
            <w:tcW w:w="898" w:type="pct"/>
            <w:shd w:val="clear" w:color="auto" w:fill="D9D9D9"/>
            <w:vAlign w:val="center"/>
            <w:hideMark/>
          </w:tcPr>
          <w:p w:rsidR="007A7556" w:rsidRPr="00C673E0" w:rsidRDefault="007A7556" w:rsidP="00644513">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Temperature</w:t>
            </w:r>
          </w:p>
        </w:tc>
        <w:tc>
          <w:tcPr>
            <w:tcW w:w="1977" w:type="pct"/>
            <w:shd w:val="clear" w:color="auto" w:fill="D9D9D9"/>
            <w:vAlign w:val="center"/>
            <w:hideMark/>
          </w:tcPr>
          <w:p w:rsidR="007A7556" w:rsidRPr="00C673E0" w:rsidRDefault="007A7556" w:rsidP="00644513">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Additional Comments</w:t>
            </w:r>
          </w:p>
        </w:tc>
      </w:tr>
      <w:tr w:rsidR="000C0E36" w:rsidRPr="00C673E0" w:rsidTr="00C673E0">
        <w:trPr>
          <w:cantSplit/>
          <w:jc w:val="center"/>
        </w:trPr>
        <w:tc>
          <w:tcPr>
            <w:tcW w:w="1676" w:type="pct"/>
            <w:vAlign w:val="center"/>
            <w:hideMark/>
          </w:tcPr>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 xml:space="preserve"> Initial activation step</w:t>
            </w:r>
            <w:r w:rsidRPr="00C673E0">
              <w:rPr>
                <w:rFonts w:ascii="Times New Roman" w:eastAsia="Times New Roman" w:hAnsi="Times New Roman"/>
                <w:sz w:val="20"/>
                <w:szCs w:val="20"/>
              </w:rPr>
              <w:t xml:space="preserve"> (holding step)</w:t>
            </w:r>
          </w:p>
        </w:tc>
        <w:tc>
          <w:tcPr>
            <w:tcW w:w="449" w:type="pct"/>
            <w:vAlign w:val="center"/>
            <w:hideMark/>
          </w:tcPr>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10 min</w:t>
            </w:r>
          </w:p>
        </w:tc>
        <w:tc>
          <w:tcPr>
            <w:tcW w:w="898" w:type="pct"/>
            <w:vAlign w:val="center"/>
            <w:hideMark/>
          </w:tcPr>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95ºC</w:t>
            </w:r>
          </w:p>
        </w:tc>
        <w:tc>
          <w:tcPr>
            <w:tcW w:w="1977" w:type="pct"/>
            <w:vAlign w:val="center"/>
            <w:hideMark/>
          </w:tcPr>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HotStar Taq DNA Polymerase is activated by this heating step</w:t>
            </w:r>
          </w:p>
        </w:tc>
      </w:tr>
      <w:tr w:rsidR="000C0E36" w:rsidRPr="00C673E0" w:rsidTr="00C673E0">
        <w:trPr>
          <w:cantSplit/>
          <w:jc w:val="center"/>
        </w:trPr>
        <w:tc>
          <w:tcPr>
            <w:tcW w:w="1676" w:type="pct"/>
            <w:vAlign w:val="center"/>
            <w:hideMark/>
          </w:tcPr>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 xml:space="preserve">2-step cycling (45cycles): </w:t>
            </w:r>
          </w:p>
          <w:p w:rsidR="007A7556" w:rsidRPr="00C673E0" w:rsidRDefault="007A7556" w:rsidP="00644513">
            <w:pPr>
              <w:snapToGrid w:val="0"/>
              <w:spacing w:after="0" w:line="240" w:lineRule="auto"/>
              <w:jc w:val="both"/>
              <w:rPr>
                <w:rFonts w:ascii="Times New Roman" w:eastAsia="Times New Roman" w:hAnsi="Times New Roman"/>
                <w:b/>
                <w:bCs/>
                <w:sz w:val="20"/>
                <w:szCs w:val="20"/>
              </w:rPr>
            </w:pPr>
            <w:r w:rsidRPr="00C673E0">
              <w:rPr>
                <w:rFonts w:ascii="Times New Roman" w:eastAsia="Times New Roman" w:hAnsi="Times New Roman"/>
                <w:b/>
                <w:bCs/>
                <w:sz w:val="20"/>
                <w:szCs w:val="20"/>
              </w:rPr>
              <w:t xml:space="preserve">Denaturation </w:t>
            </w:r>
          </w:p>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b/>
                <w:bCs/>
                <w:sz w:val="20"/>
                <w:szCs w:val="20"/>
              </w:rPr>
              <w:t xml:space="preserve">Annealing </w:t>
            </w:r>
            <w:r w:rsidRPr="00C673E0">
              <w:rPr>
                <w:rFonts w:ascii="Times New Roman" w:eastAsia="Times New Roman" w:hAnsi="Times New Roman"/>
                <w:sz w:val="20"/>
                <w:szCs w:val="20"/>
              </w:rPr>
              <w:t xml:space="preserve">and </w:t>
            </w:r>
            <w:r w:rsidRPr="00C673E0">
              <w:rPr>
                <w:rFonts w:ascii="Times New Roman" w:eastAsia="Times New Roman" w:hAnsi="Times New Roman"/>
                <w:b/>
                <w:bCs/>
                <w:sz w:val="20"/>
                <w:szCs w:val="20"/>
              </w:rPr>
              <w:t>Extension</w:t>
            </w:r>
          </w:p>
        </w:tc>
        <w:tc>
          <w:tcPr>
            <w:tcW w:w="449" w:type="pct"/>
            <w:vAlign w:val="center"/>
          </w:tcPr>
          <w:p w:rsidR="007A7556" w:rsidRPr="00C673E0" w:rsidRDefault="007A7556" w:rsidP="00644513">
            <w:pPr>
              <w:snapToGrid w:val="0"/>
              <w:spacing w:after="0" w:line="240" w:lineRule="auto"/>
              <w:jc w:val="both"/>
              <w:rPr>
                <w:rFonts w:ascii="Times New Roman" w:eastAsia="Times New Roman" w:hAnsi="Times New Roman"/>
                <w:sz w:val="20"/>
                <w:szCs w:val="20"/>
              </w:rPr>
            </w:pPr>
          </w:p>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15 s</w:t>
            </w:r>
          </w:p>
          <w:p w:rsidR="007A7556" w:rsidRPr="00C673E0" w:rsidRDefault="007A7556"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60 s</w:t>
            </w:r>
          </w:p>
        </w:tc>
        <w:tc>
          <w:tcPr>
            <w:tcW w:w="898" w:type="pct"/>
            <w:vAlign w:val="center"/>
          </w:tcPr>
          <w:p w:rsidR="007A7556" w:rsidRPr="00C673E0" w:rsidRDefault="007A7556" w:rsidP="00644513">
            <w:pPr>
              <w:snapToGrid w:val="0"/>
              <w:spacing w:after="0" w:line="240" w:lineRule="auto"/>
              <w:jc w:val="both"/>
              <w:rPr>
                <w:rFonts w:ascii="Times New Roman" w:eastAsia="Times New Roman" w:hAnsi="Times New Roman"/>
                <w:sz w:val="20"/>
                <w:szCs w:val="20"/>
              </w:rPr>
            </w:pPr>
          </w:p>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95ºC</w:t>
            </w:r>
          </w:p>
          <w:p w:rsidR="007A7556" w:rsidRPr="00C673E0" w:rsidRDefault="007A7556" w:rsidP="006D0665">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60ºC</w:t>
            </w:r>
          </w:p>
        </w:tc>
        <w:tc>
          <w:tcPr>
            <w:tcW w:w="1977" w:type="pct"/>
            <w:vAlign w:val="center"/>
          </w:tcPr>
          <w:p w:rsidR="007A7556" w:rsidRPr="00C673E0" w:rsidRDefault="007A7556" w:rsidP="00644513">
            <w:pPr>
              <w:snapToGrid w:val="0"/>
              <w:spacing w:after="0" w:line="240" w:lineRule="auto"/>
              <w:jc w:val="both"/>
              <w:rPr>
                <w:rFonts w:ascii="Times New Roman" w:eastAsia="Times New Roman" w:hAnsi="Times New Roman"/>
                <w:sz w:val="20"/>
                <w:szCs w:val="20"/>
              </w:rPr>
            </w:pPr>
          </w:p>
          <w:p w:rsidR="007A7556" w:rsidRPr="00C673E0" w:rsidRDefault="007A7556" w:rsidP="00644513">
            <w:pPr>
              <w:snapToGrid w:val="0"/>
              <w:spacing w:after="0" w:line="240" w:lineRule="auto"/>
              <w:jc w:val="both"/>
              <w:rPr>
                <w:rFonts w:ascii="Times New Roman" w:eastAsia="Times New Roman" w:hAnsi="Times New Roman"/>
                <w:sz w:val="20"/>
                <w:szCs w:val="20"/>
              </w:rPr>
            </w:pPr>
            <w:r w:rsidRPr="00C673E0">
              <w:rPr>
                <w:rFonts w:ascii="Times New Roman" w:eastAsia="Times New Roman" w:hAnsi="Times New Roman"/>
                <w:sz w:val="20"/>
                <w:szCs w:val="20"/>
              </w:rPr>
              <w:t>Perform fluorescence data collection.</w:t>
            </w:r>
          </w:p>
        </w:tc>
      </w:tr>
    </w:tbl>
    <w:p w:rsidR="003E3F44" w:rsidRPr="00C673E0" w:rsidRDefault="003E3F44" w:rsidP="00644513">
      <w:pPr>
        <w:snapToGrid w:val="0"/>
        <w:spacing w:after="0" w:line="240" w:lineRule="auto"/>
        <w:ind w:firstLine="425"/>
        <w:jc w:val="both"/>
        <w:rPr>
          <w:rFonts w:ascii="Times New Roman" w:hAnsi="Times New Roman"/>
          <w:sz w:val="20"/>
          <w:szCs w:val="20"/>
          <w:lang w:eastAsia="zh-CN" w:bidi="ar-EG"/>
        </w:rPr>
      </w:pPr>
    </w:p>
    <w:p w:rsidR="000F71AB" w:rsidRPr="00C673E0" w:rsidRDefault="000F71AB" w:rsidP="00644513">
      <w:pPr>
        <w:snapToGrid w:val="0"/>
        <w:spacing w:after="0" w:line="240" w:lineRule="auto"/>
        <w:ind w:firstLine="425"/>
        <w:jc w:val="both"/>
        <w:rPr>
          <w:rFonts w:ascii="Times New Roman" w:eastAsia="Times New Roman" w:hAnsi="Times New Roman"/>
          <w:sz w:val="20"/>
          <w:szCs w:val="20"/>
          <w:lang w:bidi="ar-EG"/>
        </w:rPr>
        <w:sectPr w:rsidR="000F71AB" w:rsidRPr="00C673E0" w:rsidSect="003E3F44">
          <w:type w:val="continuous"/>
          <w:pgSz w:w="12240" w:h="15840" w:code="9"/>
          <w:pgMar w:top="1440" w:right="1440" w:bottom="1440" w:left="1440" w:header="720" w:footer="720" w:gutter="0"/>
          <w:cols w:space="720"/>
          <w:docGrid w:linePitch="360"/>
        </w:sectPr>
      </w:pPr>
    </w:p>
    <w:p w:rsidR="007A7556" w:rsidRPr="00C673E0" w:rsidRDefault="001F2BED" w:rsidP="00644513">
      <w:pPr>
        <w:snapToGrid w:val="0"/>
        <w:spacing w:after="0" w:line="240" w:lineRule="auto"/>
        <w:ind w:firstLine="425"/>
        <w:jc w:val="both"/>
        <w:rPr>
          <w:rFonts w:ascii="Times New Roman" w:eastAsia="Times New Roman" w:hAnsi="Times New Roman"/>
          <w:b/>
          <w:bCs/>
          <w:sz w:val="20"/>
          <w:szCs w:val="20"/>
          <w:lang w:bidi="ar-EG"/>
        </w:rPr>
      </w:pPr>
      <w:r w:rsidRPr="00C673E0">
        <w:rPr>
          <w:rFonts w:ascii="Times New Roman" w:eastAsia="Times New Roman" w:hAnsi="Times New Roman"/>
          <w:sz w:val="20"/>
          <w:szCs w:val="20"/>
          <w:lang w:bidi="ar-EG"/>
        </w:rPr>
        <w:lastRenderedPageBreak/>
        <w:t xml:space="preserve">To ensure the specificity of the related PCR reactions, a melt curve analysis was performed. </w:t>
      </w:r>
      <w:r w:rsidR="008C4AC2" w:rsidRPr="00C673E0">
        <w:rPr>
          <w:rFonts w:ascii="Times New Roman" w:eastAsia="Times New Roman" w:hAnsi="Times New Roman"/>
          <w:sz w:val="20"/>
          <w:szCs w:val="20"/>
          <w:lang w:bidi="ar-EG"/>
        </w:rPr>
        <w:t>For data analysis, the Cycle Threshold (CT) values are exported to an Excel file and submitted to the RT2 PCR Array data analysis web portal at https:/www.qiagen.com/dataanalysiscenter, indicating the fractional cycle number at which the quantity of amplified target reaches a fixed threshold.</w:t>
      </w:r>
      <w:r w:rsidR="005B5BA4" w:rsidRPr="00C673E0">
        <w:rPr>
          <w:rFonts w:ascii="Times New Roman" w:eastAsia="Times New Roman" w:hAnsi="Times New Roman"/>
          <w:sz w:val="20"/>
          <w:szCs w:val="20"/>
          <w:lang w:bidi="ar-EG"/>
        </w:rPr>
        <w:t xml:space="preserve"> </w:t>
      </w:r>
      <w:r w:rsidR="007A7556" w:rsidRPr="00C673E0">
        <w:rPr>
          <w:rFonts w:ascii="Times New Roman" w:eastAsia="Times New Roman" w:hAnsi="Times New Roman"/>
          <w:sz w:val="20"/>
          <w:szCs w:val="20"/>
          <w:lang w:bidi="ar-EG"/>
        </w:rPr>
        <w:t xml:space="preserve">Using the data analysis of web portal, </w:t>
      </w:r>
      <w:r w:rsidR="00B420D9" w:rsidRPr="00C673E0">
        <w:rPr>
          <w:rFonts w:ascii="Times New Roman" w:eastAsia="Times New Roman" w:hAnsi="Times New Roman"/>
          <w:sz w:val="20"/>
          <w:szCs w:val="20"/>
          <w:lang w:bidi="ar-EG"/>
        </w:rPr>
        <w:t xml:space="preserve">Using the 2−∆∆CT method for relative quantification, fold change was calculated in which ΔCT was calculated among the gene of interest and the average reference gene, accompanied by ΔΔCT calculations [ΔCT (patient)-ΔCT (control)]. </w:t>
      </w:r>
      <w:r w:rsidR="007A7556" w:rsidRPr="00C673E0">
        <w:rPr>
          <w:rFonts w:ascii="Times New Roman" w:eastAsia="Times New Roman" w:hAnsi="Times New Roman"/>
          <w:sz w:val="20"/>
          <w:szCs w:val="20"/>
          <w:lang w:bidi="ar-EG"/>
        </w:rPr>
        <w:t>Fold change was then calculated using 2</w:t>
      </w:r>
      <w:r w:rsidR="007A7556" w:rsidRPr="00C673E0">
        <w:rPr>
          <w:rFonts w:ascii="Times New Roman" w:eastAsia="Times New Roman" w:hAnsi="Times New Roman"/>
          <w:sz w:val="20"/>
          <w:szCs w:val="20"/>
          <w:vertAlign w:val="superscript"/>
          <w:lang w:bidi="ar-EG"/>
        </w:rPr>
        <w:t xml:space="preserve">-ΔΔCT </w:t>
      </w:r>
      <w:r w:rsidR="007A7556" w:rsidRPr="00C673E0">
        <w:rPr>
          <w:rFonts w:ascii="Times New Roman" w:eastAsia="Times New Roman" w:hAnsi="Times New Roman"/>
          <w:sz w:val="20"/>
          <w:szCs w:val="20"/>
          <w:lang w:bidi="ar-EG"/>
        </w:rPr>
        <w:t>formula (</w:t>
      </w:r>
      <w:r w:rsidR="007A7556" w:rsidRPr="00C673E0">
        <w:rPr>
          <w:rFonts w:ascii="Times New Roman" w:eastAsia="Times New Roman" w:hAnsi="Times New Roman"/>
          <w:b/>
          <w:bCs/>
          <w:sz w:val="20"/>
          <w:szCs w:val="20"/>
          <w:lang w:bidi="ar-EG"/>
        </w:rPr>
        <w:t>Livak and Schmittgen, 2001)</w:t>
      </w:r>
      <w:r w:rsidR="007A7556" w:rsidRPr="00C673E0">
        <w:rPr>
          <w:rFonts w:ascii="Times New Roman" w:eastAsia="Times New Roman" w:hAnsi="Times New Roman"/>
          <w:sz w:val="20"/>
          <w:szCs w:val="20"/>
          <w:lang w:bidi="ar-EG"/>
        </w:rPr>
        <w:t xml:space="preserve">. </w:t>
      </w:r>
      <w:r w:rsidR="00B743C5" w:rsidRPr="00C673E0">
        <w:rPr>
          <w:rFonts w:ascii="Times New Roman" w:eastAsia="Times New Roman" w:hAnsi="Times New Roman"/>
          <w:sz w:val="20"/>
          <w:szCs w:val="20"/>
          <w:lang w:bidi="ar-EG"/>
        </w:rPr>
        <w:t xml:space="preserve">Values of fold change greater than 1 indicate positive or up-regulation, and fold-regulation is equal to the fold change. A negative or down-regulation is indicated by fold change values less than 1 and the fold regulation is the negative inverse of the fold-change </w:t>
      </w:r>
      <w:r w:rsidR="007A7556" w:rsidRPr="00C673E0">
        <w:rPr>
          <w:rFonts w:ascii="Times New Roman" w:eastAsia="Times New Roman" w:hAnsi="Times New Roman"/>
          <w:b/>
          <w:bCs/>
          <w:sz w:val="20"/>
          <w:szCs w:val="20"/>
          <w:lang w:bidi="ar-EG"/>
        </w:rPr>
        <w:t xml:space="preserve">(Santoro </w:t>
      </w:r>
      <w:r w:rsidR="007A7556" w:rsidRPr="00C673E0">
        <w:rPr>
          <w:rFonts w:ascii="Times New Roman" w:eastAsia="Times New Roman" w:hAnsi="Times New Roman"/>
          <w:b/>
          <w:bCs/>
          <w:i/>
          <w:iCs/>
          <w:sz w:val="20"/>
          <w:szCs w:val="20"/>
          <w:lang w:bidi="ar-EG"/>
        </w:rPr>
        <w:t>et al.</w:t>
      </w:r>
      <w:r w:rsidR="007A7556" w:rsidRPr="00C673E0">
        <w:rPr>
          <w:rFonts w:ascii="Times New Roman" w:eastAsia="Times New Roman" w:hAnsi="Times New Roman"/>
          <w:b/>
          <w:bCs/>
          <w:sz w:val="20"/>
          <w:szCs w:val="20"/>
          <w:lang w:bidi="ar-EG"/>
        </w:rPr>
        <w:t>, 2016)</w:t>
      </w:r>
      <w:r w:rsidR="007A7556" w:rsidRPr="00C673E0">
        <w:rPr>
          <w:rFonts w:ascii="Times New Roman" w:eastAsia="Times New Roman" w:hAnsi="Times New Roman"/>
          <w:sz w:val="20"/>
          <w:szCs w:val="20"/>
          <w:lang w:bidi="ar-EG"/>
        </w:rPr>
        <w:t>.</w:t>
      </w:r>
    </w:p>
    <w:p w:rsidR="00FF1B3F" w:rsidRPr="00C673E0" w:rsidRDefault="00FF1B3F" w:rsidP="006D0665">
      <w:pPr>
        <w:snapToGrid w:val="0"/>
        <w:spacing w:after="0" w:line="240" w:lineRule="auto"/>
        <w:jc w:val="both"/>
        <w:rPr>
          <w:rFonts w:ascii="Times New Roman" w:eastAsia="Times New Roman" w:hAnsi="Times New Roman"/>
          <w:sz w:val="20"/>
          <w:szCs w:val="20"/>
          <w:lang w:bidi="ar-EG"/>
        </w:rPr>
      </w:pPr>
      <w:r w:rsidRPr="00C673E0">
        <w:rPr>
          <w:rFonts w:ascii="Times New Roman" w:eastAsia="Times New Roman" w:hAnsi="Times New Roman"/>
          <w:b/>
          <w:bCs/>
          <w:sz w:val="20"/>
          <w:szCs w:val="20"/>
          <w:lang w:bidi="ar-EG"/>
        </w:rPr>
        <w:t>Statistical Analysis</w:t>
      </w:r>
      <w:r w:rsidRPr="00C673E0">
        <w:rPr>
          <w:rFonts w:ascii="Times New Roman" w:eastAsia="Batang" w:hAnsi="Times New Roman"/>
          <w:sz w:val="20"/>
          <w:szCs w:val="20"/>
        </w:rPr>
        <w:t xml:space="preserve">: </w:t>
      </w:r>
    </w:p>
    <w:p w:rsidR="003D3700" w:rsidRPr="00C673E0" w:rsidRDefault="00FF1B3F"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Data were coded and entered using </w:t>
      </w:r>
      <w:r w:rsidR="000466CA" w:rsidRPr="00C673E0">
        <w:rPr>
          <w:rFonts w:ascii="Times New Roman" w:eastAsia="Calibri" w:hAnsi="Times New Roman"/>
          <w:sz w:val="20"/>
          <w:szCs w:val="20"/>
          <w:lang w:bidi="ar-EG"/>
        </w:rPr>
        <w:t>version 25 of the Stati</w:t>
      </w:r>
      <w:r w:rsidR="005755F1" w:rsidRPr="00C673E0">
        <w:rPr>
          <w:rFonts w:ascii="Times New Roman" w:eastAsia="Calibri" w:hAnsi="Times New Roman"/>
          <w:sz w:val="20"/>
          <w:szCs w:val="20"/>
          <w:lang w:bidi="ar-EG"/>
        </w:rPr>
        <w:t xml:space="preserve">stical Package Social Sciences </w:t>
      </w:r>
      <w:r w:rsidR="000466CA" w:rsidRPr="00C673E0">
        <w:rPr>
          <w:rFonts w:ascii="Times New Roman" w:eastAsia="Calibri" w:hAnsi="Times New Roman"/>
          <w:sz w:val="20"/>
          <w:szCs w:val="20"/>
          <w:lang w:bidi="ar-EG"/>
        </w:rPr>
        <w:t>(SPSS).</w:t>
      </w:r>
      <w:r w:rsidR="003E3F44" w:rsidRPr="00C673E0">
        <w:rPr>
          <w:rFonts w:ascii="Times New Roman" w:eastAsia="Calibri" w:hAnsi="Times New Roman"/>
          <w:sz w:val="20"/>
          <w:szCs w:val="20"/>
          <w:lang w:bidi="ar-EG"/>
        </w:rPr>
        <w:t xml:space="preserve"> </w:t>
      </w:r>
      <w:r w:rsidRPr="00C673E0">
        <w:rPr>
          <w:rFonts w:ascii="Times New Roman" w:eastAsia="Calibri" w:hAnsi="Times New Roman"/>
          <w:sz w:val="20"/>
          <w:szCs w:val="20"/>
          <w:lang w:bidi="ar-EG"/>
        </w:rPr>
        <w:t xml:space="preserve">Data was </w:t>
      </w:r>
      <w:r w:rsidR="000D6FA6" w:rsidRPr="00C673E0">
        <w:rPr>
          <w:rFonts w:ascii="Times New Roman" w:eastAsia="Calibri" w:hAnsi="Times New Roman"/>
          <w:sz w:val="20"/>
          <w:szCs w:val="20"/>
          <w:lang w:bidi="ar-EG"/>
        </w:rPr>
        <w:t xml:space="preserve">presented in quantitative data using mean, standard deviation, median, minimum and maximum, </w:t>
      </w:r>
      <w:r w:rsidR="000D6FA6" w:rsidRPr="00C673E0">
        <w:rPr>
          <w:rFonts w:ascii="Times New Roman" w:eastAsia="Calibri" w:hAnsi="Times New Roman"/>
          <w:sz w:val="20"/>
          <w:szCs w:val="20"/>
          <w:lang w:bidi="ar-EG"/>
        </w:rPr>
        <w:lastRenderedPageBreak/>
        <w:t>and in categorical data using frequency (count) and relative frequency (percentage)</w:t>
      </w:r>
      <w:r w:rsidRPr="00C673E0">
        <w:rPr>
          <w:rFonts w:ascii="Times New Roman" w:eastAsia="Calibri" w:hAnsi="Times New Roman"/>
          <w:sz w:val="20"/>
          <w:szCs w:val="20"/>
          <w:lang w:bidi="ar-EG"/>
        </w:rPr>
        <w:t xml:space="preserve">. </w:t>
      </w:r>
      <w:r w:rsidR="00DD3F83" w:rsidRPr="00C673E0">
        <w:rPr>
          <w:rFonts w:ascii="Times New Roman" w:eastAsia="Calibri" w:hAnsi="Times New Roman"/>
          <w:sz w:val="20"/>
          <w:szCs w:val="20"/>
          <w:lang w:bidi="ar-EG"/>
        </w:rPr>
        <w:t xml:space="preserve">The non-parametric Kruskal-Wallis and Mann-Whitney tests were used to compare quantitative variables </w:t>
      </w:r>
      <w:r w:rsidRPr="00C673E0">
        <w:rPr>
          <w:rFonts w:ascii="Times New Roman" w:eastAsia="Calibri" w:hAnsi="Times New Roman"/>
          <w:b/>
          <w:bCs/>
          <w:sz w:val="20"/>
          <w:szCs w:val="20"/>
        </w:rPr>
        <w:t>(Chan, 2003a)</w:t>
      </w:r>
      <w:r w:rsidRPr="00C673E0">
        <w:rPr>
          <w:rFonts w:ascii="Times New Roman" w:eastAsia="Calibri" w:hAnsi="Times New Roman"/>
          <w:sz w:val="20"/>
          <w:szCs w:val="20"/>
          <w:lang w:bidi="ar-EG"/>
        </w:rPr>
        <w:t xml:space="preserve">. </w:t>
      </w:r>
      <w:r w:rsidR="004E6F5D" w:rsidRPr="00C673E0">
        <w:rPr>
          <w:rFonts w:ascii="Times New Roman" w:eastAsia="Calibri" w:hAnsi="Times New Roman"/>
          <w:sz w:val="20"/>
          <w:szCs w:val="20"/>
          <w:lang w:bidi="ar-EG"/>
        </w:rPr>
        <w:t xml:space="preserve">The Chi square test was carried out to compare categorical data </w:t>
      </w:r>
      <w:r w:rsidRPr="00C673E0">
        <w:rPr>
          <w:rFonts w:ascii="Times New Roman" w:eastAsia="Calibri" w:hAnsi="Times New Roman"/>
          <w:b/>
          <w:bCs/>
          <w:sz w:val="20"/>
          <w:szCs w:val="20"/>
        </w:rPr>
        <w:t>(Chan, 2003b)</w:t>
      </w:r>
      <w:r w:rsidRPr="00C673E0">
        <w:rPr>
          <w:rFonts w:ascii="Times New Roman" w:eastAsia="Calibri" w:hAnsi="Times New Roman"/>
          <w:sz w:val="20"/>
          <w:szCs w:val="20"/>
          <w:lang w:bidi="ar-EG"/>
        </w:rPr>
        <w:t xml:space="preserve">. Correlations </w:t>
      </w:r>
      <w:r w:rsidR="004E6F5D" w:rsidRPr="00C673E0">
        <w:rPr>
          <w:rFonts w:ascii="Times New Roman" w:eastAsia="Calibri" w:hAnsi="Times New Roman"/>
          <w:sz w:val="20"/>
          <w:szCs w:val="20"/>
          <w:lang w:bidi="ar-EG"/>
        </w:rPr>
        <w:t xml:space="preserve">among quantitative variables were achieved using the correlation coefficient of Spearman </w:t>
      </w:r>
      <w:r w:rsidRPr="00C673E0">
        <w:rPr>
          <w:rFonts w:ascii="Times New Roman" w:eastAsia="Calibri" w:hAnsi="Times New Roman"/>
          <w:b/>
          <w:bCs/>
          <w:sz w:val="20"/>
          <w:szCs w:val="20"/>
        </w:rPr>
        <w:t>(Chan, 2003c)</w:t>
      </w:r>
      <w:r w:rsidRPr="00C673E0">
        <w:rPr>
          <w:rFonts w:ascii="Times New Roman" w:eastAsia="Calibri" w:hAnsi="Times New Roman"/>
          <w:sz w:val="20"/>
          <w:szCs w:val="20"/>
          <w:lang w:bidi="ar-EG"/>
        </w:rPr>
        <w:t xml:space="preserve">. </w:t>
      </w:r>
      <w:r w:rsidR="005D65F4" w:rsidRPr="00C673E0">
        <w:rPr>
          <w:rFonts w:ascii="Times New Roman" w:eastAsia="Calibri" w:hAnsi="Times New Roman"/>
          <w:sz w:val="20"/>
          <w:szCs w:val="20"/>
        </w:rPr>
        <w:t xml:space="preserve">The ROC curve (receiver operating characteristic) was constructed with area under curve (AUC) analysis to detect the best cutoff value of case detection markers </w:t>
      </w:r>
      <w:r w:rsidR="006E7628" w:rsidRPr="00C673E0">
        <w:rPr>
          <w:rFonts w:ascii="Times New Roman" w:eastAsia="Calibri" w:hAnsi="Times New Roman"/>
          <w:b/>
          <w:bCs/>
          <w:sz w:val="20"/>
          <w:szCs w:val="20"/>
        </w:rPr>
        <w:fldChar w:fldCharType="begin" w:fldLock="1"/>
      </w:r>
      <w:r w:rsidRPr="00C673E0">
        <w:rPr>
          <w:rFonts w:ascii="Times New Roman" w:eastAsia="Calibri" w:hAnsi="Times New Roman"/>
          <w:b/>
          <w:bCs/>
          <w:sz w:val="20"/>
          <w:szCs w:val="20"/>
        </w:rPr>
        <w:instrText>ADDIN CSL_CITATION {"citationItems":[{"id":"ITEM-1","itemData":{"DOI":"10.1136/emermed-2017-206735","ISSN":"14720213","abstract":"The paper by Body et al is concerned with the evaluation of decision aids, which can be used to identify potential acute coronary syndromes (ACS) in the ED. The authors previously developed the Manchester Acute Coronary Syndromes model (MACS) decision aid, which uses several clinical variables and two biomarkers to 'rule in' and 'rule out' ACS. However, one of the two biomarkers (heart-type fatty acid bindingprotein, H-FABP) is not widely used so a revised decision aid has been developed (Troponin-only Manchester Acute Coronary Syndromes, T-MACS), which include a single biomarker hs-cTnT. In this issue, the authors show how they derive a revised decision aid and describe its performance in a number of independent diagnostic cohort studies. Decision aids (as well as other types of 'diagnostic tests') are often evaluated in terms of diagnostic testing parameters such as the area under the receiver operating characteristic (ROC) curve, sensitivity and specificity. In this article, we explain how the ROC analysis is conducted and why it is an essential step towards developing a test with the desirable levels of sensitivity and specificity.","author":[{"dropping-particle":"","family":"Hoo","given":"Zhe Hui","non-dropping-particle":"","parse-names":false,"suffix":""},{"dropping-particle":"","family":"Candlish","given":"Jane","non-dropping-particle":"","parse-names":false,"suffix":""},{"dropping-particle":"","family":"Teare","given":"Dawn","non-dropping-particle":"","parse-names":false,"suffix":""}],"container-title":"Emergency Medicine Journal","id":"ITEM-1","issue":"6","issued":{"date-parts":[["2017"]]},"page":"357-359","title":"What is an ROC curve?","type":"article-journal","volume":"34"},"uris":["http://www.mendeley.com/documents/?uuid=69e64dd5-c361-45d5-b107-5231bda64a2c"]}],"mendeley":{"formattedCitation":"(Hoo, Candlish and Teare, 2017)","manualFormatting":"(Hoo et al., 2017)","plainTextFormattedCitation":"(Hoo, Candlish and Teare, 2017)","previouslyFormattedCitation":"(Hoo, Candlish and Teare, 2017)"},"properties":{"noteIndex":0},"schema":"https://github.com/citation-style-language/schema/raw/master/csl-citation.json"}</w:instrText>
      </w:r>
      <w:r w:rsidR="006E7628" w:rsidRPr="00C673E0">
        <w:rPr>
          <w:rFonts w:ascii="Times New Roman" w:eastAsia="Calibri" w:hAnsi="Times New Roman"/>
          <w:b/>
          <w:bCs/>
          <w:sz w:val="20"/>
          <w:szCs w:val="20"/>
        </w:rPr>
        <w:fldChar w:fldCharType="separate"/>
      </w:r>
      <w:r w:rsidRPr="00C673E0">
        <w:rPr>
          <w:rFonts w:ascii="Times New Roman" w:eastAsia="Calibri" w:hAnsi="Times New Roman"/>
          <w:b/>
          <w:bCs/>
          <w:noProof/>
          <w:sz w:val="20"/>
          <w:szCs w:val="20"/>
        </w:rPr>
        <w:t xml:space="preserve">(Hoo </w:t>
      </w:r>
      <w:r w:rsidRPr="00C673E0">
        <w:rPr>
          <w:rFonts w:ascii="Times New Roman" w:eastAsia="Calibri" w:hAnsi="Times New Roman"/>
          <w:b/>
          <w:bCs/>
          <w:i/>
          <w:iCs/>
          <w:noProof/>
          <w:sz w:val="20"/>
          <w:szCs w:val="20"/>
        </w:rPr>
        <w:t>et al</w:t>
      </w:r>
      <w:r w:rsidRPr="00C673E0">
        <w:rPr>
          <w:rFonts w:ascii="Times New Roman" w:eastAsia="Calibri" w:hAnsi="Times New Roman"/>
          <w:b/>
          <w:bCs/>
          <w:noProof/>
          <w:sz w:val="20"/>
          <w:szCs w:val="20"/>
        </w:rPr>
        <w:t>., 2017)</w:t>
      </w:r>
      <w:r w:rsidR="006E7628" w:rsidRPr="00C673E0">
        <w:rPr>
          <w:rFonts w:ascii="Times New Roman" w:eastAsia="Calibri" w:hAnsi="Times New Roman"/>
          <w:b/>
          <w:bCs/>
          <w:sz w:val="20"/>
          <w:szCs w:val="20"/>
        </w:rPr>
        <w:fldChar w:fldCharType="end"/>
      </w:r>
      <w:r w:rsidRPr="00C673E0">
        <w:rPr>
          <w:rFonts w:ascii="Times New Roman" w:eastAsia="Calibri" w:hAnsi="Times New Roman"/>
          <w:sz w:val="20"/>
          <w:szCs w:val="20"/>
        </w:rPr>
        <w:t xml:space="preserve">. </w:t>
      </w:r>
      <w:r w:rsidRPr="00C673E0">
        <w:rPr>
          <w:rFonts w:ascii="Times New Roman" w:eastAsia="Calibri" w:hAnsi="Times New Roman"/>
          <w:sz w:val="20"/>
          <w:szCs w:val="20"/>
          <w:lang w:bidi="ar-EG"/>
        </w:rPr>
        <w:t xml:space="preserve">P-values </w:t>
      </w:r>
      <w:r w:rsidR="003D3700" w:rsidRPr="00C673E0">
        <w:rPr>
          <w:rFonts w:ascii="Times New Roman" w:eastAsia="Calibri" w:hAnsi="Times New Roman"/>
          <w:sz w:val="20"/>
          <w:szCs w:val="20"/>
          <w:lang w:bidi="ar-EG"/>
        </w:rPr>
        <w:t>of less than 0.05 have been deemed statistically substantial.</w:t>
      </w:r>
    </w:p>
    <w:p w:rsidR="00365349" w:rsidRPr="00C673E0" w:rsidRDefault="00365349" w:rsidP="00644513">
      <w:pPr>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Results</w:t>
      </w:r>
    </w:p>
    <w:p w:rsidR="00365349" w:rsidRPr="00C673E0" w:rsidRDefault="00365349"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Relative expression levels of lncRNA-H19 and lincRNA-P21 were found to be significantly down-regulated in serum samples of MS patients compared to control group; (p-value = 0.024 and 0.020, respectively).</w:t>
      </w:r>
    </w:p>
    <w:p w:rsidR="00365349" w:rsidRPr="00C673E0" w:rsidRDefault="00365349" w:rsidP="00644513">
      <w:pPr>
        <w:snapToGrid w:val="0"/>
        <w:spacing w:after="0" w:line="240" w:lineRule="auto"/>
        <w:ind w:firstLine="425"/>
        <w:jc w:val="both"/>
        <w:rPr>
          <w:rFonts w:ascii="Times New Roman" w:eastAsiaTheme="minorEastAsia" w:hAnsi="Times New Roman"/>
          <w:sz w:val="20"/>
          <w:szCs w:val="20"/>
          <w:lang w:eastAsia="zh-CN" w:bidi="ar-EG"/>
        </w:rPr>
      </w:pPr>
      <w:r w:rsidRPr="00C673E0">
        <w:rPr>
          <w:rFonts w:ascii="Times New Roman" w:eastAsia="Times New Roman" w:hAnsi="Times New Roman"/>
          <w:sz w:val="20"/>
          <w:szCs w:val="20"/>
          <w:lang w:bidi="ar-EG"/>
        </w:rPr>
        <w:t xml:space="preserve">The distribution of serum relative expression levels of lncRNA-H19 and lincRNA-p21 was described by box plot </w:t>
      </w:r>
      <w:r w:rsidRPr="00C673E0">
        <w:rPr>
          <w:rFonts w:ascii="Times New Roman" w:eastAsia="Times New Roman" w:hAnsi="Times New Roman"/>
          <w:b/>
          <w:bCs/>
          <w:sz w:val="20"/>
          <w:szCs w:val="20"/>
          <w:lang w:bidi="ar-EG"/>
        </w:rPr>
        <w:t>(Figures 1 and 2, respectively)</w:t>
      </w:r>
      <w:r w:rsidRPr="00C673E0">
        <w:rPr>
          <w:rFonts w:ascii="Times New Roman" w:eastAsia="Times New Roman" w:hAnsi="Times New Roman"/>
          <w:sz w:val="20"/>
          <w:szCs w:val="20"/>
          <w:lang w:bidi="ar-EG"/>
        </w:rPr>
        <w:t>. Each box plot displays the relative expression values of each gene according to the 2</w:t>
      </w:r>
      <w:r w:rsidRPr="00C673E0">
        <w:rPr>
          <w:rFonts w:ascii="Times New Roman" w:eastAsia="Times New Roman" w:hAnsi="Times New Roman"/>
          <w:sz w:val="20"/>
          <w:szCs w:val="20"/>
          <w:vertAlign w:val="superscript"/>
          <w:lang w:bidi="ar-EG"/>
        </w:rPr>
        <w:t>−ΔΔCT</w:t>
      </w:r>
      <w:r w:rsidRPr="00C673E0">
        <w:rPr>
          <w:rFonts w:ascii="Times New Roman" w:eastAsia="Times New Roman" w:hAnsi="Times New Roman"/>
          <w:sz w:val="20"/>
          <w:szCs w:val="20"/>
          <w:lang w:bidi="ar-EG"/>
        </w:rPr>
        <w:t xml:space="preserve"> method (Y-axis) by group (X-axis). The data are presented as the median and inter-quartile range (IQR). The bold black </w:t>
      </w:r>
      <w:r w:rsidRPr="00C673E0">
        <w:rPr>
          <w:rFonts w:ascii="Times New Roman" w:eastAsia="Times New Roman" w:hAnsi="Times New Roman"/>
          <w:sz w:val="20"/>
          <w:szCs w:val="20"/>
          <w:lang w:bidi="ar-EG"/>
        </w:rPr>
        <w:lastRenderedPageBreak/>
        <w:t xml:space="preserve">line in the box </w:t>
      </w:r>
      <w:r w:rsidR="00E106CA" w:rsidRPr="00C673E0">
        <w:rPr>
          <w:rFonts w:ascii="Times New Roman" w:eastAsia="Times New Roman" w:hAnsi="Times New Roman"/>
          <w:sz w:val="20"/>
          <w:szCs w:val="20"/>
          <w:lang w:bidi="ar-EG"/>
        </w:rPr>
        <w:t>reflects our data's median value</w:t>
      </w:r>
      <w:r w:rsidRPr="00C673E0">
        <w:rPr>
          <w:rFonts w:ascii="Times New Roman" w:eastAsia="Times New Roman" w:hAnsi="Times New Roman"/>
          <w:sz w:val="20"/>
          <w:szCs w:val="20"/>
          <w:lang w:bidi="ar-EG"/>
        </w:rPr>
        <w:t>. The entire box represents the IQR. The bars across the boxes show the minimum and maximum values. Circles and asterisks indicate values (outliers) falling beyond the statistical distribution of the related variables, serum lncRNA-H19 and lincRNA-p21respectively.</w:t>
      </w:r>
    </w:p>
    <w:p w:rsidR="006D0665" w:rsidRPr="00C673E0" w:rsidRDefault="006D0665" w:rsidP="00644513">
      <w:pPr>
        <w:snapToGrid w:val="0"/>
        <w:spacing w:after="0" w:line="240" w:lineRule="auto"/>
        <w:ind w:firstLine="425"/>
        <w:jc w:val="both"/>
        <w:rPr>
          <w:rFonts w:ascii="Times New Roman" w:eastAsiaTheme="minorEastAsia" w:hAnsi="Times New Roman"/>
          <w:sz w:val="20"/>
          <w:szCs w:val="20"/>
          <w:lang w:eastAsia="zh-CN" w:bidi="ar-EG"/>
        </w:rPr>
      </w:pPr>
    </w:p>
    <w:p w:rsidR="00365349" w:rsidRPr="00C673E0" w:rsidRDefault="00561208" w:rsidP="00644513">
      <w:pPr>
        <w:snapToGrid w:val="0"/>
        <w:spacing w:after="0" w:line="240" w:lineRule="auto"/>
        <w:jc w:val="center"/>
        <w:rPr>
          <w:rFonts w:ascii="Times New Roman" w:eastAsia="Calibri" w:hAnsi="Times New Roman"/>
          <w:sz w:val="20"/>
          <w:szCs w:val="20"/>
          <w:lang w:bidi="ar-EG"/>
        </w:rPr>
      </w:pPr>
      <w:r w:rsidRPr="006E7628">
        <w:rPr>
          <w:rFonts w:ascii="Times New Roman" w:eastAsia="Calibri" w:hAnsi="Times New Roman"/>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2.25pt;height:170.3pt;visibility:visible;mso-wrap-style:square">
            <v:imagedata r:id="rId15" o:title=""/>
          </v:shape>
        </w:pict>
      </w:r>
    </w:p>
    <w:p w:rsidR="00365349" w:rsidRPr="00C673E0" w:rsidRDefault="00365349" w:rsidP="00644513">
      <w:pPr>
        <w:tabs>
          <w:tab w:val="center" w:pos="4320"/>
          <w:tab w:val="left" w:pos="5710"/>
        </w:tabs>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Figure (1): Box plot diagram of serum relative expression levels of lncRNA-H19 in MS patients compared to control group; circles indicate outliers.</w:t>
      </w:r>
    </w:p>
    <w:p w:rsidR="00365349" w:rsidRPr="00C673E0" w:rsidRDefault="00365349" w:rsidP="00644513">
      <w:pPr>
        <w:tabs>
          <w:tab w:val="center" w:pos="4320"/>
          <w:tab w:val="left" w:pos="5710"/>
        </w:tabs>
        <w:snapToGrid w:val="0"/>
        <w:spacing w:after="0" w:line="240" w:lineRule="auto"/>
        <w:jc w:val="both"/>
        <w:rPr>
          <w:rFonts w:ascii="Times New Roman" w:eastAsia="Times New Roman" w:hAnsi="Times New Roman"/>
          <w:b/>
          <w:bCs/>
          <w:sz w:val="20"/>
          <w:szCs w:val="20"/>
          <w:lang w:bidi="ar-EG"/>
        </w:rPr>
      </w:pPr>
    </w:p>
    <w:p w:rsidR="00365349" w:rsidRPr="00C673E0" w:rsidRDefault="00561208" w:rsidP="00644513">
      <w:pPr>
        <w:tabs>
          <w:tab w:val="center" w:pos="4320"/>
          <w:tab w:val="left" w:pos="5710"/>
        </w:tabs>
        <w:snapToGrid w:val="0"/>
        <w:spacing w:after="0" w:line="240" w:lineRule="auto"/>
        <w:jc w:val="center"/>
        <w:rPr>
          <w:rFonts w:ascii="Times New Roman" w:eastAsia="Times New Roman" w:hAnsi="Times New Roman"/>
          <w:b/>
          <w:bCs/>
          <w:sz w:val="20"/>
          <w:szCs w:val="20"/>
          <w:lang w:bidi="ar-EG"/>
        </w:rPr>
      </w:pPr>
      <w:r w:rsidRPr="006E7628">
        <w:rPr>
          <w:rFonts w:ascii="Times New Roman" w:eastAsia="Times New Roman" w:hAnsi="Times New Roman"/>
          <w:b/>
          <w:noProof/>
          <w:sz w:val="20"/>
          <w:szCs w:val="20"/>
          <w:lang w:eastAsia="zh-CN"/>
        </w:rPr>
        <w:pict>
          <v:shape id="Picture 2" o:spid="_x0000_i1026" type="#_x0000_t75" style="width:212.25pt;height:170.3pt;visibility:visible;mso-wrap-style:square">
            <v:imagedata r:id="rId16" o:title=""/>
          </v:shape>
        </w:pict>
      </w:r>
    </w:p>
    <w:p w:rsidR="00365349" w:rsidRPr="00C673E0" w:rsidRDefault="00365349" w:rsidP="00644513">
      <w:pPr>
        <w:tabs>
          <w:tab w:val="center" w:pos="4320"/>
          <w:tab w:val="left" w:pos="5710"/>
        </w:tabs>
        <w:snapToGrid w:val="0"/>
        <w:spacing w:after="0" w:line="240" w:lineRule="auto"/>
        <w:jc w:val="both"/>
        <w:rPr>
          <w:rFonts w:ascii="Times New Roman" w:eastAsia="Times New Roman" w:hAnsi="Times New Roman"/>
          <w:b/>
          <w:bCs/>
          <w:sz w:val="20"/>
          <w:szCs w:val="20"/>
          <w:lang w:bidi="ar-EG"/>
        </w:rPr>
      </w:pPr>
    </w:p>
    <w:p w:rsidR="007A7556" w:rsidRPr="00C673E0" w:rsidRDefault="00365349" w:rsidP="00644513">
      <w:pPr>
        <w:tabs>
          <w:tab w:val="center" w:pos="4320"/>
          <w:tab w:val="left" w:pos="5710"/>
        </w:tabs>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 xml:space="preserve">Figure (2): Box plot diagram of serum relative expression levels of </w:t>
      </w:r>
      <w:r w:rsidRPr="00C673E0">
        <w:rPr>
          <w:rFonts w:ascii="Times New Roman" w:eastAsia="Calibri" w:hAnsi="Times New Roman"/>
          <w:b/>
          <w:bCs/>
          <w:sz w:val="20"/>
          <w:szCs w:val="20"/>
          <w:lang w:bidi="ar-EG"/>
        </w:rPr>
        <w:t>lincRNA-p21</w:t>
      </w:r>
      <w:r w:rsidRPr="00C673E0">
        <w:rPr>
          <w:rFonts w:ascii="Times New Roman" w:eastAsia="Times New Roman" w:hAnsi="Times New Roman"/>
          <w:b/>
          <w:bCs/>
          <w:sz w:val="20"/>
          <w:szCs w:val="20"/>
          <w:lang w:bidi="ar-EG"/>
        </w:rPr>
        <w:t xml:space="preserve"> in MS patients compared to control group; asterisks indicate outliers.</w:t>
      </w:r>
    </w:p>
    <w:p w:rsidR="006D47E1" w:rsidRPr="00C673E0" w:rsidRDefault="006D47E1" w:rsidP="00644513">
      <w:pPr>
        <w:snapToGrid w:val="0"/>
        <w:spacing w:after="0" w:line="240" w:lineRule="auto"/>
        <w:ind w:firstLine="425"/>
        <w:jc w:val="both"/>
        <w:rPr>
          <w:rFonts w:ascii="Times New Roman" w:eastAsia="Times New Roman" w:hAnsi="Times New Roman"/>
          <w:sz w:val="20"/>
          <w:szCs w:val="20"/>
          <w:lang w:bidi="ar-EG"/>
        </w:rPr>
      </w:pPr>
    </w:p>
    <w:p w:rsidR="00B30CB5" w:rsidRPr="00C673E0" w:rsidRDefault="00B30CB5"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When we demonstrated serum relative expression levels of lncRNA-H19 based on</w:t>
      </w:r>
      <w:r w:rsidR="003E3F44" w:rsidRPr="00C673E0">
        <w:rPr>
          <w:rFonts w:ascii="Times New Roman" w:eastAsia="Times New Roman" w:hAnsi="Times New Roman"/>
          <w:sz w:val="20"/>
          <w:szCs w:val="20"/>
          <w:lang w:bidi="ar-EG"/>
        </w:rPr>
        <w:t xml:space="preserve"> </w:t>
      </w:r>
      <w:r w:rsidRPr="00C673E0">
        <w:rPr>
          <w:rFonts w:ascii="Times New Roman" w:eastAsia="Times New Roman" w:hAnsi="Times New Roman"/>
          <w:sz w:val="20"/>
          <w:szCs w:val="20"/>
          <w:lang w:bidi="ar-EG"/>
        </w:rPr>
        <w:t>different variables among MS patients we found that; as regard to sex of patients, male patients had significant higher expression levels compared to female patients (p-</w:t>
      </w:r>
      <w:r w:rsidRPr="00C673E0">
        <w:rPr>
          <w:rFonts w:ascii="Times New Roman" w:eastAsia="Times New Roman" w:hAnsi="Times New Roman"/>
          <w:sz w:val="20"/>
          <w:szCs w:val="20"/>
          <w:lang w:bidi="ar-EG"/>
        </w:rPr>
        <w:lastRenderedPageBreak/>
        <w:t>value= 0.008). Meanwhile, no statistically significant difference was found regarding other variables.</w:t>
      </w:r>
    </w:p>
    <w:p w:rsidR="00B30CB5" w:rsidRPr="00C673E0" w:rsidRDefault="007B2F5B"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L</w:t>
      </w:r>
      <w:r w:rsidR="00B30CB5" w:rsidRPr="00C673E0">
        <w:rPr>
          <w:rFonts w:ascii="Times New Roman" w:eastAsia="Times New Roman" w:hAnsi="Times New Roman"/>
          <w:sz w:val="20"/>
          <w:szCs w:val="20"/>
          <w:lang w:bidi="ar-EG"/>
        </w:rPr>
        <w:t>incRNA-p21 had significant higher serum relative expression levels in patients with EDSS ≥ 5.5 than those with EDSS=1-3 (p-value= 0.027). In addition, significant higher serum relative expression levels of lincRNA-p21 were also found in patients who received cyclophosphamide than those who received interferon (p-value= 0.005). Meanwhile, no statistically significant difference was found regarding other variables.</w:t>
      </w:r>
    </w:p>
    <w:p w:rsidR="00F91C45" w:rsidRPr="00C673E0" w:rsidRDefault="00F91C45"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 xml:space="preserve">There was significant moderate positive </w:t>
      </w:r>
      <w:r w:rsidRPr="00C673E0">
        <w:rPr>
          <w:rFonts w:ascii="Times New Roman" w:eastAsia="Times New Roman" w:hAnsi="Times New Roman"/>
          <w:b/>
          <w:bCs/>
          <w:sz w:val="20"/>
          <w:szCs w:val="20"/>
          <w:lang w:bidi="ar-EG"/>
        </w:rPr>
        <w:t>correlation</w:t>
      </w:r>
      <w:r w:rsidRPr="00C673E0">
        <w:rPr>
          <w:rFonts w:ascii="Times New Roman" w:eastAsia="Times New Roman" w:hAnsi="Times New Roman"/>
          <w:sz w:val="20"/>
          <w:szCs w:val="20"/>
          <w:lang w:bidi="ar-EG"/>
        </w:rPr>
        <w:t xml:space="preserve"> between lincRNA-p21 serum relative expression levels and EDSS in MS patients (P = 0.015, correlation coefficient (r) = 0.283). There was significant moderate negative correlation between lncRNA-H19 expression levels and age of onset in MS patients (P= 0.001, r = - 0.389). There was no statistically significant correlation between lncRNA-H19 and lincRNA-p21</w:t>
      </w:r>
      <w:r w:rsidRPr="00C673E0">
        <w:rPr>
          <w:rFonts w:ascii="Times New Roman" w:eastAsia="Times New Roman" w:hAnsi="Times New Roman"/>
          <w:b/>
          <w:bCs/>
          <w:sz w:val="20"/>
          <w:szCs w:val="20"/>
          <w:lang w:bidi="ar-EG"/>
        </w:rPr>
        <w:t xml:space="preserve"> </w:t>
      </w:r>
      <w:r w:rsidRPr="00C673E0">
        <w:rPr>
          <w:rFonts w:ascii="Times New Roman" w:eastAsia="Times New Roman" w:hAnsi="Times New Roman"/>
          <w:sz w:val="20"/>
          <w:szCs w:val="20"/>
          <w:lang w:bidi="ar-EG"/>
        </w:rPr>
        <w:t>serum relative</w:t>
      </w:r>
      <w:r w:rsidRPr="00C673E0">
        <w:rPr>
          <w:rFonts w:ascii="Times New Roman" w:eastAsia="Times New Roman" w:hAnsi="Times New Roman"/>
          <w:b/>
          <w:bCs/>
          <w:sz w:val="20"/>
          <w:szCs w:val="20"/>
          <w:lang w:bidi="ar-EG"/>
        </w:rPr>
        <w:t xml:space="preserve"> </w:t>
      </w:r>
      <w:r w:rsidRPr="00C673E0">
        <w:rPr>
          <w:rFonts w:ascii="Times New Roman" w:eastAsia="Times New Roman" w:hAnsi="Times New Roman"/>
          <w:sz w:val="20"/>
          <w:szCs w:val="20"/>
          <w:lang w:bidi="ar-EG"/>
        </w:rPr>
        <w:t>expression levels. In addition, no statistically significant correlation was found between these two lncRNAs and age of MS patients.</w:t>
      </w:r>
    </w:p>
    <w:p w:rsidR="00FB03C0" w:rsidRPr="00C673E0" w:rsidRDefault="00FB03C0" w:rsidP="00644513">
      <w:pPr>
        <w:snapToGrid w:val="0"/>
        <w:spacing w:after="0" w:line="240" w:lineRule="auto"/>
        <w:ind w:firstLine="425"/>
        <w:jc w:val="both"/>
        <w:rPr>
          <w:rFonts w:ascii="Times New Roman" w:hAnsi="Times New Roman"/>
          <w:sz w:val="20"/>
          <w:szCs w:val="20"/>
          <w:lang w:eastAsia="zh-CN" w:bidi="ar-EG"/>
        </w:rPr>
      </w:pPr>
      <w:r w:rsidRPr="00C673E0">
        <w:rPr>
          <w:rFonts w:ascii="Times New Roman" w:eastAsia="Times New Roman" w:hAnsi="Times New Roman"/>
          <w:b/>
          <w:bCs/>
          <w:sz w:val="20"/>
          <w:szCs w:val="20"/>
          <w:lang w:bidi="ar-EG"/>
        </w:rPr>
        <w:t>ROC curve</w:t>
      </w:r>
      <w:r w:rsidRPr="00C673E0">
        <w:rPr>
          <w:rFonts w:ascii="Times New Roman" w:eastAsia="Times New Roman" w:hAnsi="Times New Roman"/>
          <w:sz w:val="20"/>
          <w:szCs w:val="20"/>
          <w:lang w:bidi="ar-EG"/>
        </w:rPr>
        <w:t xml:space="preserve"> of the lncRNA-H19 serum relative expression levels was plotted between sensitivity on y-axis and (1 - specificity) on x-axis. Every point on the ROC curve </w:t>
      </w:r>
      <w:r w:rsidR="00401F6B" w:rsidRPr="00C673E0">
        <w:rPr>
          <w:rFonts w:ascii="Times New Roman" w:eastAsia="Times New Roman" w:hAnsi="Times New Roman"/>
          <w:sz w:val="20"/>
          <w:szCs w:val="20"/>
          <w:lang w:bidi="ar-EG"/>
        </w:rPr>
        <w:t xml:space="preserve">reflects </w:t>
      </w:r>
      <w:r w:rsidR="00900FFB" w:rsidRPr="00C673E0">
        <w:rPr>
          <w:rFonts w:ascii="Times New Roman" w:eastAsia="Times New Roman" w:hAnsi="Times New Roman"/>
          <w:sz w:val="20"/>
          <w:szCs w:val="20"/>
          <w:lang w:bidi="ar-EG"/>
        </w:rPr>
        <w:t>a chosen cut-off (Figure 3</w:t>
      </w:r>
      <w:r w:rsidRPr="00C673E0">
        <w:rPr>
          <w:rFonts w:ascii="Times New Roman" w:eastAsia="Times New Roman" w:hAnsi="Times New Roman"/>
          <w:sz w:val="20"/>
          <w:szCs w:val="20"/>
          <w:lang w:bidi="ar-EG"/>
        </w:rPr>
        <w:t>).</w:t>
      </w:r>
      <w:r w:rsidR="007B2F5B" w:rsidRPr="00C673E0">
        <w:rPr>
          <w:rFonts w:ascii="Times New Roman" w:eastAsia="Times New Roman" w:hAnsi="Times New Roman"/>
          <w:sz w:val="20"/>
          <w:szCs w:val="20"/>
          <w:lang w:bidi="ar-EG"/>
        </w:rPr>
        <w:t xml:space="preserve"> ROC curve analysis of lncRNA-H19 serum relative expression levels with an AUC of 0.602 (95% confidence interval (CI) = 0.497– 0.706, p-value =0.043). The sensitivity and specificity of lncRNA-H19 were calculated using a cutoff value of 0.8855 for serum lncRNA-H19 relative expression levels (Table </w:t>
      </w:r>
      <w:r w:rsidR="00B84029" w:rsidRPr="00C673E0">
        <w:rPr>
          <w:rFonts w:ascii="Times New Roman" w:eastAsia="Times New Roman" w:hAnsi="Times New Roman"/>
          <w:sz w:val="20"/>
          <w:szCs w:val="20"/>
          <w:lang w:bidi="ar-EG"/>
        </w:rPr>
        <w:t>3</w:t>
      </w:r>
      <w:r w:rsidR="007B2F5B" w:rsidRPr="00C673E0">
        <w:rPr>
          <w:rFonts w:ascii="Times New Roman" w:eastAsia="Times New Roman" w:hAnsi="Times New Roman"/>
          <w:sz w:val="20"/>
          <w:szCs w:val="20"/>
          <w:lang w:bidi="ar-EG"/>
        </w:rPr>
        <w:t xml:space="preserve">). </w:t>
      </w:r>
    </w:p>
    <w:p w:rsidR="003E3F44" w:rsidRPr="00C673E0" w:rsidRDefault="003E3F44" w:rsidP="00644513">
      <w:pPr>
        <w:snapToGrid w:val="0"/>
        <w:spacing w:after="0" w:line="240" w:lineRule="auto"/>
        <w:ind w:firstLine="425"/>
        <w:jc w:val="both"/>
        <w:rPr>
          <w:rFonts w:ascii="Times New Roman" w:hAnsi="Times New Roman"/>
          <w:sz w:val="20"/>
          <w:szCs w:val="20"/>
          <w:lang w:eastAsia="zh-CN" w:bidi="ar-EG"/>
        </w:rPr>
      </w:pPr>
    </w:p>
    <w:p w:rsidR="00FB03C0" w:rsidRPr="00C673E0" w:rsidRDefault="00561208" w:rsidP="00644513">
      <w:pPr>
        <w:snapToGrid w:val="0"/>
        <w:spacing w:after="0" w:line="240" w:lineRule="auto"/>
        <w:jc w:val="center"/>
        <w:rPr>
          <w:rFonts w:ascii="Times New Roman" w:eastAsia="Times New Roman" w:hAnsi="Times New Roman"/>
          <w:sz w:val="20"/>
          <w:szCs w:val="20"/>
          <w:lang w:bidi="ar-EG"/>
        </w:rPr>
      </w:pPr>
      <w:r w:rsidRPr="006E7628">
        <w:rPr>
          <w:rFonts w:ascii="Times New Roman" w:eastAsia="Times New Roman" w:hAnsi="Times New Roman"/>
          <w:noProof/>
          <w:sz w:val="20"/>
          <w:szCs w:val="20"/>
          <w:lang w:eastAsia="zh-CN"/>
        </w:rPr>
        <w:pict>
          <v:shape id="Picture 3" o:spid="_x0000_i1027" type="#_x0000_t75" style="width:212.25pt;height:188.45pt;visibility:visible;mso-wrap-style:square">
            <v:imagedata r:id="rId17" o:title="" cropbottom="4221f" cropleft="8336f" cropright="6665f"/>
          </v:shape>
        </w:pict>
      </w:r>
    </w:p>
    <w:p w:rsidR="009263AE" w:rsidRPr="00C673E0" w:rsidRDefault="00900FFB" w:rsidP="00644513">
      <w:pPr>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Figure (3</w:t>
      </w:r>
      <w:r w:rsidR="00FB03C0" w:rsidRPr="00C673E0">
        <w:rPr>
          <w:rFonts w:ascii="Times New Roman" w:eastAsia="Times New Roman" w:hAnsi="Times New Roman"/>
          <w:b/>
          <w:bCs/>
          <w:sz w:val="20"/>
          <w:szCs w:val="20"/>
          <w:lang w:bidi="ar-EG"/>
        </w:rPr>
        <w:t>): ROC curve for serum relative expression levels of lncRNA-H19 for MS diagnosis.</w:t>
      </w:r>
    </w:p>
    <w:p w:rsidR="000F71AB" w:rsidRPr="00C673E0" w:rsidRDefault="000F71AB" w:rsidP="00644513">
      <w:pPr>
        <w:snapToGrid w:val="0"/>
        <w:spacing w:after="0" w:line="240" w:lineRule="auto"/>
        <w:jc w:val="center"/>
        <w:rPr>
          <w:rFonts w:ascii="Times New Roman" w:eastAsia="Times New Roman" w:hAnsi="Times New Roman"/>
          <w:b/>
          <w:bCs/>
          <w:sz w:val="20"/>
          <w:szCs w:val="20"/>
          <w:lang w:bidi="ar-EG"/>
        </w:rPr>
        <w:sectPr w:rsidR="000F71AB" w:rsidRPr="00C673E0" w:rsidSect="000F71AB">
          <w:type w:val="continuous"/>
          <w:pgSz w:w="12240" w:h="15840" w:code="9"/>
          <w:pgMar w:top="1440" w:right="1440" w:bottom="1440" w:left="1440" w:header="720" w:footer="720" w:gutter="0"/>
          <w:cols w:num="2" w:space="550"/>
          <w:docGrid w:linePitch="360"/>
        </w:sectPr>
      </w:pPr>
    </w:p>
    <w:p w:rsidR="003A290C" w:rsidRPr="00C673E0" w:rsidRDefault="003A290C" w:rsidP="00644513">
      <w:pPr>
        <w:snapToGrid w:val="0"/>
        <w:spacing w:after="0" w:line="240" w:lineRule="auto"/>
        <w:jc w:val="center"/>
        <w:rPr>
          <w:rFonts w:ascii="Times New Roman" w:eastAsia="Times New Roman" w:hAnsi="Times New Roman"/>
          <w:b/>
          <w:bCs/>
          <w:sz w:val="20"/>
          <w:szCs w:val="20"/>
          <w:lang w:bidi="ar-EG"/>
        </w:rPr>
      </w:pPr>
    </w:p>
    <w:p w:rsidR="00C673E0" w:rsidRDefault="00C673E0" w:rsidP="00644513">
      <w:pPr>
        <w:snapToGrid w:val="0"/>
        <w:spacing w:after="0" w:line="240" w:lineRule="auto"/>
        <w:jc w:val="center"/>
        <w:rPr>
          <w:rFonts w:ascii="Times New Roman" w:eastAsiaTheme="minorEastAsia" w:hAnsi="Times New Roman"/>
          <w:b/>
          <w:bCs/>
          <w:sz w:val="20"/>
          <w:szCs w:val="20"/>
          <w:lang w:eastAsia="zh-CN" w:bidi="ar-EG"/>
        </w:rPr>
      </w:pPr>
    </w:p>
    <w:p w:rsidR="009263AE" w:rsidRPr="00C673E0" w:rsidRDefault="00B84029" w:rsidP="00644513">
      <w:pPr>
        <w:snapToGrid w:val="0"/>
        <w:spacing w:after="0" w:line="240" w:lineRule="auto"/>
        <w:jc w:val="center"/>
        <w:rPr>
          <w:rFonts w:ascii="Times New Roman" w:eastAsia="Times New Roman" w:hAnsi="Times New Roman"/>
          <w:sz w:val="20"/>
          <w:szCs w:val="20"/>
          <w:lang w:bidi="ar-EG"/>
        </w:rPr>
      </w:pPr>
      <w:r w:rsidRPr="00C673E0">
        <w:rPr>
          <w:rFonts w:ascii="Times New Roman" w:eastAsia="Times New Roman" w:hAnsi="Times New Roman"/>
          <w:b/>
          <w:bCs/>
          <w:sz w:val="20"/>
          <w:szCs w:val="20"/>
          <w:lang w:bidi="ar-EG"/>
        </w:rPr>
        <w:lastRenderedPageBreak/>
        <w:t>Table (3</w:t>
      </w:r>
      <w:r w:rsidR="009263AE" w:rsidRPr="00C673E0">
        <w:rPr>
          <w:rFonts w:ascii="Times New Roman" w:eastAsia="Times New Roman" w:hAnsi="Times New Roman"/>
          <w:b/>
          <w:bCs/>
          <w:sz w:val="20"/>
          <w:szCs w:val="20"/>
          <w:lang w:bidi="ar-EG"/>
        </w:rPr>
        <w:t>): ROC curve analysis for serum relative expression levels of lncRNA-H19 for MS diagnosis:</w:t>
      </w:r>
      <w:r w:rsidR="009263AE" w:rsidRPr="00C673E0">
        <w:rPr>
          <w:rFonts w:ascii="Times New Roman" w:eastAsia="Times New Roman" w:hAnsi="Times New Roman"/>
          <w:sz w:val="20"/>
          <w:szCs w:val="20"/>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68"/>
        <w:gridCol w:w="2347"/>
        <w:gridCol w:w="675"/>
        <w:gridCol w:w="1191"/>
        <w:gridCol w:w="1179"/>
        <w:gridCol w:w="664"/>
        <w:gridCol w:w="1126"/>
        <w:gridCol w:w="1124"/>
      </w:tblGrid>
      <w:tr w:rsidR="003E3F44" w:rsidRPr="00C673E0" w:rsidTr="006D0665">
        <w:trPr>
          <w:cantSplit/>
          <w:jc w:val="center"/>
        </w:trPr>
        <w:tc>
          <w:tcPr>
            <w:tcW w:w="617" w:type="pct"/>
            <w:vMerge w:val="restart"/>
            <w:shd w:val="clear" w:color="auto" w:fill="E3E2E7"/>
            <w:vAlign w:val="center"/>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p>
        </w:tc>
        <w:tc>
          <w:tcPr>
            <w:tcW w:w="1239" w:type="pct"/>
            <w:vMerge w:val="restar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b/>
                <w:bCs/>
                <w:sz w:val="20"/>
                <w:szCs w:val="20"/>
              </w:rPr>
            </w:pPr>
            <w:r w:rsidRPr="00C673E0">
              <w:rPr>
                <w:rFonts w:ascii="Times New Roman" w:eastAsia="Calibri" w:hAnsi="Times New Roman"/>
                <w:b/>
                <w:bCs/>
                <w:sz w:val="20"/>
                <w:szCs w:val="20"/>
              </w:rPr>
              <w:t>Area Under the Curve</w:t>
            </w:r>
            <w:r w:rsidR="006D0665" w:rsidRPr="00C673E0">
              <w:rPr>
                <w:rFonts w:ascii="Times New Roman" w:eastAsiaTheme="minorEastAsia" w:hAnsi="Times New Roman" w:hint="eastAsia"/>
                <w:b/>
                <w:bCs/>
                <w:sz w:val="20"/>
                <w:szCs w:val="20"/>
                <w:lang w:eastAsia="zh-CN"/>
              </w:rPr>
              <w:t xml:space="preserve"> </w:t>
            </w:r>
            <w:r w:rsidRPr="00C673E0">
              <w:rPr>
                <w:rFonts w:ascii="Times New Roman" w:eastAsia="Calibri" w:hAnsi="Times New Roman"/>
                <w:b/>
                <w:bCs/>
                <w:sz w:val="20"/>
                <w:szCs w:val="20"/>
              </w:rPr>
              <w:t>(AUC)</w:t>
            </w:r>
          </w:p>
        </w:tc>
        <w:tc>
          <w:tcPr>
            <w:tcW w:w="357" w:type="pct"/>
            <w:vMerge w:val="restar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b/>
                <w:bCs/>
                <w:sz w:val="20"/>
                <w:szCs w:val="20"/>
              </w:rPr>
              <w:t>P value</w:t>
            </w:r>
          </w:p>
        </w:tc>
        <w:tc>
          <w:tcPr>
            <w:tcW w:w="1252" w:type="pct"/>
            <w:gridSpan w:val="2"/>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b/>
                <w:bCs/>
                <w:sz w:val="20"/>
                <w:szCs w:val="20"/>
              </w:rPr>
            </w:pPr>
            <w:r w:rsidRPr="00C673E0">
              <w:rPr>
                <w:rFonts w:ascii="Times New Roman" w:eastAsia="Calibri" w:hAnsi="Times New Roman"/>
                <w:b/>
                <w:bCs/>
                <w:sz w:val="20"/>
                <w:szCs w:val="20"/>
              </w:rPr>
              <w:t>95% Confidence Interval</w:t>
            </w:r>
            <w:r w:rsidR="006D0665" w:rsidRPr="00C673E0">
              <w:rPr>
                <w:rFonts w:ascii="Times New Roman" w:eastAsiaTheme="minorEastAsia" w:hAnsi="Times New Roman" w:hint="eastAsia"/>
                <w:b/>
                <w:bCs/>
                <w:sz w:val="20"/>
                <w:szCs w:val="20"/>
                <w:lang w:eastAsia="zh-CN"/>
              </w:rPr>
              <w:t xml:space="preserve"> </w:t>
            </w:r>
            <w:r w:rsidRPr="00C673E0">
              <w:rPr>
                <w:rFonts w:ascii="Times New Roman" w:eastAsia="Calibri" w:hAnsi="Times New Roman"/>
                <w:b/>
                <w:bCs/>
                <w:sz w:val="20"/>
                <w:szCs w:val="20"/>
              </w:rPr>
              <w:t>(CI)</w:t>
            </w:r>
          </w:p>
        </w:tc>
        <w:tc>
          <w:tcPr>
            <w:tcW w:w="347" w:type="pct"/>
            <w:vMerge w:val="restar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b/>
                <w:bCs/>
                <w:sz w:val="20"/>
                <w:szCs w:val="20"/>
              </w:rPr>
            </w:pPr>
            <w:r w:rsidRPr="00C673E0">
              <w:rPr>
                <w:rFonts w:ascii="Times New Roman" w:eastAsia="Calibri" w:hAnsi="Times New Roman"/>
                <w:b/>
                <w:bCs/>
                <w:sz w:val="20"/>
                <w:szCs w:val="20"/>
              </w:rPr>
              <w:t>Cut off</w:t>
            </w:r>
          </w:p>
        </w:tc>
        <w:tc>
          <w:tcPr>
            <w:tcW w:w="594" w:type="pct"/>
            <w:vMerge w:val="restar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b/>
                <w:bCs/>
                <w:sz w:val="20"/>
                <w:szCs w:val="20"/>
              </w:rPr>
            </w:pPr>
            <w:r w:rsidRPr="00C673E0">
              <w:rPr>
                <w:rFonts w:ascii="Times New Roman" w:eastAsia="Calibri" w:hAnsi="Times New Roman"/>
                <w:b/>
                <w:bCs/>
                <w:sz w:val="20"/>
                <w:szCs w:val="20"/>
              </w:rPr>
              <w:t>Sensitivity %</w:t>
            </w:r>
          </w:p>
        </w:tc>
        <w:tc>
          <w:tcPr>
            <w:tcW w:w="593" w:type="pct"/>
            <w:vMerge w:val="restar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b/>
                <w:bCs/>
                <w:sz w:val="20"/>
                <w:szCs w:val="20"/>
              </w:rPr>
            </w:pPr>
            <w:r w:rsidRPr="00C673E0">
              <w:rPr>
                <w:rFonts w:ascii="Times New Roman" w:eastAsia="Calibri" w:hAnsi="Times New Roman"/>
                <w:b/>
                <w:bCs/>
                <w:sz w:val="20"/>
                <w:szCs w:val="20"/>
              </w:rPr>
              <w:t>Specificity %</w:t>
            </w:r>
          </w:p>
        </w:tc>
      </w:tr>
      <w:tr w:rsidR="003E3F44" w:rsidRPr="00C673E0" w:rsidTr="006D0665">
        <w:trPr>
          <w:cantSplit/>
          <w:jc w:val="center"/>
        </w:trPr>
        <w:tc>
          <w:tcPr>
            <w:tcW w:w="617" w:type="pct"/>
            <w:vMerge/>
            <w:vAlign w:val="center"/>
            <w:hideMark/>
          </w:tcPr>
          <w:p w:rsidR="009263AE" w:rsidRPr="00C673E0" w:rsidRDefault="009263AE" w:rsidP="00C673E0">
            <w:pPr>
              <w:snapToGrid w:val="0"/>
              <w:spacing w:after="0" w:line="240" w:lineRule="auto"/>
              <w:rPr>
                <w:rFonts w:ascii="Times New Roman" w:eastAsia="Calibri" w:hAnsi="Times New Roman"/>
                <w:sz w:val="20"/>
                <w:szCs w:val="20"/>
              </w:rPr>
            </w:pPr>
          </w:p>
        </w:tc>
        <w:tc>
          <w:tcPr>
            <w:tcW w:w="1239" w:type="pct"/>
            <w:vMerge/>
            <w:vAlign w:val="center"/>
            <w:hideMark/>
          </w:tcPr>
          <w:p w:rsidR="009263AE" w:rsidRPr="00C673E0" w:rsidRDefault="009263AE" w:rsidP="00C673E0">
            <w:pPr>
              <w:snapToGrid w:val="0"/>
              <w:spacing w:after="0" w:line="240" w:lineRule="auto"/>
              <w:rPr>
                <w:rFonts w:ascii="Times New Roman" w:eastAsia="Calibri" w:hAnsi="Times New Roman"/>
                <w:b/>
                <w:bCs/>
                <w:sz w:val="20"/>
                <w:szCs w:val="20"/>
              </w:rPr>
            </w:pPr>
          </w:p>
        </w:tc>
        <w:tc>
          <w:tcPr>
            <w:tcW w:w="357" w:type="pct"/>
            <w:vMerge/>
            <w:vAlign w:val="center"/>
            <w:hideMark/>
          </w:tcPr>
          <w:p w:rsidR="009263AE" w:rsidRPr="00C673E0" w:rsidRDefault="009263AE" w:rsidP="00C673E0">
            <w:pPr>
              <w:snapToGrid w:val="0"/>
              <w:spacing w:after="0" w:line="240" w:lineRule="auto"/>
              <w:rPr>
                <w:rFonts w:ascii="Times New Roman" w:eastAsia="Calibri" w:hAnsi="Times New Roman"/>
                <w:sz w:val="20"/>
                <w:szCs w:val="20"/>
              </w:rPr>
            </w:pPr>
          </w:p>
        </w:tc>
        <w:tc>
          <w:tcPr>
            <w:tcW w:w="629" w:type="pc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b/>
                <w:bCs/>
                <w:sz w:val="20"/>
                <w:szCs w:val="20"/>
              </w:rPr>
              <w:t>Lower Bound</w:t>
            </w:r>
          </w:p>
        </w:tc>
        <w:tc>
          <w:tcPr>
            <w:tcW w:w="623" w:type="pc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b/>
                <w:bCs/>
                <w:sz w:val="20"/>
                <w:szCs w:val="20"/>
              </w:rPr>
              <w:t>Upper Bound</w:t>
            </w:r>
          </w:p>
        </w:tc>
        <w:tc>
          <w:tcPr>
            <w:tcW w:w="347" w:type="pct"/>
            <w:vMerge/>
            <w:vAlign w:val="center"/>
            <w:hideMark/>
          </w:tcPr>
          <w:p w:rsidR="009263AE" w:rsidRPr="00C673E0" w:rsidRDefault="009263AE" w:rsidP="00C673E0">
            <w:pPr>
              <w:snapToGrid w:val="0"/>
              <w:spacing w:after="0" w:line="240" w:lineRule="auto"/>
              <w:rPr>
                <w:rFonts w:ascii="Times New Roman" w:eastAsia="Calibri" w:hAnsi="Times New Roman"/>
                <w:b/>
                <w:bCs/>
                <w:sz w:val="20"/>
                <w:szCs w:val="20"/>
              </w:rPr>
            </w:pPr>
          </w:p>
        </w:tc>
        <w:tc>
          <w:tcPr>
            <w:tcW w:w="594" w:type="pct"/>
            <w:vMerge/>
            <w:vAlign w:val="center"/>
            <w:hideMark/>
          </w:tcPr>
          <w:p w:rsidR="009263AE" w:rsidRPr="00C673E0" w:rsidRDefault="009263AE" w:rsidP="00C673E0">
            <w:pPr>
              <w:snapToGrid w:val="0"/>
              <w:spacing w:after="0" w:line="240" w:lineRule="auto"/>
              <w:rPr>
                <w:rFonts w:ascii="Times New Roman" w:eastAsia="Calibri" w:hAnsi="Times New Roman"/>
                <w:b/>
                <w:bCs/>
                <w:sz w:val="20"/>
                <w:szCs w:val="20"/>
              </w:rPr>
            </w:pPr>
          </w:p>
        </w:tc>
        <w:tc>
          <w:tcPr>
            <w:tcW w:w="593" w:type="pct"/>
            <w:vMerge/>
            <w:vAlign w:val="center"/>
            <w:hideMark/>
          </w:tcPr>
          <w:p w:rsidR="009263AE" w:rsidRPr="00C673E0" w:rsidRDefault="009263AE" w:rsidP="00C673E0">
            <w:pPr>
              <w:snapToGrid w:val="0"/>
              <w:spacing w:after="0" w:line="240" w:lineRule="auto"/>
              <w:rPr>
                <w:rFonts w:ascii="Times New Roman" w:eastAsia="Calibri" w:hAnsi="Times New Roman"/>
                <w:b/>
                <w:bCs/>
                <w:sz w:val="20"/>
                <w:szCs w:val="20"/>
              </w:rPr>
            </w:pPr>
          </w:p>
        </w:tc>
      </w:tr>
      <w:tr w:rsidR="003E3F44" w:rsidRPr="00C673E0" w:rsidTr="006D0665">
        <w:trPr>
          <w:cantSplit/>
          <w:jc w:val="center"/>
        </w:trPr>
        <w:tc>
          <w:tcPr>
            <w:tcW w:w="617" w:type="pct"/>
            <w:shd w:val="clear" w:color="auto" w:fill="E3E2E7"/>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b/>
                <w:bCs/>
                <w:sz w:val="20"/>
                <w:szCs w:val="20"/>
              </w:rPr>
              <w:t>LncRNA-H19</w:t>
            </w:r>
          </w:p>
        </w:tc>
        <w:tc>
          <w:tcPr>
            <w:tcW w:w="1239"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sz w:val="20"/>
                <w:szCs w:val="20"/>
              </w:rPr>
              <w:t>0.602</w:t>
            </w:r>
          </w:p>
        </w:tc>
        <w:tc>
          <w:tcPr>
            <w:tcW w:w="357"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b/>
                <w:bCs/>
                <w:sz w:val="20"/>
                <w:szCs w:val="20"/>
              </w:rPr>
            </w:pPr>
            <w:r w:rsidRPr="00C673E0">
              <w:rPr>
                <w:rFonts w:ascii="Times New Roman" w:eastAsia="Calibri" w:hAnsi="Times New Roman"/>
                <w:b/>
                <w:bCs/>
                <w:sz w:val="20"/>
                <w:szCs w:val="20"/>
              </w:rPr>
              <w:t>0.043</w:t>
            </w:r>
          </w:p>
        </w:tc>
        <w:tc>
          <w:tcPr>
            <w:tcW w:w="629"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sz w:val="20"/>
                <w:szCs w:val="20"/>
              </w:rPr>
              <w:t>0.497</w:t>
            </w:r>
          </w:p>
        </w:tc>
        <w:tc>
          <w:tcPr>
            <w:tcW w:w="623"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sz w:val="20"/>
                <w:szCs w:val="20"/>
              </w:rPr>
              <w:t>0.706</w:t>
            </w:r>
          </w:p>
        </w:tc>
        <w:tc>
          <w:tcPr>
            <w:tcW w:w="347"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sz w:val="20"/>
                <w:szCs w:val="20"/>
              </w:rPr>
              <w:t>0.8855</w:t>
            </w:r>
          </w:p>
        </w:tc>
        <w:tc>
          <w:tcPr>
            <w:tcW w:w="594"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sz w:val="20"/>
                <w:szCs w:val="20"/>
              </w:rPr>
              <w:t>52.7%</w:t>
            </w:r>
          </w:p>
        </w:tc>
        <w:tc>
          <w:tcPr>
            <w:tcW w:w="593" w:type="pct"/>
            <w:shd w:val="clear" w:color="auto" w:fill="FFFFFF"/>
            <w:vAlign w:val="center"/>
            <w:hideMark/>
          </w:tcPr>
          <w:p w:rsidR="009263AE" w:rsidRPr="00C673E0" w:rsidRDefault="009263AE" w:rsidP="00C673E0">
            <w:pPr>
              <w:autoSpaceDE w:val="0"/>
              <w:autoSpaceDN w:val="0"/>
              <w:adjustRightInd w:val="0"/>
              <w:snapToGrid w:val="0"/>
              <w:spacing w:after="0" w:line="240" w:lineRule="auto"/>
              <w:rPr>
                <w:rFonts w:ascii="Times New Roman" w:eastAsia="Calibri" w:hAnsi="Times New Roman"/>
                <w:sz w:val="20"/>
                <w:szCs w:val="20"/>
              </w:rPr>
            </w:pPr>
            <w:r w:rsidRPr="00C673E0">
              <w:rPr>
                <w:rFonts w:ascii="Times New Roman" w:eastAsia="Calibri" w:hAnsi="Times New Roman"/>
                <w:sz w:val="20"/>
                <w:szCs w:val="20"/>
              </w:rPr>
              <w:t>86.7%</w:t>
            </w:r>
          </w:p>
        </w:tc>
      </w:tr>
    </w:tbl>
    <w:p w:rsidR="00FB03C0" w:rsidRPr="00C673E0" w:rsidRDefault="00FB03C0" w:rsidP="00644513">
      <w:pPr>
        <w:snapToGrid w:val="0"/>
        <w:spacing w:after="0" w:line="240" w:lineRule="auto"/>
        <w:jc w:val="both"/>
        <w:rPr>
          <w:rFonts w:ascii="Times New Roman" w:eastAsiaTheme="minorEastAsia" w:hAnsi="Times New Roman"/>
          <w:b/>
          <w:bCs/>
          <w:sz w:val="20"/>
          <w:szCs w:val="20"/>
          <w:lang w:eastAsia="zh-CN" w:bidi="ar-EG"/>
        </w:rPr>
      </w:pPr>
    </w:p>
    <w:p w:rsidR="006D0665" w:rsidRPr="00C673E0" w:rsidRDefault="006D0665" w:rsidP="006D0665">
      <w:pPr>
        <w:snapToGrid w:val="0"/>
        <w:spacing w:after="0" w:line="240" w:lineRule="auto"/>
        <w:jc w:val="center"/>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Table (4): ROC curve analysis for serum relative expression levels of lincRNA-p21 for MS diagnosis.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78"/>
        <w:gridCol w:w="2346"/>
        <w:gridCol w:w="676"/>
        <w:gridCol w:w="1190"/>
        <w:gridCol w:w="1180"/>
        <w:gridCol w:w="656"/>
        <w:gridCol w:w="1124"/>
        <w:gridCol w:w="1124"/>
      </w:tblGrid>
      <w:tr w:rsidR="006D0665" w:rsidRPr="00C673E0" w:rsidTr="002C4EF3">
        <w:trPr>
          <w:cantSplit/>
          <w:jc w:val="center"/>
        </w:trPr>
        <w:tc>
          <w:tcPr>
            <w:tcW w:w="622" w:type="pct"/>
            <w:vMerge w:val="restart"/>
            <w:shd w:val="clear" w:color="auto" w:fill="E3E2E7"/>
            <w:vAlign w:val="center"/>
          </w:tcPr>
          <w:p w:rsidR="006D0665" w:rsidRPr="00C673E0" w:rsidRDefault="006D0665" w:rsidP="00C673E0">
            <w:pPr>
              <w:snapToGrid w:val="0"/>
              <w:spacing w:after="0" w:line="240" w:lineRule="auto"/>
              <w:rPr>
                <w:rFonts w:ascii="Times New Roman" w:eastAsia="Times New Roman" w:hAnsi="Times New Roman"/>
                <w:sz w:val="20"/>
                <w:szCs w:val="20"/>
                <w:lang w:bidi="ar-EG"/>
              </w:rPr>
            </w:pPr>
          </w:p>
        </w:tc>
        <w:tc>
          <w:tcPr>
            <w:tcW w:w="1238" w:type="pct"/>
            <w:vMerge w:val="restar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Area Under the Curve</w:t>
            </w:r>
            <w:r w:rsidRPr="00C673E0">
              <w:rPr>
                <w:rFonts w:ascii="Times New Roman" w:eastAsiaTheme="minorEastAsia" w:hAnsi="Times New Roman" w:hint="eastAsia"/>
                <w:b/>
                <w:bCs/>
                <w:sz w:val="20"/>
                <w:szCs w:val="20"/>
                <w:lang w:eastAsia="zh-CN" w:bidi="ar-EG"/>
              </w:rPr>
              <w:t xml:space="preserve"> </w:t>
            </w:r>
            <w:r w:rsidRPr="00C673E0">
              <w:rPr>
                <w:rFonts w:ascii="Times New Roman" w:eastAsia="Times New Roman" w:hAnsi="Times New Roman"/>
                <w:b/>
                <w:bCs/>
                <w:sz w:val="20"/>
                <w:szCs w:val="20"/>
                <w:lang w:bidi="ar-EG"/>
              </w:rPr>
              <w:t>(AUC)</w:t>
            </w:r>
          </w:p>
        </w:tc>
        <w:tc>
          <w:tcPr>
            <w:tcW w:w="357" w:type="pct"/>
            <w:vMerge w:val="restar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b/>
                <w:bCs/>
                <w:sz w:val="20"/>
                <w:szCs w:val="20"/>
                <w:lang w:bidi="ar-EG"/>
              </w:rPr>
              <w:t>P value</w:t>
            </w:r>
          </w:p>
        </w:tc>
        <w:tc>
          <w:tcPr>
            <w:tcW w:w="1251" w:type="pct"/>
            <w:gridSpan w:val="2"/>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95% Confidence Interval</w:t>
            </w:r>
            <w:r w:rsidRPr="00C673E0">
              <w:rPr>
                <w:rFonts w:ascii="Times New Roman" w:eastAsiaTheme="minorEastAsia" w:hAnsi="Times New Roman" w:hint="eastAsia"/>
                <w:b/>
                <w:bCs/>
                <w:sz w:val="20"/>
                <w:szCs w:val="20"/>
                <w:lang w:eastAsia="zh-CN" w:bidi="ar-EG"/>
              </w:rPr>
              <w:t xml:space="preserve"> </w:t>
            </w:r>
            <w:r w:rsidRPr="00C673E0">
              <w:rPr>
                <w:rFonts w:ascii="Times New Roman" w:eastAsia="Times New Roman" w:hAnsi="Times New Roman"/>
                <w:b/>
                <w:bCs/>
                <w:sz w:val="20"/>
                <w:szCs w:val="20"/>
                <w:lang w:bidi="ar-EG"/>
              </w:rPr>
              <w:t>(CI)</w:t>
            </w:r>
          </w:p>
        </w:tc>
        <w:tc>
          <w:tcPr>
            <w:tcW w:w="346" w:type="pct"/>
            <w:vMerge w:val="restar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Cut off</w:t>
            </w:r>
          </w:p>
        </w:tc>
        <w:tc>
          <w:tcPr>
            <w:tcW w:w="593" w:type="pct"/>
            <w:vMerge w:val="restar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Sensitivity %</w:t>
            </w:r>
          </w:p>
        </w:tc>
        <w:tc>
          <w:tcPr>
            <w:tcW w:w="593" w:type="pct"/>
            <w:vMerge w:val="restar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Specificity %</w:t>
            </w:r>
          </w:p>
        </w:tc>
      </w:tr>
      <w:tr w:rsidR="006D0665" w:rsidRPr="00C673E0" w:rsidTr="002C4EF3">
        <w:trPr>
          <w:cantSplit/>
          <w:jc w:val="center"/>
        </w:trPr>
        <w:tc>
          <w:tcPr>
            <w:tcW w:w="622" w:type="pct"/>
            <w:vMerge/>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p>
        </w:tc>
        <w:tc>
          <w:tcPr>
            <w:tcW w:w="1238" w:type="pct"/>
            <w:vMerge/>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p>
        </w:tc>
        <w:tc>
          <w:tcPr>
            <w:tcW w:w="357" w:type="pct"/>
            <w:vMerge/>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p>
        </w:tc>
        <w:tc>
          <w:tcPr>
            <w:tcW w:w="628" w:type="pc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b/>
                <w:bCs/>
                <w:sz w:val="20"/>
                <w:szCs w:val="20"/>
                <w:lang w:bidi="ar-EG"/>
              </w:rPr>
              <w:t>Lower Bound</w:t>
            </w:r>
          </w:p>
        </w:tc>
        <w:tc>
          <w:tcPr>
            <w:tcW w:w="623" w:type="pc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b/>
                <w:bCs/>
                <w:sz w:val="20"/>
                <w:szCs w:val="20"/>
                <w:lang w:bidi="ar-EG"/>
              </w:rPr>
              <w:t>Upper Bound</w:t>
            </w:r>
          </w:p>
        </w:tc>
        <w:tc>
          <w:tcPr>
            <w:tcW w:w="346" w:type="pct"/>
            <w:vMerge/>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p>
        </w:tc>
        <w:tc>
          <w:tcPr>
            <w:tcW w:w="593" w:type="pct"/>
            <w:vMerge/>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p>
        </w:tc>
        <w:tc>
          <w:tcPr>
            <w:tcW w:w="593" w:type="pct"/>
            <w:vMerge/>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p>
        </w:tc>
      </w:tr>
      <w:tr w:rsidR="006D0665" w:rsidRPr="00C673E0" w:rsidTr="002C4EF3">
        <w:trPr>
          <w:cantSplit/>
          <w:jc w:val="center"/>
        </w:trPr>
        <w:tc>
          <w:tcPr>
            <w:tcW w:w="622" w:type="pct"/>
            <w:shd w:val="clear" w:color="auto" w:fill="E3E2E7"/>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LincRNA-p21</w:t>
            </w:r>
          </w:p>
        </w:tc>
        <w:tc>
          <w:tcPr>
            <w:tcW w:w="1238"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0.614</w:t>
            </w:r>
          </w:p>
        </w:tc>
        <w:tc>
          <w:tcPr>
            <w:tcW w:w="357"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0.023</w:t>
            </w:r>
          </w:p>
        </w:tc>
        <w:tc>
          <w:tcPr>
            <w:tcW w:w="628"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0.506</w:t>
            </w:r>
          </w:p>
        </w:tc>
        <w:tc>
          <w:tcPr>
            <w:tcW w:w="623"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0.723</w:t>
            </w:r>
          </w:p>
        </w:tc>
        <w:tc>
          <w:tcPr>
            <w:tcW w:w="346"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0.815</w:t>
            </w:r>
          </w:p>
        </w:tc>
        <w:tc>
          <w:tcPr>
            <w:tcW w:w="593"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51.4%</w:t>
            </w:r>
          </w:p>
        </w:tc>
        <w:tc>
          <w:tcPr>
            <w:tcW w:w="593" w:type="pct"/>
            <w:shd w:val="clear" w:color="auto" w:fill="FFFFFF"/>
            <w:vAlign w:val="center"/>
            <w:hideMark/>
          </w:tcPr>
          <w:p w:rsidR="006D0665" w:rsidRPr="00C673E0" w:rsidRDefault="006D0665" w:rsidP="00C673E0">
            <w:pPr>
              <w:snapToGrid w:val="0"/>
              <w:spacing w:after="0" w:line="240" w:lineRule="auto"/>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93.3%</w:t>
            </w:r>
          </w:p>
        </w:tc>
      </w:tr>
    </w:tbl>
    <w:p w:rsidR="006D0665" w:rsidRPr="00C673E0" w:rsidRDefault="006D0665" w:rsidP="00644513">
      <w:pPr>
        <w:snapToGrid w:val="0"/>
        <w:spacing w:after="0" w:line="240" w:lineRule="auto"/>
        <w:jc w:val="both"/>
        <w:rPr>
          <w:rFonts w:ascii="Times New Roman" w:eastAsiaTheme="minorEastAsia" w:hAnsi="Times New Roman"/>
          <w:b/>
          <w:bCs/>
          <w:sz w:val="20"/>
          <w:szCs w:val="20"/>
          <w:lang w:eastAsia="zh-CN" w:bidi="ar-EG"/>
        </w:rPr>
      </w:pPr>
    </w:p>
    <w:p w:rsidR="000F71AB" w:rsidRPr="00C673E0" w:rsidRDefault="000F71AB" w:rsidP="00644513">
      <w:pPr>
        <w:snapToGrid w:val="0"/>
        <w:spacing w:after="0" w:line="240" w:lineRule="auto"/>
        <w:ind w:firstLine="425"/>
        <w:jc w:val="both"/>
        <w:rPr>
          <w:rFonts w:ascii="Times New Roman" w:eastAsia="Times New Roman" w:hAnsi="Times New Roman"/>
          <w:b/>
          <w:bCs/>
          <w:sz w:val="20"/>
          <w:szCs w:val="20"/>
          <w:lang w:bidi="ar-EG"/>
        </w:rPr>
        <w:sectPr w:rsidR="000F71AB" w:rsidRPr="00C673E0" w:rsidSect="003E3F44">
          <w:type w:val="continuous"/>
          <w:pgSz w:w="12240" w:h="15840" w:code="9"/>
          <w:pgMar w:top="1440" w:right="1440" w:bottom="1440" w:left="1440" w:header="720" w:footer="720" w:gutter="0"/>
          <w:cols w:space="720"/>
          <w:docGrid w:linePitch="360"/>
        </w:sectPr>
      </w:pPr>
    </w:p>
    <w:p w:rsidR="00900FFB" w:rsidRPr="00C673E0" w:rsidRDefault="00900FFB" w:rsidP="00644513">
      <w:pPr>
        <w:snapToGrid w:val="0"/>
        <w:spacing w:after="0" w:line="240" w:lineRule="auto"/>
        <w:ind w:firstLine="425"/>
        <w:jc w:val="both"/>
        <w:rPr>
          <w:rFonts w:ascii="Times New Roman" w:eastAsiaTheme="minorEastAsia" w:hAnsi="Times New Roman"/>
          <w:sz w:val="20"/>
          <w:szCs w:val="20"/>
          <w:lang w:eastAsia="zh-CN" w:bidi="ar-EG"/>
        </w:rPr>
      </w:pPr>
      <w:r w:rsidRPr="00C673E0">
        <w:rPr>
          <w:rFonts w:ascii="Times New Roman" w:eastAsia="Times New Roman" w:hAnsi="Times New Roman"/>
          <w:b/>
          <w:bCs/>
          <w:sz w:val="20"/>
          <w:szCs w:val="20"/>
          <w:lang w:bidi="ar-EG"/>
        </w:rPr>
        <w:lastRenderedPageBreak/>
        <w:t>ROC curve</w:t>
      </w:r>
      <w:r w:rsidRPr="00C673E0">
        <w:rPr>
          <w:rFonts w:ascii="Times New Roman" w:eastAsia="Times New Roman" w:hAnsi="Times New Roman"/>
          <w:sz w:val="20"/>
          <w:szCs w:val="20"/>
          <w:lang w:bidi="ar-EG"/>
        </w:rPr>
        <w:t xml:space="preserve"> of the lincRNA-p21 expression levels was plotted between sensitivity on y-axis and (1 - specificity) on x-axis. Every point on the ROC curve </w:t>
      </w:r>
      <w:r w:rsidR="001F3870" w:rsidRPr="00C673E0">
        <w:rPr>
          <w:rFonts w:ascii="Times New Roman" w:eastAsia="Times New Roman" w:hAnsi="Times New Roman"/>
          <w:sz w:val="20"/>
          <w:szCs w:val="20"/>
          <w:lang w:bidi="ar-EG"/>
        </w:rPr>
        <w:t>reflects</w:t>
      </w:r>
      <w:r w:rsidRPr="00C673E0">
        <w:rPr>
          <w:rFonts w:ascii="Times New Roman" w:eastAsia="Times New Roman" w:hAnsi="Times New Roman"/>
          <w:sz w:val="20"/>
          <w:szCs w:val="20"/>
          <w:lang w:bidi="ar-EG"/>
        </w:rPr>
        <w:t xml:space="preserve"> a chosen cut-off (Figure 4).</w:t>
      </w:r>
      <w:r w:rsidR="007B2F5B" w:rsidRPr="00C673E0">
        <w:rPr>
          <w:rFonts w:ascii="Times New Roman" w:eastAsia="Times New Roman" w:hAnsi="Times New Roman"/>
          <w:sz w:val="20"/>
          <w:szCs w:val="20"/>
          <w:lang w:bidi="ar-EG"/>
        </w:rPr>
        <w:t xml:space="preserve"> ROC curve analysis of lincRNA-p21</w:t>
      </w:r>
      <w:r w:rsidR="00C673E0">
        <w:rPr>
          <w:rFonts w:ascii="Times New Roman" w:eastAsiaTheme="minorEastAsia" w:hAnsi="Times New Roman" w:hint="eastAsia"/>
          <w:sz w:val="20"/>
          <w:szCs w:val="20"/>
          <w:lang w:eastAsia="zh-CN" w:bidi="ar-EG"/>
        </w:rPr>
        <w:t xml:space="preserve"> </w:t>
      </w:r>
      <w:r w:rsidR="007B2F5B" w:rsidRPr="00C673E0">
        <w:rPr>
          <w:rFonts w:ascii="Times New Roman" w:eastAsia="Times New Roman" w:hAnsi="Times New Roman"/>
          <w:sz w:val="20"/>
          <w:szCs w:val="20"/>
          <w:lang w:bidi="ar-EG"/>
        </w:rPr>
        <w:t xml:space="preserve">serum relative expression levels with an AUC of 0.614 (95% CI= 0.506–0.723, p =0.023). The sensitivity and specificity of lincRNA-P21were calculated using a cutoff value of 0.815 for serum lincRNA-P21expression levels (Table </w:t>
      </w:r>
      <w:r w:rsidR="00BD1C1C" w:rsidRPr="00C673E0">
        <w:rPr>
          <w:rFonts w:ascii="Times New Roman" w:eastAsia="Times New Roman" w:hAnsi="Times New Roman"/>
          <w:sz w:val="20"/>
          <w:szCs w:val="20"/>
          <w:lang w:bidi="ar-EG"/>
        </w:rPr>
        <w:t>4</w:t>
      </w:r>
      <w:r w:rsidR="007B2F5B" w:rsidRPr="00C673E0">
        <w:rPr>
          <w:rFonts w:ascii="Times New Roman" w:eastAsia="Times New Roman" w:hAnsi="Times New Roman"/>
          <w:sz w:val="20"/>
          <w:szCs w:val="20"/>
          <w:lang w:bidi="ar-EG"/>
        </w:rPr>
        <w:t>).</w:t>
      </w:r>
    </w:p>
    <w:p w:rsidR="006D0665" w:rsidRPr="00C673E0" w:rsidRDefault="006D0665" w:rsidP="00644513">
      <w:pPr>
        <w:snapToGrid w:val="0"/>
        <w:spacing w:after="0" w:line="240" w:lineRule="auto"/>
        <w:ind w:firstLine="425"/>
        <w:jc w:val="both"/>
        <w:rPr>
          <w:rFonts w:ascii="Times New Roman" w:eastAsiaTheme="minorEastAsia" w:hAnsi="Times New Roman"/>
          <w:sz w:val="20"/>
          <w:szCs w:val="20"/>
          <w:lang w:eastAsia="zh-CN" w:bidi="ar-EG"/>
        </w:rPr>
      </w:pPr>
    </w:p>
    <w:p w:rsidR="00900FFB" w:rsidRPr="00C673E0" w:rsidRDefault="00561208" w:rsidP="00644513">
      <w:pPr>
        <w:snapToGrid w:val="0"/>
        <w:spacing w:after="0" w:line="240" w:lineRule="auto"/>
        <w:jc w:val="center"/>
        <w:rPr>
          <w:rFonts w:ascii="Times New Roman" w:eastAsia="Times New Roman" w:hAnsi="Times New Roman"/>
          <w:sz w:val="20"/>
          <w:szCs w:val="20"/>
          <w:lang w:bidi="ar-EG"/>
        </w:rPr>
      </w:pPr>
      <w:r w:rsidRPr="006E7628">
        <w:rPr>
          <w:rFonts w:ascii="Times New Roman" w:eastAsia="Times New Roman" w:hAnsi="Times New Roman"/>
          <w:noProof/>
          <w:sz w:val="20"/>
          <w:szCs w:val="20"/>
          <w:lang w:eastAsia="zh-CN"/>
        </w:rPr>
        <w:pict>
          <v:shape id="Picture 4" o:spid="_x0000_i1028" type="#_x0000_t75" style="width:212.85pt;height:216.65pt;visibility:visible;mso-wrap-style:square">
            <v:imagedata r:id="rId18" o:title="" cropleft="5831f" cropright="4013f"/>
          </v:shape>
        </w:pict>
      </w:r>
    </w:p>
    <w:p w:rsidR="003A290C" w:rsidRPr="00C673E0" w:rsidRDefault="00900FFB" w:rsidP="00644513">
      <w:pPr>
        <w:snapToGrid w:val="0"/>
        <w:spacing w:after="0" w:line="240" w:lineRule="auto"/>
        <w:jc w:val="both"/>
        <w:rPr>
          <w:rFonts w:ascii="Times New Roman" w:eastAsia="Times New Roman" w:hAnsi="Times New Roman"/>
          <w:b/>
          <w:bCs/>
          <w:sz w:val="20"/>
          <w:szCs w:val="20"/>
          <w:lang w:bidi="ar-EG"/>
        </w:rPr>
      </w:pPr>
      <w:r w:rsidRPr="00C673E0">
        <w:rPr>
          <w:rFonts w:ascii="Times New Roman" w:eastAsia="Times New Roman" w:hAnsi="Times New Roman"/>
          <w:b/>
          <w:bCs/>
          <w:sz w:val="20"/>
          <w:szCs w:val="20"/>
          <w:lang w:bidi="ar-EG"/>
        </w:rPr>
        <w:t>Figure (4): ROC curve for serum relative expression levels of lincRNA-p21 for MS diagnosis.</w:t>
      </w:r>
    </w:p>
    <w:p w:rsidR="006D0665" w:rsidRPr="00C673E0" w:rsidRDefault="006D0665" w:rsidP="00644513">
      <w:pPr>
        <w:snapToGrid w:val="0"/>
        <w:spacing w:after="0" w:line="240" w:lineRule="auto"/>
        <w:jc w:val="both"/>
        <w:rPr>
          <w:rFonts w:ascii="Times New Roman" w:eastAsiaTheme="minorEastAsia" w:hAnsi="Times New Roman"/>
          <w:b/>
          <w:bCs/>
          <w:sz w:val="20"/>
          <w:szCs w:val="20"/>
          <w:lang w:eastAsia="zh-CN" w:bidi="ar-EG"/>
        </w:rPr>
      </w:pPr>
    </w:p>
    <w:p w:rsidR="006C3B20" w:rsidRPr="00C673E0" w:rsidRDefault="006D0665" w:rsidP="00644513">
      <w:pPr>
        <w:snapToGrid w:val="0"/>
        <w:spacing w:after="0" w:line="240" w:lineRule="auto"/>
        <w:jc w:val="both"/>
        <w:rPr>
          <w:rFonts w:ascii="Times New Roman" w:eastAsia="Times New Roman" w:hAnsi="Times New Roman"/>
          <w:sz w:val="20"/>
          <w:szCs w:val="20"/>
          <w:lang w:bidi="ar-EG"/>
        </w:rPr>
      </w:pPr>
      <w:r w:rsidRPr="00C673E0">
        <w:rPr>
          <w:rFonts w:ascii="Times New Roman" w:eastAsia="Calibri" w:hAnsi="Times New Roman"/>
          <w:b/>
          <w:bCs/>
          <w:sz w:val="20"/>
          <w:szCs w:val="20"/>
          <w:lang w:bidi="ar-EG"/>
        </w:rPr>
        <w:t>Discussion</w:t>
      </w:r>
    </w:p>
    <w:p w:rsidR="006C3B20" w:rsidRPr="00C673E0" w:rsidRDefault="006C3B20" w:rsidP="00644513">
      <w:pPr>
        <w:widowControl w:val="0"/>
        <w:autoSpaceDE w:val="0"/>
        <w:autoSpaceDN w:val="0"/>
        <w:adjustRightInd w:val="0"/>
        <w:snapToGrid w:val="0"/>
        <w:spacing w:after="0" w:line="240" w:lineRule="auto"/>
        <w:ind w:firstLine="425"/>
        <w:jc w:val="both"/>
        <w:rPr>
          <w:rFonts w:ascii="Times New Roman" w:eastAsia="Times New Roman" w:hAnsi="Times New Roman"/>
          <w:sz w:val="20"/>
          <w:szCs w:val="20"/>
          <w:shd w:val="clear" w:color="auto" w:fill="FFFFFF"/>
          <w:lang w:bidi="ar-EG"/>
        </w:rPr>
      </w:pPr>
      <w:r w:rsidRPr="00C673E0">
        <w:rPr>
          <w:rFonts w:ascii="Times New Roman" w:eastAsia="Times New Roman" w:hAnsi="Times New Roman"/>
          <w:sz w:val="20"/>
          <w:szCs w:val="20"/>
          <w:shd w:val="clear" w:color="auto" w:fill="FFFFFF"/>
          <w:lang w:bidi="ar-EG"/>
        </w:rPr>
        <w:t>MS is a chronic</w:t>
      </w:r>
      <w:r w:rsidR="003E3F44" w:rsidRPr="00C673E0">
        <w:rPr>
          <w:rFonts w:ascii="Times New Roman" w:eastAsia="Times New Roman" w:hAnsi="Times New Roman"/>
          <w:sz w:val="20"/>
          <w:szCs w:val="20"/>
          <w:shd w:val="clear" w:color="auto" w:fill="FFFFFF"/>
          <w:lang w:bidi="ar-EG"/>
        </w:rPr>
        <w:t>,</w:t>
      </w:r>
      <w:r w:rsidR="00D144D0" w:rsidRPr="00C673E0">
        <w:rPr>
          <w:rFonts w:ascii="Times New Roman" w:eastAsia="Times New Roman" w:hAnsi="Times New Roman"/>
          <w:sz w:val="20"/>
          <w:szCs w:val="20"/>
          <w:shd w:val="clear" w:color="auto" w:fill="FFFFFF"/>
          <w:lang w:bidi="ar-EG"/>
        </w:rPr>
        <w:t xml:space="preserve"> demyelinating inflammatory CNS disease </w:t>
      </w:r>
      <w:r w:rsidRPr="00C673E0">
        <w:rPr>
          <w:rFonts w:ascii="Times New Roman" w:eastAsia="Times New Roman" w:hAnsi="Times New Roman"/>
          <w:sz w:val="20"/>
          <w:szCs w:val="20"/>
          <w:shd w:val="clear" w:color="auto" w:fill="FFFFFF"/>
          <w:lang w:bidi="ar-EG"/>
        </w:rPr>
        <w:t xml:space="preserve">with a large degree of heterogeneity in clinical course and histopathology </w:t>
      </w:r>
      <w:r w:rsidR="006E7628" w:rsidRPr="00C673E0">
        <w:rPr>
          <w:rFonts w:ascii="Times New Roman" w:eastAsia="Times New Roman" w:hAnsi="Times New Roman"/>
          <w:b/>
          <w:bCs/>
          <w:sz w:val="20"/>
          <w:szCs w:val="20"/>
          <w:shd w:val="clear" w:color="auto" w:fill="FFFFFF"/>
          <w:lang w:bidi="ar-EG"/>
        </w:rPr>
        <w:fldChar w:fldCharType="begin" w:fldLock="1"/>
      </w:r>
      <w:r w:rsidRPr="00C673E0">
        <w:rPr>
          <w:rFonts w:ascii="Times New Roman" w:eastAsia="Times New Roman" w:hAnsi="Times New Roman"/>
          <w:b/>
          <w:bCs/>
          <w:sz w:val="20"/>
          <w:szCs w:val="20"/>
          <w:shd w:val="clear" w:color="auto" w:fill="FFFFFF"/>
          <w:lang w:bidi="ar-EG"/>
        </w:rPr>
        <w:instrText>ADDIN CSL_CITATION {"citationItems":[{"id":"ITEM-1","itemData":{"DOI":"10.1016/j.expneurol.2018.03.012","ISSN":"0014-4886","author":[{"dropping-particle":"","family":"Zeis","given":"T","non-dropping-particle":"","parse-names":false,"suffix":""},{"dropping-particle":"","family":"Howell","given":"O W","non-dropping-particle":"","parse-names":false,"suffix":""},{"dropping-particle":"","family":"Reynolds","given":"R","non-dropping-particle":"","parse-names":false,"suffix":""},{"dropping-particle":"","family":"Schaeren-wiemers","given":"N","non-dropping-particle":"","parse-names":false,"suffix":""}],"container-title":"Experimental Neurology","id":"ITEM-1","issue":"November 2017","issued":{"date-parts":[["2018"]]},"page":"76-88","publisher":"Elsevier","title":"Molecular pathology of Multiple Sclerosis lesions reveals a heterogeneous expression pattern of genes involved in oligodendrogliogenesis IdL","type":"article-journal","volume":"305"},"uris":["http://www.mendeley.com/documents/?uuid=e15adfab-d911-45a0-9a5b-df3763e71dad"]}],"mendeley":{"formattedCitation":"(Zeis &lt;i&gt;et al.&lt;/i&gt;, 2018)","plainTextFormattedCitation":"(Zeis et al., 2018)","previouslyFormattedCitation":"(Zeis &lt;i&gt;et al.&lt;/i&gt;, 2018)"},"properties":{"noteIndex":0},"schema":"https://github.com/citation-style-language/schema/raw/master/csl-citation.json"}</w:instrText>
      </w:r>
      <w:r w:rsidR="006E7628" w:rsidRPr="00C673E0">
        <w:rPr>
          <w:rFonts w:ascii="Times New Roman" w:eastAsia="Times New Roman" w:hAnsi="Times New Roman"/>
          <w:b/>
          <w:bCs/>
          <w:sz w:val="20"/>
          <w:szCs w:val="20"/>
          <w:shd w:val="clear" w:color="auto" w:fill="FFFFFF"/>
          <w:lang w:bidi="ar-EG"/>
        </w:rPr>
        <w:fldChar w:fldCharType="separate"/>
      </w:r>
      <w:r w:rsidRPr="00C673E0">
        <w:rPr>
          <w:rFonts w:ascii="Times New Roman" w:eastAsia="Times New Roman" w:hAnsi="Times New Roman"/>
          <w:b/>
          <w:bCs/>
          <w:noProof/>
          <w:sz w:val="20"/>
          <w:szCs w:val="20"/>
          <w:shd w:val="clear" w:color="auto" w:fill="FFFFFF"/>
          <w:lang w:bidi="ar-EG"/>
        </w:rPr>
        <w:t xml:space="preserve">(Zeis </w:t>
      </w:r>
      <w:r w:rsidRPr="00C673E0">
        <w:rPr>
          <w:rFonts w:ascii="Times New Roman" w:eastAsia="Times New Roman" w:hAnsi="Times New Roman"/>
          <w:b/>
          <w:bCs/>
          <w:i/>
          <w:noProof/>
          <w:sz w:val="20"/>
          <w:szCs w:val="20"/>
          <w:shd w:val="clear" w:color="auto" w:fill="FFFFFF"/>
          <w:lang w:bidi="ar-EG"/>
        </w:rPr>
        <w:t>et al.</w:t>
      </w:r>
      <w:r w:rsidRPr="00C673E0">
        <w:rPr>
          <w:rFonts w:ascii="Times New Roman" w:eastAsia="Times New Roman" w:hAnsi="Times New Roman"/>
          <w:b/>
          <w:bCs/>
          <w:noProof/>
          <w:sz w:val="20"/>
          <w:szCs w:val="20"/>
          <w:shd w:val="clear" w:color="auto" w:fill="FFFFFF"/>
          <w:lang w:bidi="ar-EG"/>
        </w:rPr>
        <w:t>, 2018)</w:t>
      </w:r>
      <w:r w:rsidR="006E7628" w:rsidRPr="00C673E0">
        <w:rPr>
          <w:rFonts w:ascii="Times New Roman" w:eastAsia="Times New Roman" w:hAnsi="Times New Roman"/>
          <w:b/>
          <w:bCs/>
          <w:sz w:val="20"/>
          <w:szCs w:val="20"/>
          <w:shd w:val="clear" w:color="auto" w:fill="FFFFFF"/>
          <w:lang w:bidi="ar-EG"/>
        </w:rPr>
        <w:fldChar w:fldCharType="end"/>
      </w:r>
      <w:r w:rsidRPr="00C673E0">
        <w:rPr>
          <w:rFonts w:ascii="Times New Roman" w:eastAsia="Times New Roman" w:hAnsi="Times New Roman"/>
          <w:sz w:val="20"/>
          <w:szCs w:val="20"/>
          <w:shd w:val="clear" w:color="auto" w:fill="FFFFFF"/>
          <w:lang w:bidi="ar-EG"/>
        </w:rPr>
        <w:t xml:space="preserve">. LncRNAs are one of the ncRNAs that suggested to be vital regulators of CNS functions and would be used in diagnosis and treatment of CNS disorders. LncRNAs were described in different autoimmune, </w:t>
      </w:r>
      <w:r w:rsidRPr="00C673E0">
        <w:rPr>
          <w:rFonts w:ascii="Times New Roman" w:eastAsia="Times New Roman" w:hAnsi="Times New Roman"/>
          <w:sz w:val="20"/>
          <w:szCs w:val="20"/>
          <w:shd w:val="clear" w:color="auto" w:fill="FFFFFF"/>
          <w:lang w:bidi="ar-EG"/>
        </w:rPr>
        <w:lastRenderedPageBreak/>
        <w:t xml:space="preserve">neurodegenerative and oncologic diseases. The directive role of lncRNAs in immune response has been demonstrated by the widespread variations in their expression throughout innate immune response besides immune cells differentiation </w:t>
      </w:r>
      <w:r w:rsidRPr="00C673E0">
        <w:rPr>
          <w:rFonts w:ascii="Times New Roman" w:eastAsia="Calibri" w:hAnsi="Times New Roman"/>
          <w:sz w:val="20"/>
          <w:szCs w:val="20"/>
        </w:rPr>
        <w:t>(</w:t>
      </w:r>
      <w:hyperlink r:id="rId19" w:history="1">
        <w:r w:rsidRPr="00C673E0">
          <w:rPr>
            <w:rFonts w:ascii="Times New Roman" w:eastAsia="Times New Roman" w:hAnsi="Times New Roman"/>
            <w:b/>
            <w:bCs/>
            <w:sz w:val="20"/>
            <w:szCs w:val="20"/>
          </w:rPr>
          <w:t xml:space="preserve">Zhang </w:t>
        </w:r>
      </w:hyperlink>
      <w:r w:rsidRPr="00C673E0">
        <w:rPr>
          <w:rFonts w:ascii="Times New Roman" w:eastAsia="Times New Roman" w:hAnsi="Times New Roman"/>
          <w:b/>
          <w:bCs/>
          <w:sz w:val="20"/>
          <w:szCs w:val="20"/>
        </w:rPr>
        <w:t xml:space="preserve">and </w:t>
      </w:r>
      <w:hyperlink r:id="rId20" w:history="1">
        <w:r w:rsidRPr="00C673E0">
          <w:rPr>
            <w:rFonts w:ascii="Times New Roman" w:eastAsia="Times New Roman" w:hAnsi="Times New Roman"/>
            <w:b/>
            <w:bCs/>
            <w:sz w:val="20"/>
            <w:szCs w:val="20"/>
          </w:rPr>
          <w:t>Cao, 2016</w:t>
        </w:r>
      </w:hyperlink>
      <w:r w:rsidRPr="00C673E0">
        <w:rPr>
          <w:rFonts w:ascii="Times New Roman" w:eastAsia="Times New Roman" w:hAnsi="Times New Roman"/>
          <w:b/>
          <w:bCs/>
          <w:sz w:val="20"/>
          <w:szCs w:val="20"/>
        </w:rPr>
        <w:t>)</w:t>
      </w:r>
      <w:r w:rsidRPr="00C673E0">
        <w:rPr>
          <w:rFonts w:ascii="Times New Roman" w:eastAsia="Times New Roman" w:hAnsi="Times New Roman"/>
          <w:sz w:val="20"/>
          <w:szCs w:val="20"/>
          <w:lang w:bidi="ar-EG"/>
        </w:rPr>
        <w:t>.</w:t>
      </w:r>
    </w:p>
    <w:p w:rsidR="006C3B20" w:rsidRPr="00C673E0" w:rsidRDefault="006C3B20" w:rsidP="00644513">
      <w:pPr>
        <w:tabs>
          <w:tab w:val="right" w:pos="284"/>
        </w:tabs>
        <w:snapToGrid w:val="0"/>
        <w:spacing w:after="0" w:line="240" w:lineRule="auto"/>
        <w:ind w:firstLine="425"/>
        <w:jc w:val="both"/>
        <w:rPr>
          <w:rFonts w:ascii="Times New Roman" w:eastAsia="Times New Roman" w:hAnsi="Times New Roman"/>
          <w:sz w:val="20"/>
          <w:szCs w:val="20"/>
        </w:rPr>
      </w:pPr>
      <w:r w:rsidRPr="00C673E0">
        <w:rPr>
          <w:rFonts w:ascii="Times New Roman" w:eastAsia="Calibri" w:hAnsi="Times New Roman"/>
          <w:sz w:val="20"/>
          <w:szCs w:val="20"/>
          <w:shd w:val="clear" w:color="auto" w:fill="FFFFFF"/>
        </w:rPr>
        <w:t xml:space="preserve">Therefore, we </w:t>
      </w:r>
      <w:r w:rsidRPr="00C673E0">
        <w:rPr>
          <w:rFonts w:ascii="Times New Roman" w:eastAsia="Calibri" w:hAnsi="Times New Roman"/>
          <w:sz w:val="20"/>
          <w:szCs w:val="20"/>
        </w:rPr>
        <w:t xml:space="preserve">investigated two lncRNAs; </w:t>
      </w:r>
      <w:r w:rsidRPr="00C673E0">
        <w:rPr>
          <w:rFonts w:ascii="Times New Roman" w:eastAsia="Calibri" w:hAnsi="Times New Roman"/>
          <w:sz w:val="20"/>
          <w:szCs w:val="20"/>
          <w:lang w:bidi="ar-EG"/>
        </w:rPr>
        <w:t xml:space="preserve">lncRNA-H19 and lincRNA-P21 </w:t>
      </w:r>
      <w:r w:rsidRPr="00C673E0">
        <w:rPr>
          <w:rFonts w:ascii="Times New Roman" w:eastAsia="Calibri" w:hAnsi="Times New Roman"/>
          <w:sz w:val="20"/>
          <w:szCs w:val="20"/>
        </w:rPr>
        <w:t xml:space="preserve">which </w:t>
      </w:r>
      <w:r w:rsidR="00891995" w:rsidRPr="00C673E0">
        <w:rPr>
          <w:rFonts w:ascii="Times New Roman" w:eastAsia="Calibri" w:hAnsi="Times New Roman"/>
          <w:sz w:val="20"/>
          <w:szCs w:val="20"/>
        </w:rPr>
        <w:t>is expected to control the expression of RRMS and SPMS patients' pro-inflammatory and anti-inflammatory genes in the blood</w:t>
      </w:r>
      <w:r w:rsidRPr="00C673E0">
        <w:rPr>
          <w:rFonts w:ascii="Times New Roman" w:eastAsia="Calibri" w:hAnsi="Times New Roman"/>
          <w:sz w:val="20"/>
          <w:szCs w:val="20"/>
        </w:rPr>
        <w:t>.</w:t>
      </w:r>
      <w:r w:rsidRPr="00C673E0">
        <w:rPr>
          <w:rFonts w:ascii="Times New Roman" w:eastAsia="Times New Roman" w:hAnsi="Times New Roman"/>
          <w:sz w:val="20"/>
          <w:szCs w:val="20"/>
          <w:shd w:val="clear" w:color="auto" w:fill="FFFFFF"/>
          <w:lang w:bidi="ar-EG"/>
        </w:rPr>
        <w:t xml:space="preserve"> Thus far and to the best of our knowledge, there are no studies that demonstrated the expression levels of lncRNA-H19 and lincRNA-p21 </w:t>
      </w:r>
      <w:r w:rsidRPr="00C673E0">
        <w:rPr>
          <w:rFonts w:ascii="Times New Roman" w:eastAsia="Times New Roman" w:hAnsi="Times New Roman"/>
          <w:sz w:val="20"/>
          <w:szCs w:val="20"/>
        </w:rPr>
        <w:t xml:space="preserve">in serum of MS patients. </w:t>
      </w:r>
    </w:p>
    <w:p w:rsidR="006C3B20" w:rsidRPr="00C673E0" w:rsidRDefault="006C3B20" w:rsidP="00644513">
      <w:pPr>
        <w:snapToGrid w:val="0"/>
        <w:spacing w:after="0" w:line="240" w:lineRule="auto"/>
        <w:ind w:firstLine="425"/>
        <w:jc w:val="both"/>
        <w:rPr>
          <w:rFonts w:ascii="Times New Roman" w:eastAsia="Calibri" w:hAnsi="Times New Roman"/>
          <w:sz w:val="20"/>
          <w:szCs w:val="20"/>
        </w:rPr>
      </w:pPr>
      <w:r w:rsidRPr="00C673E0">
        <w:rPr>
          <w:rFonts w:ascii="Times New Roman" w:eastAsia="Times New Roman" w:hAnsi="Times New Roman"/>
          <w:sz w:val="20"/>
          <w:szCs w:val="20"/>
        </w:rPr>
        <w:t xml:space="preserve">LncRNA-H19 is an imprinted gene expressed only from the maternal allele. </w:t>
      </w:r>
      <w:r w:rsidR="00B83742" w:rsidRPr="00C673E0">
        <w:rPr>
          <w:rFonts w:ascii="Times New Roman" w:eastAsia="Times New Roman" w:hAnsi="Times New Roman"/>
          <w:sz w:val="20"/>
          <w:szCs w:val="20"/>
        </w:rPr>
        <w:t xml:space="preserve">Although the role of imprinted genes in development and growth is well known, their impact on immune functions and inflammatory diseases like MS is still largely unknown through molecular mechanisms </w:t>
      </w:r>
      <w:r w:rsidR="006E7628" w:rsidRPr="00C673E0">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{"citationItems":[{"id":"ITEM-1","itemData":{"DOI":"10.1038/s12276-018-0188-9","ISSN":"20926413","abstract":"Dysregulation of long noncoding RNA (lncRNA) expression is linked to the development of various diseases. Recently, an emerging body of evidence has indicated that lncRNAs play important roles in the pathogenesis of inflammatory bowel diseases (IBDs), including Crohn's disease (CD) and ulcerative Colitis (UC). In IBD, lncRNAs have been shown to be involved in diverse processes, including the regulation of intestinal epithelial cell apoptosis, association with lipid metabolism, and cell-cell interactions, thereby enhancing inflammation and the functional regulation of regulatory T cells. In this review, we aim to summarize the current knowledge regarding the role of lncRNAs in IBD and highlight potential avenues for future investigation. We also collate potentially immune-relevant, IBD-associated lncRNAs identified through a built-by association analysis with respect to their neighboring protein-coding genes within IBD-susceptible loci. We further underscore their importance by highlighting their enrichment for various aspects of immune system regulation, including antigen processing/presentation, immune cell proliferation and differentiation, and chronic inflammatory responses. Finally, we summarize the potential of lncRNAs as diagnostic biomarkers in IBD.","author":[{"dropping-particle":"","family":"Yarani","given":"Reza","non-dropping-particle":"","parse-names":false,"suffix":""},{"dropping-particle":"","family":"Mirza","given":"Aashiq H.","non-dropping-particle":"","parse-names":false,"suffix":""},{"dropping-particle":"","family":"Kaur","given":"Simranjeet","non-dropping-particle":"","parse-names":false,"suffix":""},{"dropping-particle":"","family":"Pociot","given":"Flemming","non-dropping-particle":"","parse-names":false,"suffix":""}],"container-title":"Experimental and Molecular Medicine","id":"ITEM-1","issue":"12","issued":{"date-parts":[["2018"]]},"publisher":"Springer US","title":"The emerging role of lncrnas in inflammatory bowel disease","type":"article-journal","volume":"50"},"uris":["http://www.mendeley.com/documents/?uuid=ff738171-c32b-4d06-a3c7-9fe80b487458"]},{"id":"ITEM-2","itemData":{"DOI":"10.1016/j.biocel.2015.05.010","ISSN":"18785875","abstract":"Evidence for parent-of-origin effects in complex diseases such as Multiple Sclerosis (MS) strongly suggests a role for epigenetic mechanisms in their pathogenesis. In this review, we describe the importance of accounting for parent-of-origin when identifying new risk variants for complex diseases and discuss how genomic imprinting, one of the best-characterized epigenetic mechanisms causing parent-of-origin effects, may impact etiology of complex diseases. While the role of imprinted genes in growth and development is well established, the contribution and molecular mechanisms underlying the impact of genomic imprinting in immune functions and inflammatory diseases are still largely unknown. Here we discuss emerging roles of imprinted genes in the regulation of inflammatory responses with a particular focus on the Dlk1 cluster that has been implicated in etiology of experimental MS-like disease and Type 1 Diabetes. Moreover, we speculate on the potential wider impact of imprinting via the action of imprinted microRNAs, which are abundantly present in the Dlk1 locus and predicted to fine-tune important immune functions. Finally, we reflect on how unrelated imprinted genes or imprinted genes together with non-imprinted genes can interact in so-called imprinted gene networks (IGN) and suggest that IGNs could partly explain observed parent-of-origin effects in complex diseases. Unveiling the mechanisms of parent-of-origin effects is therefore likely to teach us not only about the etiology of complex diseases but also about the unknown roles of this fascinating phenomenon underlying uneven genetic contribution from our parents. This article is part of a Directed Issue entitled: Epigenetics dynamics in development and disease.","author":[{"dropping-particle":"","family":"Ruhrmann","given":"Sabrina","non-dropping-particle":"","parse-names":false,"suffix":""},{"dropping-particle":"","family":"Stridh","given":"Pernilla","non-dropping-particle":"","parse-names":false,"suffix":""},{"dropping-particle":"","family":"Kular","given":"Lara","non-dropping-particle":"","parse-names":false,"suffix":""},{"dropping-particle":"","family":"Jagodic","given":"Maja","non-dropping-particle":"","parse-names":false,"suffix":""}],"container-title":"International Journal of Biochemistry and Cell Biology","id":"ITEM-2","issued":{"date-parts":[["2015"]]},"page":"49-57","publisher":"Elsevier Ltd","title":"Genomic imprinting: A missing piece of the Multiple Sclerosis puzzle?","type":"article-journal","volume":"67"},"uris":["http://www.mendeley.com/documents/?uuid=18f5b6b7-420f-43e1-a664-919cb2a4f919"]}],"mendeley":{"formattedCitation":"(Ruhrmann &lt;i&gt;et al.&lt;/i&gt;, 2015; Yarani &lt;i&gt;et al.&lt;/i&gt;, 2018)","manualFormatting":"(Yarani et al., 2018)","plainTextFormattedCitation":"(Ruhrmann et al., 2015; Yarani et al., 2018)","previouslyFormattedCitation":"(Ruhrmann &lt;i&gt;et al.&lt;/i&gt;, 2015; Yarani &lt;i&gt;et al.&lt;/i&gt;, 2018)"},"properties":{"noteIndex":0},"schema":"https://github.com/citation-style-language/schema/raw/master/csl-citation.json"}</w:instrText>
      </w:r>
      <w:r w:rsidR="006E7628" w:rsidRPr="00C673E0">
        <w:rPr>
          <w:rFonts w:ascii="Times New Roman" w:eastAsia="Times New Roman" w:hAnsi="Times New Roman"/>
          <w:b/>
          <w:bCs/>
          <w:sz w:val="20"/>
          <w:szCs w:val="20"/>
        </w:rPr>
        <w:fldChar w:fldCharType="separate"/>
      </w:r>
      <w:r w:rsidRPr="00C673E0">
        <w:rPr>
          <w:rFonts w:ascii="Times New Roman" w:eastAsia="Times New Roman" w:hAnsi="Times New Roman"/>
          <w:b/>
          <w:bCs/>
          <w:noProof/>
          <w:sz w:val="20"/>
          <w:szCs w:val="20"/>
        </w:rPr>
        <w:t xml:space="preserve">(Yarani </w:t>
      </w:r>
      <w:r w:rsidRPr="00C673E0">
        <w:rPr>
          <w:rFonts w:ascii="Times New Roman" w:eastAsia="Times New Roman" w:hAnsi="Times New Roman"/>
          <w:b/>
          <w:bCs/>
          <w:i/>
          <w:noProof/>
          <w:sz w:val="20"/>
          <w:szCs w:val="20"/>
        </w:rPr>
        <w:t>et al.</w:t>
      </w:r>
      <w:r w:rsidRPr="00C673E0">
        <w:rPr>
          <w:rFonts w:ascii="Times New Roman" w:eastAsia="Times New Roman" w:hAnsi="Times New Roman"/>
          <w:b/>
          <w:bCs/>
          <w:noProof/>
          <w:sz w:val="20"/>
          <w:szCs w:val="20"/>
        </w:rPr>
        <w:t>, 2018)</w:t>
      </w:r>
      <w:r w:rsidR="006E7628" w:rsidRPr="00C673E0">
        <w:rPr>
          <w:rFonts w:ascii="Times New Roman" w:eastAsia="Times New Roman" w:hAnsi="Times New Roman"/>
          <w:b/>
          <w:bCs/>
          <w:sz w:val="20"/>
          <w:szCs w:val="20"/>
        </w:rPr>
        <w:fldChar w:fldCharType="end"/>
      </w:r>
      <w:r w:rsidRPr="00C673E0">
        <w:rPr>
          <w:rFonts w:ascii="Times New Roman" w:eastAsia="Times New Roman" w:hAnsi="Times New Roman"/>
          <w:sz w:val="20"/>
          <w:szCs w:val="20"/>
        </w:rPr>
        <w:t>.</w:t>
      </w:r>
      <w:r w:rsidRPr="00C673E0">
        <w:rPr>
          <w:rFonts w:ascii="Times New Roman" w:eastAsia="Calibri" w:hAnsi="Times New Roman"/>
          <w:sz w:val="20"/>
          <w:szCs w:val="20"/>
        </w:rPr>
        <w:t xml:space="preserve"> </w:t>
      </w:r>
    </w:p>
    <w:p w:rsidR="006C3B20" w:rsidRPr="00C673E0" w:rsidRDefault="006C3B20"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shd w:val="clear" w:color="auto" w:fill="FCFCFC"/>
        </w:rPr>
        <w:t xml:space="preserve">Our results showed that </w:t>
      </w:r>
      <w:r w:rsidRPr="00C673E0">
        <w:rPr>
          <w:rFonts w:ascii="Times New Roman" w:eastAsia="Times New Roman" w:hAnsi="Times New Roman"/>
          <w:sz w:val="20"/>
          <w:szCs w:val="20"/>
          <w:lang w:bidi="ar-EG"/>
        </w:rPr>
        <w:t xml:space="preserve">expression level of lncRNA-H19 was </w:t>
      </w:r>
      <w:r w:rsidRPr="00C673E0">
        <w:rPr>
          <w:rFonts w:ascii="Times New Roman" w:eastAsia="Calibri" w:hAnsi="Times New Roman"/>
          <w:sz w:val="20"/>
          <w:szCs w:val="20"/>
          <w:lang w:bidi="ar-EG"/>
        </w:rPr>
        <w:t>significantly down-regulated in serum samples of MS patients compared to control group (p-value = 0.024</w:t>
      </w:r>
      <w:r w:rsidRPr="00C673E0">
        <w:rPr>
          <w:rFonts w:ascii="Times New Roman" w:eastAsia="Times New Roman" w:hAnsi="Times New Roman"/>
          <w:sz w:val="20"/>
          <w:szCs w:val="20"/>
          <w:lang w:bidi="ar-EG"/>
        </w:rPr>
        <w:t>).</w:t>
      </w:r>
      <w:r w:rsidRPr="00C673E0">
        <w:rPr>
          <w:rFonts w:ascii="Times New Roman" w:eastAsia="Times New Roman" w:hAnsi="Times New Roman"/>
          <w:sz w:val="20"/>
          <w:szCs w:val="20"/>
        </w:rPr>
        <w:t xml:space="preserve"> </w:t>
      </w:r>
    </w:p>
    <w:p w:rsidR="007B00E9" w:rsidRPr="00C673E0" w:rsidRDefault="006C3B20" w:rsidP="00644513">
      <w:pPr>
        <w:snapToGrid w:val="0"/>
        <w:spacing w:after="0" w:line="240" w:lineRule="auto"/>
        <w:ind w:firstLine="425"/>
        <w:jc w:val="both"/>
        <w:rPr>
          <w:rFonts w:ascii="Times New Roman" w:eastAsia="Times New Roman" w:hAnsi="Times New Roman"/>
          <w:sz w:val="20"/>
          <w:szCs w:val="20"/>
        </w:rPr>
      </w:pPr>
      <w:r w:rsidRPr="00C673E0">
        <w:rPr>
          <w:rFonts w:ascii="Times New Roman" w:eastAsia="Times New Roman" w:hAnsi="Times New Roman"/>
          <w:sz w:val="20"/>
          <w:szCs w:val="20"/>
        </w:rPr>
        <w:t xml:space="preserve">No previous studies investigated the expression levels of lncRNA-H19 in patients with MS. </w:t>
      </w:r>
      <w:r w:rsidR="007B00E9" w:rsidRPr="00C673E0">
        <w:rPr>
          <w:rFonts w:ascii="Times New Roman" w:eastAsia="Times New Roman" w:hAnsi="Times New Roman"/>
          <w:sz w:val="20"/>
          <w:szCs w:val="20"/>
        </w:rPr>
        <w:t>Depending</w:t>
      </w:r>
      <w:r w:rsidR="003E3F44" w:rsidRPr="00C673E0">
        <w:rPr>
          <w:rFonts w:ascii="Times New Roman" w:eastAsia="Times New Roman" w:hAnsi="Times New Roman"/>
          <w:sz w:val="20"/>
          <w:szCs w:val="20"/>
        </w:rPr>
        <w:t xml:space="preserve"> </w:t>
      </w:r>
      <w:r w:rsidR="007B00E9" w:rsidRPr="00C673E0">
        <w:rPr>
          <w:rFonts w:ascii="Times New Roman" w:eastAsia="Times New Roman" w:hAnsi="Times New Roman"/>
          <w:sz w:val="20"/>
          <w:szCs w:val="20"/>
        </w:rPr>
        <w:t xml:space="preserve">on the role of the IGF system in MS pathogenesis </w:t>
      </w:r>
      <w:r w:rsidR="007B00E9" w:rsidRPr="00C673E0">
        <w:rPr>
          <w:rFonts w:ascii="Times New Roman" w:eastAsia="Times New Roman" w:hAnsi="Times New Roman"/>
          <w:b/>
          <w:bCs/>
          <w:sz w:val="20"/>
          <w:szCs w:val="20"/>
        </w:rPr>
        <w:t>(Chesik et al., 2007; Zeis et al., 2018)</w:t>
      </w:r>
      <w:r w:rsidR="007B00E9" w:rsidRPr="00C673E0">
        <w:rPr>
          <w:rFonts w:ascii="Times New Roman" w:eastAsia="Times New Roman" w:hAnsi="Times New Roman"/>
          <w:sz w:val="20"/>
          <w:szCs w:val="20"/>
        </w:rPr>
        <w:t xml:space="preserve"> and the significance of HSCs in immune response regulation </w:t>
      </w:r>
      <w:r w:rsidR="007B00E9" w:rsidRPr="00C673E0">
        <w:rPr>
          <w:rFonts w:ascii="Times New Roman" w:eastAsia="Times New Roman" w:hAnsi="Times New Roman"/>
          <w:b/>
          <w:bCs/>
          <w:sz w:val="20"/>
          <w:szCs w:val="20"/>
        </w:rPr>
        <w:t>(Granick et al., 2012),</w:t>
      </w:r>
      <w:r w:rsidR="007B00E9" w:rsidRPr="00C673E0">
        <w:rPr>
          <w:rFonts w:ascii="Times New Roman" w:eastAsia="Times New Roman" w:hAnsi="Times New Roman"/>
          <w:sz w:val="20"/>
          <w:szCs w:val="20"/>
        </w:rPr>
        <w:t xml:space="preserve"> H19 could lead to MS pathogenesis.</w:t>
      </w:r>
    </w:p>
    <w:p w:rsidR="006C3B20" w:rsidRPr="00C673E0" w:rsidRDefault="007B00E9" w:rsidP="00644513">
      <w:pPr>
        <w:snapToGrid w:val="0"/>
        <w:spacing w:after="0" w:line="240" w:lineRule="auto"/>
        <w:ind w:firstLine="425"/>
        <w:jc w:val="both"/>
        <w:rPr>
          <w:rFonts w:ascii="Times New Roman" w:eastAsia="Calibri" w:hAnsi="Times New Roman"/>
          <w:sz w:val="20"/>
          <w:szCs w:val="20"/>
          <w:shd w:val="clear" w:color="auto" w:fill="FFFFFF"/>
        </w:rPr>
      </w:pPr>
      <w:r w:rsidRPr="00C673E0">
        <w:rPr>
          <w:rFonts w:ascii="Times New Roman" w:eastAsia="Calibri" w:hAnsi="Times New Roman"/>
          <w:sz w:val="20"/>
          <w:szCs w:val="20"/>
          <w:shd w:val="clear" w:color="auto" w:fill="FFFFFF"/>
        </w:rPr>
        <w:t xml:space="preserve">LncRNA-H19 </w:t>
      </w:r>
      <w:r w:rsidR="006C3B20" w:rsidRPr="00C673E0">
        <w:rPr>
          <w:rFonts w:ascii="Times New Roman" w:eastAsia="Calibri" w:hAnsi="Times New Roman"/>
          <w:sz w:val="20"/>
          <w:szCs w:val="20"/>
          <w:shd w:val="clear" w:color="auto" w:fill="FFFFFF"/>
        </w:rPr>
        <w:t xml:space="preserve">contributes </w:t>
      </w:r>
      <w:r w:rsidRPr="00C673E0">
        <w:rPr>
          <w:rFonts w:ascii="Times New Roman" w:eastAsia="Calibri" w:hAnsi="Times New Roman"/>
          <w:sz w:val="20"/>
          <w:szCs w:val="20"/>
          <w:shd w:val="clear" w:color="auto" w:fill="FFFFFF"/>
        </w:rPr>
        <w:t xml:space="preserve">to IGFs and FOXO3 expression regulation </w:t>
      </w:r>
      <w:r w:rsidRPr="00C673E0">
        <w:rPr>
          <w:rFonts w:ascii="Times New Roman" w:eastAsia="Calibri" w:hAnsi="Times New Roman"/>
          <w:b/>
          <w:bCs/>
          <w:sz w:val="20"/>
          <w:szCs w:val="20"/>
          <w:shd w:val="clear" w:color="auto" w:fill="FFFFFF"/>
        </w:rPr>
        <w:t>(Venkatraman et al., 2013).</w:t>
      </w:r>
      <w:r w:rsidRPr="00C673E0">
        <w:rPr>
          <w:rFonts w:ascii="Times New Roman" w:eastAsia="Calibri" w:hAnsi="Times New Roman"/>
          <w:sz w:val="20"/>
          <w:szCs w:val="20"/>
          <w:shd w:val="clear" w:color="auto" w:fill="FFFFFF"/>
        </w:rPr>
        <w:t xml:space="preserve"> FOXO3 causes FOXP3 (also known as scurfin) expression that plays a key role in distinguishing regulatory T cells and their immunosuppressive functions. </w:t>
      </w:r>
      <w:r w:rsidR="006C3B20" w:rsidRPr="00C673E0">
        <w:rPr>
          <w:rFonts w:ascii="Times New Roman" w:eastAsia="Calibri" w:hAnsi="Times New Roman"/>
          <w:b/>
          <w:bCs/>
          <w:sz w:val="20"/>
          <w:szCs w:val="20"/>
          <w:shd w:val="clear" w:color="auto" w:fill="FFFFFF"/>
        </w:rPr>
        <w:t xml:space="preserve">(Becher </w:t>
      </w:r>
      <w:r w:rsidR="006C3B20" w:rsidRPr="00C673E0">
        <w:rPr>
          <w:rFonts w:ascii="Times New Roman" w:eastAsia="Calibri" w:hAnsi="Times New Roman"/>
          <w:b/>
          <w:bCs/>
          <w:i/>
          <w:iCs/>
          <w:sz w:val="20"/>
          <w:szCs w:val="20"/>
          <w:shd w:val="clear" w:color="auto" w:fill="FFFFFF"/>
        </w:rPr>
        <w:t>et al</w:t>
      </w:r>
      <w:r w:rsidR="006C3B20" w:rsidRPr="00C673E0">
        <w:rPr>
          <w:rFonts w:ascii="Times New Roman" w:eastAsia="Calibri" w:hAnsi="Times New Roman"/>
          <w:b/>
          <w:bCs/>
          <w:sz w:val="20"/>
          <w:szCs w:val="20"/>
          <w:shd w:val="clear" w:color="auto" w:fill="FFFFFF"/>
        </w:rPr>
        <w:t>., 2018)</w:t>
      </w:r>
      <w:r w:rsidR="006C3B20" w:rsidRPr="00C673E0">
        <w:rPr>
          <w:rFonts w:ascii="Times New Roman" w:eastAsia="Calibri" w:hAnsi="Times New Roman"/>
          <w:sz w:val="20"/>
          <w:szCs w:val="20"/>
          <w:shd w:val="clear" w:color="auto" w:fill="FFFFFF"/>
        </w:rPr>
        <w:t xml:space="preserve">. </w:t>
      </w:r>
    </w:p>
    <w:p w:rsidR="006C3B20" w:rsidRPr="00C673E0" w:rsidRDefault="00180304"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 xml:space="preserve">The participation of HSCs in the control of immune response has been suggested by several lines </w:t>
      </w:r>
      <w:r w:rsidRPr="00C673E0">
        <w:rPr>
          <w:rFonts w:ascii="Times New Roman" w:eastAsia="Times New Roman" w:hAnsi="Times New Roman"/>
          <w:sz w:val="20"/>
          <w:szCs w:val="20"/>
          <w:lang w:bidi="ar-EG"/>
        </w:rPr>
        <w:lastRenderedPageBreak/>
        <w:t xml:space="preserve">of evidence. Cytokines and growth factors are produced by such cells </w:t>
      </w:r>
      <w:r w:rsidRPr="00C673E0">
        <w:rPr>
          <w:rFonts w:ascii="Times New Roman" w:eastAsia="Times New Roman" w:hAnsi="Times New Roman"/>
          <w:b/>
          <w:bCs/>
          <w:sz w:val="20"/>
          <w:szCs w:val="20"/>
          <w:lang w:bidi="ar-EG"/>
        </w:rPr>
        <w:t>(Granick et al., 2012).</w:t>
      </w:r>
      <w:r w:rsidRPr="00C673E0">
        <w:rPr>
          <w:rFonts w:ascii="Times New Roman" w:eastAsia="Times New Roman" w:hAnsi="Times New Roman"/>
          <w:sz w:val="20"/>
          <w:szCs w:val="20"/>
          <w:lang w:bidi="ar-EG"/>
        </w:rPr>
        <w:t xml:space="preserve"> In the development and regulation of HSCs, LncRNA-H19 has a significant role.</w:t>
      </w:r>
      <w:r w:rsidR="006C3B20" w:rsidRPr="00C673E0">
        <w:rPr>
          <w:rFonts w:ascii="Times New Roman" w:eastAsia="Times New Roman" w:hAnsi="Times New Roman"/>
          <w:sz w:val="20"/>
          <w:szCs w:val="20"/>
          <w:lang w:bidi="ar-EG"/>
        </w:rPr>
        <w:t xml:space="preserve"> </w:t>
      </w:r>
      <w:r w:rsidR="006E7628" w:rsidRPr="00C673E0">
        <w:rPr>
          <w:rFonts w:ascii="Times New Roman" w:eastAsia="Times New Roman" w:hAnsi="Times New Roman"/>
          <w:b/>
          <w:bCs/>
          <w:sz w:val="20"/>
          <w:szCs w:val="20"/>
          <w:lang w:bidi="ar-EG"/>
        </w:rPr>
        <w:fldChar w:fldCharType="begin" w:fldLock="1"/>
      </w:r>
      <w:r w:rsidR="006C3B20" w:rsidRPr="00C673E0">
        <w:rPr>
          <w:rFonts w:ascii="Times New Roman" w:eastAsia="Times New Roman" w:hAnsi="Times New Roman"/>
          <w:b/>
          <w:bCs/>
          <w:sz w:val="20"/>
          <w:szCs w:val="20"/>
          <w:lang w:bidi="ar-EG"/>
        </w:rPr>
        <w:instrText>ADDIN CSL_CITATION {"citationItems":[{"id":"ITEM-1","itemData":{"DOI":"10.1016/j.stem.2018.11.023","ISSN":"18759777","abstract":"Lan et al. present the long non-coding RNA (lncRNA) landscape of hematopoietic stem cell (HSC) development at single-cell resolution, identifying H19 as a lncRNA pivotal for the endothelial-to-HSC transition in the aorta-gonads-mesonephros region that in trans regulates the promoter de-methylation of several critical hematopoietic transcription factors, including Runx1 and Spi1.","author":[{"dropping-particle":"","family":"Zhou","given":"Jie","non-dropping-particle":"","parse-names":false,"suffix":""},{"dropping-particle":"","family":"Xu","given":"Jiayue","non-dropping-particle":"","parse-names":false,"suffix":""},{"dropping-particle":"","family":"Zhang","given":"Linlin","non-dropping-particle":"","parse-names":false,"suffix":""},{"dropping-particle":"","family":"Liu","given":"Siqi","non-dropping-particle":"","parse-names":false,"suffix":""},{"dropping-particle":"","family":"Ma","given":"Yanni","non-dropping-particle":"","parse-names":false,"suffix":""},{"dropping-particle":"","family":"Wen","given":"Xin","non-dropping-particle":"","parse-names":false,"suffix":""},{"dropping-particle":"","family":"Hao","given":"Junkai","non-dropping-particle":"","parse-names":false,"suffix":""},{"dropping-particle":"","family":"Li","given":"Zongcheng","non-dropping-particle":"","parse-names":false,"suffix":""},{"dropping-particle":"","family":"Ni","given":"Yanli","non-dropping-particle":"","parse-names":false,"suffix":""},{"dropping-particle":"","family":"Li","given":"Xianlong","non-dropping-particle":"","parse-names":false,"suffix":""},{"dropping-particle":"","family":"Zhou","given":"Fan","non-dropping-particle":"","parse-names":false,"suffix":""},{"dropping-particle":"","family":"Li","given":"Qingqing","non-dropping-particle":"","parse-names":false,"suffix":""},{"dropping-particle":"","family":"Wang","given":"Fang","non-dropping-particle":"","parse-names":false,"suffix":""},{"dropping-particle":"","family":"Wang","given":"Xiaoshuang","non-dropping-particle":"","parse-names":false,"suffix":""},{"dropping-particle":"","family":"Si","given":"Yanmin","non-dropping-particle":"","parse-names":false,"suffix":""},{"dropping-particle":"","family":"Zhang","given":"Pengcheng","non-dropping-particle":"","parse-names":false,"suffix":""},{"dropping-particle":"","family":"Liu","given":"Chen","non-dropping-particle":"","parse-names":false,"suffix":""},{"dropping-particle":"","family":"Bartolomei","given":"Marisa","non-dropping-particle":"","parse-names":false,"suffix":""},{"dropping-particle":"","family":"Tang","given":"Fuchou","non-dropping-particle":"","parse-names":false,"suffix":""},{"dropping-particle":"","family":"Liu","given":"Bing","non-dropping-particle":"","parse-names":false,"suffix":""},{"dropping-particle":"","family":"Yu","given":"Jia","non-dropping-particle":"","parse-names":false,"suffix":""},{"dropping-particle":"","family":"Lan","given":"Yu","non-dropping-particle":"","parse-names":false,"suffix":""}],"container-title":"Cell Stem Cell","id":"ITEM-1","issue":"2","issued":{"date-parts":[["2019"]]},"page":"285-298.e5","publisher":"Elsevier Inc.","title":"Combined Single-Cell Profiling of lncRNAs and Functional Screening Reveals that H19 Is Pivotal for Embryonic Hematopoietic Stem Cell Development","type":"article-journal","volume":"24"},"uris":["http://www.mendeley.com/documents/?uuid=89750541-eb7d-4830-8593-edb7bbcea165"]},{"id":"ITEM-2","itemData":{"DOI":"10.1038/nature12303","author":[{"dropping-particle":"","family":"Venkatraman","given":"Aparna","non-dropping-particle":"","parse-names":false,"suffix":""},{"dropping-particle":"","family":"He","given":"Xi C","non-dropping-particle":"","parse-names":false,"suffix":""},{"dropping-particle":"","family":"Thorvaldsen","given":"Joanne L","non-dropping-particle":"","parse-names":false,"suffix":""},{"dropping-particle":"","family":"Sugimura","given":"Ryohichi","non-dropping-particle":"","parse-names":false,"suffix":""},{"dropping-particle":"","family":"Perry","given":"John M","non-dropping-particle":"","parse-names":false,"suffix":""},{"dropping-particle":"","family":"Tao","given":"Fang","non-dropping-particle":"","parse-names":false,"suffix":""},{"dropping-particle":"","family":"Zhao","given":"Meng","non-dropping-particle":"","parse-names":false,"suffix":""},{"dropping-particle":"","family":"Christenson","given":"Matthew K","non-dropping-particle":"","parse-names":false,"suffix":""},{"dropping-particle":"","family":"Sanchez","given":"Rebeca","non-dropping-particle":"","parse-names":false,"suffix":""},{"dropping-particle":"","family":"Yu","given":"Jaclyn Y","non-dropping-particle":"","parse-names":false,"suffix":""},{"dropping-particle":"","family":"Peng","given":"Lai","non-dropping-particle":"","parse-names":false,"suffix":""},{"dropping-particle":"","family":"Haug","given":"Jeffrey S","non-dropping-particle":"","parse-names":false,"suffix":""},{"dropping-particle":"","family":"Paulson","given":"Ariel","non-dropping-particle":"","parse-names":false,"suffix":""},{"dropping-particle":"","family":"Li","given":"Hua","non-dropping-particle":"","parse-names":false,"suffix":""},{"dropping-particle":"","family":"Zhong","given":"Xiao-bo","non-dropping-particle":"","parse-names":false,"suffix":""},{"dropping-particle":"","family":"Clemens","given":"Thomas L","non-dropping-particle":"","parse-names":false,"suffix":""},{"dropping-particle":"","family":"Bartolomei","given":"Marisa S","non-dropping-particle":"","parse-names":false,"suffix":""},{"dropping-particle":"","family":"Li","given":"Linheng","non-dropping-particle":"","parse-names":false,"suffix":""}],"id":"ITEM-2","issued":{"date-parts":[["0"]]},"title":"adult haematopoietic stem cell quiescence","type":"article-journal"},"uris":["http://www.mendeley.com/documents/?uuid=518c8751-697a-4636-829a-780606de34be"]}],"mendeley":{"formattedCitation":"(Venkatraman &lt;i&gt;et al.&lt;/i&gt;, no date; Zhou &lt;i&gt;et al.&lt;/i&gt;, 2019)","manualFormatting":"(Venkatraman et al., 2013; Zhou et al., 2019)","plainTextFormattedCitation":"(Venkatraman et al., no date; Zhou et al., 2019)","previouslyFormattedCitation":"(Venkatraman &lt;i&gt;et al.&lt;/i&gt;, no date; Zhou &lt;i&gt;et al.&lt;/i&gt;, 2019)"},"properties":{"noteIndex":0},"schema":"https://github.com/citation-style-language/schema/raw/master/csl-citation.json"}</w:instrText>
      </w:r>
      <w:r w:rsidR="006E7628" w:rsidRPr="00C673E0">
        <w:rPr>
          <w:rFonts w:ascii="Times New Roman" w:eastAsia="Times New Roman" w:hAnsi="Times New Roman"/>
          <w:b/>
          <w:bCs/>
          <w:sz w:val="20"/>
          <w:szCs w:val="20"/>
          <w:lang w:bidi="ar-EG"/>
        </w:rPr>
        <w:fldChar w:fldCharType="separate"/>
      </w:r>
      <w:r w:rsidR="006C3B20" w:rsidRPr="00C673E0">
        <w:rPr>
          <w:rFonts w:ascii="Times New Roman" w:eastAsia="Times New Roman" w:hAnsi="Times New Roman"/>
          <w:b/>
          <w:bCs/>
          <w:noProof/>
          <w:sz w:val="20"/>
          <w:szCs w:val="20"/>
          <w:lang w:bidi="ar-EG"/>
        </w:rPr>
        <w:t xml:space="preserve">(Venkatraman </w:t>
      </w:r>
      <w:r w:rsidR="006C3B20" w:rsidRPr="00C673E0">
        <w:rPr>
          <w:rFonts w:ascii="Times New Roman" w:eastAsia="Times New Roman" w:hAnsi="Times New Roman"/>
          <w:b/>
          <w:bCs/>
          <w:i/>
          <w:noProof/>
          <w:sz w:val="20"/>
          <w:szCs w:val="20"/>
          <w:lang w:bidi="ar-EG"/>
        </w:rPr>
        <w:t>et al.</w:t>
      </w:r>
      <w:r w:rsidR="006C3B20" w:rsidRPr="00C673E0">
        <w:rPr>
          <w:rFonts w:ascii="Times New Roman" w:eastAsia="Times New Roman" w:hAnsi="Times New Roman"/>
          <w:b/>
          <w:bCs/>
          <w:noProof/>
          <w:sz w:val="20"/>
          <w:szCs w:val="20"/>
          <w:lang w:bidi="ar-EG"/>
        </w:rPr>
        <w:t xml:space="preserve">, 2013; Zhou </w:t>
      </w:r>
      <w:r w:rsidR="006C3B20" w:rsidRPr="00C673E0">
        <w:rPr>
          <w:rFonts w:ascii="Times New Roman" w:eastAsia="Times New Roman" w:hAnsi="Times New Roman"/>
          <w:b/>
          <w:bCs/>
          <w:i/>
          <w:noProof/>
          <w:sz w:val="20"/>
          <w:szCs w:val="20"/>
          <w:lang w:bidi="ar-EG"/>
        </w:rPr>
        <w:t>et al.</w:t>
      </w:r>
      <w:r w:rsidR="006C3B20" w:rsidRPr="00C673E0">
        <w:rPr>
          <w:rFonts w:ascii="Times New Roman" w:eastAsia="Times New Roman" w:hAnsi="Times New Roman"/>
          <w:b/>
          <w:bCs/>
          <w:noProof/>
          <w:sz w:val="20"/>
          <w:szCs w:val="20"/>
          <w:lang w:bidi="ar-EG"/>
        </w:rPr>
        <w:t>, 2019)</w:t>
      </w:r>
      <w:r w:rsidR="006E7628" w:rsidRPr="00C673E0">
        <w:rPr>
          <w:rFonts w:ascii="Times New Roman" w:eastAsia="Times New Roman" w:hAnsi="Times New Roman"/>
          <w:b/>
          <w:bCs/>
          <w:sz w:val="20"/>
          <w:szCs w:val="20"/>
          <w:lang w:bidi="ar-EG"/>
        </w:rPr>
        <w:fldChar w:fldCharType="end"/>
      </w:r>
      <w:r w:rsidR="006C3B20" w:rsidRPr="00C673E0">
        <w:rPr>
          <w:rFonts w:ascii="Times New Roman" w:eastAsia="Times New Roman" w:hAnsi="Times New Roman"/>
          <w:sz w:val="20"/>
          <w:szCs w:val="20"/>
          <w:lang w:bidi="ar-EG"/>
        </w:rPr>
        <w:t xml:space="preserve">. </w:t>
      </w:r>
      <w:r w:rsidR="007713B8" w:rsidRPr="00C673E0">
        <w:rPr>
          <w:rFonts w:ascii="Times New Roman" w:eastAsia="Times New Roman" w:hAnsi="Times New Roman"/>
          <w:sz w:val="20"/>
          <w:szCs w:val="20"/>
          <w:lang w:bidi="ar-EG"/>
        </w:rPr>
        <w:t xml:space="preserve">Taking into account the role of HSCs in the therapy </w:t>
      </w:r>
      <w:r w:rsidR="006C3B20" w:rsidRPr="00C673E0">
        <w:rPr>
          <w:rFonts w:ascii="Times New Roman" w:eastAsia="Calibri" w:hAnsi="Times New Roman"/>
          <w:sz w:val="20"/>
          <w:szCs w:val="20"/>
          <w:shd w:val="clear" w:color="auto" w:fill="FFFFFF"/>
        </w:rPr>
        <w:t>of MS, H19 is a</w:t>
      </w:r>
      <w:r w:rsidR="006C3B20" w:rsidRPr="00C673E0">
        <w:rPr>
          <w:rFonts w:ascii="Times New Roman" w:eastAsia="Times New Roman" w:hAnsi="Times New Roman"/>
          <w:sz w:val="20"/>
          <w:szCs w:val="20"/>
          <w:lang w:bidi="ar-EG"/>
        </w:rPr>
        <w:t xml:space="preserve"> </w:t>
      </w:r>
      <w:r w:rsidR="006C3B20" w:rsidRPr="00C673E0">
        <w:rPr>
          <w:rFonts w:ascii="Times New Roman" w:eastAsia="Calibri" w:hAnsi="Times New Roman"/>
          <w:sz w:val="20"/>
          <w:szCs w:val="20"/>
          <w:shd w:val="clear" w:color="auto" w:fill="FFFFFF"/>
        </w:rPr>
        <w:t xml:space="preserve">putative target in this regard </w:t>
      </w:r>
      <w:r w:rsidR="006E7628" w:rsidRPr="00C673E0">
        <w:rPr>
          <w:rFonts w:ascii="Times New Roman" w:eastAsia="Calibri" w:hAnsi="Times New Roman"/>
          <w:b/>
          <w:bCs/>
          <w:sz w:val="20"/>
          <w:szCs w:val="20"/>
          <w:shd w:val="clear" w:color="auto" w:fill="FFFFFF"/>
        </w:rPr>
        <w:fldChar w:fldCharType="begin" w:fldLock="1"/>
      </w:r>
      <w:r w:rsidR="006C3B20" w:rsidRPr="00C673E0">
        <w:rPr>
          <w:rFonts w:ascii="Times New Roman" w:eastAsia="Calibri" w:hAnsi="Times New Roman"/>
          <w:b/>
          <w:bCs/>
          <w:sz w:val="20"/>
          <w:szCs w:val="20"/>
          <w:shd w:val="clear" w:color="auto" w:fill="FFFFFF"/>
        </w:rPr>
        <w:instrText>ADDIN CSL_CITATION {"citationItems":[{"id":"ITEM-1","itemData":{"DOI":"10.22038/IJBMS.2017.9000","author":[{"dropping-particle":"","family":"Low","given":"Thomas","non-dropping-particle":"","parse-names":false,"suffix":""},{"dropping-particle":"","family":"Kuan","given":"Tat","non-dropping-particle":"","parse-names":false,"suffix":""},{"dropping-particle":"","family":"Amini","given":"Farahnaz","non-dropping-particle":"","parse-names":false,"suffix":""},{"dropping-particle":"","family":"Seghayat","given":"Marjan Sadat","non-dropping-particle":"","parse-names":false,"suffix":""}],"id":"ITEM-1","issue":"1","issued":{"date-parts":[["2016"]]},"title":"Feasibility and toxicity of hematopoietic stem cell transplant in multiple sclerosis","type":"article-journal","volume":"8880"},"uris":["http://www.mendeley.com/documents/?uuid=00c56a53-9a12-4c6d-b093-356791d36545"]}],"mendeley":{"formattedCitation":"(Low &lt;i&gt;et al.&lt;/i&gt;, 2016)","plainTextFormattedCitation":"(Low et al., 2016)","previouslyFormattedCitation":"(Low &lt;i&gt;et al.&lt;/i&gt;, 2016)"},"properties":{"noteIndex":0},"schema":"https://github.com/citation-style-language/schema/raw/master/csl-citation.json"}</w:instrText>
      </w:r>
      <w:r w:rsidR="006E7628" w:rsidRPr="00C673E0">
        <w:rPr>
          <w:rFonts w:ascii="Times New Roman" w:eastAsia="Calibri" w:hAnsi="Times New Roman"/>
          <w:b/>
          <w:bCs/>
          <w:sz w:val="20"/>
          <w:szCs w:val="20"/>
          <w:shd w:val="clear" w:color="auto" w:fill="FFFFFF"/>
        </w:rPr>
        <w:fldChar w:fldCharType="separate"/>
      </w:r>
      <w:r w:rsidR="006C3B20" w:rsidRPr="00C673E0">
        <w:rPr>
          <w:rFonts w:ascii="Times New Roman" w:eastAsia="Calibri" w:hAnsi="Times New Roman"/>
          <w:b/>
          <w:bCs/>
          <w:noProof/>
          <w:sz w:val="20"/>
          <w:szCs w:val="20"/>
          <w:shd w:val="clear" w:color="auto" w:fill="FFFFFF"/>
        </w:rPr>
        <w:t xml:space="preserve">(Low </w:t>
      </w:r>
      <w:r w:rsidR="006C3B20" w:rsidRPr="00C673E0">
        <w:rPr>
          <w:rFonts w:ascii="Times New Roman" w:eastAsia="Calibri" w:hAnsi="Times New Roman"/>
          <w:b/>
          <w:bCs/>
          <w:i/>
          <w:noProof/>
          <w:sz w:val="20"/>
          <w:szCs w:val="20"/>
          <w:shd w:val="clear" w:color="auto" w:fill="FFFFFF"/>
        </w:rPr>
        <w:t>et al.</w:t>
      </w:r>
      <w:r w:rsidR="006C3B20" w:rsidRPr="00C673E0">
        <w:rPr>
          <w:rFonts w:ascii="Times New Roman" w:eastAsia="Calibri" w:hAnsi="Times New Roman"/>
          <w:b/>
          <w:bCs/>
          <w:noProof/>
          <w:sz w:val="20"/>
          <w:szCs w:val="20"/>
          <w:shd w:val="clear" w:color="auto" w:fill="FFFFFF"/>
        </w:rPr>
        <w:t>, 2016)</w:t>
      </w:r>
      <w:r w:rsidR="006E7628" w:rsidRPr="00C673E0">
        <w:rPr>
          <w:rFonts w:ascii="Times New Roman" w:eastAsia="Calibri" w:hAnsi="Times New Roman"/>
          <w:b/>
          <w:bCs/>
          <w:sz w:val="20"/>
          <w:szCs w:val="20"/>
          <w:shd w:val="clear" w:color="auto" w:fill="FFFFFF"/>
        </w:rPr>
        <w:fldChar w:fldCharType="end"/>
      </w:r>
      <w:r w:rsidR="006C3B20" w:rsidRPr="00C673E0">
        <w:rPr>
          <w:rFonts w:ascii="Times New Roman" w:eastAsia="Calibri" w:hAnsi="Times New Roman"/>
          <w:sz w:val="20"/>
          <w:szCs w:val="20"/>
          <w:shd w:val="clear" w:color="auto" w:fill="FFFFFF"/>
        </w:rPr>
        <w:t xml:space="preserve">. </w:t>
      </w:r>
    </w:p>
    <w:p w:rsidR="006C3B20" w:rsidRPr="00C673E0" w:rsidRDefault="006C3B20" w:rsidP="00644513">
      <w:pPr>
        <w:shd w:val="clear" w:color="auto" w:fill="FFFFFF"/>
        <w:snapToGrid w:val="0"/>
        <w:spacing w:after="0" w:line="240" w:lineRule="auto"/>
        <w:ind w:firstLine="425"/>
        <w:jc w:val="both"/>
        <w:rPr>
          <w:rFonts w:ascii="Times New Roman" w:eastAsia="Times New Roman" w:hAnsi="Times New Roman"/>
          <w:sz w:val="20"/>
          <w:szCs w:val="20"/>
        </w:rPr>
      </w:pPr>
      <w:r w:rsidRPr="00C673E0">
        <w:rPr>
          <w:rFonts w:ascii="Times New Roman" w:eastAsia="Times New Roman" w:hAnsi="Times New Roman"/>
          <w:sz w:val="20"/>
          <w:szCs w:val="20"/>
        </w:rPr>
        <w:t xml:space="preserve">Another mechanism could also contribute to the role of H19 in MS pathogenesis </w:t>
      </w:r>
      <w:r w:rsidR="00420CB8" w:rsidRPr="00C673E0">
        <w:rPr>
          <w:rFonts w:ascii="Times New Roman" w:eastAsia="Times New Roman" w:hAnsi="Times New Roman"/>
          <w:sz w:val="20"/>
          <w:szCs w:val="20"/>
        </w:rPr>
        <w:t xml:space="preserve">in promoter regions is the methylation of CpG islands, a common mechanism for the inactivation of imprinted genes such as </w:t>
      </w:r>
      <w:r w:rsidRPr="00C673E0">
        <w:rPr>
          <w:rFonts w:ascii="Times New Roman" w:eastAsia="Times New Roman" w:hAnsi="Times New Roman"/>
          <w:sz w:val="20"/>
          <w:szCs w:val="20"/>
        </w:rPr>
        <w:t xml:space="preserve">H19. This mechanism has been reported in peripheral blood of patients with MS </w:t>
      </w:r>
      <w:r w:rsidR="006E7628" w:rsidRPr="00C673E0">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{"citationItems":[{"id":"ITEM-1","itemData":{"DOI":"10.1016/j.ebiom.2019.04.042","ISSN":"23523964","abstract":"Background: Multiple Sclerosis (MS) is a chronic inflammatory disease and a leading cause of progressive neurological disability among young adults. DNA methylation, which intersects genes and environment to control cellular functions on a molecular level, may provide insights into MS pathogenesis. Methods: We measured DNA methylation in CD4+ T cells (n = 31), CD8+ T cells (n = 28), CD14+ monocytes (n = 35) and CD19+ B cells (n = 27) from relapsing-remitting (RRMS), secondary progressive (SPMS) patients and healthy controls (HC) using Infinium HumanMethylation450 arrays. Monocyte (n = 25) and whole blood (n = 275) cohorts were used for validations. Findings: B cells from MS patients displayed most significant differentially methylated positions (DMPs), followed by monocytes, while only few DMPs were detected in T cells. We implemented a non-parametric combination framework (omicsNPC) to increase discovery power by combining evidence from all four cell types. Identified shared DMPs co-localized at MS risk loci and clustered into distinct groups. Functional exploration of changes discriminating RRMS and SPMS from HC implicated lymphocyte signaling, T cell activation and migration. SPMS-specific changes, on the other hand, implicated myeloid cell functions and metabolism. Interestingly, neuronal and neurodegenerative genes and pathways were also specifically enriched in the SPMS cluster. Interpretation: We utilized a statistical framework (omicsNPC) that combines multiple layers of evidence to identify DNA methylation changes that provide new insights into MS pathogenesis in general, and disease progression, in particular. Fund: This work was supported by the Swedish Research Council, Stockholm County Council, AstraZeneca, European Research Council, Karolinska Institutet and Margaretha af Ugglas Foundation.","author":[{"dropping-particle":"","family":"Ewing","given":"Ewoud","non-dropping-particle":"","parse-names":false,"suffix":""},{"dropping-particle":"","family":"Kular","given":"Lara","non-dropping-particle":"","parse-names":false,"suffix":""},{"dropping-particle":"","family":"Fernandes","given":"Sunjay J.","non-dropping-particle":"","parse-names":false,"suffix":""},{"dropping-particle":"","family":"Karathanasis","given":"Nestoras","non-dropping-particle":"","parse-names":false,"suffix":""},{"dropping-particle":"","family":"Lagani","given":"Vincenzo","non-dropping-particle":"","parse-names":false,"suffix":""},{"dropping-particle":"","family":"Ruhrmann","given":"Sabrina","non-dropping-particle":"","parse-names":false,"suffix":""},{"dropping-particle":"","family":"Tsamardinos","given":"Ioannis","non-dropping-particle":"","parse-names":false,"suffix":""},{"dropping-particle":"","family":"Tegner","given":"Jesper","non-dropping-particle":"","parse-names":false,"suffix":""},{"dropping-particle":"","family":"Piehl","given":"Fredrik","non-dropping-particle":"","parse-names":false,"suffix":""},{"dropping-particle":"","family":"Gomez-Cabrero","given":"David","non-dropping-particle":"","parse-names":false,"suffix":""},{"dropping-particle":"","family":"Jagodic","given":"Maja","non-dropping-particle":"","parse-names":false,"suffix":""}],"container-title":"EBioMedicine","id":"ITEM-1","issued":{"date-parts":[["2019"]]},"page":"411-423","publisher":"The Authors","title":"Combining evidence from four immune cell types identifies DNA methylation patterns that implicate functionally distinct pathways during Multiple Sclerosis progression","type":"article-journal","volume":"43"},"uris":["http://www.mendeley.com/documents/?uuid=37c3df1e-e486-4d6b-a605-873dfed8f36e"]}],"mendeley":{"formattedCitation":"(Ewing &lt;i&gt;et al.&lt;/i&gt;, 2019)","plainTextFormattedCitation":"(Ewing et al., 2019)","previouslyFormattedCitation":"(Ewing &lt;i&gt;et al.&lt;/i&gt;, 2019)"},"properties":{"noteIndex":0},"schema":"https://github.com/citation-style-language/schema/raw/master/csl-citation.json"}</w:instrText>
      </w:r>
      <w:r w:rsidR="006E7628" w:rsidRPr="00C673E0">
        <w:rPr>
          <w:rFonts w:ascii="Times New Roman" w:eastAsia="Times New Roman" w:hAnsi="Times New Roman"/>
          <w:b/>
          <w:bCs/>
          <w:sz w:val="20"/>
          <w:szCs w:val="20"/>
        </w:rPr>
        <w:fldChar w:fldCharType="separate"/>
      </w:r>
      <w:r w:rsidRPr="00C673E0">
        <w:rPr>
          <w:rFonts w:ascii="Times New Roman" w:eastAsia="Times New Roman" w:hAnsi="Times New Roman"/>
          <w:b/>
          <w:bCs/>
          <w:noProof/>
          <w:sz w:val="20"/>
          <w:szCs w:val="20"/>
        </w:rPr>
        <w:t xml:space="preserve">(Ewing </w:t>
      </w:r>
      <w:r w:rsidRPr="00C673E0">
        <w:rPr>
          <w:rFonts w:ascii="Times New Roman" w:eastAsia="Times New Roman" w:hAnsi="Times New Roman"/>
          <w:b/>
          <w:bCs/>
          <w:i/>
          <w:noProof/>
          <w:sz w:val="20"/>
          <w:szCs w:val="20"/>
        </w:rPr>
        <w:t>et al.</w:t>
      </w:r>
      <w:r w:rsidRPr="00C673E0">
        <w:rPr>
          <w:rFonts w:ascii="Times New Roman" w:eastAsia="Times New Roman" w:hAnsi="Times New Roman"/>
          <w:b/>
          <w:bCs/>
          <w:noProof/>
          <w:sz w:val="20"/>
          <w:szCs w:val="20"/>
        </w:rPr>
        <w:t>, 2019)</w:t>
      </w:r>
      <w:r w:rsidR="006E7628" w:rsidRPr="00C673E0">
        <w:rPr>
          <w:rFonts w:ascii="Times New Roman" w:eastAsia="Times New Roman" w:hAnsi="Times New Roman"/>
          <w:b/>
          <w:bCs/>
          <w:sz w:val="20"/>
          <w:szCs w:val="20"/>
        </w:rPr>
        <w:fldChar w:fldCharType="end"/>
      </w:r>
      <w:r w:rsidRPr="00C673E0">
        <w:rPr>
          <w:rFonts w:ascii="Times New Roman" w:eastAsia="Times New Roman" w:hAnsi="Times New Roman"/>
          <w:sz w:val="20"/>
          <w:szCs w:val="20"/>
        </w:rPr>
        <w:t>.</w:t>
      </w:r>
      <w:r w:rsidR="003E3F44" w:rsidRPr="00C673E0">
        <w:rPr>
          <w:rFonts w:ascii="Times New Roman" w:eastAsia="Times New Roman" w:hAnsi="Times New Roman"/>
          <w:sz w:val="20"/>
          <w:szCs w:val="20"/>
        </w:rPr>
        <w:t xml:space="preserve"> </w:t>
      </w:r>
    </w:p>
    <w:p w:rsidR="006C3B20" w:rsidRPr="00C673E0" w:rsidRDefault="006C3B20" w:rsidP="00644513">
      <w:pPr>
        <w:snapToGrid w:val="0"/>
        <w:spacing w:after="0" w:line="240" w:lineRule="auto"/>
        <w:ind w:firstLine="425"/>
        <w:jc w:val="both"/>
        <w:rPr>
          <w:rFonts w:ascii="Times New Roman" w:eastAsia="Calibri" w:hAnsi="Times New Roman"/>
          <w:sz w:val="20"/>
          <w:szCs w:val="20"/>
          <w:shd w:val="clear" w:color="auto" w:fill="FFFFFF"/>
        </w:rPr>
      </w:pPr>
      <w:r w:rsidRPr="00C673E0">
        <w:rPr>
          <w:rFonts w:ascii="Times New Roman" w:eastAsia="Times New Roman" w:hAnsi="Times New Roman"/>
          <w:sz w:val="20"/>
          <w:szCs w:val="20"/>
        </w:rPr>
        <w:t xml:space="preserve">The role of H19 in chronic inflammation is also supported by the finding that its expression level seemed to be variable in chronic inflammatory vascular diseases, including atherosclerosis, aortic aneurysm and ischemic myocardial damage. </w:t>
      </w:r>
      <w:r w:rsidR="00ED755B" w:rsidRPr="00C673E0">
        <w:rPr>
          <w:rFonts w:ascii="Times New Roman" w:eastAsia="Times New Roman" w:hAnsi="Times New Roman"/>
          <w:sz w:val="20"/>
          <w:szCs w:val="20"/>
        </w:rPr>
        <w:t xml:space="preserve">In chronic inflammatory cardiac diseases, studies have shown that the role of H19 is different and its function can be defined by specific pathological changes </w:t>
      </w:r>
      <w:r w:rsidR="006E7628" w:rsidRPr="00C673E0">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DOI":"10.1016/j.omtn.2019.05.031","ISSN":"21622531","author":[{"dropping-particle":"","family":"Li","given":"Xin","non-dropping-particle":"","parse-names":false,"suffix":""},{"dropping-particle":"","family":"Luo","given":"Shenjian","non-dropping-particle":"","parse-names":false,"suffix":""},{"dropping-particle":"","family":"Zhang","given":"Jifan","non-dropping-particle":"","parse-names":false,"suffix":""},{"dropping-particle":"","family":"Yuan","given":"Yin","non-dropping-particle":"","parse-names":false,"suffix":""},{"dropping-particle":"","family":"Jiang","given":"Wenmei","non-dropping-particle":"","parse-names":false,"suffix":""},{"dropping-particle":"","family":"Zhu","given":"Haixia","non-dropping-particle":"","parse-names":false,"suffix":""},{"dropping-particle":"","family":"Ding","given":"Xin","non-dropping-particle":"","parse-names":false,"suffix":""},{"dropping-particle":"","family":"Zhan","given":"Linfeng","non-dropping-particle":"","parse-names":false,"suffix":""},{"dropping-particle":"","family":"Wu","given":"Hao","non-dropping-particle":"","parse-names":false,"suffix":""},{"dropping-particle":"","family":"Xie","given":"Yilin","non-dropping-particle":"","parse-names":false,"suffix":""},{"dropping-particle":"","family":"Song","given":"Rui","non-dropping-particle":"","parse-names":false,"suffix":""},{"dropping-particle":"","family":"Pan","given":"Zhenwei","non-dropping-particle":"","parse-names":false,"suffix":""},{"dropping-particle":"","family":"Lu","given":"Yanjie","non-dropping-particle":"","parse-names":false,"suffix":""}],"container-title":"Molecular Therapy - Nucleic Acids","id":"ITEM-1","issue":"September","issued":{"date-parts":[["2019"]]},"page":"297-309","publisher":"Elsevier Ltd.","title":"LncRNA H19 Alleviated Myocardial Ischemia Reperfusion Injury via Suppressing miR-877-3p/Bcl-2-mediated Mitochondrial Apoptosis","type":"article-journal","volume":"17"},"uris":["http://www.mendeley.com/documents/?uuid=423cd3f7-c922-4902-8b1f-050bce4acb00"]}],"mendeley":{"formattedCitation":"(Li &lt;i&gt;et al.&lt;/i&gt;, 2019)","plainTextFormattedCitation":"(Li et al., 2019)","previouslyFormattedCitation":"(Li &lt;i&gt;et al.&lt;/i&gt;, 2019)"},"properties":{"noteIndex":0},"schema":"https://github.com/citation-style-language/schema/raw/master/csl-citation.json"}</w:instrText>
      </w:r>
      <w:r w:rsidR="006E7628" w:rsidRPr="00C673E0">
        <w:rPr>
          <w:rFonts w:ascii="Times New Roman" w:eastAsia="Times New Roman" w:hAnsi="Times New Roman"/>
          <w:b/>
          <w:bCs/>
          <w:sz w:val="20"/>
          <w:szCs w:val="20"/>
        </w:rPr>
        <w:fldChar w:fldCharType="separate"/>
      </w:r>
      <w:r w:rsidRPr="00C673E0">
        <w:rPr>
          <w:rFonts w:ascii="Times New Roman" w:eastAsia="Times New Roman" w:hAnsi="Times New Roman"/>
          <w:b/>
          <w:bCs/>
          <w:noProof/>
          <w:sz w:val="20"/>
          <w:szCs w:val="20"/>
        </w:rPr>
        <w:t xml:space="preserve">(Li </w:t>
      </w:r>
      <w:r w:rsidRPr="00C673E0">
        <w:rPr>
          <w:rFonts w:ascii="Times New Roman" w:eastAsia="Times New Roman" w:hAnsi="Times New Roman"/>
          <w:b/>
          <w:bCs/>
          <w:i/>
          <w:noProof/>
          <w:sz w:val="20"/>
          <w:szCs w:val="20"/>
        </w:rPr>
        <w:t>et al.</w:t>
      </w:r>
      <w:r w:rsidRPr="00C673E0">
        <w:rPr>
          <w:rFonts w:ascii="Times New Roman" w:eastAsia="Times New Roman" w:hAnsi="Times New Roman"/>
          <w:b/>
          <w:bCs/>
          <w:noProof/>
          <w:sz w:val="20"/>
          <w:szCs w:val="20"/>
        </w:rPr>
        <w:t>, 2019)</w:t>
      </w:r>
      <w:r w:rsidR="006E7628" w:rsidRPr="00C673E0">
        <w:rPr>
          <w:rFonts w:ascii="Times New Roman" w:eastAsia="Times New Roman" w:hAnsi="Times New Roman"/>
          <w:b/>
          <w:bCs/>
          <w:sz w:val="20"/>
          <w:szCs w:val="20"/>
        </w:rPr>
        <w:fldChar w:fldCharType="end"/>
      </w:r>
      <w:r w:rsidRPr="00C673E0">
        <w:rPr>
          <w:rFonts w:ascii="Times New Roman" w:eastAsia="Times New Roman" w:hAnsi="Times New Roman"/>
          <w:sz w:val="20"/>
          <w:szCs w:val="20"/>
        </w:rPr>
        <w:t>.</w:t>
      </w:r>
    </w:p>
    <w:p w:rsidR="006C3B20" w:rsidRPr="00C673E0" w:rsidRDefault="006C3B20" w:rsidP="00644513">
      <w:pPr>
        <w:snapToGrid w:val="0"/>
        <w:spacing w:after="0" w:line="240" w:lineRule="auto"/>
        <w:ind w:firstLine="425"/>
        <w:jc w:val="both"/>
        <w:rPr>
          <w:rFonts w:ascii="Times New Roman" w:eastAsia="Calibri" w:hAnsi="Times New Roman"/>
          <w:sz w:val="20"/>
          <w:szCs w:val="20"/>
          <w:shd w:val="clear" w:color="auto" w:fill="FFFFFF"/>
        </w:rPr>
      </w:pPr>
      <w:r w:rsidRPr="00C673E0">
        <w:rPr>
          <w:rFonts w:ascii="Times New Roman" w:eastAsia="Calibri" w:hAnsi="Times New Roman"/>
          <w:sz w:val="20"/>
          <w:szCs w:val="20"/>
          <w:shd w:val="clear" w:color="auto" w:fill="FFFFFF"/>
        </w:rPr>
        <w:t xml:space="preserve">In agreement with our study, recent study </w:t>
      </w:r>
      <w:r w:rsidR="00441029" w:rsidRPr="00C673E0">
        <w:rPr>
          <w:rFonts w:ascii="Times New Roman" w:eastAsia="Calibri" w:hAnsi="Times New Roman"/>
          <w:sz w:val="20"/>
          <w:szCs w:val="20"/>
          <w:shd w:val="clear" w:color="auto" w:fill="FFFFFF"/>
        </w:rPr>
        <w:t>demonstrated</w:t>
      </w:r>
      <w:r w:rsidRPr="00C673E0">
        <w:rPr>
          <w:rFonts w:ascii="Times New Roman" w:eastAsia="Calibri" w:hAnsi="Times New Roman"/>
          <w:sz w:val="20"/>
          <w:szCs w:val="20"/>
          <w:shd w:val="clear" w:color="auto" w:fill="FFFFFF"/>
        </w:rPr>
        <w:t xml:space="preserve"> that H19 expression was down-regulated in the ischemic hearts and </w:t>
      </w:r>
      <w:r w:rsidR="00AB354D" w:rsidRPr="00C673E0">
        <w:rPr>
          <w:rFonts w:ascii="Times New Roman" w:eastAsia="Calibri" w:hAnsi="Times New Roman"/>
          <w:sz w:val="20"/>
          <w:szCs w:val="20"/>
          <w:shd w:val="clear" w:color="auto" w:fill="FFFFFF"/>
        </w:rPr>
        <w:t>H2O2-treated cardiomyocytes. H19 overexpression alleviated myocardial ischemia and H2O2-induced damage to cardiomyocytes. H19 worked for miR-877-3p as a competitive endogenous RNA</w:t>
      </w:r>
      <w:r w:rsidRPr="00C673E0">
        <w:rPr>
          <w:rFonts w:ascii="Times New Roman" w:eastAsia="Calibri" w:hAnsi="Times New Roman"/>
          <w:sz w:val="20"/>
          <w:szCs w:val="20"/>
          <w:shd w:val="clear" w:color="auto" w:fill="FFFFFF"/>
        </w:rPr>
        <w:t xml:space="preserve">. MiR-877-3p was reported to regulate the production of </w:t>
      </w:r>
      <w:r w:rsidR="00B42F2C" w:rsidRPr="00C673E0">
        <w:rPr>
          <w:rFonts w:ascii="Times New Roman" w:eastAsia="Calibri" w:hAnsi="Times New Roman"/>
          <w:sz w:val="20"/>
          <w:szCs w:val="20"/>
          <w:shd w:val="clear" w:color="auto" w:fill="FFFFFF"/>
        </w:rPr>
        <w:t>IL-8 and IL-1b pro-inflammatory cytokines.</w:t>
      </w:r>
      <w:r w:rsidRPr="00C673E0">
        <w:rPr>
          <w:rFonts w:ascii="Times New Roman" w:eastAsia="Calibri" w:hAnsi="Times New Roman"/>
          <w:sz w:val="20"/>
          <w:szCs w:val="20"/>
          <w:shd w:val="clear" w:color="auto" w:fill="FFFFFF"/>
        </w:rPr>
        <w:t xml:space="preserve"> These data showed the anti-inflammatory role of lncRNA-H19 </w:t>
      </w:r>
      <w:r w:rsidR="006E7628" w:rsidRPr="00C673E0">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DOI":"10.1016/j.omtn.2019.05.031","ISSN":"21622531","author":[{"dropping-particle":"","family":"Li","given":"Xin","non-dropping-particle":"","parse-names":false,"suffix":""},{"dropping-particle":"","family":"Luo","given":"Shenjian","non-dropping-particle":"","parse-names":false,"suffix":""},{"dropping-particle":"","family":"Zhang","given":"Jifan","non-dropping-particle":"","parse-names":false,"suffix":""},{"dropping-particle":"","family":"Yuan","given":"Yin","non-dropping-particle":"","parse-names":false,"suffix":""},{"dropping-particle":"","family":"Jiang","given":"Wenmei","non-dropping-particle":"","parse-names":false,"suffix":""},{"dropping-particle":"","family":"Zhu","given":"Haixia","non-dropping-particle":"","parse-names":false,"suffix":""},{"dropping-particle":"","family":"Ding","given":"Xin","non-dropping-particle":"","parse-names":false,"suffix":""},{"dropping-particle":"","family":"Zhan","given":"Linfeng","non-dropping-particle":"","parse-names":false,"suffix":""},{"dropping-particle":"","family":"Wu","given":"Hao","non-dropping-particle":"","parse-names":false,"suffix":""},{"dropping-particle":"","family":"Xie","given":"Yilin","non-dropping-particle":"","parse-names":false,"suffix":""},{"dropping-particle":"","family":"Song","given":"Rui","non-dropping-particle":"","parse-names":false,"suffix":""},{"dropping-particle":"","family":"Pan","given":"Zhenwei","non-dropping-particle":"","parse-names":false,"suffix":""},{"dropping-particle":"","family":"Lu","given":"Yanjie","non-dropping-particle":"","parse-names":false,"suffix":""}],"container-title":"Molecular Therapy - Nucleic Acids","id":"ITEM-1","issue":"September","issued":{"date-parts":[["2019"]]},"page":"297-309","publisher":"Elsevier Ltd.","title":"LncRNA H19 Alleviated Myocardial Ischemia Reperfusion Injury via Suppressing miR-877-3p/Bcl-2-mediated Mitochondrial Apoptosis","type":"article-journal","volume":"17"},"uris":["http://www.mendeley.com/documents/?uuid=423cd3f7-c922-4902-8b1f-050bce4acb00"]}],"mendeley":{"formattedCitation":"(Li &lt;i&gt;et al.&lt;/i&gt;, 2019)","plainTextFormattedCitation":"(Li et al., 2019)","previouslyFormattedCitation":"(Li &lt;i&gt;et al.&lt;/i&gt;, 2019)"},"properties":{"noteIndex":0},"schema":"https://github.com/citation-style-language/schema/raw/master/csl-citation.json"}</w:instrText>
      </w:r>
      <w:r w:rsidR="006E7628" w:rsidRPr="00C673E0">
        <w:rPr>
          <w:rFonts w:ascii="Times New Roman" w:eastAsia="Times New Roman" w:hAnsi="Times New Roman"/>
          <w:b/>
          <w:bCs/>
          <w:sz w:val="20"/>
          <w:szCs w:val="20"/>
        </w:rPr>
        <w:fldChar w:fldCharType="separate"/>
      </w:r>
      <w:r w:rsidRPr="00C673E0">
        <w:rPr>
          <w:rFonts w:ascii="Times New Roman" w:eastAsia="Times New Roman" w:hAnsi="Times New Roman"/>
          <w:b/>
          <w:bCs/>
          <w:noProof/>
          <w:sz w:val="20"/>
          <w:szCs w:val="20"/>
        </w:rPr>
        <w:t xml:space="preserve">(Li </w:t>
      </w:r>
      <w:r w:rsidRPr="00C673E0">
        <w:rPr>
          <w:rFonts w:ascii="Times New Roman" w:eastAsia="Times New Roman" w:hAnsi="Times New Roman"/>
          <w:b/>
          <w:bCs/>
          <w:i/>
          <w:noProof/>
          <w:sz w:val="20"/>
          <w:szCs w:val="20"/>
        </w:rPr>
        <w:t>et al.</w:t>
      </w:r>
      <w:r w:rsidRPr="00C673E0">
        <w:rPr>
          <w:rFonts w:ascii="Times New Roman" w:eastAsia="Times New Roman" w:hAnsi="Times New Roman"/>
          <w:b/>
          <w:bCs/>
          <w:noProof/>
          <w:sz w:val="20"/>
          <w:szCs w:val="20"/>
        </w:rPr>
        <w:t>, 2019)</w:t>
      </w:r>
      <w:r w:rsidR="006E7628" w:rsidRPr="00C673E0">
        <w:rPr>
          <w:rFonts w:ascii="Times New Roman" w:eastAsia="Times New Roman" w:hAnsi="Times New Roman"/>
          <w:b/>
          <w:bCs/>
          <w:sz w:val="20"/>
          <w:szCs w:val="20"/>
        </w:rPr>
        <w:fldChar w:fldCharType="end"/>
      </w:r>
      <w:r w:rsidRPr="00C673E0">
        <w:rPr>
          <w:rFonts w:ascii="Times New Roman" w:eastAsia="Calibri" w:hAnsi="Times New Roman"/>
          <w:sz w:val="20"/>
          <w:szCs w:val="20"/>
          <w:shd w:val="clear" w:color="auto" w:fill="FFFFFF"/>
        </w:rPr>
        <w:t xml:space="preserve">. Another study revealed that lncRNA-H19 regulates inflammation response in macrophages by up-regulating miR-130b. Overexpressed miR-130b ameliorates inflammation by </w:t>
      </w:r>
      <w:r w:rsidR="00C86C76" w:rsidRPr="00C673E0">
        <w:rPr>
          <w:rFonts w:ascii="Times New Roman" w:eastAsia="Calibri" w:hAnsi="Times New Roman"/>
          <w:sz w:val="20"/>
          <w:szCs w:val="20"/>
          <w:shd w:val="clear" w:color="auto" w:fill="FFFFFF"/>
        </w:rPr>
        <w:t xml:space="preserve">reducing the high </w:t>
      </w:r>
      <w:r w:rsidRPr="00C673E0">
        <w:rPr>
          <w:rFonts w:ascii="Times New Roman" w:eastAsia="Calibri" w:hAnsi="Times New Roman"/>
          <w:sz w:val="20"/>
          <w:szCs w:val="20"/>
          <w:shd w:val="clear" w:color="auto" w:fill="FFFFFF"/>
        </w:rPr>
        <w:t>translational levels of TNF-α and NF-κB</w:t>
      </w:r>
      <w:r w:rsidR="003E3F44" w:rsidRPr="00C673E0">
        <w:rPr>
          <w:rFonts w:ascii="Times New Roman" w:eastAsia="Calibri" w:hAnsi="Times New Roman"/>
          <w:sz w:val="20"/>
          <w:szCs w:val="20"/>
          <w:shd w:val="clear" w:color="auto" w:fill="FFFFFF"/>
        </w:rPr>
        <w:t xml:space="preserve"> </w:t>
      </w:r>
      <w:r w:rsidR="006E7628" w:rsidRPr="00C673E0">
        <w:rPr>
          <w:rFonts w:ascii="Times New Roman" w:eastAsia="Calibri" w:hAnsi="Times New Roman"/>
          <w:b/>
          <w:bCs/>
          <w:sz w:val="20"/>
          <w:szCs w:val="20"/>
          <w:shd w:val="clear" w:color="auto" w:fill="FFFFFF"/>
        </w:rPr>
        <w:fldChar w:fldCharType="begin" w:fldLock="1"/>
      </w:r>
      <w:r w:rsidRPr="00C673E0">
        <w:rPr>
          <w:rFonts w:ascii="Times New Roman" w:eastAsia="Calibri" w:hAnsi="Times New Roman"/>
          <w:b/>
          <w:bCs/>
          <w:sz w:val="20"/>
          <w:szCs w:val="20"/>
          <w:shd w:val="clear" w:color="auto" w:fill="FFFFFF"/>
        </w:rPr>
        <w:instrText>ADDIN CSL_CITATION {"citationItems":[{"id":"ITEM-1","itemData":{"DOI":"10.1016/j.molimm.2017.11.017","ISSN":"18729142","abstract":"Atherosclerosis (AS) is the main cause of cardiovascular diseases (CADs). Lipid accumulation and inflammatory response in macrophages are two key factors in the pathogenesis of AS. In this study, we aimed to explore the regulating role of long non-coding RNA (LncRNA)-H19 in oxygenized low density lipoprotein (ox-LDL)-treated Raw264.7 cells. Compared with the healthy control, a relatively higher level of H19 was detected in the blood samples from AS patients. Obviously up-regulated expression of TG (triglycerides)/TC (total cholesterol)/LDL-C (low density lipoprotein-cholesterol) and down-regulated level of HDL-C (high density lipoprotein-cholesterol) were detected in ox-LDL-treated Raw264.7 cells. Besides that, increased expression of H19 was detected in ox-LDL-treated Raw264.7 cells. To examine the function of H19, gene knockdown was performed using short hairpin RNAs (shRNAs). The expression of TG, TC, LDL-C and HDL-C was detected by enzyme linked immunosorbent assay (Elisa) and the expression of lipolytic genes/lipogenic genes (PPARα, CPT-1/REBP-1c, ACS) was examined through western blot. In combination with the result of oil red O staining, we concluded that H19 shRNA effectively decreased lipid accumulation in ox-LDL-treated Raw264.7 cells. Besides that, H19 shRNA decreased the level of pro-inflammatory factors (TNF-α, IL-1β)/CD68+ cells and increased the level of anti-inflammatory factors (IL-4, IL-10)/CD163+ cells compared with the control group. Combined the bioinformatics analyses/luciferase assay with the promoting effect of H19 shRNA on the expression of miR-130b, we speculated that miR-130b was a target of H19 in ox-LDL-treated Raw264.7 cells. Moreover, the adding of LncRNA H19 abolished the facilitating effect of miR-130b inhibitor on adipogenesis and inflammation response by up-regulating the expression of miR-130b. Taken together, our research indicated a H19-miR130b pathway in regulating lipid metabolism and inflammation response in ox-LDL-treated Raw264.7 cells, providing new targets for AS treatment.","author":[{"dropping-particle":"","family":"Han","given":"Yong","non-dropping-particle":"","parse-names":false,"suffix":""},{"dropping-particle":"","family":"Ma","given":"Jie","non-dropping-particle":"","parse-names":false,"suffix":""},{"dropping-particle":"","family":"Wang","given":"Junping","non-dropping-particle":"","parse-names":false,"suffix":""},{"dropping-particle":"","family":"Wang","given":"Liping","non-dropping-particle":"","parse-names":false,"suffix":""}],"container-title":"Molecular Immunology","id":"ITEM-1","issue":"August 2017","issued":{"date-parts":[["2018"]]},"page":"107-114","publisher":"Elsevier","title":"Silencing of H19 inhibits the adipogenesis and inflammation response in ox-LDL-treated Raw264.7 cells by up-regulating miR-130b","type":"article-journal","volume":"93"},"uris":["http://www.mendeley.com/documents/?uuid=9a07929b-6cef-405a-8ca4-6923ec79db04"]}],"mendeley":{"formattedCitation":"(Han &lt;i&gt;et al.&lt;/i&gt;, 2018)","plainTextFormattedCitation":"(Han et al., 2018)","previouslyFormattedCitation":"(Han &lt;i&gt;et al.&lt;/i&gt;, 2018)"},"properties":{"noteIndex":0},"schema":"https://github.com/citation-style-language/schema/raw/master/csl-citation.json"}</w:instrText>
      </w:r>
      <w:r w:rsidR="006E7628" w:rsidRPr="00C673E0">
        <w:rPr>
          <w:rFonts w:ascii="Times New Roman" w:eastAsia="Calibri" w:hAnsi="Times New Roman"/>
          <w:b/>
          <w:bCs/>
          <w:sz w:val="20"/>
          <w:szCs w:val="20"/>
          <w:shd w:val="clear" w:color="auto" w:fill="FFFFFF"/>
        </w:rPr>
        <w:fldChar w:fldCharType="separate"/>
      </w:r>
      <w:r w:rsidRPr="00C673E0">
        <w:rPr>
          <w:rFonts w:ascii="Times New Roman" w:eastAsia="Calibri" w:hAnsi="Times New Roman"/>
          <w:b/>
          <w:bCs/>
          <w:noProof/>
          <w:sz w:val="20"/>
          <w:szCs w:val="20"/>
          <w:shd w:val="clear" w:color="auto" w:fill="FFFFFF"/>
        </w:rPr>
        <w:t xml:space="preserve">(Han </w:t>
      </w:r>
      <w:r w:rsidRPr="00C673E0">
        <w:rPr>
          <w:rFonts w:ascii="Times New Roman" w:eastAsia="Calibri" w:hAnsi="Times New Roman"/>
          <w:b/>
          <w:bCs/>
          <w:i/>
          <w:noProof/>
          <w:sz w:val="20"/>
          <w:szCs w:val="20"/>
          <w:shd w:val="clear" w:color="auto" w:fill="FFFFFF"/>
        </w:rPr>
        <w:t>et al.</w:t>
      </w:r>
      <w:r w:rsidRPr="00C673E0">
        <w:rPr>
          <w:rFonts w:ascii="Times New Roman" w:eastAsia="Calibri" w:hAnsi="Times New Roman"/>
          <w:b/>
          <w:bCs/>
          <w:noProof/>
          <w:sz w:val="20"/>
          <w:szCs w:val="20"/>
          <w:shd w:val="clear" w:color="auto" w:fill="FFFFFF"/>
        </w:rPr>
        <w:t>, 2018)</w:t>
      </w:r>
      <w:r w:rsidR="006E7628" w:rsidRPr="00C673E0">
        <w:rPr>
          <w:rFonts w:ascii="Times New Roman" w:eastAsia="Calibri" w:hAnsi="Times New Roman"/>
          <w:b/>
          <w:bCs/>
          <w:sz w:val="20"/>
          <w:szCs w:val="20"/>
          <w:shd w:val="clear" w:color="auto" w:fill="FFFFFF"/>
        </w:rPr>
        <w:fldChar w:fldCharType="end"/>
      </w:r>
      <w:r w:rsidRPr="00C673E0">
        <w:rPr>
          <w:rFonts w:ascii="Times New Roman" w:eastAsia="Calibri" w:hAnsi="Times New Roman"/>
          <w:sz w:val="20"/>
          <w:szCs w:val="20"/>
          <w:shd w:val="clear" w:color="auto" w:fill="FFFFFF"/>
        </w:rPr>
        <w:t>.</w:t>
      </w:r>
    </w:p>
    <w:p w:rsidR="006C3B20" w:rsidRPr="00C673E0" w:rsidRDefault="006C3B20" w:rsidP="00644513">
      <w:pPr>
        <w:snapToGrid w:val="0"/>
        <w:spacing w:after="0" w:line="240" w:lineRule="auto"/>
        <w:ind w:firstLine="425"/>
        <w:jc w:val="both"/>
        <w:rPr>
          <w:rFonts w:ascii="Times New Roman" w:eastAsia="Times New Roman" w:hAnsi="Times New Roman"/>
          <w:sz w:val="20"/>
          <w:szCs w:val="20"/>
        </w:rPr>
      </w:pPr>
      <w:r w:rsidRPr="00C673E0">
        <w:rPr>
          <w:rFonts w:ascii="Times New Roman" w:eastAsia="Times New Roman" w:hAnsi="Times New Roman"/>
          <w:sz w:val="20"/>
          <w:szCs w:val="20"/>
        </w:rPr>
        <w:t xml:space="preserve">On the other hand, </w:t>
      </w:r>
      <w:r w:rsidR="00EC6154" w:rsidRPr="00C673E0">
        <w:rPr>
          <w:rFonts w:ascii="Times New Roman" w:eastAsia="Times New Roman" w:hAnsi="Times New Roman"/>
          <w:sz w:val="20"/>
          <w:szCs w:val="20"/>
        </w:rPr>
        <w:t xml:space="preserve">H19 expression was revealed to be substantially elevated in the plasma of atherosclerosis patients relative to healthy participants </w:t>
      </w:r>
      <w:r w:rsidRPr="00C673E0">
        <w:rPr>
          <w:rFonts w:ascii="Times New Roman" w:eastAsia="Times New Roman" w:hAnsi="Times New Roman"/>
          <w:sz w:val="20"/>
          <w:szCs w:val="20"/>
        </w:rPr>
        <w:t>and was also highly expressed in atherosclerotic plaques. Overexpression of H19 in endothelial cells increased their proliferation by regulating</w:t>
      </w:r>
      <w:r w:rsidR="007B3361" w:rsidRPr="00C673E0">
        <w:rPr>
          <w:rFonts w:ascii="Times New Roman" w:hAnsi="Times New Roman"/>
          <w:sz w:val="20"/>
          <w:szCs w:val="20"/>
        </w:rPr>
        <w:t xml:space="preserve"> </w:t>
      </w:r>
      <w:r w:rsidR="007B3361" w:rsidRPr="00C673E0">
        <w:rPr>
          <w:rFonts w:ascii="Times New Roman" w:eastAsia="Times New Roman" w:hAnsi="Times New Roman"/>
          <w:sz w:val="20"/>
          <w:szCs w:val="20"/>
        </w:rPr>
        <w:t>the signaling pathways</w:t>
      </w:r>
      <w:r w:rsidRPr="00C673E0">
        <w:rPr>
          <w:rFonts w:ascii="Times New Roman" w:eastAsia="Times New Roman" w:hAnsi="Times New Roman"/>
          <w:sz w:val="20"/>
          <w:szCs w:val="20"/>
        </w:rPr>
        <w:t xml:space="preserve"> p38-MAPK and NF-κB</w:t>
      </w:r>
      <w:r w:rsidR="007B3361" w:rsidRPr="00C673E0">
        <w:rPr>
          <w:rFonts w:ascii="Times New Roman" w:eastAsia="Times New Roman" w:hAnsi="Times New Roman"/>
          <w:sz w:val="20"/>
          <w:szCs w:val="20"/>
        </w:rPr>
        <w:t xml:space="preserve"> </w:t>
      </w:r>
      <w:r w:rsidR="006E7628" w:rsidRPr="006E7628">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{"citationItems":[{"id":"ITEM-1","itemData":{"ISSN":"22840729","abstract":"OBJECTIVE Atherosclerosis is one of the leading causes of mortality in the world, which is a multistep cardiovascular disease promoted by several of risk factors. However, the detailed mechanism of atherosclerosis remained unclear. LncRNAs have been proved to play an important role in various of biological and pathological processes, but the role of lncRNA in atherosclerosis largely remained unidentified. PATIENTS AND METHODS Blood sample were collected from 42 patients with atherosclerosis and 37 healthy volunteers. The expression of lncRNA H19 was detected by the qRT-PCR assay. Proliferation and apoptosis of HUVEC were also detected after lncRNA H19 was overexpressed. The expression of p38 and p65 were also measured by Western blot. RESULTS Compared with the normal healthy people, the expression of H19 was higher in patients with atherosclerosis. After lncRNA H19 was overexpressed in HUVEC, the proliferation ability was increased while apoptosis was suppressed. What's more, p38 and p65 were increased after lncRNA H19 was overexpressed. CONCLUSIONS LncRNA H19 was highly expressed in atherosclerosis, which could be used as a potential target for treating atherosclerosis.","author":[{"dropping-particle":"","family":"Pan","given":"J. X.","non-dropping-particle":"","parse-names":false,"suffix":""}],"container-title":"European review for medical and pharmacological sciences","id":"ITEM-1","issue":"2","issued":{"date-parts":[["2017"]]},"page":"322-328","title":"LncRNA H19 promotes atherosclerosis by regulating MAPK and NF-kB signaling pathway","type":"article-journal","volume":"21"},"uris":["http://www.mendeley.com/documents/?uuid=217e3c95-4ae4-4731-b704-016a1c7c7688"]}],"mendeley":{"formattedCitation":"(Pan, 2017)","plainTextFormattedCitation":"(Pan, 2017)","previouslyFormattedCitation":"(Pan, 2017)"},"properties":{"noteIndex":0},"schema":"https://github.com/citation-style-language/schema/raw/master/csl-citation.json"}</w:instrText>
      </w:r>
      <w:r w:rsidR="006E7628" w:rsidRPr="006E7628">
        <w:rPr>
          <w:rFonts w:ascii="Times New Roman" w:eastAsia="Times New Roman" w:hAnsi="Times New Roman"/>
          <w:b/>
          <w:bCs/>
          <w:sz w:val="20"/>
          <w:szCs w:val="20"/>
        </w:rPr>
        <w:fldChar w:fldCharType="separate"/>
      </w:r>
      <w:r w:rsidRPr="00C673E0">
        <w:rPr>
          <w:rFonts w:ascii="Times New Roman" w:eastAsia="Times New Roman" w:hAnsi="Times New Roman"/>
          <w:b/>
          <w:bCs/>
          <w:noProof/>
          <w:sz w:val="20"/>
          <w:szCs w:val="20"/>
        </w:rPr>
        <w:t>(Pan, 2017)</w:t>
      </w:r>
      <w:r w:rsidR="006E7628" w:rsidRPr="00C673E0">
        <w:rPr>
          <w:rFonts w:ascii="Times New Roman" w:eastAsia="Times New Roman" w:hAnsi="Times New Roman"/>
          <w:sz w:val="20"/>
          <w:szCs w:val="20"/>
        </w:rPr>
        <w:fldChar w:fldCharType="end"/>
      </w:r>
      <w:r w:rsidRPr="00C673E0">
        <w:rPr>
          <w:rFonts w:ascii="Times New Roman" w:eastAsia="Times New Roman" w:hAnsi="Times New Roman"/>
          <w:sz w:val="20"/>
          <w:szCs w:val="20"/>
        </w:rPr>
        <w:t>.</w:t>
      </w:r>
      <w:r w:rsidRPr="00C673E0">
        <w:rPr>
          <w:rFonts w:ascii="Times New Roman" w:eastAsia="Calibri" w:hAnsi="Times New Roman"/>
          <w:sz w:val="20"/>
          <w:szCs w:val="20"/>
          <w:shd w:val="clear" w:color="auto" w:fill="FFFFFF"/>
        </w:rPr>
        <w:t xml:space="preserve"> Both MAPK and NF-kB signaling pathways have been reported to be involved in regulation of MS</w:t>
      </w:r>
      <w:r w:rsidRPr="00C673E0">
        <w:rPr>
          <w:rFonts w:ascii="Times New Roman" w:eastAsia="Calibri" w:hAnsi="Times New Roman"/>
          <w:b/>
          <w:bCs/>
          <w:sz w:val="20"/>
          <w:szCs w:val="20"/>
        </w:rPr>
        <w:t xml:space="preserve"> </w:t>
      </w:r>
      <w:r w:rsidR="006E7628" w:rsidRPr="00C673E0">
        <w:rPr>
          <w:rFonts w:ascii="Times New Roman" w:eastAsia="Calibri" w:hAnsi="Times New Roman"/>
          <w:b/>
          <w:bCs/>
          <w:sz w:val="20"/>
          <w:szCs w:val="20"/>
        </w:rPr>
        <w:fldChar w:fldCharType="begin" w:fldLock="1"/>
      </w:r>
      <w:r w:rsidRPr="00C673E0">
        <w:rPr>
          <w:rFonts w:ascii="Times New Roman" w:eastAsia="Calibri" w:hAnsi="Times New Roman"/>
          <w:b/>
          <w:bCs/>
          <w:sz w:val="20"/>
          <w:szCs w:val="20"/>
        </w:rPr>
        <w:instrText>ADDIN CSL_CITATION {"citationItems":[{"id":"ITEM-1","itemData":{"DOI":"10.1523/jneurosci.3286-17.2018","ISSN":"0270-6474","author":[{"dropping-particle":"","family":"Shao","given":"Xiaowei","non-dropping-particle":"","parse-names":false,"suffix":""}],"container-title":"The Journal of Neuroscience","id":"ITEM-1","issue":"10","issued":{"date-parts":[["2018"]]},"page":"2416-2417","title":"Protective Role of NF-κB in Inflammatory Demyelination","type":"article-journal","volume":"38"},"uris":["http://www.mendeley.com/documents/?uuid=40325a9c-c38e-4f96-bf27-17514316d412"]},{"id":"ITEM-2","itemData":{"DOI":"10.4103/1673-5374.237109","ISSN":"18767958","abstract":"The transcription factor nuclear factor kappaB (NF-kappaB) plays major roles in inflammatory diseases through regulation of inflammation and cell viability. Multiple sclerosis (MS) is a chronic inflammatory demyelinating and neurodegenerative disease of the central nervous system (CNS). It has been shown that NF-kappaB is activated in multiple cell types in the CNS of MS patients, including T cells, microglia/macrophages, astrocytes, oligodendrocytes, and neurons. Interestingly, data from animal model studies, particularly studies of experimental autoimmune encephalomyelitis, have suggested that NF-kappaB activation in these individual cell types has distinct effects on the development of MS. In this review, we will cover the current literature on NF-kappaB and the evidence for its role in the development of MS and its animal model experimental autoimmune encephalomyelitis\n","author":[{"dropping-particle":"","family":"Yue","given":"Yuan","non-dropping-particle":"","parse-names":false,"suffix":""},{"dropping-particle":"","family":"Stone","given":"Sarrabeth","non-dropping-particle":"","parse-names":false,"suffix":""},{"dropping-particle":"","family":"Lin","given":"Wensheng","non-dropping-particle":"","parse-names":false,"suffix":""}],"container-title":"Neural Regeneration Research","id":"ITEM-2","issue":"9","issued":{"date-parts":[["2018"]]},"page":"1507-1515","title":"Role of nuclear factor κb in multiple sclerosis and experimental autoimmune encephalomyelitis","type":"article-journal","volume":"13"},"uris":["http://www.mendeley.com/documents/?uuid=9bdb3854-d026-4309-b543-9506b3f87472"]},{"id":"ITEM-3","itemData":{"DOI":"10.1016/j.molcel.2017.08.025","ISSN":"10974164","abstract":"Genomic imprinting is an allelic gene expression phenomenon primarily controlled by allele-specific DNA methylation at the imprinting control region (ICR), but the underlying mechanism remains largely unclear. N-α-acetyltransferase 10 protein (Naa10p) catalyzes N-α-acetylation of nascent proteins, and mutation of human Naa10p is linked to severe developmental delays. Here we report that Naa10-null mice display partial embryonic lethality, growth retardation, brain disorders, and maternal effect lethality, phenotypes commonly observed in defective genomic imprinting. Genome-wide analyses further revealed global DNA hypomethylation and enriched dysregulation of imprinted genes in Naa10p-knockout embryos and embryonic stem cells. Mechanistically, Naa10p facilitates binding of DNA methyltransferase 1 (Dnmt1) to DNA substrates, including the ICRs of the imprinted allele during S phase. Moreover, the lethal Ogden syndrome-associated mutation of human Naa10p disrupts its binding to the ICR of H19 and Dnmt1 recruitment. Our study thus links Naa10p mutation-associated Ogden syndrome to defective DNA methylation and genomic imprinting. Lee et al. reveal an unexpected function for Naa10p, which is primarily known to acetylate nascent peptides from ribosomes, in maintaining global DNA methylation and marking the imprinted allele for genomic imprinting maintenance. Their results suggest that defects in DNA methylation and genomic imprinting may contribute to Naa10p-associated Ogden syndrome.","author":[{"dropping-particle":"","family":"Lee","given":"Chen Cheng","non-dropping-particle":"","parse-names":false,"suffix":""},{"dropping-particle":"","family":"Peng","given":"Shih Huan","non-dropping-particle":"","parse-names":false,"suffix":""},{"dropping-particle":"","family":"Shen","given":"Li","non-dropping-particle":"","parse-names":false,"suffix":""},{"dropping-particle":"","family":"Lee","given":"Chung Fan","non-dropping-particle":"","parse-names":false,"suffix":""},{"dropping-particle":"","family":"Du","given":"Ting Huei","non-dropping-particle":"","parse-names":false,"suffix":""},{"dropping-particle":"","family":"Kang","given":"Ming Lun","non-dropping-particle":"","parse-names":false,"suffix":""},{"dropping-particle":"","family":"Xu","given":"Guo Liang","non-dropping-particle":"","parse-names":false,"suffix":""},{"dropping-particle":"","family":"Upadhyay","given":"Anup K.","non-dropping-particle":"","parse-names":false,"suffix":""},{"dropping-particle":"","family":"Cheng","given":"Xiaodong","non-dropping-particle":"","parse-names":false,"suffix":""},{"dropping-particle":"","family":"Yan","given":"Yu Ting","non-dropping-particle":"","parse-names":false,"suffix":""},{"dropping-particle":"","family":"Zhang","given":"Yi","non-dropping-particle":"","parse-names":false,"suffix":""},{"dropping-particle":"","family":"Juan","given":"Li Jung","non-dropping-particle":"","parse-names":false,"suffix":""}],"container-title":"Molecular Cell","id":"ITEM-3","issue":"1","issued":{"date-parts":[["2017"]]},"page":"89-103.e7","publisher":"Elsevier Inc.","title":"The Role of N-α-acetyltransferase 10 Protein in DNA Methylation and Genomic Imprinting","type":"article-journal","volume":"68"},"uris":["http://www.mendeley.com/documents/?uuid=edc33d69-e641-4dc4-9920-8d6b4df81e5b"]}],"mendeley":{"formattedCitation":"(Lee &lt;i&gt;et al.&lt;/i&gt;, 2017; Shao, 2018; Yue, Stone and Lin, 2018)","manualFormatting":"(Lee et al., 2017; Shao, 2018; Yue et al., 2018)","plainTextFormattedCitation":"(Lee et al., 2017; Shao, 2018; Yue, Stone and Lin, 2018)","previouslyFormattedCitation":"(Lee &lt;i&gt;et al.&lt;/i&gt;, 2017; Shao, 2018; Yue, Stone and Lin, 2018)"},"properties":{"noteIndex":0},"schema":"https://github.com/citation-style-language/schema/raw/master/csl-citation.json"}</w:instrText>
      </w:r>
      <w:r w:rsidR="006E7628" w:rsidRPr="00C673E0">
        <w:rPr>
          <w:rFonts w:ascii="Times New Roman" w:eastAsia="Calibri" w:hAnsi="Times New Roman"/>
          <w:b/>
          <w:bCs/>
          <w:sz w:val="20"/>
          <w:szCs w:val="20"/>
        </w:rPr>
        <w:fldChar w:fldCharType="separate"/>
      </w:r>
      <w:r w:rsidRPr="00C673E0">
        <w:rPr>
          <w:rFonts w:ascii="Times New Roman" w:eastAsia="Calibri" w:hAnsi="Times New Roman"/>
          <w:b/>
          <w:bCs/>
          <w:noProof/>
          <w:sz w:val="20"/>
          <w:szCs w:val="20"/>
        </w:rPr>
        <w:t xml:space="preserve">(Lee </w:t>
      </w:r>
      <w:r w:rsidRPr="00C673E0">
        <w:rPr>
          <w:rFonts w:ascii="Times New Roman" w:eastAsia="Calibri" w:hAnsi="Times New Roman"/>
          <w:b/>
          <w:bCs/>
          <w:i/>
          <w:noProof/>
          <w:sz w:val="20"/>
          <w:szCs w:val="20"/>
        </w:rPr>
        <w:t>et al.</w:t>
      </w:r>
      <w:r w:rsidRPr="00C673E0">
        <w:rPr>
          <w:rFonts w:ascii="Times New Roman" w:eastAsia="Calibri" w:hAnsi="Times New Roman"/>
          <w:b/>
          <w:bCs/>
          <w:noProof/>
          <w:sz w:val="20"/>
          <w:szCs w:val="20"/>
        </w:rPr>
        <w:t xml:space="preserve">, 2017; Shao, 2018; Yue </w:t>
      </w:r>
      <w:r w:rsidRPr="00C673E0">
        <w:rPr>
          <w:rFonts w:ascii="Times New Roman" w:eastAsia="Calibri" w:hAnsi="Times New Roman"/>
          <w:b/>
          <w:bCs/>
          <w:i/>
          <w:iCs/>
          <w:noProof/>
          <w:sz w:val="20"/>
          <w:szCs w:val="20"/>
        </w:rPr>
        <w:t>et al</w:t>
      </w:r>
      <w:r w:rsidRPr="00C673E0">
        <w:rPr>
          <w:rFonts w:ascii="Times New Roman" w:eastAsia="Calibri" w:hAnsi="Times New Roman"/>
          <w:b/>
          <w:bCs/>
          <w:noProof/>
          <w:sz w:val="20"/>
          <w:szCs w:val="20"/>
        </w:rPr>
        <w:t>., 2018)</w:t>
      </w:r>
      <w:r w:rsidR="006E7628" w:rsidRPr="00C673E0">
        <w:rPr>
          <w:rFonts w:ascii="Times New Roman" w:eastAsia="Calibri" w:hAnsi="Times New Roman"/>
          <w:b/>
          <w:bCs/>
          <w:sz w:val="20"/>
          <w:szCs w:val="20"/>
        </w:rPr>
        <w:fldChar w:fldCharType="end"/>
      </w:r>
      <w:r w:rsidRPr="00C673E0">
        <w:rPr>
          <w:rFonts w:ascii="Times New Roman" w:eastAsia="Calibri" w:hAnsi="Times New Roman"/>
          <w:sz w:val="20"/>
          <w:szCs w:val="20"/>
        </w:rPr>
        <w:t>.</w:t>
      </w:r>
      <w:r w:rsidRPr="00C673E0">
        <w:rPr>
          <w:rFonts w:ascii="Times New Roman" w:eastAsia="Calibri" w:hAnsi="Times New Roman"/>
          <w:sz w:val="20"/>
          <w:szCs w:val="20"/>
          <w:shd w:val="clear" w:color="auto" w:fill="FFFFFF"/>
        </w:rPr>
        <w:t xml:space="preserve"> </w:t>
      </w:r>
      <w:r w:rsidRPr="00C673E0">
        <w:rPr>
          <w:rFonts w:ascii="Times New Roman" w:eastAsia="Times New Roman" w:hAnsi="Times New Roman"/>
          <w:sz w:val="20"/>
          <w:szCs w:val="20"/>
        </w:rPr>
        <w:t xml:space="preserve">Furthermore, recent study demonstrated that H19 induced </w:t>
      </w:r>
      <w:r w:rsidR="002B13A9" w:rsidRPr="00C673E0">
        <w:rPr>
          <w:rFonts w:ascii="Times New Roman" w:eastAsia="Times New Roman" w:hAnsi="Times New Roman"/>
          <w:sz w:val="20"/>
          <w:szCs w:val="20"/>
        </w:rPr>
        <w:t xml:space="preserve">abdominal aortic aneurysm formation, which is recognized as a chronic inflammatory vascular disease, to cause the transcription of its target gene, IL-6, which acts as a pro-inflammatory cytokine, by acting as ceRNA for let-7a miRNA </w:t>
      </w:r>
      <w:r w:rsidR="006E7628" w:rsidRPr="00C673E0">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{"citationItems":[{"id":"ITEM-1","itemData":{"DOI":"10.1016/j.yjmcc.2019.04.004","ISSN":"10958584","abstract":"Abdominal aortic aneurysm (AAA) is accepted as a chronic vascular inflammatory disease. However, how the inflammatory response is regulated during AAA formation is not fully understood. This study was undertaken to determine whether the long noncoding RNA (lncRNA) H19 (H19) promotes AAA formation by enhancing aortic inflammation. qRT-PCR detected the upregulation of H19 in human and mouse AAA tissue samples. Co-staining for H19 and the macrophage marker MAC-2 showed that H19 was located in vascular smooth muscle cells (VSMCs) and infiltrating aortic macrophages. In vivo overexpression of H19 increased vascular inflammation and induced AAA formation, which was supported by exacerbated aortic morphology, maximum aortic diameter values, elastin degradation, expression of interleukin-6 (IL-6) and macrophage chemoattractant protein-1 (MCP-1), and macrophage infiltration. H19 suppression resulted in the opposite effects. A rescue experiment indicated that IL-6 neutralization significantly mitigated the aortic inflammation and AAA formation evoked by H19 overexpression. Luciferase reporter assays and ex vivo experiments using VSMCs and macrophages confirmed that H19 induced aneurysm formation in part via endogenous competition with the let-7a microRNA to induce the transcription of its target gene, IL-6. This mechanism was further validated by in vivo experiments using a mutant H19 that could not effectively bind let-7a. Collectively, our study revealed a pathogenic H19/let-7a/IL-6 inflammatory pathway in AAA formation, which offers a new potential therapeutic strategy for AAA.","author":[{"dropping-particle":"","family":"Sun","given":"Yili","non-dropping-particle":"","parse-names":false,"suffix":""},{"dropping-particle":"","family":"Zhong","given":"Lintao","non-dropping-particle":"","parse-names":false,"suffix":""},{"dropping-particle":"","family":"He","given":"Xiang","non-dropping-particle":"","parse-names":false,"suffix":""},{"dropping-particle":"","family":"Wang","given":"Shifei","non-dropping-particle":"","parse-names":false,"suffix":""},{"dropping-particle":"","family":"Lai","given":"Yanxian","non-dropping-particle":"","parse-names":false,"suffix":""},{"dropping-particle":"","family":"Wu","given":"Weilan","non-dropping-particle":"","parse-names":false,"suffix":""},{"dropping-particle":"","family":"Song","given":"Haoyu","non-dropping-particle":"","parse-names":false,"suffix":""},{"dropping-particle":"","family":"Chen","given":"Yijin","non-dropping-particle":"","parse-names":false,"suffix":""},{"dropping-particle":"","family":"Yang","given":"Yang","non-dropping-particle":"","parse-names":false,"suffix":""},{"dropping-particle":"","family":"Liao","given":"Wangjun","non-dropping-particle":"","parse-names":false,"suffix":""},{"dropping-particle":"","family":"Liao","given":"Yulin","non-dropping-particle":"","parse-names":false,"suffix":""},{"dropping-particle":"","family":"Bin","given":"Jianping","non-dropping-particle":"","parse-names":false,"suffix":""}],"container-title":"Journal of Molecular and Cellular Cardiology","id":"ITEM-1","issue":"June 2018","issued":{"date-parts":[["2019"]]},"page":"66-81","publisher":"Elsevier","title":"LncRNA H19 promotes vascular inflammation and abdominal aortic aneurysm formation by functioning as a competing endogenous RNA","type":"article-journal","volume":"131"},"uris":["http://www.mendeley.com/documents/?uuid=1951c9da-4b9d-4d39-bc6d-4f9fa76932a5"]}],"mendeley":{"formattedCitation":"(Sun &lt;i&gt;et al.&lt;/i&gt;, 2019)","plainTextFormattedCitation":"(Sun et al., 2019)","previouslyFormattedCitation":"(Sun &lt;i&gt;et al.&lt;/i&gt;, 2019)"},"properties":{"noteIndex":0},"schema":"https://github.com/citation-style-language/schema/raw/master/csl-citation.json"}</w:instrText>
      </w:r>
      <w:r w:rsidR="006E7628" w:rsidRPr="00C673E0">
        <w:rPr>
          <w:rFonts w:ascii="Times New Roman" w:eastAsia="Times New Roman" w:hAnsi="Times New Roman"/>
          <w:b/>
          <w:bCs/>
          <w:sz w:val="20"/>
          <w:szCs w:val="20"/>
        </w:rPr>
        <w:fldChar w:fldCharType="separate"/>
      </w:r>
      <w:r w:rsidRPr="00C673E0">
        <w:rPr>
          <w:rFonts w:ascii="Times New Roman" w:eastAsia="Times New Roman" w:hAnsi="Times New Roman"/>
          <w:b/>
          <w:bCs/>
          <w:noProof/>
          <w:sz w:val="20"/>
          <w:szCs w:val="20"/>
        </w:rPr>
        <w:t xml:space="preserve">(Sun </w:t>
      </w:r>
      <w:r w:rsidRPr="00C673E0">
        <w:rPr>
          <w:rFonts w:ascii="Times New Roman" w:eastAsia="Times New Roman" w:hAnsi="Times New Roman"/>
          <w:b/>
          <w:bCs/>
          <w:i/>
          <w:noProof/>
          <w:sz w:val="20"/>
          <w:szCs w:val="20"/>
        </w:rPr>
        <w:t>et al.</w:t>
      </w:r>
      <w:r w:rsidRPr="00C673E0">
        <w:rPr>
          <w:rFonts w:ascii="Times New Roman" w:eastAsia="Times New Roman" w:hAnsi="Times New Roman"/>
          <w:b/>
          <w:bCs/>
          <w:noProof/>
          <w:sz w:val="20"/>
          <w:szCs w:val="20"/>
        </w:rPr>
        <w:t>, 2019)</w:t>
      </w:r>
      <w:r w:rsidR="006E7628" w:rsidRPr="00C673E0">
        <w:rPr>
          <w:rFonts w:ascii="Times New Roman" w:eastAsia="Times New Roman" w:hAnsi="Times New Roman"/>
          <w:b/>
          <w:bCs/>
          <w:sz w:val="20"/>
          <w:szCs w:val="20"/>
        </w:rPr>
        <w:fldChar w:fldCharType="end"/>
      </w:r>
      <w:r w:rsidRPr="00C673E0">
        <w:rPr>
          <w:rFonts w:ascii="Times New Roman" w:eastAsia="Times New Roman" w:hAnsi="Times New Roman"/>
          <w:sz w:val="20"/>
          <w:szCs w:val="20"/>
        </w:rPr>
        <w:t>.</w:t>
      </w:r>
    </w:p>
    <w:p w:rsidR="006C3B20" w:rsidRPr="00C673E0" w:rsidRDefault="006C3B20" w:rsidP="00644513">
      <w:pPr>
        <w:snapToGrid w:val="0"/>
        <w:spacing w:after="0" w:line="240" w:lineRule="auto"/>
        <w:ind w:firstLine="425"/>
        <w:jc w:val="both"/>
        <w:rPr>
          <w:rFonts w:ascii="Times New Roman" w:eastAsia="Calibri" w:hAnsi="Times New Roman"/>
          <w:sz w:val="20"/>
          <w:szCs w:val="20"/>
          <w:shd w:val="clear" w:color="auto" w:fill="FFFFFF"/>
        </w:rPr>
      </w:pPr>
      <w:r w:rsidRPr="00C673E0">
        <w:rPr>
          <w:rFonts w:ascii="Times New Roman" w:eastAsia="Calibri" w:hAnsi="Times New Roman"/>
          <w:sz w:val="20"/>
          <w:szCs w:val="20"/>
          <w:shd w:val="clear" w:color="auto" w:fill="FFFFFF"/>
        </w:rPr>
        <w:t xml:space="preserve">Interestingly, a previous study in sepsis, which is accepted as inflammatory disease closely </w:t>
      </w:r>
      <w:r w:rsidR="00F01852" w:rsidRPr="00C673E0">
        <w:rPr>
          <w:rFonts w:ascii="Times New Roman" w:eastAsia="Calibri" w:hAnsi="Times New Roman"/>
          <w:sz w:val="20"/>
          <w:szCs w:val="20"/>
          <w:shd w:val="clear" w:color="auto" w:fill="FFFFFF"/>
        </w:rPr>
        <w:t xml:space="preserve">correlated </w:t>
      </w:r>
      <w:r w:rsidR="00F01852" w:rsidRPr="00C673E0">
        <w:rPr>
          <w:rFonts w:ascii="Times New Roman" w:eastAsia="Calibri" w:hAnsi="Times New Roman"/>
          <w:sz w:val="20"/>
          <w:szCs w:val="20"/>
          <w:shd w:val="clear" w:color="auto" w:fill="FFFFFF"/>
        </w:rPr>
        <w:lastRenderedPageBreak/>
        <w:t>with</w:t>
      </w:r>
      <w:r w:rsidRPr="00C673E0">
        <w:rPr>
          <w:rFonts w:ascii="Times New Roman" w:eastAsia="Calibri" w:hAnsi="Times New Roman"/>
          <w:sz w:val="20"/>
          <w:szCs w:val="20"/>
          <w:shd w:val="clear" w:color="auto" w:fill="FFFFFF"/>
        </w:rPr>
        <w:t xml:space="preserve"> dysfunction of immune system and gene expressions, concluded that H19 acted as ceRNA in regulating miR-874 and its targets. MiR-874 </w:t>
      </w:r>
      <w:r w:rsidR="00F01852" w:rsidRPr="00C673E0">
        <w:rPr>
          <w:rFonts w:ascii="Times New Roman" w:eastAsia="Calibri" w:hAnsi="Times New Roman"/>
          <w:sz w:val="20"/>
          <w:szCs w:val="20"/>
          <w:shd w:val="clear" w:color="auto" w:fill="FFFFFF"/>
        </w:rPr>
        <w:t>stimulated</w:t>
      </w:r>
      <w:r w:rsidRPr="00C673E0">
        <w:rPr>
          <w:rFonts w:ascii="Times New Roman" w:eastAsia="Calibri" w:hAnsi="Times New Roman"/>
          <w:sz w:val="20"/>
          <w:szCs w:val="20"/>
          <w:shd w:val="clear" w:color="auto" w:fill="FFFFFF"/>
        </w:rPr>
        <w:t xml:space="preserve"> anti-inflammatory responses, </w:t>
      </w:r>
      <w:r w:rsidR="007C0128" w:rsidRPr="00C673E0">
        <w:rPr>
          <w:rFonts w:ascii="Times New Roman" w:eastAsia="Calibri" w:hAnsi="Times New Roman"/>
          <w:sz w:val="20"/>
          <w:szCs w:val="20"/>
          <w:shd w:val="clear" w:color="auto" w:fill="FFFFFF"/>
        </w:rPr>
        <w:t>implying that</w:t>
      </w:r>
      <w:r w:rsidRPr="00C673E0">
        <w:rPr>
          <w:rFonts w:ascii="Times New Roman" w:eastAsia="Calibri" w:hAnsi="Times New Roman"/>
          <w:sz w:val="20"/>
          <w:szCs w:val="20"/>
          <w:shd w:val="clear" w:color="auto" w:fill="FFFFFF"/>
        </w:rPr>
        <w:t xml:space="preserve"> H19 </w:t>
      </w:r>
      <w:r w:rsidR="007C0128" w:rsidRPr="00C673E0">
        <w:rPr>
          <w:rFonts w:ascii="Times New Roman" w:eastAsia="Calibri" w:hAnsi="Times New Roman"/>
          <w:sz w:val="20"/>
          <w:szCs w:val="20"/>
          <w:shd w:val="clear" w:color="auto" w:fill="FFFFFF"/>
        </w:rPr>
        <w:t>may</w:t>
      </w:r>
      <w:r w:rsidRPr="00C673E0">
        <w:rPr>
          <w:rFonts w:ascii="Times New Roman" w:eastAsia="Calibri" w:hAnsi="Times New Roman"/>
          <w:sz w:val="20"/>
          <w:szCs w:val="20"/>
          <w:shd w:val="clear" w:color="auto" w:fill="FFFFFF"/>
        </w:rPr>
        <w:t xml:space="preserve"> act as a protective element in inflammation, and regulating secretion of anti-inflammatory cytokines </w:t>
      </w:r>
      <w:r w:rsidR="006E7628" w:rsidRPr="006E7628">
        <w:rPr>
          <w:rFonts w:ascii="Times New Roman" w:eastAsia="Calibri" w:hAnsi="Times New Roman"/>
          <w:b/>
          <w:bCs/>
          <w:sz w:val="20"/>
          <w:szCs w:val="20"/>
          <w:shd w:val="clear" w:color="auto" w:fill="FFFFFF"/>
        </w:rPr>
        <w:fldChar w:fldCharType="begin" w:fldLock="1"/>
      </w:r>
      <w:r w:rsidRPr="00C673E0">
        <w:rPr>
          <w:rFonts w:ascii="Times New Roman" w:eastAsia="Calibri" w:hAnsi="Times New Roman"/>
          <w:b/>
          <w:bCs/>
          <w:sz w:val="20"/>
          <w:szCs w:val="20"/>
          <w:shd w:val="clear" w:color="auto" w:fill="FFFFFF"/>
        </w:rPr>
        <w:instrText>ADDIN CSL_CITATION {"citationItems":[{"id":"ITEM-1","itemData":{"DOI":"10.1016/j.biopha.2018.06.007","ISSN":"19506007","abstract":"Objective: Sepsis is a whole-body inflammation disease after severe trauma, burn injury, infection and major surgeries, accompanied by multiple organs failure. We sought to investigate the potential mechanism of Aquaporin 1 (AQP1), miRNA-874, and lncRNA H19 in lipopolysaccharide (LPS) sepsis and the anti-inflammatory responses related to sepsis myocardial dysfunction. Material and methods: Serum from peripheral blood samples of sepsis patients and in vivo mice model were collected for AQP1, H19, and miR-874 expression. In vitro model in cardiomyocytes was established using LPS. H19 and miR-874 expressions were interfered in LPS induced mice and cardiomyocytes to explore the association between them and its effect on anti-inflammatory responses. Results: H19 and AQP1 decreased and accompanied with elevated miR-874 expression in sepsis samples, in vivo mice model and in vitro cells. There was negative relationship between expression of H19 and miR-874, and a positive correlation between H19 and AQP1 expression. However, H19 overexpression transfection significantly reversed LPS induced dysregulation in expression of miR-874 and AQP1, secretion of anti-inflammatory cytokines, and myocardial dysfunction in vivo and in vitro. Conclusion: We determined that H19 acted as AQP1 ceRNA in regulating miR-874. H19 acted as AQP1 ceRNA in regulating miR-874 and restoring LPS dysregulated inflammatory responses and myocardial dysfunction. H19 expression might be used as a potential therapeutic target for LPS induced sepsis and myocardial dysfunction.","author":[{"dropping-particle":"","family":"Fang","given":"Yu","non-dropping-particle":"","parse-names":false,"suffix":""},{"dropping-particle":"","family":"Hu","given":"Jingfei","non-dropping-particle":"","parse-names":false,"suffix":""},{"dropping-particle":"","family":"Wang","given":"Zhenhua","non-dropping-particle":"","parse-names":false,"suffix":""},{"dropping-particle":"","family":"Zong","given":"Huili","non-dropping-particle":"","parse-names":false,"suffix":""},{"dropping-particle":"","family":"Zhang","given":"Lu","non-dropping-particle":"","parse-names":false,"suffix":""},{"dropping-particle":"","family":"Zhang","given":"Ruifang","non-dropping-particle":"","parse-names":false,"suffix":""},{"dropping-particle":"","family":"Sun","given":"Limin","non-dropping-particle":"","parse-names":false,"suffix":""}],"container-title":"Biomedicine and Pharmacotherapy","id":"ITEM-1","issue":"1","issued":{"date-parts":[["2018"]]},"page":"1183-1191","publisher":"Elsevier","title":"LncRNA H19 functions as an Aquaporin 1 competitive endogenous RNA to regulate microRNA-874 expression in LPS sepsis","type":"article-journal","volume":"105"},"uris":["http://www.mendeley.com/documents/?uuid=9ac64568-a38f-468a-b530-6894bb3aae5a"]}],"mendeley":{"formattedCitation":"(Fang &lt;i&gt;et al.&lt;/i&gt;, 2018)","plainTextFormattedCitation":"(Fang et al., 2018)","previouslyFormattedCitation":"(Fang &lt;i&gt;et al.&lt;/i&gt;, 2018)"},"properties":{"noteIndex":0},"schema":"https://github.com/citation-style-language/schema/raw/master/csl-citation.json"}</w:instrText>
      </w:r>
      <w:r w:rsidR="006E7628" w:rsidRPr="006E7628">
        <w:rPr>
          <w:rFonts w:ascii="Times New Roman" w:eastAsia="Calibri" w:hAnsi="Times New Roman"/>
          <w:b/>
          <w:bCs/>
          <w:sz w:val="20"/>
          <w:szCs w:val="20"/>
          <w:shd w:val="clear" w:color="auto" w:fill="FFFFFF"/>
        </w:rPr>
        <w:fldChar w:fldCharType="separate"/>
      </w:r>
      <w:r w:rsidRPr="00C673E0">
        <w:rPr>
          <w:rFonts w:ascii="Times New Roman" w:eastAsia="Calibri" w:hAnsi="Times New Roman"/>
          <w:b/>
          <w:bCs/>
          <w:noProof/>
          <w:sz w:val="20"/>
          <w:szCs w:val="20"/>
          <w:shd w:val="clear" w:color="auto" w:fill="FFFFFF"/>
        </w:rPr>
        <w:t xml:space="preserve">(Fang </w:t>
      </w:r>
      <w:r w:rsidRPr="00C673E0">
        <w:rPr>
          <w:rFonts w:ascii="Times New Roman" w:eastAsia="Calibri" w:hAnsi="Times New Roman"/>
          <w:b/>
          <w:bCs/>
          <w:i/>
          <w:noProof/>
          <w:sz w:val="20"/>
          <w:szCs w:val="20"/>
          <w:shd w:val="clear" w:color="auto" w:fill="FFFFFF"/>
        </w:rPr>
        <w:t>et al.</w:t>
      </w:r>
      <w:r w:rsidRPr="00C673E0">
        <w:rPr>
          <w:rFonts w:ascii="Times New Roman" w:eastAsia="Calibri" w:hAnsi="Times New Roman"/>
          <w:b/>
          <w:bCs/>
          <w:noProof/>
          <w:sz w:val="20"/>
          <w:szCs w:val="20"/>
          <w:shd w:val="clear" w:color="auto" w:fill="FFFFFF"/>
        </w:rPr>
        <w:t>, 2018)</w:t>
      </w:r>
      <w:r w:rsidR="006E7628" w:rsidRPr="00C673E0">
        <w:rPr>
          <w:rFonts w:ascii="Times New Roman" w:eastAsia="Calibri" w:hAnsi="Times New Roman"/>
          <w:sz w:val="20"/>
          <w:szCs w:val="20"/>
          <w:shd w:val="clear" w:color="auto" w:fill="FFFFFF"/>
        </w:rPr>
        <w:fldChar w:fldCharType="end"/>
      </w:r>
      <w:r w:rsidRPr="00C673E0">
        <w:rPr>
          <w:rFonts w:ascii="Times New Roman" w:eastAsia="Calibri" w:hAnsi="Times New Roman"/>
          <w:sz w:val="20"/>
          <w:szCs w:val="20"/>
          <w:shd w:val="clear" w:color="auto" w:fill="FFFFFF"/>
        </w:rPr>
        <w:t xml:space="preserve">. </w:t>
      </w:r>
    </w:p>
    <w:p w:rsidR="006C3B20" w:rsidRPr="00C673E0" w:rsidRDefault="006C3B20" w:rsidP="00644513">
      <w:pPr>
        <w:shd w:val="clear" w:color="auto" w:fill="FFFFFF"/>
        <w:snapToGrid w:val="0"/>
        <w:spacing w:after="0" w:line="240" w:lineRule="auto"/>
        <w:ind w:firstLine="425"/>
        <w:jc w:val="both"/>
        <w:rPr>
          <w:rFonts w:ascii="Times New Roman" w:eastAsia="Times New Roman" w:hAnsi="Times New Roman"/>
          <w:sz w:val="20"/>
          <w:szCs w:val="20"/>
        </w:rPr>
      </w:pPr>
      <w:r w:rsidRPr="00C673E0">
        <w:rPr>
          <w:rFonts w:ascii="Times New Roman" w:eastAsia="Times New Roman" w:hAnsi="Times New Roman"/>
          <w:sz w:val="20"/>
          <w:szCs w:val="20"/>
        </w:rPr>
        <w:t>Limited studies demonstrated the expression level of lncRNA-H19</w:t>
      </w:r>
      <w:r w:rsidRPr="00C673E0">
        <w:rPr>
          <w:rFonts w:ascii="Times New Roman" w:eastAsia="Times New Roman" w:hAnsi="Times New Roman"/>
          <w:i/>
          <w:iCs/>
          <w:sz w:val="20"/>
          <w:szCs w:val="20"/>
        </w:rPr>
        <w:t xml:space="preserve"> </w:t>
      </w:r>
      <w:r w:rsidRPr="00C673E0">
        <w:rPr>
          <w:rFonts w:ascii="Times New Roman" w:eastAsia="Times New Roman" w:hAnsi="Times New Roman"/>
          <w:sz w:val="20"/>
          <w:szCs w:val="20"/>
        </w:rPr>
        <w:t>in other autoimmune diseases.</w:t>
      </w:r>
      <w:r w:rsidRPr="00C673E0">
        <w:rPr>
          <w:rFonts w:ascii="Times New Roman" w:eastAsia="Times New Roman" w:hAnsi="Times New Roman"/>
          <w:b/>
          <w:bCs/>
          <w:sz w:val="20"/>
          <w:szCs w:val="20"/>
        </w:rPr>
        <w:t xml:space="preserve"> </w:t>
      </w:r>
      <w:r w:rsidRPr="00C673E0">
        <w:rPr>
          <w:rFonts w:ascii="Times New Roman" w:eastAsia="Times New Roman" w:hAnsi="Times New Roman"/>
          <w:sz w:val="20"/>
          <w:szCs w:val="20"/>
        </w:rPr>
        <w:t>The only available study in RA</w:t>
      </w:r>
      <w:r w:rsidRPr="00C673E0">
        <w:rPr>
          <w:rFonts w:ascii="Times New Roman" w:eastAsia="Times New Roman" w:hAnsi="Times New Roman"/>
          <w:b/>
          <w:bCs/>
          <w:sz w:val="20"/>
          <w:szCs w:val="20"/>
        </w:rPr>
        <w:t xml:space="preserve"> </w:t>
      </w:r>
      <w:r w:rsidR="00742B4D" w:rsidRPr="00C673E0">
        <w:rPr>
          <w:rFonts w:ascii="Times New Roman" w:eastAsia="Times New Roman" w:hAnsi="Times New Roman"/>
          <w:sz w:val="20"/>
          <w:szCs w:val="20"/>
        </w:rPr>
        <w:t>showed that H19 expression in synovial tissue (particularly synovial macrophages and fibroblasts) of patients with RA was up-regulated compared</w:t>
      </w:r>
      <w:r w:rsidRPr="00C673E0">
        <w:rPr>
          <w:rFonts w:ascii="Times New Roman" w:eastAsia="Times New Roman" w:hAnsi="Times New Roman"/>
          <w:sz w:val="20"/>
          <w:szCs w:val="20"/>
        </w:rPr>
        <w:t xml:space="preserve"> to healthy controls. </w:t>
      </w:r>
      <w:r w:rsidR="003324A1" w:rsidRPr="00C673E0">
        <w:rPr>
          <w:rFonts w:ascii="Times New Roman" w:eastAsia="Times New Roman" w:hAnsi="Times New Roman"/>
          <w:sz w:val="20"/>
          <w:szCs w:val="20"/>
        </w:rPr>
        <w:t>Intriguingly, H19 expression can be highly triggered by starvation stress to a higher level in RA fibroblasts</w:t>
      </w:r>
      <w:r w:rsidRPr="00C673E0">
        <w:rPr>
          <w:rFonts w:ascii="Times New Roman" w:eastAsia="Times New Roman" w:hAnsi="Times New Roman"/>
          <w:sz w:val="20"/>
          <w:szCs w:val="20"/>
        </w:rPr>
        <w:t xml:space="preserve">, which observed to be mediated by MAP-kinases 1/2 and the phosphatidylinositol-3 kinase pathways, with or without cytokines stress </w:t>
      </w:r>
      <w:r w:rsidR="006E7628" w:rsidRPr="00C673E0">
        <w:rPr>
          <w:rFonts w:ascii="Times New Roman" w:eastAsia="Times New Roman" w:hAnsi="Times New Roman"/>
          <w:b/>
          <w:bCs/>
          <w:sz w:val="20"/>
          <w:szCs w:val="20"/>
        </w:rPr>
        <w:fldChar w:fldCharType="begin" w:fldLock="1"/>
      </w:r>
      <w:r w:rsidRPr="00C673E0">
        <w:rPr>
          <w:rFonts w:ascii="Times New Roman" w:eastAsia="Times New Roman" w:hAnsi="Times New Roman"/>
          <w:b/>
          <w:bCs/>
          <w:sz w:val="20"/>
          <w:szCs w:val="20"/>
        </w:rPr>
        <w:instrText>ADDIN CSL_CITATION {"citationItems":[{"id":"ITEM-1","itemData":{"author":[{"dropping-particle":"","family":"Stuhlmu","given":"Bruno","non-dropping-particle":"","parse-names":false,"suffix":""},{"dropping-particle":"","family":"Kunisch","given":"Elke","non-dropping-particle":"","parse-names":false,"suffix":""},{"dropping-particle":"","family":"Franz","given":"Juliane","non-dropping-particle":"","parse-names":false,"suffix":""},{"dropping-particle":"","family":"Martinez-gamboa","given":"Lorena","non-dropping-particle":"","parse-names":false,"suffix":""},{"dropping-particle":"","family":"Hernandez","given":"Maria M","non-dropping-particle":"","parse-names":false,"suffix":""},{"dropping-particle":"","family":"Pruss","given":"Axel","non-dropping-particle":"","parse-names":false,"suffix":""},{"dropping-particle":"","family":"Ulbrich","given":"Norbert","non-dropping-particle":"","parse-names":false,"suffix":""},{"dropping-particle":"","family":"Erdmann","given":"Volker A","non-dropping-particle":"","parse-names":false,"suffix":""},{"dropping-particle":"","family":"Burmester","given":"Gerd R","non-dropping-particle":"","parse-names":false,"suffix":""},{"dropping-particle":"","family":"Kinne","given":"Raimund W","non-dropping-particle":"","parse-names":false,"suffix":""}],"id":"ITEM-1","issue":"3","issued":{"date-parts":[["2003"]]},"page":"901-911","title":"Detection of Oncofetal H19 RNA in Rheumatoid Arthritis Synovial Tissue","type":"article-journal","volume":"163"},"uris":["http://www.mendeley.com/documents/?uuid=896cad77-8f6f-4f2b-b55a-2049d9c34617"]}],"mendeley":{"formattedCitation":"(Stuhlmu &lt;i&gt;et al.&lt;/i&gt;, 2003)","manualFormatting":" Stuhlmüller et al., (2003)","plainTextFormattedCitation":"(Stuhlmu et al., 2003)","previouslyFormattedCitation":"(Stuhlmu &lt;i&gt;et al.&lt;/i&gt;, 2003)"},"properties":{"noteIndex":0},"schema":"https://github.com/citation-style-language/schema/raw/master/csl-citation.json"}</w:instrText>
      </w:r>
      <w:r w:rsidR="006E7628" w:rsidRPr="00C673E0">
        <w:rPr>
          <w:rFonts w:ascii="Times New Roman" w:eastAsia="Times New Roman" w:hAnsi="Times New Roman"/>
          <w:b/>
          <w:bCs/>
          <w:sz w:val="20"/>
          <w:szCs w:val="20"/>
        </w:rPr>
        <w:fldChar w:fldCharType="separate"/>
      </w:r>
      <w:r w:rsidRPr="00C673E0">
        <w:rPr>
          <w:rFonts w:ascii="Times New Roman" w:eastAsia="Times New Roman" w:hAnsi="Times New Roman"/>
          <w:sz w:val="20"/>
          <w:szCs w:val="20"/>
        </w:rPr>
        <w:t>(</w:t>
      </w:r>
      <w:r w:rsidRPr="00C673E0">
        <w:rPr>
          <w:rFonts w:ascii="Times New Roman" w:eastAsia="Times New Roman" w:hAnsi="Times New Roman"/>
          <w:b/>
          <w:bCs/>
          <w:noProof/>
          <w:sz w:val="20"/>
          <w:szCs w:val="20"/>
        </w:rPr>
        <w:t xml:space="preserve">Stuhlmüller </w:t>
      </w:r>
      <w:r w:rsidRPr="00C673E0">
        <w:rPr>
          <w:rFonts w:ascii="Times New Roman" w:eastAsia="Times New Roman" w:hAnsi="Times New Roman"/>
          <w:b/>
          <w:bCs/>
          <w:i/>
          <w:noProof/>
          <w:sz w:val="20"/>
          <w:szCs w:val="20"/>
        </w:rPr>
        <w:t>et al.</w:t>
      </w:r>
      <w:r w:rsidRPr="00C673E0">
        <w:rPr>
          <w:rFonts w:ascii="Times New Roman" w:eastAsia="Times New Roman" w:hAnsi="Times New Roman"/>
          <w:b/>
          <w:bCs/>
          <w:noProof/>
          <w:sz w:val="20"/>
          <w:szCs w:val="20"/>
        </w:rPr>
        <w:t>, 2003)</w:t>
      </w:r>
      <w:r w:rsidR="006E7628" w:rsidRPr="00C673E0">
        <w:rPr>
          <w:rFonts w:ascii="Times New Roman" w:eastAsia="Times New Roman" w:hAnsi="Times New Roman"/>
          <w:b/>
          <w:bCs/>
          <w:sz w:val="20"/>
          <w:szCs w:val="20"/>
        </w:rPr>
        <w:fldChar w:fldCharType="end"/>
      </w:r>
      <w:r w:rsidRPr="00C673E0">
        <w:rPr>
          <w:rFonts w:ascii="Times New Roman" w:eastAsia="Times New Roman" w:hAnsi="Times New Roman"/>
          <w:sz w:val="20"/>
          <w:szCs w:val="20"/>
        </w:rPr>
        <w:t xml:space="preserve">. This significant increased sensitivity of H19 to starvation/cytokine regulation </w:t>
      </w:r>
      <w:r w:rsidR="002E260F" w:rsidRPr="00C673E0">
        <w:rPr>
          <w:rFonts w:ascii="Times New Roman" w:eastAsia="Times New Roman" w:hAnsi="Times New Roman"/>
          <w:sz w:val="20"/>
          <w:szCs w:val="20"/>
        </w:rPr>
        <w:t>indicates the</w:t>
      </w:r>
      <w:r w:rsidRPr="00C673E0">
        <w:rPr>
          <w:rFonts w:ascii="Times New Roman" w:eastAsia="Times New Roman" w:hAnsi="Times New Roman"/>
          <w:sz w:val="20"/>
          <w:szCs w:val="20"/>
        </w:rPr>
        <w:t xml:space="preserve"> </w:t>
      </w:r>
      <w:r w:rsidR="008E5A8E" w:rsidRPr="00C673E0">
        <w:rPr>
          <w:rFonts w:ascii="Times New Roman" w:eastAsia="Times New Roman" w:hAnsi="Times New Roman"/>
          <w:sz w:val="20"/>
          <w:szCs w:val="20"/>
        </w:rPr>
        <w:t>function</w:t>
      </w:r>
      <w:r w:rsidRPr="00C673E0">
        <w:rPr>
          <w:rFonts w:ascii="Times New Roman" w:eastAsia="Times New Roman" w:hAnsi="Times New Roman"/>
          <w:sz w:val="20"/>
          <w:szCs w:val="20"/>
        </w:rPr>
        <w:t xml:space="preserve"> of this gene in the pathogenesis of RA</w:t>
      </w:r>
      <w:r w:rsidRPr="00C673E0">
        <w:rPr>
          <w:rFonts w:ascii="Times New Roman" w:eastAsia="Times New Roman" w:hAnsi="Times New Roman"/>
          <w:b/>
          <w:bCs/>
          <w:sz w:val="20"/>
          <w:szCs w:val="20"/>
        </w:rPr>
        <w:t xml:space="preserve"> </w:t>
      </w:r>
      <w:r w:rsidRPr="00C673E0">
        <w:rPr>
          <w:rFonts w:ascii="Times New Roman" w:eastAsia="Times New Roman" w:hAnsi="Times New Roman"/>
          <w:sz w:val="20"/>
          <w:szCs w:val="20"/>
        </w:rPr>
        <w:t>which is one of autoimmune chronic inflammatory diseases like MS.</w:t>
      </w:r>
      <w:r w:rsidRPr="00C673E0">
        <w:rPr>
          <w:rFonts w:ascii="Times New Roman" w:eastAsia="Calibri" w:hAnsi="Times New Roman"/>
          <w:sz w:val="20"/>
          <w:szCs w:val="20"/>
          <w:shd w:val="clear" w:color="auto" w:fill="FFFFFF"/>
        </w:rPr>
        <w:t xml:space="preserve"> Indeed, cytokine stress, and/or oxidative stress are also reported to contribute to pathogenesis of MS</w:t>
      </w:r>
      <w:r w:rsidRPr="00C673E0">
        <w:rPr>
          <w:rFonts w:ascii="Times New Roman" w:eastAsia="Calibri" w:hAnsi="Times New Roman"/>
          <w:b/>
          <w:bCs/>
          <w:sz w:val="20"/>
          <w:szCs w:val="20"/>
          <w:shd w:val="clear" w:color="auto" w:fill="FFFFFF"/>
        </w:rPr>
        <w:t xml:space="preserve"> </w:t>
      </w:r>
      <w:r w:rsidR="006E7628" w:rsidRPr="006E7628">
        <w:rPr>
          <w:rFonts w:ascii="Times New Roman" w:eastAsia="Calibri" w:hAnsi="Times New Roman"/>
          <w:b/>
          <w:bCs/>
          <w:sz w:val="20"/>
          <w:szCs w:val="20"/>
          <w:shd w:val="clear" w:color="auto" w:fill="FFFFFF"/>
        </w:rPr>
        <w:fldChar w:fldCharType="begin" w:fldLock="1"/>
      </w:r>
      <w:r w:rsidRPr="00C673E0">
        <w:rPr>
          <w:rFonts w:ascii="Times New Roman" w:eastAsia="Calibri" w:hAnsi="Times New Roman"/>
          <w:b/>
          <w:bCs/>
          <w:sz w:val="20"/>
          <w:szCs w:val="20"/>
          <w:shd w:val="clear" w:color="auto" w:fill="FFFFFF"/>
        </w:rPr>
        <w:instrText>ADDIN CSL_CITATION {"citationItems":[{"id":"ITEM-1","itemData":{"author":[{"dropping-particle":"","family":"Adamczyk-sowa","given":"Monika","non-dropping-particle":"","parse-names":false,"suffix":""}],"id":"ITEM-1","issued":{"date-parts":[["2016"]]},"title":"New Insights into the Role of Oxidative Stress Mechanisms in the Pathophysiology and Treatment of Multiple Sclerosis","type":"article-journal","volume":"2016"},"uris":["http://www.mendeley.com/documents/?uuid=6fb41060-85e2-4538-909c-465b147e170a"]}],"mendeley":{"formattedCitation":"(Adamczyk-sowa, 2016)","plainTextFormattedCitation":"(Adamczyk-sowa, 2016)","previouslyFormattedCitation":"(Adamczyk-sowa, 2016)"},"properties":{"noteIndex":0},"schema":"https://github.com/citation-style-language/schema/raw/master/csl-citation.json"}</w:instrText>
      </w:r>
      <w:r w:rsidR="006E7628" w:rsidRPr="006E7628">
        <w:rPr>
          <w:rFonts w:ascii="Times New Roman" w:eastAsia="Calibri" w:hAnsi="Times New Roman"/>
          <w:b/>
          <w:bCs/>
          <w:sz w:val="20"/>
          <w:szCs w:val="20"/>
          <w:shd w:val="clear" w:color="auto" w:fill="FFFFFF"/>
        </w:rPr>
        <w:fldChar w:fldCharType="separate"/>
      </w:r>
      <w:r w:rsidRPr="00C673E0">
        <w:rPr>
          <w:rFonts w:ascii="Times New Roman" w:eastAsia="Calibri" w:hAnsi="Times New Roman"/>
          <w:b/>
          <w:bCs/>
          <w:noProof/>
          <w:sz w:val="20"/>
          <w:szCs w:val="20"/>
          <w:shd w:val="clear" w:color="auto" w:fill="FFFFFF"/>
        </w:rPr>
        <w:t>(</w:t>
      </w:r>
      <w:r w:rsidRPr="00C673E0">
        <w:rPr>
          <w:rFonts w:ascii="Times New Roman" w:eastAsia="Calibri" w:hAnsi="Times New Roman"/>
          <w:b/>
          <w:bCs/>
          <w:noProof/>
          <w:sz w:val="20"/>
          <w:szCs w:val="20"/>
        </w:rPr>
        <w:t>Adamczyk-sowa and Adamczyk, 2016</w:t>
      </w:r>
      <w:r w:rsidRPr="00C673E0">
        <w:rPr>
          <w:rFonts w:ascii="Times New Roman" w:eastAsia="Calibri" w:hAnsi="Times New Roman"/>
          <w:b/>
          <w:bCs/>
          <w:noProof/>
          <w:sz w:val="20"/>
          <w:szCs w:val="20"/>
          <w:shd w:val="clear" w:color="auto" w:fill="FFFFFF"/>
        </w:rPr>
        <w:t>)</w:t>
      </w:r>
      <w:r w:rsidR="006E7628" w:rsidRPr="00C673E0">
        <w:rPr>
          <w:rFonts w:ascii="Times New Roman" w:eastAsia="Calibri" w:hAnsi="Times New Roman"/>
          <w:sz w:val="20"/>
          <w:szCs w:val="20"/>
          <w:shd w:val="clear" w:color="auto" w:fill="FFFFFF"/>
        </w:rPr>
        <w:fldChar w:fldCharType="end"/>
      </w:r>
      <w:r w:rsidRPr="00C673E0">
        <w:rPr>
          <w:rFonts w:ascii="Times New Roman" w:eastAsia="Calibri" w:hAnsi="Times New Roman"/>
          <w:sz w:val="20"/>
          <w:szCs w:val="20"/>
          <w:shd w:val="clear" w:color="auto" w:fill="FFFFFF"/>
        </w:rPr>
        <w:t xml:space="preserve">. </w:t>
      </w:r>
    </w:p>
    <w:p w:rsidR="006C3B20" w:rsidRPr="00C673E0" w:rsidRDefault="006C3B20" w:rsidP="00644513">
      <w:pPr>
        <w:shd w:val="clear" w:color="auto" w:fill="FFFFFF"/>
        <w:snapToGrid w:val="0"/>
        <w:spacing w:after="0" w:line="240" w:lineRule="auto"/>
        <w:ind w:firstLine="425"/>
        <w:jc w:val="both"/>
        <w:rPr>
          <w:rFonts w:ascii="Times New Roman" w:eastAsia="Times New Roman" w:hAnsi="Times New Roman"/>
          <w:sz w:val="20"/>
          <w:szCs w:val="20"/>
        </w:rPr>
      </w:pPr>
      <w:r w:rsidRPr="00C673E0">
        <w:rPr>
          <w:rFonts w:ascii="Times New Roman" w:eastAsia="Times New Roman" w:hAnsi="Times New Roman"/>
          <w:sz w:val="20"/>
          <w:szCs w:val="20"/>
        </w:rPr>
        <w:t>Moreover</w:t>
      </w:r>
      <w:r w:rsidRPr="00C673E0">
        <w:rPr>
          <w:rFonts w:ascii="Times New Roman" w:eastAsia="Times New Roman" w:hAnsi="Times New Roman"/>
          <w:b/>
          <w:bCs/>
          <w:sz w:val="20"/>
          <w:szCs w:val="20"/>
        </w:rPr>
        <w:t xml:space="preserve">, Chen </w:t>
      </w:r>
      <w:r w:rsidRPr="00C673E0">
        <w:rPr>
          <w:rFonts w:ascii="Times New Roman" w:eastAsia="Times New Roman" w:hAnsi="Times New Roman"/>
          <w:b/>
          <w:bCs/>
          <w:i/>
          <w:iCs/>
          <w:sz w:val="20"/>
          <w:szCs w:val="20"/>
        </w:rPr>
        <w:t>et al</w:t>
      </w:r>
      <w:r w:rsidRPr="00C673E0">
        <w:rPr>
          <w:rFonts w:ascii="Times New Roman" w:eastAsia="Times New Roman" w:hAnsi="Times New Roman"/>
          <w:b/>
          <w:bCs/>
          <w:sz w:val="20"/>
          <w:szCs w:val="20"/>
        </w:rPr>
        <w:t>., (2016)</w:t>
      </w:r>
      <w:r w:rsidRPr="00C673E0">
        <w:rPr>
          <w:rFonts w:ascii="Times New Roman" w:eastAsia="Times New Roman" w:hAnsi="Times New Roman"/>
          <w:sz w:val="20"/>
          <w:szCs w:val="20"/>
        </w:rPr>
        <w:t xml:space="preserve"> performed a study in IBD, which is a group of </w:t>
      </w:r>
      <w:r w:rsidR="00165EF1" w:rsidRPr="00C673E0">
        <w:rPr>
          <w:rFonts w:ascii="Times New Roman" w:eastAsia="Times New Roman" w:hAnsi="Times New Roman"/>
          <w:sz w:val="20"/>
          <w:szCs w:val="20"/>
        </w:rPr>
        <w:t xml:space="preserve">chronic inflammatory relapsing disorders involving the gastrointestinal tract and has two main manifestations </w:t>
      </w:r>
      <w:r w:rsidRPr="00C673E0">
        <w:rPr>
          <w:rFonts w:ascii="Times New Roman" w:eastAsia="Times New Roman" w:hAnsi="Times New Roman"/>
          <w:sz w:val="20"/>
          <w:szCs w:val="20"/>
        </w:rPr>
        <w:t xml:space="preserve">(Crohn’s disease and UC). They investigated the role of H19 in UC development and showed that overexpression of H19 resulted in </w:t>
      </w:r>
      <w:r w:rsidR="006415EE" w:rsidRPr="00C673E0">
        <w:rPr>
          <w:rFonts w:ascii="Times New Roman" w:eastAsia="Times New Roman" w:hAnsi="Times New Roman"/>
          <w:sz w:val="20"/>
          <w:szCs w:val="20"/>
        </w:rPr>
        <w:t xml:space="preserve">substantially reduced </w:t>
      </w:r>
      <w:r w:rsidRPr="00C673E0">
        <w:rPr>
          <w:rFonts w:ascii="Times New Roman" w:eastAsia="Times New Roman" w:hAnsi="Times New Roman"/>
          <w:sz w:val="20"/>
          <w:szCs w:val="20"/>
        </w:rPr>
        <w:t xml:space="preserve">expression of the vitamin D receptor which plays an important role in inflammation regulation. </w:t>
      </w:r>
    </w:p>
    <w:p w:rsidR="006C3B20" w:rsidRPr="00C673E0" w:rsidRDefault="006C3B20"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In the current study, as regard to sex of patients, we detected that male patients had significant higher serum expression levels of lncRNA-H19 compared to female patients (p-value=</w:t>
      </w:r>
      <w:r w:rsidRPr="00C673E0">
        <w:rPr>
          <w:rFonts w:ascii="Times New Roman" w:eastAsia="Times New Roman" w:hAnsi="Times New Roman"/>
          <w:sz w:val="20"/>
          <w:szCs w:val="20"/>
        </w:rPr>
        <w:t xml:space="preserve"> 0.008)</w:t>
      </w:r>
      <w:r w:rsidRPr="00C673E0">
        <w:rPr>
          <w:rFonts w:ascii="Times New Roman" w:eastAsia="Times New Roman" w:hAnsi="Times New Roman"/>
          <w:sz w:val="20"/>
          <w:szCs w:val="20"/>
          <w:lang w:bidi="ar-EG"/>
        </w:rPr>
        <w:t xml:space="preserve">. This finding is consistent with finding that the expression level of a group of imprinted genes, including H19, was </w:t>
      </w:r>
      <w:r w:rsidR="006E369C" w:rsidRPr="00C673E0">
        <w:rPr>
          <w:rFonts w:ascii="Times New Roman" w:eastAsia="Times New Roman" w:hAnsi="Times New Roman"/>
          <w:sz w:val="20"/>
          <w:szCs w:val="20"/>
          <w:lang w:bidi="ar-EG"/>
        </w:rPr>
        <w:t>higher</w:t>
      </w:r>
      <w:r w:rsidRPr="00C673E0">
        <w:rPr>
          <w:rFonts w:ascii="Times New Roman" w:eastAsia="Times New Roman" w:hAnsi="Times New Roman"/>
          <w:sz w:val="20"/>
          <w:szCs w:val="20"/>
          <w:lang w:bidi="ar-EG"/>
        </w:rPr>
        <w:t xml:space="preserve"> in male mice than female mice. </w:t>
      </w:r>
      <w:r w:rsidR="005A3558" w:rsidRPr="00C673E0">
        <w:rPr>
          <w:rFonts w:ascii="Times New Roman" w:eastAsia="Times New Roman" w:hAnsi="Times New Roman"/>
          <w:sz w:val="20"/>
          <w:szCs w:val="20"/>
          <w:lang w:bidi="ar-EG"/>
        </w:rPr>
        <w:t>Before the sexual differentiation phase, this bias was not obvious. Therefore the sexual bias found in the imprinted genes was most likely due to gonadal hormones instead of sex chromosome supplements, suggesting that unknown mechanisms related to sexual differentiation could affect the transcriptional regulation of imprinted genes</w:t>
      </w:r>
      <w:r w:rsidRPr="00C673E0">
        <w:rPr>
          <w:rFonts w:ascii="Times New Roman" w:eastAsia="Times New Roman" w:hAnsi="Times New Roman"/>
          <w:b/>
          <w:bCs/>
          <w:sz w:val="20"/>
          <w:szCs w:val="20"/>
          <w:lang w:bidi="ar-EG"/>
        </w:rPr>
        <w:t xml:space="preserve"> </w:t>
      </w:r>
      <w:r w:rsidR="006E7628" w:rsidRPr="00C673E0">
        <w:rPr>
          <w:rFonts w:ascii="Times New Roman" w:eastAsia="Times New Roman" w:hAnsi="Times New Roman"/>
          <w:b/>
          <w:bCs/>
          <w:sz w:val="20"/>
          <w:szCs w:val="20"/>
          <w:lang w:bidi="ar-EG"/>
        </w:rPr>
        <w:fldChar w:fldCharType="begin" w:fldLock="1"/>
      </w:r>
      <w:r w:rsidRPr="00C673E0">
        <w:rPr>
          <w:rFonts w:ascii="Times New Roman" w:eastAsia="Times New Roman" w:hAnsi="Times New Roman"/>
          <w:b/>
          <w:bCs/>
          <w:sz w:val="20"/>
          <w:szCs w:val="20"/>
          <w:lang w:bidi="ar-EG"/>
        </w:rPr>
        <w:instrText>ADDIN CSL_CITATION {"citationItems":[{"id":"ITEM-1","itemData":{"DOI":"10.1038/jid.2014.371","ISBN":"6176321972","ISSN":"15378276","PMID":"1000000221","author":[{"dropping-particle":"","family":"Faisal","given":"Mohammed","non-dropping-particle":"","parse-names":false,"suffix":""},{"dropping-particle":"","family":"Kim","given":"Hana","non-dropping-particle":"","parse-names":false,"suffix":""},{"dropping-particle":"","family":"Kim","given":"Joomyeong","non-dropping-particle":"","parse-names":false,"suffix":""}],"container-title":"Elsevier","id":"ITEM-1","issue":"1","issued":{"date-parts":[["2014"]]},"page":"1-12","title":"</w:instrText>
      </w:r>
      <w:r w:rsidRPr="00C673E0">
        <w:rPr>
          <w:rFonts w:ascii="Times New Roman" w:eastAsia="MS Mincho" w:hAnsi="Cambria Math"/>
          <w:b/>
          <w:bCs/>
          <w:sz w:val="20"/>
          <w:szCs w:val="20"/>
          <w:lang w:bidi="ar-EG"/>
        </w:rPr>
        <w:instrText>基因的改</w:instrText>
      </w:r>
      <w:r w:rsidRPr="00C673E0">
        <w:rPr>
          <w:rFonts w:ascii="Times New Roman" w:eastAsia="PMingLiU" w:hAnsi="Cambria Math"/>
          <w:b/>
          <w:bCs/>
          <w:sz w:val="20"/>
          <w:szCs w:val="20"/>
          <w:lang w:bidi="ar-EG"/>
        </w:rPr>
        <w:instrText>变</w:instrText>
      </w:r>
      <w:r w:rsidRPr="00C673E0">
        <w:rPr>
          <w:rFonts w:ascii="Times New Roman" w:eastAsia="Times New Roman" w:hAnsi="Times New Roman"/>
          <w:b/>
          <w:bCs/>
          <w:sz w:val="20"/>
          <w:szCs w:val="20"/>
          <w:lang w:bidi="ar-EG"/>
        </w:rPr>
        <w:instrText>NIH Public Access","type":"article-journal","volume":"23"},"uris":["http://www.mendeley.com/documents/?uuid=0fb78e25-037c-43a1-8a6a-da729743293f"]}],"mendeley":{"formattedCitation":"(Faisal, Kim and Kim, 2014)","manualFormatting":"(Faisal et al., 2014)","plainTextFormattedCitation":"(Faisal, Kim and Kim, 2014)","previouslyFormattedCitation":"(Faisal, Kim and Kim, 2014)"},"properties":{"noteIndex":0},"schema":"https://github.com/citation-style-language/schema/raw/master/csl-citation.json"}</w:instrText>
      </w:r>
      <w:r w:rsidR="006E7628" w:rsidRPr="00C673E0">
        <w:rPr>
          <w:rFonts w:ascii="Times New Roman" w:eastAsia="Times New Roman" w:hAnsi="Times New Roman"/>
          <w:b/>
          <w:bCs/>
          <w:sz w:val="20"/>
          <w:szCs w:val="20"/>
          <w:lang w:bidi="ar-EG"/>
        </w:rPr>
        <w:fldChar w:fldCharType="separate"/>
      </w:r>
      <w:r w:rsidRPr="00C673E0">
        <w:rPr>
          <w:rFonts w:ascii="Times New Roman" w:eastAsia="Times New Roman" w:hAnsi="Times New Roman"/>
          <w:b/>
          <w:bCs/>
          <w:noProof/>
          <w:sz w:val="20"/>
          <w:szCs w:val="20"/>
          <w:lang w:bidi="ar-EG"/>
        </w:rPr>
        <w:t xml:space="preserve">(Faisal </w:t>
      </w:r>
      <w:r w:rsidRPr="00C673E0">
        <w:rPr>
          <w:rFonts w:ascii="Times New Roman" w:eastAsia="Times New Roman" w:hAnsi="Times New Roman"/>
          <w:b/>
          <w:bCs/>
          <w:i/>
          <w:iCs/>
          <w:noProof/>
          <w:sz w:val="20"/>
          <w:szCs w:val="20"/>
          <w:lang w:bidi="ar-EG"/>
        </w:rPr>
        <w:t>et al</w:t>
      </w:r>
      <w:r w:rsidRPr="00C673E0">
        <w:rPr>
          <w:rFonts w:ascii="Times New Roman" w:eastAsia="Times New Roman" w:hAnsi="Times New Roman"/>
          <w:b/>
          <w:bCs/>
          <w:noProof/>
          <w:sz w:val="20"/>
          <w:szCs w:val="20"/>
          <w:lang w:bidi="ar-EG"/>
        </w:rPr>
        <w:t>., 2014)</w:t>
      </w:r>
      <w:r w:rsidR="006E7628" w:rsidRPr="00C673E0">
        <w:rPr>
          <w:rFonts w:ascii="Times New Roman" w:eastAsia="Times New Roman" w:hAnsi="Times New Roman"/>
          <w:b/>
          <w:bCs/>
          <w:sz w:val="20"/>
          <w:szCs w:val="20"/>
          <w:lang w:bidi="ar-EG"/>
        </w:rPr>
        <w:fldChar w:fldCharType="end"/>
      </w:r>
      <w:r w:rsidRPr="00C673E0">
        <w:rPr>
          <w:rFonts w:ascii="Times New Roman" w:eastAsia="Times New Roman" w:hAnsi="Times New Roman"/>
          <w:sz w:val="20"/>
          <w:szCs w:val="20"/>
          <w:lang w:bidi="ar-EG"/>
        </w:rPr>
        <w:t xml:space="preserve">. As a </w:t>
      </w:r>
      <w:r w:rsidR="00013948" w:rsidRPr="00C673E0">
        <w:rPr>
          <w:rFonts w:ascii="Times New Roman" w:eastAsia="Times New Roman" w:hAnsi="Times New Roman"/>
          <w:sz w:val="20"/>
          <w:szCs w:val="20"/>
          <w:lang w:bidi="ar-EG"/>
        </w:rPr>
        <w:t>preserved lncRNA, the H19 gene sequence stays constant with few mutations in exon a</w:t>
      </w:r>
      <w:r w:rsidR="00586F4A" w:rsidRPr="00C673E0">
        <w:rPr>
          <w:rFonts w:ascii="Times New Roman" w:eastAsia="Times New Roman" w:hAnsi="Times New Roman"/>
          <w:sz w:val="20"/>
          <w:szCs w:val="20"/>
          <w:lang w:bidi="ar-EG"/>
        </w:rPr>
        <w:t xml:space="preserve">reas between multiple organisms </w:t>
      </w:r>
      <w:r w:rsidR="006E7628" w:rsidRPr="006E7628">
        <w:rPr>
          <w:rFonts w:ascii="Times New Roman" w:eastAsia="Times New Roman" w:hAnsi="Times New Roman"/>
          <w:b/>
          <w:bCs/>
          <w:sz w:val="20"/>
          <w:szCs w:val="20"/>
          <w:lang w:bidi="ar-EG"/>
        </w:rPr>
        <w:fldChar w:fldCharType="begin" w:fldLock="1"/>
      </w:r>
      <w:r w:rsidRPr="00C673E0">
        <w:rPr>
          <w:rFonts w:ascii="Times New Roman" w:eastAsia="Times New Roman" w:hAnsi="Times New Roman"/>
          <w:b/>
          <w:bCs/>
          <w:sz w:val="20"/>
          <w:szCs w:val="20"/>
          <w:lang w:bidi="ar-EG"/>
        </w:rPr>
        <w:instrText>ADDIN CSL_CITATION {"citationItems":[{"id":"ITEM-1","itemData":{"DOI":"10.1016/j.yexcr.2017.09.007","ISSN":"10902422","abstract":"The long non-coding RNAs (lncRNAs) have gained much attention due to its essential roles in molecular regulation. As one of the classic lncRNAs, H19 is strongly expressed during embryogenesis and plays a crucial biological function during development. Mesenchymal stem cells (MSCs) are an ideal cell source for tissue engineering in musculoskeletal system as they own the multi-differentiation ability towards osteogenesis, adipogenesis, tenogenesis or chondrogenesis. In recent years, many studies have been found in the field of H19 mediated cellular differentiation of MSCs. Here, we summarized the current understanding of H19 during multi-differentiation of MSCs and its application in tissue regeneration of musculoskeletal system. Particularly, its molecular regulation and biological function during the multi-differentiation were also discussed.","author":[{"dropping-particle":"","family":"Liu","given":"Yang","non-dropping-particle":"","parse-names":false,"suffix":""},{"dropping-particle":"","family":"Li","given":"Gang","non-dropping-particle":"","parse-names":false,"suffix":""},{"dropping-particle":"","family":"Zhang","given":"Jin fang","non-dropping-particle":"","parse-names":false,"suffix":""}],"container-title":"Experimental Cell Research","id":"ITEM-1","issue":"2","issued":{"date-parts":[["2017"]]},"page":"61-65","publisher":"Elsevier Inc.","title":"The role of long non-coding RNA H19 in musculoskeletal system: A new player in an old game","type":"article-journal","volume":"360"},"uris":["http://www.mendeley.com/documents/?uuid=d642be23-f2e2-461b-8eee-5a4c45c56fb7"]}],"mendeley":{"formattedCitation":"(Liu, Li and Zhang, 2017)","manualFormatting":"(Liu et al., 2017)","plainTextFormattedCitation":"(Liu, Li and Zhang, 2017)","previouslyFormattedCitation":"(Liu, Li and Zhang, 2017)"},"properties":{"noteIndex":0},"schema":"https://github.com/citation-style-language/schema/raw/master/csl-citation.json"}</w:instrText>
      </w:r>
      <w:r w:rsidR="006E7628" w:rsidRPr="006E7628">
        <w:rPr>
          <w:rFonts w:ascii="Times New Roman" w:eastAsia="Times New Roman" w:hAnsi="Times New Roman"/>
          <w:b/>
          <w:bCs/>
          <w:sz w:val="20"/>
          <w:szCs w:val="20"/>
          <w:lang w:bidi="ar-EG"/>
        </w:rPr>
        <w:fldChar w:fldCharType="separate"/>
      </w:r>
      <w:r w:rsidRPr="00C673E0">
        <w:rPr>
          <w:rFonts w:ascii="Times New Roman" w:eastAsia="Times New Roman" w:hAnsi="Times New Roman"/>
          <w:b/>
          <w:bCs/>
          <w:noProof/>
          <w:sz w:val="20"/>
          <w:szCs w:val="20"/>
          <w:lang w:bidi="ar-EG"/>
        </w:rPr>
        <w:t xml:space="preserve">(Liu </w:t>
      </w:r>
      <w:r w:rsidRPr="00C673E0">
        <w:rPr>
          <w:rFonts w:ascii="Times New Roman" w:eastAsia="Times New Roman" w:hAnsi="Times New Roman"/>
          <w:b/>
          <w:bCs/>
          <w:i/>
          <w:iCs/>
          <w:noProof/>
          <w:sz w:val="20"/>
          <w:szCs w:val="20"/>
          <w:lang w:bidi="ar-EG"/>
        </w:rPr>
        <w:t>et al</w:t>
      </w:r>
      <w:r w:rsidRPr="00C673E0">
        <w:rPr>
          <w:rFonts w:ascii="Times New Roman" w:eastAsia="Times New Roman" w:hAnsi="Times New Roman"/>
          <w:b/>
          <w:bCs/>
          <w:noProof/>
          <w:sz w:val="20"/>
          <w:szCs w:val="20"/>
          <w:lang w:bidi="ar-EG"/>
        </w:rPr>
        <w:t>., 2017)</w:t>
      </w:r>
      <w:r w:rsidR="006E7628" w:rsidRPr="00C673E0">
        <w:rPr>
          <w:rFonts w:ascii="Times New Roman" w:eastAsia="Times New Roman" w:hAnsi="Times New Roman"/>
          <w:sz w:val="20"/>
          <w:szCs w:val="20"/>
          <w:lang w:bidi="ar-EG"/>
        </w:rPr>
        <w:fldChar w:fldCharType="end"/>
      </w:r>
      <w:r w:rsidRPr="00C673E0">
        <w:rPr>
          <w:rFonts w:ascii="Times New Roman" w:eastAsia="Times New Roman" w:hAnsi="Times New Roman"/>
          <w:sz w:val="20"/>
          <w:szCs w:val="20"/>
          <w:lang w:bidi="ar-EG"/>
        </w:rPr>
        <w:t xml:space="preserve">. Based on the low number of individuals in male subgroup in the present study (12 male patients only of 74 MS patients), such data should be interpreted with caution. </w:t>
      </w:r>
    </w:p>
    <w:p w:rsidR="006C3B20" w:rsidRPr="00C673E0" w:rsidRDefault="006C3B20" w:rsidP="00644513">
      <w:pPr>
        <w:snapToGrid w:val="0"/>
        <w:spacing w:after="0" w:line="240" w:lineRule="auto"/>
        <w:ind w:firstLine="425"/>
        <w:jc w:val="both"/>
        <w:rPr>
          <w:rFonts w:ascii="Times New Roman" w:eastAsia="Times New Roman" w:hAnsi="Times New Roman"/>
          <w:sz w:val="20"/>
          <w:szCs w:val="20"/>
          <w:lang w:bidi="ar-EG"/>
        </w:rPr>
      </w:pPr>
      <w:r w:rsidRPr="00C673E0">
        <w:rPr>
          <w:rFonts w:ascii="Times New Roman" w:eastAsia="Times New Roman" w:hAnsi="Times New Roman"/>
          <w:sz w:val="20"/>
          <w:szCs w:val="20"/>
          <w:lang w:bidi="ar-EG"/>
        </w:rPr>
        <w:t xml:space="preserve">Meanwhile, in the current study, no significant difference was observed in serum expression level of </w:t>
      </w:r>
      <w:r w:rsidRPr="00C673E0">
        <w:rPr>
          <w:rFonts w:ascii="Times New Roman" w:eastAsia="Times New Roman" w:hAnsi="Times New Roman"/>
          <w:sz w:val="20"/>
          <w:szCs w:val="20"/>
          <w:lang w:bidi="ar-EG"/>
        </w:rPr>
        <w:lastRenderedPageBreak/>
        <w:t>lncRNA-H19 among MS patients</w:t>
      </w:r>
      <w:r w:rsidRPr="00C673E0">
        <w:rPr>
          <w:rFonts w:ascii="Times New Roman" w:eastAsia="Calibri" w:hAnsi="Times New Roman"/>
          <w:sz w:val="20"/>
          <w:szCs w:val="20"/>
        </w:rPr>
        <w:t xml:space="preserve"> </w:t>
      </w:r>
      <w:r w:rsidRPr="00C673E0">
        <w:rPr>
          <w:rFonts w:ascii="Times New Roman" w:eastAsia="Times New Roman" w:hAnsi="Times New Roman"/>
          <w:sz w:val="20"/>
          <w:szCs w:val="20"/>
          <w:lang w:bidi="ar-EG"/>
        </w:rPr>
        <w:t>as regard to other variables.</w:t>
      </w:r>
      <w:r w:rsidRPr="00C673E0">
        <w:rPr>
          <w:rFonts w:ascii="Times New Roman" w:eastAsia="Times New Roman" w:hAnsi="Times New Roman"/>
          <w:sz w:val="20"/>
          <w:szCs w:val="20"/>
        </w:rPr>
        <w:t xml:space="preserve"> </w:t>
      </w:r>
      <w:r w:rsidRPr="00C673E0">
        <w:rPr>
          <w:rFonts w:ascii="Times New Roman" w:eastAsia="Times New Roman" w:hAnsi="Times New Roman"/>
          <w:sz w:val="20"/>
          <w:szCs w:val="20"/>
          <w:lang w:bidi="ar-EG"/>
        </w:rPr>
        <w:t xml:space="preserve">This finding does not necessarily </w:t>
      </w:r>
      <w:r w:rsidR="00586F4A" w:rsidRPr="00C673E0">
        <w:rPr>
          <w:rFonts w:ascii="Times New Roman" w:eastAsia="Times New Roman" w:hAnsi="Times New Roman"/>
          <w:sz w:val="20"/>
          <w:szCs w:val="20"/>
          <w:lang w:bidi="ar-EG"/>
        </w:rPr>
        <w:t xml:space="preserve">preclude the involvement </w:t>
      </w:r>
      <w:r w:rsidRPr="00C673E0">
        <w:rPr>
          <w:rFonts w:ascii="Times New Roman" w:eastAsia="Times New Roman" w:hAnsi="Times New Roman"/>
          <w:sz w:val="20"/>
          <w:szCs w:val="20"/>
          <w:lang w:bidi="ar-EG"/>
        </w:rPr>
        <w:t xml:space="preserve">of H19 in </w:t>
      </w:r>
      <w:r w:rsidR="0032721F" w:rsidRPr="00C673E0">
        <w:rPr>
          <w:rFonts w:ascii="Times New Roman" w:eastAsia="Times New Roman" w:hAnsi="Times New Roman"/>
          <w:sz w:val="20"/>
          <w:szCs w:val="20"/>
          <w:lang w:bidi="ar-EG"/>
        </w:rPr>
        <w:t xml:space="preserve">the MS pathogenesis </w:t>
      </w:r>
      <w:r w:rsidRPr="00C673E0">
        <w:rPr>
          <w:rFonts w:ascii="Times New Roman" w:eastAsia="Times New Roman" w:hAnsi="Times New Roman"/>
          <w:sz w:val="20"/>
          <w:szCs w:val="20"/>
          <w:lang w:bidi="ar-EG"/>
        </w:rPr>
        <w:t>and they may be due to low number of analyzed samples.</w:t>
      </w:r>
    </w:p>
    <w:p w:rsidR="006C3B20" w:rsidRPr="00C673E0" w:rsidRDefault="006C3B20"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Regarding lincRNA-p21, our results demonstrated that </w:t>
      </w:r>
      <w:r w:rsidRPr="00C673E0">
        <w:rPr>
          <w:rFonts w:ascii="Times New Roman" w:eastAsia="Times New Roman" w:hAnsi="Times New Roman"/>
          <w:sz w:val="20"/>
          <w:szCs w:val="20"/>
          <w:lang w:bidi="ar-EG"/>
        </w:rPr>
        <w:t xml:space="preserve">its serum expression level </w:t>
      </w:r>
      <w:r w:rsidRPr="00C673E0">
        <w:rPr>
          <w:rFonts w:ascii="Times New Roman" w:eastAsia="Calibri" w:hAnsi="Times New Roman"/>
          <w:sz w:val="20"/>
          <w:szCs w:val="20"/>
          <w:lang w:bidi="ar-EG"/>
        </w:rPr>
        <w:t xml:space="preserve">was significantly down-regulated among MS patients compared to healthy controls. To our knowledge, lincRNA-p21 is of significance in regulating cellular responses to p53 that presents anti-inflammatory properties. In contrast, NF-κB is an important pro-inflammatory transcription factor, and a variety of stimulants, including cytokines, can induce its activation. Thus, lincRNA-p21 and NF-κB may be considered biologically antagonistic. Therefore, studies suggested that lincRNA-p21 may affect the inflammatory response by regulating the NF-κB signaling pathway </w:t>
      </w:r>
      <w:r w:rsidR="006E7628" w:rsidRPr="00C673E0">
        <w:rPr>
          <w:rFonts w:ascii="Times New Roman" w:eastAsia="Calibri" w:hAnsi="Times New Roman"/>
          <w:b/>
          <w:bCs/>
          <w:sz w:val="20"/>
          <w:szCs w:val="20"/>
          <w:lang w:bidi="ar-EG"/>
        </w:rPr>
        <w:fldChar w:fldCharType="begin" w:fldLock="1"/>
      </w:r>
      <w:r w:rsidRPr="00C673E0">
        <w:rPr>
          <w:rFonts w:ascii="Times New Roman" w:eastAsia="Calibri" w:hAnsi="Times New Roman"/>
          <w:b/>
          <w:bCs/>
          <w:sz w:val="20"/>
          <w:szCs w:val="20"/>
          <w:lang w:bidi="ar-EG"/>
        </w:rPr>
        <w:instrText>ADDIN CSL_CITATION {"citationItems":[{"id":"ITEM-1","itemData":{"ISSN":"1940-5901","author":[{"dropping-particle":"","family":"Cui","given":"Danyu","non-dropping-particle":"","parse-names":false,"suffix":""},{"dropping-particle":"","family":"Zhu","given":"Dingji","non-dropping-particle":"","parse-names":false,"suffix":""},{"dropping-particle":"","family":"Ren","given":"Hao","non-dropping-particle":"","parse-names":false,"suffix":""},{"dropping-particle":"","family":"Lin","given":"Jingli","non-dropping-particle":"","parse-names":false,"suffix":""},{"dropping-particle":"","family":"Yang","given":"Min","non-dropping-particle":"","parse-names":false,"suffix":""}],"container-title":"International Journal of Clinical and Experimental Medicine","id":"ITEM-1","issue":"2","issued":{"date-parts":[["2018"]]},"page":"1217-1225","title":"LincRNA-p21 inhibits inflammatory response and angiogenesis through the NF-κB signaling pathway in rats with rheumatoid arthritis","type":"article-journal","volume":"11"},"uris":["http://www.mendeley.com/documents/?uuid=51efd294-8644-4ed8-b14c-1f778f8c25c6"]}],"mendeley":{"formattedCitation":"(Cui &lt;i&gt;et al.&lt;/i&gt;, 2018)","plainTextFormattedCitation":"(Cui et al., 2018)","previouslyFormattedCitation":"(Cui &lt;i&gt;et al.&lt;/i&gt;, 2018)"},"properties":{"noteIndex":0},"schema":"https://github.com/citation-style-language/schema/raw/master/csl-citation.json"}</w:instrText>
      </w:r>
      <w:r w:rsidR="006E7628" w:rsidRPr="00C673E0">
        <w:rPr>
          <w:rFonts w:ascii="Times New Roman" w:eastAsia="Calibri" w:hAnsi="Times New Roman"/>
          <w:b/>
          <w:bCs/>
          <w:sz w:val="20"/>
          <w:szCs w:val="20"/>
          <w:lang w:bidi="ar-EG"/>
        </w:rPr>
        <w:fldChar w:fldCharType="separate"/>
      </w:r>
      <w:r w:rsidRPr="00C673E0">
        <w:rPr>
          <w:rFonts w:ascii="Times New Roman" w:eastAsia="Calibri" w:hAnsi="Times New Roman"/>
          <w:b/>
          <w:bCs/>
          <w:noProof/>
          <w:sz w:val="20"/>
          <w:szCs w:val="20"/>
          <w:lang w:bidi="ar-EG"/>
        </w:rPr>
        <w:t xml:space="preserve">(Cui </w:t>
      </w:r>
      <w:r w:rsidRPr="00C673E0">
        <w:rPr>
          <w:rFonts w:ascii="Times New Roman" w:eastAsia="Calibri" w:hAnsi="Times New Roman"/>
          <w:b/>
          <w:bCs/>
          <w:i/>
          <w:iCs/>
          <w:noProof/>
          <w:sz w:val="20"/>
          <w:szCs w:val="20"/>
          <w:lang w:bidi="ar-EG"/>
        </w:rPr>
        <w:t>et al</w:t>
      </w:r>
      <w:r w:rsidRPr="00C673E0">
        <w:rPr>
          <w:rFonts w:ascii="Times New Roman" w:eastAsia="Calibri" w:hAnsi="Times New Roman"/>
          <w:b/>
          <w:bCs/>
          <w:noProof/>
          <w:sz w:val="20"/>
          <w:szCs w:val="20"/>
          <w:lang w:bidi="ar-EG"/>
        </w:rPr>
        <w:t>., 2018)</w:t>
      </w:r>
      <w:r w:rsidR="006E7628" w:rsidRPr="00C673E0">
        <w:rPr>
          <w:rFonts w:ascii="Times New Roman" w:eastAsia="Calibri" w:hAnsi="Times New Roman"/>
          <w:b/>
          <w:bCs/>
          <w:sz w:val="20"/>
          <w:szCs w:val="20"/>
          <w:lang w:bidi="ar-EG"/>
        </w:rPr>
        <w:fldChar w:fldCharType="end"/>
      </w:r>
      <w:r w:rsidRPr="00C673E0">
        <w:rPr>
          <w:rFonts w:ascii="Times New Roman" w:eastAsia="Calibri" w:hAnsi="Times New Roman"/>
          <w:sz w:val="20"/>
          <w:szCs w:val="20"/>
          <w:lang w:bidi="ar-EG"/>
        </w:rPr>
        <w:t>.</w:t>
      </w:r>
    </w:p>
    <w:p w:rsidR="001D37E9" w:rsidRPr="00C673E0" w:rsidRDefault="006C3B20"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Consistently with our results, </w:t>
      </w:r>
      <w:r w:rsidRPr="00C673E0">
        <w:rPr>
          <w:rFonts w:ascii="Times New Roman" w:eastAsia="Calibri" w:hAnsi="Times New Roman"/>
          <w:b/>
          <w:bCs/>
          <w:sz w:val="20"/>
          <w:szCs w:val="20"/>
          <w:lang w:bidi="ar-EG"/>
        </w:rPr>
        <w:t xml:space="preserve">Spurlock </w:t>
      </w:r>
      <w:r w:rsidRPr="00C673E0">
        <w:rPr>
          <w:rFonts w:ascii="Times New Roman" w:eastAsia="Calibri" w:hAnsi="Times New Roman"/>
          <w:b/>
          <w:bCs/>
          <w:i/>
          <w:iCs/>
          <w:sz w:val="20"/>
          <w:szCs w:val="20"/>
          <w:lang w:bidi="ar-EG"/>
        </w:rPr>
        <w:t>et al</w:t>
      </w:r>
      <w:r w:rsidRPr="00C673E0">
        <w:rPr>
          <w:rFonts w:ascii="Times New Roman" w:eastAsia="Calibri" w:hAnsi="Times New Roman"/>
          <w:b/>
          <w:bCs/>
          <w:sz w:val="20"/>
          <w:szCs w:val="20"/>
          <w:lang w:bidi="ar-EG"/>
        </w:rPr>
        <w:t>., (2014</w:t>
      </w:r>
      <w:r w:rsidRPr="00C673E0">
        <w:rPr>
          <w:rFonts w:ascii="Times New Roman" w:eastAsia="Calibri" w:hAnsi="Times New Roman"/>
          <w:sz w:val="20"/>
          <w:szCs w:val="20"/>
          <w:lang w:bidi="ar-EG"/>
        </w:rPr>
        <w:t>)</w:t>
      </w:r>
      <w:r w:rsidRPr="00C673E0">
        <w:rPr>
          <w:rFonts w:ascii="Times New Roman" w:eastAsia="Calibri" w:hAnsi="Times New Roman"/>
          <w:i/>
          <w:iCs/>
          <w:sz w:val="20"/>
          <w:szCs w:val="20"/>
          <w:lang w:bidi="ar-EG"/>
        </w:rPr>
        <w:t xml:space="preserve"> </w:t>
      </w:r>
      <w:r w:rsidRPr="00C673E0">
        <w:rPr>
          <w:rFonts w:ascii="Times New Roman" w:eastAsia="Calibri" w:hAnsi="Times New Roman"/>
          <w:sz w:val="20"/>
          <w:szCs w:val="20"/>
          <w:lang w:bidi="ar-EG"/>
        </w:rPr>
        <w:t>found that subjects with RA showed decreased expression levels of lincRNA-p21 and higher basal level of phosphorylated p65 (a NF-κB subunit) when compared to control subjects. Furthermore,</w:t>
      </w:r>
      <w:r w:rsidRPr="00C673E0">
        <w:rPr>
          <w:rFonts w:ascii="Times New Roman" w:eastAsia="Times New Roman" w:hAnsi="Times New Roman"/>
          <w:sz w:val="20"/>
          <w:szCs w:val="20"/>
        </w:rPr>
        <w:t xml:space="preserve"> </w:t>
      </w:r>
      <w:r w:rsidR="002A1F83" w:rsidRPr="00C673E0">
        <w:rPr>
          <w:rFonts w:ascii="Times New Roman" w:eastAsia="Calibri" w:hAnsi="Times New Roman"/>
          <w:sz w:val="20"/>
          <w:szCs w:val="20"/>
          <w:lang w:bidi="ar-EG"/>
        </w:rPr>
        <w:t>depressed</w:t>
      </w:r>
      <w:r w:rsidR="001D37E9" w:rsidRPr="00C673E0">
        <w:rPr>
          <w:rFonts w:ascii="Times New Roman" w:eastAsia="Calibri" w:hAnsi="Times New Roman"/>
          <w:sz w:val="20"/>
          <w:szCs w:val="20"/>
          <w:lang w:bidi="ar-EG"/>
        </w:rPr>
        <w:t xml:space="preserve"> levels of TP53 and lincRNA-p21 have been found to increase NF-κB activity in</w:t>
      </w:r>
      <w:r w:rsidR="002A1F83" w:rsidRPr="00C673E0">
        <w:rPr>
          <w:rFonts w:ascii="Times New Roman" w:eastAsia="Calibri" w:hAnsi="Times New Roman"/>
          <w:sz w:val="20"/>
          <w:szCs w:val="20"/>
          <w:lang w:bidi="ar-EG"/>
        </w:rPr>
        <w:t xml:space="preserve"> cell lines. The high </w:t>
      </w:r>
      <w:r w:rsidR="001B6955" w:rsidRPr="00C673E0">
        <w:rPr>
          <w:rFonts w:ascii="Times New Roman" w:eastAsia="Calibri" w:hAnsi="Times New Roman"/>
          <w:sz w:val="20"/>
          <w:szCs w:val="20"/>
          <w:lang w:bidi="ar-EG"/>
        </w:rPr>
        <w:t>levels of lincRNA-p21 are</w:t>
      </w:r>
      <w:r w:rsidR="001D37E9" w:rsidRPr="00C673E0">
        <w:rPr>
          <w:rFonts w:ascii="Times New Roman" w:eastAsia="Calibri" w:hAnsi="Times New Roman"/>
          <w:sz w:val="20"/>
          <w:szCs w:val="20"/>
          <w:lang w:bidi="ar-EG"/>
        </w:rPr>
        <w:t xml:space="preserve"> expected to play a protective role in RA in this situation.</w:t>
      </w:r>
    </w:p>
    <w:p w:rsidR="001B6955" w:rsidRPr="00C673E0" w:rsidRDefault="006C3B20"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A possible mechanism involved in this regard pertains to a research performed by </w:t>
      </w:r>
      <w:r w:rsidRPr="00C673E0">
        <w:rPr>
          <w:rFonts w:ascii="Times New Roman" w:eastAsia="Calibri" w:hAnsi="Times New Roman"/>
          <w:b/>
          <w:bCs/>
          <w:sz w:val="20"/>
          <w:szCs w:val="20"/>
          <w:lang w:bidi="ar-EG"/>
        </w:rPr>
        <w:t>Pearson and Jones (2016)</w:t>
      </w:r>
      <w:r w:rsidRPr="00C673E0">
        <w:rPr>
          <w:rFonts w:ascii="Times New Roman" w:eastAsia="Calibri" w:hAnsi="Times New Roman"/>
          <w:sz w:val="20"/>
          <w:szCs w:val="20"/>
          <w:lang w:bidi="ar-EG"/>
        </w:rPr>
        <w:t xml:space="preserve">. They suggested that </w:t>
      </w:r>
      <w:r w:rsidR="001B6955" w:rsidRPr="00C673E0">
        <w:rPr>
          <w:rFonts w:ascii="Times New Roman" w:eastAsia="Calibri" w:hAnsi="Times New Roman"/>
          <w:sz w:val="20"/>
          <w:szCs w:val="20"/>
          <w:lang w:bidi="ar-EG"/>
        </w:rPr>
        <w:t>in RA patients treated with methotrexate, lincRNA-p21 has the potential to suppress NF-kB signaling by sequestrating RelA (the NF-kB subunit p65) in T cells.</w:t>
      </w:r>
    </w:p>
    <w:p w:rsidR="006C3B20" w:rsidRPr="00C673E0" w:rsidRDefault="006C3B20"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As </w:t>
      </w:r>
      <w:r w:rsidRPr="00C673E0">
        <w:rPr>
          <w:rFonts w:ascii="Times New Roman" w:eastAsia="Times New Roman" w:hAnsi="Times New Roman"/>
          <w:sz w:val="20"/>
          <w:szCs w:val="20"/>
        </w:rPr>
        <w:t xml:space="preserve">a transcriptional target of p53, </w:t>
      </w:r>
      <w:r w:rsidR="008F4B78" w:rsidRPr="00C673E0">
        <w:rPr>
          <w:rFonts w:ascii="Times New Roman" w:eastAsia="Calibri" w:hAnsi="Times New Roman"/>
          <w:sz w:val="20"/>
          <w:szCs w:val="20"/>
          <w:lang w:bidi="ar-EG"/>
        </w:rPr>
        <w:t>an</w:t>
      </w:r>
      <w:r w:rsidRPr="00C673E0">
        <w:rPr>
          <w:rFonts w:ascii="Times New Roman" w:eastAsia="Calibri" w:hAnsi="Times New Roman"/>
          <w:sz w:val="20"/>
          <w:szCs w:val="20"/>
          <w:lang w:bidi="ar-EG"/>
        </w:rPr>
        <w:t xml:space="preserve"> </w:t>
      </w:r>
      <w:r w:rsidR="00E32858" w:rsidRPr="00C673E0">
        <w:rPr>
          <w:rFonts w:ascii="Times New Roman" w:eastAsia="Calibri" w:hAnsi="Times New Roman"/>
          <w:sz w:val="20"/>
          <w:szCs w:val="20"/>
          <w:lang w:bidi="ar-EG"/>
        </w:rPr>
        <w:t xml:space="preserve">increasing </w:t>
      </w:r>
      <w:r w:rsidRPr="00C673E0">
        <w:rPr>
          <w:rFonts w:ascii="Times New Roman" w:eastAsia="Calibri" w:hAnsi="Times New Roman"/>
          <w:sz w:val="20"/>
          <w:szCs w:val="20"/>
          <w:lang w:bidi="ar-EG"/>
        </w:rPr>
        <w:t xml:space="preserve">body of evidence </w:t>
      </w:r>
      <w:r w:rsidR="008F4B78" w:rsidRPr="00C673E0">
        <w:rPr>
          <w:rFonts w:ascii="Times New Roman" w:eastAsia="Calibri" w:hAnsi="Times New Roman"/>
          <w:sz w:val="20"/>
          <w:szCs w:val="20"/>
          <w:lang w:bidi="ar-EG"/>
        </w:rPr>
        <w:t>indicates</w:t>
      </w:r>
      <w:r w:rsidRPr="00C673E0">
        <w:rPr>
          <w:rFonts w:ascii="Times New Roman" w:eastAsia="Calibri" w:hAnsi="Times New Roman"/>
          <w:sz w:val="20"/>
          <w:szCs w:val="20"/>
          <w:lang w:bidi="ar-EG"/>
        </w:rPr>
        <w:t xml:space="preserve"> that lincRNA-p21 is a novel regulator of</w:t>
      </w:r>
      <w:r w:rsidR="003E3F44" w:rsidRPr="00C673E0">
        <w:rPr>
          <w:rFonts w:ascii="Times New Roman" w:eastAsia="Calibri" w:hAnsi="Times New Roman"/>
          <w:sz w:val="20"/>
          <w:szCs w:val="20"/>
          <w:lang w:bidi="ar-EG"/>
        </w:rPr>
        <w:t xml:space="preserve"> </w:t>
      </w:r>
      <w:r w:rsidRPr="00C673E0">
        <w:rPr>
          <w:rFonts w:ascii="Times New Roman" w:eastAsia="Calibri" w:hAnsi="Times New Roman"/>
          <w:sz w:val="20"/>
          <w:szCs w:val="20"/>
          <w:lang w:bidi="ar-EG"/>
        </w:rPr>
        <w:t xml:space="preserve">apoptosis </w:t>
      </w:r>
      <w:r w:rsidR="006E7628" w:rsidRPr="00C673E0">
        <w:rPr>
          <w:rFonts w:ascii="Times New Roman" w:eastAsia="Calibri" w:hAnsi="Times New Roman"/>
          <w:b/>
          <w:bCs/>
          <w:sz w:val="20"/>
          <w:szCs w:val="20"/>
          <w:lang w:bidi="ar-EG"/>
        </w:rPr>
        <w:fldChar w:fldCharType="begin" w:fldLock="1"/>
      </w:r>
      <w:r w:rsidRPr="00C673E0">
        <w:rPr>
          <w:rFonts w:ascii="Times New Roman" w:eastAsia="Calibri" w:hAnsi="Times New Roman"/>
          <w:b/>
          <w:bCs/>
          <w:sz w:val="20"/>
          <w:szCs w:val="20"/>
          <w:lang w:bidi="ar-EG"/>
        </w:rPr>
        <w:instrText>ADDIN CSL_CITATION {"citationItems":[{"id":"ITEM-1","itemData":{"DOI":"10.1093/nar/gkw599","ISSN":"13624962","abstract":"LincRNA-p21 is a long intergenic non-coding RNA (lincRNA) involved in the p53-mediated stress response. We sequenced the human lincRNA-p21 (hLincRNA-p21) and found that it has a single exon that includes inverted repeat Alu elements (IRAlus). Sense and antisense Alu elements fold independently of one another into a secondary structure that is conserved in lincRNA-p21 among primates. Moreover, the structures formed by IRAlus are involved in the localization of hLincRNA-p21 in the nucleus, where hLincRNA-p21 colocalizes with paraspeckles. Our results underscore the importance of IRAlus structures for the function of hLincRNA-p21 during the stress response.","author":[{"dropping-particle":"","family":"Chillón","given":"Isabel","non-dropping-particle":"","parse-names":false,"suffix":""},{"dropping-particle":"","family":"Pyle","given":"Anna M.","non-dropping-particle":"","parse-names":false,"suffix":""}],"container-title":"Nucleic Acids Research","id":"ITEM-1","issue":"19","issued":{"date-parts":[["2016"]]},"page":"9462-9471","title":"Inverted repeat Alu elements in the human lincRNA-p21 adopt a conserved secondary structure that regulates RNA function","type":"article-journal","volume":"44"},"uris":["http://www.mendeley.com/documents/?uuid=9d66b653-ad9d-4b66-ba2d-5f39697fe745"]}],"mendeley":{"formattedCitation":"(Chillón and Pyle, 2016)","plainTextFormattedCitation":"(Chillón and Pyle, 2016)"},"properties":{"noteIndex":0},"schema":"https://github.com/citation-style-language/schema/raw/master/csl-citation.json"}</w:instrText>
      </w:r>
      <w:r w:rsidR="006E7628" w:rsidRPr="00C673E0">
        <w:rPr>
          <w:rFonts w:ascii="Times New Roman" w:eastAsia="Calibri" w:hAnsi="Times New Roman"/>
          <w:b/>
          <w:bCs/>
          <w:sz w:val="20"/>
          <w:szCs w:val="20"/>
          <w:lang w:bidi="ar-EG"/>
        </w:rPr>
        <w:fldChar w:fldCharType="separate"/>
      </w:r>
      <w:r w:rsidRPr="00C673E0">
        <w:rPr>
          <w:rFonts w:ascii="Times New Roman" w:eastAsia="Calibri" w:hAnsi="Times New Roman"/>
          <w:b/>
          <w:bCs/>
          <w:noProof/>
          <w:sz w:val="20"/>
          <w:szCs w:val="20"/>
          <w:lang w:bidi="ar-EG"/>
        </w:rPr>
        <w:t>(Chillón and Pyle, 2016)</w:t>
      </w:r>
      <w:r w:rsidR="006E7628" w:rsidRPr="00C673E0">
        <w:rPr>
          <w:rFonts w:ascii="Times New Roman" w:eastAsia="Calibri" w:hAnsi="Times New Roman"/>
          <w:b/>
          <w:bCs/>
          <w:sz w:val="20"/>
          <w:szCs w:val="20"/>
          <w:lang w:bidi="ar-EG"/>
        </w:rPr>
        <w:fldChar w:fldCharType="end"/>
      </w:r>
      <w:r w:rsidRPr="00C673E0">
        <w:rPr>
          <w:rFonts w:ascii="Times New Roman" w:eastAsia="Calibri" w:hAnsi="Times New Roman"/>
          <w:sz w:val="20"/>
          <w:szCs w:val="20"/>
          <w:lang w:bidi="ar-EG"/>
        </w:rPr>
        <w:t>. Studies demonstrated the association of deregulated apoptosis</w:t>
      </w:r>
      <w:r w:rsidRPr="00C673E0">
        <w:rPr>
          <w:rFonts w:ascii="Times New Roman" w:eastAsia="Calibri" w:hAnsi="Times New Roman"/>
          <w:sz w:val="20"/>
          <w:szCs w:val="20"/>
        </w:rPr>
        <w:t xml:space="preserve"> </w:t>
      </w:r>
      <w:r w:rsidRPr="00C673E0">
        <w:rPr>
          <w:rFonts w:ascii="Times New Roman" w:eastAsia="Calibri" w:hAnsi="Times New Roman"/>
          <w:sz w:val="20"/>
          <w:szCs w:val="20"/>
          <w:lang w:bidi="ar-EG"/>
        </w:rPr>
        <w:t xml:space="preserve">with maintenance of auto-reactive T cells in the CNS of EAE models and MS patients </w:t>
      </w:r>
      <w:r w:rsidR="006E7628" w:rsidRPr="00C673E0">
        <w:rPr>
          <w:rFonts w:ascii="Times New Roman" w:eastAsia="Calibri" w:hAnsi="Times New Roman"/>
          <w:b/>
          <w:bCs/>
          <w:sz w:val="20"/>
          <w:szCs w:val="20"/>
        </w:rPr>
        <w:fldChar w:fldCharType="begin" w:fldLock="1"/>
      </w:r>
      <w:r w:rsidRPr="00C673E0">
        <w:rPr>
          <w:rFonts w:ascii="Times New Roman" w:eastAsia="Calibri" w:hAnsi="Times New Roman"/>
          <w:b/>
          <w:bCs/>
          <w:sz w:val="20"/>
          <w:szCs w:val="20"/>
        </w:rPr>
        <w:instrText>ADDIN CSL_CITATION {"citationItems":[{"id":"ITEM-1","itemData":{"DOI":"10.1111/cei.12895","ISSN":"13652249","abstract":"</w:instrText>
      </w:r>
      <w:r w:rsidRPr="00C673E0">
        <w:rPr>
          <w:rFonts w:ascii="Times New Roman" w:eastAsia="Calibri" w:hAnsi="Cambria Math"/>
          <w:b/>
          <w:bCs/>
          <w:sz w:val="20"/>
          <w:szCs w:val="20"/>
        </w:rPr>
        <w:instrText>�</w:instrText>
      </w:r>
      <w:r w:rsidRPr="00C673E0">
        <w:rPr>
          <w:rFonts w:ascii="Times New Roman" w:eastAsia="Calibri" w:hAnsi="Times New Roman"/>
          <w:b/>
          <w:bCs/>
          <w:sz w:val="20"/>
          <w:szCs w:val="20"/>
        </w:rPr>
        <w:instrText xml:space="preserve"> 2016 British Society for Immunology Defective apoptosis might be involved in the pathogenesis of multiple sclerosis (MS). We evaluated apoptosis-related molecules in MS patients before and after autologous haematopoietic stem cell transplantation (AHSCT) using BCNU, Etoposide, AraC and Melphalan (BEAM) or cyclophosphamide (CY)-based conditioning regimens. Patients were followed for clinical and immunological parameters for 2 years after AHSCT. At baseline, MS patients had decreased proapoptotic BAD, BAX and FASL and increased A1 gene expression when compared with healthy counterparts. In the BEAM group, BAK, BIK, BIMEL, FAS, FASL, A1, BCL2, BCLXL, CFLIPL and CIAP2 genes were up-regulated after AHSCT. With the exception of BIK, BIMEL and A1, all genes reached levels similar to controls at day</w:instrText>
      </w:r>
      <w:r w:rsidRPr="00C673E0">
        <w:rPr>
          <w:rFonts w:ascii="Times New Roman" w:eastAsia="Calibri" w:hAnsi="Cambria Math"/>
          <w:b/>
          <w:bCs/>
          <w:sz w:val="20"/>
          <w:szCs w:val="20"/>
        </w:rPr>
        <w:instrText>�</w:instrText>
      </w:r>
      <w:r w:rsidRPr="00C673E0">
        <w:rPr>
          <w:rFonts w:ascii="Times New Roman" w:eastAsia="Calibri" w:hAnsi="Times New Roman"/>
          <w:b/>
          <w:bCs/>
          <w:sz w:val="20"/>
          <w:szCs w:val="20"/>
        </w:rPr>
        <w:instrText>+</w:instrText>
      </w:r>
      <w:r w:rsidRPr="00C673E0">
        <w:rPr>
          <w:rFonts w:ascii="Times New Roman" w:eastAsia="Calibri" w:hAnsi="Cambria Math"/>
          <w:b/>
          <w:bCs/>
          <w:sz w:val="20"/>
          <w:szCs w:val="20"/>
        </w:rPr>
        <w:instrText>�</w:instrText>
      </w:r>
      <w:r w:rsidRPr="00C673E0">
        <w:rPr>
          <w:rFonts w:ascii="Times New Roman" w:eastAsia="Calibri" w:hAnsi="Times New Roman"/>
          <w:b/>
          <w:bCs/>
          <w:sz w:val="20"/>
          <w:szCs w:val="20"/>
        </w:rPr>
        <w:instrText>720 post-transplantation. Furthermore, in these patients, we observed increased CD8+ Fas+ T cell frequencies after AHSCT when compared to baseline. In the CY group, we observed increased BAX, BCLW, CFLIPL and CIAP1 and decreased BIK and BID gene expressions after transplantation. At day +</w:instrText>
      </w:r>
      <w:r w:rsidRPr="00C673E0">
        <w:rPr>
          <w:rFonts w:ascii="Times New Roman" w:eastAsia="Calibri" w:hAnsi="Cambria Math"/>
          <w:b/>
          <w:bCs/>
          <w:sz w:val="20"/>
          <w:szCs w:val="20"/>
        </w:rPr>
        <w:instrText>�</w:instrText>
      </w:r>
      <w:r w:rsidRPr="00C673E0">
        <w:rPr>
          <w:rFonts w:ascii="Times New Roman" w:eastAsia="Calibri" w:hAnsi="Times New Roman"/>
          <w:b/>
          <w:bCs/>
          <w:sz w:val="20"/>
          <w:szCs w:val="20"/>
        </w:rPr>
        <w:instrText>720 post-AHSCT, the expression of BAX, FAS, FASL, BCL2, BCLXL and CIAP1 was similar to that of controls. Protein analyses showed increased Bcl-2 expression before transplantation. At 1 year post-AHSCT, expression of Bak, Bim, Bcl-2, Bcl-xL and cFlip-L was decreased when compared to baseline values. In summary, our findings suggest that normalization of apoptosis-related molecules is associated with the early therapeutic effects of AHSCT in MS patients. These mechanisms may be involved in the re-establishment of immune tolerance during the first 2 years post-transplantation.","author":[{"dropping-particle":"","family":"Oliveira","given":"G. L.V.","non-dropping-particle":"de","parse-names":false,"suffix":""},{"dropping-particle":"","family":"Ferreira","given":"A. F.","non-dropping-particle":"","parse-names":false,"suffix":""},{"dropping-particle":"","family":"Gasparotto","given":"E. P.L.","non-dropping-particle":"","parse-names":false,"suffix":""},{"dropping-particle":"","family":"Kashima","given":"S.","non-dropping-particle":"","parse-names":false,"suffix":""},{"dropping-particle":"","family":"Covas","given":"D. T.","non-dropping-particle":"","parse-names":false,"suffix":""},{"dropping-particle":"","family":"Guerreiro","given":"C. T.","non-dropping-particle":"","parse-names":false,"suffix":""},{"dropping-particle":"","family":"Brum","given":"D. G.","non-dropping-particle":"","parse-names":false,"suffix":""},{"dropping-particle":"","family":"Barreira","given":"A. A.","non-dropping-particle":"","parse-names":false,"suffix":""},{"dropping-particle":"","family":"Voltarelli","given":"J. C.","non-dropping-particle":"","parse-names":false,"suffix":""},{"dropping-particle":"","family":"Sim</w:instrText>
      </w:r>
      <w:r w:rsidRPr="00C673E0">
        <w:rPr>
          <w:rFonts w:ascii="Times New Roman" w:eastAsia="Calibri" w:hAnsi="Cambria Math"/>
          <w:b/>
          <w:bCs/>
          <w:sz w:val="20"/>
          <w:szCs w:val="20"/>
        </w:rPr>
        <w:instrText>�</w:instrText>
      </w:r>
      <w:r w:rsidRPr="00C673E0">
        <w:rPr>
          <w:rFonts w:ascii="Times New Roman" w:eastAsia="Calibri" w:hAnsi="Times New Roman"/>
          <w:b/>
          <w:bCs/>
          <w:sz w:val="20"/>
          <w:szCs w:val="20"/>
        </w:rPr>
        <w:instrText>es","given":"B. P.","non-dropping-particle":"","parse-names":false,"suffix":""},{"dropping-particle":"","family":"Oliveira","given":"M. C.","non-dropping-particle":"","parse-names":false,"suffix":""},{"dropping-particle":"","family":"Castro","given":"F. A.","non-dropping-particle":"de","parse-names":false,"suffix":""},{"dropping-particle":"","family":"Malmegrim","given":"K. C.R.","non-dropping-particle":"","parse-names":false,"suffix":""}],"container-title":"Clinical and Experimental Immunology","id":"ITEM-1","issue":"3","issued":{"date-parts":[["2017"]]},"page":"383-398","title":"Defective expression of apoptosis-related molecules in multiple sclerosis patients is normalized early after autologous haematopoietic stem cell transplantation","type":"article-journal","volume":"187"},"uris":["http://www.mendeley.com/documents/?uuid=a615cd08-6d3f-4b4f-bad8-9fe2851caf2a"]}],"mendeley":{"formattedCitation":"(de Oliveira &lt;i&gt;et al.&lt;/i&gt;, 2017)","plainTextFormattedCitation":"(de Oliveira et al., 2017)","previouslyFormattedCitation":"(de Oliveira &lt;i&gt;et al.&lt;/i&gt;, 2017)"},"properties":{"noteIndex":0},"schema":"https://github.com/citation-style-language/schema/raw/master/csl-citation.json"}</w:instrText>
      </w:r>
      <w:r w:rsidR="006E7628" w:rsidRPr="00C673E0">
        <w:rPr>
          <w:rFonts w:ascii="Times New Roman" w:eastAsia="Calibri" w:hAnsi="Times New Roman"/>
          <w:b/>
          <w:bCs/>
          <w:sz w:val="20"/>
          <w:szCs w:val="20"/>
        </w:rPr>
        <w:fldChar w:fldCharType="separate"/>
      </w:r>
      <w:r w:rsidRPr="00C673E0">
        <w:rPr>
          <w:rFonts w:ascii="Times New Roman" w:eastAsia="Calibri" w:hAnsi="Times New Roman"/>
          <w:b/>
          <w:bCs/>
          <w:noProof/>
          <w:sz w:val="20"/>
          <w:szCs w:val="20"/>
        </w:rPr>
        <w:t xml:space="preserve">(de Oliveira </w:t>
      </w:r>
      <w:r w:rsidRPr="00C673E0">
        <w:rPr>
          <w:rFonts w:ascii="Times New Roman" w:eastAsia="Calibri" w:hAnsi="Times New Roman"/>
          <w:b/>
          <w:bCs/>
          <w:i/>
          <w:noProof/>
          <w:sz w:val="20"/>
          <w:szCs w:val="20"/>
        </w:rPr>
        <w:t>et al.</w:t>
      </w:r>
      <w:r w:rsidRPr="00C673E0">
        <w:rPr>
          <w:rFonts w:ascii="Times New Roman" w:eastAsia="Calibri" w:hAnsi="Times New Roman"/>
          <w:b/>
          <w:bCs/>
          <w:noProof/>
          <w:sz w:val="20"/>
          <w:szCs w:val="20"/>
        </w:rPr>
        <w:t>, 2017)</w:t>
      </w:r>
      <w:r w:rsidR="006E7628" w:rsidRPr="00C673E0">
        <w:rPr>
          <w:rFonts w:ascii="Times New Roman" w:eastAsia="Calibri" w:hAnsi="Times New Roman"/>
          <w:b/>
          <w:bCs/>
          <w:sz w:val="20"/>
          <w:szCs w:val="20"/>
        </w:rPr>
        <w:fldChar w:fldCharType="end"/>
      </w:r>
      <w:r w:rsidRPr="00C673E0">
        <w:rPr>
          <w:rFonts w:ascii="Times New Roman" w:eastAsia="Calibri" w:hAnsi="Times New Roman"/>
          <w:sz w:val="20"/>
          <w:szCs w:val="20"/>
          <w:lang w:bidi="ar-EG"/>
        </w:rPr>
        <w:t xml:space="preserve">. The anti-inflammatory role of lincRNA-p21 through apoptosis modulation </w:t>
      </w:r>
      <w:r w:rsidRPr="00C673E0">
        <w:rPr>
          <w:rFonts w:ascii="Times New Roman" w:eastAsia="Times New Roman" w:hAnsi="Times New Roman"/>
          <w:sz w:val="20"/>
          <w:szCs w:val="20"/>
        </w:rPr>
        <w:t xml:space="preserve">was supported by </w:t>
      </w:r>
      <w:r w:rsidR="006E7628" w:rsidRPr="00C673E0">
        <w:rPr>
          <w:rFonts w:ascii="Times New Roman" w:eastAsia="Calibri" w:hAnsi="Times New Roman"/>
          <w:b/>
          <w:bCs/>
          <w:sz w:val="20"/>
          <w:szCs w:val="20"/>
          <w:lang w:bidi="ar-EG"/>
        </w:rPr>
        <w:fldChar w:fldCharType="begin" w:fldLock="1"/>
      </w:r>
      <w:r w:rsidRPr="00C673E0">
        <w:rPr>
          <w:rFonts w:ascii="Times New Roman" w:eastAsia="Calibri" w:hAnsi="Times New Roman"/>
          <w:b/>
          <w:bCs/>
          <w:sz w:val="20"/>
          <w:szCs w:val="20"/>
          <w:lang w:bidi="ar-EG"/>
        </w:rPr>
        <w:instrText>ADDIN CSL_CITATION {"citationItems":[{"id":"ITEM-1","itemData":{"DOI":"10.1161/CIRCULATIONAHA.114.011675.LincRNA-p21","author":[{"dropping-particle":"","family":"Wu","given":"Gengze","non-dropping-particle":"","parse-names":false,"suffix":""},{"dropping-particle":"","family":"Cai","given":"Jin","non-dropping-particle":"","parse-names":false,"suffix":""},{"dropping-particle":"","family":"Han","given":"Yu","non-dropping-particle":"","parse-names":false,"suffix":""},{"dropping-particle":"","family":"Chen","given":"Jinghai","non-dropping-particle":"","parse-names":false,"suffix":""},{"dropping-particle":"","family":"Huang","given":"Zhan","non-dropping-particle":"","parse-names":false,"suffix":""},{"dropping-particle":"","family":"Chen","given":"Caiyu","non-dropping-particle":"","parse-names":false,"suffix":""},{"dropping-particle":"","family":"Cai","given":"Yue","non-dropping-particle":"","parse-names":false,"suffix":""}],"id":"ITEM-1","issue":"17","issued":{"date-parts":[["2014"]]},"page":"1452-1465","title":"LincRNA-p21 Regulates Neointima Formation, Vascular Smooth Muscle Cell Proliferation, Apoptosis and Atherosclerosis by Enhancing p53 Activity","type":"article-journal","volume":"130"},"uris":["http://www.mendeley.com/documents/?uuid=79048f5f-90a0-424a-a8d1-57f0b6279f04"]}],"mendeley":{"formattedCitation":"(Wu &lt;i&gt;et al.&lt;/i&gt;, 2014)","manualFormatting":"Wu et al., (2014)","plainTextFormattedCitation":"(Wu et al., 2014)","previouslyFormattedCitation":"(Wu &lt;i&gt;et al.&lt;/i&gt;, 2014)"},"properties":{"noteIndex":0},"schema":"https://github.com/citation-style-language/schema/raw/master/csl-citation.json"}</w:instrText>
      </w:r>
      <w:r w:rsidR="006E7628" w:rsidRPr="00C673E0">
        <w:rPr>
          <w:rFonts w:ascii="Times New Roman" w:eastAsia="Calibri" w:hAnsi="Times New Roman"/>
          <w:b/>
          <w:bCs/>
          <w:sz w:val="20"/>
          <w:szCs w:val="20"/>
          <w:lang w:bidi="ar-EG"/>
        </w:rPr>
        <w:fldChar w:fldCharType="separate"/>
      </w:r>
      <w:r w:rsidRPr="00C673E0">
        <w:rPr>
          <w:rFonts w:ascii="Times New Roman" w:eastAsia="Calibri" w:hAnsi="Times New Roman"/>
          <w:b/>
          <w:bCs/>
          <w:noProof/>
          <w:sz w:val="20"/>
          <w:szCs w:val="20"/>
          <w:lang w:bidi="ar-EG"/>
        </w:rPr>
        <w:t xml:space="preserve">Wu </w:t>
      </w:r>
      <w:r w:rsidRPr="00C673E0">
        <w:rPr>
          <w:rFonts w:ascii="Times New Roman" w:eastAsia="Calibri" w:hAnsi="Times New Roman"/>
          <w:b/>
          <w:bCs/>
          <w:i/>
          <w:noProof/>
          <w:sz w:val="20"/>
          <w:szCs w:val="20"/>
          <w:lang w:bidi="ar-EG"/>
        </w:rPr>
        <w:t>et al.</w:t>
      </w:r>
      <w:r w:rsidRPr="00C673E0">
        <w:rPr>
          <w:rFonts w:ascii="Times New Roman" w:eastAsia="Calibri" w:hAnsi="Times New Roman"/>
          <w:b/>
          <w:bCs/>
          <w:noProof/>
          <w:sz w:val="20"/>
          <w:szCs w:val="20"/>
          <w:lang w:bidi="ar-EG"/>
        </w:rPr>
        <w:t>, (2014)</w:t>
      </w:r>
      <w:r w:rsidR="006E7628" w:rsidRPr="00C673E0">
        <w:rPr>
          <w:rFonts w:ascii="Times New Roman" w:eastAsia="Calibri" w:hAnsi="Times New Roman"/>
          <w:b/>
          <w:bCs/>
          <w:sz w:val="20"/>
          <w:szCs w:val="20"/>
          <w:lang w:bidi="ar-EG"/>
        </w:rPr>
        <w:fldChar w:fldCharType="end"/>
      </w:r>
      <w:r w:rsidRPr="00C673E0">
        <w:rPr>
          <w:rFonts w:ascii="Times New Roman" w:eastAsia="Calibri" w:hAnsi="Times New Roman"/>
          <w:b/>
          <w:bCs/>
          <w:sz w:val="20"/>
          <w:szCs w:val="20"/>
          <w:lang w:bidi="ar-EG"/>
        </w:rPr>
        <w:t xml:space="preserve"> </w:t>
      </w:r>
      <w:r w:rsidRPr="00C673E0">
        <w:rPr>
          <w:rFonts w:ascii="Times New Roman" w:eastAsia="Times New Roman" w:hAnsi="Times New Roman"/>
          <w:sz w:val="20"/>
          <w:szCs w:val="20"/>
        </w:rPr>
        <w:t xml:space="preserve">who described that lincRNA-p21 is in association with the regulation of atherosclerosis by modulating cell proliferation and apoptosis through activation of p53. They reported that lincRNA-p21 feeds back to </w:t>
      </w:r>
      <w:r w:rsidR="001F018A" w:rsidRPr="00C673E0">
        <w:rPr>
          <w:rFonts w:ascii="Times New Roman" w:eastAsia="Times New Roman" w:hAnsi="Times New Roman"/>
          <w:sz w:val="20"/>
          <w:szCs w:val="20"/>
        </w:rPr>
        <w:t>boost</w:t>
      </w:r>
      <w:r w:rsidRPr="00C673E0">
        <w:rPr>
          <w:rFonts w:ascii="Times New Roman" w:eastAsia="Times New Roman" w:hAnsi="Times New Roman"/>
          <w:sz w:val="20"/>
          <w:szCs w:val="20"/>
        </w:rPr>
        <w:t xml:space="preserve"> p53 transcriptional activity </w:t>
      </w:r>
      <w:r w:rsidR="002B016C" w:rsidRPr="00C673E0">
        <w:rPr>
          <w:rFonts w:ascii="Times New Roman" w:eastAsia="Times New Roman" w:hAnsi="Times New Roman"/>
          <w:sz w:val="20"/>
          <w:szCs w:val="20"/>
        </w:rPr>
        <w:t>through</w:t>
      </w:r>
      <w:r w:rsidRPr="00C673E0">
        <w:rPr>
          <w:rFonts w:ascii="Times New Roman" w:eastAsia="Times New Roman" w:hAnsi="Times New Roman"/>
          <w:sz w:val="20"/>
          <w:szCs w:val="20"/>
        </w:rPr>
        <w:t xml:space="preserve"> binding to MDM2. </w:t>
      </w:r>
      <w:r w:rsidR="00E17BA6" w:rsidRPr="00C673E0">
        <w:rPr>
          <w:rFonts w:ascii="Times New Roman" w:eastAsia="Times New Roman" w:hAnsi="Times New Roman"/>
          <w:sz w:val="20"/>
          <w:szCs w:val="20"/>
        </w:rPr>
        <w:t xml:space="preserve">MDM2 repression of p53 is released by the lincRNA-p21 and MDM2 association, allowing </w:t>
      </w:r>
      <w:r w:rsidRPr="00C673E0">
        <w:rPr>
          <w:rFonts w:ascii="Times New Roman" w:eastAsia="Times New Roman" w:hAnsi="Times New Roman"/>
          <w:sz w:val="20"/>
          <w:szCs w:val="20"/>
        </w:rPr>
        <w:t xml:space="preserve">p53 to interact with p300 and bind to the promoters/enhancers of its target genes. Thus, lincRNA-p21 may be involved in MS through many cellular processes including apoptosis. </w:t>
      </w:r>
    </w:p>
    <w:p w:rsidR="006C3B20" w:rsidRPr="00C673E0" w:rsidRDefault="006C3B20"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In the current study, there was significant higher expression levels of lincRNA-p21 among patients who received cyclophosphamide than those who received interferon (p=0.005). Cyclophosphamide is a widely </w:t>
      </w:r>
      <w:r w:rsidRPr="00C673E0">
        <w:rPr>
          <w:rFonts w:ascii="Times New Roman" w:eastAsia="Calibri" w:hAnsi="Times New Roman"/>
          <w:sz w:val="20"/>
          <w:szCs w:val="20"/>
          <w:lang w:bidi="ar-EG"/>
        </w:rPr>
        <w:lastRenderedPageBreak/>
        <w:t xml:space="preserve">used cytotoxic immunosuppressive drug in cancer chemotherapy and autoimmune diseases. Previous studies have shown abnormal expression of pro-apoptotic genes in MS patients using cyclophosphamide compared to controls </w:t>
      </w:r>
      <w:r w:rsidR="006E7628" w:rsidRPr="00C673E0">
        <w:rPr>
          <w:rFonts w:ascii="Times New Roman" w:eastAsia="Calibri" w:hAnsi="Times New Roman"/>
          <w:b/>
          <w:bCs/>
          <w:sz w:val="20"/>
          <w:szCs w:val="20"/>
          <w:lang w:bidi="ar-EG"/>
        </w:rPr>
        <w:fldChar w:fldCharType="begin" w:fldLock="1"/>
      </w:r>
      <w:r w:rsidRPr="00C673E0">
        <w:rPr>
          <w:rFonts w:ascii="Times New Roman" w:eastAsia="Calibri" w:hAnsi="Times New Roman"/>
          <w:b/>
          <w:bCs/>
          <w:sz w:val="20"/>
          <w:szCs w:val="20"/>
          <w:lang w:bidi="ar-EG"/>
        </w:rPr>
        <w:instrText>ADDIN CSL_CITATION {"citationItems":[{"id":"ITEM-1","itemData":{"DOI":"10.1111/cei.12895","ISSN":"13652249","abstract":"</w:instrText>
      </w:r>
      <w:r w:rsidRPr="00C673E0">
        <w:rPr>
          <w:rFonts w:ascii="Times New Roman" w:eastAsia="Calibri" w:hAnsi="Cambria Math"/>
          <w:b/>
          <w:bCs/>
          <w:sz w:val="20"/>
          <w:szCs w:val="20"/>
          <w:lang w:bidi="ar-EG"/>
        </w:rPr>
        <w:instrText>�</w:instrText>
      </w:r>
      <w:r w:rsidRPr="00C673E0">
        <w:rPr>
          <w:rFonts w:ascii="Times New Roman" w:eastAsia="Calibri" w:hAnsi="Times New Roman"/>
          <w:b/>
          <w:bCs/>
          <w:sz w:val="20"/>
          <w:szCs w:val="20"/>
          <w:lang w:bidi="ar-EG"/>
        </w:rPr>
        <w:instrText xml:space="preserve"> 2016 British Society for Immunology Defective apoptosis might be involved in the pathogenesis of multiple sclerosis (MS). We evaluated apoptosis-related molecules in MS patients before and after autologous haematopoietic stem cell transplantation (AHSCT) using BCNU, Etoposide, AraC and Melphalan (BEAM) or cyclophosphamide (CY)-based conditioning regimens. Patients were followed for clinical and immunological parameters for 2 years after AHSCT. At baseline, MS patients had decreased proapoptotic BAD, BAX and FASL and increased A1 gene expression when compared with healthy counterparts. In the BEAM group, BAK, BIK, BIMEL, FAS, FASL, A1, BCL2, BCLXL, CFLIPL and CIAP2 genes were up-regulated after AHSCT. With the exception of BIK, BIMEL and A1, all genes reached levels similar to controls at day</w:instrText>
      </w:r>
      <w:r w:rsidRPr="00C673E0">
        <w:rPr>
          <w:rFonts w:ascii="Times New Roman" w:eastAsia="Calibri" w:hAnsi="Cambria Math"/>
          <w:b/>
          <w:bCs/>
          <w:sz w:val="20"/>
          <w:szCs w:val="20"/>
          <w:lang w:bidi="ar-EG"/>
        </w:rPr>
        <w:instrText>�</w:instrText>
      </w:r>
      <w:r w:rsidRPr="00C673E0">
        <w:rPr>
          <w:rFonts w:ascii="Times New Roman" w:eastAsia="Calibri" w:hAnsi="Times New Roman"/>
          <w:b/>
          <w:bCs/>
          <w:sz w:val="20"/>
          <w:szCs w:val="20"/>
          <w:lang w:bidi="ar-EG"/>
        </w:rPr>
        <w:instrText>+</w:instrText>
      </w:r>
      <w:r w:rsidRPr="00C673E0">
        <w:rPr>
          <w:rFonts w:ascii="Times New Roman" w:eastAsia="Calibri" w:hAnsi="Cambria Math"/>
          <w:b/>
          <w:bCs/>
          <w:sz w:val="20"/>
          <w:szCs w:val="20"/>
          <w:lang w:bidi="ar-EG"/>
        </w:rPr>
        <w:instrText>�</w:instrText>
      </w:r>
      <w:r w:rsidRPr="00C673E0">
        <w:rPr>
          <w:rFonts w:ascii="Times New Roman" w:eastAsia="Calibri" w:hAnsi="Times New Roman"/>
          <w:b/>
          <w:bCs/>
          <w:sz w:val="20"/>
          <w:szCs w:val="20"/>
          <w:lang w:bidi="ar-EG"/>
        </w:rPr>
        <w:instrText>720 post-transplantation. Furthermore, in these patients, we observed increased CD8+ Fas+ T cell frequencies after AHSCT when compared to baseline. In the CY group, we observed increased BAX, BCLW, CFLIPL and CIAP1 and decreased BIK and BID gene expressions after transplantation. At day +</w:instrText>
      </w:r>
      <w:r w:rsidRPr="00C673E0">
        <w:rPr>
          <w:rFonts w:ascii="Times New Roman" w:eastAsia="Calibri" w:hAnsi="Cambria Math"/>
          <w:b/>
          <w:bCs/>
          <w:sz w:val="20"/>
          <w:szCs w:val="20"/>
          <w:lang w:bidi="ar-EG"/>
        </w:rPr>
        <w:instrText>�</w:instrText>
      </w:r>
      <w:r w:rsidRPr="00C673E0">
        <w:rPr>
          <w:rFonts w:ascii="Times New Roman" w:eastAsia="Calibri" w:hAnsi="Times New Roman"/>
          <w:b/>
          <w:bCs/>
          <w:sz w:val="20"/>
          <w:szCs w:val="20"/>
          <w:lang w:bidi="ar-EG"/>
        </w:rPr>
        <w:instrText>720 post-AHSCT, the expression of BAX, FAS, FASL, BCL2, BCLXL and CIAP1 was similar to that of controls. Protein analyses showed increased Bcl-2 expression before transplantation. At 1 year post-AHSCT, expression of Bak, Bim, Bcl-2, Bcl-xL and cFlip-L was decreased when compared to baseline values. In summary, our findings suggest that normalization of apoptosis-related molecules is associated with the early therapeutic effects of AHSCT in MS patients. These mechanisms may be involved in the re-establishment of immune tolerance during the first 2 years post-transplantation.","author":[{"dropping-particle":"","family":"Oliveira","given":"G. L.V.","non-dropping-particle":"de","parse-names":false,"suffix":""},{"dropping-particle":"","family":"Ferreira","given":"A. F.","non-dropping-particle":"","parse-names":false,"suffix":""},{"dropping-particle":"","family":"Gasparotto","given":"E. P.L.","non-dropping-particle":"","parse-names":false,"suffix":""},{"dropping-particle":"","family":"Kashima","given":"S.","non-dropping-particle":"","parse-names":false,"suffix":""},{"dropping-particle":"","family":"Covas","given":"D. T.","non-dropping-particle":"","parse-names":false,"suffix":""},{"dropping-particle":"","family":"Guerreiro","given":"C. T.","non-dropping-particle":"","parse-names":false,"suffix":""},{"dropping-particle":"","family":"Brum","given":"D. G.","non-dropping-particle":"","parse-names":false,"suffix":""},{"dropping-particle":"","family":"Barreira","given":"A. A.","non-dropping-particle":"","parse-names":false,"suffix":""},{"dropping-particle":"","family":"Voltarelli","given":"J. C.","non-dropping-particle":"","parse-names":false,"suffix":""},{"dropping-particle":"","family":"Sim</w:instrText>
      </w:r>
      <w:r w:rsidRPr="00C673E0">
        <w:rPr>
          <w:rFonts w:ascii="Times New Roman" w:eastAsia="Calibri" w:hAnsi="Cambria Math"/>
          <w:b/>
          <w:bCs/>
          <w:sz w:val="20"/>
          <w:szCs w:val="20"/>
          <w:lang w:bidi="ar-EG"/>
        </w:rPr>
        <w:instrText>�</w:instrText>
      </w:r>
      <w:r w:rsidRPr="00C673E0">
        <w:rPr>
          <w:rFonts w:ascii="Times New Roman" w:eastAsia="Calibri" w:hAnsi="Times New Roman"/>
          <w:b/>
          <w:bCs/>
          <w:sz w:val="20"/>
          <w:szCs w:val="20"/>
          <w:lang w:bidi="ar-EG"/>
        </w:rPr>
        <w:instrText>es","given":"B. P.","non-dropping-particle":"","parse-names":false,"suffix":""},{"dropping-particle":"","family":"Oliveira","given":"M. C.","non-dropping-particle":"","parse-names":false,"suffix":""},{"dropping-particle":"","family":"Castro","given":"F. A.","non-dropping-particle":"de","parse-names":false,"suffix":""},{"dropping-particle":"","family":"Malmegrim","given":"K. C.R.","non-dropping-particle":"","parse-names":false,"suffix":""}],"container-title":"Clinical and Experimental Immunology","id":"ITEM-1","issue":"3","issued":{"date-parts":[["2017"]]},"page":"383-398","title":"Defective expression of apoptosis-related molecules in multiple sclerosis patients is normalized early after autologous haematopoietic stem cell transplantation","type":"article-journal","volume":"187"},"uris":["http://www.mendeley.com/documents/?uuid=a615cd08-6d3f-4b4f-bad8-9fe2851caf2a"]}],"mendeley":{"formattedCitation":"(de Oliveira &lt;i&gt;et al.&lt;/i&gt;, 2017)","plainTextFormattedCitation":"(de Oliveira et al., 2017)","previouslyFormattedCitation":"(de Oliveira &lt;i&gt;et al.&lt;/i&gt;, 2017)"},"properties":{"noteIndex":0},"schema":"https://github.com/citation-style-language/schema/raw/master/csl-citation.json"}</w:instrText>
      </w:r>
      <w:r w:rsidR="006E7628" w:rsidRPr="00C673E0">
        <w:rPr>
          <w:rFonts w:ascii="Times New Roman" w:eastAsia="Calibri" w:hAnsi="Times New Roman"/>
          <w:b/>
          <w:bCs/>
          <w:sz w:val="20"/>
          <w:szCs w:val="20"/>
          <w:lang w:bidi="ar-EG"/>
        </w:rPr>
        <w:fldChar w:fldCharType="separate"/>
      </w:r>
      <w:r w:rsidRPr="00C673E0">
        <w:rPr>
          <w:rFonts w:ascii="Times New Roman" w:eastAsia="Calibri" w:hAnsi="Times New Roman"/>
          <w:b/>
          <w:bCs/>
          <w:noProof/>
          <w:sz w:val="20"/>
          <w:szCs w:val="20"/>
          <w:lang w:bidi="ar-EG"/>
        </w:rPr>
        <w:t xml:space="preserve">(de Oliveira </w:t>
      </w:r>
      <w:r w:rsidRPr="00C673E0">
        <w:rPr>
          <w:rFonts w:ascii="Times New Roman" w:eastAsia="Calibri" w:hAnsi="Times New Roman"/>
          <w:b/>
          <w:bCs/>
          <w:i/>
          <w:noProof/>
          <w:sz w:val="20"/>
          <w:szCs w:val="20"/>
          <w:lang w:bidi="ar-EG"/>
        </w:rPr>
        <w:t>et al.</w:t>
      </w:r>
      <w:r w:rsidRPr="00C673E0">
        <w:rPr>
          <w:rFonts w:ascii="Times New Roman" w:eastAsia="Calibri" w:hAnsi="Times New Roman"/>
          <w:b/>
          <w:bCs/>
          <w:noProof/>
          <w:sz w:val="20"/>
          <w:szCs w:val="20"/>
          <w:lang w:bidi="ar-EG"/>
        </w:rPr>
        <w:t>, 2017)</w:t>
      </w:r>
      <w:r w:rsidR="006E7628" w:rsidRPr="00C673E0">
        <w:rPr>
          <w:rFonts w:ascii="Times New Roman" w:eastAsia="Calibri" w:hAnsi="Times New Roman"/>
          <w:b/>
          <w:bCs/>
          <w:sz w:val="20"/>
          <w:szCs w:val="20"/>
          <w:lang w:bidi="ar-EG"/>
        </w:rPr>
        <w:fldChar w:fldCharType="end"/>
      </w:r>
      <w:r w:rsidRPr="00C673E0">
        <w:rPr>
          <w:rFonts w:ascii="Times New Roman" w:eastAsia="Calibri" w:hAnsi="Times New Roman"/>
          <w:sz w:val="20"/>
          <w:szCs w:val="20"/>
          <w:lang w:bidi="ar-EG"/>
        </w:rPr>
        <w:t xml:space="preserve">. Other studies supported that cyclophosphamide significantly increased the expression levels of pro-apoptotic genes, including p53 </w:t>
      </w:r>
      <w:r w:rsidR="006E7628" w:rsidRPr="00C673E0">
        <w:rPr>
          <w:rFonts w:ascii="Times New Roman" w:eastAsia="Calibri" w:hAnsi="Times New Roman"/>
          <w:b/>
          <w:bCs/>
          <w:sz w:val="20"/>
          <w:szCs w:val="20"/>
          <w:lang w:bidi="ar-EG"/>
        </w:rPr>
        <w:fldChar w:fldCharType="begin" w:fldLock="1"/>
      </w:r>
      <w:r w:rsidRPr="00C673E0">
        <w:rPr>
          <w:rFonts w:ascii="Times New Roman" w:eastAsia="Calibri" w:hAnsi="Times New Roman"/>
          <w:b/>
          <w:bCs/>
          <w:sz w:val="20"/>
          <w:szCs w:val="20"/>
          <w:lang w:bidi="ar-EG"/>
        </w:rPr>
        <w:instrText>ADDIN CSL_CITATION {"citationItems":[{"id":"ITEM-1","itemData":{"DOI":"10.4161/oxim.3.5.13107","author":[{"dropping-particle":"","family":"Asiri","given":"Yousif A","non-dropping-particle":"","parse-names":false,"suffix":""}],"id":"ITEM-1","issue":"5","issued":{"date-parts":[["2010"]]},"page":"308-316","title":"Probucol attenuates cyclophosphamide- induced oxidative apoptosis , p53 and Bax signal expression in rat cardiac tissues","type":"article-journal","volume":"3"},"uris":["http://www.mendeley.com/documents/?uuid=9dd0977d-7cbc-45a1-bf51-1297ab5744e9"]}],"mendeley":{"formattedCitation":"(Asiri, 2010)","plainTextFormattedCitation":"(Asiri, 2010)","previouslyFormattedCitation":"(Asiri, 2010)"},"properties":{"noteIndex":0},"schema":"https://github.com/citation-style-language/schema/raw/master/csl-citation.json"}</w:instrText>
      </w:r>
      <w:r w:rsidR="006E7628" w:rsidRPr="00C673E0">
        <w:rPr>
          <w:rFonts w:ascii="Times New Roman" w:eastAsia="Calibri" w:hAnsi="Times New Roman"/>
          <w:b/>
          <w:bCs/>
          <w:sz w:val="20"/>
          <w:szCs w:val="20"/>
          <w:lang w:bidi="ar-EG"/>
        </w:rPr>
        <w:fldChar w:fldCharType="separate"/>
      </w:r>
      <w:r w:rsidRPr="00C673E0">
        <w:rPr>
          <w:rFonts w:ascii="Times New Roman" w:eastAsia="Calibri" w:hAnsi="Times New Roman"/>
          <w:b/>
          <w:bCs/>
          <w:noProof/>
          <w:sz w:val="20"/>
          <w:szCs w:val="20"/>
          <w:lang w:bidi="ar-EG"/>
        </w:rPr>
        <w:t>(Asiri, 2010)</w:t>
      </w:r>
      <w:r w:rsidR="006E7628" w:rsidRPr="00C673E0">
        <w:rPr>
          <w:rFonts w:ascii="Times New Roman" w:eastAsia="Calibri" w:hAnsi="Times New Roman"/>
          <w:b/>
          <w:bCs/>
          <w:sz w:val="20"/>
          <w:szCs w:val="20"/>
          <w:lang w:bidi="ar-EG"/>
        </w:rPr>
        <w:fldChar w:fldCharType="end"/>
      </w:r>
      <w:r w:rsidRPr="00C673E0">
        <w:rPr>
          <w:rFonts w:ascii="Times New Roman" w:eastAsia="Calibri" w:hAnsi="Times New Roman"/>
          <w:sz w:val="20"/>
          <w:szCs w:val="20"/>
          <w:lang w:bidi="ar-EG"/>
        </w:rPr>
        <w:t>.</w:t>
      </w:r>
    </w:p>
    <w:p w:rsidR="006C3B20" w:rsidRPr="00C673E0" w:rsidRDefault="006C3B20" w:rsidP="00644513">
      <w:pPr>
        <w:snapToGrid w:val="0"/>
        <w:spacing w:after="0" w:line="240" w:lineRule="auto"/>
        <w:ind w:firstLine="425"/>
        <w:jc w:val="both"/>
        <w:rPr>
          <w:rFonts w:ascii="Times New Roman" w:eastAsia="Calibri" w:hAnsi="Times New Roman"/>
          <w:sz w:val="20"/>
          <w:szCs w:val="20"/>
          <w:lang w:bidi="ar-EG"/>
        </w:rPr>
      </w:pPr>
      <w:r w:rsidRPr="00C673E0">
        <w:rPr>
          <w:rFonts w:ascii="Times New Roman" w:eastAsia="Calibri" w:hAnsi="Times New Roman"/>
          <w:sz w:val="20"/>
          <w:szCs w:val="20"/>
          <w:lang w:bidi="ar-EG"/>
        </w:rPr>
        <w:t xml:space="preserve">Furthermore, when we classified patients according to EDSS, we found that patients with EDSS </w:t>
      </w:r>
      <w:r w:rsidRPr="00C673E0">
        <w:rPr>
          <w:rFonts w:ascii="Times New Roman" w:eastAsia="Calibri" w:hAnsi="Times New Roman"/>
          <w:b/>
          <w:bCs/>
          <w:sz w:val="20"/>
          <w:szCs w:val="20"/>
          <w:lang w:bidi="ar-EG"/>
        </w:rPr>
        <w:t xml:space="preserve">≥ </w:t>
      </w:r>
      <w:r w:rsidRPr="00C673E0">
        <w:rPr>
          <w:rFonts w:ascii="Times New Roman" w:eastAsia="Calibri" w:hAnsi="Times New Roman"/>
          <w:sz w:val="20"/>
          <w:szCs w:val="20"/>
          <w:lang w:bidi="ar-EG"/>
        </w:rPr>
        <w:t xml:space="preserve">5.5 had significant higher expression level than those with EDSS =1-3 (p=0.027). </w:t>
      </w:r>
      <w:r w:rsidRPr="00C673E0">
        <w:rPr>
          <w:rFonts w:ascii="Times New Roman" w:eastAsia="Times New Roman" w:hAnsi="Times New Roman"/>
          <w:sz w:val="20"/>
          <w:szCs w:val="20"/>
          <w:lang w:bidi="ar-EG"/>
        </w:rPr>
        <w:t xml:space="preserve">This finding may be based on the low number of individuals in (EDSS </w:t>
      </w:r>
      <w:r w:rsidRPr="00C673E0">
        <w:rPr>
          <w:rFonts w:ascii="Times New Roman" w:eastAsia="Times New Roman" w:hAnsi="Times New Roman"/>
          <w:b/>
          <w:bCs/>
          <w:sz w:val="20"/>
          <w:szCs w:val="20"/>
          <w:lang w:bidi="ar-EG"/>
        </w:rPr>
        <w:t xml:space="preserve">≥ </w:t>
      </w:r>
      <w:r w:rsidRPr="00C673E0">
        <w:rPr>
          <w:rFonts w:ascii="Times New Roman" w:eastAsia="Times New Roman" w:hAnsi="Times New Roman"/>
          <w:sz w:val="20"/>
          <w:szCs w:val="20"/>
          <w:lang w:bidi="ar-EG"/>
        </w:rPr>
        <w:t>5.5) subgroup (20 patients only of 74 patients).</w:t>
      </w:r>
      <w:r w:rsidR="003E3F44" w:rsidRPr="00C673E0">
        <w:rPr>
          <w:rFonts w:ascii="Times New Roman" w:eastAsia="Times New Roman" w:hAnsi="Times New Roman"/>
          <w:sz w:val="20"/>
          <w:szCs w:val="20"/>
          <w:lang w:bidi="ar-EG"/>
        </w:rPr>
        <w:t xml:space="preserve"> </w:t>
      </w:r>
      <w:r w:rsidRPr="00C673E0">
        <w:rPr>
          <w:rFonts w:ascii="Times New Roman" w:eastAsia="Calibri" w:hAnsi="Times New Roman"/>
          <w:sz w:val="20"/>
          <w:szCs w:val="20"/>
          <w:lang w:bidi="ar-EG"/>
        </w:rPr>
        <w:t>Meanwhile, expression levels of lincRNA-P21 were not significantly different regarding other variables, which may be due to low number of analyzed samples.</w:t>
      </w:r>
    </w:p>
    <w:p w:rsidR="006C3B20" w:rsidRPr="00C673E0" w:rsidRDefault="006C3B20" w:rsidP="00644513">
      <w:pPr>
        <w:snapToGrid w:val="0"/>
        <w:spacing w:after="0" w:line="240" w:lineRule="auto"/>
        <w:ind w:firstLine="425"/>
        <w:jc w:val="both"/>
        <w:rPr>
          <w:rFonts w:ascii="Times New Roman" w:eastAsia="Calibri" w:hAnsi="Times New Roman"/>
          <w:sz w:val="20"/>
          <w:szCs w:val="20"/>
        </w:rPr>
      </w:pPr>
      <w:r w:rsidRPr="00C673E0">
        <w:rPr>
          <w:rFonts w:ascii="Times New Roman" w:eastAsia="Calibri" w:hAnsi="Times New Roman"/>
          <w:sz w:val="20"/>
          <w:szCs w:val="20"/>
          <w:shd w:val="clear" w:color="auto" w:fill="FFFFFF"/>
        </w:rPr>
        <w:t>Taking these points together, we can assume the potential role of lncRNA-H19 and lincRNA-p21 in the genetic susceptibility to MS</w:t>
      </w:r>
      <w:r w:rsidRPr="00C673E0">
        <w:rPr>
          <w:rFonts w:ascii="Times New Roman" w:eastAsia="Calibri" w:hAnsi="Times New Roman"/>
          <w:sz w:val="20"/>
          <w:szCs w:val="20"/>
          <w:lang w:bidi="ar-EG"/>
        </w:rPr>
        <w:t>.</w:t>
      </w:r>
    </w:p>
    <w:p w:rsidR="007E0E4D" w:rsidRPr="00C673E0" w:rsidRDefault="006C3B20" w:rsidP="00644513">
      <w:pPr>
        <w:snapToGrid w:val="0"/>
        <w:spacing w:after="0" w:line="240" w:lineRule="auto"/>
        <w:ind w:firstLine="425"/>
        <w:jc w:val="both"/>
        <w:rPr>
          <w:rFonts w:ascii="Times New Roman" w:eastAsia="Times New Roman" w:hAnsi="Times New Roman"/>
          <w:b/>
          <w:bCs/>
          <w:sz w:val="20"/>
          <w:szCs w:val="20"/>
        </w:rPr>
      </w:pPr>
      <w:r w:rsidRPr="00C673E0">
        <w:rPr>
          <w:rFonts w:ascii="Times New Roman" w:eastAsia="Calibri" w:hAnsi="Times New Roman"/>
          <w:sz w:val="20"/>
          <w:szCs w:val="20"/>
        </w:rPr>
        <w:t xml:space="preserve">Limitations still exist in this </w:t>
      </w:r>
      <w:r w:rsidR="00473E02" w:rsidRPr="00C673E0">
        <w:rPr>
          <w:rFonts w:ascii="Times New Roman" w:eastAsia="Calibri" w:hAnsi="Times New Roman"/>
          <w:sz w:val="20"/>
          <w:szCs w:val="20"/>
        </w:rPr>
        <w:t>current</w:t>
      </w:r>
      <w:r w:rsidRPr="00C673E0">
        <w:rPr>
          <w:rFonts w:ascii="Times New Roman" w:eastAsia="Calibri" w:hAnsi="Times New Roman"/>
          <w:sz w:val="20"/>
          <w:szCs w:val="20"/>
        </w:rPr>
        <w:t xml:space="preserve"> study </w:t>
      </w:r>
      <w:r w:rsidR="006D36FA" w:rsidRPr="00C673E0">
        <w:rPr>
          <w:rFonts w:ascii="Times New Roman" w:eastAsia="Calibri" w:hAnsi="Times New Roman"/>
          <w:sz w:val="20"/>
          <w:szCs w:val="20"/>
        </w:rPr>
        <w:t>including</w:t>
      </w:r>
      <w:r w:rsidRPr="00C673E0">
        <w:rPr>
          <w:rFonts w:ascii="Times New Roman" w:eastAsia="Calibri" w:hAnsi="Times New Roman"/>
          <w:sz w:val="20"/>
          <w:szCs w:val="20"/>
        </w:rPr>
        <w:t xml:space="preserve"> the </w:t>
      </w:r>
      <w:r w:rsidR="006D36FA" w:rsidRPr="00C673E0">
        <w:rPr>
          <w:rFonts w:ascii="Times New Roman" w:eastAsia="Calibri" w:hAnsi="Times New Roman"/>
          <w:sz w:val="20"/>
          <w:szCs w:val="20"/>
        </w:rPr>
        <w:t>absence</w:t>
      </w:r>
      <w:r w:rsidRPr="00C673E0">
        <w:rPr>
          <w:rFonts w:ascii="Times New Roman" w:eastAsia="Calibri" w:hAnsi="Times New Roman"/>
          <w:sz w:val="20"/>
          <w:szCs w:val="20"/>
        </w:rPr>
        <w:t xml:space="preserve"> of analysis of these two lncRNAs</w:t>
      </w:r>
      <w:r w:rsidRPr="00C673E0">
        <w:rPr>
          <w:rFonts w:ascii="Times New Roman" w:eastAsia="Calibri" w:hAnsi="Times New Roman"/>
          <w:sz w:val="20"/>
          <w:szCs w:val="20"/>
          <w:vertAlign w:val="superscript"/>
        </w:rPr>
        <w:t>'</w:t>
      </w:r>
      <w:r w:rsidRPr="00C673E0">
        <w:rPr>
          <w:rFonts w:ascii="Times New Roman" w:eastAsia="Calibri" w:hAnsi="Times New Roman"/>
          <w:sz w:val="20"/>
          <w:szCs w:val="20"/>
        </w:rPr>
        <w:t xml:space="preserve"> molecular mechanisms, their targets and their related signaling pathways in chronic inflammation and autoimmune diseases. Larger sample size may be needed to explore the influence of these lncRNAs in MS pathogenesis.</w:t>
      </w:r>
    </w:p>
    <w:p w:rsidR="007E0E4D" w:rsidRPr="00C673E0" w:rsidRDefault="007E0E4D" w:rsidP="00644513">
      <w:pPr>
        <w:snapToGrid w:val="0"/>
        <w:spacing w:after="0" w:line="240" w:lineRule="auto"/>
        <w:jc w:val="both"/>
        <w:rPr>
          <w:rFonts w:ascii="Times New Roman" w:eastAsia="Times New Roman" w:hAnsi="Times New Roman"/>
          <w:b/>
          <w:bCs/>
          <w:sz w:val="20"/>
          <w:szCs w:val="20"/>
        </w:rPr>
      </w:pPr>
    </w:p>
    <w:p w:rsidR="007E0E4D" w:rsidRPr="00C673E0" w:rsidRDefault="006D0665" w:rsidP="00644513">
      <w:pPr>
        <w:snapToGrid w:val="0"/>
        <w:spacing w:after="0" w:line="240" w:lineRule="auto"/>
        <w:jc w:val="both"/>
        <w:rPr>
          <w:rFonts w:ascii="Times New Roman" w:hAnsi="Times New Roman"/>
          <w:b/>
          <w:bCs/>
          <w:noProof/>
          <w:sz w:val="20"/>
          <w:szCs w:val="20"/>
          <w:lang w:bidi="ar-EG"/>
        </w:rPr>
      </w:pPr>
      <w:r w:rsidRPr="00C673E0">
        <w:rPr>
          <w:rFonts w:ascii="Times New Roman" w:eastAsia="Times New Roman" w:hAnsi="Times New Roman"/>
          <w:b/>
          <w:bCs/>
          <w:sz w:val="20"/>
          <w:szCs w:val="20"/>
        </w:rPr>
        <w:t>References</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Adamczyk-sowa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Adamczyk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New</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Insights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into</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Oxidative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Stress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Mechanisms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Pathophysiology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Treatment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Oxidative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Longevity;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1973834.</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Asiri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(2010):</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Probucol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attenuates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cyclophosphamide-induced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oxidative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apoptosis,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p53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Bax</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signal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cardiac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tissues.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Oxidative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Longevity;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3(5):</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308–316.</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Becher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Simula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Volpe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E</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AMBRA1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controls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regulatory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differentiation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homeostasis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upstream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FOXO3-FOXP3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Axis.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Developmental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47(5):</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592-607.</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Bhan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Mandal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(2014):</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 :</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Emerging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Stars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Epigenetics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Human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Disease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1932–1956.</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Cao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Zhao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Genome-wide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methods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investigating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Pharmacotherapy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111: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395–401.</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lastRenderedPageBreak/>
        <w:t>Chan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(2003a):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Biostatistics102: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Quantitative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Data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Parametric</w:t>
      </w:r>
      <w:r w:rsidR="003E3F44" w:rsidRPr="00C673E0">
        <w:rPr>
          <w:rFonts w:ascii="Times New Roman" w:hAnsi="Times New Roman"/>
          <w:noProof/>
          <w:sz w:val="20"/>
          <w:szCs w:val="20"/>
          <w:lang w:bidi="ar-EG"/>
        </w:rPr>
        <w:t xml:space="preserve"> &amp; </w:t>
      </w:r>
      <w:r w:rsidRPr="00C673E0">
        <w:rPr>
          <w:rFonts w:ascii="Times New Roman" w:hAnsi="Times New Roman"/>
          <w:noProof/>
          <w:sz w:val="20"/>
          <w:szCs w:val="20"/>
          <w:lang w:bidi="ar-EG"/>
        </w:rPr>
        <w:t>Non-parametric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Tests.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Singapore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44(8):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391-396.</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(2003b):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Biostatistics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Qualitative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Data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–Tests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Independence.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Singapore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44(10):</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498-503.</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(2003c):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Biostatistics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Correlational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Analysis.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Singapore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44(12)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614-619.</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Chen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P,</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Liu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Effect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overexpression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intestinal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barrier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function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potential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pathogenesis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ulcerative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colitis.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Inflammatory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Bowel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Diseases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2582–2592.</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Chesik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Wilczak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Keyser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(2007):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insulin-like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growth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factor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system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International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Review</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Neurobiology;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79: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203–226.</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Chillón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Pyle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Inverted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repeat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Alu</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elements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human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lincRNA-p21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adopt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conserved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secondary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structure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function.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Nucleic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Acids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Research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44(19):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9462–9471.</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Cui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Ren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LincRNA-p21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inhibits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inflammatory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response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angiogenesis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through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NF-κB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signaling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pathway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rats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with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rheumatoid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arthritis.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International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Clinical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Experimental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11(2):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1217–1225.</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Dangelmaier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Lazar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Lal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P53’s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secret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weapon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fight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against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cancer.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PLOS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17(2):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1–11.</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de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Oliveira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Ferreira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Gasparotto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E</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Defective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apoptosis-related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patients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normalized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early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after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autologous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haematopoietic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transplantation.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Clinical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Experimental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187(3):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383–398.</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Ewing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Kular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Fernandes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Combining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evidence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from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four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types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identifies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methylation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patterns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implicate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functionally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distinct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pathways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during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progression.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EBio</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411–423.</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Faisal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Kim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Kim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Sexual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differences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imprinted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levels.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533(1):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434–438.</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Fang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LncRNA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functions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Aquaporin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competitive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endogenous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to</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microRNA-874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LPS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sepsis.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Pharmacotherapy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105(1):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1183–1191.</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lastRenderedPageBreak/>
        <w:t>Geng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Functional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diversity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Diseases;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72–81.</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Granick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Simon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Borjesson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Hematopoietic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Progenitor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Effectors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Innate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Bone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Marrow</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Research;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2012: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165107.</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Silencing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inhibits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adipogenesis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inflammation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response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ox-LDL-treated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Raw264.7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up-regulating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miR-130b.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93:107–114.</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Hoo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Candlish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Teare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What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curve?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Emergency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34(6):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357–359.</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Koriem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Corrigendum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to</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New</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insights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trends.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Asian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Pacific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Tropical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7(5):</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493–504.</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Kurtzke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(1983):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Rating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neurologic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impairment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 :</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expanded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disability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status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scale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(EDSS).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33:1444-1452.</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Lee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C,</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Peng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Shen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N-α-acetyltransferase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Protein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Methylation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Genomic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Imprinting.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68(1):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89–103.</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Li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Luo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LncRNA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Alleviated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Myocardial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Ischemia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Reperfusion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Injury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via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Suppressing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miR-877-3p/Bcl-2-mediated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Mitochondrial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Apoptosis.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Therapy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Nucleic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Acids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297–309.</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Liu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musculoskeletal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system: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new</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player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old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game.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Experimental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Research;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360(2):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61–65.</w:t>
      </w:r>
      <w:r w:rsidR="003E3F44" w:rsidRPr="00C673E0">
        <w:rPr>
          <w:rFonts w:ascii="Times New Roman" w:hAnsi="Times New Roman"/>
          <w:noProof/>
          <w:sz w:val="20"/>
          <w:szCs w:val="20"/>
          <w:lang w:bidi="ar-EG"/>
        </w:rPr>
        <w:t xml:space="preserve"> </w:t>
      </w:r>
    </w:p>
    <w:p w:rsidR="005A0137" w:rsidRPr="00C673E0" w:rsidRDefault="005A0137"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Livak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Schmittgen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(2001):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Analysis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Relative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Data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Using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Time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Quantitative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PCR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w:t>
      </w:r>
      <w:r w:rsidRPr="00C673E0">
        <w:rPr>
          <w:rFonts w:ascii="Times New Roman" w:hAnsi="Times New Roman"/>
          <w:noProof/>
          <w:sz w:val="20"/>
          <w:szCs w:val="20"/>
          <w:vertAlign w:val="superscript"/>
          <w:lang w:bidi="ar-EG"/>
        </w:rPr>
        <w:t>−∆∆Ct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Method.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Methods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25</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402–4080.</w:t>
      </w:r>
    </w:p>
    <w:p w:rsidR="006D0665" w:rsidRPr="00C673E0" w:rsidRDefault="007E0E4D" w:rsidP="006D0665">
      <w:pPr>
        <w:numPr>
          <w:ilvl w:val="0"/>
          <w:numId w:val="20"/>
        </w:numPr>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Low</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Kuan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Amini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F</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Feasibility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toxicity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hematopoietic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transplant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Iran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Basic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Science;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20(7):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900</w:t>
      </w:r>
      <w:r w:rsidR="006D0665" w:rsidRPr="00C673E0">
        <w:rPr>
          <w:rFonts w:ascii="Times New Roman" w:hAnsi="Times New Roman"/>
          <w:noProof/>
          <w:sz w:val="20"/>
          <w:szCs w:val="20"/>
          <w:lang w:bidi="ar-EG"/>
        </w:rPr>
        <w:t>0.</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Mazdeh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Noroozi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Komaki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Single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nucleotide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polymorphisms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lncRNA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are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associated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with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risk</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Iranian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population.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100592.</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Pan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LncRNA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promotes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atherosclerosis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MAPK</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NF-kB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signaling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pathway.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European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Review</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Pharmacological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Sciences;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21(2):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322–328.</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Pearson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Jones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Inflammatory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Pathways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Rheumatoid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Arthritis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lastRenderedPageBreak/>
        <w:t>Osteoarthritis.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Arithritis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rheumatology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Journal;68(11):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2575–2583.</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Polman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C,</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Reingold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Banwell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Diagnostic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criteria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2010</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revisions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to</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McDonald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criteria.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Annals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69: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292–302.</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Safari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Rezaei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F,</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Dehghan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Genomic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variants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within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confer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risk</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breast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cancer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Iranian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population.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701: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121–124.</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Santoro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Nociti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V,</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Lucchini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Profile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Serum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Patients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with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Neuroscience;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59(1):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18–23.</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bCs/>
          <w:noProof/>
          <w:sz w:val="20"/>
          <w:szCs w:val="20"/>
          <w:lang w:bidi="ar-EG"/>
        </w:rPr>
      </w:pPr>
      <w:r w:rsidRPr="00C673E0">
        <w:rPr>
          <w:rFonts w:ascii="Times New Roman" w:hAnsi="Times New Roman"/>
          <w:bCs/>
          <w:noProof/>
          <w:sz w:val="20"/>
          <w:szCs w:val="20"/>
          <w:lang w:bidi="ar-EG"/>
        </w:rPr>
        <w:t>Shao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Protective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NF-κB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Inflammatory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Demyelination.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Neuroscience;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38(10):</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2416–2417.</w:t>
      </w:r>
    </w:p>
    <w:p w:rsidR="007E0E4D" w:rsidRPr="00C673E0" w:rsidRDefault="007E0E4D" w:rsidP="006D0665">
      <w:pPr>
        <w:numPr>
          <w:ilvl w:val="0"/>
          <w:numId w:val="20"/>
        </w:numPr>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Spurlock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C,</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Tossberg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Matlock</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Methotrexate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inhibits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NF-κB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activity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via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lincRNA-p21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induction.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Arthritis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Rheumatology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66(11):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2947–2957.</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Stuhlmüller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Kunisch</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Franz</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(2003):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Detection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oncofetal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rheumatoid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arthritis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synovial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tissue.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American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163(3):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901–911.</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Sun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Lv</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Duan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promotes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vascular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remodeling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sponging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let-7a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to</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upregulate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cyclin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Biochemical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Biophysical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Research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Communications;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508(4):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1038–1042.</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Tang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Zheng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Xiong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(2015):</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LincRNA-p21: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Implications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human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diseases.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International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Sciences;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16(8):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18732–18740.</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Venkatraman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Thorvaldsen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Maternal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imprinting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H19–Igf2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locus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maintains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adult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haematopoietic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quiescence.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Nature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500:</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345-349.</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lastRenderedPageBreak/>
        <w:t>Wu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Cai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(2014):</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LincRNA-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p21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regulates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neointima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formation,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vascular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smooth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muscle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proliferation,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apoptosis,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atherosclerosis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enhancing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p53</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activity.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Circulation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130(17):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1452–1465.</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Wu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GC,</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Pan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HF,</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Leng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RX</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(2015):</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Emerging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autoimmune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diseases.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Autoimmunity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Reviews;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14(9):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798–805.</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Yang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B</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Clinical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Epigenetics;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10(1):</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1–12.</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Yarani</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Mirza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Kaur</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emerging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lncRNAs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inflammatory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bowel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disease.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Experimental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Medicine;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50(12):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01889.</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Yue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Stone</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Lin</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Role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nuclear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factor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kappa-B</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experimental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autoimmune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encephalomyelitis.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Regeneration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Research;</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13(9):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1507–1515.</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Zeis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Howell</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Reynolds</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R</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(2018):</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pathology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Multiple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Sclerosis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lesions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reveals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heterogeneous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expression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pattern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genes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involved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oligodendrogliogenesis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IdL.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Experimental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Neurology;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305:76–88.</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and</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Cao</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(2016):</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innate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immunity.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Cellular</w:t>
      </w:r>
      <w:r w:rsidR="003E3F44" w:rsidRPr="00C673E0">
        <w:rPr>
          <w:rFonts w:ascii="Times New Roman" w:hAnsi="Times New Roman"/>
          <w:noProof/>
          <w:sz w:val="20"/>
          <w:szCs w:val="20"/>
          <w:lang w:bidi="ar-EG"/>
        </w:rPr>
        <w:t xml:space="preserve"> &amp; </w:t>
      </w:r>
      <w:r w:rsidRPr="00C673E0">
        <w:rPr>
          <w:rFonts w:ascii="Times New Roman" w:hAnsi="Times New Roman"/>
          <w:noProof/>
          <w:sz w:val="20"/>
          <w:szCs w:val="20"/>
          <w:lang w:bidi="ar-EG"/>
        </w:rPr>
        <w:t>Molecular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Immunology;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13:138–147.</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Y,</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M,</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W</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long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non-coding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RNA</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promotes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cardiomyocyte</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apoptosis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in</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dilated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cardiomyopathy.</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Oncotarget;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8(17):</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28588–28594.</w:t>
      </w:r>
      <w:r w:rsidR="003E3F44" w:rsidRPr="00C673E0">
        <w:rPr>
          <w:rFonts w:ascii="Times New Roman" w:hAnsi="Times New Roman"/>
          <w:noProof/>
          <w:sz w:val="20"/>
          <w:szCs w:val="20"/>
          <w:lang w:bidi="ar-EG"/>
        </w:rPr>
        <w:t xml:space="preserve"> </w:t>
      </w:r>
    </w:p>
    <w:p w:rsidR="007E0E4D" w:rsidRPr="00C673E0" w:rsidRDefault="007E0E4D" w:rsidP="006D0665">
      <w:pPr>
        <w:numPr>
          <w:ilvl w:val="0"/>
          <w:numId w:val="20"/>
        </w:numPr>
        <w:autoSpaceDE w:val="0"/>
        <w:autoSpaceDN w:val="0"/>
        <w:adjustRightInd w:val="0"/>
        <w:snapToGrid w:val="0"/>
        <w:spacing w:after="0" w:line="240" w:lineRule="auto"/>
        <w:ind w:left="425" w:hanging="425"/>
        <w:jc w:val="both"/>
        <w:rPr>
          <w:rFonts w:ascii="Times New Roman" w:hAnsi="Times New Roman"/>
          <w:noProof/>
          <w:sz w:val="20"/>
          <w:szCs w:val="20"/>
          <w:lang w:bidi="ar-EG"/>
        </w:rPr>
      </w:pPr>
      <w:r w:rsidRPr="00C673E0">
        <w:rPr>
          <w:rFonts w:ascii="Times New Roman" w:hAnsi="Times New Roman"/>
          <w:bCs/>
          <w:noProof/>
          <w:sz w:val="20"/>
          <w:szCs w:val="20"/>
          <w:lang w:bidi="ar-EG"/>
        </w:rPr>
        <w:t>Zhou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Xu</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J,</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Zhang</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L</w:t>
      </w:r>
      <w:r w:rsidR="003E3F44" w:rsidRPr="00C673E0">
        <w:rPr>
          <w:rFonts w:ascii="Times New Roman" w:hAnsi="Times New Roman"/>
          <w:bCs/>
          <w:noProof/>
          <w:sz w:val="20"/>
          <w:szCs w:val="20"/>
          <w:lang w:bidi="ar-EG"/>
        </w:rPr>
        <w:t xml:space="preserve"> </w:t>
      </w:r>
      <w:r w:rsidRPr="00C673E0">
        <w:rPr>
          <w:rFonts w:ascii="Times New Roman" w:hAnsi="Times New Roman"/>
          <w:bCs/>
          <w:i/>
          <w:iCs/>
          <w:noProof/>
          <w:sz w:val="20"/>
          <w:szCs w:val="20"/>
          <w:lang w:bidi="ar-EG"/>
        </w:rPr>
        <w:t>et</w:t>
      </w:r>
      <w:r w:rsidR="003E3F44" w:rsidRPr="00C673E0">
        <w:rPr>
          <w:rFonts w:ascii="Times New Roman" w:hAnsi="Times New Roman"/>
          <w:bCs/>
          <w:i/>
          <w:iCs/>
          <w:noProof/>
          <w:sz w:val="20"/>
          <w:szCs w:val="20"/>
          <w:lang w:bidi="ar-EG"/>
        </w:rPr>
        <w:t xml:space="preserve"> </w:t>
      </w:r>
      <w:r w:rsidRPr="00C673E0">
        <w:rPr>
          <w:rFonts w:ascii="Times New Roman" w:hAnsi="Times New Roman"/>
          <w:bCs/>
          <w:i/>
          <w:iCs/>
          <w:noProof/>
          <w:sz w:val="20"/>
          <w:szCs w:val="20"/>
          <w:lang w:bidi="ar-EG"/>
        </w:rPr>
        <w:t>al</w:t>
      </w:r>
      <w:r w:rsidRPr="00C673E0">
        <w:rPr>
          <w:rFonts w:ascii="Times New Roman" w:hAnsi="Times New Roman"/>
          <w:bCs/>
          <w:noProof/>
          <w:sz w:val="20"/>
          <w:szCs w:val="20"/>
          <w:lang w:bidi="ar-EG"/>
        </w:rPr>
        <w:t>.,</w:t>
      </w:r>
      <w:r w:rsidR="003E3F44" w:rsidRPr="00C673E0">
        <w:rPr>
          <w:rFonts w:ascii="Times New Roman" w:hAnsi="Times New Roman"/>
          <w:bCs/>
          <w:noProof/>
          <w:sz w:val="20"/>
          <w:szCs w:val="20"/>
          <w:lang w:bidi="ar-EG"/>
        </w:rPr>
        <w:t xml:space="preserve"> </w:t>
      </w:r>
      <w:r w:rsidRPr="00C673E0">
        <w:rPr>
          <w:rFonts w:ascii="Times New Roman" w:hAnsi="Times New Roman"/>
          <w:bCs/>
          <w:noProof/>
          <w:sz w:val="20"/>
          <w:szCs w:val="20"/>
          <w:lang w:bidi="ar-EG"/>
        </w:rPr>
        <w:t>(2019):</w:t>
      </w:r>
      <w:r w:rsidR="003E3F44" w:rsidRPr="00C673E0">
        <w:rPr>
          <w:rFonts w:ascii="Times New Roman" w:hAnsi="Times New Roman"/>
          <w:bCs/>
          <w:noProof/>
          <w:sz w:val="20"/>
          <w:szCs w:val="20"/>
          <w:lang w:bidi="ar-EG"/>
        </w:rPr>
        <w:t xml:space="preserve"> </w:t>
      </w:r>
      <w:r w:rsidRPr="00C673E0">
        <w:rPr>
          <w:rFonts w:ascii="Times New Roman" w:hAnsi="Times New Roman"/>
          <w:noProof/>
          <w:sz w:val="20"/>
          <w:szCs w:val="20"/>
          <w:lang w:bidi="ar-EG"/>
        </w:rPr>
        <w:t>Combined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Single-Cell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Profiling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of</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lncRNAs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and</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Functional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Screening</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Reveals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that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H19</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Is</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Pivotal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for</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Embryonic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Hematopoietic</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Development.</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Stem</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Cell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Journal;</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24(2):</w:t>
      </w:r>
      <w:r w:rsidR="003E3F44" w:rsidRPr="00C673E0">
        <w:rPr>
          <w:rFonts w:ascii="Times New Roman" w:hAnsi="Times New Roman"/>
          <w:noProof/>
          <w:sz w:val="20"/>
          <w:szCs w:val="20"/>
          <w:lang w:bidi="ar-EG"/>
        </w:rPr>
        <w:t xml:space="preserve"> </w:t>
      </w:r>
      <w:r w:rsidRPr="00C673E0">
        <w:rPr>
          <w:rFonts w:ascii="Times New Roman" w:hAnsi="Times New Roman"/>
          <w:noProof/>
          <w:sz w:val="20"/>
          <w:szCs w:val="20"/>
          <w:lang w:bidi="ar-EG"/>
        </w:rPr>
        <w:t>285–298.</w:t>
      </w:r>
    </w:p>
    <w:p w:rsidR="000F71AB" w:rsidRPr="00C673E0" w:rsidRDefault="000F71AB" w:rsidP="006D0665">
      <w:pPr>
        <w:snapToGrid w:val="0"/>
        <w:spacing w:after="0" w:line="240" w:lineRule="auto"/>
        <w:ind w:left="425" w:hanging="425"/>
        <w:jc w:val="both"/>
        <w:rPr>
          <w:rFonts w:ascii="Times New Roman" w:eastAsia="Calibri" w:hAnsi="Times New Roman"/>
          <w:sz w:val="20"/>
          <w:szCs w:val="20"/>
        </w:rPr>
        <w:sectPr w:rsidR="000F71AB" w:rsidRPr="00C673E0" w:rsidSect="000F71AB">
          <w:type w:val="continuous"/>
          <w:pgSz w:w="12240" w:h="15840" w:code="9"/>
          <w:pgMar w:top="1440" w:right="1440" w:bottom="1440" w:left="1440" w:header="720" w:footer="720" w:gutter="0"/>
          <w:cols w:num="2" w:space="550"/>
          <w:docGrid w:linePitch="360"/>
        </w:sectPr>
      </w:pPr>
    </w:p>
    <w:p w:rsidR="007E0E4D" w:rsidRPr="00C673E0" w:rsidRDefault="006D0665" w:rsidP="006D0665">
      <w:pPr>
        <w:snapToGrid w:val="0"/>
        <w:spacing w:after="0" w:line="240" w:lineRule="auto"/>
        <w:ind w:left="425" w:hanging="425"/>
        <w:jc w:val="both"/>
        <w:rPr>
          <w:rFonts w:ascii="Times New Roman" w:eastAsiaTheme="minorEastAsia" w:hAnsi="Times New Roman"/>
          <w:sz w:val="20"/>
          <w:szCs w:val="20"/>
          <w:lang w:eastAsia="zh-CN"/>
        </w:rPr>
      </w:pPr>
      <w:r w:rsidRPr="00C673E0">
        <w:rPr>
          <w:rFonts w:ascii="Times New Roman" w:eastAsiaTheme="minorEastAsia" w:hAnsi="Times New Roman" w:hint="eastAsia"/>
          <w:sz w:val="20"/>
          <w:szCs w:val="20"/>
          <w:lang w:eastAsia="zh-CN"/>
        </w:rPr>
        <w:lastRenderedPageBreak/>
        <w:t xml:space="preserve"> </w:t>
      </w:r>
    </w:p>
    <w:p w:rsidR="00DB10AF" w:rsidRPr="00C673E0" w:rsidRDefault="006D0665" w:rsidP="006D0665">
      <w:pPr>
        <w:snapToGrid w:val="0"/>
        <w:spacing w:after="0" w:line="240" w:lineRule="auto"/>
        <w:ind w:left="425" w:hanging="425"/>
        <w:jc w:val="both"/>
        <w:rPr>
          <w:rFonts w:ascii="Times New Roman" w:hAnsi="Times New Roman"/>
          <w:bCs/>
          <w:sz w:val="20"/>
          <w:szCs w:val="20"/>
          <w:lang w:eastAsia="zh-CN"/>
        </w:rPr>
      </w:pPr>
      <w:r w:rsidRPr="00C673E0">
        <w:rPr>
          <w:rFonts w:ascii="Times New Roman" w:hAnsi="Times New Roman" w:hint="eastAsia"/>
          <w:bCs/>
          <w:sz w:val="20"/>
          <w:szCs w:val="20"/>
          <w:lang w:eastAsia="zh-CN"/>
        </w:rPr>
        <w:t xml:space="preserve">  </w:t>
      </w:r>
    </w:p>
    <w:p w:rsidR="003E3F44" w:rsidRPr="00C673E0" w:rsidRDefault="003E3F44" w:rsidP="00644513">
      <w:pPr>
        <w:snapToGrid w:val="0"/>
        <w:spacing w:after="0" w:line="240" w:lineRule="auto"/>
        <w:jc w:val="both"/>
        <w:rPr>
          <w:rFonts w:ascii="Times New Roman" w:hAnsi="Times New Roman"/>
          <w:b/>
          <w:bCs/>
          <w:sz w:val="20"/>
          <w:szCs w:val="20"/>
        </w:rPr>
      </w:pPr>
    </w:p>
    <w:p w:rsidR="00EF0355" w:rsidRPr="00C673E0" w:rsidRDefault="003E3F44" w:rsidP="00644513">
      <w:pPr>
        <w:snapToGrid w:val="0"/>
        <w:spacing w:after="0" w:line="240" w:lineRule="auto"/>
        <w:jc w:val="both"/>
        <w:rPr>
          <w:rFonts w:ascii="Times New Roman" w:hAnsi="Times New Roman"/>
          <w:bCs/>
          <w:sz w:val="20"/>
          <w:szCs w:val="20"/>
        </w:rPr>
      </w:pPr>
      <w:r w:rsidRPr="00C673E0">
        <w:rPr>
          <w:rFonts w:ascii="Times New Roman" w:hAnsi="Times New Roman"/>
          <w:bCs/>
          <w:sz w:val="20"/>
          <w:szCs w:val="20"/>
        </w:rPr>
        <w:t>11/21/2020</w:t>
      </w:r>
    </w:p>
    <w:sectPr w:rsidR="00EF0355" w:rsidRPr="00C673E0" w:rsidSect="003E3F44">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AD" w:rsidRDefault="00FD07AD" w:rsidP="00742BC3">
      <w:pPr>
        <w:spacing w:after="0" w:line="240" w:lineRule="auto"/>
      </w:pPr>
      <w:r>
        <w:separator/>
      </w:r>
    </w:p>
  </w:endnote>
  <w:endnote w:type="continuationSeparator" w:id="0">
    <w:p w:rsidR="00FD07AD" w:rsidRDefault="00FD07AD" w:rsidP="00742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宋">
    <w:altName w:val="宋体"/>
    <w:panose1 w:val="00000000000000000000"/>
    <w:charset w:val="86"/>
    <w:family w:val="roman"/>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13" w:rsidRPr="001E5B60" w:rsidRDefault="006E7628" w:rsidP="001E5B60">
    <w:pPr>
      <w:spacing w:after="0" w:line="240" w:lineRule="auto"/>
      <w:jc w:val="center"/>
      <w:rPr>
        <w:rFonts w:ascii="Times New Roman" w:hAnsi="Times New Roman"/>
        <w:sz w:val="20"/>
      </w:rPr>
    </w:pPr>
    <w:r w:rsidRPr="001E5B60">
      <w:rPr>
        <w:rFonts w:ascii="Times New Roman" w:hAnsi="Times New Roman"/>
        <w:sz w:val="20"/>
      </w:rPr>
      <w:fldChar w:fldCharType="begin"/>
    </w:r>
    <w:r w:rsidR="001E5B60" w:rsidRPr="001E5B60">
      <w:rPr>
        <w:rFonts w:ascii="Times New Roman" w:hAnsi="Times New Roman"/>
        <w:sz w:val="20"/>
      </w:rPr>
      <w:instrText xml:space="preserve"> page </w:instrText>
    </w:r>
    <w:r w:rsidRPr="001E5B60">
      <w:rPr>
        <w:rFonts w:ascii="Times New Roman" w:hAnsi="Times New Roman"/>
        <w:sz w:val="20"/>
      </w:rPr>
      <w:fldChar w:fldCharType="separate"/>
    </w:r>
    <w:r w:rsidR="00FE2F23">
      <w:rPr>
        <w:rFonts w:ascii="Times New Roman" w:hAnsi="Times New Roman"/>
        <w:noProof/>
        <w:sz w:val="20"/>
      </w:rPr>
      <w:t>8</w:t>
    </w:r>
    <w:r w:rsidRPr="001E5B6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AD" w:rsidRDefault="00FD07AD" w:rsidP="00742BC3">
      <w:pPr>
        <w:spacing w:after="0" w:line="240" w:lineRule="auto"/>
      </w:pPr>
      <w:r>
        <w:separator/>
      </w:r>
    </w:p>
  </w:footnote>
  <w:footnote w:type="continuationSeparator" w:id="0">
    <w:p w:rsidR="00FD07AD" w:rsidRDefault="00FD07AD" w:rsidP="00742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60" w:rsidRPr="001E5B60" w:rsidRDefault="006E7628" w:rsidP="001E5B60">
    <w:pPr>
      <w:tabs>
        <w:tab w:val="left" w:pos="851"/>
        <w:tab w:val="right" w:pos="8364"/>
      </w:tabs>
      <w:adjustRightInd w:val="0"/>
      <w:snapToGrid w:val="0"/>
      <w:spacing w:after="0" w:line="240" w:lineRule="auto"/>
      <w:jc w:val="both"/>
      <w:rPr>
        <w:rFonts w:ascii="Times New Roman" w:hAnsi="Times New Roman"/>
        <w:sz w:val="20"/>
        <w:szCs w:val="20"/>
      </w:rPr>
    </w:pPr>
    <w:r w:rsidRPr="006E7628">
      <w:rPr>
        <w:rFonts w:ascii="Times New Roman" w:hAnsi="Times New Roman"/>
        <w:iCs/>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44" w:rsidRPr="001E5B60" w:rsidRDefault="00044944" w:rsidP="001E5B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1E5B60">
      <w:rPr>
        <w:rFonts w:ascii="Times New Roman" w:hAnsi="Times New Roman" w:hint="eastAsia"/>
        <w:iCs/>
        <w:color w:val="000000"/>
        <w:sz w:val="20"/>
      </w:rPr>
      <w:tab/>
    </w:r>
    <w:r w:rsidRPr="001E5B60">
      <w:rPr>
        <w:rFonts w:ascii="Times New Roman" w:hAnsi="Times New Roman"/>
        <w:iCs/>
        <w:color w:val="000000"/>
        <w:sz w:val="20"/>
      </w:rPr>
      <w:t xml:space="preserve">Cancer Biology </w:t>
    </w:r>
    <w:r w:rsidRPr="001E5B60">
      <w:rPr>
        <w:rFonts w:ascii="Times New Roman" w:hAnsi="Times New Roman"/>
        <w:iCs/>
        <w:sz w:val="20"/>
      </w:rPr>
      <w:t>20</w:t>
    </w:r>
    <w:r w:rsidRPr="001E5B60">
      <w:rPr>
        <w:rFonts w:ascii="Times New Roman" w:hAnsi="Times New Roman" w:hint="eastAsia"/>
        <w:iCs/>
        <w:sz w:val="20"/>
      </w:rPr>
      <w:t>20</w:t>
    </w:r>
    <w:r w:rsidRPr="001E5B60">
      <w:rPr>
        <w:rFonts w:ascii="Times New Roman" w:hAnsi="Times New Roman"/>
        <w:iCs/>
        <w:sz w:val="20"/>
      </w:rPr>
      <w:t>;</w:t>
    </w:r>
    <w:r w:rsidRPr="001E5B60">
      <w:rPr>
        <w:rFonts w:ascii="Times New Roman" w:hAnsi="Times New Roman" w:hint="eastAsia"/>
        <w:iCs/>
        <w:sz w:val="20"/>
      </w:rPr>
      <w:t>10</w:t>
    </w:r>
    <w:r w:rsidRPr="001E5B60">
      <w:rPr>
        <w:rFonts w:ascii="Times New Roman" w:hAnsi="Times New Roman"/>
        <w:iCs/>
        <w:sz w:val="20"/>
      </w:rPr>
      <w:t>(</w:t>
    </w:r>
    <w:r w:rsidRPr="001E5B60">
      <w:rPr>
        <w:rFonts w:ascii="Times New Roman" w:hAnsi="Times New Roman" w:hint="eastAsia"/>
        <w:iCs/>
        <w:sz w:val="20"/>
      </w:rPr>
      <w:t>4</w:t>
    </w:r>
    <w:r w:rsidRPr="001E5B60">
      <w:rPr>
        <w:rFonts w:ascii="Times New Roman" w:hAnsi="Times New Roman"/>
        <w:iCs/>
        <w:sz w:val="20"/>
      </w:rPr>
      <w:t xml:space="preserve">)  </w:t>
    </w:r>
    <w:r w:rsidRPr="001E5B60">
      <w:rPr>
        <w:rFonts w:ascii="Times New Roman" w:hAnsi="Times New Roman" w:hint="eastAsia"/>
        <w:iCs/>
        <w:sz w:val="20"/>
      </w:rPr>
      <w:t xml:space="preserve">   </w:t>
    </w:r>
    <w:r w:rsidRPr="001E5B60">
      <w:rPr>
        <w:rFonts w:ascii="Times New Roman" w:hAnsi="Times New Roman" w:hint="eastAsia"/>
        <w:iCs/>
        <w:sz w:val="20"/>
      </w:rPr>
      <w:tab/>
      <w:t xml:space="preserve">   </w:t>
    </w:r>
    <w:r w:rsidRPr="001E5B60">
      <w:rPr>
        <w:rFonts w:ascii="Times New Roman" w:hAnsi="Times New Roman"/>
        <w:iCs/>
        <w:sz w:val="20"/>
      </w:rPr>
      <w:t xml:space="preserve"> </w:t>
    </w:r>
    <w:r w:rsidRPr="001E5B60">
      <w:rPr>
        <w:rFonts w:ascii="Times New Roman" w:hAnsi="Times New Roman"/>
        <w:sz w:val="20"/>
      </w:rPr>
      <w:t xml:space="preserve">  </w:t>
    </w:r>
    <w:hyperlink r:id="rId1" w:history="1">
      <w:r w:rsidRPr="001E5B60">
        <w:rPr>
          <w:rStyle w:val="Hyperlink"/>
          <w:rFonts w:ascii="Times New Roman" w:hAnsi="Times New Roman"/>
          <w:sz w:val="20"/>
        </w:rPr>
        <w:t>http://www.cancerbio.net</w:t>
      </w:r>
    </w:hyperlink>
    <w:r w:rsidRPr="001E5B60">
      <w:rPr>
        <w:rFonts w:ascii="Times New Roman" w:hAnsi="Times New Roman" w:hint="eastAsia"/>
        <w:sz w:val="20"/>
      </w:rPr>
      <w:t xml:space="preserve">   </w:t>
    </w:r>
    <w:r w:rsidRPr="001E5B60">
      <w:rPr>
        <w:rFonts w:ascii="Times New Roman" w:hAnsi="Times New Roman" w:hint="eastAsia"/>
        <w:b/>
        <w:i/>
        <w:color w:val="FF0000"/>
        <w:sz w:val="20"/>
        <w:szCs w:val="20"/>
        <w:bdr w:val="single" w:sz="4" w:space="0" w:color="FF0000"/>
      </w:rPr>
      <w:t>CBJ</w:t>
    </w:r>
  </w:p>
  <w:p w:rsidR="00044944" w:rsidRPr="001E5B60" w:rsidRDefault="00044944" w:rsidP="001E5B60">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7DC"/>
    <w:multiLevelType w:val="multilevel"/>
    <w:tmpl w:val="6E124760"/>
    <w:lvl w:ilvl="0">
      <w:start w:val="1"/>
      <w:numFmt w:val="decimal"/>
      <w:lvlText w:val="%1."/>
      <w:lvlJc w:val="left"/>
      <w:pPr>
        <w:ind w:left="360" w:hanging="360"/>
      </w:pPr>
    </w:lvl>
    <w:lvl w:ilvl="1">
      <w:start w:val="1"/>
      <w:numFmt w:val="decimal"/>
      <w:isLgl/>
      <w:lvlText w:val="%1.%2."/>
      <w:lvlJc w:val="left"/>
      <w:pPr>
        <w:ind w:left="720" w:hanging="720"/>
      </w:pPr>
      <w:rPr>
        <w:b/>
        <w:bCs/>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nsid w:val="25A72DC3"/>
    <w:multiLevelType w:val="hybridMultilevel"/>
    <w:tmpl w:val="0BD2E570"/>
    <w:lvl w:ilvl="0" w:tplc="0409000F">
      <w:start w:val="1"/>
      <w:numFmt w:val="decimal"/>
      <w:lvlText w:val="%1."/>
      <w:lvlJc w:val="left"/>
      <w:pPr>
        <w:ind w:left="720" w:hanging="360"/>
      </w:pPr>
    </w:lvl>
    <w:lvl w:ilvl="1" w:tplc="97A87EA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B06393"/>
    <w:multiLevelType w:val="hybridMultilevel"/>
    <w:tmpl w:val="A0C4F24C"/>
    <w:lvl w:ilvl="0" w:tplc="04090011">
      <w:start w:val="1"/>
      <w:numFmt w:val="decimal"/>
      <w:lvlText w:val="%1)"/>
      <w:lvlJc w:val="left"/>
      <w:pPr>
        <w:ind w:left="720" w:hanging="360"/>
      </w:pPr>
    </w:lvl>
    <w:lvl w:ilvl="1" w:tplc="04090011">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C5272F"/>
    <w:multiLevelType w:val="hybridMultilevel"/>
    <w:tmpl w:val="CA909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A7E66"/>
    <w:multiLevelType w:val="hybridMultilevel"/>
    <w:tmpl w:val="EA9ABBE6"/>
    <w:lvl w:ilvl="0" w:tplc="C5DAEC6A">
      <w:start w:val="1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B75D4"/>
    <w:multiLevelType w:val="hybridMultilevel"/>
    <w:tmpl w:val="557869DC"/>
    <w:lvl w:ilvl="0" w:tplc="2F5C3050">
      <w:start w:val="1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7295C"/>
    <w:multiLevelType w:val="hybridMultilevel"/>
    <w:tmpl w:val="E58CAB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71373D8"/>
    <w:multiLevelType w:val="hybridMultilevel"/>
    <w:tmpl w:val="D382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B17198"/>
    <w:multiLevelType w:val="multilevel"/>
    <w:tmpl w:val="150CB15C"/>
    <w:lvl w:ilvl="0">
      <w:start w:val="1"/>
      <w:numFmt w:val="decimal"/>
      <w:lvlText w:val="%1."/>
      <w:lvlJc w:val="left"/>
      <w:pPr>
        <w:ind w:left="720" w:hanging="360"/>
      </w:pPr>
    </w:lvl>
    <w:lvl w:ilvl="1">
      <w:start w:val="1"/>
      <w:numFmt w:val="decimal"/>
      <w:isLgl/>
      <w:lvlText w:val="%1.%2."/>
      <w:lvlJc w:val="left"/>
      <w:pPr>
        <w:ind w:left="360" w:hanging="360"/>
      </w:pPr>
      <w:rPr>
        <w:rFonts w:hint="default"/>
        <w:b/>
        <w:bCs/>
        <w:sz w:val="24"/>
        <w:szCs w:val="24"/>
      </w:rPr>
    </w:lvl>
    <w:lvl w:ilvl="2">
      <w:start w:val="1"/>
      <w:numFmt w:val="decimal"/>
      <w:isLgl/>
      <w:lvlText w:val="%1.%2.%3."/>
      <w:lvlJc w:val="left"/>
      <w:pPr>
        <w:ind w:left="1080" w:hanging="720"/>
      </w:pPr>
      <w:rPr>
        <w:rFonts w:hint="default"/>
        <w:b/>
        <w:bCs/>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602EEC"/>
    <w:multiLevelType w:val="hybridMultilevel"/>
    <w:tmpl w:val="D2664D62"/>
    <w:lvl w:ilvl="0" w:tplc="3CEC9B1A">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E0413EB"/>
    <w:multiLevelType w:val="multilevel"/>
    <w:tmpl w:val="D91A4A90"/>
    <w:lvl w:ilvl="0">
      <w:start w:val="1"/>
      <w:numFmt w:val="decimal"/>
      <w:lvlText w:val="%1."/>
      <w:lvlJc w:val="left"/>
      <w:pPr>
        <w:ind w:left="360" w:hanging="360"/>
      </w:pPr>
    </w:lvl>
    <w:lvl w:ilvl="1">
      <w:start w:val="1"/>
      <w:numFmt w:val="decimal"/>
      <w:isLgl/>
      <w:lvlText w:val="%1.%2."/>
      <w:lvlJc w:val="left"/>
      <w:pPr>
        <w:ind w:left="720" w:hanging="360"/>
      </w:pPr>
      <w:rPr>
        <w:rFonts w:hint="default"/>
        <w:b/>
        <w:bCs/>
        <w:i w:val="0"/>
        <w:iCs w:val="0"/>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1">
    <w:nsid w:val="5EA41048"/>
    <w:multiLevelType w:val="hybridMultilevel"/>
    <w:tmpl w:val="DAD24750"/>
    <w:lvl w:ilvl="0" w:tplc="2F5C3050">
      <w:start w:val="1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F1B3D"/>
    <w:multiLevelType w:val="hybridMultilevel"/>
    <w:tmpl w:val="02609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D7E42AC"/>
    <w:multiLevelType w:val="multilevel"/>
    <w:tmpl w:val="45983D2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B35690B"/>
    <w:multiLevelType w:val="hybridMultilevel"/>
    <w:tmpl w:val="32DC6B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F22EA9"/>
    <w:multiLevelType w:val="hybridMultilevel"/>
    <w:tmpl w:val="8F7C144E"/>
    <w:lvl w:ilvl="0" w:tplc="0912525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BC3"/>
    <w:rsid w:val="00001014"/>
    <w:rsid w:val="00004B2B"/>
    <w:rsid w:val="00004D3F"/>
    <w:rsid w:val="00007569"/>
    <w:rsid w:val="000104AA"/>
    <w:rsid w:val="00011A70"/>
    <w:rsid w:val="000130E3"/>
    <w:rsid w:val="00013948"/>
    <w:rsid w:val="00015BCA"/>
    <w:rsid w:val="000169DD"/>
    <w:rsid w:val="00016CCD"/>
    <w:rsid w:val="000174F2"/>
    <w:rsid w:val="00017AF4"/>
    <w:rsid w:val="00020AAD"/>
    <w:rsid w:val="00020F2C"/>
    <w:rsid w:val="000230E2"/>
    <w:rsid w:val="00025A91"/>
    <w:rsid w:val="00026A02"/>
    <w:rsid w:val="00031284"/>
    <w:rsid w:val="000313A4"/>
    <w:rsid w:val="00032862"/>
    <w:rsid w:val="00033023"/>
    <w:rsid w:val="00034478"/>
    <w:rsid w:val="0003512F"/>
    <w:rsid w:val="00035748"/>
    <w:rsid w:val="000404E5"/>
    <w:rsid w:val="00041428"/>
    <w:rsid w:val="0004194F"/>
    <w:rsid w:val="00041B4D"/>
    <w:rsid w:val="0004208B"/>
    <w:rsid w:val="00043A72"/>
    <w:rsid w:val="00043D78"/>
    <w:rsid w:val="00043FC4"/>
    <w:rsid w:val="00044944"/>
    <w:rsid w:val="00044CF3"/>
    <w:rsid w:val="000460BB"/>
    <w:rsid w:val="000466CA"/>
    <w:rsid w:val="000474A6"/>
    <w:rsid w:val="00047B87"/>
    <w:rsid w:val="0005198B"/>
    <w:rsid w:val="00052E06"/>
    <w:rsid w:val="00053A55"/>
    <w:rsid w:val="00054347"/>
    <w:rsid w:val="000543BE"/>
    <w:rsid w:val="00054BFC"/>
    <w:rsid w:val="0005683C"/>
    <w:rsid w:val="000576F9"/>
    <w:rsid w:val="00066C58"/>
    <w:rsid w:val="00070E00"/>
    <w:rsid w:val="000719D4"/>
    <w:rsid w:val="00071FDD"/>
    <w:rsid w:val="00073348"/>
    <w:rsid w:val="00074C0F"/>
    <w:rsid w:val="00074FC7"/>
    <w:rsid w:val="00076291"/>
    <w:rsid w:val="00077D93"/>
    <w:rsid w:val="00080956"/>
    <w:rsid w:val="00081070"/>
    <w:rsid w:val="00081E2A"/>
    <w:rsid w:val="0008313E"/>
    <w:rsid w:val="00083A91"/>
    <w:rsid w:val="00083D60"/>
    <w:rsid w:val="00083D7F"/>
    <w:rsid w:val="000844FF"/>
    <w:rsid w:val="00085233"/>
    <w:rsid w:val="000859F1"/>
    <w:rsid w:val="00085FB5"/>
    <w:rsid w:val="00086ACF"/>
    <w:rsid w:val="0008732E"/>
    <w:rsid w:val="000925BB"/>
    <w:rsid w:val="00092CC7"/>
    <w:rsid w:val="00092FE7"/>
    <w:rsid w:val="00094509"/>
    <w:rsid w:val="000947F1"/>
    <w:rsid w:val="00095CBE"/>
    <w:rsid w:val="000963DC"/>
    <w:rsid w:val="00097E12"/>
    <w:rsid w:val="000A079C"/>
    <w:rsid w:val="000A16A1"/>
    <w:rsid w:val="000A1940"/>
    <w:rsid w:val="000A2F00"/>
    <w:rsid w:val="000A5545"/>
    <w:rsid w:val="000A6158"/>
    <w:rsid w:val="000B1CB2"/>
    <w:rsid w:val="000B2127"/>
    <w:rsid w:val="000B4360"/>
    <w:rsid w:val="000B4A66"/>
    <w:rsid w:val="000B5D1E"/>
    <w:rsid w:val="000B6530"/>
    <w:rsid w:val="000C0A4B"/>
    <w:rsid w:val="000C0E36"/>
    <w:rsid w:val="000C2F3D"/>
    <w:rsid w:val="000C6553"/>
    <w:rsid w:val="000C7E9A"/>
    <w:rsid w:val="000D2B7F"/>
    <w:rsid w:val="000D314D"/>
    <w:rsid w:val="000D35A0"/>
    <w:rsid w:val="000D3C94"/>
    <w:rsid w:val="000D6D3D"/>
    <w:rsid w:val="000D6F7C"/>
    <w:rsid w:val="000D6FA6"/>
    <w:rsid w:val="000D7872"/>
    <w:rsid w:val="000E02BF"/>
    <w:rsid w:val="000E4AAD"/>
    <w:rsid w:val="000E57F7"/>
    <w:rsid w:val="000E7562"/>
    <w:rsid w:val="000F1698"/>
    <w:rsid w:val="000F18F2"/>
    <w:rsid w:val="000F2360"/>
    <w:rsid w:val="000F2A55"/>
    <w:rsid w:val="000F30FF"/>
    <w:rsid w:val="000F3933"/>
    <w:rsid w:val="000F422B"/>
    <w:rsid w:val="000F5C54"/>
    <w:rsid w:val="000F71AB"/>
    <w:rsid w:val="000F7753"/>
    <w:rsid w:val="00100F79"/>
    <w:rsid w:val="001027C6"/>
    <w:rsid w:val="00102EAD"/>
    <w:rsid w:val="001038A7"/>
    <w:rsid w:val="00103E7B"/>
    <w:rsid w:val="00104EBA"/>
    <w:rsid w:val="00104EEF"/>
    <w:rsid w:val="001062EE"/>
    <w:rsid w:val="00106B64"/>
    <w:rsid w:val="001124B2"/>
    <w:rsid w:val="00112A8E"/>
    <w:rsid w:val="00113127"/>
    <w:rsid w:val="0011400F"/>
    <w:rsid w:val="001153CB"/>
    <w:rsid w:val="00116B5D"/>
    <w:rsid w:val="00120042"/>
    <w:rsid w:val="00123449"/>
    <w:rsid w:val="00123858"/>
    <w:rsid w:val="00123E7C"/>
    <w:rsid w:val="00125F8A"/>
    <w:rsid w:val="00125F94"/>
    <w:rsid w:val="0012744B"/>
    <w:rsid w:val="00130183"/>
    <w:rsid w:val="001323A6"/>
    <w:rsid w:val="0013268F"/>
    <w:rsid w:val="00132A16"/>
    <w:rsid w:val="00134A24"/>
    <w:rsid w:val="00134BEE"/>
    <w:rsid w:val="00135633"/>
    <w:rsid w:val="00137363"/>
    <w:rsid w:val="0014004B"/>
    <w:rsid w:val="00141BA4"/>
    <w:rsid w:val="00141D94"/>
    <w:rsid w:val="001431A3"/>
    <w:rsid w:val="00144FC9"/>
    <w:rsid w:val="001451C5"/>
    <w:rsid w:val="001468B4"/>
    <w:rsid w:val="00150E9C"/>
    <w:rsid w:val="001532C1"/>
    <w:rsid w:val="001552C2"/>
    <w:rsid w:val="00157606"/>
    <w:rsid w:val="001605CD"/>
    <w:rsid w:val="00161A92"/>
    <w:rsid w:val="00162A8F"/>
    <w:rsid w:val="00163D9D"/>
    <w:rsid w:val="001645BF"/>
    <w:rsid w:val="00165EF1"/>
    <w:rsid w:val="00167025"/>
    <w:rsid w:val="001706DD"/>
    <w:rsid w:val="001708A2"/>
    <w:rsid w:val="00170F4A"/>
    <w:rsid w:val="0017127C"/>
    <w:rsid w:val="00171E05"/>
    <w:rsid w:val="00173614"/>
    <w:rsid w:val="00174553"/>
    <w:rsid w:val="00180304"/>
    <w:rsid w:val="00180769"/>
    <w:rsid w:val="00180C87"/>
    <w:rsid w:val="001816AB"/>
    <w:rsid w:val="0018240A"/>
    <w:rsid w:val="00182F31"/>
    <w:rsid w:val="00184E39"/>
    <w:rsid w:val="00186821"/>
    <w:rsid w:val="00186A66"/>
    <w:rsid w:val="0018703E"/>
    <w:rsid w:val="00190D11"/>
    <w:rsid w:val="001935EC"/>
    <w:rsid w:val="001942CC"/>
    <w:rsid w:val="00194731"/>
    <w:rsid w:val="001953DE"/>
    <w:rsid w:val="00197F4F"/>
    <w:rsid w:val="001A00F4"/>
    <w:rsid w:val="001A1848"/>
    <w:rsid w:val="001A51BA"/>
    <w:rsid w:val="001A54A3"/>
    <w:rsid w:val="001A5F00"/>
    <w:rsid w:val="001A69CA"/>
    <w:rsid w:val="001A798B"/>
    <w:rsid w:val="001B434E"/>
    <w:rsid w:val="001B4C05"/>
    <w:rsid w:val="001B5AE1"/>
    <w:rsid w:val="001B6955"/>
    <w:rsid w:val="001B724F"/>
    <w:rsid w:val="001B7C87"/>
    <w:rsid w:val="001B7C96"/>
    <w:rsid w:val="001B7D22"/>
    <w:rsid w:val="001C1D76"/>
    <w:rsid w:val="001C1F6D"/>
    <w:rsid w:val="001C24C8"/>
    <w:rsid w:val="001C28F8"/>
    <w:rsid w:val="001C29A0"/>
    <w:rsid w:val="001C3D1F"/>
    <w:rsid w:val="001C4450"/>
    <w:rsid w:val="001C4579"/>
    <w:rsid w:val="001C5AD8"/>
    <w:rsid w:val="001D16FD"/>
    <w:rsid w:val="001D1837"/>
    <w:rsid w:val="001D22D7"/>
    <w:rsid w:val="001D2AAF"/>
    <w:rsid w:val="001D37E9"/>
    <w:rsid w:val="001D4DD5"/>
    <w:rsid w:val="001D55E0"/>
    <w:rsid w:val="001D73E3"/>
    <w:rsid w:val="001D744B"/>
    <w:rsid w:val="001D7688"/>
    <w:rsid w:val="001E214D"/>
    <w:rsid w:val="001E282D"/>
    <w:rsid w:val="001E3D5D"/>
    <w:rsid w:val="001E53BA"/>
    <w:rsid w:val="001E5B60"/>
    <w:rsid w:val="001E63A3"/>
    <w:rsid w:val="001F018A"/>
    <w:rsid w:val="001F2BED"/>
    <w:rsid w:val="001F3870"/>
    <w:rsid w:val="001F3A44"/>
    <w:rsid w:val="001F46B0"/>
    <w:rsid w:val="001F711D"/>
    <w:rsid w:val="00200C7E"/>
    <w:rsid w:val="00200E58"/>
    <w:rsid w:val="00202BD8"/>
    <w:rsid w:val="00203CA6"/>
    <w:rsid w:val="0020713C"/>
    <w:rsid w:val="00210D0D"/>
    <w:rsid w:val="002128F6"/>
    <w:rsid w:val="002157B2"/>
    <w:rsid w:val="00217CE0"/>
    <w:rsid w:val="00217F65"/>
    <w:rsid w:val="00222223"/>
    <w:rsid w:val="002225FE"/>
    <w:rsid w:val="00222F0C"/>
    <w:rsid w:val="00223017"/>
    <w:rsid w:val="0022485B"/>
    <w:rsid w:val="00225020"/>
    <w:rsid w:val="00226B46"/>
    <w:rsid w:val="0022730D"/>
    <w:rsid w:val="00230246"/>
    <w:rsid w:val="002317AB"/>
    <w:rsid w:val="002345DB"/>
    <w:rsid w:val="00234AC6"/>
    <w:rsid w:val="0023501B"/>
    <w:rsid w:val="00235F79"/>
    <w:rsid w:val="002369F9"/>
    <w:rsid w:val="00237681"/>
    <w:rsid w:val="00237B5C"/>
    <w:rsid w:val="00241078"/>
    <w:rsid w:val="00241089"/>
    <w:rsid w:val="00241746"/>
    <w:rsid w:val="00241762"/>
    <w:rsid w:val="002435C2"/>
    <w:rsid w:val="00244084"/>
    <w:rsid w:val="00250106"/>
    <w:rsid w:val="002521A9"/>
    <w:rsid w:val="002548F8"/>
    <w:rsid w:val="002557C8"/>
    <w:rsid w:val="002618A5"/>
    <w:rsid w:val="002636A1"/>
    <w:rsid w:val="0026441B"/>
    <w:rsid w:val="00264C78"/>
    <w:rsid w:val="00265FD3"/>
    <w:rsid w:val="00266409"/>
    <w:rsid w:val="002675F3"/>
    <w:rsid w:val="00267E88"/>
    <w:rsid w:val="00270367"/>
    <w:rsid w:val="00271142"/>
    <w:rsid w:val="0027156E"/>
    <w:rsid w:val="00272107"/>
    <w:rsid w:val="00272DD3"/>
    <w:rsid w:val="002732AD"/>
    <w:rsid w:val="00273C1F"/>
    <w:rsid w:val="002740D9"/>
    <w:rsid w:val="0027455C"/>
    <w:rsid w:val="00275F67"/>
    <w:rsid w:val="00277DA3"/>
    <w:rsid w:val="00277EB8"/>
    <w:rsid w:val="002804F4"/>
    <w:rsid w:val="00280B25"/>
    <w:rsid w:val="00280CD7"/>
    <w:rsid w:val="00281D84"/>
    <w:rsid w:val="002829C0"/>
    <w:rsid w:val="00287C6F"/>
    <w:rsid w:val="00287E85"/>
    <w:rsid w:val="0029071A"/>
    <w:rsid w:val="00291C72"/>
    <w:rsid w:val="002924C8"/>
    <w:rsid w:val="002946EF"/>
    <w:rsid w:val="0029580C"/>
    <w:rsid w:val="00295B24"/>
    <w:rsid w:val="002960CB"/>
    <w:rsid w:val="002A0512"/>
    <w:rsid w:val="002A187A"/>
    <w:rsid w:val="002A1E56"/>
    <w:rsid w:val="002A1F83"/>
    <w:rsid w:val="002A24AE"/>
    <w:rsid w:val="002A2F1C"/>
    <w:rsid w:val="002A36E6"/>
    <w:rsid w:val="002A37E7"/>
    <w:rsid w:val="002A3BB8"/>
    <w:rsid w:val="002A4420"/>
    <w:rsid w:val="002A453D"/>
    <w:rsid w:val="002A52BF"/>
    <w:rsid w:val="002A536B"/>
    <w:rsid w:val="002B016C"/>
    <w:rsid w:val="002B1040"/>
    <w:rsid w:val="002B13A9"/>
    <w:rsid w:val="002B19C5"/>
    <w:rsid w:val="002B3DC9"/>
    <w:rsid w:val="002B56AC"/>
    <w:rsid w:val="002B5EB7"/>
    <w:rsid w:val="002B74F5"/>
    <w:rsid w:val="002B78E1"/>
    <w:rsid w:val="002C0564"/>
    <w:rsid w:val="002C163B"/>
    <w:rsid w:val="002C2677"/>
    <w:rsid w:val="002C31C3"/>
    <w:rsid w:val="002C39E6"/>
    <w:rsid w:val="002C3B33"/>
    <w:rsid w:val="002C4ACD"/>
    <w:rsid w:val="002C649F"/>
    <w:rsid w:val="002C76ED"/>
    <w:rsid w:val="002C794D"/>
    <w:rsid w:val="002D10F7"/>
    <w:rsid w:val="002D19AE"/>
    <w:rsid w:val="002D1E49"/>
    <w:rsid w:val="002D4B22"/>
    <w:rsid w:val="002D65AE"/>
    <w:rsid w:val="002D7482"/>
    <w:rsid w:val="002D79E9"/>
    <w:rsid w:val="002E260F"/>
    <w:rsid w:val="002E31BE"/>
    <w:rsid w:val="002E68FD"/>
    <w:rsid w:val="002E783E"/>
    <w:rsid w:val="002E7E7D"/>
    <w:rsid w:val="002F003B"/>
    <w:rsid w:val="002F049A"/>
    <w:rsid w:val="002F0532"/>
    <w:rsid w:val="002F0AE6"/>
    <w:rsid w:val="002F0B16"/>
    <w:rsid w:val="002F0D87"/>
    <w:rsid w:val="002F129D"/>
    <w:rsid w:val="002F1C31"/>
    <w:rsid w:val="002F2007"/>
    <w:rsid w:val="002F4287"/>
    <w:rsid w:val="002F47B1"/>
    <w:rsid w:val="002F59A4"/>
    <w:rsid w:val="002F75A9"/>
    <w:rsid w:val="0030153C"/>
    <w:rsid w:val="003015D0"/>
    <w:rsid w:val="003021AD"/>
    <w:rsid w:val="00303FBF"/>
    <w:rsid w:val="00304663"/>
    <w:rsid w:val="00306313"/>
    <w:rsid w:val="00306517"/>
    <w:rsid w:val="00306792"/>
    <w:rsid w:val="00306EA5"/>
    <w:rsid w:val="00307B6A"/>
    <w:rsid w:val="00307E13"/>
    <w:rsid w:val="00311C19"/>
    <w:rsid w:val="00312A4E"/>
    <w:rsid w:val="00312C97"/>
    <w:rsid w:val="003131DC"/>
    <w:rsid w:val="00314436"/>
    <w:rsid w:val="00315032"/>
    <w:rsid w:val="0031558E"/>
    <w:rsid w:val="0031584C"/>
    <w:rsid w:val="0031782A"/>
    <w:rsid w:val="00320169"/>
    <w:rsid w:val="00320CF0"/>
    <w:rsid w:val="0032182C"/>
    <w:rsid w:val="00321BC9"/>
    <w:rsid w:val="00322100"/>
    <w:rsid w:val="0032216C"/>
    <w:rsid w:val="00322430"/>
    <w:rsid w:val="00322891"/>
    <w:rsid w:val="00325D3D"/>
    <w:rsid w:val="0032721F"/>
    <w:rsid w:val="00327D19"/>
    <w:rsid w:val="00331090"/>
    <w:rsid w:val="003324A1"/>
    <w:rsid w:val="00332B2C"/>
    <w:rsid w:val="00332EF4"/>
    <w:rsid w:val="003341B6"/>
    <w:rsid w:val="0033490D"/>
    <w:rsid w:val="00334B1B"/>
    <w:rsid w:val="00343A22"/>
    <w:rsid w:val="00344916"/>
    <w:rsid w:val="003451D4"/>
    <w:rsid w:val="003463BA"/>
    <w:rsid w:val="0034695B"/>
    <w:rsid w:val="00347327"/>
    <w:rsid w:val="00350ACE"/>
    <w:rsid w:val="00350B4D"/>
    <w:rsid w:val="00350F7C"/>
    <w:rsid w:val="00351344"/>
    <w:rsid w:val="003536E0"/>
    <w:rsid w:val="003541EB"/>
    <w:rsid w:val="00357A82"/>
    <w:rsid w:val="00360AB7"/>
    <w:rsid w:val="00365349"/>
    <w:rsid w:val="00370053"/>
    <w:rsid w:val="00370B82"/>
    <w:rsid w:val="00371706"/>
    <w:rsid w:val="003757A8"/>
    <w:rsid w:val="0037593A"/>
    <w:rsid w:val="003769B5"/>
    <w:rsid w:val="00377559"/>
    <w:rsid w:val="003808C3"/>
    <w:rsid w:val="00380A3E"/>
    <w:rsid w:val="00384217"/>
    <w:rsid w:val="00390ECD"/>
    <w:rsid w:val="00391BEF"/>
    <w:rsid w:val="00393BD3"/>
    <w:rsid w:val="0039546D"/>
    <w:rsid w:val="00395966"/>
    <w:rsid w:val="003A003C"/>
    <w:rsid w:val="003A1C1B"/>
    <w:rsid w:val="003A1D9C"/>
    <w:rsid w:val="003A22DC"/>
    <w:rsid w:val="003A290C"/>
    <w:rsid w:val="003A40A0"/>
    <w:rsid w:val="003A68D9"/>
    <w:rsid w:val="003A6E1A"/>
    <w:rsid w:val="003B0837"/>
    <w:rsid w:val="003B21CD"/>
    <w:rsid w:val="003B28B0"/>
    <w:rsid w:val="003B3E2E"/>
    <w:rsid w:val="003B4045"/>
    <w:rsid w:val="003B459A"/>
    <w:rsid w:val="003B5DAC"/>
    <w:rsid w:val="003B610B"/>
    <w:rsid w:val="003B7209"/>
    <w:rsid w:val="003B779E"/>
    <w:rsid w:val="003C483B"/>
    <w:rsid w:val="003C4E3B"/>
    <w:rsid w:val="003C6128"/>
    <w:rsid w:val="003C79B7"/>
    <w:rsid w:val="003D05D1"/>
    <w:rsid w:val="003D1888"/>
    <w:rsid w:val="003D2287"/>
    <w:rsid w:val="003D2978"/>
    <w:rsid w:val="003D31FA"/>
    <w:rsid w:val="003D3700"/>
    <w:rsid w:val="003D3B08"/>
    <w:rsid w:val="003D71B3"/>
    <w:rsid w:val="003E1767"/>
    <w:rsid w:val="003E24BB"/>
    <w:rsid w:val="003E3288"/>
    <w:rsid w:val="003E3C1B"/>
    <w:rsid w:val="003E3C7C"/>
    <w:rsid w:val="003E3F44"/>
    <w:rsid w:val="003E5012"/>
    <w:rsid w:val="003E5A11"/>
    <w:rsid w:val="003E7C88"/>
    <w:rsid w:val="003F083D"/>
    <w:rsid w:val="003F0A1F"/>
    <w:rsid w:val="003F113A"/>
    <w:rsid w:val="003F11DF"/>
    <w:rsid w:val="003F13E5"/>
    <w:rsid w:val="003F355A"/>
    <w:rsid w:val="003F372D"/>
    <w:rsid w:val="003F5CB4"/>
    <w:rsid w:val="00400B9B"/>
    <w:rsid w:val="00401899"/>
    <w:rsid w:val="00401F6B"/>
    <w:rsid w:val="00405DB8"/>
    <w:rsid w:val="00407004"/>
    <w:rsid w:val="004070F4"/>
    <w:rsid w:val="004079D5"/>
    <w:rsid w:val="0041029F"/>
    <w:rsid w:val="004116BC"/>
    <w:rsid w:val="00412298"/>
    <w:rsid w:val="00417015"/>
    <w:rsid w:val="0041712F"/>
    <w:rsid w:val="0041724D"/>
    <w:rsid w:val="00420640"/>
    <w:rsid w:val="004209BE"/>
    <w:rsid w:val="00420CB8"/>
    <w:rsid w:val="00420E1F"/>
    <w:rsid w:val="00421DFE"/>
    <w:rsid w:val="004226A1"/>
    <w:rsid w:val="00422A52"/>
    <w:rsid w:val="004233E4"/>
    <w:rsid w:val="00423F9A"/>
    <w:rsid w:val="00423FD8"/>
    <w:rsid w:val="00424068"/>
    <w:rsid w:val="00426004"/>
    <w:rsid w:val="00427190"/>
    <w:rsid w:val="00433DFF"/>
    <w:rsid w:val="00436015"/>
    <w:rsid w:val="00436BF1"/>
    <w:rsid w:val="00436D75"/>
    <w:rsid w:val="0043782C"/>
    <w:rsid w:val="00440DC2"/>
    <w:rsid w:val="00441029"/>
    <w:rsid w:val="00441A3E"/>
    <w:rsid w:val="00441FFE"/>
    <w:rsid w:val="004428EB"/>
    <w:rsid w:val="00442E33"/>
    <w:rsid w:val="00442E53"/>
    <w:rsid w:val="00444D46"/>
    <w:rsid w:val="004464E4"/>
    <w:rsid w:val="00447A21"/>
    <w:rsid w:val="00447B7C"/>
    <w:rsid w:val="00451052"/>
    <w:rsid w:val="004524F6"/>
    <w:rsid w:val="004528F8"/>
    <w:rsid w:val="00453342"/>
    <w:rsid w:val="004538F0"/>
    <w:rsid w:val="00454641"/>
    <w:rsid w:val="0045471C"/>
    <w:rsid w:val="00454F4A"/>
    <w:rsid w:val="0045549A"/>
    <w:rsid w:val="0045583C"/>
    <w:rsid w:val="0045590A"/>
    <w:rsid w:val="0045641A"/>
    <w:rsid w:val="00457EE9"/>
    <w:rsid w:val="00460B70"/>
    <w:rsid w:val="004630A8"/>
    <w:rsid w:val="004638CB"/>
    <w:rsid w:val="00463A85"/>
    <w:rsid w:val="0046557E"/>
    <w:rsid w:val="00465757"/>
    <w:rsid w:val="00466DF5"/>
    <w:rsid w:val="00466FCA"/>
    <w:rsid w:val="00467E2A"/>
    <w:rsid w:val="004704FB"/>
    <w:rsid w:val="0047286A"/>
    <w:rsid w:val="00473D77"/>
    <w:rsid w:val="00473E02"/>
    <w:rsid w:val="00474A62"/>
    <w:rsid w:val="00474E88"/>
    <w:rsid w:val="004757EF"/>
    <w:rsid w:val="0047589A"/>
    <w:rsid w:val="0047682F"/>
    <w:rsid w:val="004829C7"/>
    <w:rsid w:val="00484CB1"/>
    <w:rsid w:val="004869F6"/>
    <w:rsid w:val="0049076F"/>
    <w:rsid w:val="0049278F"/>
    <w:rsid w:val="004929AE"/>
    <w:rsid w:val="00492AD5"/>
    <w:rsid w:val="00492FBC"/>
    <w:rsid w:val="0049350E"/>
    <w:rsid w:val="0049461A"/>
    <w:rsid w:val="004A02C6"/>
    <w:rsid w:val="004A3B43"/>
    <w:rsid w:val="004A3F98"/>
    <w:rsid w:val="004A5369"/>
    <w:rsid w:val="004A5741"/>
    <w:rsid w:val="004A5963"/>
    <w:rsid w:val="004A5CD8"/>
    <w:rsid w:val="004A7821"/>
    <w:rsid w:val="004A7E29"/>
    <w:rsid w:val="004B2255"/>
    <w:rsid w:val="004B2754"/>
    <w:rsid w:val="004B284C"/>
    <w:rsid w:val="004B65DD"/>
    <w:rsid w:val="004B6AEF"/>
    <w:rsid w:val="004B7705"/>
    <w:rsid w:val="004C1391"/>
    <w:rsid w:val="004C1FAE"/>
    <w:rsid w:val="004C2083"/>
    <w:rsid w:val="004C500B"/>
    <w:rsid w:val="004C68D1"/>
    <w:rsid w:val="004D2176"/>
    <w:rsid w:val="004D2950"/>
    <w:rsid w:val="004D3342"/>
    <w:rsid w:val="004D5A17"/>
    <w:rsid w:val="004D6E67"/>
    <w:rsid w:val="004D7793"/>
    <w:rsid w:val="004E041A"/>
    <w:rsid w:val="004E4C06"/>
    <w:rsid w:val="004E6F5D"/>
    <w:rsid w:val="004F1AF7"/>
    <w:rsid w:val="004F1BA2"/>
    <w:rsid w:val="004F1C0A"/>
    <w:rsid w:val="004F2E36"/>
    <w:rsid w:val="004F31EB"/>
    <w:rsid w:val="004F3D1C"/>
    <w:rsid w:val="004F3F32"/>
    <w:rsid w:val="004F403D"/>
    <w:rsid w:val="004F5DFB"/>
    <w:rsid w:val="004F7510"/>
    <w:rsid w:val="004F761A"/>
    <w:rsid w:val="004F7D93"/>
    <w:rsid w:val="00500A16"/>
    <w:rsid w:val="00500C57"/>
    <w:rsid w:val="005019BB"/>
    <w:rsid w:val="00502146"/>
    <w:rsid w:val="00502612"/>
    <w:rsid w:val="00502C41"/>
    <w:rsid w:val="00504BEF"/>
    <w:rsid w:val="00504EF0"/>
    <w:rsid w:val="005057CD"/>
    <w:rsid w:val="00507506"/>
    <w:rsid w:val="00507BA0"/>
    <w:rsid w:val="00510B16"/>
    <w:rsid w:val="00511224"/>
    <w:rsid w:val="0051146E"/>
    <w:rsid w:val="00512275"/>
    <w:rsid w:val="005132ED"/>
    <w:rsid w:val="00513323"/>
    <w:rsid w:val="0051457B"/>
    <w:rsid w:val="00514CD9"/>
    <w:rsid w:val="0051507D"/>
    <w:rsid w:val="0051689D"/>
    <w:rsid w:val="0051741E"/>
    <w:rsid w:val="00517590"/>
    <w:rsid w:val="00517F5F"/>
    <w:rsid w:val="00521622"/>
    <w:rsid w:val="00522EA0"/>
    <w:rsid w:val="005317BD"/>
    <w:rsid w:val="0053414E"/>
    <w:rsid w:val="005407EB"/>
    <w:rsid w:val="00541102"/>
    <w:rsid w:val="00543473"/>
    <w:rsid w:val="00543863"/>
    <w:rsid w:val="005442D4"/>
    <w:rsid w:val="005445B7"/>
    <w:rsid w:val="00544A90"/>
    <w:rsid w:val="00544B5D"/>
    <w:rsid w:val="005469AD"/>
    <w:rsid w:val="005474DC"/>
    <w:rsid w:val="0055006E"/>
    <w:rsid w:val="00552EA0"/>
    <w:rsid w:val="00554009"/>
    <w:rsid w:val="00555172"/>
    <w:rsid w:val="00555497"/>
    <w:rsid w:val="0055708C"/>
    <w:rsid w:val="00560299"/>
    <w:rsid w:val="00560A1D"/>
    <w:rsid w:val="00561208"/>
    <w:rsid w:val="00561231"/>
    <w:rsid w:val="00562E1D"/>
    <w:rsid w:val="005639F1"/>
    <w:rsid w:val="005645A7"/>
    <w:rsid w:val="005646C1"/>
    <w:rsid w:val="005662DA"/>
    <w:rsid w:val="0056681A"/>
    <w:rsid w:val="00566C1A"/>
    <w:rsid w:val="00570BB1"/>
    <w:rsid w:val="005712BE"/>
    <w:rsid w:val="0057364C"/>
    <w:rsid w:val="005739EA"/>
    <w:rsid w:val="00573AB1"/>
    <w:rsid w:val="005747AC"/>
    <w:rsid w:val="005755F1"/>
    <w:rsid w:val="00575A1C"/>
    <w:rsid w:val="00576D8E"/>
    <w:rsid w:val="0057775F"/>
    <w:rsid w:val="00577F57"/>
    <w:rsid w:val="005817CA"/>
    <w:rsid w:val="00581929"/>
    <w:rsid w:val="00582A23"/>
    <w:rsid w:val="00586F4A"/>
    <w:rsid w:val="00590690"/>
    <w:rsid w:val="005908E8"/>
    <w:rsid w:val="005911FA"/>
    <w:rsid w:val="0059213B"/>
    <w:rsid w:val="0059313D"/>
    <w:rsid w:val="005934B5"/>
    <w:rsid w:val="005938BD"/>
    <w:rsid w:val="00594A03"/>
    <w:rsid w:val="005964CE"/>
    <w:rsid w:val="005A0137"/>
    <w:rsid w:val="005A048C"/>
    <w:rsid w:val="005A3536"/>
    <w:rsid w:val="005A3558"/>
    <w:rsid w:val="005A4882"/>
    <w:rsid w:val="005A5B1A"/>
    <w:rsid w:val="005A67C7"/>
    <w:rsid w:val="005A6D82"/>
    <w:rsid w:val="005A7027"/>
    <w:rsid w:val="005A7F81"/>
    <w:rsid w:val="005B1389"/>
    <w:rsid w:val="005B1AF7"/>
    <w:rsid w:val="005B50B4"/>
    <w:rsid w:val="005B5972"/>
    <w:rsid w:val="005B5BA4"/>
    <w:rsid w:val="005B68F9"/>
    <w:rsid w:val="005B77C5"/>
    <w:rsid w:val="005C121A"/>
    <w:rsid w:val="005C255A"/>
    <w:rsid w:val="005C26DA"/>
    <w:rsid w:val="005C29DE"/>
    <w:rsid w:val="005C2E47"/>
    <w:rsid w:val="005C3525"/>
    <w:rsid w:val="005C48A5"/>
    <w:rsid w:val="005C6DCE"/>
    <w:rsid w:val="005D20E2"/>
    <w:rsid w:val="005D27F2"/>
    <w:rsid w:val="005D4843"/>
    <w:rsid w:val="005D53FD"/>
    <w:rsid w:val="005D65F4"/>
    <w:rsid w:val="005E01CC"/>
    <w:rsid w:val="005E065C"/>
    <w:rsid w:val="005E2B15"/>
    <w:rsid w:val="005E3D24"/>
    <w:rsid w:val="005E799C"/>
    <w:rsid w:val="005F138E"/>
    <w:rsid w:val="005F1A0E"/>
    <w:rsid w:val="005F328B"/>
    <w:rsid w:val="005F3D1E"/>
    <w:rsid w:val="005F3FE4"/>
    <w:rsid w:val="005F4399"/>
    <w:rsid w:val="005F4C55"/>
    <w:rsid w:val="005F575B"/>
    <w:rsid w:val="005F7B3D"/>
    <w:rsid w:val="006033B9"/>
    <w:rsid w:val="006052F0"/>
    <w:rsid w:val="00605568"/>
    <w:rsid w:val="00607DB5"/>
    <w:rsid w:val="0061043D"/>
    <w:rsid w:val="006118ED"/>
    <w:rsid w:val="00612FAA"/>
    <w:rsid w:val="0061326E"/>
    <w:rsid w:val="00614685"/>
    <w:rsid w:val="0061503B"/>
    <w:rsid w:val="006155D5"/>
    <w:rsid w:val="006165F6"/>
    <w:rsid w:val="00617416"/>
    <w:rsid w:val="006178B7"/>
    <w:rsid w:val="00620841"/>
    <w:rsid w:val="0062148C"/>
    <w:rsid w:val="00622EF7"/>
    <w:rsid w:val="0062365B"/>
    <w:rsid w:val="006240E9"/>
    <w:rsid w:val="006242D6"/>
    <w:rsid w:val="006264D3"/>
    <w:rsid w:val="00626959"/>
    <w:rsid w:val="00627FB6"/>
    <w:rsid w:val="00630F6D"/>
    <w:rsid w:val="0063130B"/>
    <w:rsid w:val="006316C9"/>
    <w:rsid w:val="006321BC"/>
    <w:rsid w:val="0063289B"/>
    <w:rsid w:val="00632D1C"/>
    <w:rsid w:val="00633647"/>
    <w:rsid w:val="00633FE4"/>
    <w:rsid w:val="00635A3C"/>
    <w:rsid w:val="00636186"/>
    <w:rsid w:val="0063751F"/>
    <w:rsid w:val="006403FC"/>
    <w:rsid w:val="006415EE"/>
    <w:rsid w:val="00644513"/>
    <w:rsid w:val="006467EC"/>
    <w:rsid w:val="0064753D"/>
    <w:rsid w:val="006507AB"/>
    <w:rsid w:val="006521E2"/>
    <w:rsid w:val="00652B0B"/>
    <w:rsid w:val="00653CD2"/>
    <w:rsid w:val="0065680E"/>
    <w:rsid w:val="00656A16"/>
    <w:rsid w:val="00656C66"/>
    <w:rsid w:val="00662267"/>
    <w:rsid w:val="00664469"/>
    <w:rsid w:val="0066464F"/>
    <w:rsid w:val="00665324"/>
    <w:rsid w:val="006656CB"/>
    <w:rsid w:val="00665818"/>
    <w:rsid w:val="00667BAC"/>
    <w:rsid w:val="0067356B"/>
    <w:rsid w:val="006750E9"/>
    <w:rsid w:val="00675293"/>
    <w:rsid w:val="006759E5"/>
    <w:rsid w:val="00677E3A"/>
    <w:rsid w:val="006807A9"/>
    <w:rsid w:val="00681734"/>
    <w:rsid w:val="00682B4A"/>
    <w:rsid w:val="00682DEA"/>
    <w:rsid w:val="006875DD"/>
    <w:rsid w:val="00687B4A"/>
    <w:rsid w:val="006908FC"/>
    <w:rsid w:val="006929F9"/>
    <w:rsid w:val="00692BF1"/>
    <w:rsid w:val="00692EF3"/>
    <w:rsid w:val="006956C6"/>
    <w:rsid w:val="00697570"/>
    <w:rsid w:val="006975AB"/>
    <w:rsid w:val="006A01B4"/>
    <w:rsid w:val="006A0E9E"/>
    <w:rsid w:val="006A14A5"/>
    <w:rsid w:val="006A193E"/>
    <w:rsid w:val="006A4867"/>
    <w:rsid w:val="006A637F"/>
    <w:rsid w:val="006A6803"/>
    <w:rsid w:val="006A77CB"/>
    <w:rsid w:val="006B06F6"/>
    <w:rsid w:val="006B086E"/>
    <w:rsid w:val="006B1574"/>
    <w:rsid w:val="006B1990"/>
    <w:rsid w:val="006B26D8"/>
    <w:rsid w:val="006B4356"/>
    <w:rsid w:val="006B777B"/>
    <w:rsid w:val="006C0DA4"/>
    <w:rsid w:val="006C1A22"/>
    <w:rsid w:val="006C3797"/>
    <w:rsid w:val="006C3B20"/>
    <w:rsid w:val="006C5C13"/>
    <w:rsid w:val="006C5F80"/>
    <w:rsid w:val="006C653D"/>
    <w:rsid w:val="006C6E9C"/>
    <w:rsid w:val="006C7210"/>
    <w:rsid w:val="006C7639"/>
    <w:rsid w:val="006C7CFC"/>
    <w:rsid w:val="006D058C"/>
    <w:rsid w:val="006D0665"/>
    <w:rsid w:val="006D0B06"/>
    <w:rsid w:val="006D148B"/>
    <w:rsid w:val="006D328B"/>
    <w:rsid w:val="006D36FA"/>
    <w:rsid w:val="006D47E1"/>
    <w:rsid w:val="006D4DB6"/>
    <w:rsid w:val="006D6120"/>
    <w:rsid w:val="006D7696"/>
    <w:rsid w:val="006D7E49"/>
    <w:rsid w:val="006E01B8"/>
    <w:rsid w:val="006E1DC2"/>
    <w:rsid w:val="006E22CA"/>
    <w:rsid w:val="006E261F"/>
    <w:rsid w:val="006E27B0"/>
    <w:rsid w:val="006E369C"/>
    <w:rsid w:val="006E470C"/>
    <w:rsid w:val="006E51EB"/>
    <w:rsid w:val="006E67A0"/>
    <w:rsid w:val="006E7628"/>
    <w:rsid w:val="006F13CE"/>
    <w:rsid w:val="006F2C3C"/>
    <w:rsid w:val="00703254"/>
    <w:rsid w:val="007062C4"/>
    <w:rsid w:val="00712B5E"/>
    <w:rsid w:val="0071339C"/>
    <w:rsid w:val="0071356E"/>
    <w:rsid w:val="007135CF"/>
    <w:rsid w:val="00713BD1"/>
    <w:rsid w:val="0071462B"/>
    <w:rsid w:val="0071506F"/>
    <w:rsid w:val="00715430"/>
    <w:rsid w:val="00722810"/>
    <w:rsid w:val="00727F31"/>
    <w:rsid w:val="007307D6"/>
    <w:rsid w:val="00732E94"/>
    <w:rsid w:val="00733249"/>
    <w:rsid w:val="00733713"/>
    <w:rsid w:val="007338CC"/>
    <w:rsid w:val="007353ED"/>
    <w:rsid w:val="00736B94"/>
    <w:rsid w:val="0073785B"/>
    <w:rsid w:val="007403C8"/>
    <w:rsid w:val="007408EA"/>
    <w:rsid w:val="00740BCE"/>
    <w:rsid w:val="0074250A"/>
    <w:rsid w:val="00742B4D"/>
    <w:rsid w:val="00742BC3"/>
    <w:rsid w:val="007443D8"/>
    <w:rsid w:val="0074458D"/>
    <w:rsid w:val="00747936"/>
    <w:rsid w:val="00747C3D"/>
    <w:rsid w:val="00750340"/>
    <w:rsid w:val="007518C3"/>
    <w:rsid w:val="00752B8A"/>
    <w:rsid w:val="00756B94"/>
    <w:rsid w:val="0075725B"/>
    <w:rsid w:val="007619A3"/>
    <w:rsid w:val="0076219F"/>
    <w:rsid w:val="0076387C"/>
    <w:rsid w:val="00763C31"/>
    <w:rsid w:val="0076403B"/>
    <w:rsid w:val="0076460C"/>
    <w:rsid w:val="00765578"/>
    <w:rsid w:val="007657BB"/>
    <w:rsid w:val="007662BC"/>
    <w:rsid w:val="007668F5"/>
    <w:rsid w:val="00766C16"/>
    <w:rsid w:val="007713B8"/>
    <w:rsid w:val="007716F2"/>
    <w:rsid w:val="00771723"/>
    <w:rsid w:val="00771F94"/>
    <w:rsid w:val="00773CC0"/>
    <w:rsid w:val="0077562C"/>
    <w:rsid w:val="0077583F"/>
    <w:rsid w:val="00775898"/>
    <w:rsid w:val="00775A71"/>
    <w:rsid w:val="00775BE7"/>
    <w:rsid w:val="00776F2F"/>
    <w:rsid w:val="00782081"/>
    <w:rsid w:val="00782247"/>
    <w:rsid w:val="00782D90"/>
    <w:rsid w:val="00784032"/>
    <w:rsid w:val="007853D4"/>
    <w:rsid w:val="00786186"/>
    <w:rsid w:val="00787E36"/>
    <w:rsid w:val="00790AC8"/>
    <w:rsid w:val="00791862"/>
    <w:rsid w:val="00791DAD"/>
    <w:rsid w:val="00794691"/>
    <w:rsid w:val="00794BC2"/>
    <w:rsid w:val="007A22D6"/>
    <w:rsid w:val="007A29E3"/>
    <w:rsid w:val="007A33FA"/>
    <w:rsid w:val="007A45FB"/>
    <w:rsid w:val="007A4DCC"/>
    <w:rsid w:val="007A53BF"/>
    <w:rsid w:val="007A5822"/>
    <w:rsid w:val="007A5A62"/>
    <w:rsid w:val="007A6092"/>
    <w:rsid w:val="007A6D2E"/>
    <w:rsid w:val="007A7556"/>
    <w:rsid w:val="007B00E9"/>
    <w:rsid w:val="007B08DE"/>
    <w:rsid w:val="007B08F9"/>
    <w:rsid w:val="007B0D30"/>
    <w:rsid w:val="007B1640"/>
    <w:rsid w:val="007B1C2C"/>
    <w:rsid w:val="007B2744"/>
    <w:rsid w:val="007B2CBB"/>
    <w:rsid w:val="007B2F5B"/>
    <w:rsid w:val="007B3361"/>
    <w:rsid w:val="007B3B59"/>
    <w:rsid w:val="007B3E6C"/>
    <w:rsid w:val="007B4065"/>
    <w:rsid w:val="007B58C1"/>
    <w:rsid w:val="007B6FBE"/>
    <w:rsid w:val="007B7620"/>
    <w:rsid w:val="007C0128"/>
    <w:rsid w:val="007C0C8C"/>
    <w:rsid w:val="007C2E96"/>
    <w:rsid w:val="007C3BCE"/>
    <w:rsid w:val="007C3F13"/>
    <w:rsid w:val="007C5617"/>
    <w:rsid w:val="007D0D3E"/>
    <w:rsid w:val="007D1C27"/>
    <w:rsid w:val="007D3291"/>
    <w:rsid w:val="007D509D"/>
    <w:rsid w:val="007D6314"/>
    <w:rsid w:val="007D6721"/>
    <w:rsid w:val="007E0586"/>
    <w:rsid w:val="007E0E4D"/>
    <w:rsid w:val="007E0EF7"/>
    <w:rsid w:val="007E10EE"/>
    <w:rsid w:val="007E324D"/>
    <w:rsid w:val="007E3AB7"/>
    <w:rsid w:val="007E4A7C"/>
    <w:rsid w:val="007E7A2A"/>
    <w:rsid w:val="007F0AD1"/>
    <w:rsid w:val="007F1AC5"/>
    <w:rsid w:val="007F2354"/>
    <w:rsid w:val="007F32D7"/>
    <w:rsid w:val="007F4701"/>
    <w:rsid w:val="007F48CC"/>
    <w:rsid w:val="007F58DD"/>
    <w:rsid w:val="007F6B08"/>
    <w:rsid w:val="007F755B"/>
    <w:rsid w:val="007F785E"/>
    <w:rsid w:val="008009C5"/>
    <w:rsid w:val="00800C65"/>
    <w:rsid w:val="00802E95"/>
    <w:rsid w:val="008039D7"/>
    <w:rsid w:val="00804071"/>
    <w:rsid w:val="008059D8"/>
    <w:rsid w:val="00805BE9"/>
    <w:rsid w:val="00810246"/>
    <w:rsid w:val="00810504"/>
    <w:rsid w:val="00810A21"/>
    <w:rsid w:val="00813056"/>
    <w:rsid w:val="00813265"/>
    <w:rsid w:val="00814789"/>
    <w:rsid w:val="00814B38"/>
    <w:rsid w:val="00814E47"/>
    <w:rsid w:val="008210D1"/>
    <w:rsid w:val="008224AF"/>
    <w:rsid w:val="00823C80"/>
    <w:rsid w:val="00824E37"/>
    <w:rsid w:val="00824F2C"/>
    <w:rsid w:val="008256F8"/>
    <w:rsid w:val="008264E8"/>
    <w:rsid w:val="00826874"/>
    <w:rsid w:val="00826EFE"/>
    <w:rsid w:val="00827CEE"/>
    <w:rsid w:val="00827E2C"/>
    <w:rsid w:val="00832C26"/>
    <w:rsid w:val="00833022"/>
    <w:rsid w:val="00833293"/>
    <w:rsid w:val="00835101"/>
    <w:rsid w:val="008352CA"/>
    <w:rsid w:val="008359B4"/>
    <w:rsid w:val="00840EFE"/>
    <w:rsid w:val="00841044"/>
    <w:rsid w:val="00842F8A"/>
    <w:rsid w:val="008434D9"/>
    <w:rsid w:val="00843763"/>
    <w:rsid w:val="00843B62"/>
    <w:rsid w:val="00843BF2"/>
    <w:rsid w:val="00844F1C"/>
    <w:rsid w:val="00846A74"/>
    <w:rsid w:val="00846F44"/>
    <w:rsid w:val="00852231"/>
    <w:rsid w:val="008563DC"/>
    <w:rsid w:val="00860014"/>
    <w:rsid w:val="008621EA"/>
    <w:rsid w:val="00863EE8"/>
    <w:rsid w:val="008655FB"/>
    <w:rsid w:val="0086655F"/>
    <w:rsid w:val="008722A2"/>
    <w:rsid w:val="008727D7"/>
    <w:rsid w:val="00872DCC"/>
    <w:rsid w:val="00872E06"/>
    <w:rsid w:val="008745BB"/>
    <w:rsid w:val="00874906"/>
    <w:rsid w:val="0087514C"/>
    <w:rsid w:val="00877D7B"/>
    <w:rsid w:val="008824EB"/>
    <w:rsid w:val="008824F5"/>
    <w:rsid w:val="00882D1A"/>
    <w:rsid w:val="00883095"/>
    <w:rsid w:val="00883615"/>
    <w:rsid w:val="00884656"/>
    <w:rsid w:val="00884BE3"/>
    <w:rsid w:val="008857BC"/>
    <w:rsid w:val="0088613E"/>
    <w:rsid w:val="00886F7E"/>
    <w:rsid w:val="00890E4E"/>
    <w:rsid w:val="00891995"/>
    <w:rsid w:val="00891DDE"/>
    <w:rsid w:val="00891E8B"/>
    <w:rsid w:val="008923D6"/>
    <w:rsid w:val="0089304A"/>
    <w:rsid w:val="008930EC"/>
    <w:rsid w:val="00895E1F"/>
    <w:rsid w:val="00896EAA"/>
    <w:rsid w:val="00897888"/>
    <w:rsid w:val="008978A9"/>
    <w:rsid w:val="008A05F0"/>
    <w:rsid w:val="008A0FEE"/>
    <w:rsid w:val="008A15B1"/>
    <w:rsid w:val="008A2599"/>
    <w:rsid w:val="008A50EC"/>
    <w:rsid w:val="008A5FEF"/>
    <w:rsid w:val="008A6334"/>
    <w:rsid w:val="008A68C5"/>
    <w:rsid w:val="008A7975"/>
    <w:rsid w:val="008A7A3D"/>
    <w:rsid w:val="008B2114"/>
    <w:rsid w:val="008B2649"/>
    <w:rsid w:val="008B376C"/>
    <w:rsid w:val="008B3AD7"/>
    <w:rsid w:val="008B3E08"/>
    <w:rsid w:val="008B4C86"/>
    <w:rsid w:val="008B63A2"/>
    <w:rsid w:val="008B685C"/>
    <w:rsid w:val="008B7B0F"/>
    <w:rsid w:val="008C075C"/>
    <w:rsid w:val="008C1260"/>
    <w:rsid w:val="008C15CB"/>
    <w:rsid w:val="008C15DF"/>
    <w:rsid w:val="008C17C8"/>
    <w:rsid w:val="008C300A"/>
    <w:rsid w:val="008C37CE"/>
    <w:rsid w:val="008C4980"/>
    <w:rsid w:val="008C4AC2"/>
    <w:rsid w:val="008C527E"/>
    <w:rsid w:val="008C782C"/>
    <w:rsid w:val="008C7BD8"/>
    <w:rsid w:val="008C7E4B"/>
    <w:rsid w:val="008D0CDD"/>
    <w:rsid w:val="008D3C07"/>
    <w:rsid w:val="008D3E27"/>
    <w:rsid w:val="008D41FD"/>
    <w:rsid w:val="008D4D1B"/>
    <w:rsid w:val="008D5B3C"/>
    <w:rsid w:val="008D6E26"/>
    <w:rsid w:val="008D7D18"/>
    <w:rsid w:val="008E30A9"/>
    <w:rsid w:val="008E4E39"/>
    <w:rsid w:val="008E5745"/>
    <w:rsid w:val="008E5A8E"/>
    <w:rsid w:val="008E6782"/>
    <w:rsid w:val="008E69AF"/>
    <w:rsid w:val="008F1557"/>
    <w:rsid w:val="008F18A4"/>
    <w:rsid w:val="008F382B"/>
    <w:rsid w:val="008F4B78"/>
    <w:rsid w:val="008F56BE"/>
    <w:rsid w:val="008F6788"/>
    <w:rsid w:val="008F6BB6"/>
    <w:rsid w:val="008F6CF4"/>
    <w:rsid w:val="008F6E24"/>
    <w:rsid w:val="008F6E54"/>
    <w:rsid w:val="0090063D"/>
    <w:rsid w:val="00900FFB"/>
    <w:rsid w:val="00901894"/>
    <w:rsid w:val="00901F7D"/>
    <w:rsid w:val="0090274B"/>
    <w:rsid w:val="0090315D"/>
    <w:rsid w:val="00903D7E"/>
    <w:rsid w:val="00904200"/>
    <w:rsid w:val="009047A2"/>
    <w:rsid w:val="00904ABF"/>
    <w:rsid w:val="00904AE4"/>
    <w:rsid w:val="00905318"/>
    <w:rsid w:val="0090619E"/>
    <w:rsid w:val="00906889"/>
    <w:rsid w:val="009073A2"/>
    <w:rsid w:val="009079BD"/>
    <w:rsid w:val="00911C2F"/>
    <w:rsid w:val="00911F71"/>
    <w:rsid w:val="00912FDA"/>
    <w:rsid w:val="00913ED1"/>
    <w:rsid w:val="009143B7"/>
    <w:rsid w:val="0091466E"/>
    <w:rsid w:val="00915394"/>
    <w:rsid w:val="00916901"/>
    <w:rsid w:val="00916C46"/>
    <w:rsid w:val="0091722C"/>
    <w:rsid w:val="009206A1"/>
    <w:rsid w:val="009209E2"/>
    <w:rsid w:val="0092115D"/>
    <w:rsid w:val="0092258F"/>
    <w:rsid w:val="00922836"/>
    <w:rsid w:val="009237DB"/>
    <w:rsid w:val="009239D6"/>
    <w:rsid w:val="009263AE"/>
    <w:rsid w:val="00930486"/>
    <w:rsid w:val="00931A0B"/>
    <w:rsid w:val="009320B5"/>
    <w:rsid w:val="00932B7B"/>
    <w:rsid w:val="00933296"/>
    <w:rsid w:val="00934073"/>
    <w:rsid w:val="0093451E"/>
    <w:rsid w:val="00934722"/>
    <w:rsid w:val="009353BC"/>
    <w:rsid w:val="00935F02"/>
    <w:rsid w:val="00935F88"/>
    <w:rsid w:val="00937D37"/>
    <w:rsid w:val="00941856"/>
    <w:rsid w:val="00942A3C"/>
    <w:rsid w:val="00942DDD"/>
    <w:rsid w:val="00943481"/>
    <w:rsid w:val="009446A7"/>
    <w:rsid w:val="009449E1"/>
    <w:rsid w:val="00950C62"/>
    <w:rsid w:val="00951FCD"/>
    <w:rsid w:val="00952CA5"/>
    <w:rsid w:val="00952DC0"/>
    <w:rsid w:val="0095311E"/>
    <w:rsid w:val="00955B82"/>
    <w:rsid w:val="009565F2"/>
    <w:rsid w:val="00964366"/>
    <w:rsid w:val="0096791E"/>
    <w:rsid w:val="00971088"/>
    <w:rsid w:val="009715CB"/>
    <w:rsid w:val="00972F62"/>
    <w:rsid w:val="0097364E"/>
    <w:rsid w:val="00974F5E"/>
    <w:rsid w:val="00975A53"/>
    <w:rsid w:val="00977D3D"/>
    <w:rsid w:val="009814E6"/>
    <w:rsid w:val="00981858"/>
    <w:rsid w:val="00981F7B"/>
    <w:rsid w:val="00983A9F"/>
    <w:rsid w:val="00985995"/>
    <w:rsid w:val="009865E2"/>
    <w:rsid w:val="00987990"/>
    <w:rsid w:val="00990057"/>
    <w:rsid w:val="009927CB"/>
    <w:rsid w:val="009928C6"/>
    <w:rsid w:val="00992AFC"/>
    <w:rsid w:val="0099418E"/>
    <w:rsid w:val="0099441B"/>
    <w:rsid w:val="00994D76"/>
    <w:rsid w:val="00995735"/>
    <w:rsid w:val="00995CE6"/>
    <w:rsid w:val="00996864"/>
    <w:rsid w:val="009973B7"/>
    <w:rsid w:val="009A2090"/>
    <w:rsid w:val="009A21D9"/>
    <w:rsid w:val="009A286D"/>
    <w:rsid w:val="009A4AE7"/>
    <w:rsid w:val="009A57D5"/>
    <w:rsid w:val="009A5BDB"/>
    <w:rsid w:val="009A6ABC"/>
    <w:rsid w:val="009A75E6"/>
    <w:rsid w:val="009A7A3E"/>
    <w:rsid w:val="009B29D9"/>
    <w:rsid w:val="009B3A82"/>
    <w:rsid w:val="009B588E"/>
    <w:rsid w:val="009B5BF9"/>
    <w:rsid w:val="009B670E"/>
    <w:rsid w:val="009B6AB1"/>
    <w:rsid w:val="009B769A"/>
    <w:rsid w:val="009C08AF"/>
    <w:rsid w:val="009C2780"/>
    <w:rsid w:val="009C4EC7"/>
    <w:rsid w:val="009C55B9"/>
    <w:rsid w:val="009C7561"/>
    <w:rsid w:val="009D07C5"/>
    <w:rsid w:val="009D4AD1"/>
    <w:rsid w:val="009D4DC9"/>
    <w:rsid w:val="009D4FED"/>
    <w:rsid w:val="009D685F"/>
    <w:rsid w:val="009D7D95"/>
    <w:rsid w:val="009E05BF"/>
    <w:rsid w:val="009E2342"/>
    <w:rsid w:val="009E3368"/>
    <w:rsid w:val="009E4329"/>
    <w:rsid w:val="009E43ED"/>
    <w:rsid w:val="009E5D83"/>
    <w:rsid w:val="009E6279"/>
    <w:rsid w:val="009E70AF"/>
    <w:rsid w:val="009F1775"/>
    <w:rsid w:val="009F1EE9"/>
    <w:rsid w:val="009F2F84"/>
    <w:rsid w:val="009F3A91"/>
    <w:rsid w:val="009F6A76"/>
    <w:rsid w:val="00A016BE"/>
    <w:rsid w:val="00A0180D"/>
    <w:rsid w:val="00A024C8"/>
    <w:rsid w:val="00A02A3A"/>
    <w:rsid w:val="00A04E30"/>
    <w:rsid w:val="00A05304"/>
    <w:rsid w:val="00A07027"/>
    <w:rsid w:val="00A11089"/>
    <w:rsid w:val="00A11176"/>
    <w:rsid w:val="00A14469"/>
    <w:rsid w:val="00A14C9A"/>
    <w:rsid w:val="00A163F7"/>
    <w:rsid w:val="00A17533"/>
    <w:rsid w:val="00A20375"/>
    <w:rsid w:val="00A21106"/>
    <w:rsid w:val="00A21E89"/>
    <w:rsid w:val="00A21FE4"/>
    <w:rsid w:val="00A2272B"/>
    <w:rsid w:val="00A22C60"/>
    <w:rsid w:val="00A22E09"/>
    <w:rsid w:val="00A2300C"/>
    <w:rsid w:val="00A245DC"/>
    <w:rsid w:val="00A26BED"/>
    <w:rsid w:val="00A26CF1"/>
    <w:rsid w:val="00A27D24"/>
    <w:rsid w:val="00A30AAB"/>
    <w:rsid w:val="00A31F97"/>
    <w:rsid w:val="00A32C98"/>
    <w:rsid w:val="00A3375F"/>
    <w:rsid w:val="00A36166"/>
    <w:rsid w:val="00A37072"/>
    <w:rsid w:val="00A41D6E"/>
    <w:rsid w:val="00A42B7B"/>
    <w:rsid w:val="00A431FB"/>
    <w:rsid w:val="00A43272"/>
    <w:rsid w:val="00A46667"/>
    <w:rsid w:val="00A46D6D"/>
    <w:rsid w:val="00A47A31"/>
    <w:rsid w:val="00A50AAC"/>
    <w:rsid w:val="00A51015"/>
    <w:rsid w:val="00A5137C"/>
    <w:rsid w:val="00A533CB"/>
    <w:rsid w:val="00A55A37"/>
    <w:rsid w:val="00A56275"/>
    <w:rsid w:val="00A56445"/>
    <w:rsid w:val="00A57BE7"/>
    <w:rsid w:val="00A60589"/>
    <w:rsid w:val="00A60E69"/>
    <w:rsid w:val="00A61745"/>
    <w:rsid w:val="00A65433"/>
    <w:rsid w:val="00A65CA6"/>
    <w:rsid w:val="00A65EF0"/>
    <w:rsid w:val="00A66378"/>
    <w:rsid w:val="00A71AED"/>
    <w:rsid w:val="00A71B95"/>
    <w:rsid w:val="00A73929"/>
    <w:rsid w:val="00A77161"/>
    <w:rsid w:val="00A776BF"/>
    <w:rsid w:val="00A7795C"/>
    <w:rsid w:val="00A8220A"/>
    <w:rsid w:val="00A82432"/>
    <w:rsid w:val="00A825F6"/>
    <w:rsid w:val="00A83CAA"/>
    <w:rsid w:val="00A84A8B"/>
    <w:rsid w:val="00A85578"/>
    <w:rsid w:val="00A8650E"/>
    <w:rsid w:val="00A92206"/>
    <w:rsid w:val="00A935FE"/>
    <w:rsid w:val="00A95E10"/>
    <w:rsid w:val="00A9683E"/>
    <w:rsid w:val="00AA18E1"/>
    <w:rsid w:val="00AA21AE"/>
    <w:rsid w:val="00AA2D02"/>
    <w:rsid w:val="00AA4B6E"/>
    <w:rsid w:val="00AA50B5"/>
    <w:rsid w:val="00AA5BFC"/>
    <w:rsid w:val="00AB1123"/>
    <w:rsid w:val="00AB354D"/>
    <w:rsid w:val="00AB6847"/>
    <w:rsid w:val="00AB687F"/>
    <w:rsid w:val="00AC15FB"/>
    <w:rsid w:val="00AC2718"/>
    <w:rsid w:val="00AC3EA0"/>
    <w:rsid w:val="00AD108F"/>
    <w:rsid w:val="00AD23FF"/>
    <w:rsid w:val="00AD2B4A"/>
    <w:rsid w:val="00AD361B"/>
    <w:rsid w:val="00AD39E5"/>
    <w:rsid w:val="00AD5664"/>
    <w:rsid w:val="00AD588C"/>
    <w:rsid w:val="00AD5BE3"/>
    <w:rsid w:val="00AD6A2F"/>
    <w:rsid w:val="00AE008A"/>
    <w:rsid w:val="00AE14A3"/>
    <w:rsid w:val="00AE2F92"/>
    <w:rsid w:val="00AE3049"/>
    <w:rsid w:val="00AE4C44"/>
    <w:rsid w:val="00AE4CF8"/>
    <w:rsid w:val="00AE50A2"/>
    <w:rsid w:val="00AF0553"/>
    <w:rsid w:val="00AF0CAA"/>
    <w:rsid w:val="00AF0EED"/>
    <w:rsid w:val="00AF1EB0"/>
    <w:rsid w:val="00AF4376"/>
    <w:rsid w:val="00AF4486"/>
    <w:rsid w:val="00AF59B1"/>
    <w:rsid w:val="00AF6846"/>
    <w:rsid w:val="00AF6D10"/>
    <w:rsid w:val="00B00A62"/>
    <w:rsid w:val="00B0222D"/>
    <w:rsid w:val="00B05AA9"/>
    <w:rsid w:val="00B063D4"/>
    <w:rsid w:val="00B07B17"/>
    <w:rsid w:val="00B10917"/>
    <w:rsid w:val="00B10C17"/>
    <w:rsid w:val="00B110B7"/>
    <w:rsid w:val="00B115ED"/>
    <w:rsid w:val="00B1168E"/>
    <w:rsid w:val="00B116A9"/>
    <w:rsid w:val="00B11794"/>
    <w:rsid w:val="00B11D0F"/>
    <w:rsid w:val="00B121BC"/>
    <w:rsid w:val="00B142D3"/>
    <w:rsid w:val="00B15260"/>
    <w:rsid w:val="00B162EF"/>
    <w:rsid w:val="00B20DA6"/>
    <w:rsid w:val="00B2146B"/>
    <w:rsid w:val="00B250D1"/>
    <w:rsid w:val="00B256F0"/>
    <w:rsid w:val="00B25A7F"/>
    <w:rsid w:val="00B2673F"/>
    <w:rsid w:val="00B26989"/>
    <w:rsid w:val="00B270BC"/>
    <w:rsid w:val="00B27724"/>
    <w:rsid w:val="00B27888"/>
    <w:rsid w:val="00B30CB5"/>
    <w:rsid w:val="00B3191B"/>
    <w:rsid w:val="00B3194F"/>
    <w:rsid w:val="00B33472"/>
    <w:rsid w:val="00B34C22"/>
    <w:rsid w:val="00B365D0"/>
    <w:rsid w:val="00B40792"/>
    <w:rsid w:val="00B4097A"/>
    <w:rsid w:val="00B420D9"/>
    <w:rsid w:val="00B426DD"/>
    <w:rsid w:val="00B42F2C"/>
    <w:rsid w:val="00B43BBB"/>
    <w:rsid w:val="00B43D8F"/>
    <w:rsid w:val="00B44149"/>
    <w:rsid w:val="00B47BFD"/>
    <w:rsid w:val="00B500EF"/>
    <w:rsid w:val="00B54138"/>
    <w:rsid w:val="00B54466"/>
    <w:rsid w:val="00B55EB9"/>
    <w:rsid w:val="00B562D2"/>
    <w:rsid w:val="00B564B7"/>
    <w:rsid w:val="00B56E78"/>
    <w:rsid w:val="00B605BC"/>
    <w:rsid w:val="00B60AC9"/>
    <w:rsid w:val="00B62714"/>
    <w:rsid w:val="00B6560E"/>
    <w:rsid w:val="00B666FF"/>
    <w:rsid w:val="00B721F6"/>
    <w:rsid w:val="00B7253C"/>
    <w:rsid w:val="00B738B3"/>
    <w:rsid w:val="00B743C5"/>
    <w:rsid w:val="00B74C2A"/>
    <w:rsid w:val="00B7563D"/>
    <w:rsid w:val="00B75CCC"/>
    <w:rsid w:val="00B76380"/>
    <w:rsid w:val="00B767BA"/>
    <w:rsid w:val="00B7726D"/>
    <w:rsid w:val="00B77C9D"/>
    <w:rsid w:val="00B8033F"/>
    <w:rsid w:val="00B823A3"/>
    <w:rsid w:val="00B823DF"/>
    <w:rsid w:val="00B82C23"/>
    <w:rsid w:val="00B83672"/>
    <w:rsid w:val="00B83742"/>
    <w:rsid w:val="00B84029"/>
    <w:rsid w:val="00B840AA"/>
    <w:rsid w:val="00B84CE2"/>
    <w:rsid w:val="00B85BED"/>
    <w:rsid w:val="00B8691A"/>
    <w:rsid w:val="00B873DA"/>
    <w:rsid w:val="00B9083A"/>
    <w:rsid w:val="00B90D52"/>
    <w:rsid w:val="00B919D4"/>
    <w:rsid w:val="00B9261D"/>
    <w:rsid w:val="00B93E1D"/>
    <w:rsid w:val="00B953FC"/>
    <w:rsid w:val="00B95AFB"/>
    <w:rsid w:val="00B96A66"/>
    <w:rsid w:val="00B96AD7"/>
    <w:rsid w:val="00B971AB"/>
    <w:rsid w:val="00B9772A"/>
    <w:rsid w:val="00BA06EC"/>
    <w:rsid w:val="00BA40A9"/>
    <w:rsid w:val="00BA451A"/>
    <w:rsid w:val="00BA4626"/>
    <w:rsid w:val="00BA5452"/>
    <w:rsid w:val="00BA604F"/>
    <w:rsid w:val="00BA7AE5"/>
    <w:rsid w:val="00BB0EE8"/>
    <w:rsid w:val="00BB1444"/>
    <w:rsid w:val="00BB296A"/>
    <w:rsid w:val="00BB5304"/>
    <w:rsid w:val="00BB5E77"/>
    <w:rsid w:val="00BB64EF"/>
    <w:rsid w:val="00BB6DC3"/>
    <w:rsid w:val="00BC0F43"/>
    <w:rsid w:val="00BC11EC"/>
    <w:rsid w:val="00BC26A3"/>
    <w:rsid w:val="00BC40EE"/>
    <w:rsid w:val="00BC5546"/>
    <w:rsid w:val="00BC61FB"/>
    <w:rsid w:val="00BD02E5"/>
    <w:rsid w:val="00BD05A0"/>
    <w:rsid w:val="00BD0B49"/>
    <w:rsid w:val="00BD100A"/>
    <w:rsid w:val="00BD1C1C"/>
    <w:rsid w:val="00BD1E27"/>
    <w:rsid w:val="00BD3491"/>
    <w:rsid w:val="00BD37FD"/>
    <w:rsid w:val="00BD4467"/>
    <w:rsid w:val="00BD48FC"/>
    <w:rsid w:val="00BD5C65"/>
    <w:rsid w:val="00BD603E"/>
    <w:rsid w:val="00BE0DA0"/>
    <w:rsid w:val="00BE218D"/>
    <w:rsid w:val="00BE2A10"/>
    <w:rsid w:val="00BE4820"/>
    <w:rsid w:val="00BE7DDF"/>
    <w:rsid w:val="00BF0C0B"/>
    <w:rsid w:val="00BF2B3A"/>
    <w:rsid w:val="00BF2E46"/>
    <w:rsid w:val="00BF4FBA"/>
    <w:rsid w:val="00BF500B"/>
    <w:rsid w:val="00BF5263"/>
    <w:rsid w:val="00BF6B0F"/>
    <w:rsid w:val="00BF73CA"/>
    <w:rsid w:val="00BF7679"/>
    <w:rsid w:val="00C05415"/>
    <w:rsid w:val="00C062A8"/>
    <w:rsid w:val="00C0756A"/>
    <w:rsid w:val="00C11339"/>
    <w:rsid w:val="00C123C2"/>
    <w:rsid w:val="00C12A72"/>
    <w:rsid w:val="00C15666"/>
    <w:rsid w:val="00C1719D"/>
    <w:rsid w:val="00C234F3"/>
    <w:rsid w:val="00C2426E"/>
    <w:rsid w:val="00C24E58"/>
    <w:rsid w:val="00C24F13"/>
    <w:rsid w:val="00C26302"/>
    <w:rsid w:val="00C26AAF"/>
    <w:rsid w:val="00C26BE9"/>
    <w:rsid w:val="00C27943"/>
    <w:rsid w:val="00C307E5"/>
    <w:rsid w:val="00C31EC3"/>
    <w:rsid w:val="00C32383"/>
    <w:rsid w:val="00C32487"/>
    <w:rsid w:val="00C33A42"/>
    <w:rsid w:val="00C34586"/>
    <w:rsid w:val="00C3545B"/>
    <w:rsid w:val="00C36459"/>
    <w:rsid w:val="00C36B98"/>
    <w:rsid w:val="00C37376"/>
    <w:rsid w:val="00C378A2"/>
    <w:rsid w:val="00C40743"/>
    <w:rsid w:val="00C437FE"/>
    <w:rsid w:val="00C43DB9"/>
    <w:rsid w:val="00C44B60"/>
    <w:rsid w:val="00C44CF1"/>
    <w:rsid w:val="00C451DE"/>
    <w:rsid w:val="00C4552B"/>
    <w:rsid w:val="00C45A85"/>
    <w:rsid w:val="00C45B3A"/>
    <w:rsid w:val="00C47447"/>
    <w:rsid w:val="00C4773E"/>
    <w:rsid w:val="00C51CCF"/>
    <w:rsid w:val="00C5237F"/>
    <w:rsid w:val="00C535AB"/>
    <w:rsid w:val="00C545E0"/>
    <w:rsid w:val="00C5483D"/>
    <w:rsid w:val="00C54CB5"/>
    <w:rsid w:val="00C55612"/>
    <w:rsid w:val="00C55A8A"/>
    <w:rsid w:val="00C565AE"/>
    <w:rsid w:val="00C56EEB"/>
    <w:rsid w:val="00C5775C"/>
    <w:rsid w:val="00C6336A"/>
    <w:rsid w:val="00C6652D"/>
    <w:rsid w:val="00C6679D"/>
    <w:rsid w:val="00C66D2D"/>
    <w:rsid w:val="00C6731A"/>
    <w:rsid w:val="00C673E0"/>
    <w:rsid w:val="00C674FC"/>
    <w:rsid w:val="00C70514"/>
    <w:rsid w:val="00C73B06"/>
    <w:rsid w:val="00C74CB6"/>
    <w:rsid w:val="00C75DDD"/>
    <w:rsid w:val="00C76184"/>
    <w:rsid w:val="00C77791"/>
    <w:rsid w:val="00C80D64"/>
    <w:rsid w:val="00C8176E"/>
    <w:rsid w:val="00C8439C"/>
    <w:rsid w:val="00C86C76"/>
    <w:rsid w:val="00C87F2F"/>
    <w:rsid w:val="00C91CBC"/>
    <w:rsid w:val="00C91ECC"/>
    <w:rsid w:val="00C92B3A"/>
    <w:rsid w:val="00C92C67"/>
    <w:rsid w:val="00C92EF5"/>
    <w:rsid w:val="00C94CD1"/>
    <w:rsid w:val="00C95E54"/>
    <w:rsid w:val="00C960D6"/>
    <w:rsid w:val="00C9685D"/>
    <w:rsid w:val="00CA0D49"/>
    <w:rsid w:val="00CA235F"/>
    <w:rsid w:val="00CA66B9"/>
    <w:rsid w:val="00CB00F2"/>
    <w:rsid w:val="00CB0D4D"/>
    <w:rsid w:val="00CB150C"/>
    <w:rsid w:val="00CB1ABA"/>
    <w:rsid w:val="00CB1B2F"/>
    <w:rsid w:val="00CB32B6"/>
    <w:rsid w:val="00CB43A2"/>
    <w:rsid w:val="00CC14FF"/>
    <w:rsid w:val="00CC19E1"/>
    <w:rsid w:val="00CC1A65"/>
    <w:rsid w:val="00CC20FE"/>
    <w:rsid w:val="00CC2FBF"/>
    <w:rsid w:val="00CC34C1"/>
    <w:rsid w:val="00CC48D6"/>
    <w:rsid w:val="00CC4999"/>
    <w:rsid w:val="00CC4D89"/>
    <w:rsid w:val="00CC6A32"/>
    <w:rsid w:val="00CC7473"/>
    <w:rsid w:val="00CC7515"/>
    <w:rsid w:val="00CC7C52"/>
    <w:rsid w:val="00CD09EC"/>
    <w:rsid w:val="00CD4AFB"/>
    <w:rsid w:val="00CD68BE"/>
    <w:rsid w:val="00CE0BB7"/>
    <w:rsid w:val="00CE2614"/>
    <w:rsid w:val="00CE362C"/>
    <w:rsid w:val="00CE4114"/>
    <w:rsid w:val="00CE4CF2"/>
    <w:rsid w:val="00CE53B4"/>
    <w:rsid w:val="00CE5D82"/>
    <w:rsid w:val="00CE6086"/>
    <w:rsid w:val="00CE6BC2"/>
    <w:rsid w:val="00CE71C8"/>
    <w:rsid w:val="00CE740E"/>
    <w:rsid w:val="00CE7FF3"/>
    <w:rsid w:val="00CF011D"/>
    <w:rsid w:val="00CF0181"/>
    <w:rsid w:val="00CF108E"/>
    <w:rsid w:val="00CF6ADD"/>
    <w:rsid w:val="00CF7762"/>
    <w:rsid w:val="00D0157C"/>
    <w:rsid w:val="00D01822"/>
    <w:rsid w:val="00D01F80"/>
    <w:rsid w:val="00D02AA5"/>
    <w:rsid w:val="00D02D67"/>
    <w:rsid w:val="00D043FC"/>
    <w:rsid w:val="00D04450"/>
    <w:rsid w:val="00D045F0"/>
    <w:rsid w:val="00D058ED"/>
    <w:rsid w:val="00D060DB"/>
    <w:rsid w:val="00D06407"/>
    <w:rsid w:val="00D123DA"/>
    <w:rsid w:val="00D12E8E"/>
    <w:rsid w:val="00D139C9"/>
    <w:rsid w:val="00D144D0"/>
    <w:rsid w:val="00D14CF0"/>
    <w:rsid w:val="00D15AD7"/>
    <w:rsid w:val="00D166B5"/>
    <w:rsid w:val="00D16AD9"/>
    <w:rsid w:val="00D224FF"/>
    <w:rsid w:val="00D225D1"/>
    <w:rsid w:val="00D32F4F"/>
    <w:rsid w:val="00D35D5F"/>
    <w:rsid w:val="00D37569"/>
    <w:rsid w:val="00D37C6E"/>
    <w:rsid w:val="00D40C0C"/>
    <w:rsid w:val="00D42437"/>
    <w:rsid w:val="00D424F1"/>
    <w:rsid w:val="00D4519B"/>
    <w:rsid w:val="00D4724B"/>
    <w:rsid w:val="00D50ADD"/>
    <w:rsid w:val="00D5140B"/>
    <w:rsid w:val="00D51EF9"/>
    <w:rsid w:val="00D52167"/>
    <w:rsid w:val="00D535AA"/>
    <w:rsid w:val="00D53A54"/>
    <w:rsid w:val="00D54D7C"/>
    <w:rsid w:val="00D55137"/>
    <w:rsid w:val="00D569A0"/>
    <w:rsid w:val="00D572E2"/>
    <w:rsid w:val="00D6308A"/>
    <w:rsid w:val="00D63ADF"/>
    <w:rsid w:val="00D64092"/>
    <w:rsid w:val="00D642CE"/>
    <w:rsid w:val="00D6622C"/>
    <w:rsid w:val="00D6774A"/>
    <w:rsid w:val="00D71516"/>
    <w:rsid w:val="00D74920"/>
    <w:rsid w:val="00D7754A"/>
    <w:rsid w:val="00D80985"/>
    <w:rsid w:val="00D8376B"/>
    <w:rsid w:val="00D84115"/>
    <w:rsid w:val="00D86A5D"/>
    <w:rsid w:val="00D86F23"/>
    <w:rsid w:val="00D87DEB"/>
    <w:rsid w:val="00D909F1"/>
    <w:rsid w:val="00D92AE3"/>
    <w:rsid w:val="00D94F87"/>
    <w:rsid w:val="00D950B3"/>
    <w:rsid w:val="00D961B5"/>
    <w:rsid w:val="00D96212"/>
    <w:rsid w:val="00D97580"/>
    <w:rsid w:val="00D97F77"/>
    <w:rsid w:val="00DA1D7E"/>
    <w:rsid w:val="00DA3114"/>
    <w:rsid w:val="00DA3B8C"/>
    <w:rsid w:val="00DA4161"/>
    <w:rsid w:val="00DA6057"/>
    <w:rsid w:val="00DA6CEB"/>
    <w:rsid w:val="00DA7ECE"/>
    <w:rsid w:val="00DB08B9"/>
    <w:rsid w:val="00DB10AF"/>
    <w:rsid w:val="00DB2836"/>
    <w:rsid w:val="00DB2C65"/>
    <w:rsid w:val="00DB2D62"/>
    <w:rsid w:val="00DB3240"/>
    <w:rsid w:val="00DB4953"/>
    <w:rsid w:val="00DB79BF"/>
    <w:rsid w:val="00DB7E8B"/>
    <w:rsid w:val="00DC039D"/>
    <w:rsid w:val="00DC0B8D"/>
    <w:rsid w:val="00DC3630"/>
    <w:rsid w:val="00DC38F2"/>
    <w:rsid w:val="00DC39F5"/>
    <w:rsid w:val="00DC3C90"/>
    <w:rsid w:val="00DC3D70"/>
    <w:rsid w:val="00DC4003"/>
    <w:rsid w:val="00DC4C6A"/>
    <w:rsid w:val="00DC6A98"/>
    <w:rsid w:val="00DC6C64"/>
    <w:rsid w:val="00DD17AE"/>
    <w:rsid w:val="00DD2003"/>
    <w:rsid w:val="00DD3C63"/>
    <w:rsid w:val="00DD3F83"/>
    <w:rsid w:val="00DD4A06"/>
    <w:rsid w:val="00DD5C34"/>
    <w:rsid w:val="00DD7809"/>
    <w:rsid w:val="00DD7EE2"/>
    <w:rsid w:val="00DE3671"/>
    <w:rsid w:val="00DE41C4"/>
    <w:rsid w:val="00DE51B1"/>
    <w:rsid w:val="00DE5B23"/>
    <w:rsid w:val="00DE5DFE"/>
    <w:rsid w:val="00DE6491"/>
    <w:rsid w:val="00DE64E2"/>
    <w:rsid w:val="00DE68AB"/>
    <w:rsid w:val="00DE6E0C"/>
    <w:rsid w:val="00DE6EE7"/>
    <w:rsid w:val="00DF0308"/>
    <w:rsid w:val="00DF0AFD"/>
    <w:rsid w:val="00DF14AC"/>
    <w:rsid w:val="00DF2C26"/>
    <w:rsid w:val="00DF3D20"/>
    <w:rsid w:val="00DF53D1"/>
    <w:rsid w:val="00DF78A1"/>
    <w:rsid w:val="00E00C88"/>
    <w:rsid w:val="00E013ED"/>
    <w:rsid w:val="00E02110"/>
    <w:rsid w:val="00E025C7"/>
    <w:rsid w:val="00E02AF1"/>
    <w:rsid w:val="00E03589"/>
    <w:rsid w:val="00E03633"/>
    <w:rsid w:val="00E04B34"/>
    <w:rsid w:val="00E07045"/>
    <w:rsid w:val="00E07B89"/>
    <w:rsid w:val="00E1018C"/>
    <w:rsid w:val="00E106CA"/>
    <w:rsid w:val="00E118AD"/>
    <w:rsid w:val="00E12555"/>
    <w:rsid w:val="00E134B0"/>
    <w:rsid w:val="00E14220"/>
    <w:rsid w:val="00E169ED"/>
    <w:rsid w:val="00E16DEE"/>
    <w:rsid w:val="00E178CA"/>
    <w:rsid w:val="00E17BA6"/>
    <w:rsid w:val="00E22592"/>
    <w:rsid w:val="00E22D8B"/>
    <w:rsid w:val="00E22FF2"/>
    <w:rsid w:val="00E232DD"/>
    <w:rsid w:val="00E2374A"/>
    <w:rsid w:val="00E25581"/>
    <w:rsid w:val="00E306C8"/>
    <w:rsid w:val="00E32284"/>
    <w:rsid w:val="00E32434"/>
    <w:rsid w:val="00E32858"/>
    <w:rsid w:val="00E32D23"/>
    <w:rsid w:val="00E32FD9"/>
    <w:rsid w:val="00E33C68"/>
    <w:rsid w:val="00E360BF"/>
    <w:rsid w:val="00E3665D"/>
    <w:rsid w:val="00E40E4F"/>
    <w:rsid w:val="00E436F5"/>
    <w:rsid w:val="00E457A8"/>
    <w:rsid w:val="00E46FE2"/>
    <w:rsid w:val="00E4747D"/>
    <w:rsid w:val="00E51190"/>
    <w:rsid w:val="00E52785"/>
    <w:rsid w:val="00E52A2E"/>
    <w:rsid w:val="00E52CEF"/>
    <w:rsid w:val="00E5376E"/>
    <w:rsid w:val="00E53C02"/>
    <w:rsid w:val="00E57173"/>
    <w:rsid w:val="00E576F0"/>
    <w:rsid w:val="00E57BBD"/>
    <w:rsid w:val="00E57EB9"/>
    <w:rsid w:val="00E60184"/>
    <w:rsid w:val="00E60589"/>
    <w:rsid w:val="00E60A5B"/>
    <w:rsid w:val="00E60C22"/>
    <w:rsid w:val="00E60E15"/>
    <w:rsid w:val="00E615D3"/>
    <w:rsid w:val="00E62177"/>
    <w:rsid w:val="00E636B2"/>
    <w:rsid w:val="00E63DF4"/>
    <w:rsid w:val="00E63E4B"/>
    <w:rsid w:val="00E65062"/>
    <w:rsid w:val="00E67F1A"/>
    <w:rsid w:val="00E7320F"/>
    <w:rsid w:val="00E73820"/>
    <w:rsid w:val="00E747EB"/>
    <w:rsid w:val="00E765BE"/>
    <w:rsid w:val="00E773FD"/>
    <w:rsid w:val="00E8190D"/>
    <w:rsid w:val="00E821C4"/>
    <w:rsid w:val="00E82B91"/>
    <w:rsid w:val="00E8372B"/>
    <w:rsid w:val="00E84B8F"/>
    <w:rsid w:val="00E8677A"/>
    <w:rsid w:val="00E87383"/>
    <w:rsid w:val="00E87A13"/>
    <w:rsid w:val="00E926DC"/>
    <w:rsid w:val="00E932C0"/>
    <w:rsid w:val="00E93DE8"/>
    <w:rsid w:val="00E95389"/>
    <w:rsid w:val="00E960C2"/>
    <w:rsid w:val="00E96FC5"/>
    <w:rsid w:val="00EA0B9C"/>
    <w:rsid w:val="00EA0CF0"/>
    <w:rsid w:val="00EA2C64"/>
    <w:rsid w:val="00EA5D4B"/>
    <w:rsid w:val="00EB203B"/>
    <w:rsid w:val="00EB20D8"/>
    <w:rsid w:val="00EB3505"/>
    <w:rsid w:val="00EB4ACD"/>
    <w:rsid w:val="00EB54D7"/>
    <w:rsid w:val="00EB75F9"/>
    <w:rsid w:val="00EC107D"/>
    <w:rsid w:val="00EC3D58"/>
    <w:rsid w:val="00EC4703"/>
    <w:rsid w:val="00EC6154"/>
    <w:rsid w:val="00EC6793"/>
    <w:rsid w:val="00EC68D6"/>
    <w:rsid w:val="00EC6E07"/>
    <w:rsid w:val="00ED0259"/>
    <w:rsid w:val="00ED0A33"/>
    <w:rsid w:val="00ED4D16"/>
    <w:rsid w:val="00ED57A9"/>
    <w:rsid w:val="00ED66B4"/>
    <w:rsid w:val="00ED755B"/>
    <w:rsid w:val="00ED755E"/>
    <w:rsid w:val="00EE20B9"/>
    <w:rsid w:val="00EE34DB"/>
    <w:rsid w:val="00EE387D"/>
    <w:rsid w:val="00EE40FB"/>
    <w:rsid w:val="00EE6370"/>
    <w:rsid w:val="00EF0262"/>
    <w:rsid w:val="00EF0355"/>
    <w:rsid w:val="00EF1FF8"/>
    <w:rsid w:val="00EF22F2"/>
    <w:rsid w:val="00EF513B"/>
    <w:rsid w:val="00EF55D2"/>
    <w:rsid w:val="00EF659B"/>
    <w:rsid w:val="00EF66C1"/>
    <w:rsid w:val="00EF6DB6"/>
    <w:rsid w:val="00F00E5A"/>
    <w:rsid w:val="00F01852"/>
    <w:rsid w:val="00F0198C"/>
    <w:rsid w:val="00F0229D"/>
    <w:rsid w:val="00F02CA0"/>
    <w:rsid w:val="00F038E2"/>
    <w:rsid w:val="00F05F1D"/>
    <w:rsid w:val="00F06AC2"/>
    <w:rsid w:val="00F07A2E"/>
    <w:rsid w:val="00F10176"/>
    <w:rsid w:val="00F11C08"/>
    <w:rsid w:val="00F14AB3"/>
    <w:rsid w:val="00F1560D"/>
    <w:rsid w:val="00F20E84"/>
    <w:rsid w:val="00F22C3B"/>
    <w:rsid w:val="00F23408"/>
    <w:rsid w:val="00F24233"/>
    <w:rsid w:val="00F2696E"/>
    <w:rsid w:val="00F30B52"/>
    <w:rsid w:val="00F312E5"/>
    <w:rsid w:val="00F3286F"/>
    <w:rsid w:val="00F32E3E"/>
    <w:rsid w:val="00F32FE8"/>
    <w:rsid w:val="00F331BD"/>
    <w:rsid w:val="00F35626"/>
    <w:rsid w:val="00F4056F"/>
    <w:rsid w:val="00F447B5"/>
    <w:rsid w:val="00F4560D"/>
    <w:rsid w:val="00F45E92"/>
    <w:rsid w:val="00F4640D"/>
    <w:rsid w:val="00F46488"/>
    <w:rsid w:val="00F47103"/>
    <w:rsid w:val="00F47B52"/>
    <w:rsid w:val="00F500B1"/>
    <w:rsid w:val="00F50A47"/>
    <w:rsid w:val="00F517A1"/>
    <w:rsid w:val="00F54562"/>
    <w:rsid w:val="00F5604F"/>
    <w:rsid w:val="00F60F98"/>
    <w:rsid w:val="00F636D8"/>
    <w:rsid w:val="00F64114"/>
    <w:rsid w:val="00F673DF"/>
    <w:rsid w:val="00F6744F"/>
    <w:rsid w:val="00F679F8"/>
    <w:rsid w:val="00F714C0"/>
    <w:rsid w:val="00F726AF"/>
    <w:rsid w:val="00F73949"/>
    <w:rsid w:val="00F8058C"/>
    <w:rsid w:val="00F80C8C"/>
    <w:rsid w:val="00F818E6"/>
    <w:rsid w:val="00F82008"/>
    <w:rsid w:val="00F82475"/>
    <w:rsid w:val="00F82677"/>
    <w:rsid w:val="00F82944"/>
    <w:rsid w:val="00F83018"/>
    <w:rsid w:val="00F83BAD"/>
    <w:rsid w:val="00F871CA"/>
    <w:rsid w:val="00F90412"/>
    <w:rsid w:val="00F9189F"/>
    <w:rsid w:val="00F91C45"/>
    <w:rsid w:val="00F926AF"/>
    <w:rsid w:val="00F92705"/>
    <w:rsid w:val="00F92DA0"/>
    <w:rsid w:val="00F94986"/>
    <w:rsid w:val="00FA1D90"/>
    <w:rsid w:val="00FA6631"/>
    <w:rsid w:val="00FA6BEB"/>
    <w:rsid w:val="00FA6BF3"/>
    <w:rsid w:val="00FA763B"/>
    <w:rsid w:val="00FB03C0"/>
    <w:rsid w:val="00FB03EE"/>
    <w:rsid w:val="00FB0588"/>
    <w:rsid w:val="00FB15FA"/>
    <w:rsid w:val="00FB25BA"/>
    <w:rsid w:val="00FB27AC"/>
    <w:rsid w:val="00FB33FD"/>
    <w:rsid w:val="00FB36B5"/>
    <w:rsid w:val="00FB4EFC"/>
    <w:rsid w:val="00FB5A9B"/>
    <w:rsid w:val="00FB6964"/>
    <w:rsid w:val="00FB6C88"/>
    <w:rsid w:val="00FC0764"/>
    <w:rsid w:val="00FC095D"/>
    <w:rsid w:val="00FC2009"/>
    <w:rsid w:val="00FC271A"/>
    <w:rsid w:val="00FC2877"/>
    <w:rsid w:val="00FC35E7"/>
    <w:rsid w:val="00FC36FA"/>
    <w:rsid w:val="00FC3FC3"/>
    <w:rsid w:val="00FC5437"/>
    <w:rsid w:val="00FC6C39"/>
    <w:rsid w:val="00FC76BE"/>
    <w:rsid w:val="00FD063B"/>
    <w:rsid w:val="00FD07AD"/>
    <w:rsid w:val="00FD08C3"/>
    <w:rsid w:val="00FD0F7B"/>
    <w:rsid w:val="00FD295B"/>
    <w:rsid w:val="00FD3919"/>
    <w:rsid w:val="00FD4DF6"/>
    <w:rsid w:val="00FD5F8A"/>
    <w:rsid w:val="00FD7D69"/>
    <w:rsid w:val="00FE29CD"/>
    <w:rsid w:val="00FE29CF"/>
    <w:rsid w:val="00FE2F23"/>
    <w:rsid w:val="00FE3385"/>
    <w:rsid w:val="00FE664B"/>
    <w:rsid w:val="00FF01B9"/>
    <w:rsid w:val="00FF15AA"/>
    <w:rsid w:val="00FF1B3F"/>
    <w:rsid w:val="00FF3D9A"/>
    <w:rsid w:val="00FF4A39"/>
    <w:rsid w:val="00FF65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C3"/>
  </w:style>
  <w:style w:type="paragraph" w:styleId="Footer">
    <w:name w:val="footer"/>
    <w:basedOn w:val="Normal"/>
    <w:link w:val="FooterChar"/>
    <w:uiPriority w:val="99"/>
    <w:unhideWhenUsed/>
    <w:rsid w:val="00742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C3"/>
  </w:style>
  <w:style w:type="paragraph" w:customStyle="1" w:styleId="Pa6">
    <w:name w:val="Pa6"/>
    <w:basedOn w:val="Normal"/>
    <w:next w:val="Normal"/>
    <w:uiPriority w:val="99"/>
    <w:rsid w:val="00742BC3"/>
    <w:pPr>
      <w:autoSpaceDE w:val="0"/>
      <w:autoSpaceDN w:val="0"/>
      <w:adjustRightInd w:val="0"/>
      <w:spacing w:before="40" w:after="40" w:line="220" w:lineRule="atLeast"/>
    </w:pPr>
    <w:rPr>
      <w:rFonts w:ascii="Minion Pro" w:eastAsia="Calibri" w:hAnsi="Minion Pro" w:cs="Arial"/>
      <w:sz w:val="24"/>
      <w:szCs w:val="24"/>
    </w:rPr>
  </w:style>
  <w:style w:type="paragraph" w:styleId="ListParagraph">
    <w:name w:val="List Paragraph"/>
    <w:basedOn w:val="Normal"/>
    <w:uiPriority w:val="34"/>
    <w:qFormat/>
    <w:rsid w:val="00B15260"/>
    <w:pPr>
      <w:ind w:left="720"/>
      <w:contextualSpacing/>
    </w:pPr>
  </w:style>
  <w:style w:type="character" w:styleId="Hyperlink">
    <w:name w:val="Hyperlink"/>
    <w:uiPriority w:val="99"/>
    <w:unhideWhenUsed/>
    <w:rsid w:val="0097364E"/>
    <w:rPr>
      <w:color w:val="0000FF"/>
      <w:u w:val="single"/>
    </w:rPr>
  </w:style>
  <w:style w:type="paragraph" w:styleId="NoSpacing">
    <w:name w:val="No Spacing"/>
    <w:link w:val="NoSpacingChar"/>
    <w:qFormat/>
    <w:rsid w:val="0097364E"/>
    <w:rPr>
      <w:rFonts w:ascii="Times New Roman" w:eastAsia="Calibri" w:hAnsi="Times New Roman"/>
      <w:sz w:val="24"/>
      <w:szCs w:val="24"/>
      <w:lang w:val="en-GB" w:eastAsia="en-GB"/>
    </w:rPr>
  </w:style>
  <w:style w:type="paragraph" w:customStyle="1" w:styleId="Normalblack">
    <w:name w:val="Normal+black"/>
    <w:basedOn w:val="Normal"/>
    <w:rsid w:val="00C43DB9"/>
    <w:pPr>
      <w:tabs>
        <w:tab w:val="left" w:pos="2585"/>
        <w:tab w:val="center" w:pos="4156"/>
      </w:tabs>
      <w:bidi/>
      <w:spacing w:after="0" w:line="240" w:lineRule="auto"/>
      <w:ind w:left="-103"/>
      <w:jc w:val="center"/>
      <w:outlineLvl w:val="0"/>
    </w:pPr>
    <w:rPr>
      <w:rFonts w:ascii="Times New Roman" w:eastAsia="Times New Roman" w:hAnsi="Times New Roman"/>
      <w:b/>
      <w:bCs/>
      <w:sz w:val="24"/>
      <w:szCs w:val="24"/>
    </w:rPr>
  </w:style>
  <w:style w:type="table" w:customStyle="1" w:styleId="GridTable4-Accent11">
    <w:name w:val="Grid Table 4 - Accent 11"/>
    <w:basedOn w:val="TableNormal"/>
    <w:uiPriority w:val="49"/>
    <w:rsid w:val="009320B5"/>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32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19"/>
    <w:rPr>
      <w:rFonts w:ascii="Tahoma" w:hAnsi="Tahoma" w:cs="Tahoma"/>
      <w:sz w:val="16"/>
      <w:szCs w:val="16"/>
    </w:rPr>
  </w:style>
  <w:style w:type="character" w:customStyle="1" w:styleId="NoSpacingChar">
    <w:name w:val="No Spacing Char"/>
    <w:basedOn w:val="DefaultParagraphFont"/>
    <w:link w:val="NoSpacing"/>
    <w:locked/>
    <w:rsid w:val="00644513"/>
    <w:rPr>
      <w:rFonts w:ascii="Times New Roman" w:eastAsia="Calibri" w:hAnsi="Times New Roman"/>
      <w:sz w:val="24"/>
      <w:szCs w:val="24"/>
      <w:lang w:val="en-GB" w:eastAsia="en-GB" w:bidi="ar-SA"/>
    </w:rPr>
  </w:style>
  <w:style w:type="character" w:customStyle="1" w:styleId="msonormal0">
    <w:name w:val="msonormal0"/>
    <w:basedOn w:val="DefaultParagraphFont"/>
    <w:rsid w:val="00644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C3"/>
  </w:style>
  <w:style w:type="paragraph" w:styleId="Footer">
    <w:name w:val="footer"/>
    <w:basedOn w:val="Normal"/>
    <w:link w:val="FooterChar"/>
    <w:uiPriority w:val="99"/>
    <w:unhideWhenUsed/>
    <w:rsid w:val="00742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C3"/>
  </w:style>
  <w:style w:type="paragraph" w:customStyle="1" w:styleId="Pa6">
    <w:name w:val="Pa6"/>
    <w:basedOn w:val="Normal"/>
    <w:next w:val="Normal"/>
    <w:uiPriority w:val="99"/>
    <w:rsid w:val="00742BC3"/>
    <w:pPr>
      <w:autoSpaceDE w:val="0"/>
      <w:autoSpaceDN w:val="0"/>
      <w:adjustRightInd w:val="0"/>
      <w:spacing w:before="40" w:after="40" w:line="220" w:lineRule="atLeast"/>
    </w:pPr>
    <w:rPr>
      <w:rFonts w:ascii="Minion Pro" w:eastAsia="Calibri" w:hAnsi="Minion Pro" w:cs="Arial"/>
      <w:sz w:val="24"/>
      <w:szCs w:val="24"/>
    </w:rPr>
  </w:style>
  <w:style w:type="paragraph" w:styleId="ListParagraph">
    <w:name w:val="List Paragraph"/>
    <w:basedOn w:val="Normal"/>
    <w:uiPriority w:val="34"/>
    <w:qFormat/>
    <w:rsid w:val="00B15260"/>
    <w:pPr>
      <w:ind w:left="720"/>
      <w:contextualSpacing/>
    </w:pPr>
  </w:style>
  <w:style w:type="character" w:styleId="Hyperlink">
    <w:name w:val="Hyperlink"/>
    <w:uiPriority w:val="99"/>
    <w:unhideWhenUsed/>
    <w:rsid w:val="0097364E"/>
    <w:rPr>
      <w:color w:val="0000FF"/>
      <w:u w:val="single"/>
    </w:rPr>
  </w:style>
  <w:style w:type="paragraph" w:styleId="NoSpacing">
    <w:name w:val="No Spacing"/>
    <w:qFormat/>
    <w:rsid w:val="0097364E"/>
    <w:pPr>
      <w:spacing w:after="0" w:line="240" w:lineRule="auto"/>
    </w:pPr>
    <w:rPr>
      <w:rFonts w:ascii="Times New Roman" w:eastAsia="Calibri" w:hAnsi="Times New Roman" w:cs="Times New Roman"/>
      <w:sz w:val="24"/>
      <w:szCs w:val="24"/>
      <w:lang w:val="en-GB" w:eastAsia="en-GB"/>
    </w:rPr>
  </w:style>
  <w:style w:type="paragraph" w:customStyle="1" w:styleId="Normalblack">
    <w:name w:val="Normal+black"/>
    <w:basedOn w:val="Normal"/>
    <w:rsid w:val="00C43DB9"/>
    <w:pPr>
      <w:tabs>
        <w:tab w:val="left" w:pos="2585"/>
        <w:tab w:val="center" w:pos="4156"/>
      </w:tabs>
      <w:bidi/>
      <w:spacing w:after="0" w:line="240" w:lineRule="auto"/>
      <w:ind w:left="-103"/>
      <w:jc w:val="center"/>
      <w:outlineLvl w:val="0"/>
    </w:pPr>
    <w:rPr>
      <w:rFonts w:ascii="Times New Roman" w:eastAsia="Times New Roman" w:hAnsi="Times New Roman" w:cs="Times New Roman"/>
      <w:b/>
      <w:bCs/>
      <w:sz w:val="24"/>
      <w:szCs w:val="24"/>
    </w:rPr>
  </w:style>
  <w:style w:type="table" w:customStyle="1" w:styleId="GridTable4-Accent11">
    <w:name w:val="Grid Table 4 - Accent 11"/>
    <w:basedOn w:val="TableNormal"/>
    <w:uiPriority w:val="49"/>
    <w:rsid w:val="009320B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32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983">
      <w:bodyDiv w:val="1"/>
      <w:marLeft w:val="0"/>
      <w:marRight w:val="0"/>
      <w:marTop w:val="0"/>
      <w:marBottom w:val="0"/>
      <w:divBdr>
        <w:top w:val="none" w:sz="0" w:space="0" w:color="auto"/>
        <w:left w:val="none" w:sz="0" w:space="0" w:color="auto"/>
        <w:bottom w:val="none" w:sz="0" w:space="0" w:color="auto"/>
        <w:right w:val="none" w:sz="0" w:space="0" w:color="auto"/>
      </w:divBdr>
    </w:div>
    <w:div w:id="2174573">
      <w:bodyDiv w:val="1"/>
      <w:marLeft w:val="0"/>
      <w:marRight w:val="0"/>
      <w:marTop w:val="0"/>
      <w:marBottom w:val="0"/>
      <w:divBdr>
        <w:top w:val="none" w:sz="0" w:space="0" w:color="auto"/>
        <w:left w:val="none" w:sz="0" w:space="0" w:color="auto"/>
        <w:bottom w:val="none" w:sz="0" w:space="0" w:color="auto"/>
        <w:right w:val="none" w:sz="0" w:space="0" w:color="auto"/>
      </w:divBdr>
    </w:div>
    <w:div w:id="46153756">
      <w:bodyDiv w:val="1"/>
      <w:marLeft w:val="0"/>
      <w:marRight w:val="0"/>
      <w:marTop w:val="0"/>
      <w:marBottom w:val="0"/>
      <w:divBdr>
        <w:top w:val="none" w:sz="0" w:space="0" w:color="auto"/>
        <w:left w:val="none" w:sz="0" w:space="0" w:color="auto"/>
        <w:bottom w:val="none" w:sz="0" w:space="0" w:color="auto"/>
        <w:right w:val="none" w:sz="0" w:space="0" w:color="auto"/>
      </w:divBdr>
    </w:div>
    <w:div w:id="56905206">
      <w:bodyDiv w:val="1"/>
      <w:marLeft w:val="0"/>
      <w:marRight w:val="0"/>
      <w:marTop w:val="0"/>
      <w:marBottom w:val="0"/>
      <w:divBdr>
        <w:top w:val="none" w:sz="0" w:space="0" w:color="auto"/>
        <w:left w:val="none" w:sz="0" w:space="0" w:color="auto"/>
        <w:bottom w:val="none" w:sz="0" w:space="0" w:color="auto"/>
        <w:right w:val="none" w:sz="0" w:space="0" w:color="auto"/>
      </w:divBdr>
    </w:div>
    <w:div w:id="57829786">
      <w:bodyDiv w:val="1"/>
      <w:marLeft w:val="0"/>
      <w:marRight w:val="0"/>
      <w:marTop w:val="0"/>
      <w:marBottom w:val="0"/>
      <w:divBdr>
        <w:top w:val="none" w:sz="0" w:space="0" w:color="auto"/>
        <w:left w:val="none" w:sz="0" w:space="0" w:color="auto"/>
        <w:bottom w:val="none" w:sz="0" w:space="0" w:color="auto"/>
        <w:right w:val="none" w:sz="0" w:space="0" w:color="auto"/>
      </w:divBdr>
    </w:div>
    <w:div w:id="77556445">
      <w:bodyDiv w:val="1"/>
      <w:marLeft w:val="0"/>
      <w:marRight w:val="0"/>
      <w:marTop w:val="0"/>
      <w:marBottom w:val="0"/>
      <w:divBdr>
        <w:top w:val="none" w:sz="0" w:space="0" w:color="auto"/>
        <w:left w:val="none" w:sz="0" w:space="0" w:color="auto"/>
        <w:bottom w:val="none" w:sz="0" w:space="0" w:color="auto"/>
        <w:right w:val="none" w:sz="0" w:space="0" w:color="auto"/>
      </w:divBdr>
    </w:div>
    <w:div w:id="110128879">
      <w:bodyDiv w:val="1"/>
      <w:marLeft w:val="0"/>
      <w:marRight w:val="0"/>
      <w:marTop w:val="0"/>
      <w:marBottom w:val="0"/>
      <w:divBdr>
        <w:top w:val="none" w:sz="0" w:space="0" w:color="auto"/>
        <w:left w:val="none" w:sz="0" w:space="0" w:color="auto"/>
        <w:bottom w:val="none" w:sz="0" w:space="0" w:color="auto"/>
        <w:right w:val="none" w:sz="0" w:space="0" w:color="auto"/>
      </w:divBdr>
    </w:div>
    <w:div w:id="119610000">
      <w:bodyDiv w:val="1"/>
      <w:marLeft w:val="0"/>
      <w:marRight w:val="0"/>
      <w:marTop w:val="0"/>
      <w:marBottom w:val="0"/>
      <w:divBdr>
        <w:top w:val="none" w:sz="0" w:space="0" w:color="auto"/>
        <w:left w:val="none" w:sz="0" w:space="0" w:color="auto"/>
        <w:bottom w:val="none" w:sz="0" w:space="0" w:color="auto"/>
        <w:right w:val="none" w:sz="0" w:space="0" w:color="auto"/>
      </w:divBdr>
    </w:div>
    <w:div w:id="126507434">
      <w:bodyDiv w:val="1"/>
      <w:marLeft w:val="0"/>
      <w:marRight w:val="0"/>
      <w:marTop w:val="0"/>
      <w:marBottom w:val="0"/>
      <w:divBdr>
        <w:top w:val="none" w:sz="0" w:space="0" w:color="auto"/>
        <w:left w:val="none" w:sz="0" w:space="0" w:color="auto"/>
        <w:bottom w:val="none" w:sz="0" w:space="0" w:color="auto"/>
        <w:right w:val="none" w:sz="0" w:space="0" w:color="auto"/>
      </w:divBdr>
    </w:div>
    <w:div w:id="131793576">
      <w:bodyDiv w:val="1"/>
      <w:marLeft w:val="0"/>
      <w:marRight w:val="0"/>
      <w:marTop w:val="0"/>
      <w:marBottom w:val="0"/>
      <w:divBdr>
        <w:top w:val="none" w:sz="0" w:space="0" w:color="auto"/>
        <w:left w:val="none" w:sz="0" w:space="0" w:color="auto"/>
        <w:bottom w:val="none" w:sz="0" w:space="0" w:color="auto"/>
        <w:right w:val="none" w:sz="0" w:space="0" w:color="auto"/>
      </w:divBdr>
    </w:div>
    <w:div w:id="140587553">
      <w:bodyDiv w:val="1"/>
      <w:marLeft w:val="0"/>
      <w:marRight w:val="0"/>
      <w:marTop w:val="0"/>
      <w:marBottom w:val="0"/>
      <w:divBdr>
        <w:top w:val="none" w:sz="0" w:space="0" w:color="auto"/>
        <w:left w:val="none" w:sz="0" w:space="0" w:color="auto"/>
        <w:bottom w:val="none" w:sz="0" w:space="0" w:color="auto"/>
        <w:right w:val="none" w:sz="0" w:space="0" w:color="auto"/>
      </w:divBdr>
    </w:div>
    <w:div w:id="148399245">
      <w:bodyDiv w:val="1"/>
      <w:marLeft w:val="0"/>
      <w:marRight w:val="0"/>
      <w:marTop w:val="0"/>
      <w:marBottom w:val="0"/>
      <w:divBdr>
        <w:top w:val="none" w:sz="0" w:space="0" w:color="auto"/>
        <w:left w:val="none" w:sz="0" w:space="0" w:color="auto"/>
        <w:bottom w:val="none" w:sz="0" w:space="0" w:color="auto"/>
        <w:right w:val="none" w:sz="0" w:space="0" w:color="auto"/>
      </w:divBdr>
    </w:div>
    <w:div w:id="191501535">
      <w:bodyDiv w:val="1"/>
      <w:marLeft w:val="0"/>
      <w:marRight w:val="0"/>
      <w:marTop w:val="0"/>
      <w:marBottom w:val="0"/>
      <w:divBdr>
        <w:top w:val="none" w:sz="0" w:space="0" w:color="auto"/>
        <w:left w:val="none" w:sz="0" w:space="0" w:color="auto"/>
        <w:bottom w:val="none" w:sz="0" w:space="0" w:color="auto"/>
        <w:right w:val="none" w:sz="0" w:space="0" w:color="auto"/>
      </w:divBdr>
    </w:div>
    <w:div w:id="205798701">
      <w:bodyDiv w:val="1"/>
      <w:marLeft w:val="0"/>
      <w:marRight w:val="0"/>
      <w:marTop w:val="0"/>
      <w:marBottom w:val="0"/>
      <w:divBdr>
        <w:top w:val="none" w:sz="0" w:space="0" w:color="auto"/>
        <w:left w:val="none" w:sz="0" w:space="0" w:color="auto"/>
        <w:bottom w:val="none" w:sz="0" w:space="0" w:color="auto"/>
        <w:right w:val="none" w:sz="0" w:space="0" w:color="auto"/>
      </w:divBdr>
    </w:div>
    <w:div w:id="219286764">
      <w:bodyDiv w:val="1"/>
      <w:marLeft w:val="0"/>
      <w:marRight w:val="0"/>
      <w:marTop w:val="0"/>
      <w:marBottom w:val="0"/>
      <w:divBdr>
        <w:top w:val="none" w:sz="0" w:space="0" w:color="auto"/>
        <w:left w:val="none" w:sz="0" w:space="0" w:color="auto"/>
        <w:bottom w:val="none" w:sz="0" w:space="0" w:color="auto"/>
        <w:right w:val="none" w:sz="0" w:space="0" w:color="auto"/>
      </w:divBdr>
    </w:div>
    <w:div w:id="232080538">
      <w:bodyDiv w:val="1"/>
      <w:marLeft w:val="0"/>
      <w:marRight w:val="0"/>
      <w:marTop w:val="0"/>
      <w:marBottom w:val="0"/>
      <w:divBdr>
        <w:top w:val="none" w:sz="0" w:space="0" w:color="auto"/>
        <w:left w:val="none" w:sz="0" w:space="0" w:color="auto"/>
        <w:bottom w:val="none" w:sz="0" w:space="0" w:color="auto"/>
        <w:right w:val="none" w:sz="0" w:space="0" w:color="auto"/>
      </w:divBdr>
    </w:div>
    <w:div w:id="235822560">
      <w:bodyDiv w:val="1"/>
      <w:marLeft w:val="0"/>
      <w:marRight w:val="0"/>
      <w:marTop w:val="0"/>
      <w:marBottom w:val="0"/>
      <w:divBdr>
        <w:top w:val="none" w:sz="0" w:space="0" w:color="auto"/>
        <w:left w:val="none" w:sz="0" w:space="0" w:color="auto"/>
        <w:bottom w:val="none" w:sz="0" w:space="0" w:color="auto"/>
        <w:right w:val="none" w:sz="0" w:space="0" w:color="auto"/>
      </w:divBdr>
    </w:div>
    <w:div w:id="262803900">
      <w:bodyDiv w:val="1"/>
      <w:marLeft w:val="0"/>
      <w:marRight w:val="0"/>
      <w:marTop w:val="0"/>
      <w:marBottom w:val="0"/>
      <w:divBdr>
        <w:top w:val="none" w:sz="0" w:space="0" w:color="auto"/>
        <w:left w:val="none" w:sz="0" w:space="0" w:color="auto"/>
        <w:bottom w:val="none" w:sz="0" w:space="0" w:color="auto"/>
        <w:right w:val="none" w:sz="0" w:space="0" w:color="auto"/>
      </w:divBdr>
    </w:div>
    <w:div w:id="290789901">
      <w:bodyDiv w:val="1"/>
      <w:marLeft w:val="0"/>
      <w:marRight w:val="0"/>
      <w:marTop w:val="0"/>
      <w:marBottom w:val="0"/>
      <w:divBdr>
        <w:top w:val="none" w:sz="0" w:space="0" w:color="auto"/>
        <w:left w:val="none" w:sz="0" w:space="0" w:color="auto"/>
        <w:bottom w:val="none" w:sz="0" w:space="0" w:color="auto"/>
        <w:right w:val="none" w:sz="0" w:space="0" w:color="auto"/>
      </w:divBdr>
    </w:div>
    <w:div w:id="291441469">
      <w:bodyDiv w:val="1"/>
      <w:marLeft w:val="0"/>
      <w:marRight w:val="0"/>
      <w:marTop w:val="0"/>
      <w:marBottom w:val="0"/>
      <w:divBdr>
        <w:top w:val="none" w:sz="0" w:space="0" w:color="auto"/>
        <w:left w:val="none" w:sz="0" w:space="0" w:color="auto"/>
        <w:bottom w:val="none" w:sz="0" w:space="0" w:color="auto"/>
        <w:right w:val="none" w:sz="0" w:space="0" w:color="auto"/>
      </w:divBdr>
    </w:div>
    <w:div w:id="321466120">
      <w:bodyDiv w:val="1"/>
      <w:marLeft w:val="0"/>
      <w:marRight w:val="0"/>
      <w:marTop w:val="0"/>
      <w:marBottom w:val="0"/>
      <w:divBdr>
        <w:top w:val="none" w:sz="0" w:space="0" w:color="auto"/>
        <w:left w:val="none" w:sz="0" w:space="0" w:color="auto"/>
        <w:bottom w:val="none" w:sz="0" w:space="0" w:color="auto"/>
        <w:right w:val="none" w:sz="0" w:space="0" w:color="auto"/>
      </w:divBdr>
    </w:div>
    <w:div w:id="332298436">
      <w:bodyDiv w:val="1"/>
      <w:marLeft w:val="0"/>
      <w:marRight w:val="0"/>
      <w:marTop w:val="0"/>
      <w:marBottom w:val="0"/>
      <w:divBdr>
        <w:top w:val="none" w:sz="0" w:space="0" w:color="auto"/>
        <w:left w:val="none" w:sz="0" w:space="0" w:color="auto"/>
        <w:bottom w:val="none" w:sz="0" w:space="0" w:color="auto"/>
        <w:right w:val="none" w:sz="0" w:space="0" w:color="auto"/>
      </w:divBdr>
    </w:div>
    <w:div w:id="332605613">
      <w:bodyDiv w:val="1"/>
      <w:marLeft w:val="0"/>
      <w:marRight w:val="0"/>
      <w:marTop w:val="0"/>
      <w:marBottom w:val="0"/>
      <w:divBdr>
        <w:top w:val="none" w:sz="0" w:space="0" w:color="auto"/>
        <w:left w:val="none" w:sz="0" w:space="0" w:color="auto"/>
        <w:bottom w:val="none" w:sz="0" w:space="0" w:color="auto"/>
        <w:right w:val="none" w:sz="0" w:space="0" w:color="auto"/>
      </w:divBdr>
    </w:div>
    <w:div w:id="333149476">
      <w:bodyDiv w:val="1"/>
      <w:marLeft w:val="0"/>
      <w:marRight w:val="0"/>
      <w:marTop w:val="0"/>
      <w:marBottom w:val="0"/>
      <w:divBdr>
        <w:top w:val="none" w:sz="0" w:space="0" w:color="auto"/>
        <w:left w:val="none" w:sz="0" w:space="0" w:color="auto"/>
        <w:bottom w:val="none" w:sz="0" w:space="0" w:color="auto"/>
        <w:right w:val="none" w:sz="0" w:space="0" w:color="auto"/>
      </w:divBdr>
    </w:div>
    <w:div w:id="335697579">
      <w:bodyDiv w:val="1"/>
      <w:marLeft w:val="0"/>
      <w:marRight w:val="0"/>
      <w:marTop w:val="0"/>
      <w:marBottom w:val="0"/>
      <w:divBdr>
        <w:top w:val="none" w:sz="0" w:space="0" w:color="auto"/>
        <w:left w:val="none" w:sz="0" w:space="0" w:color="auto"/>
        <w:bottom w:val="none" w:sz="0" w:space="0" w:color="auto"/>
        <w:right w:val="none" w:sz="0" w:space="0" w:color="auto"/>
      </w:divBdr>
    </w:div>
    <w:div w:id="341710240">
      <w:bodyDiv w:val="1"/>
      <w:marLeft w:val="0"/>
      <w:marRight w:val="0"/>
      <w:marTop w:val="0"/>
      <w:marBottom w:val="0"/>
      <w:divBdr>
        <w:top w:val="none" w:sz="0" w:space="0" w:color="auto"/>
        <w:left w:val="none" w:sz="0" w:space="0" w:color="auto"/>
        <w:bottom w:val="none" w:sz="0" w:space="0" w:color="auto"/>
        <w:right w:val="none" w:sz="0" w:space="0" w:color="auto"/>
      </w:divBdr>
    </w:div>
    <w:div w:id="343748443">
      <w:bodyDiv w:val="1"/>
      <w:marLeft w:val="0"/>
      <w:marRight w:val="0"/>
      <w:marTop w:val="0"/>
      <w:marBottom w:val="0"/>
      <w:divBdr>
        <w:top w:val="none" w:sz="0" w:space="0" w:color="auto"/>
        <w:left w:val="none" w:sz="0" w:space="0" w:color="auto"/>
        <w:bottom w:val="none" w:sz="0" w:space="0" w:color="auto"/>
        <w:right w:val="none" w:sz="0" w:space="0" w:color="auto"/>
      </w:divBdr>
    </w:div>
    <w:div w:id="351418391">
      <w:bodyDiv w:val="1"/>
      <w:marLeft w:val="0"/>
      <w:marRight w:val="0"/>
      <w:marTop w:val="0"/>
      <w:marBottom w:val="0"/>
      <w:divBdr>
        <w:top w:val="none" w:sz="0" w:space="0" w:color="auto"/>
        <w:left w:val="none" w:sz="0" w:space="0" w:color="auto"/>
        <w:bottom w:val="none" w:sz="0" w:space="0" w:color="auto"/>
        <w:right w:val="none" w:sz="0" w:space="0" w:color="auto"/>
      </w:divBdr>
    </w:div>
    <w:div w:id="354582377">
      <w:bodyDiv w:val="1"/>
      <w:marLeft w:val="0"/>
      <w:marRight w:val="0"/>
      <w:marTop w:val="0"/>
      <w:marBottom w:val="0"/>
      <w:divBdr>
        <w:top w:val="none" w:sz="0" w:space="0" w:color="auto"/>
        <w:left w:val="none" w:sz="0" w:space="0" w:color="auto"/>
        <w:bottom w:val="none" w:sz="0" w:space="0" w:color="auto"/>
        <w:right w:val="none" w:sz="0" w:space="0" w:color="auto"/>
      </w:divBdr>
    </w:div>
    <w:div w:id="360976942">
      <w:bodyDiv w:val="1"/>
      <w:marLeft w:val="0"/>
      <w:marRight w:val="0"/>
      <w:marTop w:val="0"/>
      <w:marBottom w:val="0"/>
      <w:divBdr>
        <w:top w:val="none" w:sz="0" w:space="0" w:color="auto"/>
        <w:left w:val="none" w:sz="0" w:space="0" w:color="auto"/>
        <w:bottom w:val="none" w:sz="0" w:space="0" w:color="auto"/>
        <w:right w:val="none" w:sz="0" w:space="0" w:color="auto"/>
      </w:divBdr>
    </w:div>
    <w:div w:id="390466062">
      <w:bodyDiv w:val="1"/>
      <w:marLeft w:val="0"/>
      <w:marRight w:val="0"/>
      <w:marTop w:val="0"/>
      <w:marBottom w:val="0"/>
      <w:divBdr>
        <w:top w:val="none" w:sz="0" w:space="0" w:color="auto"/>
        <w:left w:val="none" w:sz="0" w:space="0" w:color="auto"/>
        <w:bottom w:val="none" w:sz="0" w:space="0" w:color="auto"/>
        <w:right w:val="none" w:sz="0" w:space="0" w:color="auto"/>
      </w:divBdr>
    </w:div>
    <w:div w:id="427433211">
      <w:bodyDiv w:val="1"/>
      <w:marLeft w:val="0"/>
      <w:marRight w:val="0"/>
      <w:marTop w:val="0"/>
      <w:marBottom w:val="0"/>
      <w:divBdr>
        <w:top w:val="none" w:sz="0" w:space="0" w:color="auto"/>
        <w:left w:val="none" w:sz="0" w:space="0" w:color="auto"/>
        <w:bottom w:val="none" w:sz="0" w:space="0" w:color="auto"/>
        <w:right w:val="none" w:sz="0" w:space="0" w:color="auto"/>
      </w:divBdr>
    </w:div>
    <w:div w:id="442772381">
      <w:bodyDiv w:val="1"/>
      <w:marLeft w:val="0"/>
      <w:marRight w:val="0"/>
      <w:marTop w:val="0"/>
      <w:marBottom w:val="0"/>
      <w:divBdr>
        <w:top w:val="none" w:sz="0" w:space="0" w:color="auto"/>
        <w:left w:val="none" w:sz="0" w:space="0" w:color="auto"/>
        <w:bottom w:val="none" w:sz="0" w:space="0" w:color="auto"/>
        <w:right w:val="none" w:sz="0" w:space="0" w:color="auto"/>
      </w:divBdr>
    </w:div>
    <w:div w:id="445469415">
      <w:bodyDiv w:val="1"/>
      <w:marLeft w:val="0"/>
      <w:marRight w:val="0"/>
      <w:marTop w:val="0"/>
      <w:marBottom w:val="0"/>
      <w:divBdr>
        <w:top w:val="none" w:sz="0" w:space="0" w:color="auto"/>
        <w:left w:val="none" w:sz="0" w:space="0" w:color="auto"/>
        <w:bottom w:val="none" w:sz="0" w:space="0" w:color="auto"/>
        <w:right w:val="none" w:sz="0" w:space="0" w:color="auto"/>
      </w:divBdr>
    </w:div>
    <w:div w:id="455291467">
      <w:bodyDiv w:val="1"/>
      <w:marLeft w:val="0"/>
      <w:marRight w:val="0"/>
      <w:marTop w:val="0"/>
      <w:marBottom w:val="0"/>
      <w:divBdr>
        <w:top w:val="none" w:sz="0" w:space="0" w:color="auto"/>
        <w:left w:val="none" w:sz="0" w:space="0" w:color="auto"/>
        <w:bottom w:val="none" w:sz="0" w:space="0" w:color="auto"/>
        <w:right w:val="none" w:sz="0" w:space="0" w:color="auto"/>
      </w:divBdr>
    </w:div>
    <w:div w:id="478038131">
      <w:bodyDiv w:val="1"/>
      <w:marLeft w:val="0"/>
      <w:marRight w:val="0"/>
      <w:marTop w:val="0"/>
      <w:marBottom w:val="0"/>
      <w:divBdr>
        <w:top w:val="none" w:sz="0" w:space="0" w:color="auto"/>
        <w:left w:val="none" w:sz="0" w:space="0" w:color="auto"/>
        <w:bottom w:val="none" w:sz="0" w:space="0" w:color="auto"/>
        <w:right w:val="none" w:sz="0" w:space="0" w:color="auto"/>
      </w:divBdr>
    </w:div>
    <w:div w:id="484051385">
      <w:bodyDiv w:val="1"/>
      <w:marLeft w:val="0"/>
      <w:marRight w:val="0"/>
      <w:marTop w:val="0"/>
      <w:marBottom w:val="0"/>
      <w:divBdr>
        <w:top w:val="none" w:sz="0" w:space="0" w:color="auto"/>
        <w:left w:val="none" w:sz="0" w:space="0" w:color="auto"/>
        <w:bottom w:val="none" w:sz="0" w:space="0" w:color="auto"/>
        <w:right w:val="none" w:sz="0" w:space="0" w:color="auto"/>
      </w:divBdr>
    </w:div>
    <w:div w:id="492142025">
      <w:bodyDiv w:val="1"/>
      <w:marLeft w:val="0"/>
      <w:marRight w:val="0"/>
      <w:marTop w:val="0"/>
      <w:marBottom w:val="0"/>
      <w:divBdr>
        <w:top w:val="none" w:sz="0" w:space="0" w:color="auto"/>
        <w:left w:val="none" w:sz="0" w:space="0" w:color="auto"/>
        <w:bottom w:val="none" w:sz="0" w:space="0" w:color="auto"/>
        <w:right w:val="none" w:sz="0" w:space="0" w:color="auto"/>
      </w:divBdr>
    </w:div>
    <w:div w:id="493422650">
      <w:bodyDiv w:val="1"/>
      <w:marLeft w:val="0"/>
      <w:marRight w:val="0"/>
      <w:marTop w:val="0"/>
      <w:marBottom w:val="0"/>
      <w:divBdr>
        <w:top w:val="none" w:sz="0" w:space="0" w:color="auto"/>
        <w:left w:val="none" w:sz="0" w:space="0" w:color="auto"/>
        <w:bottom w:val="none" w:sz="0" w:space="0" w:color="auto"/>
        <w:right w:val="none" w:sz="0" w:space="0" w:color="auto"/>
      </w:divBdr>
    </w:div>
    <w:div w:id="495150150">
      <w:bodyDiv w:val="1"/>
      <w:marLeft w:val="0"/>
      <w:marRight w:val="0"/>
      <w:marTop w:val="0"/>
      <w:marBottom w:val="0"/>
      <w:divBdr>
        <w:top w:val="none" w:sz="0" w:space="0" w:color="auto"/>
        <w:left w:val="none" w:sz="0" w:space="0" w:color="auto"/>
        <w:bottom w:val="none" w:sz="0" w:space="0" w:color="auto"/>
        <w:right w:val="none" w:sz="0" w:space="0" w:color="auto"/>
      </w:divBdr>
    </w:div>
    <w:div w:id="501316101">
      <w:bodyDiv w:val="1"/>
      <w:marLeft w:val="0"/>
      <w:marRight w:val="0"/>
      <w:marTop w:val="0"/>
      <w:marBottom w:val="0"/>
      <w:divBdr>
        <w:top w:val="none" w:sz="0" w:space="0" w:color="auto"/>
        <w:left w:val="none" w:sz="0" w:space="0" w:color="auto"/>
        <w:bottom w:val="none" w:sz="0" w:space="0" w:color="auto"/>
        <w:right w:val="none" w:sz="0" w:space="0" w:color="auto"/>
      </w:divBdr>
    </w:div>
    <w:div w:id="508566916">
      <w:bodyDiv w:val="1"/>
      <w:marLeft w:val="0"/>
      <w:marRight w:val="0"/>
      <w:marTop w:val="0"/>
      <w:marBottom w:val="0"/>
      <w:divBdr>
        <w:top w:val="none" w:sz="0" w:space="0" w:color="auto"/>
        <w:left w:val="none" w:sz="0" w:space="0" w:color="auto"/>
        <w:bottom w:val="none" w:sz="0" w:space="0" w:color="auto"/>
        <w:right w:val="none" w:sz="0" w:space="0" w:color="auto"/>
      </w:divBdr>
    </w:div>
    <w:div w:id="527059548">
      <w:bodyDiv w:val="1"/>
      <w:marLeft w:val="0"/>
      <w:marRight w:val="0"/>
      <w:marTop w:val="0"/>
      <w:marBottom w:val="0"/>
      <w:divBdr>
        <w:top w:val="none" w:sz="0" w:space="0" w:color="auto"/>
        <w:left w:val="none" w:sz="0" w:space="0" w:color="auto"/>
        <w:bottom w:val="none" w:sz="0" w:space="0" w:color="auto"/>
        <w:right w:val="none" w:sz="0" w:space="0" w:color="auto"/>
      </w:divBdr>
    </w:div>
    <w:div w:id="542056419">
      <w:bodyDiv w:val="1"/>
      <w:marLeft w:val="0"/>
      <w:marRight w:val="0"/>
      <w:marTop w:val="0"/>
      <w:marBottom w:val="0"/>
      <w:divBdr>
        <w:top w:val="none" w:sz="0" w:space="0" w:color="auto"/>
        <w:left w:val="none" w:sz="0" w:space="0" w:color="auto"/>
        <w:bottom w:val="none" w:sz="0" w:space="0" w:color="auto"/>
        <w:right w:val="none" w:sz="0" w:space="0" w:color="auto"/>
      </w:divBdr>
    </w:div>
    <w:div w:id="548146864">
      <w:bodyDiv w:val="1"/>
      <w:marLeft w:val="0"/>
      <w:marRight w:val="0"/>
      <w:marTop w:val="0"/>
      <w:marBottom w:val="0"/>
      <w:divBdr>
        <w:top w:val="none" w:sz="0" w:space="0" w:color="auto"/>
        <w:left w:val="none" w:sz="0" w:space="0" w:color="auto"/>
        <w:bottom w:val="none" w:sz="0" w:space="0" w:color="auto"/>
        <w:right w:val="none" w:sz="0" w:space="0" w:color="auto"/>
      </w:divBdr>
    </w:div>
    <w:div w:id="557598189">
      <w:bodyDiv w:val="1"/>
      <w:marLeft w:val="0"/>
      <w:marRight w:val="0"/>
      <w:marTop w:val="0"/>
      <w:marBottom w:val="0"/>
      <w:divBdr>
        <w:top w:val="none" w:sz="0" w:space="0" w:color="auto"/>
        <w:left w:val="none" w:sz="0" w:space="0" w:color="auto"/>
        <w:bottom w:val="none" w:sz="0" w:space="0" w:color="auto"/>
        <w:right w:val="none" w:sz="0" w:space="0" w:color="auto"/>
      </w:divBdr>
    </w:div>
    <w:div w:id="557933815">
      <w:bodyDiv w:val="1"/>
      <w:marLeft w:val="0"/>
      <w:marRight w:val="0"/>
      <w:marTop w:val="0"/>
      <w:marBottom w:val="0"/>
      <w:divBdr>
        <w:top w:val="none" w:sz="0" w:space="0" w:color="auto"/>
        <w:left w:val="none" w:sz="0" w:space="0" w:color="auto"/>
        <w:bottom w:val="none" w:sz="0" w:space="0" w:color="auto"/>
        <w:right w:val="none" w:sz="0" w:space="0" w:color="auto"/>
      </w:divBdr>
    </w:div>
    <w:div w:id="571280418">
      <w:bodyDiv w:val="1"/>
      <w:marLeft w:val="0"/>
      <w:marRight w:val="0"/>
      <w:marTop w:val="0"/>
      <w:marBottom w:val="0"/>
      <w:divBdr>
        <w:top w:val="none" w:sz="0" w:space="0" w:color="auto"/>
        <w:left w:val="none" w:sz="0" w:space="0" w:color="auto"/>
        <w:bottom w:val="none" w:sz="0" w:space="0" w:color="auto"/>
        <w:right w:val="none" w:sz="0" w:space="0" w:color="auto"/>
      </w:divBdr>
    </w:div>
    <w:div w:id="604968211">
      <w:bodyDiv w:val="1"/>
      <w:marLeft w:val="0"/>
      <w:marRight w:val="0"/>
      <w:marTop w:val="0"/>
      <w:marBottom w:val="0"/>
      <w:divBdr>
        <w:top w:val="none" w:sz="0" w:space="0" w:color="auto"/>
        <w:left w:val="none" w:sz="0" w:space="0" w:color="auto"/>
        <w:bottom w:val="none" w:sz="0" w:space="0" w:color="auto"/>
        <w:right w:val="none" w:sz="0" w:space="0" w:color="auto"/>
      </w:divBdr>
    </w:div>
    <w:div w:id="627929597">
      <w:bodyDiv w:val="1"/>
      <w:marLeft w:val="0"/>
      <w:marRight w:val="0"/>
      <w:marTop w:val="0"/>
      <w:marBottom w:val="0"/>
      <w:divBdr>
        <w:top w:val="none" w:sz="0" w:space="0" w:color="auto"/>
        <w:left w:val="none" w:sz="0" w:space="0" w:color="auto"/>
        <w:bottom w:val="none" w:sz="0" w:space="0" w:color="auto"/>
        <w:right w:val="none" w:sz="0" w:space="0" w:color="auto"/>
      </w:divBdr>
    </w:div>
    <w:div w:id="650644655">
      <w:bodyDiv w:val="1"/>
      <w:marLeft w:val="0"/>
      <w:marRight w:val="0"/>
      <w:marTop w:val="0"/>
      <w:marBottom w:val="0"/>
      <w:divBdr>
        <w:top w:val="none" w:sz="0" w:space="0" w:color="auto"/>
        <w:left w:val="none" w:sz="0" w:space="0" w:color="auto"/>
        <w:bottom w:val="none" w:sz="0" w:space="0" w:color="auto"/>
        <w:right w:val="none" w:sz="0" w:space="0" w:color="auto"/>
      </w:divBdr>
    </w:div>
    <w:div w:id="650721201">
      <w:bodyDiv w:val="1"/>
      <w:marLeft w:val="0"/>
      <w:marRight w:val="0"/>
      <w:marTop w:val="0"/>
      <w:marBottom w:val="0"/>
      <w:divBdr>
        <w:top w:val="none" w:sz="0" w:space="0" w:color="auto"/>
        <w:left w:val="none" w:sz="0" w:space="0" w:color="auto"/>
        <w:bottom w:val="none" w:sz="0" w:space="0" w:color="auto"/>
        <w:right w:val="none" w:sz="0" w:space="0" w:color="auto"/>
      </w:divBdr>
    </w:div>
    <w:div w:id="651065779">
      <w:bodyDiv w:val="1"/>
      <w:marLeft w:val="0"/>
      <w:marRight w:val="0"/>
      <w:marTop w:val="0"/>
      <w:marBottom w:val="0"/>
      <w:divBdr>
        <w:top w:val="none" w:sz="0" w:space="0" w:color="auto"/>
        <w:left w:val="none" w:sz="0" w:space="0" w:color="auto"/>
        <w:bottom w:val="none" w:sz="0" w:space="0" w:color="auto"/>
        <w:right w:val="none" w:sz="0" w:space="0" w:color="auto"/>
      </w:divBdr>
    </w:div>
    <w:div w:id="655187941">
      <w:bodyDiv w:val="1"/>
      <w:marLeft w:val="0"/>
      <w:marRight w:val="0"/>
      <w:marTop w:val="0"/>
      <w:marBottom w:val="0"/>
      <w:divBdr>
        <w:top w:val="none" w:sz="0" w:space="0" w:color="auto"/>
        <w:left w:val="none" w:sz="0" w:space="0" w:color="auto"/>
        <w:bottom w:val="none" w:sz="0" w:space="0" w:color="auto"/>
        <w:right w:val="none" w:sz="0" w:space="0" w:color="auto"/>
      </w:divBdr>
    </w:div>
    <w:div w:id="723989915">
      <w:bodyDiv w:val="1"/>
      <w:marLeft w:val="0"/>
      <w:marRight w:val="0"/>
      <w:marTop w:val="0"/>
      <w:marBottom w:val="0"/>
      <w:divBdr>
        <w:top w:val="none" w:sz="0" w:space="0" w:color="auto"/>
        <w:left w:val="none" w:sz="0" w:space="0" w:color="auto"/>
        <w:bottom w:val="none" w:sz="0" w:space="0" w:color="auto"/>
        <w:right w:val="none" w:sz="0" w:space="0" w:color="auto"/>
      </w:divBdr>
    </w:div>
    <w:div w:id="768043458">
      <w:bodyDiv w:val="1"/>
      <w:marLeft w:val="0"/>
      <w:marRight w:val="0"/>
      <w:marTop w:val="0"/>
      <w:marBottom w:val="0"/>
      <w:divBdr>
        <w:top w:val="none" w:sz="0" w:space="0" w:color="auto"/>
        <w:left w:val="none" w:sz="0" w:space="0" w:color="auto"/>
        <w:bottom w:val="none" w:sz="0" w:space="0" w:color="auto"/>
        <w:right w:val="none" w:sz="0" w:space="0" w:color="auto"/>
      </w:divBdr>
    </w:div>
    <w:div w:id="798498417">
      <w:bodyDiv w:val="1"/>
      <w:marLeft w:val="0"/>
      <w:marRight w:val="0"/>
      <w:marTop w:val="0"/>
      <w:marBottom w:val="0"/>
      <w:divBdr>
        <w:top w:val="none" w:sz="0" w:space="0" w:color="auto"/>
        <w:left w:val="none" w:sz="0" w:space="0" w:color="auto"/>
        <w:bottom w:val="none" w:sz="0" w:space="0" w:color="auto"/>
        <w:right w:val="none" w:sz="0" w:space="0" w:color="auto"/>
      </w:divBdr>
    </w:div>
    <w:div w:id="884174426">
      <w:bodyDiv w:val="1"/>
      <w:marLeft w:val="0"/>
      <w:marRight w:val="0"/>
      <w:marTop w:val="0"/>
      <w:marBottom w:val="0"/>
      <w:divBdr>
        <w:top w:val="none" w:sz="0" w:space="0" w:color="auto"/>
        <w:left w:val="none" w:sz="0" w:space="0" w:color="auto"/>
        <w:bottom w:val="none" w:sz="0" w:space="0" w:color="auto"/>
        <w:right w:val="none" w:sz="0" w:space="0" w:color="auto"/>
      </w:divBdr>
    </w:div>
    <w:div w:id="898394001">
      <w:bodyDiv w:val="1"/>
      <w:marLeft w:val="0"/>
      <w:marRight w:val="0"/>
      <w:marTop w:val="0"/>
      <w:marBottom w:val="0"/>
      <w:divBdr>
        <w:top w:val="none" w:sz="0" w:space="0" w:color="auto"/>
        <w:left w:val="none" w:sz="0" w:space="0" w:color="auto"/>
        <w:bottom w:val="none" w:sz="0" w:space="0" w:color="auto"/>
        <w:right w:val="none" w:sz="0" w:space="0" w:color="auto"/>
      </w:divBdr>
    </w:div>
    <w:div w:id="900478301">
      <w:bodyDiv w:val="1"/>
      <w:marLeft w:val="0"/>
      <w:marRight w:val="0"/>
      <w:marTop w:val="0"/>
      <w:marBottom w:val="0"/>
      <w:divBdr>
        <w:top w:val="none" w:sz="0" w:space="0" w:color="auto"/>
        <w:left w:val="none" w:sz="0" w:space="0" w:color="auto"/>
        <w:bottom w:val="none" w:sz="0" w:space="0" w:color="auto"/>
        <w:right w:val="none" w:sz="0" w:space="0" w:color="auto"/>
      </w:divBdr>
    </w:div>
    <w:div w:id="912351788">
      <w:bodyDiv w:val="1"/>
      <w:marLeft w:val="0"/>
      <w:marRight w:val="0"/>
      <w:marTop w:val="0"/>
      <w:marBottom w:val="0"/>
      <w:divBdr>
        <w:top w:val="none" w:sz="0" w:space="0" w:color="auto"/>
        <w:left w:val="none" w:sz="0" w:space="0" w:color="auto"/>
        <w:bottom w:val="none" w:sz="0" w:space="0" w:color="auto"/>
        <w:right w:val="none" w:sz="0" w:space="0" w:color="auto"/>
      </w:divBdr>
    </w:div>
    <w:div w:id="948240810">
      <w:bodyDiv w:val="1"/>
      <w:marLeft w:val="0"/>
      <w:marRight w:val="0"/>
      <w:marTop w:val="0"/>
      <w:marBottom w:val="0"/>
      <w:divBdr>
        <w:top w:val="none" w:sz="0" w:space="0" w:color="auto"/>
        <w:left w:val="none" w:sz="0" w:space="0" w:color="auto"/>
        <w:bottom w:val="none" w:sz="0" w:space="0" w:color="auto"/>
        <w:right w:val="none" w:sz="0" w:space="0" w:color="auto"/>
      </w:divBdr>
    </w:div>
    <w:div w:id="957831072">
      <w:bodyDiv w:val="1"/>
      <w:marLeft w:val="0"/>
      <w:marRight w:val="0"/>
      <w:marTop w:val="0"/>
      <w:marBottom w:val="0"/>
      <w:divBdr>
        <w:top w:val="none" w:sz="0" w:space="0" w:color="auto"/>
        <w:left w:val="none" w:sz="0" w:space="0" w:color="auto"/>
        <w:bottom w:val="none" w:sz="0" w:space="0" w:color="auto"/>
        <w:right w:val="none" w:sz="0" w:space="0" w:color="auto"/>
      </w:divBdr>
    </w:div>
    <w:div w:id="977220976">
      <w:bodyDiv w:val="1"/>
      <w:marLeft w:val="0"/>
      <w:marRight w:val="0"/>
      <w:marTop w:val="0"/>
      <w:marBottom w:val="0"/>
      <w:divBdr>
        <w:top w:val="none" w:sz="0" w:space="0" w:color="auto"/>
        <w:left w:val="none" w:sz="0" w:space="0" w:color="auto"/>
        <w:bottom w:val="none" w:sz="0" w:space="0" w:color="auto"/>
        <w:right w:val="none" w:sz="0" w:space="0" w:color="auto"/>
      </w:divBdr>
    </w:div>
    <w:div w:id="984236240">
      <w:bodyDiv w:val="1"/>
      <w:marLeft w:val="0"/>
      <w:marRight w:val="0"/>
      <w:marTop w:val="0"/>
      <w:marBottom w:val="0"/>
      <w:divBdr>
        <w:top w:val="none" w:sz="0" w:space="0" w:color="auto"/>
        <w:left w:val="none" w:sz="0" w:space="0" w:color="auto"/>
        <w:bottom w:val="none" w:sz="0" w:space="0" w:color="auto"/>
        <w:right w:val="none" w:sz="0" w:space="0" w:color="auto"/>
      </w:divBdr>
    </w:div>
    <w:div w:id="989486021">
      <w:bodyDiv w:val="1"/>
      <w:marLeft w:val="0"/>
      <w:marRight w:val="0"/>
      <w:marTop w:val="0"/>
      <w:marBottom w:val="0"/>
      <w:divBdr>
        <w:top w:val="none" w:sz="0" w:space="0" w:color="auto"/>
        <w:left w:val="none" w:sz="0" w:space="0" w:color="auto"/>
        <w:bottom w:val="none" w:sz="0" w:space="0" w:color="auto"/>
        <w:right w:val="none" w:sz="0" w:space="0" w:color="auto"/>
      </w:divBdr>
    </w:div>
    <w:div w:id="991059901">
      <w:bodyDiv w:val="1"/>
      <w:marLeft w:val="0"/>
      <w:marRight w:val="0"/>
      <w:marTop w:val="0"/>
      <w:marBottom w:val="0"/>
      <w:divBdr>
        <w:top w:val="none" w:sz="0" w:space="0" w:color="auto"/>
        <w:left w:val="none" w:sz="0" w:space="0" w:color="auto"/>
        <w:bottom w:val="none" w:sz="0" w:space="0" w:color="auto"/>
        <w:right w:val="none" w:sz="0" w:space="0" w:color="auto"/>
      </w:divBdr>
    </w:div>
    <w:div w:id="1009989676">
      <w:bodyDiv w:val="1"/>
      <w:marLeft w:val="0"/>
      <w:marRight w:val="0"/>
      <w:marTop w:val="0"/>
      <w:marBottom w:val="0"/>
      <w:divBdr>
        <w:top w:val="none" w:sz="0" w:space="0" w:color="auto"/>
        <w:left w:val="none" w:sz="0" w:space="0" w:color="auto"/>
        <w:bottom w:val="none" w:sz="0" w:space="0" w:color="auto"/>
        <w:right w:val="none" w:sz="0" w:space="0" w:color="auto"/>
      </w:divBdr>
    </w:div>
    <w:div w:id="1012872779">
      <w:bodyDiv w:val="1"/>
      <w:marLeft w:val="0"/>
      <w:marRight w:val="0"/>
      <w:marTop w:val="0"/>
      <w:marBottom w:val="0"/>
      <w:divBdr>
        <w:top w:val="none" w:sz="0" w:space="0" w:color="auto"/>
        <w:left w:val="none" w:sz="0" w:space="0" w:color="auto"/>
        <w:bottom w:val="none" w:sz="0" w:space="0" w:color="auto"/>
        <w:right w:val="none" w:sz="0" w:space="0" w:color="auto"/>
      </w:divBdr>
    </w:div>
    <w:div w:id="1022437927">
      <w:bodyDiv w:val="1"/>
      <w:marLeft w:val="0"/>
      <w:marRight w:val="0"/>
      <w:marTop w:val="0"/>
      <w:marBottom w:val="0"/>
      <w:divBdr>
        <w:top w:val="none" w:sz="0" w:space="0" w:color="auto"/>
        <w:left w:val="none" w:sz="0" w:space="0" w:color="auto"/>
        <w:bottom w:val="none" w:sz="0" w:space="0" w:color="auto"/>
        <w:right w:val="none" w:sz="0" w:space="0" w:color="auto"/>
      </w:divBdr>
    </w:div>
    <w:div w:id="1031491328">
      <w:bodyDiv w:val="1"/>
      <w:marLeft w:val="0"/>
      <w:marRight w:val="0"/>
      <w:marTop w:val="0"/>
      <w:marBottom w:val="0"/>
      <w:divBdr>
        <w:top w:val="none" w:sz="0" w:space="0" w:color="auto"/>
        <w:left w:val="none" w:sz="0" w:space="0" w:color="auto"/>
        <w:bottom w:val="none" w:sz="0" w:space="0" w:color="auto"/>
        <w:right w:val="none" w:sz="0" w:space="0" w:color="auto"/>
      </w:divBdr>
    </w:div>
    <w:div w:id="1031491787">
      <w:bodyDiv w:val="1"/>
      <w:marLeft w:val="0"/>
      <w:marRight w:val="0"/>
      <w:marTop w:val="0"/>
      <w:marBottom w:val="0"/>
      <w:divBdr>
        <w:top w:val="none" w:sz="0" w:space="0" w:color="auto"/>
        <w:left w:val="none" w:sz="0" w:space="0" w:color="auto"/>
        <w:bottom w:val="none" w:sz="0" w:space="0" w:color="auto"/>
        <w:right w:val="none" w:sz="0" w:space="0" w:color="auto"/>
      </w:divBdr>
    </w:div>
    <w:div w:id="1033455196">
      <w:bodyDiv w:val="1"/>
      <w:marLeft w:val="0"/>
      <w:marRight w:val="0"/>
      <w:marTop w:val="0"/>
      <w:marBottom w:val="0"/>
      <w:divBdr>
        <w:top w:val="none" w:sz="0" w:space="0" w:color="auto"/>
        <w:left w:val="none" w:sz="0" w:space="0" w:color="auto"/>
        <w:bottom w:val="none" w:sz="0" w:space="0" w:color="auto"/>
        <w:right w:val="none" w:sz="0" w:space="0" w:color="auto"/>
      </w:divBdr>
    </w:div>
    <w:div w:id="1075513513">
      <w:bodyDiv w:val="1"/>
      <w:marLeft w:val="0"/>
      <w:marRight w:val="0"/>
      <w:marTop w:val="0"/>
      <w:marBottom w:val="0"/>
      <w:divBdr>
        <w:top w:val="none" w:sz="0" w:space="0" w:color="auto"/>
        <w:left w:val="none" w:sz="0" w:space="0" w:color="auto"/>
        <w:bottom w:val="none" w:sz="0" w:space="0" w:color="auto"/>
        <w:right w:val="none" w:sz="0" w:space="0" w:color="auto"/>
      </w:divBdr>
    </w:div>
    <w:div w:id="1083143768">
      <w:bodyDiv w:val="1"/>
      <w:marLeft w:val="0"/>
      <w:marRight w:val="0"/>
      <w:marTop w:val="0"/>
      <w:marBottom w:val="0"/>
      <w:divBdr>
        <w:top w:val="none" w:sz="0" w:space="0" w:color="auto"/>
        <w:left w:val="none" w:sz="0" w:space="0" w:color="auto"/>
        <w:bottom w:val="none" w:sz="0" w:space="0" w:color="auto"/>
        <w:right w:val="none" w:sz="0" w:space="0" w:color="auto"/>
      </w:divBdr>
    </w:div>
    <w:div w:id="1099302456">
      <w:bodyDiv w:val="1"/>
      <w:marLeft w:val="0"/>
      <w:marRight w:val="0"/>
      <w:marTop w:val="0"/>
      <w:marBottom w:val="0"/>
      <w:divBdr>
        <w:top w:val="none" w:sz="0" w:space="0" w:color="auto"/>
        <w:left w:val="none" w:sz="0" w:space="0" w:color="auto"/>
        <w:bottom w:val="none" w:sz="0" w:space="0" w:color="auto"/>
        <w:right w:val="none" w:sz="0" w:space="0" w:color="auto"/>
      </w:divBdr>
    </w:div>
    <w:div w:id="1125195861">
      <w:bodyDiv w:val="1"/>
      <w:marLeft w:val="0"/>
      <w:marRight w:val="0"/>
      <w:marTop w:val="0"/>
      <w:marBottom w:val="0"/>
      <w:divBdr>
        <w:top w:val="none" w:sz="0" w:space="0" w:color="auto"/>
        <w:left w:val="none" w:sz="0" w:space="0" w:color="auto"/>
        <w:bottom w:val="none" w:sz="0" w:space="0" w:color="auto"/>
        <w:right w:val="none" w:sz="0" w:space="0" w:color="auto"/>
      </w:divBdr>
    </w:div>
    <w:div w:id="1126506774">
      <w:bodyDiv w:val="1"/>
      <w:marLeft w:val="0"/>
      <w:marRight w:val="0"/>
      <w:marTop w:val="0"/>
      <w:marBottom w:val="0"/>
      <w:divBdr>
        <w:top w:val="none" w:sz="0" w:space="0" w:color="auto"/>
        <w:left w:val="none" w:sz="0" w:space="0" w:color="auto"/>
        <w:bottom w:val="none" w:sz="0" w:space="0" w:color="auto"/>
        <w:right w:val="none" w:sz="0" w:space="0" w:color="auto"/>
      </w:divBdr>
    </w:div>
    <w:div w:id="1149905381">
      <w:bodyDiv w:val="1"/>
      <w:marLeft w:val="0"/>
      <w:marRight w:val="0"/>
      <w:marTop w:val="0"/>
      <w:marBottom w:val="0"/>
      <w:divBdr>
        <w:top w:val="none" w:sz="0" w:space="0" w:color="auto"/>
        <w:left w:val="none" w:sz="0" w:space="0" w:color="auto"/>
        <w:bottom w:val="none" w:sz="0" w:space="0" w:color="auto"/>
        <w:right w:val="none" w:sz="0" w:space="0" w:color="auto"/>
      </w:divBdr>
    </w:div>
    <w:div w:id="1218977728">
      <w:bodyDiv w:val="1"/>
      <w:marLeft w:val="0"/>
      <w:marRight w:val="0"/>
      <w:marTop w:val="0"/>
      <w:marBottom w:val="0"/>
      <w:divBdr>
        <w:top w:val="none" w:sz="0" w:space="0" w:color="auto"/>
        <w:left w:val="none" w:sz="0" w:space="0" w:color="auto"/>
        <w:bottom w:val="none" w:sz="0" w:space="0" w:color="auto"/>
        <w:right w:val="none" w:sz="0" w:space="0" w:color="auto"/>
      </w:divBdr>
    </w:div>
    <w:div w:id="1245719913">
      <w:bodyDiv w:val="1"/>
      <w:marLeft w:val="0"/>
      <w:marRight w:val="0"/>
      <w:marTop w:val="0"/>
      <w:marBottom w:val="0"/>
      <w:divBdr>
        <w:top w:val="none" w:sz="0" w:space="0" w:color="auto"/>
        <w:left w:val="none" w:sz="0" w:space="0" w:color="auto"/>
        <w:bottom w:val="none" w:sz="0" w:space="0" w:color="auto"/>
        <w:right w:val="none" w:sz="0" w:space="0" w:color="auto"/>
      </w:divBdr>
    </w:div>
    <w:div w:id="1247034023">
      <w:bodyDiv w:val="1"/>
      <w:marLeft w:val="0"/>
      <w:marRight w:val="0"/>
      <w:marTop w:val="0"/>
      <w:marBottom w:val="0"/>
      <w:divBdr>
        <w:top w:val="none" w:sz="0" w:space="0" w:color="auto"/>
        <w:left w:val="none" w:sz="0" w:space="0" w:color="auto"/>
        <w:bottom w:val="none" w:sz="0" w:space="0" w:color="auto"/>
        <w:right w:val="none" w:sz="0" w:space="0" w:color="auto"/>
      </w:divBdr>
    </w:div>
    <w:div w:id="1248342925">
      <w:bodyDiv w:val="1"/>
      <w:marLeft w:val="0"/>
      <w:marRight w:val="0"/>
      <w:marTop w:val="0"/>
      <w:marBottom w:val="0"/>
      <w:divBdr>
        <w:top w:val="none" w:sz="0" w:space="0" w:color="auto"/>
        <w:left w:val="none" w:sz="0" w:space="0" w:color="auto"/>
        <w:bottom w:val="none" w:sz="0" w:space="0" w:color="auto"/>
        <w:right w:val="none" w:sz="0" w:space="0" w:color="auto"/>
      </w:divBdr>
    </w:div>
    <w:div w:id="1264655788">
      <w:bodyDiv w:val="1"/>
      <w:marLeft w:val="0"/>
      <w:marRight w:val="0"/>
      <w:marTop w:val="0"/>
      <w:marBottom w:val="0"/>
      <w:divBdr>
        <w:top w:val="none" w:sz="0" w:space="0" w:color="auto"/>
        <w:left w:val="none" w:sz="0" w:space="0" w:color="auto"/>
        <w:bottom w:val="none" w:sz="0" w:space="0" w:color="auto"/>
        <w:right w:val="none" w:sz="0" w:space="0" w:color="auto"/>
      </w:divBdr>
    </w:div>
    <w:div w:id="1267226759">
      <w:bodyDiv w:val="1"/>
      <w:marLeft w:val="0"/>
      <w:marRight w:val="0"/>
      <w:marTop w:val="0"/>
      <w:marBottom w:val="0"/>
      <w:divBdr>
        <w:top w:val="none" w:sz="0" w:space="0" w:color="auto"/>
        <w:left w:val="none" w:sz="0" w:space="0" w:color="auto"/>
        <w:bottom w:val="none" w:sz="0" w:space="0" w:color="auto"/>
        <w:right w:val="none" w:sz="0" w:space="0" w:color="auto"/>
      </w:divBdr>
    </w:div>
    <w:div w:id="1307665402">
      <w:bodyDiv w:val="1"/>
      <w:marLeft w:val="0"/>
      <w:marRight w:val="0"/>
      <w:marTop w:val="0"/>
      <w:marBottom w:val="0"/>
      <w:divBdr>
        <w:top w:val="none" w:sz="0" w:space="0" w:color="auto"/>
        <w:left w:val="none" w:sz="0" w:space="0" w:color="auto"/>
        <w:bottom w:val="none" w:sz="0" w:space="0" w:color="auto"/>
        <w:right w:val="none" w:sz="0" w:space="0" w:color="auto"/>
      </w:divBdr>
    </w:div>
    <w:div w:id="1312753063">
      <w:bodyDiv w:val="1"/>
      <w:marLeft w:val="0"/>
      <w:marRight w:val="0"/>
      <w:marTop w:val="0"/>
      <w:marBottom w:val="0"/>
      <w:divBdr>
        <w:top w:val="none" w:sz="0" w:space="0" w:color="auto"/>
        <w:left w:val="none" w:sz="0" w:space="0" w:color="auto"/>
        <w:bottom w:val="none" w:sz="0" w:space="0" w:color="auto"/>
        <w:right w:val="none" w:sz="0" w:space="0" w:color="auto"/>
      </w:divBdr>
    </w:div>
    <w:div w:id="1336153733">
      <w:bodyDiv w:val="1"/>
      <w:marLeft w:val="0"/>
      <w:marRight w:val="0"/>
      <w:marTop w:val="0"/>
      <w:marBottom w:val="0"/>
      <w:divBdr>
        <w:top w:val="none" w:sz="0" w:space="0" w:color="auto"/>
        <w:left w:val="none" w:sz="0" w:space="0" w:color="auto"/>
        <w:bottom w:val="none" w:sz="0" w:space="0" w:color="auto"/>
        <w:right w:val="none" w:sz="0" w:space="0" w:color="auto"/>
      </w:divBdr>
    </w:div>
    <w:div w:id="1339621534">
      <w:bodyDiv w:val="1"/>
      <w:marLeft w:val="0"/>
      <w:marRight w:val="0"/>
      <w:marTop w:val="0"/>
      <w:marBottom w:val="0"/>
      <w:divBdr>
        <w:top w:val="none" w:sz="0" w:space="0" w:color="auto"/>
        <w:left w:val="none" w:sz="0" w:space="0" w:color="auto"/>
        <w:bottom w:val="none" w:sz="0" w:space="0" w:color="auto"/>
        <w:right w:val="none" w:sz="0" w:space="0" w:color="auto"/>
      </w:divBdr>
    </w:div>
    <w:div w:id="1353993768">
      <w:bodyDiv w:val="1"/>
      <w:marLeft w:val="0"/>
      <w:marRight w:val="0"/>
      <w:marTop w:val="0"/>
      <w:marBottom w:val="0"/>
      <w:divBdr>
        <w:top w:val="none" w:sz="0" w:space="0" w:color="auto"/>
        <w:left w:val="none" w:sz="0" w:space="0" w:color="auto"/>
        <w:bottom w:val="none" w:sz="0" w:space="0" w:color="auto"/>
        <w:right w:val="none" w:sz="0" w:space="0" w:color="auto"/>
      </w:divBdr>
    </w:div>
    <w:div w:id="1372150263">
      <w:bodyDiv w:val="1"/>
      <w:marLeft w:val="0"/>
      <w:marRight w:val="0"/>
      <w:marTop w:val="0"/>
      <w:marBottom w:val="0"/>
      <w:divBdr>
        <w:top w:val="none" w:sz="0" w:space="0" w:color="auto"/>
        <w:left w:val="none" w:sz="0" w:space="0" w:color="auto"/>
        <w:bottom w:val="none" w:sz="0" w:space="0" w:color="auto"/>
        <w:right w:val="none" w:sz="0" w:space="0" w:color="auto"/>
      </w:divBdr>
    </w:div>
    <w:div w:id="1372267013">
      <w:bodyDiv w:val="1"/>
      <w:marLeft w:val="0"/>
      <w:marRight w:val="0"/>
      <w:marTop w:val="0"/>
      <w:marBottom w:val="0"/>
      <w:divBdr>
        <w:top w:val="none" w:sz="0" w:space="0" w:color="auto"/>
        <w:left w:val="none" w:sz="0" w:space="0" w:color="auto"/>
        <w:bottom w:val="none" w:sz="0" w:space="0" w:color="auto"/>
        <w:right w:val="none" w:sz="0" w:space="0" w:color="auto"/>
      </w:divBdr>
    </w:div>
    <w:div w:id="1379862275">
      <w:bodyDiv w:val="1"/>
      <w:marLeft w:val="0"/>
      <w:marRight w:val="0"/>
      <w:marTop w:val="0"/>
      <w:marBottom w:val="0"/>
      <w:divBdr>
        <w:top w:val="none" w:sz="0" w:space="0" w:color="auto"/>
        <w:left w:val="none" w:sz="0" w:space="0" w:color="auto"/>
        <w:bottom w:val="none" w:sz="0" w:space="0" w:color="auto"/>
        <w:right w:val="none" w:sz="0" w:space="0" w:color="auto"/>
      </w:divBdr>
    </w:div>
    <w:div w:id="1380395661">
      <w:bodyDiv w:val="1"/>
      <w:marLeft w:val="0"/>
      <w:marRight w:val="0"/>
      <w:marTop w:val="0"/>
      <w:marBottom w:val="0"/>
      <w:divBdr>
        <w:top w:val="none" w:sz="0" w:space="0" w:color="auto"/>
        <w:left w:val="none" w:sz="0" w:space="0" w:color="auto"/>
        <w:bottom w:val="none" w:sz="0" w:space="0" w:color="auto"/>
        <w:right w:val="none" w:sz="0" w:space="0" w:color="auto"/>
      </w:divBdr>
    </w:div>
    <w:div w:id="1389374782">
      <w:bodyDiv w:val="1"/>
      <w:marLeft w:val="0"/>
      <w:marRight w:val="0"/>
      <w:marTop w:val="0"/>
      <w:marBottom w:val="0"/>
      <w:divBdr>
        <w:top w:val="none" w:sz="0" w:space="0" w:color="auto"/>
        <w:left w:val="none" w:sz="0" w:space="0" w:color="auto"/>
        <w:bottom w:val="none" w:sz="0" w:space="0" w:color="auto"/>
        <w:right w:val="none" w:sz="0" w:space="0" w:color="auto"/>
      </w:divBdr>
    </w:div>
    <w:div w:id="1405882877">
      <w:bodyDiv w:val="1"/>
      <w:marLeft w:val="0"/>
      <w:marRight w:val="0"/>
      <w:marTop w:val="0"/>
      <w:marBottom w:val="0"/>
      <w:divBdr>
        <w:top w:val="none" w:sz="0" w:space="0" w:color="auto"/>
        <w:left w:val="none" w:sz="0" w:space="0" w:color="auto"/>
        <w:bottom w:val="none" w:sz="0" w:space="0" w:color="auto"/>
        <w:right w:val="none" w:sz="0" w:space="0" w:color="auto"/>
      </w:divBdr>
    </w:div>
    <w:div w:id="1420639819">
      <w:bodyDiv w:val="1"/>
      <w:marLeft w:val="0"/>
      <w:marRight w:val="0"/>
      <w:marTop w:val="0"/>
      <w:marBottom w:val="0"/>
      <w:divBdr>
        <w:top w:val="none" w:sz="0" w:space="0" w:color="auto"/>
        <w:left w:val="none" w:sz="0" w:space="0" w:color="auto"/>
        <w:bottom w:val="none" w:sz="0" w:space="0" w:color="auto"/>
        <w:right w:val="none" w:sz="0" w:space="0" w:color="auto"/>
      </w:divBdr>
    </w:div>
    <w:div w:id="1425879976">
      <w:bodyDiv w:val="1"/>
      <w:marLeft w:val="0"/>
      <w:marRight w:val="0"/>
      <w:marTop w:val="0"/>
      <w:marBottom w:val="0"/>
      <w:divBdr>
        <w:top w:val="none" w:sz="0" w:space="0" w:color="auto"/>
        <w:left w:val="none" w:sz="0" w:space="0" w:color="auto"/>
        <w:bottom w:val="none" w:sz="0" w:space="0" w:color="auto"/>
        <w:right w:val="none" w:sz="0" w:space="0" w:color="auto"/>
      </w:divBdr>
    </w:div>
    <w:div w:id="1454708075">
      <w:bodyDiv w:val="1"/>
      <w:marLeft w:val="0"/>
      <w:marRight w:val="0"/>
      <w:marTop w:val="0"/>
      <w:marBottom w:val="0"/>
      <w:divBdr>
        <w:top w:val="none" w:sz="0" w:space="0" w:color="auto"/>
        <w:left w:val="none" w:sz="0" w:space="0" w:color="auto"/>
        <w:bottom w:val="none" w:sz="0" w:space="0" w:color="auto"/>
        <w:right w:val="none" w:sz="0" w:space="0" w:color="auto"/>
      </w:divBdr>
    </w:div>
    <w:div w:id="1501196371">
      <w:bodyDiv w:val="1"/>
      <w:marLeft w:val="0"/>
      <w:marRight w:val="0"/>
      <w:marTop w:val="0"/>
      <w:marBottom w:val="0"/>
      <w:divBdr>
        <w:top w:val="none" w:sz="0" w:space="0" w:color="auto"/>
        <w:left w:val="none" w:sz="0" w:space="0" w:color="auto"/>
        <w:bottom w:val="none" w:sz="0" w:space="0" w:color="auto"/>
        <w:right w:val="none" w:sz="0" w:space="0" w:color="auto"/>
      </w:divBdr>
    </w:div>
    <w:div w:id="1514223632">
      <w:bodyDiv w:val="1"/>
      <w:marLeft w:val="0"/>
      <w:marRight w:val="0"/>
      <w:marTop w:val="0"/>
      <w:marBottom w:val="0"/>
      <w:divBdr>
        <w:top w:val="none" w:sz="0" w:space="0" w:color="auto"/>
        <w:left w:val="none" w:sz="0" w:space="0" w:color="auto"/>
        <w:bottom w:val="none" w:sz="0" w:space="0" w:color="auto"/>
        <w:right w:val="none" w:sz="0" w:space="0" w:color="auto"/>
      </w:divBdr>
    </w:div>
    <w:div w:id="1593198501">
      <w:bodyDiv w:val="1"/>
      <w:marLeft w:val="0"/>
      <w:marRight w:val="0"/>
      <w:marTop w:val="0"/>
      <w:marBottom w:val="0"/>
      <w:divBdr>
        <w:top w:val="none" w:sz="0" w:space="0" w:color="auto"/>
        <w:left w:val="none" w:sz="0" w:space="0" w:color="auto"/>
        <w:bottom w:val="none" w:sz="0" w:space="0" w:color="auto"/>
        <w:right w:val="none" w:sz="0" w:space="0" w:color="auto"/>
      </w:divBdr>
    </w:div>
    <w:div w:id="1602832772">
      <w:bodyDiv w:val="1"/>
      <w:marLeft w:val="0"/>
      <w:marRight w:val="0"/>
      <w:marTop w:val="0"/>
      <w:marBottom w:val="0"/>
      <w:divBdr>
        <w:top w:val="none" w:sz="0" w:space="0" w:color="auto"/>
        <w:left w:val="none" w:sz="0" w:space="0" w:color="auto"/>
        <w:bottom w:val="none" w:sz="0" w:space="0" w:color="auto"/>
        <w:right w:val="none" w:sz="0" w:space="0" w:color="auto"/>
      </w:divBdr>
    </w:div>
    <w:div w:id="1603997531">
      <w:bodyDiv w:val="1"/>
      <w:marLeft w:val="0"/>
      <w:marRight w:val="0"/>
      <w:marTop w:val="0"/>
      <w:marBottom w:val="0"/>
      <w:divBdr>
        <w:top w:val="none" w:sz="0" w:space="0" w:color="auto"/>
        <w:left w:val="none" w:sz="0" w:space="0" w:color="auto"/>
        <w:bottom w:val="none" w:sz="0" w:space="0" w:color="auto"/>
        <w:right w:val="none" w:sz="0" w:space="0" w:color="auto"/>
      </w:divBdr>
    </w:div>
    <w:div w:id="1635913032">
      <w:bodyDiv w:val="1"/>
      <w:marLeft w:val="0"/>
      <w:marRight w:val="0"/>
      <w:marTop w:val="0"/>
      <w:marBottom w:val="0"/>
      <w:divBdr>
        <w:top w:val="none" w:sz="0" w:space="0" w:color="auto"/>
        <w:left w:val="none" w:sz="0" w:space="0" w:color="auto"/>
        <w:bottom w:val="none" w:sz="0" w:space="0" w:color="auto"/>
        <w:right w:val="none" w:sz="0" w:space="0" w:color="auto"/>
      </w:divBdr>
    </w:div>
    <w:div w:id="1638946291">
      <w:bodyDiv w:val="1"/>
      <w:marLeft w:val="0"/>
      <w:marRight w:val="0"/>
      <w:marTop w:val="0"/>
      <w:marBottom w:val="0"/>
      <w:divBdr>
        <w:top w:val="none" w:sz="0" w:space="0" w:color="auto"/>
        <w:left w:val="none" w:sz="0" w:space="0" w:color="auto"/>
        <w:bottom w:val="none" w:sz="0" w:space="0" w:color="auto"/>
        <w:right w:val="none" w:sz="0" w:space="0" w:color="auto"/>
      </w:divBdr>
    </w:div>
    <w:div w:id="1664309080">
      <w:bodyDiv w:val="1"/>
      <w:marLeft w:val="0"/>
      <w:marRight w:val="0"/>
      <w:marTop w:val="0"/>
      <w:marBottom w:val="0"/>
      <w:divBdr>
        <w:top w:val="none" w:sz="0" w:space="0" w:color="auto"/>
        <w:left w:val="none" w:sz="0" w:space="0" w:color="auto"/>
        <w:bottom w:val="none" w:sz="0" w:space="0" w:color="auto"/>
        <w:right w:val="none" w:sz="0" w:space="0" w:color="auto"/>
      </w:divBdr>
    </w:div>
    <w:div w:id="1664553126">
      <w:bodyDiv w:val="1"/>
      <w:marLeft w:val="0"/>
      <w:marRight w:val="0"/>
      <w:marTop w:val="0"/>
      <w:marBottom w:val="0"/>
      <w:divBdr>
        <w:top w:val="none" w:sz="0" w:space="0" w:color="auto"/>
        <w:left w:val="none" w:sz="0" w:space="0" w:color="auto"/>
        <w:bottom w:val="none" w:sz="0" w:space="0" w:color="auto"/>
        <w:right w:val="none" w:sz="0" w:space="0" w:color="auto"/>
      </w:divBdr>
    </w:div>
    <w:div w:id="1665159783">
      <w:bodyDiv w:val="1"/>
      <w:marLeft w:val="0"/>
      <w:marRight w:val="0"/>
      <w:marTop w:val="0"/>
      <w:marBottom w:val="0"/>
      <w:divBdr>
        <w:top w:val="none" w:sz="0" w:space="0" w:color="auto"/>
        <w:left w:val="none" w:sz="0" w:space="0" w:color="auto"/>
        <w:bottom w:val="none" w:sz="0" w:space="0" w:color="auto"/>
        <w:right w:val="none" w:sz="0" w:space="0" w:color="auto"/>
      </w:divBdr>
    </w:div>
    <w:div w:id="1667974051">
      <w:bodyDiv w:val="1"/>
      <w:marLeft w:val="0"/>
      <w:marRight w:val="0"/>
      <w:marTop w:val="0"/>
      <w:marBottom w:val="0"/>
      <w:divBdr>
        <w:top w:val="none" w:sz="0" w:space="0" w:color="auto"/>
        <w:left w:val="none" w:sz="0" w:space="0" w:color="auto"/>
        <w:bottom w:val="none" w:sz="0" w:space="0" w:color="auto"/>
        <w:right w:val="none" w:sz="0" w:space="0" w:color="auto"/>
      </w:divBdr>
    </w:div>
    <w:div w:id="1684163421">
      <w:bodyDiv w:val="1"/>
      <w:marLeft w:val="0"/>
      <w:marRight w:val="0"/>
      <w:marTop w:val="0"/>
      <w:marBottom w:val="0"/>
      <w:divBdr>
        <w:top w:val="none" w:sz="0" w:space="0" w:color="auto"/>
        <w:left w:val="none" w:sz="0" w:space="0" w:color="auto"/>
        <w:bottom w:val="none" w:sz="0" w:space="0" w:color="auto"/>
        <w:right w:val="none" w:sz="0" w:space="0" w:color="auto"/>
      </w:divBdr>
    </w:div>
    <w:div w:id="1726180463">
      <w:bodyDiv w:val="1"/>
      <w:marLeft w:val="0"/>
      <w:marRight w:val="0"/>
      <w:marTop w:val="0"/>
      <w:marBottom w:val="0"/>
      <w:divBdr>
        <w:top w:val="none" w:sz="0" w:space="0" w:color="auto"/>
        <w:left w:val="none" w:sz="0" w:space="0" w:color="auto"/>
        <w:bottom w:val="none" w:sz="0" w:space="0" w:color="auto"/>
        <w:right w:val="none" w:sz="0" w:space="0" w:color="auto"/>
      </w:divBdr>
    </w:div>
    <w:div w:id="1739816065">
      <w:bodyDiv w:val="1"/>
      <w:marLeft w:val="0"/>
      <w:marRight w:val="0"/>
      <w:marTop w:val="0"/>
      <w:marBottom w:val="0"/>
      <w:divBdr>
        <w:top w:val="none" w:sz="0" w:space="0" w:color="auto"/>
        <w:left w:val="none" w:sz="0" w:space="0" w:color="auto"/>
        <w:bottom w:val="none" w:sz="0" w:space="0" w:color="auto"/>
        <w:right w:val="none" w:sz="0" w:space="0" w:color="auto"/>
      </w:divBdr>
    </w:div>
    <w:div w:id="1748576491">
      <w:bodyDiv w:val="1"/>
      <w:marLeft w:val="0"/>
      <w:marRight w:val="0"/>
      <w:marTop w:val="0"/>
      <w:marBottom w:val="0"/>
      <w:divBdr>
        <w:top w:val="none" w:sz="0" w:space="0" w:color="auto"/>
        <w:left w:val="none" w:sz="0" w:space="0" w:color="auto"/>
        <w:bottom w:val="none" w:sz="0" w:space="0" w:color="auto"/>
        <w:right w:val="none" w:sz="0" w:space="0" w:color="auto"/>
      </w:divBdr>
    </w:div>
    <w:div w:id="1751853418">
      <w:bodyDiv w:val="1"/>
      <w:marLeft w:val="0"/>
      <w:marRight w:val="0"/>
      <w:marTop w:val="0"/>
      <w:marBottom w:val="0"/>
      <w:divBdr>
        <w:top w:val="none" w:sz="0" w:space="0" w:color="auto"/>
        <w:left w:val="none" w:sz="0" w:space="0" w:color="auto"/>
        <w:bottom w:val="none" w:sz="0" w:space="0" w:color="auto"/>
        <w:right w:val="none" w:sz="0" w:space="0" w:color="auto"/>
      </w:divBdr>
    </w:div>
    <w:div w:id="1760635289">
      <w:bodyDiv w:val="1"/>
      <w:marLeft w:val="0"/>
      <w:marRight w:val="0"/>
      <w:marTop w:val="0"/>
      <w:marBottom w:val="0"/>
      <w:divBdr>
        <w:top w:val="none" w:sz="0" w:space="0" w:color="auto"/>
        <w:left w:val="none" w:sz="0" w:space="0" w:color="auto"/>
        <w:bottom w:val="none" w:sz="0" w:space="0" w:color="auto"/>
        <w:right w:val="none" w:sz="0" w:space="0" w:color="auto"/>
      </w:divBdr>
    </w:div>
    <w:div w:id="1783843956">
      <w:bodyDiv w:val="1"/>
      <w:marLeft w:val="0"/>
      <w:marRight w:val="0"/>
      <w:marTop w:val="0"/>
      <w:marBottom w:val="0"/>
      <w:divBdr>
        <w:top w:val="none" w:sz="0" w:space="0" w:color="auto"/>
        <w:left w:val="none" w:sz="0" w:space="0" w:color="auto"/>
        <w:bottom w:val="none" w:sz="0" w:space="0" w:color="auto"/>
        <w:right w:val="none" w:sz="0" w:space="0" w:color="auto"/>
      </w:divBdr>
    </w:div>
    <w:div w:id="1843087944">
      <w:bodyDiv w:val="1"/>
      <w:marLeft w:val="0"/>
      <w:marRight w:val="0"/>
      <w:marTop w:val="0"/>
      <w:marBottom w:val="0"/>
      <w:divBdr>
        <w:top w:val="none" w:sz="0" w:space="0" w:color="auto"/>
        <w:left w:val="none" w:sz="0" w:space="0" w:color="auto"/>
        <w:bottom w:val="none" w:sz="0" w:space="0" w:color="auto"/>
        <w:right w:val="none" w:sz="0" w:space="0" w:color="auto"/>
      </w:divBdr>
    </w:div>
    <w:div w:id="1849101727">
      <w:bodyDiv w:val="1"/>
      <w:marLeft w:val="0"/>
      <w:marRight w:val="0"/>
      <w:marTop w:val="0"/>
      <w:marBottom w:val="0"/>
      <w:divBdr>
        <w:top w:val="none" w:sz="0" w:space="0" w:color="auto"/>
        <w:left w:val="none" w:sz="0" w:space="0" w:color="auto"/>
        <w:bottom w:val="none" w:sz="0" w:space="0" w:color="auto"/>
        <w:right w:val="none" w:sz="0" w:space="0" w:color="auto"/>
      </w:divBdr>
    </w:div>
    <w:div w:id="1854806505">
      <w:bodyDiv w:val="1"/>
      <w:marLeft w:val="0"/>
      <w:marRight w:val="0"/>
      <w:marTop w:val="0"/>
      <w:marBottom w:val="0"/>
      <w:divBdr>
        <w:top w:val="none" w:sz="0" w:space="0" w:color="auto"/>
        <w:left w:val="none" w:sz="0" w:space="0" w:color="auto"/>
        <w:bottom w:val="none" w:sz="0" w:space="0" w:color="auto"/>
        <w:right w:val="none" w:sz="0" w:space="0" w:color="auto"/>
      </w:divBdr>
    </w:div>
    <w:div w:id="1862669747">
      <w:bodyDiv w:val="1"/>
      <w:marLeft w:val="0"/>
      <w:marRight w:val="0"/>
      <w:marTop w:val="0"/>
      <w:marBottom w:val="0"/>
      <w:divBdr>
        <w:top w:val="none" w:sz="0" w:space="0" w:color="auto"/>
        <w:left w:val="none" w:sz="0" w:space="0" w:color="auto"/>
        <w:bottom w:val="none" w:sz="0" w:space="0" w:color="auto"/>
        <w:right w:val="none" w:sz="0" w:space="0" w:color="auto"/>
      </w:divBdr>
    </w:div>
    <w:div w:id="1866013932">
      <w:bodyDiv w:val="1"/>
      <w:marLeft w:val="0"/>
      <w:marRight w:val="0"/>
      <w:marTop w:val="0"/>
      <w:marBottom w:val="0"/>
      <w:divBdr>
        <w:top w:val="none" w:sz="0" w:space="0" w:color="auto"/>
        <w:left w:val="none" w:sz="0" w:space="0" w:color="auto"/>
        <w:bottom w:val="none" w:sz="0" w:space="0" w:color="auto"/>
        <w:right w:val="none" w:sz="0" w:space="0" w:color="auto"/>
      </w:divBdr>
    </w:div>
    <w:div w:id="1866743877">
      <w:bodyDiv w:val="1"/>
      <w:marLeft w:val="0"/>
      <w:marRight w:val="0"/>
      <w:marTop w:val="0"/>
      <w:marBottom w:val="0"/>
      <w:divBdr>
        <w:top w:val="none" w:sz="0" w:space="0" w:color="auto"/>
        <w:left w:val="none" w:sz="0" w:space="0" w:color="auto"/>
        <w:bottom w:val="none" w:sz="0" w:space="0" w:color="auto"/>
        <w:right w:val="none" w:sz="0" w:space="0" w:color="auto"/>
      </w:divBdr>
    </w:div>
    <w:div w:id="1868835848">
      <w:bodyDiv w:val="1"/>
      <w:marLeft w:val="0"/>
      <w:marRight w:val="0"/>
      <w:marTop w:val="0"/>
      <w:marBottom w:val="0"/>
      <w:divBdr>
        <w:top w:val="none" w:sz="0" w:space="0" w:color="auto"/>
        <w:left w:val="none" w:sz="0" w:space="0" w:color="auto"/>
        <w:bottom w:val="none" w:sz="0" w:space="0" w:color="auto"/>
        <w:right w:val="none" w:sz="0" w:space="0" w:color="auto"/>
      </w:divBdr>
    </w:div>
    <w:div w:id="1897664118">
      <w:bodyDiv w:val="1"/>
      <w:marLeft w:val="0"/>
      <w:marRight w:val="0"/>
      <w:marTop w:val="0"/>
      <w:marBottom w:val="0"/>
      <w:divBdr>
        <w:top w:val="none" w:sz="0" w:space="0" w:color="auto"/>
        <w:left w:val="none" w:sz="0" w:space="0" w:color="auto"/>
        <w:bottom w:val="none" w:sz="0" w:space="0" w:color="auto"/>
        <w:right w:val="none" w:sz="0" w:space="0" w:color="auto"/>
      </w:divBdr>
    </w:div>
    <w:div w:id="1898740117">
      <w:bodyDiv w:val="1"/>
      <w:marLeft w:val="0"/>
      <w:marRight w:val="0"/>
      <w:marTop w:val="0"/>
      <w:marBottom w:val="0"/>
      <w:divBdr>
        <w:top w:val="none" w:sz="0" w:space="0" w:color="auto"/>
        <w:left w:val="none" w:sz="0" w:space="0" w:color="auto"/>
        <w:bottom w:val="none" w:sz="0" w:space="0" w:color="auto"/>
        <w:right w:val="none" w:sz="0" w:space="0" w:color="auto"/>
      </w:divBdr>
    </w:div>
    <w:div w:id="1902981275">
      <w:bodyDiv w:val="1"/>
      <w:marLeft w:val="0"/>
      <w:marRight w:val="0"/>
      <w:marTop w:val="0"/>
      <w:marBottom w:val="0"/>
      <w:divBdr>
        <w:top w:val="none" w:sz="0" w:space="0" w:color="auto"/>
        <w:left w:val="none" w:sz="0" w:space="0" w:color="auto"/>
        <w:bottom w:val="none" w:sz="0" w:space="0" w:color="auto"/>
        <w:right w:val="none" w:sz="0" w:space="0" w:color="auto"/>
      </w:divBdr>
    </w:div>
    <w:div w:id="1904753363">
      <w:bodyDiv w:val="1"/>
      <w:marLeft w:val="0"/>
      <w:marRight w:val="0"/>
      <w:marTop w:val="0"/>
      <w:marBottom w:val="0"/>
      <w:divBdr>
        <w:top w:val="none" w:sz="0" w:space="0" w:color="auto"/>
        <w:left w:val="none" w:sz="0" w:space="0" w:color="auto"/>
        <w:bottom w:val="none" w:sz="0" w:space="0" w:color="auto"/>
        <w:right w:val="none" w:sz="0" w:space="0" w:color="auto"/>
      </w:divBdr>
    </w:div>
    <w:div w:id="1962686547">
      <w:bodyDiv w:val="1"/>
      <w:marLeft w:val="0"/>
      <w:marRight w:val="0"/>
      <w:marTop w:val="0"/>
      <w:marBottom w:val="0"/>
      <w:divBdr>
        <w:top w:val="none" w:sz="0" w:space="0" w:color="auto"/>
        <w:left w:val="none" w:sz="0" w:space="0" w:color="auto"/>
        <w:bottom w:val="none" w:sz="0" w:space="0" w:color="auto"/>
        <w:right w:val="none" w:sz="0" w:space="0" w:color="auto"/>
      </w:divBdr>
    </w:div>
    <w:div w:id="1964725202">
      <w:bodyDiv w:val="1"/>
      <w:marLeft w:val="0"/>
      <w:marRight w:val="0"/>
      <w:marTop w:val="0"/>
      <w:marBottom w:val="0"/>
      <w:divBdr>
        <w:top w:val="none" w:sz="0" w:space="0" w:color="auto"/>
        <w:left w:val="none" w:sz="0" w:space="0" w:color="auto"/>
        <w:bottom w:val="none" w:sz="0" w:space="0" w:color="auto"/>
        <w:right w:val="none" w:sz="0" w:space="0" w:color="auto"/>
      </w:divBdr>
    </w:div>
    <w:div w:id="1966499746">
      <w:bodyDiv w:val="1"/>
      <w:marLeft w:val="0"/>
      <w:marRight w:val="0"/>
      <w:marTop w:val="0"/>
      <w:marBottom w:val="0"/>
      <w:divBdr>
        <w:top w:val="none" w:sz="0" w:space="0" w:color="auto"/>
        <w:left w:val="none" w:sz="0" w:space="0" w:color="auto"/>
        <w:bottom w:val="none" w:sz="0" w:space="0" w:color="auto"/>
        <w:right w:val="none" w:sz="0" w:space="0" w:color="auto"/>
      </w:divBdr>
    </w:div>
    <w:div w:id="1973246082">
      <w:bodyDiv w:val="1"/>
      <w:marLeft w:val="0"/>
      <w:marRight w:val="0"/>
      <w:marTop w:val="0"/>
      <w:marBottom w:val="0"/>
      <w:divBdr>
        <w:top w:val="none" w:sz="0" w:space="0" w:color="auto"/>
        <w:left w:val="none" w:sz="0" w:space="0" w:color="auto"/>
        <w:bottom w:val="none" w:sz="0" w:space="0" w:color="auto"/>
        <w:right w:val="none" w:sz="0" w:space="0" w:color="auto"/>
      </w:divBdr>
    </w:div>
    <w:div w:id="2008826771">
      <w:bodyDiv w:val="1"/>
      <w:marLeft w:val="0"/>
      <w:marRight w:val="0"/>
      <w:marTop w:val="0"/>
      <w:marBottom w:val="0"/>
      <w:divBdr>
        <w:top w:val="none" w:sz="0" w:space="0" w:color="auto"/>
        <w:left w:val="none" w:sz="0" w:space="0" w:color="auto"/>
        <w:bottom w:val="none" w:sz="0" w:space="0" w:color="auto"/>
        <w:right w:val="none" w:sz="0" w:space="0" w:color="auto"/>
      </w:divBdr>
    </w:div>
    <w:div w:id="2038004000">
      <w:bodyDiv w:val="1"/>
      <w:marLeft w:val="0"/>
      <w:marRight w:val="0"/>
      <w:marTop w:val="0"/>
      <w:marBottom w:val="0"/>
      <w:divBdr>
        <w:top w:val="none" w:sz="0" w:space="0" w:color="auto"/>
        <w:left w:val="none" w:sz="0" w:space="0" w:color="auto"/>
        <w:bottom w:val="none" w:sz="0" w:space="0" w:color="auto"/>
        <w:right w:val="none" w:sz="0" w:space="0" w:color="auto"/>
      </w:divBdr>
    </w:div>
    <w:div w:id="2038114274">
      <w:bodyDiv w:val="1"/>
      <w:marLeft w:val="0"/>
      <w:marRight w:val="0"/>
      <w:marTop w:val="0"/>
      <w:marBottom w:val="0"/>
      <w:divBdr>
        <w:top w:val="none" w:sz="0" w:space="0" w:color="auto"/>
        <w:left w:val="none" w:sz="0" w:space="0" w:color="auto"/>
        <w:bottom w:val="none" w:sz="0" w:space="0" w:color="auto"/>
        <w:right w:val="none" w:sz="0" w:space="0" w:color="auto"/>
      </w:divBdr>
    </w:div>
    <w:div w:id="2039701834">
      <w:bodyDiv w:val="1"/>
      <w:marLeft w:val="0"/>
      <w:marRight w:val="0"/>
      <w:marTop w:val="0"/>
      <w:marBottom w:val="0"/>
      <w:divBdr>
        <w:top w:val="none" w:sz="0" w:space="0" w:color="auto"/>
        <w:left w:val="none" w:sz="0" w:space="0" w:color="auto"/>
        <w:bottom w:val="none" w:sz="0" w:space="0" w:color="auto"/>
        <w:right w:val="none" w:sz="0" w:space="0" w:color="auto"/>
      </w:divBdr>
    </w:div>
    <w:div w:id="2040349093">
      <w:bodyDiv w:val="1"/>
      <w:marLeft w:val="0"/>
      <w:marRight w:val="0"/>
      <w:marTop w:val="0"/>
      <w:marBottom w:val="0"/>
      <w:divBdr>
        <w:top w:val="none" w:sz="0" w:space="0" w:color="auto"/>
        <w:left w:val="none" w:sz="0" w:space="0" w:color="auto"/>
        <w:bottom w:val="none" w:sz="0" w:space="0" w:color="auto"/>
        <w:right w:val="none" w:sz="0" w:space="0" w:color="auto"/>
      </w:divBdr>
    </w:div>
    <w:div w:id="2042238275">
      <w:bodyDiv w:val="1"/>
      <w:marLeft w:val="0"/>
      <w:marRight w:val="0"/>
      <w:marTop w:val="0"/>
      <w:marBottom w:val="0"/>
      <w:divBdr>
        <w:top w:val="none" w:sz="0" w:space="0" w:color="auto"/>
        <w:left w:val="none" w:sz="0" w:space="0" w:color="auto"/>
        <w:bottom w:val="none" w:sz="0" w:space="0" w:color="auto"/>
        <w:right w:val="none" w:sz="0" w:space="0" w:color="auto"/>
      </w:divBdr>
    </w:div>
    <w:div w:id="2052610413">
      <w:bodyDiv w:val="1"/>
      <w:marLeft w:val="0"/>
      <w:marRight w:val="0"/>
      <w:marTop w:val="0"/>
      <w:marBottom w:val="0"/>
      <w:divBdr>
        <w:top w:val="none" w:sz="0" w:space="0" w:color="auto"/>
        <w:left w:val="none" w:sz="0" w:space="0" w:color="auto"/>
        <w:bottom w:val="none" w:sz="0" w:space="0" w:color="auto"/>
        <w:right w:val="none" w:sz="0" w:space="0" w:color="auto"/>
      </w:divBdr>
    </w:div>
    <w:div w:id="2089034834">
      <w:bodyDiv w:val="1"/>
      <w:marLeft w:val="0"/>
      <w:marRight w:val="0"/>
      <w:marTop w:val="0"/>
      <w:marBottom w:val="0"/>
      <w:divBdr>
        <w:top w:val="none" w:sz="0" w:space="0" w:color="auto"/>
        <w:left w:val="none" w:sz="0" w:space="0" w:color="auto"/>
        <w:bottom w:val="none" w:sz="0" w:space="0" w:color="auto"/>
        <w:right w:val="none" w:sz="0" w:space="0" w:color="auto"/>
      </w:divBdr>
    </w:div>
    <w:div w:id="2092045798">
      <w:bodyDiv w:val="1"/>
      <w:marLeft w:val="0"/>
      <w:marRight w:val="0"/>
      <w:marTop w:val="0"/>
      <w:marBottom w:val="0"/>
      <w:divBdr>
        <w:top w:val="none" w:sz="0" w:space="0" w:color="auto"/>
        <w:left w:val="none" w:sz="0" w:space="0" w:color="auto"/>
        <w:bottom w:val="none" w:sz="0" w:space="0" w:color="auto"/>
        <w:right w:val="none" w:sz="0" w:space="0" w:color="auto"/>
      </w:divBdr>
    </w:div>
    <w:div w:id="2095199479">
      <w:bodyDiv w:val="1"/>
      <w:marLeft w:val="0"/>
      <w:marRight w:val="0"/>
      <w:marTop w:val="0"/>
      <w:marBottom w:val="0"/>
      <w:divBdr>
        <w:top w:val="none" w:sz="0" w:space="0" w:color="auto"/>
        <w:left w:val="none" w:sz="0" w:space="0" w:color="auto"/>
        <w:bottom w:val="none" w:sz="0" w:space="0" w:color="auto"/>
        <w:right w:val="none" w:sz="0" w:space="0" w:color="auto"/>
      </w:divBdr>
    </w:div>
    <w:div w:id="2115974705">
      <w:bodyDiv w:val="1"/>
      <w:marLeft w:val="0"/>
      <w:marRight w:val="0"/>
      <w:marTop w:val="0"/>
      <w:marBottom w:val="0"/>
      <w:divBdr>
        <w:top w:val="none" w:sz="0" w:space="0" w:color="auto"/>
        <w:left w:val="none" w:sz="0" w:space="0" w:color="auto"/>
        <w:bottom w:val="none" w:sz="0" w:space="0" w:color="auto"/>
        <w:right w:val="none" w:sz="0" w:space="0" w:color="auto"/>
      </w:divBdr>
    </w:div>
    <w:div w:id="2121416600">
      <w:bodyDiv w:val="1"/>
      <w:marLeft w:val="0"/>
      <w:marRight w:val="0"/>
      <w:marTop w:val="0"/>
      <w:marBottom w:val="0"/>
      <w:divBdr>
        <w:top w:val="none" w:sz="0" w:space="0" w:color="auto"/>
        <w:left w:val="none" w:sz="0" w:space="0" w:color="auto"/>
        <w:bottom w:val="none" w:sz="0" w:space="0" w:color="auto"/>
        <w:right w:val="none" w:sz="0" w:space="0" w:color="auto"/>
      </w:divBdr>
    </w:div>
    <w:div w:id="21231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mahdi@med.helwan.edu.eg" TargetMode="External"/><Relationship Id="rId13" Type="http://schemas.openxmlformats.org/officeDocument/2006/relationships/footer" Target="footer1.xml"/><Relationship Id="rId18" Type="http://schemas.openxmlformats.org/officeDocument/2006/relationships/image" Target="media/image5.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ncbi.nlm.nih.gov/pubmed/?term=Cao%20X%5BAuthor%5D&amp;cauthor=true&amp;cauthor_uid=262778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00420.0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ancerbio.net" TargetMode="External"/><Relationship Id="rId19" Type="http://schemas.openxmlformats.org/officeDocument/2006/relationships/hyperlink" Target="https://www.ncbi.nlm.nih.gov/pubmed/?term=Zhang%20Y%5BAuthor%5D&amp;cauthor=true&amp;cauthor_uid=26277893" TargetMode="External"/><Relationship Id="rId4" Type="http://schemas.openxmlformats.org/officeDocument/2006/relationships/settings" Target="settings.xml"/><Relationship Id="rId9" Type="http://schemas.openxmlformats.org/officeDocument/2006/relationships/hyperlink" Target="mailto:lailamahdi15@yahoo.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BBA3-A675-4606-BA16-336E936B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20401</Words>
  <Characters>116292</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2020-10-27T06:53:00Z</cp:lastPrinted>
  <dcterms:created xsi:type="dcterms:W3CDTF">2020-11-23T09:25:00Z</dcterms:created>
  <dcterms:modified xsi:type="dcterms:W3CDTF">2020-11-24T00:41:00Z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03384cbf-7699-3b99-a1cd-b67be065af04</vt:lpwstr>
  </property>
  <property fmtid="{D5CDD505-2E9C-101B-9397-08002B2CF9AE}" pid="24" name="Mendeley Citation Style_1">
    <vt:lpwstr>http://www.zotero.org/styles/harvard-cite-them-right</vt:lpwstr>
  </property>
</Properties>
</file>