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89" w:rsidRPr="0047313D" w:rsidRDefault="00475B8B" w:rsidP="005716EE">
      <w:pPr>
        <w:bidi w:val="0"/>
        <w:snapToGrid w:val="0"/>
        <w:spacing w:after="0" w:line="240" w:lineRule="auto"/>
        <w:jc w:val="center"/>
        <w:rPr>
          <w:rFonts w:ascii="Times New Roman" w:hAnsi="Times New Roman" w:cs="Times New Roman"/>
          <w:b/>
          <w:bCs/>
          <w:sz w:val="20"/>
          <w:szCs w:val="20"/>
        </w:rPr>
      </w:pPr>
      <w:r w:rsidRPr="0047313D">
        <w:rPr>
          <w:rFonts w:ascii="Times New Roman" w:hAnsi="Times New Roman" w:cs="Times New Roman"/>
          <w:b/>
          <w:bCs/>
          <w:sz w:val="20"/>
          <w:szCs w:val="20"/>
        </w:rPr>
        <w:t>Surgical management of hepatocellular carcinoma (laparoscopic vs. open techniques)</w:t>
      </w:r>
    </w:p>
    <w:p w:rsidR="009F7A89" w:rsidRPr="0047313D" w:rsidRDefault="009F7A89" w:rsidP="005716EE">
      <w:pPr>
        <w:bidi w:val="0"/>
        <w:snapToGrid w:val="0"/>
        <w:spacing w:after="0" w:line="240" w:lineRule="auto"/>
        <w:jc w:val="center"/>
        <w:rPr>
          <w:rFonts w:ascii="Times New Roman" w:hAnsi="Times New Roman" w:cs="Times New Roman"/>
          <w:b/>
          <w:bCs/>
          <w:sz w:val="20"/>
          <w:szCs w:val="20"/>
        </w:rPr>
      </w:pPr>
    </w:p>
    <w:p w:rsidR="009F7A89" w:rsidRPr="0047313D" w:rsidRDefault="00475B8B" w:rsidP="005716EE">
      <w:pPr>
        <w:bidi w:val="0"/>
        <w:snapToGrid w:val="0"/>
        <w:spacing w:after="0" w:line="240" w:lineRule="auto"/>
        <w:jc w:val="center"/>
        <w:rPr>
          <w:rFonts w:ascii="Times New Roman" w:hAnsi="Times New Roman" w:cs="Times New Roman"/>
          <w:sz w:val="20"/>
          <w:szCs w:val="20"/>
          <w:lang w:eastAsia="zh-CN" w:bidi="ar-EG"/>
        </w:rPr>
      </w:pPr>
      <w:r w:rsidRPr="0047313D">
        <w:rPr>
          <w:rFonts w:ascii="Times New Roman" w:hAnsi="Times New Roman" w:cs="Times New Roman"/>
          <w:sz w:val="20"/>
          <w:szCs w:val="20"/>
          <w:lang w:bidi="ar-EG"/>
        </w:rPr>
        <w:t>Prof</w:t>
      </w:r>
      <w:r w:rsidR="0047313D">
        <w:rPr>
          <w:rFonts w:ascii="Times New Roman" w:hAnsi="Times New Roman" w:cs="Times New Roman" w:hint="eastAsia"/>
          <w:sz w:val="20"/>
          <w:szCs w:val="20"/>
          <w:lang w:eastAsia="zh-CN" w:bidi="ar-EG"/>
        </w:rPr>
        <w:t>,</w:t>
      </w:r>
      <w:r w:rsidRPr="0047313D">
        <w:rPr>
          <w:rFonts w:ascii="Times New Roman" w:hAnsi="Times New Roman" w:cs="Times New Roman"/>
          <w:sz w:val="20"/>
          <w:szCs w:val="20"/>
          <w:lang w:bidi="ar-EG"/>
        </w:rPr>
        <w:t xml:space="preserve"> Dr. Amr Abdelnasser, </w:t>
      </w:r>
      <w:r w:rsidR="0047313D">
        <w:rPr>
          <w:rFonts w:ascii="Times New Roman" w:hAnsi="Times New Roman" w:cs="Times New Roman" w:hint="eastAsia"/>
          <w:sz w:val="20"/>
          <w:szCs w:val="20"/>
          <w:lang w:eastAsia="zh-CN" w:bidi="ar-EG"/>
        </w:rPr>
        <w:t>D</w:t>
      </w:r>
      <w:r w:rsidRPr="0047313D">
        <w:rPr>
          <w:rFonts w:ascii="Times New Roman" w:hAnsi="Times New Roman" w:cs="Times New Roman"/>
          <w:sz w:val="20"/>
          <w:szCs w:val="20"/>
          <w:lang w:bidi="ar-EG"/>
        </w:rPr>
        <w:t>r Mohamed Abol Naga, Mohamed Salah Ali</w:t>
      </w:r>
    </w:p>
    <w:p w:rsidR="009F7A89" w:rsidRPr="0047313D" w:rsidRDefault="009F7A89" w:rsidP="005716EE">
      <w:pPr>
        <w:bidi w:val="0"/>
        <w:snapToGrid w:val="0"/>
        <w:spacing w:after="0" w:line="240" w:lineRule="auto"/>
        <w:jc w:val="center"/>
        <w:rPr>
          <w:rFonts w:ascii="Times New Roman" w:hAnsi="Times New Roman" w:cs="Times New Roman"/>
          <w:sz w:val="20"/>
          <w:szCs w:val="20"/>
          <w:lang w:eastAsia="zh-CN" w:bidi="ar-EG"/>
        </w:rPr>
      </w:pPr>
    </w:p>
    <w:p w:rsidR="00475B8B" w:rsidRPr="0047313D" w:rsidRDefault="00475B8B" w:rsidP="005716EE">
      <w:pPr>
        <w:bidi w:val="0"/>
        <w:snapToGrid w:val="0"/>
        <w:spacing w:after="0" w:line="240" w:lineRule="auto"/>
        <w:jc w:val="center"/>
        <w:rPr>
          <w:rFonts w:ascii="Times New Roman" w:hAnsi="Times New Roman" w:cs="Times New Roman"/>
          <w:sz w:val="20"/>
          <w:szCs w:val="20"/>
          <w:lang w:bidi="ar-EG"/>
        </w:rPr>
      </w:pPr>
      <w:r w:rsidRPr="0047313D">
        <w:rPr>
          <w:rFonts w:ascii="Times New Roman" w:hAnsi="Times New Roman" w:cs="Times New Roman"/>
          <w:sz w:val="20"/>
          <w:szCs w:val="20"/>
          <w:lang w:bidi="ar-EG"/>
        </w:rPr>
        <w:t>Department of General Surgery, Faculty of Medicine, Ain Shams University, Cairo, Egypt</w:t>
      </w:r>
    </w:p>
    <w:p w:rsidR="009F7A89" w:rsidRPr="0047313D" w:rsidRDefault="000A19A2" w:rsidP="005716EE">
      <w:pPr>
        <w:bidi w:val="0"/>
        <w:snapToGrid w:val="0"/>
        <w:spacing w:after="0" w:line="240" w:lineRule="auto"/>
        <w:jc w:val="center"/>
        <w:rPr>
          <w:rFonts w:ascii="Times New Roman" w:hAnsi="Times New Roman" w:cs="Times New Roman"/>
          <w:sz w:val="20"/>
          <w:szCs w:val="20"/>
          <w:lang w:bidi="ar-EG"/>
        </w:rPr>
      </w:pPr>
      <w:hyperlink r:id="rId8" w:history="1">
        <w:r w:rsidR="006A6AB1" w:rsidRPr="0047313D">
          <w:rPr>
            <w:rStyle w:val="Hyperlink"/>
            <w:rFonts w:ascii="Times New Roman" w:hAnsi="Times New Roman" w:cs="Times New Roman"/>
            <w:sz w:val="20"/>
            <w:szCs w:val="20"/>
            <w:lang w:bidi="ar-EG"/>
          </w:rPr>
          <w:t>taweelah_eg@hotmail.com</w:t>
        </w:r>
      </w:hyperlink>
      <w:r w:rsidR="00F32358" w:rsidRPr="0047313D">
        <w:rPr>
          <w:rFonts w:ascii="Times New Roman" w:hAnsi="Times New Roman" w:cs="Times New Roman"/>
          <w:sz w:val="20"/>
          <w:szCs w:val="20"/>
          <w:lang w:bidi="ar-EG"/>
        </w:rPr>
        <w:t xml:space="preserve"> </w:t>
      </w:r>
    </w:p>
    <w:p w:rsidR="009F7A89" w:rsidRPr="0047313D" w:rsidRDefault="009F7A89" w:rsidP="005716EE">
      <w:pPr>
        <w:bidi w:val="0"/>
        <w:snapToGrid w:val="0"/>
        <w:spacing w:after="0" w:line="240" w:lineRule="auto"/>
        <w:jc w:val="center"/>
        <w:rPr>
          <w:rFonts w:ascii="Times New Roman" w:hAnsi="Times New Roman" w:cs="Times New Roman"/>
          <w:sz w:val="20"/>
          <w:szCs w:val="20"/>
          <w:lang w:bidi="ar-EG"/>
        </w:rPr>
      </w:pPr>
    </w:p>
    <w:p w:rsidR="00924925" w:rsidRPr="0047313D" w:rsidRDefault="00F32358" w:rsidP="005716EE">
      <w:pPr>
        <w:bidi w:val="0"/>
        <w:snapToGrid w:val="0"/>
        <w:spacing w:after="0" w:line="240" w:lineRule="auto"/>
        <w:jc w:val="both"/>
        <w:rPr>
          <w:rFonts w:ascii="Times New Roman" w:hAnsi="Times New Roman" w:cs="Times New Roman"/>
          <w:sz w:val="20"/>
          <w:szCs w:val="20"/>
          <w:lang w:eastAsia="zh-CN" w:bidi="ar-EG"/>
        </w:rPr>
      </w:pPr>
      <w:r w:rsidRPr="0047313D">
        <w:rPr>
          <w:rFonts w:ascii="Times New Roman" w:eastAsia="Times New Roman" w:hAnsi="Times New Roman" w:cs="Times New Roman"/>
          <w:b/>
          <w:bCs/>
          <w:sz w:val="20"/>
          <w:szCs w:val="20"/>
          <w:lang w:bidi="en-US"/>
        </w:rPr>
        <w:t xml:space="preserve">Abstract: </w:t>
      </w:r>
      <w:r w:rsidRPr="0047313D">
        <w:rPr>
          <w:rFonts w:ascii="Times New Roman" w:eastAsia="Times New Roman" w:hAnsi="Times New Roman" w:cs="Times New Roman"/>
          <w:sz w:val="20"/>
          <w:szCs w:val="20"/>
          <w:lang w:bidi="en-US"/>
        </w:rPr>
        <w:t>Laparoscopic approach in management of HCC has been progressively developed along the past two decades. Liver surgery was one of the last frontiers reached by minimally invasive surgery. Surgical technique and equipment evolved to overcome technical limitations, making laparoscopic liver resections (LLR) safe and feasible. Surgeons developed skills in a stepwise approach, beginning with low complexity operations for benign diseases and reaching high-complexity surgeries for malignant cases and living donor organ harvesting</w:t>
      </w:r>
      <w:r w:rsidR="00924925" w:rsidRPr="0047313D">
        <w:rPr>
          <w:rFonts w:ascii="Times New Roman" w:hAnsi="Times New Roman" w:cs="Times New Roman" w:hint="eastAsia"/>
          <w:sz w:val="20"/>
          <w:szCs w:val="20"/>
          <w:lang w:eastAsia="zh-CN" w:bidi="en-US"/>
        </w:rPr>
        <w:t>.</w:t>
      </w:r>
      <w:r w:rsidRPr="0047313D">
        <w:rPr>
          <w:rFonts w:ascii="Times New Roman" w:eastAsia="Times New Roman" w:hAnsi="Times New Roman" w:cs="Times New Roman"/>
          <w:sz w:val="20"/>
          <w:szCs w:val="20"/>
          <w:lang w:bidi="en-US"/>
        </w:rPr>
        <w:t xml:space="preserve"> In this study, a comparison between laparoscopic approach and open approach was done to compare short-term results. This study was conducted on 100 patients with hepatocellular carcinoma. 50 patients (50%) were treated by laparoscopic approach (Group A) while the other 50 patients (50%) were treated by open approach (Group B).</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All cases were classified to be CHILD grade A with median MELD score in laparoscopic group was 8.96±1.72 ranging from 6 to 14 while in open group the mean MELD sore was 8.2±1.42 ranging from 6 to 11.</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The difference was statistically not significant (P&lt;0.254)</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The mean operative time in open group was 158.15±35.9 minutes, while the laparoscopic group mean time was 130.4±38.1 minutes with statistically significant difference between the 2 groups (P&lt;0.001) with decreased operative time in the laparoscopic group. The mean blood loss in open group was 390±193.7</w:t>
      </w:r>
      <w:r w:rsidR="00FF0697"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ml while the laparoscopic group mean blood loss was 386 ±371.1ml with no statistically significant difference relations between the 2 groups (P= 0.671), with conversion rate of (10%) happened in 5 cases.</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The mean hospital stay in open group was 5.9±</w:t>
      </w:r>
      <w:r w:rsidR="00121507" w:rsidRPr="0047313D">
        <w:rPr>
          <w:rFonts w:ascii="Times New Roman" w:hAnsi="Times New Roman" w:cs="Times New Roman" w:hint="eastAsia"/>
          <w:sz w:val="20"/>
          <w:szCs w:val="20"/>
          <w:lang w:eastAsia="zh-CN" w:bidi="en-US"/>
        </w:rPr>
        <w:t>0</w:t>
      </w:r>
      <w:r w:rsidRPr="0047313D">
        <w:rPr>
          <w:rFonts w:ascii="Times New Roman" w:eastAsia="Times New Roman" w:hAnsi="Times New Roman" w:cs="Times New Roman"/>
          <w:sz w:val="20"/>
          <w:szCs w:val="20"/>
          <w:lang w:bidi="en-US"/>
        </w:rPr>
        <w:t>.88 days ranging from 3-7 days, while the laparoscopic group was 3.74±.85 days ranging from 2-5 days with highly statistically positive correlation difference between 2 groups (P&lt; 0.001). Also the drain was removed in the laparoscopic group earlier showing highly statistical difference between two groups (P&lt; 0.001).</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The most frequent complication was postoperative ascites and which was seen in 35 (70%) cases in the open group and in 23 (46%) cases in laparoscopic group with highly significant difference between both groups with much more lower incidence in laparoscopic group (P&lt;0.004). There was a case of histologically proved port site metastasis in laparoscopic group at the right subcostal port where the specimen is extracted with percentage of (2%) (P=1.00).</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Hepatocellular carcinoma was found in all patients in both groups. There were 42 patients moderate differentiation (84%) in laparoscopic group, with mean resection margin of 8.1±2.2 mm while moderately-differentiated in 41 (82%) patients (82%) in open group with mean resection margin 7.62±2.28 mm with no statistical significance (P=0.132).</w:t>
      </w:r>
      <w:r w:rsidR="00924925" w:rsidRP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 xml:space="preserve">Recurrence occurred in 2 patients (4%) in Group A and 1 patient (2 %) in Group B while mortality occurred in only one patient (3.05%) in the open group in the laparoscopic group, the 1-year survival was 98 %, while in the open group was (96 %) (P=1.00). </w:t>
      </w:r>
      <w:r w:rsidRPr="0047313D">
        <w:rPr>
          <w:rFonts w:ascii="Times New Roman" w:eastAsia="Times New Roman" w:hAnsi="Times New Roman" w:cs="Times New Roman"/>
          <w:sz w:val="20"/>
          <w:szCs w:val="20"/>
          <w:lang w:bidi="ar-EG"/>
        </w:rPr>
        <w:t>In the laparoscopic group, the 1-year survival was 98 %, wh</w:t>
      </w:r>
      <w:r w:rsidR="00A82DA2">
        <w:rPr>
          <w:rFonts w:ascii="Times New Roman" w:eastAsia="Times New Roman" w:hAnsi="Times New Roman" w:cs="Times New Roman"/>
          <w:sz w:val="20"/>
          <w:szCs w:val="20"/>
          <w:lang w:bidi="ar-EG"/>
        </w:rPr>
        <w:t>ile in the open group was (96%)</w:t>
      </w:r>
      <w:r w:rsidRPr="0047313D">
        <w:rPr>
          <w:rFonts w:ascii="Times New Roman" w:eastAsia="Times New Roman" w:hAnsi="Times New Roman" w:cs="Times New Roman"/>
          <w:sz w:val="20"/>
          <w:szCs w:val="20"/>
          <w:lang w:bidi="ar-EG"/>
        </w:rPr>
        <w:t xml:space="preserve"> (P=1.00). </w:t>
      </w:r>
    </w:p>
    <w:p w:rsidR="005716EE" w:rsidRPr="0047313D" w:rsidRDefault="005716EE" w:rsidP="005716EE">
      <w:pPr>
        <w:bidi w:val="0"/>
        <w:snapToGrid w:val="0"/>
        <w:spacing w:after="0" w:line="240" w:lineRule="auto"/>
        <w:jc w:val="both"/>
        <w:rPr>
          <w:rFonts w:ascii="Times New Roman" w:hAnsi="Times New Roman" w:cs="Times New Roman"/>
          <w:sz w:val="20"/>
          <w:szCs w:val="20"/>
          <w:lang w:eastAsia="zh-CN" w:bidi="ar-EG"/>
        </w:rPr>
      </w:pPr>
      <w:r w:rsidRPr="0047313D">
        <w:rPr>
          <w:rFonts w:ascii="Times New Roman" w:hAnsi="Times New Roman" w:cs="Times New Roman" w:hint="eastAsia"/>
          <w:sz w:val="20"/>
          <w:szCs w:val="20"/>
          <w:lang w:eastAsia="zh-CN" w:bidi="ar-EG"/>
        </w:rPr>
        <w:t>[</w:t>
      </w:r>
      <w:r w:rsidR="00482DB2" w:rsidRPr="0047313D">
        <w:rPr>
          <w:rFonts w:ascii="Times New Roman" w:hAnsi="Times New Roman" w:cs="Times New Roman"/>
          <w:sz w:val="20"/>
          <w:szCs w:val="20"/>
          <w:lang w:bidi="ar-EG"/>
        </w:rPr>
        <w:t>Amr Abdelnasser, Mohamed Abol Naga, Mohamed Salah Ali</w:t>
      </w:r>
      <w:r w:rsidRPr="0047313D">
        <w:rPr>
          <w:rFonts w:ascii="Times New Roman" w:hAnsi="Times New Roman" w:cs="Times New Roman"/>
          <w:sz w:val="20"/>
          <w:szCs w:val="20"/>
        </w:rPr>
        <w:t xml:space="preserve">. </w:t>
      </w:r>
      <w:r w:rsidRPr="0047313D">
        <w:rPr>
          <w:rFonts w:ascii="Times New Roman" w:hAnsi="Times New Roman" w:cs="Times New Roman"/>
          <w:b/>
          <w:bCs/>
          <w:sz w:val="20"/>
          <w:szCs w:val="20"/>
        </w:rPr>
        <w:t>Surgical management of hepatocellular carcinoma (laparoscopic vs. open techniques)</w:t>
      </w:r>
      <w:r w:rsidRPr="0047313D">
        <w:rPr>
          <w:rFonts w:ascii="Times New Roman" w:hAnsi="Times New Roman" w:cs="Times New Roman"/>
          <w:i/>
          <w:sz w:val="20"/>
          <w:szCs w:val="20"/>
        </w:rPr>
        <w:t xml:space="preserve"> Cancer Biology</w:t>
      </w:r>
      <w:r w:rsidRPr="0047313D">
        <w:rPr>
          <w:rFonts w:ascii="Times New Roman" w:hAnsi="Times New Roman" w:cs="Times New Roman"/>
          <w:sz w:val="20"/>
          <w:szCs w:val="20"/>
        </w:rPr>
        <w:t xml:space="preserve"> 201</w:t>
      </w:r>
      <w:r w:rsidRPr="0047313D">
        <w:rPr>
          <w:rFonts w:ascii="Times New Roman" w:hAnsi="Times New Roman" w:cs="Times New Roman" w:hint="eastAsia"/>
          <w:sz w:val="20"/>
          <w:szCs w:val="20"/>
        </w:rPr>
        <w:t>9</w:t>
      </w:r>
      <w:r w:rsidRPr="0047313D">
        <w:rPr>
          <w:rFonts w:ascii="Times New Roman" w:hAnsi="Times New Roman" w:cs="Times New Roman"/>
          <w:sz w:val="20"/>
          <w:szCs w:val="20"/>
        </w:rPr>
        <w:t>;</w:t>
      </w:r>
      <w:r w:rsidRPr="0047313D">
        <w:rPr>
          <w:rFonts w:ascii="Times New Roman" w:hAnsi="Times New Roman" w:cs="Times New Roman" w:hint="eastAsia"/>
          <w:sz w:val="20"/>
          <w:szCs w:val="20"/>
        </w:rPr>
        <w:t>9</w:t>
      </w:r>
      <w:r w:rsidRPr="0047313D">
        <w:rPr>
          <w:rFonts w:ascii="Times New Roman" w:hAnsi="Times New Roman" w:cs="Times New Roman"/>
          <w:sz w:val="20"/>
          <w:szCs w:val="20"/>
        </w:rPr>
        <w:t>(</w:t>
      </w:r>
      <w:r w:rsidRPr="0047313D">
        <w:rPr>
          <w:rFonts w:ascii="Times New Roman" w:hAnsi="Times New Roman" w:cs="Times New Roman" w:hint="eastAsia"/>
          <w:sz w:val="20"/>
          <w:szCs w:val="20"/>
        </w:rPr>
        <w:t>4</w:t>
      </w:r>
      <w:r w:rsidRPr="0047313D">
        <w:rPr>
          <w:rFonts w:ascii="Times New Roman" w:hAnsi="Times New Roman" w:cs="Times New Roman"/>
          <w:sz w:val="20"/>
          <w:szCs w:val="20"/>
        </w:rPr>
        <w:t>):</w:t>
      </w:r>
      <w:r w:rsidR="002B1581" w:rsidRPr="0047313D">
        <w:rPr>
          <w:rFonts w:ascii="Times New Roman" w:hAnsi="Times New Roman" w:cs="Times New Roman"/>
          <w:noProof/>
          <w:color w:val="000000"/>
          <w:sz w:val="20"/>
          <w:szCs w:val="20"/>
        </w:rPr>
        <w:t>9-20</w:t>
      </w:r>
      <w:r w:rsidRPr="0047313D">
        <w:rPr>
          <w:rFonts w:ascii="Times New Roman" w:hAnsi="Times New Roman" w:cs="Times New Roman"/>
          <w:sz w:val="20"/>
          <w:szCs w:val="20"/>
        </w:rPr>
        <w:t xml:space="preserve">]. </w:t>
      </w:r>
      <w:r w:rsidRPr="0047313D">
        <w:rPr>
          <w:rStyle w:val="msonormal0"/>
          <w:rFonts w:ascii="Times New Roman" w:eastAsia="宋" w:hAnsi="Times New Roman" w:cs="Times New Roman"/>
          <w:sz w:val="20"/>
          <w:szCs w:val="20"/>
        </w:rPr>
        <w:t>ISSN: 2150-1041 (print); ISSN: 2150-105X (online)</w:t>
      </w:r>
      <w:r w:rsidRPr="0047313D">
        <w:rPr>
          <w:rFonts w:ascii="Times New Roman" w:hAnsi="Times New Roman" w:cs="Times New Roman"/>
          <w:sz w:val="20"/>
          <w:szCs w:val="20"/>
        </w:rPr>
        <w:t xml:space="preserve">. </w:t>
      </w:r>
      <w:hyperlink r:id="rId9" w:history="1">
        <w:r w:rsidRPr="0047313D">
          <w:rPr>
            <w:rStyle w:val="Hyperlink"/>
            <w:rFonts w:ascii="Times New Roman" w:hAnsi="Times New Roman" w:cs="Times New Roman"/>
            <w:sz w:val="20"/>
            <w:szCs w:val="20"/>
          </w:rPr>
          <w:t>http://www.cancerbio.net</w:t>
        </w:r>
      </w:hyperlink>
      <w:r w:rsidRPr="0047313D">
        <w:rPr>
          <w:rFonts w:ascii="Times New Roman" w:hAnsi="Times New Roman" w:cs="Times New Roman"/>
          <w:sz w:val="20"/>
          <w:szCs w:val="20"/>
        </w:rPr>
        <w:t>.</w:t>
      </w:r>
      <w:r w:rsidRPr="0047313D">
        <w:rPr>
          <w:rFonts w:ascii="Times New Roman" w:hAnsi="Times New Roman" w:cs="Times New Roman" w:hint="eastAsia"/>
          <w:sz w:val="20"/>
          <w:szCs w:val="20"/>
        </w:rPr>
        <w:t xml:space="preserve"> </w:t>
      </w:r>
      <w:r w:rsidRPr="0047313D">
        <w:rPr>
          <w:rFonts w:ascii="Times New Roman" w:hAnsi="Times New Roman" w:cs="Times New Roman" w:hint="eastAsia"/>
          <w:sz w:val="20"/>
          <w:szCs w:val="20"/>
          <w:lang w:eastAsia="zh-CN"/>
        </w:rPr>
        <w:t>2</w:t>
      </w:r>
      <w:r w:rsidRPr="0047313D">
        <w:rPr>
          <w:rFonts w:ascii="Times New Roman" w:hAnsi="Times New Roman" w:cs="Times New Roman" w:hint="eastAsia"/>
          <w:sz w:val="20"/>
          <w:szCs w:val="20"/>
        </w:rPr>
        <w:t xml:space="preserve">. </w:t>
      </w:r>
      <w:r w:rsidRPr="0047313D">
        <w:rPr>
          <w:rFonts w:ascii="Times New Roman" w:hAnsi="Times New Roman" w:cs="Times New Roman"/>
          <w:color w:val="000000"/>
          <w:sz w:val="20"/>
          <w:szCs w:val="20"/>
          <w:shd w:val="clear" w:color="auto" w:fill="FFFFFF"/>
        </w:rPr>
        <w:t>doi:</w:t>
      </w:r>
      <w:hyperlink r:id="rId10" w:history="1">
        <w:r w:rsidRPr="0047313D">
          <w:rPr>
            <w:rStyle w:val="Hyperlink"/>
            <w:rFonts w:ascii="Times New Roman" w:hAnsi="Times New Roman" w:cs="Times New Roman"/>
            <w:sz w:val="20"/>
            <w:szCs w:val="20"/>
            <w:shd w:val="clear" w:color="auto" w:fill="FFFFFF"/>
          </w:rPr>
          <w:t>10.7537/mars</w:t>
        </w:r>
        <w:r w:rsidRPr="0047313D">
          <w:rPr>
            <w:rStyle w:val="Hyperlink"/>
            <w:rFonts w:ascii="Times New Roman" w:hAnsi="Times New Roman" w:cs="Times New Roman" w:hint="eastAsia"/>
            <w:sz w:val="20"/>
            <w:szCs w:val="20"/>
            <w:shd w:val="clear" w:color="auto" w:fill="FFFFFF"/>
          </w:rPr>
          <w:t>cbj0904</w:t>
        </w:r>
        <w:r w:rsidRPr="0047313D">
          <w:rPr>
            <w:rStyle w:val="Hyperlink"/>
            <w:rFonts w:ascii="Times New Roman" w:hAnsi="Times New Roman" w:cs="Times New Roman"/>
            <w:sz w:val="20"/>
            <w:szCs w:val="20"/>
            <w:shd w:val="clear" w:color="auto" w:fill="FFFFFF"/>
          </w:rPr>
          <w:t>1</w:t>
        </w:r>
        <w:r w:rsidRPr="0047313D">
          <w:rPr>
            <w:rStyle w:val="Hyperlink"/>
            <w:rFonts w:ascii="Times New Roman" w:hAnsi="Times New Roman" w:cs="Times New Roman" w:hint="eastAsia"/>
            <w:sz w:val="20"/>
            <w:szCs w:val="20"/>
            <w:shd w:val="clear" w:color="auto" w:fill="FFFFFF"/>
          </w:rPr>
          <w:t>9.</w:t>
        </w:r>
        <w:r w:rsidRPr="0047313D">
          <w:rPr>
            <w:rStyle w:val="Hyperlink"/>
            <w:rFonts w:ascii="Times New Roman" w:hAnsi="Times New Roman" w:cs="Times New Roman"/>
            <w:sz w:val="20"/>
            <w:szCs w:val="20"/>
            <w:shd w:val="clear" w:color="auto" w:fill="FFFFFF"/>
          </w:rPr>
          <w:t>0</w:t>
        </w:r>
        <w:r w:rsidRPr="0047313D">
          <w:rPr>
            <w:rStyle w:val="Hyperlink"/>
            <w:rFonts w:ascii="Times New Roman" w:hAnsi="Times New Roman" w:cs="Times New Roman" w:hint="eastAsia"/>
            <w:sz w:val="20"/>
            <w:szCs w:val="20"/>
            <w:shd w:val="clear" w:color="auto" w:fill="FFFFFF"/>
            <w:lang w:eastAsia="zh-CN"/>
          </w:rPr>
          <w:t>2</w:t>
        </w:r>
      </w:hyperlink>
      <w:r w:rsidRPr="0047313D">
        <w:rPr>
          <w:rFonts w:ascii="Times New Roman" w:hAnsi="Times New Roman" w:cs="Times New Roman"/>
          <w:color w:val="000000"/>
          <w:sz w:val="20"/>
          <w:szCs w:val="20"/>
          <w:shd w:val="clear" w:color="auto" w:fill="FFFFFF"/>
        </w:rPr>
        <w:t>.</w:t>
      </w:r>
    </w:p>
    <w:p w:rsidR="00924925" w:rsidRPr="0047313D" w:rsidRDefault="00924925" w:rsidP="005716EE">
      <w:pPr>
        <w:bidi w:val="0"/>
        <w:snapToGrid w:val="0"/>
        <w:spacing w:after="0" w:line="240" w:lineRule="auto"/>
        <w:jc w:val="both"/>
        <w:rPr>
          <w:rFonts w:ascii="Times New Roman" w:hAnsi="Times New Roman" w:cs="Times New Roman"/>
          <w:sz w:val="20"/>
          <w:szCs w:val="20"/>
          <w:lang w:eastAsia="zh-CN"/>
        </w:rPr>
      </w:pPr>
    </w:p>
    <w:p w:rsidR="00924925" w:rsidRPr="0047313D" w:rsidRDefault="00924925" w:rsidP="005716EE">
      <w:pPr>
        <w:bidi w:val="0"/>
        <w:snapToGrid w:val="0"/>
        <w:spacing w:after="0" w:line="240" w:lineRule="auto"/>
        <w:jc w:val="both"/>
        <w:rPr>
          <w:rFonts w:ascii="Times New Roman" w:hAnsi="Times New Roman" w:cs="Times New Roman"/>
          <w:sz w:val="20"/>
          <w:szCs w:val="20"/>
          <w:lang w:eastAsia="zh-CN"/>
        </w:rPr>
      </w:pPr>
      <w:r w:rsidRPr="0047313D">
        <w:rPr>
          <w:rFonts w:ascii="Times New Roman" w:hAnsi="Times New Roman" w:cs="Times New Roman" w:hint="eastAsia"/>
          <w:b/>
          <w:sz w:val="20"/>
          <w:szCs w:val="20"/>
          <w:lang w:eastAsia="zh-CN"/>
        </w:rPr>
        <w:t>Keywords:</w:t>
      </w:r>
      <w:r w:rsidRPr="0047313D">
        <w:rPr>
          <w:rFonts w:ascii="Times New Roman" w:hAnsi="Times New Roman" w:cs="Times New Roman" w:hint="eastAsia"/>
          <w:sz w:val="20"/>
          <w:szCs w:val="20"/>
          <w:lang w:eastAsia="zh-CN"/>
        </w:rPr>
        <w:t xml:space="preserve"> </w:t>
      </w:r>
      <w:r w:rsidRPr="0047313D">
        <w:rPr>
          <w:rFonts w:ascii="Times New Roman" w:hAnsi="Times New Roman" w:cs="Times New Roman"/>
          <w:bCs/>
          <w:sz w:val="20"/>
          <w:szCs w:val="20"/>
        </w:rPr>
        <w:t>Surgical</w:t>
      </w:r>
      <w:r w:rsidRPr="0047313D">
        <w:rPr>
          <w:rFonts w:ascii="Times New Roman" w:hAnsi="Times New Roman" w:cs="Times New Roman" w:hint="eastAsia"/>
          <w:bCs/>
          <w:sz w:val="20"/>
          <w:szCs w:val="20"/>
          <w:lang w:eastAsia="zh-CN"/>
        </w:rPr>
        <w:t>;</w:t>
      </w:r>
      <w:r w:rsidRPr="0047313D">
        <w:rPr>
          <w:rFonts w:ascii="Times New Roman" w:hAnsi="Times New Roman" w:cs="Times New Roman"/>
          <w:bCs/>
          <w:sz w:val="20"/>
          <w:szCs w:val="20"/>
        </w:rPr>
        <w:t xml:space="preserve"> management</w:t>
      </w:r>
      <w:r w:rsidRPr="0047313D">
        <w:rPr>
          <w:rFonts w:ascii="Times New Roman" w:hAnsi="Times New Roman" w:cs="Times New Roman" w:hint="eastAsia"/>
          <w:bCs/>
          <w:sz w:val="20"/>
          <w:szCs w:val="20"/>
          <w:lang w:eastAsia="zh-CN"/>
        </w:rPr>
        <w:t>;</w:t>
      </w:r>
      <w:r w:rsidRPr="0047313D">
        <w:rPr>
          <w:rFonts w:ascii="Times New Roman" w:hAnsi="Times New Roman" w:cs="Times New Roman"/>
          <w:bCs/>
          <w:sz w:val="20"/>
          <w:szCs w:val="20"/>
        </w:rPr>
        <w:t xml:space="preserve"> hepatocellular</w:t>
      </w:r>
      <w:r w:rsidRPr="0047313D">
        <w:rPr>
          <w:rFonts w:ascii="Times New Roman" w:hAnsi="Times New Roman" w:cs="Times New Roman" w:hint="eastAsia"/>
          <w:bCs/>
          <w:sz w:val="20"/>
          <w:szCs w:val="20"/>
          <w:lang w:eastAsia="zh-CN"/>
        </w:rPr>
        <w:t>;</w:t>
      </w:r>
      <w:r w:rsidRPr="0047313D">
        <w:rPr>
          <w:rFonts w:ascii="Times New Roman" w:hAnsi="Times New Roman" w:cs="Times New Roman"/>
          <w:bCs/>
          <w:sz w:val="20"/>
          <w:szCs w:val="20"/>
        </w:rPr>
        <w:t xml:space="preserve"> carcinoma</w:t>
      </w:r>
      <w:r w:rsidRPr="0047313D">
        <w:rPr>
          <w:rFonts w:ascii="Times New Roman" w:hAnsi="Times New Roman" w:cs="Times New Roman" w:hint="eastAsia"/>
          <w:bCs/>
          <w:sz w:val="20"/>
          <w:szCs w:val="20"/>
          <w:lang w:eastAsia="zh-CN"/>
        </w:rPr>
        <w:t>;</w:t>
      </w:r>
      <w:r w:rsidRPr="0047313D">
        <w:rPr>
          <w:rFonts w:ascii="Times New Roman" w:hAnsi="Times New Roman" w:cs="Times New Roman"/>
          <w:bCs/>
          <w:sz w:val="20"/>
          <w:szCs w:val="20"/>
        </w:rPr>
        <w:t xml:space="preserve"> laparoscopic</w:t>
      </w:r>
      <w:r w:rsidRPr="0047313D">
        <w:rPr>
          <w:rFonts w:ascii="Times New Roman" w:hAnsi="Times New Roman" w:cs="Times New Roman" w:hint="eastAsia"/>
          <w:bCs/>
          <w:sz w:val="20"/>
          <w:szCs w:val="20"/>
          <w:lang w:eastAsia="zh-CN"/>
        </w:rPr>
        <w:t>;</w:t>
      </w:r>
      <w:r w:rsidRPr="0047313D">
        <w:rPr>
          <w:rFonts w:ascii="Times New Roman" w:hAnsi="Times New Roman" w:cs="Times New Roman"/>
          <w:bCs/>
          <w:sz w:val="20"/>
          <w:szCs w:val="20"/>
        </w:rPr>
        <w:t xml:space="preserve"> open techniques</w:t>
      </w:r>
    </w:p>
    <w:p w:rsidR="00482DB2" w:rsidRPr="0047313D" w:rsidRDefault="00482DB2" w:rsidP="005716EE">
      <w:pPr>
        <w:bidi w:val="0"/>
        <w:snapToGrid w:val="0"/>
        <w:spacing w:after="0" w:line="240" w:lineRule="auto"/>
        <w:jc w:val="both"/>
        <w:rPr>
          <w:rFonts w:ascii="Times New Roman" w:hAnsi="Times New Roman" w:cs="Times New Roman"/>
          <w:b/>
          <w:bCs/>
          <w:sz w:val="20"/>
          <w:szCs w:val="20"/>
        </w:rPr>
      </w:pPr>
    </w:p>
    <w:p w:rsidR="005716EE" w:rsidRPr="0047313D" w:rsidRDefault="005716EE" w:rsidP="005716EE">
      <w:pPr>
        <w:bidi w:val="0"/>
        <w:snapToGrid w:val="0"/>
        <w:spacing w:after="0" w:line="240" w:lineRule="auto"/>
        <w:jc w:val="both"/>
        <w:rPr>
          <w:rFonts w:ascii="Times New Roman" w:hAnsi="Times New Roman" w:cs="Times New Roman"/>
          <w:b/>
          <w:bCs/>
          <w:sz w:val="20"/>
          <w:szCs w:val="20"/>
        </w:rPr>
        <w:sectPr w:rsidR="005716EE" w:rsidRPr="0047313D" w:rsidSect="002B1581">
          <w:headerReference w:type="default" r:id="rId11"/>
          <w:footerReference w:type="default" r:id="rId12"/>
          <w:type w:val="continuous"/>
          <w:pgSz w:w="12240" w:h="15840" w:code="9"/>
          <w:pgMar w:top="1440" w:right="1440" w:bottom="1440" w:left="1440" w:header="720" w:footer="720" w:gutter="0"/>
          <w:pgNumType w:start="9"/>
          <w:cols w:space="720"/>
          <w:bidi/>
          <w:rtlGutter/>
          <w:docGrid w:linePitch="360"/>
        </w:sectPr>
      </w:pPr>
    </w:p>
    <w:p w:rsidR="00593E62" w:rsidRPr="0047313D" w:rsidRDefault="00482DB2" w:rsidP="005716EE">
      <w:pPr>
        <w:bidi w:val="0"/>
        <w:snapToGrid w:val="0"/>
        <w:spacing w:after="0" w:line="240" w:lineRule="auto"/>
        <w:jc w:val="both"/>
        <w:rPr>
          <w:rFonts w:ascii="Times New Roman" w:hAnsi="Times New Roman" w:cs="Times New Roman"/>
          <w:b/>
          <w:bCs/>
          <w:sz w:val="20"/>
          <w:szCs w:val="20"/>
          <w:lang w:bidi="ar-EG"/>
        </w:rPr>
      </w:pPr>
      <w:r w:rsidRPr="0047313D">
        <w:rPr>
          <w:rFonts w:ascii="Times New Roman" w:hAnsi="Times New Roman" w:cs="Times New Roman"/>
          <w:b/>
          <w:bCs/>
          <w:sz w:val="20"/>
          <w:szCs w:val="20"/>
        </w:rPr>
        <w:lastRenderedPageBreak/>
        <w:t>1. Introduction</w:t>
      </w:r>
    </w:p>
    <w:p w:rsidR="00593E62" w:rsidRPr="0047313D" w:rsidRDefault="007C43E2" w:rsidP="005716EE">
      <w:pPr>
        <w:pStyle w:val="Contenidodelatabla"/>
        <w:suppressLineNumbers w:val="0"/>
        <w:suppressAutoHyphens w:val="0"/>
        <w:snapToGrid w:val="0"/>
        <w:ind w:firstLine="425"/>
        <w:jc w:val="both"/>
        <w:rPr>
          <w:b/>
          <w:bCs/>
          <w:kern w:val="0"/>
          <w:sz w:val="20"/>
          <w:szCs w:val="20"/>
          <w:lang w:val="en-US"/>
        </w:rPr>
      </w:pPr>
      <w:r w:rsidRPr="0047313D">
        <w:rPr>
          <w:kern w:val="0"/>
          <w:sz w:val="20"/>
          <w:szCs w:val="20"/>
          <w:lang w:val="en-US"/>
        </w:rPr>
        <w:t xml:space="preserve">Hepatocellular carcinoma (HCC) is the most common primary hepatic malignancy ranking sixth in the world among all malignancies and becoming the third cause of death due to cancer. Incidence has increased all over the world </w:t>
      </w:r>
      <w:r w:rsidRPr="0047313D">
        <w:rPr>
          <w:b/>
          <w:bCs/>
          <w:kern w:val="0"/>
          <w:sz w:val="20"/>
          <w:szCs w:val="20"/>
          <w:lang w:val="en-US"/>
        </w:rPr>
        <w:t>(Waller et al., 2015).</w:t>
      </w:r>
    </w:p>
    <w:p w:rsidR="00593E62" w:rsidRPr="0047313D" w:rsidRDefault="007C43E2" w:rsidP="005716EE">
      <w:pPr>
        <w:pStyle w:val="Contenidodelatabla"/>
        <w:suppressLineNumbers w:val="0"/>
        <w:suppressAutoHyphens w:val="0"/>
        <w:snapToGrid w:val="0"/>
        <w:ind w:firstLine="425"/>
        <w:jc w:val="both"/>
        <w:rPr>
          <w:kern w:val="0"/>
          <w:sz w:val="20"/>
          <w:szCs w:val="20"/>
          <w:lang w:val="en-US"/>
        </w:rPr>
      </w:pPr>
      <w:r w:rsidRPr="0047313D">
        <w:rPr>
          <w:kern w:val="0"/>
          <w:sz w:val="20"/>
          <w:szCs w:val="20"/>
          <w:lang w:val="en-US"/>
        </w:rPr>
        <w:t>Egypt has one of the highest prevalence of HCC where it contributes up to 70.48% of all primary liver tumors</w:t>
      </w:r>
      <w:r w:rsidR="005716EE" w:rsidRPr="0047313D">
        <w:rPr>
          <w:kern w:val="0"/>
          <w:sz w:val="20"/>
          <w:szCs w:val="20"/>
          <w:lang w:val="en-US"/>
        </w:rPr>
        <w:t>. T</w:t>
      </w:r>
      <w:r w:rsidRPr="0047313D">
        <w:rPr>
          <w:kern w:val="0"/>
          <w:sz w:val="20"/>
          <w:szCs w:val="20"/>
          <w:lang w:val="en-US"/>
        </w:rPr>
        <w:t xml:space="preserve">he increased incidence of HCC in Egypt is attributed to the increased prevalence of hepatitis B and hepatitis C also there has been improvements in screening and diagnostic tools leading to earlier detection of HCC </w:t>
      </w:r>
      <w:r w:rsidRPr="0047313D">
        <w:rPr>
          <w:b/>
          <w:bCs/>
          <w:kern w:val="0"/>
          <w:sz w:val="20"/>
          <w:szCs w:val="20"/>
          <w:lang w:val="en-US"/>
        </w:rPr>
        <w:t>(Holas et al., 2015).</w:t>
      </w:r>
    </w:p>
    <w:p w:rsidR="00593E62" w:rsidRPr="00454666" w:rsidRDefault="007C43E2" w:rsidP="005716EE">
      <w:pPr>
        <w:pStyle w:val="Contenidodelatabla"/>
        <w:suppressLineNumbers w:val="0"/>
        <w:suppressAutoHyphens w:val="0"/>
        <w:snapToGrid w:val="0"/>
        <w:ind w:firstLine="425"/>
        <w:jc w:val="both"/>
        <w:rPr>
          <w:rFonts w:eastAsiaTheme="minorEastAsia" w:hint="eastAsia"/>
          <w:kern w:val="0"/>
          <w:sz w:val="20"/>
          <w:szCs w:val="20"/>
          <w:lang w:val="en-US" w:eastAsia="zh-CN"/>
        </w:rPr>
      </w:pPr>
      <w:r w:rsidRPr="0047313D">
        <w:rPr>
          <w:kern w:val="0"/>
          <w:sz w:val="20"/>
          <w:szCs w:val="20"/>
          <w:lang w:val="en-US"/>
        </w:rPr>
        <w:t xml:space="preserve">Liver resection is the preferable initial treatment </w:t>
      </w:r>
      <w:r w:rsidRPr="0047313D">
        <w:rPr>
          <w:kern w:val="0"/>
          <w:sz w:val="20"/>
          <w:szCs w:val="20"/>
          <w:lang w:val="en-US"/>
        </w:rPr>
        <w:lastRenderedPageBreak/>
        <w:t xml:space="preserve">option for solitary or limited multifocal HCCs with no extra hepatic spread. The mortality and morbidity of liver resection have significantly decreased in the last two decades because of improvements in patient evaluation, surgical technique, and perioperative care. Resection is the ideal treatment, as it allows for complete removal and pathological confirmation of lesions. However, it is more invasive than other loco regional therapies such as Trans arterial chemoembolization, tumor ablative therapy, and radiation therapy </w:t>
      </w:r>
      <w:r w:rsidRPr="0047313D">
        <w:rPr>
          <w:b/>
          <w:bCs/>
          <w:kern w:val="0"/>
          <w:sz w:val="20"/>
          <w:szCs w:val="20"/>
          <w:lang w:val="en-US"/>
        </w:rPr>
        <w:t>(Otsuka et al., 2016)</w:t>
      </w:r>
      <w:r w:rsidR="00454666">
        <w:rPr>
          <w:rFonts w:eastAsiaTheme="minorEastAsia" w:hint="eastAsia"/>
          <w:b/>
          <w:bCs/>
          <w:kern w:val="0"/>
          <w:sz w:val="20"/>
          <w:szCs w:val="20"/>
          <w:lang w:val="en-US" w:eastAsia="zh-CN"/>
        </w:rPr>
        <w:t>.</w:t>
      </w:r>
    </w:p>
    <w:p w:rsidR="009F7A89" w:rsidRPr="0047313D" w:rsidRDefault="007C43E2" w:rsidP="005716EE">
      <w:pPr>
        <w:pStyle w:val="Contenidodelatabla"/>
        <w:suppressLineNumbers w:val="0"/>
        <w:suppressAutoHyphens w:val="0"/>
        <w:snapToGrid w:val="0"/>
        <w:ind w:firstLine="425"/>
        <w:jc w:val="both"/>
        <w:rPr>
          <w:kern w:val="0"/>
          <w:sz w:val="20"/>
          <w:szCs w:val="20"/>
          <w:lang w:val="en-US"/>
        </w:rPr>
      </w:pPr>
      <w:r w:rsidRPr="0047313D">
        <w:rPr>
          <w:kern w:val="0"/>
          <w:sz w:val="20"/>
          <w:szCs w:val="20"/>
          <w:lang w:val="en-US"/>
        </w:rPr>
        <w:t>Nowadays, the mortality rate of most liver resections has been brought down to below 5% and blood transfusion rates to between 6.2%and 49%</w:t>
      </w:r>
      <w:r w:rsidR="00482DB2" w:rsidRPr="0047313D">
        <w:rPr>
          <w:kern w:val="0"/>
          <w:sz w:val="20"/>
          <w:szCs w:val="20"/>
          <w:lang w:val="en-US"/>
        </w:rPr>
        <w:t xml:space="preserve"> </w:t>
      </w:r>
      <w:r w:rsidRPr="0047313D">
        <w:rPr>
          <w:b/>
          <w:bCs/>
          <w:kern w:val="0"/>
          <w:sz w:val="20"/>
          <w:szCs w:val="20"/>
          <w:lang w:val="en-US"/>
        </w:rPr>
        <w:lastRenderedPageBreak/>
        <w:t>(Chowdhury, 2010)</w:t>
      </w:r>
      <w:r w:rsidR="0047313D">
        <w:rPr>
          <w:rFonts w:eastAsiaTheme="minorEastAsia" w:hint="eastAsia"/>
          <w:b/>
          <w:bCs/>
          <w:kern w:val="0"/>
          <w:sz w:val="20"/>
          <w:szCs w:val="20"/>
          <w:lang w:val="en-US" w:eastAsia="zh-CN"/>
        </w:rPr>
        <w:t>.</w:t>
      </w:r>
      <w:r w:rsidRPr="0047313D">
        <w:rPr>
          <w:kern w:val="0"/>
          <w:sz w:val="20"/>
          <w:szCs w:val="20"/>
          <w:lang w:val="en-US"/>
        </w:rPr>
        <w:t xml:space="preserve"> </w:t>
      </w:r>
    </w:p>
    <w:p w:rsidR="009F7A89" w:rsidRPr="0047313D" w:rsidRDefault="009F7A89" w:rsidP="005716EE">
      <w:pPr>
        <w:pStyle w:val="Contenidodelatabla"/>
        <w:suppressLineNumbers w:val="0"/>
        <w:suppressAutoHyphens w:val="0"/>
        <w:snapToGrid w:val="0"/>
        <w:ind w:firstLine="425"/>
        <w:jc w:val="both"/>
        <w:rPr>
          <w:b/>
          <w:bCs/>
          <w:kern w:val="0"/>
          <w:sz w:val="20"/>
          <w:szCs w:val="20"/>
          <w:lang w:val="en-US"/>
        </w:rPr>
      </w:pPr>
      <w:r w:rsidRPr="0047313D">
        <w:rPr>
          <w:kern w:val="0"/>
          <w:sz w:val="20"/>
          <w:szCs w:val="20"/>
          <w:lang w:val="en-US"/>
        </w:rPr>
        <w:t>D</w:t>
      </w:r>
      <w:r w:rsidR="007C43E2" w:rsidRPr="0047313D">
        <w:rPr>
          <w:kern w:val="0"/>
          <w:sz w:val="20"/>
          <w:szCs w:val="20"/>
          <w:lang w:val="en-US"/>
        </w:rPr>
        <w:t xml:space="preserve">ue to improved laparoscopic instruments and increasing experience with laparoscopic and liver surgery, the technical difficulty of laparoscopic liver resection (LLR) is slowly being overcome. An increasing number of reports on LLR have documented outcomes comparable to those of open liver resection. LLR is currently expanding its application in terms of indications and extent of resection </w:t>
      </w:r>
      <w:r w:rsidR="007C43E2" w:rsidRPr="0047313D">
        <w:rPr>
          <w:b/>
          <w:bCs/>
          <w:kern w:val="0"/>
          <w:sz w:val="20"/>
          <w:szCs w:val="20"/>
          <w:lang w:val="en-US"/>
        </w:rPr>
        <w:t>(Yoon et al., 2009).</w:t>
      </w:r>
    </w:p>
    <w:p w:rsidR="009F7A89" w:rsidRPr="0047313D" w:rsidRDefault="009F7A89" w:rsidP="005716EE">
      <w:pPr>
        <w:pStyle w:val="Contenidodelatabla"/>
        <w:suppressLineNumbers w:val="0"/>
        <w:suppressAutoHyphens w:val="0"/>
        <w:snapToGrid w:val="0"/>
        <w:ind w:firstLine="425"/>
        <w:jc w:val="both"/>
        <w:rPr>
          <w:b/>
          <w:bCs/>
          <w:kern w:val="0"/>
          <w:sz w:val="20"/>
          <w:szCs w:val="20"/>
          <w:lang w:val="en-US" w:bidi="ar-EG"/>
        </w:rPr>
      </w:pPr>
      <w:r w:rsidRPr="0047313D">
        <w:rPr>
          <w:kern w:val="0"/>
          <w:sz w:val="20"/>
          <w:szCs w:val="20"/>
          <w:lang w:val="en-US"/>
        </w:rPr>
        <w:t>N</w:t>
      </w:r>
      <w:r w:rsidR="007C43E2" w:rsidRPr="0047313D">
        <w:rPr>
          <w:kern w:val="0"/>
          <w:sz w:val="20"/>
          <w:szCs w:val="20"/>
          <w:lang w:val="en-US"/>
        </w:rPr>
        <w:t>onetheless, there have been only a few reports on LLR for hepatocellular carcinoma (HCC). Although some reports have shown encouraging oncologic results, LLR for HCC is still challenging for both surgeons and patients, because most HCCs are associated with underlying liver diseases such as chronic hepatitis and liver cirrhosis. Moreover, the application of LLR to HCC has also been limited by tumor location. Most reported cases have had peripheral lesions located in the anterolateral segments</w:t>
      </w:r>
      <w:r w:rsidR="007C43E2" w:rsidRPr="0047313D">
        <w:rPr>
          <w:kern w:val="0"/>
          <w:sz w:val="20"/>
          <w:szCs w:val="20"/>
          <w:lang w:val="en-US" w:bidi="ar-EG"/>
        </w:rPr>
        <w:t xml:space="preserve"> </w:t>
      </w:r>
      <w:r w:rsidR="007C43E2" w:rsidRPr="0047313D">
        <w:rPr>
          <w:kern w:val="0"/>
          <w:sz w:val="20"/>
          <w:szCs w:val="20"/>
          <w:lang w:val="en-US"/>
        </w:rPr>
        <w:t>(segments 2, 3, 4b, 5, and 6). More recently, the limitation of LLR according to lesion location is being gradually overcome. LLR for lesions located in the posterosuperior segments (Couinaud segment</w:t>
      </w:r>
      <w:r w:rsidR="0047313D">
        <w:rPr>
          <w:rFonts w:eastAsiaTheme="minorEastAsia" w:hint="eastAsia"/>
          <w:kern w:val="0"/>
          <w:sz w:val="20"/>
          <w:szCs w:val="20"/>
          <w:lang w:val="en-US" w:eastAsia="zh-CN"/>
        </w:rPr>
        <w:t xml:space="preserve"> </w:t>
      </w:r>
      <w:r w:rsidR="007C43E2" w:rsidRPr="0047313D">
        <w:rPr>
          <w:kern w:val="0"/>
          <w:sz w:val="20"/>
          <w:szCs w:val="20"/>
          <w:lang w:val="en-US"/>
        </w:rPr>
        <w:t xml:space="preserve">1, 4a, 7, and 8) has been reported on by some surgeons who have great expertise. Since the first successful right posterior sectionectomy for HCC in 2003. </w:t>
      </w:r>
      <w:r w:rsidR="007C43E2" w:rsidRPr="0047313D">
        <w:rPr>
          <w:b/>
          <w:bCs/>
          <w:kern w:val="0"/>
          <w:sz w:val="20"/>
          <w:szCs w:val="20"/>
          <w:lang w:val="en-US"/>
        </w:rPr>
        <w:t>(Yoon et al., 2009)</w:t>
      </w:r>
    </w:p>
    <w:p w:rsidR="00593E62" w:rsidRPr="0047313D" w:rsidRDefault="009F7A89" w:rsidP="005716EE">
      <w:pPr>
        <w:pStyle w:val="Contenidodelatabla"/>
        <w:suppressLineNumbers w:val="0"/>
        <w:suppressAutoHyphens w:val="0"/>
        <w:snapToGrid w:val="0"/>
        <w:ind w:firstLine="425"/>
        <w:jc w:val="both"/>
        <w:rPr>
          <w:kern w:val="0"/>
          <w:sz w:val="20"/>
          <w:szCs w:val="20"/>
          <w:lang w:val="en-US"/>
        </w:rPr>
      </w:pPr>
      <w:r w:rsidRPr="0047313D">
        <w:rPr>
          <w:kern w:val="0"/>
          <w:sz w:val="20"/>
          <w:szCs w:val="20"/>
          <w:lang w:val="en-US"/>
        </w:rPr>
        <w:t>L</w:t>
      </w:r>
      <w:r w:rsidR="007C43E2" w:rsidRPr="0047313D">
        <w:rPr>
          <w:kern w:val="0"/>
          <w:sz w:val="20"/>
          <w:szCs w:val="20"/>
          <w:lang w:val="en-US"/>
        </w:rPr>
        <w:t xml:space="preserve">aparoscopy has been used extensively and continues to improve as a surgical option. Laparoscopic liver resection (LLR), a minimally invasive treatment for liver cancer, is now increasingly performed worldwide. </w:t>
      </w:r>
      <w:r w:rsidR="007C43E2" w:rsidRPr="0047313D">
        <w:rPr>
          <w:b/>
          <w:bCs/>
          <w:kern w:val="0"/>
          <w:sz w:val="20"/>
          <w:szCs w:val="20"/>
          <w:lang w:val="en-US"/>
        </w:rPr>
        <w:t>(Otsuka et al., 2016)</w:t>
      </w:r>
    </w:p>
    <w:p w:rsidR="00593E62" w:rsidRPr="0047313D" w:rsidRDefault="007C43E2" w:rsidP="005716EE">
      <w:pPr>
        <w:pStyle w:val="Contenidodelatabla"/>
        <w:suppressLineNumbers w:val="0"/>
        <w:suppressAutoHyphens w:val="0"/>
        <w:snapToGrid w:val="0"/>
        <w:ind w:firstLine="425"/>
        <w:jc w:val="both"/>
        <w:rPr>
          <w:kern w:val="0"/>
          <w:sz w:val="20"/>
          <w:szCs w:val="20"/>
          <w:lang w:val="en-US"/>
        </w:rPr>
      </w:pPr>
      <w:r w:rsidRPr="0047313D">
        <w:rPr>
          <w:kern w:val="0"/>
          <w:sz w:val="20"/>
          <w:szCs w:val="20"/>
          <w:lang w:val="en-US"/>
        </w:rPr>
        <w:t xml:space="preserve">Regular post treatment follow up with imaging studies and serum tumor markers every 3 to 6 months in the first 2 years; thereafter, regular checkups at individualized intervals. </w:t>
      </w:r>
      <w:r w:rsidRPr="0047313D">
        <w:rPr>
          <w:b/>
          <w:bCs/>
          <w:kern w:val="0"/>
          <w:sz w:val="20"/>
          <w:szCs w:val="20"/>
          <w:lang w:val="en-US"/>
        </w:rPr>
        <w:t>(Yu, 2016)</w:t>
      </w:r>
    </w:p>
    <w:p w:rsidR="00593E62" w:rsidRPr="0047313D" w:rsidRDefault="007C43E2" w:rsidP="005716EE">
      <w:pPr>
        <w:bidi w:val="0"/>
        <w:snapToGrid w:val="0"/>
        <w:spacing w:after="0" w:line="240" w:lineRule="auto"/>
        <w:jc w:val="both"/>
        <w:rPr>
          <w:rFonts w:ascii="Times New Roman" w:hAnsi="Times New Roman" w:cs="Times New Roman"/>
          <w:b/>
          <w:bCs/>
          <w:sz w:val="20"/>
          <w:szCs w:val="20"/>
          <w:lang w:bidi="ar-EG"/>
        </w:rPr>
      </w:pPr>
      <w:r w:rsidRPr="0047313D">
        <w:rPr>
          <w:rFonts w:ascii="Times New Roman" w:hAnsi="Times New Roman" w:cs="Times New Roman"/>
          <w:b/>
          <w:bCs/>
          <w:sz w:val="20"/>
          <w:szCs w:val="20"/>
          <w:lang w:bidi="ar-EG"/>
        </w:rPr>
        <w:t>Aim of the Work</w:t>
      </w:r>
    </w:p>
    <w:p w:rsidR="00593E62" w:rsidRPr="0047313D" w:rsidRDefault="007C43E2" w:rsidP="005716EE">
      <w:pPr>
        <w:pStyle w:val="Contenidodelatabla"/>
        <w:suppressLineNumbers w:val="0"/>
        <w:suppressAutoHyphens w:val="0"/>
        <w:snapToGrid w:val="0"/>
        <w:ind w:firstLine="425"/>
        <w:jc w:val="both"/>
        <w:rPr>
          <w:b/>
          <w:bCs/>
          <w:kern w:val="0"/>
          <w:sz w:val="20"/>
          <w:szCs w:val="20"/>
          <w:lang w:bidi="ar-EG"/>
        </w:rPr>
      </w:pPr>
      <w:r w:rsidRPr="0047313D">
        <w:rPr>
          <w:kern w:val="0"/>
          <w:sz w:val="20"/>
          <w:szCs w:val="20"/>
          <w:lang w:val="en-US"/>
        </w:rPr>
        <w:t>The aim of the work is to compare between open surgical management and laparoscopic surgical management of hepatocellular carcinoma regarding preoperative assessment, operative management and details and postoperative course and complications.</w:t>
      </w:r>
      <w:bookmarkStart w:id="0" w:name="OLE_LINK5"/>
      <w:bookmarkStart w:id="1" w:name="OLE_LINK6"/>
      <w:bookmarkStart w:id="2" w:name="OLE_LINK7"/>
      <w:bookmarkStart w:id="3" w:name="OLE_LINK8"/>
    </w:p>
    <w:bookmarkEnd w:id="0"/>
    <w:bookmarkEnd w:id="1"/>
    <w:bookmarkEnd w:id="2"/>
    <w:bookmarkEnd w:id="3"/>
    <w:p w:rsidR="002D0A0F" w:rsidRPr="0047313D" w:rsidRDefault="002D0A0F" w:rsidP="005716EE">
      <w:pPr>
        <w:bidi w:val="0"/>
        <w:snapToGrid w:val="0"/>
        <w:spacing w:after="0" w:line="240" w:lineRule="auto"/>
        <w:jc w:val="both"/>
        <w:rPr>
          <w:rFonts w:ascii="Times New Roman" w:eastAsia="DejaVu Sans" w:hAnsi="Times New Roman" w:cs="Times New Roman"/>
          <w:b/>
          <w:bCs/>
          <w:sz w:val="20"/>
          <w:szCs w:val="20"/>
          <w:lang w:val="en-GB" w:bidi="ar-EG"/>
        </w:rPr>
      </w:pPr>
    </w:p>
    <w:p w:rsidR="00F32DD8" w:rsidRPr="0047313D" w:rsidRDefault="00482DB2" w:rsidP="005716EE">
      <w:pPr>
        <w:bidi w:val="0"/>
        <w:snapToGrid w:val="0"/>
        <w:spacing w:after="0" w:line="240" w:lineRule="auto"/>
        <w:jc w:val="both"/>
        <w:rPr>
          <w:rFonts w:ascii="Times New Roman" w:hAnsi="Times New Roman" w:cs="Times New Roman"/>
          <w:b/>
          <w:bCs/>
          <w:sz w:val="20"/>
          <w:szCs w:val="20"/>
        </w:rPr>
      </w:pPr>
      <w:r w:rsidRPr="0047313D">
        <w:rPr>
          <w:rFonts w:ascii="Times New Roman" w:hAnsi="Times New Roman" w:cs="Times New Roman"/>
          <w:b/>
          <w:bCs/>
          <w:sz w:val="20"/>
          <w:szCs w:val="20"/>
        </w:rPr>
        <w:t>2. Patients and Methods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This</w:t>
      </w:r>
      <w:r w:rsidR="00C6766D" w:rsidRPr="0047313D">
        <w:rPr>
          <w:rFonts w:ascii="Times New Roman" w:eastAsia="TimesNewRoman" w:hAnsi="Times New Roman" w:cs="Times New Roman"/>
          <w:sz w:val="20"/>
          <w:szCs w:val="20"/>
        </w:rPr>
        <w:t xml:space="preserve"> study is</w:t>
      </w:r>
      <w:r w:rsidRPr="0047313D">
        <w:rPr>
          <w:rFonts w:ascii="Times New Roman" w:eastAsia="TimesNewRoman" w:hAnsi="Times New Roman" w:cs="Times New Roman"/>
          <w:sz w:val="20"/>
          <w:szCs w:val="20"/>
        </w:rPr>
        <w:t xml:space="preserve"> </w:t>
      </w:r>
      <w:r w:rsidR="0042068A" w:rsidRPr="0047313D">
        <w:rPr>
          <w:rFonts w:ascii="Times New Roman" w:hAnsi="Times New Roman" w:cs="Times New Roman"/>
          <w:bCs/>
          <w:sz w:val="20"/>
          <w:szCs w:val="20"/>
        </w:rPr>
        <w:t>retro- prospective</w:t>
      </w:r>
      <w:r w:rsidRPr="0047313D">
        <w:rPr>
          <w:rFonts w:ascii="Times New Roman" w:eastAsia="TimesNewRoman" w:hAnsi="Times New Roman" w:cs="Times New Roman"/>
          <w:sz w:val="20"/>
          <w:szCs w:val="20"/>
        </w:rPr>
        <w:t xml:space="preserve"> </w:t>
      </w:r>
      <w:r w:rsidR="00C6766D" w:rsidRPr="0047313D">
        <w:rPr>
          <w:rFonts w:ascii="Times New Roman" w:eastAsia="TimesNewRoman" w:hAnsi="Times New Roman" w:cs="Times New Roman"/>
          <w:sz w:val="20"/>
          <w:szCs w:val="20"/>
        </w:rPr>
        <w:t xml:space="preserve">randomized controlled trial (RCT), which </w:t>
      </w:r>
      <w:r w:rsidRPr="0047313D">
        <w:rPr>
          <w:rFonts w:ascii="Times New Roman" w:eastAsia="TimesNewRoman" w:hAnsi="Times New Roman" w:cs="Times New Roman"/>
          <w:sz w:val="20"/>
          <w:szCs w:val="20"/>
        </w:rPr>
        <w:t xml:space="preserve">involved </w:t>
      </w:r>
      <w:r w:rsidR="0042068A" w:rsidRPr="0047313D">
        <w:rPr>
          <w:rFonts w:ascii="Times New Roman" w:eastAsia="TimesNewRoman" w:hAnsi="Times New Roman" w:cs="Times New Roman"/>
          <w:sz w:val="20"/>
          <w:szCs w:val="20"/>
        </w:rPr>
        <w:t>100</w:t>
      </w:r>
      <w:r w:rsidRPr="0047313D">
        <w:rPr>
          <w:rFonts w:ascii="Times New Roman" w:eastAsia="TimesNewRoman" w:hAnsi="Times New Roman" w:cs="Times New Roman"/>
          <w:sz w:val="20"/>
          <w:szCs w:val="20"/>
        </w:rPr>
        <w:t xml:space="preserve"> patients with hepatic tumors (with Child </w:t>
      </w:r>
      <w:r w:rsidR="006E398A" w:rsidRPr="0047313D">
        <w:rPr>
          <w:rFonts w:ascii="Times New Roman" w:eastAsia="TimesNewRoman" w:hAnsi="Times New Roman" w:cs="Times New Roman"/>
          <w:sz w:val="20"/>
          <w:szCs w:val="20"/>
        </w:rPr>
        <w:t>A</w:t>
      </w:r>
      <w:r w:rsidRPr="0047313D">
        <w:rPr>
          <w:rFonts w:ascii="Times New Roman" w:eastAsia="TimesNewRoman" w:hAnsi="Times New Roman" w:cs="Times New Roman"/>
          <w:sz w:val="20"/>
          <w:szCs w:val="20"/>
        </w:rPr>
        <w:t xml:space="preserve"> classification fit for surgical intervention) at National Hepatology Tropical medicine Research Institute (NHTMRI) and </w:t>
      </w:r>
      <w:r w:rsidR="0042068A" w:rsidRPr="0047313D">
        <w:rPr>
          <w:rFonts w:ascii="Times New Roman" w:eastAsia="TimesNewRoman" w:hAnsi="Times New Roman" w:cs="Times New Roman"/>
          <w:sz w:val="20"/>
          <w:szCs w:val="20"/>
        </w:rPr>
        <w:t xml:space="preserve">their data collected during period from June 2017 until January </w:t>
      </w:r>
      <w:r w:rsidR="009F1957" w:rsidRPr="0047313D">
        <w:rPr>
          <w:rFonts w:ascii="Times New Roman" w:eastAsia="TimesNewRoman" w:hAnsi="Times New Roman" w:cs="Times New Roman"/>
          <w:sz w:val="20"/>
          <w:szCs w:val="20"/>
        </w:rPr>
        <w:t xml:space="preserve">2019. </w:t>
      </w:r>
      <w:r w:rsidRPr="0047313D">
        <w:rPr>
          <w:rFonts w:ascii="Times New Roman" w:eastAsia="TimesNewRoman" w:hAnsi="Times New Roman" w:cs="Times New Roman"/>
          <w:sz w:val="20"/>
          <w:szCs w:val="20"/>
        </w:rPr>
        <w:t xml:space="preserve">The patients </w:t>
      </w:r>
      <w:r w:rsidR="0042068A" w:rsidRPr="0047313D">
        <w:rPr>
          <w:rFonts w:ascii="Times New Roman" w:eastAsia="TimesNewRoman" w:hAnsi="Times New Roman" w:cs="Times New Roman"/>
          <w:sz w:val="20"/>
          <w:szCs w:val="20"/>
        </w:rPr>
        <w:t xml:space="preserve">were </w:t>
      </w:r>
      <w:r w:rsidRPr="0047313D">
        <w:rPr>
          <w:rFonts w:ascii="Times New Roman" w:eastAsia="TimesNewRoman" w:hAnsi="Times New Roman" w:cs="Times New Roman"/>
          <w:sz w:val="20"/>
          <w:szCs w:val="20"/>
        </w:rPr>
        <w:t>divided into 2 groups, Group A (</w:t>
      </w:r>
      <w:r w:rsidR="0042068A" w:rsidRPr="0047313D">
        <w:rPr>
          <w:rFonts w:ascii="Times New Roman" w:eastAsia="TimesNewRoman" w:hAnsi="Times New Roman" w:cs="Times New Roman"/>
          <w:sz w:val="20"/>
          <w:szCs w:val="20"/>
        </w:rPr>
        <w:t>50</w:t>
      </w:r>
      <w:r w:rsidRPr="0047313D">
        <w:rPr>
          <w:rFonts w:ascii="Times New Roman" w:eastAsia="TimesNewRoman" w:hAnsi="Times New Roman" w:cs="Times New Roman"/>
          <w:sz w:val="20"/>
          <w:szCs w:val="20"/>
        </w:rPr>
        <w:t xml:space="preserve"> patients) managed with laparoscopic</w:t>
      </w:r>
      <w:r w:rsidR="009F7A89" w:rsidRPr="0047313D">
        <w:rPr>
          <w:rFonts w:ascii="Times New Roman" w:eastAsia="TimesNewRoman" w:hAnsi="Times New Roman" w:cs="Times New Roman"/>
          <w:sz w:val="20"/>
          <w:szCs w:val="20"/>
        </w:rPr>
        <w:t xml:space="preserve"> </w:t>
      </w:r>
      <w:r w:rsidR="009F1957" w:rsidRPr="0047313D">
        <w:rPr>
          <w:rFonts w:ascii="Times New Roman" w:eastAsia="TimesNewRoman" w:hAnsi="Times New Roman" w:cs="Times New Roman"/>
          <w:sz w:val="20"/>
          <w:szCs w:val="20"/>
        </w:rPr>
        <w:t>(resection</w:t>
      </w:r>
      <w:r w:rsidR="0042068A" w:rsidRPr="0047313D">
        <w:rPr>
          <w:rFonts w:ascii="Times New Roman" w:eastAsia="TimesNewRoman" w:hAnsi="Times New Roman" w:cs="Times New Roman"/>
          <w:sz w:val="20"/>
          <w:szCs w:val="20"/>
        </w:rPr>
        <w:t xml:space="preserve"> or</w:t>
      </w:r>
      <w:r w:rsidR="009F1957" w:rsidRPr="0047313D">
        <w:rPr>
          <w:rFonts w:ascii="Times New Roman" w:eastAsia="TimesNewRoman" w:hAnsi="Times New Roman" w:cs="Times New Roman"/>
          <w:sz w:val="20"/>
          <w:szCs w:val="20"/>
        </w:rPr>
        <w:t xml:space="preserve"> ablation)</w:t>
      </w:r>
      <w:r w:rsidRPr="0047313D">
        <w:rPr>
          <w:rFonts w:ascii="Times New Roman" w:eastAsia="TimesNewRoman" w:hAnsi="Times New Roman" w:cs="Times New Roman"/>
          <w:sz w:val="20"/>
          <w:szCs w:val="20"/>
        </w:rPr>
        <w:t xml:space="preserve"> technique and Group B (</w:t>
      </w:r>
      <w:r w:rsidR="0042068A" w:rsidRPr="0047313D">
        <w:rPr>
          <w:rFonts w:ascii="Times New Roman" w:eastAsia="TimesNewRoman" w:hAnsi="Times New Roman" w:cs="Times New Roman"/>
          <w:sz w:val="20"/>
          <w:szCs w:val="20"/>
        </w:rPr>
        <w:t>50</w:t>
      </w:r>
      <w:r w:rsidR="00BF4DCE" w:rsidRPr="0047313D">
        <w:rPr>
          <w:rFonts w:ascii="Times New Roman" w:eastAsia="TimesNewRoman" w:hAnsi="Times New Roman" w:cs="Times New Roman"/>
          <w:sz w:val="20"/>
          <w:szCs w:val="20"/>
        </w:rPr>
        <w:t xml:space="preserve"> </w:t>
      </w:r>
      <w:r w:rsidRPr="0047313D">
        <w:rPr>
          <w:rFonts w:ascii="Times New Roman" w:eastAsia="TimesNewRoman" w:hAnsi="Times New Roman" w:cs="Times New Roman"/>
          <w:sz w:val="20"/>
          <w:szCs w:val="20"/>
        </w:rPr>
        <w:t xml:space="preserve">patients) managed with open </w:t>
      </w:r>
      <w:r w:rsidR="0042068A" w:rsidRPr="0047313D">
        <w:rPr>
          <w:rFonts w:ascii="Times New Roman" w:eastAsia="TimesNewRoman" w:hAnsi="Times New Roman" w:cs="Times New Roman"/>
          <w:sz w:val="20"/>
          <w:szCs w:val="20"/>
        </w:rPr>
        <w:t xml:space="preserve">surgical management </w:t>
      </w:r>
      <w:r w:rsidR="009F1957" w:rsidRPr="0047313D">
        <w:rPr>
          <w:rFonts w:ascii="Times New Roman" w:eastAsia="TimesNewRoman" w:hAnsi="Times New Roman" w:cs="Times New Roman"/>
          <w:sz w:val="20"/>
          <w:szCs w:val="20"/>
        </w:rPr>
        <w:t>(resection</w:t>
      </w:r>
      <w:r w:rsidR="0042068A" w:rsidRPr="0047313D">
        <w:rPr>
          <w:rFonts w:ascii="Times New Roman" w:eastAsia="TimesNewRoman" w:hAnsi="Times New Roman" w:cs="Times New Roman"/>
          <w:sz w:val="20"/>
          <w:szCs w:val="20"/>
        </w:rPr>
        <w:t xml:space="preserve"> and </w:t>
      </w:r>
      <w:r w:rsidR="009F1957" w:rsidRPr="0047313D">
        <w:rPr>
          <w:rFonts w:ascii="Times New Roman" w:eastAsia="TimesNewRoman" w:hAnsi="Times New Roman" w:cs="Times New Roman"/>
          <w:sz w:val="20"/>
          <w:szCs w:val="20"/>
        </w:rPr>
        <w:t>ablation)</w:t>
      </w:r>
      <w:r w:rsidRPr="0047313D">
        <w:rPr>
          <w:rFonts w:ascii="Times New Roman" w:eastAsia="TimesNewRoman" w:hAnsi="Times New Roman" w:cs="Times New Roman"/>
          <w:sz w:val="20"/>
          <w:szCs w:val="20"/>
        </w:rPr>
        <w:t xml:space="preserve"> technique.</w:t>
      </w:r>
    </w:p>
    <w:p w:rsidR="00BE1238" w:rsidRPr="0047313D" w:rsidRDefault="007C43E2" w:rsidP="005716EE">
      <w:pPr>
        <w:autoSpaceDE w:val="0"/>
        <w:autoSpaceDN w:val="0"/>
        <w:bidi w:val="0"/>
        <w:adjustRightInd w:val="0"/>
        <w:snapToGrid w:val="0"/>
        <w:spacing w:after="0" w:line="240" w:lineRule="auto"/>
        <w:jc w:val="both"/>
        <w:rPr>
          <w:rFonts w:ascii="Times New Roman" w:eastAsia="TimesNewRoman" w:hAnsi="Times New Roman" w:cs="Times New Roman"/>
          <w:b/>
          <w:bCs/>
          <w:sz w:val="20"/>
          <w:szCs w:val="20"/>
        </w:rPr>
      </w:pPr>
      <w:r w:rsidRPr="0047313D">
        <w:rPr>
          <w:rFonts w:ascii="Times New Roman" w:eastAsia="TimesNewRoman" w:hAnsi="Times New Roman" w:cs="Times New Roman"/>
          <w:b/>
          <w:bCs/>
          <w:sz w:val="20"/>
          <w:szCs w:val="20"/>
        </w:rPr>
        <w:lastRenderedPageBreak/>
        <w:t>Inclusion criteria</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1) Tumor site: located in segments II, III, IVb, V, and VI.</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2) Child-Pugh class A.</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3) American Society of Anesthesiologists (ASA) status I</w:t>
      </w:r>
      <w:r w:rsidR="00DE2029" w:rsidRPr="0047313D">
        <w:rPr>
          <w:rFonts w:ascii="Times New Roman" w:eastAsia="TimesNewRoman" w:hAnsi="Times New Roman" w:cs="Times New Roman"/>
          <w:sz w:val="20"/>
          <w:szCs w:val="20"/>
        </w:rPr>
        <w:t xml:space="preserve"> and</w:t>
      </w:r>
      <w:r w:rsidRPr="0047313D">
        <w:rPr>
          <w:rFonts w:ascii="Times New Roman" w:eastAsia="TimesNewRoman" w:hAnsi="Times New Roman" w:cs="Times New Roman"/>
          <w:sz w:val="20"/>
          <w:szCs w:val="20"/>
        </w:rPr>
        <w:t xml:space="preserve"> II patients.</w:t>
      </w:r>
    </w:p>
    <w:p w:rsidR="00BE1238" w:rsidRPr="0047313D" w:rsidRDefault="007C43E2" w:rsidP="005716EE">
      <w:pPr>
        <w:autoSpaceDE w:val="0"/>
        <w:autoSpaceDN w:val="0"/>
        <w:bidi w:val="0"/>
        <w:adjustRightInd w:val="0"/>
        <w:snapToGrid w:val="0"/>
        <w:spacing w:after="0" w:line="240" w:lineRule="auto"/>
        <w:jc w:val="both"/>
        <w:rPr>
          <w:rFonts w:ascii="Times New Roman" w:eastAsia="TimesNewRoman" w:hAnsi="Times New Roman" w:cs="Times New Roman"/>
          <w:b/>
          <w:bCs/>
          <w:sz w:val="20"/>
          <w:szCs w:val="20"/>
        </w:rPr>
      </w:pPr>
      <w:r w:rsidRPr="0047313D">
        <w:rPr>
          <w:rFonts w:ascii="Times New Roman" w:eastAsia="TimesNewRoman" w:hAnsi="Times New Roman" w:cs="Times New Roman"/>
          <w:b/>
          <w:bCs/>
          <w:sz w:val="20"/>
          <w:szCs w:val="20"/>
        </w:rPr>
        <w:t>Exclusion criteria</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47313D">
        <w:rPr>
          <w:rFonts w:ascii="Times New Roman" w:eastAsia="TimesNewRoman" w:hAnsi="Times New Roman" w:cs="Times New Roman"/>
          <w:sz w:val="20"/>
          <w:szCs w:val="20"/>
        </w:rPr>
        <w:t xml:space="preserve">1) Tumor thrombus in the portal vein, hepatic vein, </w:t>
      </w:r>
      <w:r w:rsidR="008E240A" w:rsidRPr="0047313D">
        <w:rPr>
          <w:rFonts w:ascii="Times New Roman" w:eastAsia="TimesNewRoman" w:hAnsi="Times New Roman" w:cs="Times New Roman"/>
          <w:sz w:val="20"/>
          <w:szCs w:val="20"/>
        </w:rPr>
        <w:t>IVC</w:t>
      </w:r>
      <w:r w:rsidR="005716EE" w:rsidRPr="0047313D">
        <w:rPr>
          <w:rFonts w:ascii="Times New Roman" w:hAnsi="Times New Roman" w:cs="Times New Roman" w:hint="eastAsia"/>
          <w:sz w:val="20"/>
          <w:szCs w:val="20"/>
          <w:lang w:eastAsia="zh-CN"/>
        </w:rPr>
        <w:t>.</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or bile duct or invasion of the surrounding tissues.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2) Rupture or bleeding of the tumor.</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 xml:space="preserve">3) </w:t>
      </w:r>
      <w:r w:rsidR="00275B4B" w:rsidRPr="0047313D">
        <w:rPr>
          <w:rFonts w:ascii="Times New Roman" w:eastAsia="TimesNewRoman" w:hAnsi="Times New Roman" w:cs="Times New Roman"/>
          <w:sz w:val="20"/>
          <w:szCs w:val="20"/>
        </w:rPr>
        <w:t>D</w:t>
      </w:r>
      <w:r w:rsidRPr="0047313D">
        <w:rPr>
          <w:rFonts w:ascii="Times New Roman" w:eastAsia="TimesNewRoman" w:hAnsi="Times New Roman" w:cs="Times New Roman"/>
          <w:sz w:val="20"/>
          <w:szCs w:val="20"/>
        </w:rPr>
        <w:t>istant metastasis.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 xml:space="preserve">4) </w:t>
      </w:r>
      <w:r w:rsidR="00275B4B" w:rsidRPr="0047313D">
        <w:rPr>
          <w:rFonts w:ascii="Times New Roman" w:eastAsia="TimesNewRoman" w:hAnsi="Times New Roman" w:cs="Times New Roman"/>
          <w:sz w:val="20"/>
          <w:szCs w:val="20"/>
        </w:rPr>
        <w:t>one of tumor nodules &gt; 3 cm or more than 3 nodules</w:t>
      </w:r>
      <w:r w:rsidR="009F7A89" w:rsidRPr="0047313D">
        <w:rPr>
          <w:rFonts w:ascii="Times New Roman" w:eastAsia="TimesNewRoman" w:hAnsi="Times New Roman" w:cs="Times New Roman"/>
          <w:sz w:val="20"/>
          <w:szCs w:val="20"/>
        </w:rPr>
        <w:t>.</w:t>
      </w:r>
    </w:p>
    <w:p w:rsidR="00BE1238" w:rsidRPr="0047313D" w:rsidRDefault="007C43E2" w:rsidP="005716EE">
      <w:pPr>
        <w:autoSpaceDE w:val="0"/>
        <w:autoSpaceDN w:val="0"/>
        <w:bidi w:val="0"/>
        <w:adjustRightInd w:val="0"/>
        <w:snapToGrid w:val="0"/>
        <w:spacing w:after="0" w:line="240" w:lineRule="auto"/>
        <w:jc w:val="both"/>
        <w:rPr>
          <w:rFonts w:ascii="Times New Roman" w:eastAsia="TimesNewRoman" w:hAnsi="Times New Roman" w:cs="Times New Roman"/>
          <w:b/>
          <w:bCs/>
          <w:sz w:val="20"/>
          <w:szCs w:val="20"/>
        </w:rPr>
      </w:pPr>
      <w:r w:rsidRPr="0047313D">
        <w:rPr>
          <w:rFonts w:ascii="Times New Roman" w:eastAsia="TimesNewRoman" w:hAnsi="Times New Roman" w:cs="Times New Roman"/>
          <w:b/>
          <w:bCs/>
          <w:sz w:val="20"/>
          <w:szCs w:val="20"/>
        </w:rPr>
        <w:t>All Patients were subjected to:</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1. Complete</w:t>
      </w:r>
      <w:r w:rsidR="00275B4B" w:rsidRPr="0047313D">
        <w:rPr>
          <w:rFonts w:ascii="Times New Roman" w:eastAsia="TimesNewRoman" w:hAnsi="Times New Roman" w:cs="Times New Roman"/>
          <w:sz w:val="20"/>
          <w:szCs w:val="20"/>
        </w:rPr>
        <w:t xml:space="preserve"> patient </w:t>
      </w:r>
      <w:r w:rsidRPr="0047313D">
        <w:rPr>
          <w:rFonts w:ascii="Times New Roman" w:eastAsia="TimesNewRoman" w:hAnsi="Times New Roman" w:cs="Times New Roman"/>
          <w:sz w:val="20"/>
          <w:szCs w:val="20"/>
        </w:rPr>
        <w:t>history including personal history, present</w:t>
      </w:r>
      <w:r w:rsidR="00275B4B" w:rsidRPr="0047313D">
        <w:rPr>
          <w:rFonts w:ascii="Times New Roman" w:eastAsia="TimesNewRoman" w:hAnsi="Times New Roman" w:cs="Times New Roman"/>
          <w:sz w:val="20"/>
          <w:szCs w:val="20"/>
        </w:rPr>
        <w:t xml:space="preserve"> illness </w:t>
      </w:r>
      <w:r w:rsidRPr="0047313D">
        <w:rPr>
          <w:rFonts w:ascii="Times New Roman" w:eastAsia="TimesNewRoman" w:hAnsi="Times New Roman" w:cs="Times New Roman"/>
          <w:sz w:val="20"/>
          <w:szCs w:val="20"/>
        </w:rPr>
        <w:t>history, family history and past</w:t>
      </w:r>
      <w:r w:rsidR="00275B4B" w:rsidRPr="0047313D">
        <w:rPr>
          <w:rFonts w:ascii="Times New Roman" w:eastAsia="TimesNewRoman" w:hAnsi="Times New Roman" w:cs="Times New Roman"/>
          <w:sz w:val="20"/>
          <w:szCs w:val="20"/>
        </w:rPr>
        <w:t xml:space="preserve"> medical</w:t>
      </w:r>
      <w:r w:rsidRPr="0047313D">
        <w:rPr>
          <w:rFonts w:ascii="Times New Roman" w:eastAsia="TimesNewRoman" w:hAnsi="Times New Roman" w:cs="Times New Roman"/>
          <w:sz w:val="20"/>
          <w:szCs w:val="20"/>
        </w:rPr>
        <w:t xml:space="preserve"> history.</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 xml:space="preserve">2. </w:t>
      </w:r>
      <w:r w:rsidR="00275B4B" w:rsidRPr="0047313D">
        <w:rPr>
          <w:rFonts w:ascii="Times New Roman" w:eastAsia="TimesNewRoman" w:hAnsi="Times New Roman" w:cs="Times New Roman"/>
          <w:sz w:val="20"/>
          <w:szCs w:val="20"/>
        </w:rPr>
        <w:t>G</w:t>
      </w:r>
      <w:r w:rsidRPr="0047313D">
        <w:rPr>
          <w:rFonts w:ascii="Times New Roman" w:eastAsia="TimesNewRoman" w:hAnsi="Times New Roman" w:cs="Times New Roman"/>
          <w:sz w:val="20"/>
          <w:szCs w:val="20"/>
        </w:rPr>
        <w:t>eneral and local examinations.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3. Laboratory investigations.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4. Radiological investigations.</w:t>
      </w:r>
    </w:p>
    <w:p w:rsidR="00BE1238"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5. Counseling and Informed consent signing.</w:t>
      </w:r>
    </w:p>
    <w:p w:rsidR="00372D4D" w:rsidRPr="0047313D" w:rsidRDefault="007C43E2" w:rsidP="005716EE">
      <w:pPr>
        <w:bidi w:val="0"/>
        <w:snapToGrid w:val="0"/>
        <w:spacing w:after="0" w:line="240" w:lineRule="auto"/>
        <w:jc w:val="both"/>
        <w:rPr>
          <w:rFonts w:ascii="Times New Roman" w:hAnsi="Times New Roman" w:cs="Times New Roman"/>
          <w:b/>
          <w:bCs/>
          <w:sz w:val="20"/>
          <w:szCs w:val="20"/>
        </w:rPr>
      </w:pPr>
      <w:r w:rsidRPr="0047313D">
        <w:rPr>
          <w:rFonts w:ascii="Times New Roman" w:hAnsi="Times New Roman" w:cs="Times New Roman"/>
          <w:b/>
          <w:bCs/>
          <w:sz w:val="20"/>
          <w:szCs w:val="20"/>
        </w:rPr>
        <w:t>Statistical analysis</w:t>
      </w:r>
    </w:p>
    <w:p w:rsidR="00372D4D" w:rsidRPr="0047313D" w:rsidRDefault="007C43E2"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Data collected throughout history, basic clinical examination, laboratory investigations and outcome measures coded, entered and analyzed using Microsoft Excel software. Data were then imported into Statistical Package for the Social Sciences (SPSS version 20.0) </w:t>
      </w:r>
      <w:r w:rsidRPr="0047313D">
        <w:rPr>
          <w:rFonts w:ascii="Times New Roman" w:hAnsi="Times New Roman" w:cs="Times New Roman"/>
          <w:b/>
          <w:bCs/>
          <w:sz w:val="20"/>
          <w:szCs w:val="20"/>
        </w:rPr>
        <w:t>(</w:t>
      </w:r>
      <w:r w:rsidRPr="0047313D">
        <w:rPr>
          <w:rFonts w:ascii="Times New Roman" w:hAnsi="Times New Roman" w:cs="Times New Roman"/>
          <w:sz w:val="20"/>
          <w:szCs w:val="20"/>
        </w:rPr>
        <w:t xml:space="preserve">Statistical Package for the Social Sciences) software for analysis. </w:t>
      </w:r>
      <w:r w:rsidR="00CB5804" w:rsidRPr="0047313D">
        <w:rPr>
          <w:rFonts w:ascii="Times New Roman" w:hAnsi="Times New Roman" w:cs="Times New Roman"/>
          <w:sz w:val="20"/>
          <w:szCs w:val="20"/>
        </w:rPr>
        <w:t xml:space="preserve">According to the type of data qualitative represent as number and percentage, quantitative continues group represent by mean ± SD, the following tests were used to test differences for significance </w:t>
      </w:r>
      <w:r w:rsidRPr="0047313D">
        <w:rPr>
          <w:rFonts w:ascii="Times New Roman" w:hAnsi="Times New Roman" w:cs="Times New Roman"/>
          <w:sz w:val="20"/>
          <w:szCs w:val="20"/>
        </w:rPr>
        <w:t>difference and association of qualitative variable by Chi square test (X</w:t>
      </w:r>
      <w:r w:rsidRPr="0047313D">
        <w:rPr>
          <w:rFonts w:ascii="Times New Roman" w:hAnsi="Times New Roman" w:cs="Times New Roman"/>
          <w:sz w:val="20"/>
          <w:szCs w:val="20"/>
          <w:vertAlign w:val="superscript"/>
        </w:rPr>
        <w:t>2</w:t>
      </w:r>
      <w:r w:rsidRPr="0047313D">
        <w:rPr>
          <w:rFonts w:ascii="Times New Roman" w:hAnsi="Times New Roman" w:cs="Times New Roman"/>
          <w:sz w:val="20"/>
          <w:szCs w:val="20"/>
        </w:rPr>
        <w:t>) OR Fisher. Differences between quantitative paired by paired t multiple groups by ANOVA. P value was set at &lt;0.05 for significant results</w:t>
      </w:r>
      <w:r w:rsidR="009F7A89" w:rsidRPr="0047313D">
        <w:rPr>
          <w:rFonts w:ascii="Times New Roman" w:hAnsi="Times New Roman" w:cs="Times New Roman"/>
          <w:sz w:val="20"/>
          <w:szCs w:val="20"/>
        </w:rPr>
        <w:t xml:space="preserve"> &amp; </w:t>
      </w:r>
      <w:r w:rsidRPr="0047313D">
        <w:rPr>
          <w:rFonts w:ascii="Times New Roman" w:hAnsi="Times New Roman" w:cs="Times New Roman"/>
          <w:sz w:val="20"/>
          <w:szCs w:val="20"/>
        </w:rPr>
        <w:t>&lt;0.001 for high significant result.</w:t>
      </w:r>
    </w:p>
    <w:p w:rsidR="00593E62" w:rsidRPr="0047313D" w:rsidRDefault="00593E62" w:rsidP="005716EE">
      <w:pPr>
        <w:bidi w:val="0"/>
        <w:snapToGrid w:val="0"/>
        <w:spacing w:after="0" w:line="240" w:lineRule="auto"/>
        <w:ind w:firstLine="425"/>
        <w:jc w:val="both"/>
        <w:rPr>
          <w:rFonts w:ascii="Times New Roman" w:hAnsi="Times New Roman" w:cs="Times New Roman"/>
          <w:sz w:val="20"/>
          <w:szCs w:val="20"/>
        </w:rPr>
      </w:pPr>
    </w:p>
    <w:p w:rsidR="00372D4D" w:rsidRPr="0047313D" w:rsidRDefault="00482DB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3. Results</w:t>
      </w:r>
    </w:p>
    <w:p w:rsidR="00372D4D" w:rsidRPr="0047313D" w:rsidRDefault="007C43E2"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This study involved 100 patients with hepatic focal lesions. All the patients included in this study had hepatic focal lesions the patients </w:t>
      </w:r>
      <w:r w:rsidR="00C6766D" w:rsidRPr="0047313D">
        <w:rPr>
          <w:rFonts w:ascii="Times New Roman" w:eastAsia="Times New Roman" w:hAnsi="Times New Roman" w:cs="Times New Roman"/>
          <w:sz w:val="20"/>
          <w:szCs w:val="20"/>
          <w:lang w:bidi="en-US"/>
        </w:rPr>
        <w:t xml:space="preserve">randomly </w:t>
      </w:r>
      <w:r w:rsidRPr="0047313D">
        <w:rPr>
          <w:rFonts w:ascii="Times New Roman" w:eastAsia="Times New Roman" w:hAnsi="Times New Roman" w:cs="Times New Roman"/>
          <w:sz w:val="20"/>
          <w:szCs w:val="20"/>
          <w:lang w:bidi="en-US"/>
        </w:rPr>
        <w:t>divided into 2 groups, Group A (50 patients (50%)) managed with laparoscopic technique. And Group B (50 patients (50 %)) managed with open technique.</w:t>
      </w:r>
    </w:p>
    <w:p w:rsidR="00372D4D" w:rsidRPr="0047313D" w:rsidRDefault="007C43E2" w:rsidP="005716EE">
      <w:pPr>
        <w:pStyle w:val="ListParagraph"/>
        <w:widowControl w:val="0"/>
        <w:autoSpaceDE w:val="0"/>
        <w:autoSpaceDN w:val="0"/>
        <w:bidi w:val="0"/>
        <w:snapToGrid w:val="0"/>
        <w:spacing w:after="0" w:line="240" w:lineRule="auto"/>
        <w:ind w:left="0"/>
        <w:jc w:val="both"/>
        <w:rPr>
          <w:rFonts w:ascii="Times New Roman" w:eastAsia="Times New Roman" w:hAnsi="Times New Roman" w:cs="Times New Roman"/>
          <w:b/>
          <w:sz w:val="20"/>
          <w:szCs w:val="20"/>
          <w:lang w:bidi="en-US"/>
        </w:rPr>
      </w:pPr>
      <w:r w:rsidRPr="0047313D">
        <w:rPr>
          <w:rFonts w:ascii="Times New Roman" w:eastAsia="Times New Roman" w:hAnsi="Times New Roman" w:cs="Times New Roman"/>
          <w:b/>
          <w:sz w:val="20"/>
          <w:szCs w:val="20"/>
          <w:lang w:bidi="en-US"/>
        </w:rPr>
        <w:t>Preoperative data</w:t>
      </w:r>
    </w:p>
    <w:p w:rsidR="00372D4D" w:rsidRPr="0047313D" w:rsidRDefault="007C43E2"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Table </w:t>
      </w:r>
      <w:r w:rsidR="00482DB2" w:rsidRPr="0047313D">
        <w:rPr>
          <w:rFonts w:ascii="Times New Roman" w:eastAsia="Times New Roman" w:hAnsi="Times New Roman" w:cs="Times New Roman"/>
          <w:sz w:val="20"/>
          <w:szCs w:val="20"/>
          <w:lang w:bidi="en-US"/>
        </w:rPr>
        <w:t>(1</w:t>
      </w:r>
      <w:r w:rsidRPr="0047313D">
        <w:rPr>
          <w:rFonts w:ascii="Times New Roman" w:eastAsia="Times New Roman" w:hAnsi="Times New Roman" w:cs="Times New Roman"/>
          <w:sz w:val="20"/>
          <w:szCs w:val="20"/>
          <w:lang w:bidi="en-US"/>
        </w:rPr>
        <w:t xml:space="preserve">) illustrated that the Mean age ±SD in laparoscopic group was </w:t>
      </w:r>
      <w:r w:rsidR="00CB5804" w:rsidRPr="0047313D">
        <w:rPr>
          <w:rFonts w:ascii="Times New Roman" w:eastAsia="Times New Roman" w:hAnsi="Times New Roman" w:cs="Times New Roman"/>
          <w:sz w:val="20"/>
          <w:szCs w:val="20"/>
          <w:lang w:bidi="en-US"/>
        </w:rPr>
        <w:t>60.4 ±</w:t>
      </w:r>
      <w:r w:rsidRPr="0047313D">
        <w:rPr>
          <w:rFonts w:ascii="Times New Roman" w:eastAsia="Times New Roman" w:hAnsi="Times New Roman" w:cs="Times New Roman"/>
          <w:sz w:val="20"/>
          <w:szCs w:val="20"/>
          <w:lang w:bidi="en-US"/>
        </w:rPr>
        <w:t>5.9 ranged between 47-78years while in open group was 56.9 ±6.7ranged between 43-74years with no statistical significant difference between two groups (P =0.223).</w:t>
      </w:r>
    </w:p>
    <w:p w:rsidR="005716EE" w:rsidRPr="0047313D" w:rsidRDefault="005716EE"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482DB2" w:rsidRPr="0047313D" w:rsidRDefault="00482DB2"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1</w:t>
      </w:r>
      <w:r w:rsidRPr="0047313D">
        <w:rPr>
          <w:rFonts w:ascii="Times New Roman" w:eastAsia="Times New Roman" w:hAnsi="Times New Roman" w:cs="Times New Roman"/>
          <w:sz w:val="20"/>
          <w:szCs w:val="20"/>
          <w:lang w:bidi="en-US"/>
        </w:rPr>
        <w:t>): Difference in age between both groups.</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3290"/>
        <w:gridCol w:w="3049"/>
        <w:gridCol w:w="1451"/>
        <w:gridCol w:w="1684"/>
      </w:tblGrid>
      <w:tr w:rsidR="007C43E2" w:rsidRPr="0047313D" w:rsidTr="009F7A89">
        <w:trPr>
          <w:jc w:val="center"/>
        </w:trPr>
        <w:tc>
          <w:tcPr>
            <w:tcW w:w="1736" w:type="pct"/>
            <w:tcBorders>
              <w:top w:val="thinThickSmallGap" w:sz="24" w:space="0" w:color="auto"/>
              <w:left w:val="thinThickSmallGap" w:sz="24" w:space="0" w:color="auto"/>
              <w:bottom w:val="single" w:sz="6" w:space="0" w:color="000000"/>
              <w:right w:val="single" w:sz="6" w:space="0" w:color="000000"/>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Age in years</w:t>
            </w:r>
          </w:p>
        </w:tc>
        <w:tc>
          <w:tcPr>
            <w:tcW w:w="1609"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 age ±SD</w:t>
            </w:r>
          </w:p>
        </w:tc>
        <w:tc>
          <w:tcPr>
            <w:tcW w:w="766"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Range</w:t>
            </w:r>
          </w:p>
        </w:tc>
        <w:tc>
          <w:tcPr>
            <w:tcW w:w="889" w:type="pct"/>
            <w:tcBorders>
              <w:top w:val="thinThickSmallGap" w:sz="24" w:space="0" w:color="auto"/>
              <w:left w:val="single" w:sz="6" w:space="0" w:color="000000"/>
              <w:bottom w:val="single" w:sz="6" w:space="0" w:color="000000"/>
              <w:right w:val="thickThinSmallGap" w:sz="24" w:space="0" w:color="auto"/>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P-value</w:t>
            </w:r>
          </w:p>
        </w:tc>
      </w:tr>
      <w:tr w:rsidR="007C43E2" w:rsidRPr="0047313D" w:rsidTr="009F7A89">
        <w:trPr>
          <w:jc w:val="center"/>
        </w:trPr>
        <w:tc>
          <w:tcPr>
            <w:tcW w:w="173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Group A (n=50)</w:t>
            </w:r>
          </w:p>
        </w:tc>
        <w:tc>
          <w:tcPr>
            <w:tcW w:w="1609" w:type="pct"/>
            <w:tcBorders>
              <w:top w:val="single" w:sz="6" w:space="0" w:color="000000"/>
              <w:left w:val="single" w:sz="6" w:space="0" w:color="000000"/>
              <w:bottom w:val="single" w:sz="6" w:space="0" w:color="000000"/>
              <w:right w:val="single" w:sz="6" w:space="0" w:color="000000"/>
            </w:tcBorders>
            <w:shd w:val="clear" w:color="auto" w:fill="auto"/>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60.4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±5.9</w:t>
            </w:r>
          </w:p>
        </w:tc>
        <w:tc>
          <w:tcPr>
            <w:tcW w:w="766" w:type="pct"/>
            <w:tcBorders>
              <w:top w:val="single" w:sz="6" w:space="0" w:color="000000"/>
              <w:left w:val="single" w:sz="6" w:space="0" w:color="000000"/>
              <w:bottom w:val="single" w:sz="6" w:space="0" w:color="000000"/>
              <w:right w:val="single" w:sz="6" w:space="0" w:color="000000"/>
            </w:tcBorders>
            <w:shd w:val="clear" w:color="auto" w:fill="auto"/>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47-78</w:t>
            </w:r>
          </w:p>
        </w:tc>
        <w:tc>
          <w:tcPr>
            <w:tcW w:w="889" w:type="pct"/>
            <w:vMerge w:val="restart"/>
            <w:tcBorders>
              <w:top w:val="single" w:sz="6" w:space="0" w:color="000000"/>
              <w:left w:val="single" w:sz="6" w:space="0" w:color="000000"/>
              <w:right w:val="thickThinSmallGap" w:sz="24" w:space="0" w:color="auto"/>
            </w:tcBorders>
            <w:shd w:val="clear" w:color="auto" w:fill="auto"/>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0.223</w:t>
            </w:r>
          </w:p>
        </w:tc>
      </w:tr>
      <w:tr w:rsidR="007C43E2" w:rsidRPr="0047313D" w:rsidTr="009F7A89">
        <w:trPr>
          <w:jc w:val="center"/>
        </w:trPr>
        <w:tc>
          <w:tcPr>
            <w:tcW w:w="1736" w:type="pct"/>
            <w:tcBorders>
              <w:top w:val="single" w:sz="6" w:space="0" w:color="000000"/>
              <w:left w:val="thinThickSmallGap" w:sz="24" w:space="0" w:color="auto"/>
              <w:bottom w:val="thickThinSmallGap" w:sz="24" w:space="0" w:color="auto"/>
              <w:right w:val="single" w:sz="6" w:space="0" w:color="000000"/>
            </w:tcBorders>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Group B (n=50)</w:t>
            </w:r>
          </w:p>
        </w:tc>
        <w:tc>
          <w:tcPr>
            <w:tcW w:w="1609"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56.9 ±6.7</w:t>
            </w:r>
          </w:p>
        </w:tc>
        <w:tc>
          <w:tcPr>
            <w:tcW w:w="766"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43-74</w:t>
            </w:r>
          </w:p>
        </w:tc>
        <w:tc>
          <w:tcPr>
            <w:tcW w:w="889" w:type="pct"/>
            <w:vMerge/>
            <w:tcBorders>
              <w:top w:val="nil"/>
              <w:left w:val="single" w:sz="6" w:space="0" w:color="000000"/>
              <w:bottom w:val="thickThinSmallGap" w:sz="24" w:space="0" w:color="auto"/>
              <w:right w:val="thickThinSmallGap" w:sz="24" w:space="0" w:color="auto"/>
            </w:tcBorders>
            <w:shd w:val="clear" w:color="auto" w:fill="auto"/>
            <w:vAlign w:val="center"/>
          </w:tcPr>
          <w:p w:rsidR="00FA28F1" w:rsidRPr="0047313D" w:rsidRDefault="00FA28F1"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bl>
    <w:p w:rsidR="004A10AE" w:rsidRPr="0047313D" w:rsidRDefault="004A10AE"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noProof/>
          <w:sz w:val="20"/>
          <w:szCs w:val="20"/>
        </w:rPr>
      </w:pP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0B2B4B"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Regarding the</w:t>
      </w:r>
      <w:r w:rsidR="00372D4D" w:rsidRPr="0047313D">
        <w:rPr>
          <w:rFonts w:ascii="Times New Roman" w:eastAsia="Times New Roman" w:hAnsi="Times New Roman" w:cs="Times New Roman"/>
          <w:sz w:val="20"/>
          <w:szCs w:val="20"/>
          <w:lang w:bidi="en-US"/>
        </w:rPr>
        <w:t xml:space="preserve"> gender, There was 30 males (60%) and 20 females (40%) in the laparoscopic group and 26 males (52%) and 24 females (48%) in the open group. The difference was not significant. </w:t>
      </w:r>
    </w:p>
    <w:p w:rsidR="00A03204"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In terms of smoking, 24patients (48%) were nonsmokers and 26 patients (52%) were smokers in the laparoscopic group while there 25patients (50%) were nonsmokers and 25 patients (50%) were smokers found in the open </w:t>
      </w:r>
      <w:r w:rsidR="00D41161" w:rsidRPr="0047313D">
        <w:rPr>
          <w:rFonts w:ascii="Times New Roman" w:eastAsia="Times New Roman" w:hAnsi="Times New Roman" w:cs="Times New Roman"/>
          <w:sz w:val="20"/>
          <w:szCs w:val="20"/>
          <w:lang w:bidi="en-US"/>
        </w:rPr>
        <w:t>group.</w:t>
      </w:r>
    </w:p>
    <w:p w:rsidR="009F7A89" w:rsidRPr="0047313D" w:rsidRDefault="00372D4D"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There were no patients in each group showing negative viral markers. 58 patients (98%) had Hepatitis C virus (50 in group A and 48 in group </w:t>
      </w:r>
      <w:r w:rsidR="00CB5804" w:rsidRPr="0047313D">
        <w:rPr>
          <w:rFonts w:ascii="Times New Roman" w:eastAsia="Times New Roman" w:hAnsi="Times New Roman" w:cs="Times New Roman"/>
          <w:sz w:val="20"/>
          <w:szCs w:val="20"/>
          <w:lang w:bidi="en-US"/>
        </w:rPr>
        <w:t>B)</w:t>
      </w:r>
      <w:r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lastRenderedPageBreak/>
        <w:t xml:space="preserve">while only two </w:t>
      </w:r>
      <w:r w:rsidR="00CB5804" w:rsidRPr="0047313D">
        <w:rPr>
          <w:rFonts w:ascii="Times New Roman" w:eastAsia="Times New Roman" w:hAnsi="Times New Roman" w:cs="Times New Roman"/>
          <w:sz w:val="20"/>
          <w:szCs w:val="20"/>
          <w:lang w:bidi="en-US"/>
        </w:rPr>
        <w:t>patients</w:t>
      </w:r>
      <w:r w:rsidRPr="0047313D">
        <w:rPr>
          <w:rFonts w:ascii="Times New Roman" w:eastAsia="Times New Roman" w:hAnsi="Times New Roman" w:cs="Times New Roman"/>
          <w:sz w:val="20"/>
          <w:szCs w:val="20"/>
          <w:lang w:bidi="en-US"/>
        </w:rPr>
        <w:t xml:space="preserve"> (2%) had both hepatitis B</w:t>
      </w:r>
      <w:r w:rsidR="009F7A89" w:rsidRPr="0047313D">
        <w:rPr>
          <w:rFonts w:ascii="Times New Roman" w:eastAsia="Times New Roman" w:hAnsi="Times New Roman" w:cs="Times New Roman"/>
          <w:sz w:val="20"/>
          <w:szCs w:val="20"/>
          <w:lang w:bidi="en-US"/>
        </w:rPr>
        <w:t xml:space="preserve"> &amp; </w:t>
      </w:r>
      <w:r w:rsidRPr="0047313D">
        <w:rPr>
          <w:rFonts w:ascii="Times New Roman" w:eastAsia="Times New Roman" w:hAnsi="Times New Roman" w:cs="Times New Roman"/>
          <w:sz w:val="20"/>
          <w:szCs w:val="20"/>
          <w:lang w:bidi="en-US"/>
        </w:rPr>
        <w:t>C virus.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 difference was not significant</w:t>
      </w:r>
    </w:p>
    <w:p w:rsidR="00372D4D"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H</w:t>
      </w:r>
      <w:r w:rsidR="00372D4D" w:rsidRPr="0047313D">
        <w:rPr>
          <w:rFonts w:ascii="Times New Roman" w:eastAsia="Times New Roman" w:hAnsi="Times New Roman" w:cs="Times New Roman"/>
          <w:sz w:val="20"/>
          <w:szCs w:val="20"/>
          <w:lang w:bidi="en-US"/>
        </w:rPr>
        <w:t>owever, in regards to the past history of medical diseases rather than hepatitis, in the laparoscopic group</w:t>
      </w:r>
      <w:r w:rsidRPr="0047313D">
        <w:rPr>
          <w:rFonts w:ascii="Times New Roman" w:eastAsia="Times New Roman" w:hAnsi="Times New Roman" w:cs="Times New Roman"/>
          <w:sz w:val="20"/>
          <w:szCs w:val="20"/>
          <w:lang w:bidi="en-US"/>
        </w:rPr>
        <w:t xml:space="preserve"> </w:t>
      </w:r>
      <w:r w:rsidR="00372D4D" w:rsidRPr="0047313D">
        <w:rPr>
          <w:rFonts w:ascii="Times New Roman" w:eastAsia="Times New Roman" w:hAnsi="Times New Roman" w:cs="Times New Roman"/>
          <w:sz w:val="20"/>
          <w:szCs w:val="20"/>
          <w:lang w:bidi="en-US"/>
        </w:rPr>
        <w:t>11patients (22%) had associated hypertension, 13patients (26%) had diabetes mellitus while in the open group</w:t>
      </w:r>
      <w:r w:rsidRPr="0047313D">
        <w:rPr>
          <w:rFonts w:ascii="Times New Roman" w:eastAsia="Times New Roman" w:hAnsi="Times New Roman" w:cs="Times New Roman"/>
          <w:sz w:val="20"/>
          <w:szCs w:val="20"/>
          <w:lang w:bidi="en-US"/>
        </w:rPr>
        <w:t xml:space="preserve"> </w:t>
      </w:r>
      <w:r w:rsidR="00372D4D" w:rsidRPr="0047313D">
        <w:rPr>
          <w:rFonts w:ascii="Times New Roman" w:eastAsia="Times New Roman" w:hAnsi="Times New Roman" w:cs="Times New Roman"/>
          <w:sz w:val="20"/>
          <w:szCs w:val="20"/>
          <w:lang w:bidi="en-US"/>
        </w:rPr>
        <w:t>8patients (16%) had associated hypertension, 14patients (28%) had diabetes mellitus and 8 patients (16%) had both combined hypertension and diabetes mellitus in each group.</w:t>
      </w: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4A10AE" w:rsidRPr="0047313D" w:rsidRDefault="004A10AE"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372D4D" w:rsidRPr="0047313D" w:rsidRDefault="007C43E2" w:rsidP="005716EE">
      <w:pPr>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2</w:t>
      </w:r>
      <w:r w:rsidRPr="0047313D">
        <w:rPr>
          <w:rFonts w:ascii="Times New Roman" w:eastAsia="Times New Roman" w:hAnsi="Times New Roman" w:cs="Times New Roman"/>
          <w:sz w:val="20"/>
          <w:szCs w:val="20"/>
          <w:lang w:bidi="en-US"/>
        </w:rPr>
        <w:t xml:space="preserve"> ): Shows the demographic data among the patients included in the study.</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1689"/>
        <w:gridCol w:w="2082"/>
        <w:gridCol w:w="1984"/>
        <w:gridCol w:w="1984"/>
        <w:gridCol w:w="714"/>
        <w:gridCol w:w="1021"/>
      </w:tblGrid>
      <w:tr w:rsidR="007C43E2" w:rsidRPr="0047313D" w:rsidTr="009F7A89">
        <w:trPr>
          <w:jc w:val="center"/>
        </w:trPr>
        <w:tc>
          <w:tcPr>
            <w:tcW w:w="1989" w:type="pct"/>
            <w:gridSpan w:val="2"/>
            <w:vMerge w:val="restart"/>
            <w:tcBorders>
              <w:top w:val="thinThickSmallGap" w:sz="18" w:space="0" w:color="auto"/>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47" w:type="pct"/>
            <w:tcBorders>
              <w:top w:val="thinThickSmallGap" w:sz="18"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1047" w:type="pct"/>
            <w:tcBorders>
              <w:top w:val="thinThickSmallGap" w:sz="18"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377" w:type="pct"/>
            <w:tcBorders>
              <w:top w:val="thinThickSmallGap" w:sz="18"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 X2</w:t>
            </w:r>
          </w:p>
        </w:tc>
        <w:tc>
          <w:tcPr>
            <w:tcW w:w="540" w:type="pct"/>
            <w:vMerge w:val="restart"/>
            <w:tcBorders>
              <w:top w:val="thinThickSmallGap" w:sz="18" w:space="0" w:color="auto"/>
              <w:left w:val="single" w:sz="6" w:space="0" w:color="000000"/>
              <w:bottom w:val="single" w:sz="6" w:space="0" w:color="000000"/>
              <w:right w:val="thickThinSmallGap" w:sz="18" w:space="0" w:color="auto"/>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7C43E2" w:rsidRPr="0047313D" w:rsidTr="009F7A89">
        <w:trPr>
          <w:jc w:val="center"/>
        </w:trPr>
        <w:tc>
          <w:tcPr>
            <w:tcW w:w="1989" w:type="pct"/>
            <w:gridSpan w:val="2"/>
            <w:vMerge/>
            <w:tcBorders>
              <w:top w:val="nil"/>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47"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1047"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377" w:type="pct"/>
            <w:tcBorders>
              <w:top w:val="nil"/>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xxxx</w:t>
            </w:r>
          </w:p>
        </w:tc>
        <w:tc>
          <w:tcPr>
            <w:tcW w:w="540" w:type="pct"/>
            <w:vMerge/>
            <w:tcBorders>
              <w:top w:val="nil"/>
              <w:left w:val="single" w:sz="6" w:space="0" w:color="000000"/>
              <w:bottom w:val="single" w:sz="6" w:space="0" w:color="000000"/>
              <w:right w:val="thickThinSmallGap" w:sz="18" w:space="0" w:color="auto"/>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val="restart"/>
            <w:tcBorders>
              <w:top w:val="single" w:sz="6" w:space="0" w:color="000000"/>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Gender</w:t>
            </w: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Male</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30 (60)</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26 (52)</w:t>
            </w:r>
          </w:p>
        </w:tc>
        <w:tc>
          <w:tcPr>
            <w:tcW w:w="377" w:type="pct"/>
            <w:vMerge w:val="restart"/>
            <w:tcBorders>
              <w:top w:val="single" w:sz="6" w:space="0" w:color="000000"/>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val="restart"/>
            <w:tcBorders>
              <w:top w:val="single" w:sz="6" w:space="0" w:color="000000"/>
              <w:left w:val="single" w:sz="6" w:space="0" w:color="000000"/>
              <w:bottom w:val="single" w:sz="6" w:space="0" w:color="000000"/>
              <w:right w:val="thickThinSmallGap" w:sz="18"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0.718</w:t>
            </w:r>
          </w:p>
        </w:tc>
      </w:tr>
      <w:tr w:rsidR="007C43E2" w:rsidRPr="0047313D" w:rsidTr="009F7A89">
        <w:trPr>
          <w:jc w:val="center"/>
        </w:trPr>
        <w:tc>
          <w:tcPr>
            <w:tcW w:w="891" w:type="pct"/>
            <w:vMerge/>
            <w:tcBorders>
              <w:top w:val="nil"/>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Female</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20 (40)</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24 (48)</w:t>
            </w:r>
          </w:p>
        </w:tc>
        <w:tc>
          <w:tcPr>
            <w:tcW w:w="377" w:type="pct"/>
            <w:vMerge/>
            <w:tcBorders>
              <w:left w:val="single" w:sz="6" w:space="0" w:color="000000"/>
              <w:bottom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top w:val="nil"/>
              <w:left w:val="single" w:sz="6" w:space="0" w:color="000000"/>
              <w:bottom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val="restart"/>
            <w:tcBorders>
              <w:top w:val="single" w:sz="6" w:space="0" w:color="000000"/>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Smoking</w:t>
            </w: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Non smoker</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24(48)</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25(50)</w:t>
            </w:r>
          </w:p>
        </w:tc>
        <w:tc>
          <w:tcPr>
            <w:tcW w:w="377" w:type="pct"/>
            <w:vMerge w:val="restart"/>
            <w:tcBorders>
              <w:top w:val="single" w:sz="6" w:space="0" w:color="000000"/>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val="restart"/>
            <w:tcBorders>
              <w:top w:val="single" w:sz="6" w:space="0" w:color="000000"/>
              <w:left w:val="single" w:sz="6" w:space="0" w:color="000000"/>
              <w:bottom w:val="single" w:sz="6" w:space="0" w:color="000000"/>
              <w:right w:val="thickThinSmallGap" w:sz="18"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0.675</w:t>
            </w:r>
          </w:p>
        </w:tc>
      </w:tr>
      <w:tr w:rsidR="007C43E2" w:rsidRPr="0047313D" w:rsidTr="009F7A89">
        <w:trPr>
          <w:jc w:val="center"/>
        </w:trPr>
        <w:tc>
          <w:tcPr>
            <w:tcW w:w="891" w:type="pct"/>
            <w:vMerge/>
            <w:tcBorders>
              <w:top w:val="nil"/>
              <w:left w:val="thinThickSmallGap" w:sz="18"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Smoker</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26 (52)</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25 (50)</w:t>
            </w:r>
          </w:p>
        </w:tc>
        <w:tc>
          <w:tcPr>
            <w:tcW w:w="377" w:type="pct"/>
            <w:vMerge/>
            <w:tcBorders>
              <w:left w:val="single" w:sz="6" w:space="0" w:color="000000"/>
              <w:bottom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top w:val="nil"/>
              <w:left w:val="single" w:sz="6" w:space="0" w:color="000000"/>
              <w:bottom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val="restart"/>
            <w:tcBorders>
              <w:top w:val="single" w:sz="6" w:space="0" w:color="000000"/>
              <w:left w:val="thinThickSmallGap" w:sz="18"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Co-Morbidity</w:t>
            </w:r>
          </w:p>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p>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Non</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18 (36)</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20 (40)</w:t>
            </w:r>
          </w:p>
        </w:tc>
        <w:tc>
          <w:tcPr>
            <w:tcW w:w="377" w:type="pct"/>
            <w:vMerge w:val="restart"/>
            <w:tcBorders>
              <w:top w:val="single" w:sz="6" w:space="0" w:color="000000"/>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val="restart"/>
            <w:tcBorders>
              <w:top w:val="single" w:sz="6" w:space="0" w:color="000000"/>
              <w:left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0.457</w:t>
            </w:r>
          </w:p>
        </w:tc>
      </w:tr>
      <w:tr w:rsidR="007C43E2" w:rsidRPr="0047313D" w:rsidTr="009F7A89">
        <w:trPr>
          <w:jc w:val="center"/>
        </w:trPr>
        <w:tc>
          <w:tcPr>
            <w:tcW w:w="891" w:type="pct"/>
            <w:vMerge/>
            <w:tcBorders>
              <w:top w:val="nil"/>
              <w:left w:val="thinThickSmallGap" w:sz="18"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HTN</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11 (22)</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 8(16)</w:t>
            </w:r>
          </w:p>
        </w:tc>
        <w:tc>
          <w:tcPr>
            <w:tcW w:w="377" w:type="pct"/>
            <w:vMerge/>
            <w:tcBorders>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left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tcBorders>
              <w:top w:val="nil"/>
              <w:left w:val="thinThickSmallGap" w:sz="18"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DM</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13 (26)</w:t>
            </w:r>
          </w:p>
        </w:tc>
        <w:tc>
          <w:tcPr>
            <w:tcW w:w="1047"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14 (28)</w:t>
            </w:r>
          </w:p>
        </w:tc>
        <w:tc>
          <w:tcPr>
            <w:tcW w:w="377" w:type="pct"/>
            <w:vMerge/>
            <w:tcBorders>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left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tcBorders>
              <w:top w:val="nil"/>
              <w:left w:val="thinThickSmallGap" w:sz="18" w:space="0" w:color="auto"/>
              <w:bottom w:val="single" w:sz="4"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6" w:space="0" w:color="000000"/>
              <w:left w:val="single" w:sz="6" w:space="0" w:color="000000"/>
              <w:bottom w:val="single" w:sz="4" w:space="0" w:color="auto"/>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Others</w:t>
            </w:r>
          </w:p>
        </w:tc>
        <w:tc>
          <w:tcPr>
            <w:tcW w:w="1047" w:type="pct"/>
            <w:tcBorders>
              <w:top w:val="single" w:sz="6" w:space="0" w:color="000000"/>
              <w:left w:val="single" w:sz="6" w:space="0" w:color="000000"/>
              <w:bottom w:val="single" w:sz="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8(16)</w:t>
            </w:r>
          </w:p>
        </w:tc>
        <w:tc>
          <w:tcPr>
            <w:tcW w:w="1047" w:type="pct"/>
            <w:tcBorders>
              <w:top w:val="single" w:sz="6" w:space="0" w:color="000000"/>
              <w:left w:val="single" w:sz="6" w:space="0" w:color="000000"/>
              <w:bottom w:val="single" w:sz="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8(16)</w:t>
            </w:r>
          </w:p>
        </w:tc>
        <w:tc>
          <w:tcPr>
            <w:tcW w:w="377" w:type="pct"/>
            <w:vMerge/>
            <w:tcBorders>
              <w:left w:val="single" w:sz="6" w:space="0" w:color="000000"/>
              <w:bottom w:val="single" w:sz="4" w:space="0" w:color="auto"/>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left w:val="single" w:sz="6" w:space="0" w:color="000000"/>
              <w:bottom w:val="single" w:sz="4" w:space="0" w:color="auto"/>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val="restart"/>
            <w:tcBorders>
              <w:top w:val="single" w:sz="4" w:space="0" w:color="auto"/>
              <w:left w:val="thinThickSmallGap" w:sz="18"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viral markers</w:t>
            </w:r>
          </w:p>
        </w:tc>
        <w:tc>
          <w:tcPr>
            <w:tcW w:w="1099" w:type="pct"/>
            <w:tcBorders>
              <w:top w:val="single" w:sz="4" w:space="0" w:color="auto"/>
              <w:left w:val="single" w:sz="6" w:space="0" w:color="000000"/>
              <w:bottom w:val="single" w:sz="4" w:space="0" w:color="auto"/>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HCV positive</w:t>
            </w:r>
          </w:p>
        </w:tc>
        <w:tc>
          <w:tcPr>
            <w:tcW w:w="1047" w:type="pct"/>
            <w:tcBorders>
              <w:top w:val="single" w:sz="4" w:space="0" w:color="auto"/>
              <w:left w:val="single" w:sz="6" w:space="0" w:color="000000"/>
              <w:bottom w:val="single" w:sz="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100</w:t>
            </w:r>
          </w:p>
        </w:tc>
        <w:tc>
          <w:tcPr>
            <w:tcW w:w="1047" w:type="pct"/>
            <w:tcBorders>
              <w:top w:val="single" w:sz="4" w:space="0" w:color="auto"/>
              <w:left w:val="single" w:sz="6" w:space="0" w:color="000000"/>
              <w:bottom w:val="single" w:sz="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96</w:t>
            </w:r>
          </w:p>
        </w:tc>
        <w:tc>
          <w:tcPr>
            <w:tcW w:w="377" w:type="pct"/>
            <w:vMerge w:val="restart"/>
            <w:tcBorders>
              <w:top w:val="single" w:sz="4" w:space="0" w:color="auto"/>
              <w:left w:val="single" w:sz="6" w:space="0" w:color="000000"/>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val="restart"/>
            <w:tcBorders>
              <w:top w:val="single" w:sz="4" w:space="0" w:color="auto"/>
              <w:left w:val="single" w:sz="6" w:space="0" w:color="000000"/>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891" w:type="pct"/>
            <w:vMerge/>
            <w:tcBorders>
              <w:left w:val="thinThickSmallGap" w:sz="18" w:space="0" w:color="auto"/>
              <w:bottom w:val="thickThinSmallGap" w:sz="18" w:space="0" w:color="auto"/>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099" w:type="pct"/>
            <w:tcBorders>
              <w:top w:val="single" w:sz="4" w:space="0" w:color="auto"/>
              <w:left w:val="single" w:sz="6" w:space="0" w:color="000000"/>
              <w:bottom w:val="thickThinSmallGap" w:sz="18" w:space="0" w:color="auto"/>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Combined C</w:t>
            </w:r>
            <w:r w:rsidR="009F7A89" w:rsidRPr="0047313D">
              <w:rPr>
                <w:rFonts w:ascii="Times New Roman" w:eastAsia="Times New Roman" w:hAnsi="Times New Roman" w:cs="Times New Roman"/>
                <w:i/>
                <w:sz w:val="20"/>
                <w:szCs w:val="20"/>
                <w:lang w:bidi="en-US"/>
              </w:rPr>
              <w:t xml:space="preserve"> &amp; </w:t>
            </w:r>
            <w:r w:rsidRPr="0047313D">
              <w:rPr>
                <w:rFonts w:ascii="Times New Roman" w:eastAsia="Times New Roman" w:hAnsi="Times New Roman" w:cs="Times New Roman"/>
                <w:i/>
                <w:sz w:val="20"/>
                <w:szCs w:val="20"/>
                <w:lang w:bidi="en-US"/>
              </w:rPr>
              <w:t>B</w:t>
            </w:r>
          </w:p>
        </w:tc>
        <w:tc>
          <w:tcPr>
            <w:tcW w:w="1047" w:type="pct"/>
            <w:tcBorders>
              <w:top w:val="single" w:sz="4" w:space="0" w:color="auto"/>
              <w:left w:val="single" w:sz="6" w:space="0" w:color="000000"/>
              <w:bottom w:val="thickThinSmallGap" w:sz="18"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1047" w:type="pct"/>
            <w:tcBorders>
              <w:top w:val="single" w:sz="4" w:space="0" w:color="auto"/>
              <w:left w:val="single" w:sz="6" w:space="0" w:color="000000"/>
              <w:bottom w:val="thickThinSmallGap" w:sz="18"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w:t>
            </w:r>
          </w:p>
        </w:tc>
        <w:tc>
          <w:tcPr>
            <w:tcW w:w="377" w:type="pct"/>
            <w:vMerge/>
            <w:tcBorders>
              <w:left w:val="single" w:sz="6" w:space="0" w:color="000000"/>
              <w:bottom w:val="thickThinSmallGap" w:sz="18" w:space="0" w:color="auto"/>
              <w:right w:val="single" w:sz="6" w:space="0" w:color="000000"/>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540" w:type="pct"/>
            <w:vMerge/>
            <w:tcBorders>
              <w:left w:val="single" w:sz="6" w:space="0" w:color="000000"/>
              <w:bottom w:val="thickThinSmallGap" w:sz="18" w:space="0" w:color="auto"/>
              <w:right w:val="thickThinSmallGap" w:sz="18" w:space="0" w:color="auto"/>
            </w:tcBorders>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bl>
    <w:p w:rsidR="000B2B4B" w:rsidRPr="0047313D" w:rsidRDefault="000B2B4B" w:rsidP="005716EE">
      <w:pPr>
        <w:widowControl w:val="0"/>
        <w:autoSpaceDE w:val="0"/>
        <w:autoSpaceDN w:val="0"/>
        <w:bidi w:val="0"/>
        <w:snapToGrid w:val="0"/>
        <w:spacing w:after="0" w:line="240" w:lineRule="auto"/>
        <w:ind w:firstLine="425"/>
        <w:jc w:val="both"/>
        <w:outlineLvl w:val="0"/>
        <w:rPr>
          <w:rFonts w:ascii="Times New Roman" w:eastAsia="Britannic Bold" w:hAnsi="Times New Roman" w:cs="Times New Roman"/>
          <w:sz w:val="20"/>
          <w:szCs w:val="20"/>
          <w:lang w:bidi="en-US"/>
        </w:rPr>
      </w:pPr>
    </w:p>
    <w:p w:rsidR="00372D4D" w:rsidRPr="0047313D" w:rsidRDefault="007C43E2" w:rsidP="005716EE">
      <w:pPr>
        <w:pStyle w:val="ListParagraph"/>
        <w:widowControl w:val="0"/>
        <w:autoSpaceDE w:val="0"/>
        <w:autoSpaceDN w:val="0"/>
        <w:bidi w:val="0"/>
        <w:snapToGrid w:val="0"/>
        <w:spacing w:after="0" w:line="240" w:lineRule="auto"/>
        <w:ind w:left="0"/>
        <w:jc w:val="both"/>
        <w:outlineLvl w:val="0"/>
        <w:rPr>
          <w:rFonts w:ascii="Times New Roman" w:eastAsia="Britannic Bold" w:hAnsi="Times New Roman" w:cs="Times New Roman"/>
          <w:b/>
          <w:bCs/>
          <w:sz w:val="20"/>
          <w:szCs w:val="20"/>
          <w:lang w:bidi="en-US"/>
        </w:rPr>
      </w:pPr>
      <w:r w:rsidRPr="0047313D">
        <w:rPr>
          <w:rFonts w:ascii="Times New Roman" w:eastAsia="Britannic Bold" w:hAnsi="Times New Roman" w:cs="Times New Roman"/>
          <w:b/>
          <w:bCs/>
          <w:sz w:val="20"/>
          <w:szCs w:val="20"/>
          <w:lang w:bidi="en-US"/>
        </w:rPr>
        <w:t>Preoperative investigations</w:t>
      </w:r>
    </w:p>
    <w:p w:rsidR="005716EE" w:rsidRPr="0047313D" w:rsidRDefault="005716EE" w:rsidP="005716EE">
      <w:pPr>
        <w:bidi w:val="0"/>
        <w:snapToGrid w:val="0"/>
        <w:spacing w:after="0" w:line="240" w:lineRule="auto"/>
        <w:ind w:firstLine="425"/>
        <w:jc w:val="both"/>
        <w:rPr>
          <w:rFonts w:ascii="Times New Roman" w:hAnsi="Times New Roman" w:cs="Times New Roman"/>
          <w:sz w:val="20"/>
          <w:szCs w:val="20"/>
          <w:lang w:eastAsia="zh-CN" w:bidi="en-US"/>
        </w:rPr>
      </w:pPr>
    </w:p>
    <w:p w:rsidR="00372D4D" w:rsidRPr="0047313D" w:rsidRDefault="007C43E2" w:rsidP="005716EE">
      <w:pPr>
        <w:bidi w:val="0"/>
        <w:snapToGrid w:val="0"/>
        <w:spacing w:after="0" w:line="240" w:lineRule="auto"/>
        <w:jc w:val="both"/>
        <w:rPr>
          <w:rFonts w:ascii="Times New Roman" w:hAnsi="Times New Roman" w:cs="Times New Roman"/>
          <w:sz w:val="20"/>
          <w:szCs w:val="20"/>
          <w:lang w:eastAsia="zh-CN" w:bidi="en-US"/>
        </w:rPr>
      </w:pPr>
      <w:r w:rsidRPr="0047313D">
        <w:rPr>
          <w:rFonts w:ascii="Times New Roman" w:eastAsia="Times New Roman" w:hAnsi="Times New Roman" w:cs="Times New Roman"/>
          <w:sz w:val="20"/>
          <w:szCs w:val="20"/>
          <w:lang w:bidi="en-US"/>
        </w:rPr>
        <w:t xml:space="preserve">Table </w:t>
      </w:r>
      <w:r w:rsidR="00482DB2" w:rsidRPr="0047313D">
        <w:rPr>
          <w:rFonts w:ascii="Times New Roman" w:eastAsia="Times New Roman" w:hAnsi="Times New Roman" w:cs="Times New Roman"/>
          <w:sz w:val="20"/>
          <w:szCs w:val="20"/>
          <w:lang w:bidi="en-US"/>
        </w:rPr>
        <w:t>(3</w:t>
      </w:r>
      <w:r w:rsidRPr="0047313D">
        <w:rPr>
          <w:rFonts w:ascii="Times New Roman" w:eastAsia="Times New Roman" w:hAnsi="Times New Roman" w:cs="Times New Roman"/>
          <w:sz w:val="20"/>
          <w:szCs w:val="20"/>
          <w:lang w:bidi="en-US"/>
        </w:rPr>
        <w:t>): Shows the preoperative investigations among the patients included in the study. By comparing the means of laboratory results between both groups, no significant differences could be found.</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1660"/>
        <w:gridCol w:w="1764"/>
        <w:gridCol w:w="1499"/>
        <w:gridCol w:w="1800"/>
        <w:gridCol w:w="1463"/>
        <w:gridCol w:w="1288"/>
      </w:tblGrid>
      <w:tr w:rsidR="007C43E2" w:rsidRPr="0047313D" w:rsidTr="005716EE">
        <w:trPr>
          <w:jc w:val="center"/>
        </w:trPr>
        <w:tc>
          <w:tcPr>
            <w:tcW w:w="876" w:type="pct"/>
            <w:vMerge w:val="restart"/>
            <w:tcBorders>
              <w:top w:val="thinThickSmallGap" w:sz="24" w:space="0" w:color="auto"/>
              <w:left w:val="thinThickSmallGap" w:sz="24"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722" w:type="pct"/>
            <w:gridSpan w:val="2"/>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1722" w:type="pct"/>
            <w:gridSpan w:val="2"/>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680" w:type="pct"/>
            <w:vMerge w:val="restart"/>
            <w:tcBorders>
              <w:top w:val="thinThickSmallGap" w:sz="24" w:space="0" w:color="auto"/>
              <w:left w:val="single" w:sz="6" w:space="0" w:color="000000"/>
              <w:bottom w:val="single" w:sz="6" w:space="0" w:color="000000"/>
              <w:right w:val="thickThinSmallGap" w:sz="24" w:space="0" w:color="auto"/>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w:t>
            </w: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value</w:t>
            </w:r>
          </w:p>
        </w:tc>
      </w:tr>
      <w:tr w:rsidR="007C43E2" w:rsidRPr="0047313D" w:rsidTr="005716EE">
        <w:trPr>
          <w:jc w:val="center"/>
        </w:trPr>
        <w:tc>
          <w:tcPr>
            <w:tcW w:w="876" w:type="pct"/>
            <w:vMerge/>
            <w:tcBorders>
              <w:top w:val="nil"/>
              <w:left w:val="thinThickSmallGap" w:sz="24"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31"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w:t>
            </w:r>
          </w:p>
        </w:tc>
        <w:tc>
          <w:tcPr>
            <w:tcW w:w="791"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SD</w:t>
            </w:r>
          </w:p>
        </w:tc>
        <w:tc>
          <w:tcPr>
            <w:tcW w:w="950"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w:t>
            </w:r>
          </w:p>
        </w:tc>
        <w:tc>
          <w:tcPr>
            <w:tcW w:w="772"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SD</w:t>
            </w:r>
          </w:p>
        </w:tc>
        <w:tc>
          <w:tcPr>
            <w:tcW w:w="680" w:type="pct"/>
            <w:vMerge/>
            <w:tcBorders>
              <w:top w:val="nil"/>
              <w:left w:val="single" w:sz="6" w:space="0" w:color="000000"/>
              <w:bottom w:val="single" w:sz="6" w:space="0" w:color="000000"/>
              <w:right w:val="thickThinSmallGap" w:sz="24" w:space="0" w:color="auto"/>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AST</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 77.5</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35.9</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75.6</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43.9</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0.426</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ALT</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67.6</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34.7</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64.8</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36.2</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0.872</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T. BIL</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1.1</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0.37</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0.94</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0.32</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0.167 </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ALB</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3.5 </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0.43</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3.62</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0.4 </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0.294</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ALP</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102.5</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46.8</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119.5</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44.3</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0.077</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INR</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1.2</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0.13</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1.14</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0.12</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0.345</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CREAT</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0.83</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0.23</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0.81</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0.18</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0.075</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HB</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13.2</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1.2</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13.15</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1.9</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0.679</w:t>
            </w:r>
          </w:p>
        </w:tc>
      </w:tr>
      <w:tr w:rsidR="007C43E2" w:rsidRPr="0047313D" w:rsidTr="005716EE">
        <w:trPr>
          <w:jc w:val="center"/>
        </w:trPr>
        <w:tc>
          <w:tcPr>
            <w:tcW w:w="876" w:type="pct"/>
            <w:tcBorders>
              <w:top w:val="single" w:sz="6" w:space="0" w:color="000000"/>
              <w:left w:val="thinThickSmallGap" w:sz="24" w:space="0" w:color="auto"/>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TLC</w:t>
            </w:r>
          </w:p>
        </w:tc>
        <w:tc>
          <w:tcPr>
            <w:tcW w:w="9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5.4</w:t>
            </w:r>
          </w:p>
        </w:tc>
        <w:tc>
          <w:tcPr>
            <w:tcW w:w="7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1.8 </w:t>
            </w:r>
          </w:p>
        </w:tc>
        <w:tc>
          <w:tcPr>
            <w:tcW w:w="9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6.39</w:t>
            </w:r>
          </w:p>
        </w:tc>
        <w:tc>
          <w:tcPr>
            <w:tcW w:w="772" w:type="pct"/>
            <w:tcBorders>
              <w:top w:val="single" w:sz="6" w:space="0" w:color="000000"/>
              <w:left w:val="single" w:sz="6" w:space="0" w:color="000000"/>
              <w:bottom w:val="single" w:sz="6" w:space="0" w:color="000000"/>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1.91</w:t>
            </w:r>
          </w:p>
        </w:tc>
        <w:tc>
          <w:tcPr>
            <w:tcW w:w="680" w:type="pct"/>
            <w:tcBorders>
              <w:top w:val="single" w:sz="6" w:space="0" w:color="000000"/>
              <w:left w:val="single" w:sz="6" w:space="0" w:color="000000"/>
              <w:bottom w:val="single" w:sz="6" w:space="0" w:color="000000"/>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0.08</w:t>
            </w:r>
          </w:p>
        </w:tc>
      </w:tr>
      <w:tr w:rsidR="007C43E2" w:rsidRPr="0047313D" w:rsidTr="005716EE">
        <w:trPr>
          <w:jc w:val="center"/>
        </w:trPr>
        <w:tc>
          <w:tcPr>
            <w:tcW w:w="876" w:type="pct"/>
            <w:tcBorders>
              <w:top w:val="single" w:sz="6" w:space="0" w:color="000000"/>
              <w:left w:val="thinThickSmallGap" w:sz="24" w:space="0" w:color="auto"/>
              <w:bottom w:val="thickThinSmallGap" w:sz="24" w:space="0" w:color="auto"/>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PLT</w:t>
            </w:r>
          </w:p>
        </w:tc>
        <w:tc>
          <w:tcPr>
            <w:tcW w:w="931"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124.56</w:t>
            </w:r>
          </w:p>
        </w:tc>
        <w:tc>
          <w:tcPr>
            <w:tcW w:w="791"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39.15</w:t>
            </w:r>
          </w:p>
        </w:tc>
        <w:tc>
          <w:tcPr>
            <w:tcW w:w="950"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145.7</w:t>
            </w:r>
          </w:p>
        </w:tc>
        <w:tc>
          <w:tcPr>
            <w:tcW w:w="772"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61.9</w:t>
            </w:r>
          </w:p>
        </w:tc>
        <w:tc>
          <w:tcPr>
            <w:tcW w:w="680" w:type="pct"/>
            <w:tcBorders>
              <w:top w:val="single" w:sz="6" w:space="0" w:color="000000"/>
              <w:left w:val="single" w:sz="6" w:space="0" w:color="000000"/>
              <w:bottom w:val="thickThinSmallGap" w:sz="24" w:space="0" w:color="auto"/>
              <w:right w:val="thickThinSmallGap" w:sz="24" w:space="0" w:color="auto"/>
            </w:tcBorders>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0.098</w:t>
            </w:r>
          </w:p>
        </w:tc>
      </w:tr>
    </w:tbl>
    <w:p w:rsidR="00372D4D" w:rsidRPr="0047313D" w:rsidRDefault="00372D4D" w:rsidP="005716EE">
      <w:pPr>
        <w:bidi w:val="0"/>
        <w:snapToGrid w:val="0"/>
        <w:spacing w:after="0" w:line="240" w:lineRule="auto"/>
        <w:ind w:firstLine="425"/>
        <w:jc w:val="both"/>
        <w:rPr>
          <w:rFonts w:ascii="Times New Roman" w:eastAsia="TimesNewRoman" w:hAnsi="Times New Roman" w:cs="Times New Roman"/>
          <w:iCs/>
          <w:sz w:val="20"/>
          <w:szCs w:val="20"/>
        </w:rPr>
      </w:pP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372D4D"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 xml:space="preserve">The median Alpha fetoprotein level in laparoscopic group was 62.6 ng/ml ranging between 4.1-978 ng/ml, while the median level in open group </w:t>
      </w:r>
      <w:r w:rsidRPr="0047313D">
        <w:rPr>
          <w:rFonts w:ascii="Times New Roman" w:eastAsia="Times New Roman" w:hAnsi="Times New Roman" w:cs="Times New Roman"/>
          <w:sz w:val="20"/>
          <w:szCs w:val="20"/>
          <w:lang w:bidi="en-US"/>
        </w:rPr>
        <w:lastRenderedPageBreak/>
        <w:t>was 53</w:t>
      </w:r>
      <w:r w:rsidR="0047313D">
        <w:rPr>
          <w:rFonts w:ascii="Times New Roman" w:hAnsi="Times New Roman" w:cs="Times New Roman" w:hint="eastAsia"/>
          <w:sz w:val="20"/>
          <w:szCs w:val="20"/>
          <w:lang w:eastAsia="zh-CN" w:bidi="en-US"/>
        </w:rPr>
        <w:t xml:space="preserve"> </w:t>
      </w:r>
      <w:r w:rsidR="00CB5804"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ng/ml</w:t>
      </w:r>
      <w:r w:rsidR="00CB5804"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 ranging between 2</w:t>
      </w:r>
      <w:r w:rsidR="00CB5804" w:rsidRPr="0047313D">
        <w:rPr>
          <w:rFonts w:ascii="Times New Roman" w:eastAsia="Times New Roman" w:hAnsi="Times New Roman" w:cs="Times New Roman"/>
          <w:sz w:val="20"/>
          <w:szCs w:val="20"/>
          <w:lang w:bidi="en-US"/>
        </w:rPr>
        <w:t xml:space="preserve"> and</w:t>
      </w:r>
      <w:r w:rsid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 xml:space="preserve">1602 </w:t>
      </w:r>
      <w:r w:rsidR="00CB5804"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ng/ml</w:t>
      </w:r>
      <w:r w:rsidR="00CB5804"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 xml:space="preserve">, and showing no statistical significant difference between both groups. </w:t>
      </w: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372D4D" w:rsidRPr="0047313D" w:rsidRDefault="00372D4D"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372D4D" w:rsidRPr="0047313D" w:rsidRDefault="007C43E2" w:rsidP="005716EE">
      <w:pPr>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4</w:t>
      </w:r>
      <w:r w:rsidRPr="0047313D">
        <w:rPr>
          <w:rFonts w:ascii="Times New Roman" w:eastAsia="Times New Roman" w:hAnsi="Times New Roman" w:cs="Times New Roman"/>
          <w:sz w:val="20"/>
          <w:szCs w:val="20"/>
          <w:lang w:bidi="en-US"/>
        </w:rPr>
        <w:t xml:space="preserve">): Preoperative </w:t>
      </w:r>
      <w:r w:rsidR="00CB5804" w:rsidRPr="0047313D">
        <w:rPr>
          <w:rFonts w:ascii="Times New Roman" w:eastAsia="Times New Roman" w:hAnsi="Times New Roman" w:cs="Times New Roman"/>
          <w:sz w:val="20"/>
          <w:szCs w:val="20"/>
          <w:lang w:bidi="en-US"/>
        </w:rPr>
        <w:t>Alfa</w:t>
      </w:r>
      <w:r w:rsidRPr="0047313D">
        <w:rPr>
          <w:rFonts w:ascii="Times New Roman" w:eastAsia="Times New Roman" w:hAnsi="Times New Roman" w:cs="Times New Roman"/>
          <w:sz w:val="20"/>
          <w:szCs w:val="20"/>
          <w:lang w:bidi="en-US"/>
        </w:rPr>
        <w:t xml:space="preserve"> feto-protein levels in both groups. </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796"/>
        <w:gridCol w:w="1199"/>
        <w:gridCol w:w="1457"/>
        <w:gridCol w:w="1216"/>
        <w:gridCol w:w="1143"/>
        <w:gridCol w:w="2448"/>
        <w:gridCol w:w="1215"/>
      </w:tblGrid>
      <w:tr w:rsidR="007C43E2" w:rsidRPr="0047313D" w:rsidTr="009F7A89">
        <w:trPr>
          <w:jc w:val="center"/>
        </w:trPr>
        <w:tc>
          <w:tcPr>
            <w:tcW w:w="420" w:type="pct"/>
            <w:vMerge w:val="restart"/>
            <w:tcBorders>
              <w:top w:val="thinThickSmallGap" w:sz="24" w:space="0" w:color="auto"/>
              <w:left w:val="thinThickSmallGap" w:sz="24"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401" w:type="pct"/>
            <w:gridSpan w:val="2"/>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1245" w:type="pct"/>
            <w:gridSpan w:val="2"/>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1292" w:type="pct"/>
            <w:vMerge w:val="restart"/>
            <w:tcBorders>
              <w:top w:val="thinThickSmallGap" w:sz="24" w:space="0" w:color="auto"/>
              <w:left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 xml:space="preserve">Man </w:t>
            </w:r>
            <w:r w:rsidR="00CB5804" w:rsidRPr="0047313D">
              <w:rPr>
                <w:rFonts w:ascii="Times New Roman" w:eastAsia="Times New Roman" w:hAnsi="Times New Roman" w:cs="Times New Roman"/>
                <w:i/>
                <w:sz w:val="20"/>
                <w:szCs w:val="20"/>
                <w:lang w:bidi="en-US"/>
              </w:rPr>
              <w:t>whitney</w:t>
            </w:r>
            <w:r w:rsidRPr="0047313D">
              <w:rPr>
                <w:rFonts w:ascii="Times New Roman" w:eastAsia="Times New Roman" w:hAnsi="Times New Roman" w:cs="Times New Roman"/>
                <w:i/>
                <w:sz w:val="20"/>
                <w:szCs w:val="20"/>
                <w:lang w:bidi="en-US"/>
              </w:rPr>
              <w:t xml:space="preserve"> test</w:t>
            </w:r>
          </w:p>
        </w:tc>
        <w:tc>
          <w:tcPr>
            <w:tcW w:w="642" w:type="pct"/>
            <w:vMerge w:val="restart"/>
            <w:tcBorders>
              <w:top w:val="thinThickSmallGap" w:sz="24" w:space="0" w:color="auto"/>
              <w:left w:val="single" w:sz="6" w:space="0" w:color="000000"/>
              <w:bottom w:val="single" w:sz="6" w:space="0" w:color="000000"/>
              <w:right w:val="thickThinSmallGap" w:sz="24" w:space="0" w:color="auto"/>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9F7A89" w:rsidRPr="0047313D" w:rsidTr="009F7A89">
        <w:trPr>
          <w:jc w:val="center"/>
        </w:trPr>
        <w:tc>
          <w:tcPr>
            <w:tcW w:w="420" w:type="pct"/>
            <w:vMerge/>
            <w:tcBorders>
              <w:top w:val="nil"/>
              <w:left w:val="thinThickSmallGap" w:sz="24" w:space="0" w:color="auto"/>
              <w:bottom w:val="single" w:sz="6" w:space="0" w:color="000000"/>
              <w:right w:val="single" w:sz="6" w:space="0" w:color="000000"/>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633"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Median</w:t>
            </w:r>
          </w:p>
        </w:tc>
        <w:tc>
          <w:tcPr>
            <w:tcW w:w="769"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Range</w:t>
            </w:r>
          </w:p>
        </w:tc>
        <w:tc>
          <w:tcPr>
            <w:tcW w:w="642"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Median</w:t>
            </w:r>
          </w:p>
        </w:tc>
        <w:tc>
          <w:tcPr>
            <w:tcW w:w="603"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Range</w:t>
            </w:r>
          </w:p>
        </w:tc>
        <w:tc>
          <w:tcPr>
            <w:tcW w:w="1292" w:type="pct"/>
            <w:vMerge/>
            <w:tcBorders>
              <w:left w:val="single" w:sz="6" w:space="0" w:color="000000"/>
              <w:bottom w:val="single" w:sz="4" w:space="0" w:color="auto"/>
              <w:right w:val="single" w:sz="6" w:space="0" w:color="000000"/>
            </w:tcBorders>
            <w:shd w:val="clear" w:color="auto" w:fill="D9D9D9"/>
            <w:vAlign w:val="center"/>
          </w:tcPr>
          <w:p w:rsidR="00372D4D" w:rsidRPr="0047313D" w:rsidRDefault="00372D4D" w:rsidP="005716EE">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en-US"/>
              </w:rPr>
            </w:pPr>
          </w:p>
        </w:tc>
        <w:tc>
          <w:tcPr>
            <w:tcW w:w="642" w:type="pct"/>
            <w:vMerge/>
            <w:tcBorders>
              <w:top w:val="nil"/>
              <w:left w:val="single" w:sz="6" w:space="0" w:color="000000"/>
              <w:bottom w:val="single" w:sz="6" w:space="0" w:color="000000"/>
              <w:right w:val="thickThinSmallGap" w:sz="24" w:space="0" w:color="auto"/>
            </w:tcBorders>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420" w:type="pct"/>
            <w:tcBorders>
              <w:top w:val="single" w:sz="6" w:space="0" w:color="000000"/>
              <w:left w:val="thinThickSmallGap" w:sz="24" w:space="0" w:color="auto"/>
              <w:bottom w:val="thickThinSmallGap" w:sz="24" w:space="0" w:color="auto"/>
              <w:right w:val="single" w:sz="6" w:space="0" w:color="000000"/>
            </w:tcBorders>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AFP</w:t>
            </w:r>
          </w:p>
        </w:tc>
        <w:tc>
          <w:tcPr>
            <w:tcW w:w="633" w:type="pct"/>
            <w:tcBorders>
              <w:top w:val="single" w:sz="6" w:space="0" w:color="000000"/>
              <w:left w:val="single" w:sz="6" w:space="0" w:color="000000"/>
              <w:bottom w:val="thickThinSmallGap" w:sz="24" w:space="0" w:color="auto"/>
              <w:right w:val="single" w:sz="6" w:space="0" w:color="000000"/>
            </w:tcBorders>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62.5</w:t>
            </w:r>
          </w:p>
        </w:tc>
        <w:tc>
          <w:tcPr>
            <w:tcW w:w="769" w:type="pct"/>
            <w:tcBorders>
              <w:top w:val="single" w:sz="6" w:space="0" w:color="000000"/>
              <w:left w:val="single" w:sz="6" w:space="0" w:color="000000"/>
              <w:bottom w:val="thickThinSmallGap" w:sz="24" w:space="0" w:color="auto"/>
              <w:right w:val="single" w:sz="6" w:space="0" w:color="000000"/>
            </w:tcBorders>
            <w:vAlign w:val="center"/>
          </w:tcPr>
          <w:p w:rsidR="00372D4D" w:rsidRPr="0047313D" w:rsidRDefault="009F7A89"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4.1 - 978</w:t>
            </w:r>
          </w:p>
        </w:tc>
        <w:tc>
          <w:tcPr>
            <w:tcW w:w="642" w:type="pct"/>
            <w:tcBorders>
              <w:top w:val="single" w:sz="6" w:space="0" w:color="000000"/>
              <w:left w:val="single" w:sz="6" w:space="0" w:color="000000"/>
              <w:bottom w:val="thickThinSmallGap" w:sz="24" w:space="0" w:color="auto"/>
              <w:right w:val="single" w:sz="6" w:space="0" w:color="000000"/>
            </w:tcBorders>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53</w:t>
            </w:r>
          </w:p>
        </w:tc>
        <w:tc>
          <w:tcPr>
            <w:tcW w:w="603" w:type="pct"/>
            <w:tcBorders>
              <w:top w:val="single" w:sz="6" w:space="0" w:color="000000"/>
              <w:left w:val="single" w:sz="6" w:space="0" w:color="000000"/>
              <w:bottom w:val="thickThinSmallGap" w:sz="24" w:space="0" w:color="auto"/>
              <w:right w:val="single" w:sz="6" w:space="0" w:color="000000"/>
            </w:tcBorders>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2-1602</w:t>
            </w:r>
          </w:p>
        </w:tc>
        <w:tc>
          <w:tcPr>
            <w:tcW w:w="1292" w:type="pct"/>
            <w:tcBorders>
              <w:top w:val="single" w:sz="4" w:space="0" w:color="auto"/>
              <w:left w:val="single" w:sz="6" w:space="0" w:color="000000"/>
              <w:bottom w:val="thickThinSmallGap" w:sz="24" w:space="0" w:color="auto"/>
              <w:right w:val="single" w:sz="6" w:space="0" w:color="000000"/>
            </w:tcBorders>
            <w:vAlign w:val="center"/>
          </w:tcPr>
          <w:p w:rsidR="00372D4D" w:rsidRPr="0047313D" w:rsidRDefault="007C43E2" w:rsidP="005716EE">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7313D">
              <w:rPr>
                <w:rFonts w:ascii="Times New Roman" w:hAnsi="Times New Roman" w:cs="Times New Roman"/>
                <w:color w:val="000000"/>
                <w:sz w:val="20"/>
                <w:szCs w:val="20"/>
              </w:rPr>
              <w:t>-.807</w:t>
            </w:r>
          </w:p>
        </w:tc>
        <w:tc>
          <w:tcPr>
            <w:tcW w:w="642" w:type="pct"/>
            <w:tcBorders>
              <w:top w:val="single" w:sz="6" w:space="0" w:color="000000"/>
              <w:left w:val="single" w:sz="6" w:space="0" w:color="000000"/>
              <w:bottom w:val="thickThinSmallGap" w:sz="24" w:space="0" w:color="auto"/>
              <w:right w:val="thickThinSmallGap" w:sz="24" w:space="0" w:color="auto"/>
            </w:tcBorders>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0.482</w:t>
            </w:r>
          </w:p>
        </w:tc>
      </w:tr>
    </w:tbl>
    <w:p w:rsidR="00372D4D" w:rsidRPr="0047313D" w:rsidRDefault="00372D4D" w:rsidP="005716EE">
      <w:pPr>
        <w:bidi w:val="0"/>
        <w:snapToGrid w:val="0"/>
        <w:spacing w:after="0" w:line="240" w:lineRule="auto"/>
        <w:ind w:firstLine="425"/>
        <w:jc w:val="both"/>
        <w:rPr>
          <w:rFonts w:ascii="Times New Roman" w:eastAsia="TimesNewRoman" w:hAnsi="Times New Roman" w:cs="Times New Roman"/>
          <w:sz w:val="20"/>
          <w:szCs w:val="20"/>
        </w:rPr>
      </w:pPr>
    </w:p>
    <w:p w:rsidR="005716EE" w:rsidRPr="0047313D" w:rsidRDefault="005716EE"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372D4D" w:rsidRPr="0047313D" w:rsidRDefault="007C43E2"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pPr>
      <w:r w:rsidRPr="0047313D">
        <w:rPr>
          <w:rFonts w:ascii="Times New Roman" w:eastAsia="Britannic Bold" w:hAnsi="Times New Roman" w:cs="Times New Roman"/>
          <w:b/>
          <w:bCs/>
          <w:sz w:val="20"/>
          <w:szCs w:val="20"/>
          <w:lang w:bidi="en-US"/>
        </w:rPr>
        <w:lastRenderedPageBreak/>
        <w:t>Preoperative status of the patients</w:t>
      </w:r>
    </w:p>
    <w:p w:rsidR="00372D4D"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All the patients included in both groups of this study were classified to be CHILD grade A. MELD score among the patients included in the study. The mean MELD score in laparoscopic group was </w:t>
      </w:r>
      <w:r w:rsidRPr="0047313D">
        <w:rPr>
          <w:rFonts w:ascii="Times New Roman" w:eastAsia="Times New Roman" w:hAnsi="Times New Roman" w:cs="Times New Roman"/>
          <w:sz w:val="20"/>
          <w:szCs w:val="20"/>
          <w:lang w:bidi="en-US"/>
        </w:rPr>
        <w:lastRenderedPageBreak/>
        <w:t>8.96±1.72 ranging from 6 to 14 while in open group the mean MELD sore was 8.2 ±1.42 ranging from 6 to 11. There were no statistically significant differences (P&lt;0.254).</w:t>
      </w:r>
    </w:p>
    <w:p w:rsidR="005716EE" w:rsidRPr="0047313D" w:rsidRDefault="005716EE" w:rsidP="005716EE">
      <w:pPr>
        <w:bidi w:val="0"/>
        <w:snapToGrid w:val="0"/>
        <w:spacing w:after="0" w:line="240" w:lineRule="auto"/>
        <w:jc w:val="center"/>
        <w:rPr>
          <w:rFonts w:ascii="Times New Roman" w:eastAsia="TimesNewRoman" w:hAnsi="Times New Roman" w:cs="Times New Roman"/>
          <w:sz w:val="20"/>
          <w:szCs w:val="20"/>
        </w:rPr>
        <w:sectPr w:rsidR="005716EE" w:rsidRPr="0047313D" w:rsidSect="005716EE">
          <w:type w:val="continuous"/>
          <w:pgSz w:w="12240" w:h="15840" w:code="9"/>
          <w:pgMar w:top="1440" w:right="1440" w:bottom="1440" w:left="1440" w:header="720" w:footer="720" w:gutter="0"/>
          <w:cols w:num="2" w:space="550"/>
          <w:rtlGutter/>
          <w:docGrid w:linePitch="360"/>
        </w:sectPr>
      </w:pPr>
    </w:p>
    <w:p w:rsidR="00372D4D" w:rsidRPr="0047313D" w:rsidRDefault="00372D4D" w:rsidP="005716EE">
      <w:pPr>
        <w:bidi w:val="0"/>
        <w:snapToGrid w:val="0"/>
        <w:spacing w:after="0" w:line="240" w:lineRule="auto"/>
        <w:jc w:val="center"/>
        <w:rPr>
          <w:rFonts w:ascii="Times New Roman" w:eastAsia="TimesNewRoman" w:hAnsi="Times New Roman" w:cs="Times New Roman"/>
          <w:sz w:val="20"/>
          <w:szCs w:val="20"/>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5</w:t>
      </w:r>
      <w:r w:rsidRPr="0047313D">
        <w:rPr>
          <w:rFonts w:ascii="Times New Roman" w:eastAsia="Times New Roman" w:hAnsi="Times New Roman" w:cs="Times New Roman"/>
          <w:sz w:val="20"/>
          <w:szCs w:val="20"/>
          <w:lang w:bidi="en-US"/>
        </w:rPr>
        <w:t xml:space="preserve">): The following table shows the largest </w:t>
      </w:r>
      <w:r w:rsidR="00CB5804" w:rsidRPr="0047313D">
        <w:rPr>
          <w:rFonts w:ascii="Times New Roman" w:eastAsia="Times New Roman" w:hAnsi="Times New Roman" w:cs="Times New Roman"/>
          <w:sz w:val="20"/>
          <w:szCs w:val="20"/>
          <w:lang w:bidi="en-US"/>
        </w:rPr>
        <w:t>tumor size</w:t>
      </w:r>
      <w:r w:rsidRPr="0047313D">
        <w:rPr>
          <w:rFonts w:ascii="Times New Roman" w:eastAsia="Times New Roman" w:hAnsi="Times New Roman" w:cs="Times New Roman"/>
          <w:sz w:val="20"/>
          <w:szCs w:val="20"/>
          <w:lang w:bidi="en-US"/>
        </w:rPr>
        <w:t xml:space="preserve"> and the overall tumor burden which were insignificant between two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1E0"/>
      </w:tblPr>
      <w:tblGrid>
        <w:gridCol w:w="3273"/>
        <w:gridCol w:w="2461"/>
        <w:gridCol w:w="2461"/>
        <w:gridCol w:w="1279"/>
      </w:tblGrid>
      <w:tr w:rsidR="007C43E2" w:rsidRPr="0047313D" w:rsidTr="009F7A89">
        <w:trPr>
          <w:jc w:val="center"/>
        </w:trPr>
        <w:tc>
          <w:tcPr>
            <w:tcW w:w="1727" w:type="pct"/>
            <w:vMerge w:val="restart"/>
            <w:shd w:val="clear" w:color="auto" w:fill="auto"/>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943634"/>
                <w:sz w:val="20"/>
                <w:szCs w:val="20"/>
                <w:lang w:bidi="en-US"/>
              </w:rPr>
            </w:pPr>
          </w:p>
        </w:tc>
        <w:tc>
          <w:tcPr>
            <w:tcW w:w="1299" w:type="pct"/>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color w:val="000000"/>
                <w:sz w:val="20"/>
                <w:szCs w:val="20"/>
                <w:lang w:bidi="en-US"/>
              </w:rPr>
            </w:pPr>
            <w:r w:rsidRPr="0047313D">
              <w:rPr>
                <w:rFonts w:ascii="Times New Roman" w:eastAsia="Times New Roman" w:hAnsi="Times New Roman" w:cs="Times New Roman"/>
                <w:b/>
                <w:bCs/>
                <w:i/>
                <w:color w:val="000000"/>
                <w:sz w:val="20"/>
                <w:szCs w:val="20"/>
                <w:lang w:bidi="en-US"/>
              </w:rPr>
              <w:t>Group A (n=50)</w:t>
            </w:r>
          </w:p>
        </w:tc>
        <w:tc>
          <w:tcPr>
            <w:tcW w:w="1299" w:type="pct"/>
            <w:shd w:val="clear" w:color="auto" w:fill="D9D9D9"/>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color w:val="000000"/>
                <w:sz w:val="20"/>
                <w:szCs w:val="20"/>
                <w:lang w:bidi="en-US"/>
              </w:rPr>
            </w:pPr>
            <w:r w:rsidRPr="0047313D">
              <w:rPr>
                <w:rFonts w:ascii="Times New Roman" w:eastAsia="Times New Roman" w:hAnsi="Times New Roman" w:cs="Times New Roman"/>
                <w:b/>
                <w:bCs/>
                <w:i/>
                <w:color w:val="000000"/>
                <w:sz w:val="20"/>
                <w:szCs w:val="20"/>
                <w:lang w:bidi="en-US"/>
              </w:rPr>
              <w:t>Group B (n=50)</w:t>
            </w:r>
          </w:p>
        </w:tc>
        <w:tc>
          <w:tcPr>
            <w:tcW w:w="675" w:type="pct"/>
            <w:vMerge w:val="restart"/>
            <w:shd w:val="clear" w:color="auto" w:fill="D9D9D9"/>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p>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color w:val="000000"/>
                <w:sz w:val="20"/>
                <w:szCs w:val="20"/>
                <w:lang w:bidi="en-US"/>
              </w:rPr>
            </w:pPr>
            <w:r w:rsidRPr="0047313D">
              <w:rPr>
                <w:rFonts w:ascii="Times New Roman" w:eastAsia="Times New Roman" w:hAnsi="Times New Roman" w:cs="Times New Roman"/>
                <w:b/>
                <w:bCs/>
                <w:i/>
                <w:color w:val="000000"/>
                <w:sz w:val="20"/>
                <w:szCs w:val="20"/>
                <w:lang w:bidi="en-US"/>
              </w:rPr>
              <w:t>P-value</w:t>
            </w:r>
          </w:p>
        </w:tc>
      </w:tr>
      <w:tr w:rsidR="007C43E2" w:rsidRPr="0047313D" w:rsidTr="009F7A89">
        <w:trPr>
          <w:jc w:val="center"/>
        </w:trPr>
        <w:tc>
          <w:tcPr>
            <w:tcW w:w="1727" w:type="pct"/>
            <w:vMerge/>
            <w:shd w:val="clear" w:color="auto" w:fill="EFD3D2"/>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943634"/>
                <w:sz w:val="20"/>
                <w:szCs w:val="20"/>
                <w:lang w:bidi="en-US"/>
              </w:rPr>
            </w:pPr>
          </w:p>
        </w:tc>
        <w:tc>
          <w:tcPr>
            <w:tcW w:w="1299" w:type="pct"/>
            <w:tcBorders>
              <w:top w:val="nil"/>
            </w:tcBorders>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color w:val="000000"/>
                <w:sz w:val="20"/>
                <w:szCs w:val="20"/>
                <w:lang w:bidi="en-US"/>
              </w:rPr>
            </w:pPr>
            <w:r w:rsidRPr="0047313D">
              <w:rPr>
                <w:rFonts w:ascii="Times New Roman" w:eastAsia="Times New Roman" w:hAnsi="Times New Roman" w:cs="Times New Roman"/>
                <w:i/>
                <w:color w:val="000000"/>
                <w:sz w:val="20"/>
                <w:szCs w:val="20"/>
                <w:lang w:bidi="en-US"/>
              </w:rPr>
              <w:t>Mean ± SD</w:t>
            </w:r>
          </w:p>
        </w:tc>
        <w:tc>
          <w:tcPr>
            <w:tcW w:w="1299" w:type="pct"/>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color w:val="000000"/>
                <w:sz w:val="20"/>
                <w:szCs w:val="20"/>
                <w:lang w:bidi="en-US"/>
              </w:rPr>
            </w:pPr>
            <w:r w:rsidRPr="0047313D">
              <w:rPr>
                <w:rFonts w:ascii="Times New Roman" w:eastAsia="Times New Roman" w:hAnsi="Times New Roman" w:cs="Times New Roman"/>
                <w:i/>
                <w:color w:val="000000"/>
                <w:sz w:val="20"/>
                <w:szCs w:val="20"/>
                <w:lang w:bidi="en-US"/>
              </w:rPr>
              <w:t>Mean ± SD</w:t>
            </w:r>
          </w:p>
        </w:tc>
        <w:tc>
          <w:tcPr>
            <w:tcW w:w="675" w:type="pct"/>
            <w:vMerge/>
            <w:shd w:val="clear" w:color="auto" w:fill="EFD3D2"/>
            <w:vAlign w:val="center"/>
          </w:tcPr>
          <w:p w:rsidR="00372D4D" w:rsidRPr="0047313D" w:rsidRDefault="00372D4D"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p>
        </w:tc>
      </w:tr>
      <w:tr w:rsidR="007C43E2" w:rsidRPr="0047313D" w:rsidTr="009F7A89">
        <w:trPr>
          <w:jc w:val="center"/>
        </w:trPr>
        <w:tc>
          <w:tcPr>
            <w:tcW w:w="1727" w:type="pct"/>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tumor size</w:t>
            </w:r>
          </w:p>
        </w:tc>
        <w:tc>
          <w:tcPr>
            <w:tcW w:w="1299" w:type="pct"/>
            <w:tcBorders>
              <w:top w:val="nil"/>
            </w:tcBorders>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bidi="en-US"/>
              </w:rPr>
            </w:pPr>
            <w:r w:rsidRPr="0047313D">
              <w:rPr>
                <w:rFonts w:ascii="Times New Roman" w:eastAsia="Times New Roman" w:hAnsi="Times New Roman" w:cs="Times New Roman"/>
                <w:color w:val="000000"/>
                <w:sz w:val="20"/>
                <w:szCs w:val="20"/>
                <w:lang w:bidi="en-US"/>
              </w:rPr>
              <w:t>2.3 ±</w:t>
            </w:r>
            <w:r w:rsidR="009F7A89" w:rsidRPr="0047313D">
              <w:rPr>
                <w:rFonts w:ascii="Times New Roman" w:eastAsia="Times New Roman" w:hAnsi="Times New Roman" w:cs="Times New Roman"/>
                <w:color w:val="000000"/>
                <w:sz w:val="20"/>
                <w:szCs w:val="20"/>
                <w:lang w:bidi="en-US"/>
              </w:rPr>
              <w:t>.</w:t>
            </w:r>
            <w:r w:rsidRPr="0047313D">
              <w:rPr>
                <w:rFonts w:ascii="Times New Roman" w:eastAsia="Times New Roman" w:hAnsi="Times New Roman" w:cs="Times New Roman"/>
                <w:color w:val="000000"/>
                <w:sz w:val="20"/>
                <w:szCs w:val="20"/>
                <w:lang w:bidi="en-US"/>
              </w:rPr>
              <w:t>46</w:t>
            </w:r>
          </w:p>
        </w:tc>
        <w:tc>
          <w:tcPr>
            <w:tcW w:w="1299" w:type="pct"/>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color w:val="000000"/>
                <w:sz w:val="20"/>
                <w:szCs w:val="20"/>
                <w:lang w:bidi="en-US"/>
              </w:rPr>
            </w:pPr>
            <w:r w:rsidRPr="0047313D">
              <w:rPr>
                <w:rFonts w:ascii="Times New Roman" w:eastAsia="Times New Roman" w:hAnsi="Times New Roman" w:cs="Times New Roman"/>
                <w:color w:val="000000"/>
                <w:sz w:val="20"/>
                <w:szCs w:val="20"/>
                <w:lang w:bidi="en-US"/>
              </w:rPr>
              <w:t>2.35 ±</w:t>
            </w:r>
            <w:r w:rsidR="009F7A89" w:rsidRPr="0047313D">
              <w:rPr>
                <w:rFonts w:ascii="Times New Roman" w:eastAsia="Times New Roman" w:hAnsi="Times New Roman" w:cs="Times New Roman"/>
                <w:color w:val="000000"/>
                <w:sz w:val="20"/>
                <w:szCs w:val="20"/>
                <w:lang w:bidi="en-US"/>
              </w:rPr>
              <w:t>.</w:t>
            </w:r>
            <w:r w:rsidRPr="0047313D">
              <w:rPr>
                <w:rFonts w:ascii="Times New Roman" w:eastAsia="Times New Roman" w:hAnsi="Times New Roman" w:cs="Times New Roman"/>
                <w:color w:val="000000"/>
                <w:sz w:val="20"/>
                <w:szCs w:val="20"/>
                <w:lang w:bidi="en-US"/>
              </w:rPr>
              <w:t>47</w:t>
            </w:r>
          </w:p>
        </w:tc>
        <w:tc>
          <w:tcPr>
            <w:tcW w:w="675" w:type="pct"/>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r w:rsidRPr="0047313D">
              <w:rPr>
                <w:rFonts w:ascii="Times New Roman" w:eastAsia="Times New Roman" w:hAnsi="Times New Roman" w:cs="Times New Roman"/>
                <w:b/>
                <w:bCs/>
                <w:color w:val="000000"/>
                <w:sz w:val="20"/>
                <w:szCs w:val="20"/>
                <w:lang w:bidi="en-US"/>
              </w:rPr>
              <w:t>0.627</w:t>
            </w:r>
          </w:p>
        </w:tc>
      </w:tr>
      <w:tr w:rsidR="007C43E2" w:rsidRPr="0047313D" w:rsidTr="009F7A89">
        <w:trPr>
          <w:jc w:val="center"/>
        </w:trPr>
        <w:tc>
          <w:tcPr>
            <w:tcW w:w="1727" w:type="pct"/>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Overall tumor burden</w:t>
            </w:r>
          </w:p>
        </w:tc>
        <w:tc>
          <w:tcPr>
            <w:tcW w:w="1299" w:type="pct"/>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r w:rsidRPr="0047313D">
              <w:rPr>
                <w:rFonts w:ascii="Times New Roman" w:eastAsia="Times New Roman" w:hAnsi="Times New Roman" w:cs="Times New Roman"/>
                <w:b/>
                <w:bCs/>
                <w:color w:val="000000"/>
                <w:sz w:val="20"/>
                <w:szCs w:val="20"/>
                <w:lang w:bidi="en-US"/>
              </w:rPr>
              <w:t>2.3 ±</w:t>
            </w:r>
            <w:r w:rsidR="009F7A89" w:rsidRPr="0047313D">
              <w:rPr>
                <w:rFonts w:ascii="Times New Roman" w:eastAsia="Times New Roman" w:hAnsi="Times New Roman" w:cs="Times New Roman"/>
                <w:b/>
                <w:bCs/>
                <w:color w:val="000000"/>
                <w:sz w:val="20"/>
                <w:szCs w:val="20"/>
                <w:lang w:bidi="en-US"/>
              </w:rPr>
              <w:t>.</w:t>
            </w:r>
            <w:r w:rsidRPr="0047313D">
              <w:rPr>
                <w:rFonts w:ascii="Times New Roman" w:eastAsia="Times New Roman" w:hAnsi="Times New Roman" w:cs="Times New Roman"/>
                <w:b/>
                <w:bCs/>
                <w:color w:val="000000"/>
                <w:sz w:val="20"/>
                <w:szCs w:val="20"/>
                <w:lang w:bidi="en-US"/>
              </w:rPr>
              <w:t>47</w:t>
            </w:r>
          </w:p>
        </w:tc>
        <w:tc>
          <w:tcPr>
            <w:tcW w:w="1299" w:type="pct"/>
            <w:shd w:val="clear" w:color="auto" w:fill="FFFFFF"/>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r w:rsidRPr="0047313D">
              <w:rPr>
                <w:rFonts w:ascii="Times New Roman" w:eastAsia="Times New Roman" w:hAnsi="Times New Roman" w:cs="Times New Roman"/>
                <w:b/>
                <w:bCs/>
                <w:color w:val="000000"/>
                <w:sz w:val="20"/>
                <w:szCs w:val="20"/>
                <w:lang w:bidi="en-US"/>
              </w:rPr>
              <w:t>2.31 ±</w:t>
            </w:r>
            <w:r w:rsidR="009F7A89" w:rsidRPr="0047313D">
              <w:rPr>
                <w:rFonts w:ascii="Times New Roman" w:eastAsia="Times New Roman" w:hAnsi="Times New Roman" w:cs="Times New Roman"/>
                <w:b/>
                <w:bCs/>
                <w:color w:val="000000"/>
                <w:sz w:val="20"/>
                <w:szCs w:val="20"/>
                <w:lang w:bidi="en-US"/>
              </w:rPr>
              <w:t>.</w:t>
            </w:r>
            <w:r w:rsidRPr="0047313D">
              <w:rPr>
                <w:rFonts w:ascii="Times New Roman" w:eastAsia="Times New Roman" w:hAnsi="Times New Roman" w:cs="Times New Roman"/>
                <w:b/>
                <w:bCs/>
                <w:color w:val="000000"/>
                <w:sz w:val="20"/>
                <w:szCs w:val="20"/>
                <w:lang w:bidi="en-US"/>
              </w:rPr>
              <w:t>47</w:t>
            </w:r>
          </w:p>
        </w:tc>
        <w:tc>
          <w:tcPr>
            <w:tcW w:w="675" w:type="pct"/>
            <w:shd w:val="clear" w:color="auto" w:fill="auto"/>
            <w:vAlign w:val="center"/>
          </w:tcPr>
          <w:p w:rsidR="00372D4D"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000000"/>
                <w:sz w:val="20"/>
                <w:szCs w:val="20"/>
                <w:lang w:bidi="en-US"/>
              </w:rPr>
            </w:pPr>
            <w:r w:rsidRPr="0047313D">
              <w:rPr>
                <w:rFonts w:ascii="Times New Roman" w:eastAsia="Times New Roman" w:hAnsi="Times New Roman" w:cs="Times New Roman"/>
                <w:b/>
                <w:bCs/>
                <w:color w:val="000000"/>
                <w:sz w:val="20"/>
                <w:szCs w:val="20"/>
                <w:lang w:bidi="en-US"/>
              </w:rPr>
              <w:t>0.857</w:t>
            </w:r>
          </w:p>
        </w:tc>
      </w:tr>
    </w:tbl>
    <w:p w:rsidR="000B2B4B" w:rsidRPr="0047313D" w:rsidRDefault="000B2B4B" w:rsidP="005716EE">
      <w:pPr>
        <w:widowControl w:val="0"/>
        <w:tabs>
          <w:tab w:val="left" w:pos="929"/>
          <w:tab w:val="left" w:pos="930"/>
        </w:tabs>
        <w:autoSpaceDE w:val="0"/>
        <w:autoSpaceDN w:val="0"/>
        <w:bidi w:val="0"/>
        <w:snapToGrid w:val="0"/>
        <w:spacing w:after="0" w:line="240" w:lineRule="auto"/>
        <w:ind w:firstLine="425"/>
        <w:jc w:val="both"/>
        <w:outlineLvl w:val="0"/>
        <w:rPr>
          <w:rFonts w:ascii="Times New Roman" w:eastAsia="Britannic Bold" w:hAnsi="Times New Roman" w:cs="Times New Roman"/>
          <w:sz w:val="20"/>
          <w:szCs w:val="20"/>
          <w:lang w:bidi="en-US"/>
        </w:rPr>
      </w:pPr>
    </w:p>
    <w:p w:rsidR="005716EE" w:rsidRPr="0047313D" w:rsidRDefault="005716EE"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757128" w:rsidRPr="0047313D" w:rsidRDefault="007C43E2"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pPr>
      <w:r w:rsidRPr="0047313D">
        <w:rPr>
          <w:rFonts w:ascii="Times New Roman" w:eastAsia="Britannic Bold" w:hAnsi="Times New Roman" w:cs="Times New Roman"/>
          <w:b/>
          <w:bCs/>
          <w:sz w:val="20"/>
          <w:szCs w:val="20"/>
          <w:lang w:bidi="en-US"/>
        </w:rPr>
        <w:lastRenderedPageBreak/>
        <w:t>Intraoperative Data:</w:t>
      </w:r>
    </w:p>
    <w:p w:rsidR="00757128" w:rsidRPr="0047313D" w:rsidRDefault="007C43E2"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i/>
          <w:sz w:val="20"/>
          <w:szCs w:val="20"/>
          <w:lang w:bidi="en-US"/>
        </w:rPr>
        <w:t xml:space="preserve">The mean operative time </w:t>
      </w:r>
      <w:r w:rsidRPr="0047313D">
        <w:rPr>
          <w:rFonts w:ascii="Times New Roman" w:eastAsia="Times New Roman" w:hAnsi="Times New Roman" w:cs="Times New Roman"/>
          <w:sz w:val="20"/>
          <w:szCs w:val="20"/>
          <w:lang w:bidi="en-US"/>
        </w:rPr>
        <w:t>in open group was 158.15 ±35.9 minutes, while the laparoscopic group mean time was 130.4 ±38.1 minutes with statistically significant difference between the 2 groups, (P&lt; 0.001) with decreased operative time in the laparoscopic group.</w:t>
      </w:r>
    </w:p>
    <w:p w:rsidR="00372D4D" w:rsidRPr="0047313D" w:rsidRDefault="00757128" w:rsidP="005716EE">
      <w:pPr>
        <w:widowControl w:val="0"/>
        <w:autoSpaceDE w:val="0"/>
        <w:autoSpaceDN w:val="0"/>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i/>
          <w:sz w:val="20"/>
          <w:szCs w:val="20"/>
          <w:lang w:bidi="en-US"/>
        </w:rPr>
        <w:t xml:space="preserve">The mean blood loss </w:t>
      </w:r>
      <w:r w:rsidRPr="0047313D">
        <w:rPr>
          <w:rFonts w:ascii="Times New Roman" w:eastAsia="Times New Roman" w:hAnsi="Times New Roman" w:cs="Times New Roman"/>
          <w:sz w:val="20"/>
          <w:szCs w:val="20"/>
          <w:lang w:bidi="en-US"/>
        </w:rPr>
        <w:t xml:space="preserve">in open group was 390 </w:t>
      </w:r>
      <w:r w:rsidRPr="0047313D">
        <w:rPr>
          <w:rFonts w:ascii="Times New Roman" w:eastAsia="Times New Roman" w:hAnsi="Times New Roman" w:cs="Times New Roman"/>
          <w:sz w:val="20"/>
          <w:szCs w:val="20"/>
          <w:lang w:bidi="en-US"/>
        </w:rPr>
        <w:lastRenderedPageBreak/>
        <w:t>±193.7</w:t>
      </w:r>
      <w:r w:rsid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ml while the laparoscopic group mean blood loss was 386 ±371.1</w:t>
      </w:r>
      <w:r w:rsid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ml with no</w:t>
      </w:r>
      <w:r w:rsidR="009F7A89"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statistically significant difference relations between the 2 groups, (P= 0.671). Ten cases (20%) only needed intraoperative blood transfusion in laparoscopic group compared with 10 cases (20%) in open group. 15 cases (30%) showed no need for plasma transfusion in laparoscopic group compared with only 13cases (26%) in open group.</w:t>
      </w:r>
    </w:p>
    <w:p w:rsidR="005716EE" w:rsidRPr="0047313D" w:rsidRDefault="005716EE"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943612" w:rsidRPr="0047313D" w:rsidRDefault="00943612"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pPr>
    </w:p>
    <w:p w:rsidR="00943612" w:rsidRPr="0047313D" w:rsidRDefault="007C43E2"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6)</w:t>
      </w:r>
      <w:r w:rsidRPr="0047313D">
        <w:rPr>
          <w:rFonts w:ascii="Times New Roman" w:eastAsia="Times New Roman" w:hAnsi="Times New Roman" w:cs="Times New Roman"/>
          <w:sz w:val="20"/>
          <w:szCs w:val="20"/>
          <w:lang w:bidi="en-US"/>
        </w:rPr>
        <w:t xml:space="preserve">: </w:t>
      </w:r>
      <w:r w:rsidR="00482DB2" w:rsidRPr="0047313D">
        <w:rPr>
          <w:rFonts w:ascii="Times New Roman" w:eastAsia="Times New Roman" w:hAnsi="Times New Roman" w:cs="Times New Roman"/>
          <w:sz w:val="20"/>
          <w:szCs w:val="20"/>
          <w:lang w:bidi="en-US"/>
        </w:rPr>
        <w:t xml:space="preserve">Difference of intraoperative </w:t>
      </w:r>
      <w:r w:rsidRPr="0047313D">
        <w:rPr>
          <w:rFonts w:ascii="Times New Roman" w:eastAsia="Times New Roman" w:hAnsi="Times New Roman" w:cs="Times New Roman"/>
          <w:sz w:val="20"/>
          <w:szCs w:val="20"/>
          <w:lang w:bidi="en-US"/>
        </w:rPr>
        <w:t>data</w:t>
      </w:r>
      <w:r w:rsidRPr="0047313D">
        <w:rPr>
          <w:rFonts w:ascii="Times New Roman" w:eastAsia="Times New Roman" w:hAnsi="Times New Roman" w:cs="Times New Roman"/>
          <w:sz w:val="20"/>
          <w:szCs w:val="20"/>
          <w:lang w:bidi="en-US"/>
        </w:rPr>
        <w:tab/>
        <w:t>between</w:t>
      </w:r>
      <w:r w:rsidRPr="0047313D">
        <w:rPr>
          <w:rFonts w:ascii="Times New Roman" w:eastAsia="Times New Roman" w:hAnsi="Times New Roman" w:cs="Times New Roman"/>
          <w:sz w:val="20"/>
          <w:szCs w:val="20"/>
          <w:lang w:bidi="en-US"/>
        </w:rPr>
        <w:tab/>
        <w:t>both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57" w:type="dxa"/>
          <w:right w:w="57" w:type="dxa"/>
        </w:tblCellMar>
        <w:tblLook w:val="01E0"/>
      </w:tblPr>
      <w:tblGrid>
        <w:gridCol w:w="3171"/>
        <w:gridCol w:w="2502"/>
        <w:gridCol w:w="2501"/>
        <w:gridCol w:w="1300"/>
      </w:tblGrid>
      <w:tr w:rsidR="007C43E2" w:rsidRPr="0047313D" w:rsidTr="009F7A89">
        <w:trPr>
          <w:jc w:val="center"/>
        </w:trPr>
        <w:tc>
          <w:tcPr>
            <w:tcW w:w="1673" w:type="pct"/>
            <w:vMerge w:val="restart"/>
            <w:tcBorders>
              <w:top w:val="thinThickSmallGap" w:sz="18" w:space="0" w:color="auto"/>
              <w:left w:val="thinThickSmallGap" w:sz="18" w:space="0" w:color="auto"/>
              <w:bottom w:val="single" w:sz="4" w:space="0" w:color="auto"/>
              <w:right w:val="single" w:sz="4" w:space="0" w:color="auto"/>
            </w:tcBorders>
            <w:shd w:val="clear" w:color="auto" w:fill="auto"/>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320" w:type="pct"/>
            <w:tcBorders>
              <w:top w:val="thinThickSmallGap" w:sz="18" w:space="0" w:color="auto"/>
              <w:left w:val="single" w:sz="4" w:space="0" w:color="auto"/>
              <w:bottom w:val="single" w:sz="4" w:space="0" w:color="auto"/>
              <w:right w:val="single" w:sz="4" w:space="0" w:color="auto"/>
            </w:tcBorders>
            <w:shd w:val="clear" w:color="auto" w:fill="D9D9D9"/>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A (n=50)</w:t>
            </w:r>
          </w:p>
        </w:tc>
        <w:tc>
          <w:tcPr>
            <w:tcW w:w="1320" w:type="pct"/>
            <w:tcBorders>
              <w:top w:val="thinThickSmallGap" w:sz="18" w:space="0" w:color="auto"/>
              <w:left w:val="single" w:sz="4" w:space="0" w:color="auto"/>
              <w:bottom w:val="single" w:sz="4" w:space="0" w:color="auto"/>
              <w:right w:val="single" w:sz="4" w:space="0" w:color="auto"/>
            </w:tcBorders>
            <w:shd w:val="clear" w:color="auto" w:fill="D9D9D9"/>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B (n=50)</w:t>
            </w:r>
          </w:p>
        </w:tc>
        <w:tc>
          <w:tcPr>
            <w:tcW w:w="686" w:type="pct"/>
            <w:vMerge w:val="restart"/>
            <w:tcBorders>
              <w:top w:val="thinThickSmallGap" w:sz="18" w:space="0" w:color="auto"/>
              <w:left w:val="single" w:sz="4" w:space="0" w:color="auto"/>
              <w:bottom w:val="single" w:sz="4" w:space="0" w:color="auto"/>
              <w:right w:val="thickThinSmallGap" w:sz="18" w:space="0" w:color="auto"/>
            </w:tcBorders>
            <w:shd w:val="clear" w:color="auto" w:fill="D9D9D9"/>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P-value</w:t>
            </w:r>
          </w:p>
        </w:tc>
      </w:tr>
      <w:tr w:rsidR="007C43E2" w:rsidRPr="0047313D" w:rsidTr="009F7A89">
        <w:trPr>
          <w:jc w:val="center"/>
        </w:trPr>
        <w:tc>
          <w:tcPr>
            <w:tcW w:w="1673" w:type="pct"/>
            <w:vMerge/>
            <w:tcBorders>
              <w:top w:val="single" w:sz="4" w:space="0" w:color="auto"/>
              <w:left w:val="thinThickSmallGap" w:sz="18" w:space="0" w:color="auto"/>
              <w:bottom w:val="single" w:sz="4" w:space="0" w:color="auto"/>
              <w:right w:val="single" w:sz="4" w:space="0" w:color="auto"/>
            </w:tcBorders>
            <w:shd w:val="clear" w:color="auto" w:fill="D2EAF1"/>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 ± SD</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 ± SD</w:t>
            </w:r>
          </w:p>
        </w:tc>
        <w:tc>
          <w:tcPr>
            <w:tcW w:w="686" w:type="pct"/>
            <w:vMerge/>
            <w:tcBorders>
              <w:top w:val="single" w:sz="4" w:space="0" w:color="auto"/>
              <w:left w:val="single" w:sz="4" w:space="0" w:color="auto"/>
              <w:bottom w:val="single" w:sz="4" w:space="0" w:color="auto"/>
              <w:right w:val="thickThinSmallGap" w:sz="18" w:space="0" w:color="auto"/>
            </w:tcBorders>
            <w:shd w:val="clear" w:color="auto" w:fill="D2EAF1"/>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673" w:type="pct"/>
            <w:tcBorders>
              <w:top w:val="single" w:sz="4" w:space="0" w:color="auto"/>
              <w:bottom w:val="single" w:sz="4"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Operative time (min)</w:t>
            </w:r>
          </w:p>
        </w:tc>
        <w:tc>
          <w:tcPr>
            <w:tcW w:w="1320" w:type="pct"/>
            <w:tcBorders>
              <w:top w:val="single" w:sz="4" w:space="0" w:color="auto"/>
              <w:bottom w:val="single" w:sz="4"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130.4 ±38.1</w:t>
            </w:r>
          </w:p>
        </w:tc>
        <w:tc>
          <w:tcPr>
            <w:tcW w:w="1320" w:type="pct"/>
            <w:tcBorders>
              <w:top w:val="single" w:sz="4" w:space="0" w:color="auto"/>
              <w:bottom w:val="single" w:sz="4"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158.15 ± 35.9</w:t>
            </w:r>
          </w:p>
        </w:tc>
        <w:tc>
          <w:tcPr>
            <w:tcW w:w="686" w:type="pct"/>
            <w:tcBorders>
              <w:top w:val="single" w:sz="4" w:space="0" w:color="auto"/>
              <w:bottom w:val="single" w:sz="4" w:space="0" w:color="auto"/>
              <w:right w:val="thickThinSmallGap" w:sz="18"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0.001</w:t>
            </w:r>
          </w:p>
        </w:tc>
      </w:tr>
      <w:tr w:rsidR="007C43E2" w:rsidRPr="0047313D" w:rsidTr="009F7A89">
        <w:trPr>
          <w:jc w:val="center"/>
        </w:trPr>
        <w:tc>
          <w:tcPr>
            <w:tcW w:w="1673" w:type="pct"/>
            <w:tcBorders>
              <w:top w:val="single" w:sz="4" w:space="0" w:color="auto"/>
              <w:left w:val="thinThickSmallGap" w:sz="18" w:space="0" w:color="auto"/>
              <w:bottom w:val="thickThinSmallGap" w:sz="18" w:space="0" w:color="auto"/>
              <w:right w:val="single" w:sz="8" w:space="0" w:color="4BACC6"/>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Blood loss (ml)</w:t>
            </w:r>
          </w:p>
        </w:tc>
        <w:tc>
          <w:tcPr>
            <w:tcW w:w="1320" w:type="pct"/>
            <w:tcBorders>
              <w:top w:val="single" w:sz="4" w:space="0" w:color="auto"/>
              <w:left w:val="single" w:sz="8" w:space="0" w:color="4BACC6"/>
              <w:bottom w:val="thickThinSmallGap" w:sz="18" w:space="0" w:color="auto"/>
              <w:right w:val="single" w:sz="8" w:space="0" w:color="4BACC6"/>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386 ± 371</w:t>
            </w:r>
          </w:p>
        </w:tc>
        <w:tc>
          <w:tcPr>
            <w:tcW w:w="1320" w:type="pct"/>
            <w:tcBorders>
              <w:top w:val="single" w:sz="4" w:space="0" w:color="auto"/>
              <w:left w:val="single" w:sz="8" w:space="0" w:color="4BACC6"/>
              <w:bottom w:val="thickThinSmallGap" w:sz="18" w:space="0" w:color="auto"/>
              <w:right w:val="single" w:sz="8" w:space="0" w:color="4BACC6"/>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390 ± 193.7</w:t>
            </w:r>
          </w:p>
        </w:tc>
        <w:tc>
          <w:tcPr>
            <w:tcW w:w="686" w:type="pct"/>
            <w:tcBorders>
              <w:top w:val="single" w:sz="4" w:space="0" w:color="auto"/>
              <w:left w:val="single" w:sz="8" w:space="0" w:color="4BACC6"/>
              <w:bottom w:val="thickThinSmallGap" w:sz="18" w:space="0" w:color="auto"/>
              <w:right w:val="thickThinSmallGap" w:sz="18" w:space="0" w:color="auto"/>
            </w:tcBorders>
            <w:shd w:val="clear" w:color="auto" w:fill="auto"/>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0.671</w:t>
            </w:r>
          </w:p>
        </w:tc>
      </w:tr>
    </w:tbl>
    <w:p w:rsidR="00372D4D" w:rsidRPr="0047313D" w:rsidRDefault="00372D4D" w:rsidP="005716EE">
      <w:pPr>
        <w:bidi w:val="0"/>
        <w:snapToGrid w:val="0"/>
        <w:spacing w:after="0" w:line="240" w:lineRule="auto"/>
        <w:jc w:val="center"/>
        <w:rPr>
          <w:rFonts w:ascii="Times New Roman" w:eastAsia="TimesNewRoman" w:hAnsi="Times New Roman" w:cs="Times New Roman"/>
          <w:iCs/>
          <w:sz w:val="20"/>
          <w:szCs w:val="20"/>
        </w:rPr>
      </w:pPr>
    </w:p>
    <w:p w:rsidR="00943612" w:rsidRPr="0047313D" w:rsidRDefault="007C43E2" w:rsidP="005716EE">
      <w:pPr>
        <w:widowControl w:val="0"/>
        <w:autoSpaceDE w:val="0"/>
        <w:autoSpaceDN w:val="0"/>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Table ( </w:t>
      </w:r>
      <w:r w:rsidR="00E27392" w:rsidRPr="0047313D">
        <w:rPr>
          <w:rFonts w:ascii="Times New Roman" w:eastAsia="Times New Roman" w:hAnsi="Times New Roman" w:cs="Times New Roman"/>
          <w:sz w:val="20"/>
          <w:szCs w:val="20"/>
          <w:lang w:bidi="en-US"/>
        </w:rPr>
        <w:t>7</w:t>
      </w:r>
      <w:r w:rsidRPr="0047313D">
        <w:rPr>
          <w:rFonts w:ascii="Times New Roman" w:eastAsia="Times New Roman" w:hAnsi="Times New Roman" w:cs="Times New Roman"/>
          <w:sz w:val="20"/>
          <w:szCs w:val="20"/>
          <w:lang w:bidi="en-US"/>
        </w:rPr>
        <w:t xml:space="preserve">): </w:t>
      </w:r>
      <w:r w:rsidR="00CB5804" w:rsidRPr="0047313D">
        <w:rPr>
          <w:rFonts w:ascii="Times New Roman" w:eastAsia="Times New Roman" w:hAnsi="Times New Roman" w:cs="Times New Roman"/>
          <w:sz w:val="20"/>
          <w:szCs w:val="20"/>
          <w:lang w:bidi="en-US"/>
        </w:rPr>
        <w:t>Required transfusions</w:t>
      </w:r>
      <w:r w:rsidRPr="0047313D">
        <w:rPr>
          <w:rFonts w:ascii="Times New Roman" w:eastAsia="Times New Roman" w:hAnsi="Times New Roman" w:cs="Times New Roman"/>
          <w:sz w:val="20"/>
          <w:szCs w:val="20"/>
          <w:lang w:bidi="en-US"/>
        </w:rPr>
        <w:t xml:space="preserve"> in both groups.</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shd w:val="clear" w:color="auto" w:fill="FFFFFF"/>
        <w:tblCellMar>
          <w:left w:w="57" w:type="dxa"/>
          <w:right w:w="57" w:type="dxa"/>
        </w:tblCellMar>
        <w:tblLook w:val="01E0"/>
      </w:tblPr>
      <w:tblGrid>
        <w:gridCol w:w="2924"/>
        <w:gridCol w:w="642"/>
        <w:gridCol w:w="2357"/>
        <w:gridCol w:w="2357"/>
        <w:gridCol w:w="1194"/>
      </w:tblGrid>
      <w:tr w:rsidR="007C43E2" w:rsidRPr="0047313D" w:rsidTr="009F7A89">
        <w:trPr>
          <w:jc w:val="center"/>
        </w:trPr>
        <w:tc>
          <w:tcPr>
            <w:tcW w:w="1882" w:type="pct"/>
            <w:gridSpan w:val="2"/>
            <w:vMerge w:val="restart"/>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244" w:type="pct"/>
            <w:shd w:val="clear" w:color="auto" w:fill="D9D9D9"/>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A (n=50)</w:t>
            </w:r>
          </w:p>
        </w:tc>
        <w:tc>
          <w:tcPr>
            <w:tcW w:w="1244" w:type="pct"/>
            <w:shd w:val="clear" w:color="auto" w:fill="D9D9D9"/>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B (n=50)</w:t>
            </w:r>
          </w:p>
        </w:tc>
        <w:tc>
          <w:tcPr>
            <w:tcW w:w="631" w:type="pct"/>
            <w:vMerge w:val="restart"/>
            <w:shd w:val="clear" w:color="auto" w:fill="D9D9D9"/>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P value</w:t>
            </w:r>
          </w:p>
        </w:tc>
      </w:tr>
      <w:tr w:rsidR="007C43E2" w:rsidRPr="0047313D" w:rsidTr="009F7A89">
        <w:trPr>
          <w:jc w:val="center"/>
        </w:trPr>
        <w:tc>
          <w:tcPr>
            <w:tcW w:w="1882" w:type="pct"/>
            <w:gridSpan w:val="2"/>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631" w:type="pct"/>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543" w:type="pct"/>
            <w:vMerge w:val="restar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Blood Transfusion</w:t>
            </w:r>
          </w:p>
        </w:tc>
        <w:tc>
          <w:tcPr>
            <w:tcW w:w="339"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No</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40 (80)</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40 (80)</w:t>
            </w:r>
          </w:p>
        </w:tc>
        <w:tc>
          <w:tcPr>
            <w:tcW w:w="631" w:type="pct"/>
            <w:vMerge w:val="restar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1.00</w:t>
            </w:r>
          </w:p>
        </w:tc>
      </w:tr>
      <w:tr w:rsidR="007C43E2" w:rsidRPr="0047313D" w:rsidTr="009F7A89">
        <w:trPr>
          <w:jc w:val="center"/>
        </w:trPr>
        <w:tc>
          <w:tcPr>
            <w:tcW w:w="1543" w:type="pct"/>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339"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Yes</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10(20)</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10(20)</w:t>
            </w:r>
          </w:p>
        </w:tc>
        <w:tc>
          <w:tcPr>
            <w:tcW w:w="631" w:type="pct"/>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543" w:type="pct"/>
            <w:vMerge w:val="restar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Plasma Transfusion</w:t>
            </w:r>
          </w:p>
        </w:tc>
        <w:tc>
          <w:tcPr>
            <w:tcW w:w="339"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No</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15 (30)</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13(26)</w:t>
            </w:r>
          </w:p>
        </w:tc>
        <w:tc>
          <w:tcPr>
            <w:tcW w:w="631" w:type="pct"/>
            <w:vMerge w:val="restar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0.198</w:t>
            </w:r>
          </w:p>
        </w:tc>
      </w:tr>
      <w:tr w:rsidR="007C43E2" w:rsidRPr="0047313D" w:rsidTr="009F7A89">
        <w:trPr>
          <w:jc w:val="center"/>
        </w:trPr>
        <w:tc>
          <w:tcPr>
            <w:tcW w:w="1543" w:type="pct"/>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339"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Yes</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35 (70)</w:t>
            </w:r>
          </w:p>
        </w:tc>
        <w:tc>
          <w:tcPr>
            <w:tcW w:w="1244" w:type="pct"/>
            <w:shd w:val="clear" w:color="auto" w:fill="FFFFFF"/>
            <w:vAlign w:val="center"/>
          </w:tcPr>
          <w:p w:rsidR="00943612"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37 (74)</w:t>
            </w:r>
          </w:p>
        </w:tc>
        <w:tc>
          <w:tcPr>
            <w:tcW w:w="631" w:type="pct"/>
            <w:vMerge/>
            <w:shd w:val="clear" w:color="auto" w:fill="FFFFFF"/>
            <w:vAlign w:val="center"/>
          </w:tcPr>
          <w:p w:rsidR="00943612" w:rsidRPr="0047313D" w:rsidRDefault="0094361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bl>
    <w:p w:rsidR="009F7A89" w:rsidRPr="0047313D" w:rsidRDefault="009F7A89" w:rsidP="005716EE">
      <w:pPr>
        <w:bidi w:val="0"/>
        <w:snapToGrid w:val="0"/>
        <w:spacing w:after="0" w:line="240" w:lineRule="auto"/>
        <w:ind w:firstLine="425"/>
        <w:jc w:val="both"/>
        <w:rPr>
          <w:rFonts w:ascii="Times New Roman" w:eastAsia="TimesNewRoman" w:hAnsi="Times New Roman" w:cs="Times New Roman"/>
          <w:iCs/>
          <w:sz w:val="20"/>
          <w:szCs w:val="20"/>
        </w:rPr>
      </w:pP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9F7A89"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T</w:t>
      </w:r>
      <w:r w:rsidR="007C43E2" w:rsidRPr="0047313D">
        <w:rPr>
          <w:rFonts w:ascii="Times New Roman" w:eastAsia="Times New Roman" w:hAnsi="Times New Roman" w:cs="Times New Roman"/>
          <w:sz w:val="20"/>
          <w:szCs w:val="20"/>
          <w:lang w:bidi="en-US"/>
        </w:rPr>
        <w:t>here were 5cases converted from laparoscopic to open technique with percentage of 10% of group A. Intraoperative bleeding occurred in 2 cases (4%) in the laparoscopic group and converted to open technique, also another case (6%) was converted due to difficult localization by laparoscopic intraoperative ultrasound probe</w:t>
      </w:r>
      <w:r w:rsidR="000B2B4B" w:rsidRPr="0047313D">
        <w:rPr>
          <w:rFonts w:ascii="Times New Roman" w:eastAsia="Times New Roman" w:hAnsi="Times New Roman" w:cs="Times New Roman"/>
          <w:sz w:val="20"/>
          <w:szCs w:val="20"/>
          <w:lang w:bidi="en-US"/>
        </w:rPr>
        <w:t>.</w:t>
      </w:r>
    </w:p>
    <w:p w:rsidR="00177332"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H</w:t>
      </w:r>
      <w:r w:rsidR="007C43E2" w:rsidRPr="0047313D">
        <w:rPr>
          <w:rFonts w:ascii="Times New Roman" w:eastAsia="Times New Roman" w:hAnsi="Times New Roman" w:cs="Times New Roman"/>
          <w:sz w:val="20"/>
          <w:szCs w:val="20"/>
          <w:lang w:bidi="en-US"/>
        </w:rPr>
        <w:t>CC was the main indication in both groups. Among Group A, 49 patients (98%) had non-anatomical wedge resection while the remaining 1 patient had anatomical resection in form of segmentectomy in one patient (2%).</w:t>
      </w:r>
      <w:r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 xml:space="preserve">Among group B, 49 patients (98%) had non-anatomical wedge resection while the remaining 1 patient had anatomical resection </w:t>
      </w:r>
      <w:r w:rsidR="007C43E2" w:rsidRPr="0047313D">
        <w:rPr>
          <w:rFonts w:ascii="Times New Roman" w:eastAsia="Times New Roman" w:hAnsi="Times New Roman" w:cs="Times New Roman"/>
          <w:sz w:val="20"/>
          <w:szCs w:val="20"/>
          <w:lang w:bidi="en-US"/>
        </w:rPr>
        <w:lastRenderedPageBreak/>
        <w:t>in form of segmente</w:t>
      </w:r>
      <w:r w:rsidR="004F6B4C" w:rsidRPr="0047313D">
        <w:rPr>
          <w:rFonts w:ascii="Times New Roman" w:eastAsia="Times New Roman" w:hAnsi="Times New Roman" w:cs="Times New Roman"/>
          <w:sz w:val="20"/>
          <w:szCs w:val="20"/>
          <w:lang w:bidi="en-US"/>
        </w:rPr>
        <w:t xml:space="preserve">ctomy in one patient (2%). </w:t>
      </w:r>
      <w:r w:rsidR="007C43E2" w:rsidRPr="0047313D">
        <w:rPr>
          <w:rFonts w:ascii="Times New Roman" w:eastAsia="Times New Roman" w:hAnsi="Times New Roman" w:cs="Times New Roman"/>
          <w:sz w:val="20"/>
          <w:szCs w:val="20"/>
          <w:lang w:bidi="en-US"/>
        </w:rPr>
        <w:t xml:space="preserve">All cases within laparoscopic group underwent intraoperative ultrasonography. Five cases in open </w:t>
      </w:r>
      <w:r w:rsidR="007C43E2" w:rsidRPr="0047313D">
        <w:rPr>
          <w:rFonts w:ascii="Times New Roman" w:eastAsia="Times New Roman" w:hAnsi="Times New Roman" w:cs="Times New Roman"/>
          <w:sz w:val="20"/>
          <w:szCs w:val="20"/>
          <w:lang w:bidi="en-US"/>
        </w:rPr>
        <w:lastRenderedPageBreak/>
        <w:t xml:space="preserve">group needed intraoperative ultrasonography. </w:t>
      </w:r>
      <w:r w:rsidR="00CB5804" w:rsidRPr="0047313D">
        <w:rPr>
          <w:rFonts w:ascii="Times New Roman" w:eastAsia="Times New Roman" w:hAnsi="Times New Roman" w:cs="Times New Roman"/>
          <w:sz w:val="20"/>
          <w:szCs w:val="20"/>
          <w:lang w:bidi="en-US"/>
        </w:rPr>
        <w:t>No</w:t>
      </w:r>
      <w:r w:rsidR="007C43E2" w:rsidRPr="0047313D">
        <w:rPr>
          <w:rFonts w:ascii="Times New Roman" w:eastAsia="Times New Roman" w:hAnsi="Times New Roman" w:cs="Times New Roman"/>
          <w:sz w:val="20"/>
          <w:szCs w:val="20"/>
          <w:lang w:bidi="en-US"/>
        </w:rPr>
        <w:t xml:space="preserve"> statistically significance (P=1).</w:t>
      </w:r>
    </w:p>
    <w:p w:rsidR="005716EE" w:rsidRPr="0047313D" w:rsidRDefault="005716EE" w:rsidP="005716EE">
      <w:pPr>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177332" w:rsidRPr="0047313D" w:rsidRDefault="00177332" w:rsidP="005716EE">
      <w:pPr>
        <w:bidi w:val="0"/>
        <w:snapToGrid w:val="0"/>
        <w:spacing w:after="0" w:line="240" w:lineRule="auto"/>
        <w:jc w:val="center"/>
        <w:rPr>
          <w:rFonts w:ascii="Times New Roman" w:eastAsia="Times New Roman" w:hAnsi="Times New Roman" w:cs="Times New Roman"/>
          <w:sz w:val="20"/>
          <w:szCs w:val="20"/>
          <w:lang w:bidi="en-US"/>
        </w:rPr>
      </w:pPr>
    </w:p>
    <w:p w:rsidR="00177332" w:rsidRPr="0047313D" w:rsidRDefault="007C43E2" w:rsidP="005716EE">
      <w:pPr>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482DB2" w:rsidRPr="0047313D">
        <w:rPr>
          <w:rFonts w:ascii="Times New Roman" w:eastAsia="Times New Roman" w:hAnsi="Times New Roman" w:cs="Times New Roman"/>
          <w:sz w:val="20"/>
          <w:szCs w:val="20"/>
          <w:lang w:bidi="en-US"/>
        </w:rPr>
        <w:t>8)</w:t>
      </w:r>
      <w:r w:rsidRPr="0047313D">
        <w:rPr>
          <w:rFonts w:ascii="Times New Roman" w:eastAsia="Times New Roman" w:hAnsi="Times New Roman" w:cs="Times New Roman"/>
          <w:sz w:val="20"/>
          <w:szCs w:val="20"/>
          <w:lang w:bidi="en-US"/>
        </w:rPr>
        <w:t>: Operative details in both groups.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shd w:val="clear" w:color="auto" w:fill="FFFFFF"/>
        <w:tblCellMar>
          <w:left w:w="57" w:type="dxa"/>
          <w:right w:w="57" w:type="dxa"/>
        </w:tblCellMar>
        <w:tblLook w:val="01E0"/>
      </w:tblPr>
      <w:tblGrid>
        <w:gridCol w:w="2627"/>
        <w:gridCol w:w="1311"/>
        <w:gridCol w:w="1311"/>
        <w:gridCol w:w="1311"/>
        <w:gridCol w:w="1311"/>
        <w:gridCol w:w="1603"/>
      </w:tblGrid>
      <w:tr w:rsidR="007C43E2" w:rsidRPr="0047313D" w:rsidTr="009F7A89">
        <w:trPr>
          <w:jc w:val="center"/>
        </w:trPr>
        <w:tc>
          <w:tcPr>
            <w:tcW w:w="1386" w:type="pct"/>
            <w:vMerge w:val="restart"/>
            <w:shd w:val="clear" w:color="auto" w:fill="FFFFFF"/>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i/>
                <w:sz w:val="20"/>
                <w:szCs w:val="20"/>
                <w:lang w:bidi="en-US"/>
              </w:rPr>
              <w:t>Resection type</w:t>
            </w:r>
          </w:p>
        </w:tc>
        <w:tc>
          <w:tcPr>
            <w:tcW w:w="1384" w:type="pct"/>
            <w:gridSpan w:val="2"/>
            <w:shd w:val="clear" w:color="auto" w:fill="D9D9D9"/>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A</w:t>
            </w:r>
            <w:r w:rsidR="009F7A89" w:rsidRPr="0047313D">
              <w:rPr>
                <w:rFonts w:ascii="Times New Roman" w:eastAsia="Times New Roman" w:hAnsi="Times New Roman" w:cs="Times New Roman"/>
                <w:b/>
                <w:bCs/>
                <w:i/>
                <w:sz w:val="20"/>
                <w:szCs w:val="20"/>
                <w:lang w:bidi="en-US"/>
              </w:rPr>
              <w:t xml:space="preserve"> </w:t>
            </w:r>
            <w:r w:rsidRPr="0047313D">
              <w:rPr>
                <w:rFonts w:ascii="Times New Roman" w:eastAsia="Times New Roman" w:hAnsi="Times New Roman" w:cs="Times New Roman"/>
                <w:b/>
                <w:bCs/>
                <w:i/>
                <w:sz w:val="20"/>
                <w:szCs w:val="20"/>
                <w:lang w:bidi="en-US"/>
              </w:rPr>
              <w:t>(n=50)</w:t>
            </w:r>
          </w:p>
        </w:tc>
        <w:tc>
          <w:tcPr>
            <w:tcW w:w="1384" w:type="pct"/>
            <w:gridSpan w:val="2"/>
            <w:shd w:val="clear" w:color="auto" w:fill="D9D9D9"/>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B (n=50)</w:t>
            </w:r>
          </w:p>
        </w:tc>
        <w:tc>
          <w:tcPr>
            <w:tcW w:w="847" w:type="pct"/>
            <w:vMerge w:val="restart"/>
            <w:shd w:val="clear" w:color="auto" w:fill="D9D9D9"/>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 xml:space="preserve">P </w:t>
            </w:r>
            <w:r w:rsidR="00B85B02" w:rsidRPr="0047313D">
              <w:rPr>
                <w:rFonts w:ascii="Times New Roman" w:eastAsia="Times New Roman" w:hAnsi="Times New Roman" w:cs="Times New Roman"/>
                <w:b/>
                <w:bCs/>
                <w:i/>
                <w:sz w:val="20"/>
                <w:szCs w:val="20"/>
                <w:lang w:bidi="en-US"/>
              </w:rPr>
              <w:t>–</w:t>
            </w:r>
            <w:r w:rsidRPr="0047313D">
              <w:rPr>
                <w:rFonts w:ascii="Times New Roman" w:eastAsia="Times New Roman" w:hAnsi="Times New Roman" w:cs="Times New Roman"/>
                <w:b/>
                <w:bCs/>
                <w:i/>
                <w:sz w:val="20"/>
                <w:szCs w:val="20"/>
                <w:lang w:bidi="en-US"/>
              </w:rPr>
              <w:t xml:space="preserve"> value</w:t>
            </w:r>
          </w:p>
        </w:tc>
      </w:tr>
      <w:tr w:rsidR="007C43E2" w:rsidRPr="0047313D" w:rsidTr="009F7A89">
        <w:trPr>
          <w:jc w:val="center"/>
        </w:trPr>
        <w:tc>
          <w:tcPr>
            <w:tcW w:w="1386" w:type="pct"/>
            <w:vMerge/>
            <w:shd w:val="clear" w:color="auto" w:fill="FFFFFF"/>
            <w:vAlign w:val="center"/>
          </w:tcPr>
          <w:p w:rsidR="00B87D2C" w:rsidRPr="0047313D" w:rsidRDefault="00B87D2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692" w:type="pct"/>
            <w:shd w:val="clear" w:color="auto" w:fill="FFFFFF"/>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w:t>
            </w:r>
          </w:p>
        </w:tc>
        <w:tc>
          <w:tcPr>
            <w:tcW w:w="692" w:type="pct"/>
            <w:shd w:val="clear" w:color="auto" w:fill="FFFFFF"/>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w:t>
            </w:r>
          </w:p>
        </w:tc>
        <w:tc>
          <w:tcPr>
            <w:tcW w:w="692" w:type="pct"/>
            <w:shd w:val="clear" w:color="auto" w:fill="FFFFFF"/>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w:t>
            </w:r>
          </w:p>
        </w:tc>
        <w:tc>
          <w:tcPr>
            <w:tcW w:w="692" w:type="pct"/>
            <w:shd w:val="clear" w:color="auto" w:fill="FFFFFF"/>
            <w:vAlign w:val="center"/>
          </w:tcPr>
          <w:p w:rsidR="00B87D2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w:t>
            </w:r>
          </w:p>
        </w:tc>
        <w:tc>
          <w:tcPr>
            <w:tcW w:w="847" w:type="pct"/>
            <w:vMerge/>
            <w:shd w:val="clear" w:color="auto" w:fill="FFFFFF"/>
            <w:vAlign w:val="center"/>
          </w:tcPr>
          <w:p w:rsidR="00B87D2C" w:rsidRPr="0047313D" w:rsidRDefault="00B87D2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386"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i/>
                <w:sz w:val="20"/>
                <w:szCs w:val="20"/>
                <w:lang w:bidi="en-US"/>
              </w:rPr>
              <w:t>Non anatomical</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49</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98</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49</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98</w:t>
            </w:r>
          </w:p>
        </w:tc>
        <w:tc>
          <w:tcPr>
            <w:tcW w:w="847" w:type="pct"/>
            <w:vMerge w:val="restart"/>
            <w:shd w:val="clear" w:color="auto" w:fill="FFFFFF"/>
            <w:vAlign w:val="center"/>
          </w:tcPr>
          <w:p w:rsidR="00BE4035" w:rsidRPr="0047313D" w:rsidRDefault="00BE4035"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1.00</w:t>
            </w:r>
          </w:p>
        </w:tc>
      </w:tr>
      <w:tr w:rsidR="007C43E2" w:rsidRPr="0047313D" w:rsidTr="009F7A89">
        <w:trPr>
          <w:jc w:val="center"/>
        </w:trPr>
        <w:tc>
          <w:tcPr>
            <w:tcW w:w="1386"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i/>
                <w:sz w:val="20"/>
                <w:szCs w:val="20"/>
                <w:lang w:bidi="en-US"/>
              </w:rPr>
              <w:t>Anatomical</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w:t>
            </w:r>
          </w:p>
        </w:tc>
        <w:tc>
          <w:tcPr>
            <w:tcW w:w="692" w:type="pct"/>
            <w:shd w:val="clear" w:color="auto" w:fill="FFFFFF"/>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w:t>
            </w:r>
          </w:p>
        </w:tc>
        <w:tc>
          <w:tcPr>
            <w:tcW w:w="847" w:type="pct"/>
            <w:vMerge/>
            <w:shd w:val="clear" w:color="auto" w:fill="FFFFFF"/>
            <w:vAlign w:val="center"/>
          </w:tcPr>
          <w:p w:rsidR="00BE4035" w:rsidRPr="0047313D" w:rsidRDefault="00BE4035"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bl>
    <w:p w:rsidR="00103D2F" w:rsidRPr="0047313D" w:rsidRDefault="00103D2F"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5716EE" w:rsidRPr="0047313D" w:rsidRDefault="005716EE"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3B036E" w:rsidRPr="0047313D" w:rsidRDefault="007C43E2" w:rsidP="005716EE">
      <w:pPr>
        <w:widowControl w:val="0"/>
        <w:tabs>
          <w:tab w:val="left" w:pos="929"/>
          <w:tab w:val="left" w:pos="930"/>
        </w:tabs>
        <w:autoSpaceDE w:val="0"/>
        <w:autoSpaceDN w:val="0"/>
        <w:bidi w:val="0"/>
        <w:snapToGrid w:val="0"/>
        <w:spacing w:after="0" w:line="240" w:lineRule="auto"/>
        <w:jc w:val="both"/>
        <w:outlineLvl w:val="0"/>
        <w:rPr>
          <w:rFonts w:ascii="Times New Roman" w:eastAsia="Britannic Bold" w:hAnsi="Times New Roman" w:cs="Times New Roman"/>
          <w:b/>
          <w:bCs/>
          <w:sz w:val="20"/>
          <w:szCs w:val="20"/>
          <w:lang w:bidi="en-US"/>
        </w:rPr>
      </w:pPr>
      <w:r w:rsidRPr="0047313D">
        <w:rPr>
          <w:rFonts w:ascii="Times New Roman" w:eastAsia="Britannic Bold" w:hAnsi="Times New Roman" w:cs="Times New Roman"/>
          <w:b/>
          <w:bCs/>
          <w:sz w:val="20"/>
          <w:szCs w:val="20"/>
          <w:lang w:bidi="en-US"/>
        </w:rPr>
        <w:lastRenderedPageBreak/>
        <w:t>Postoperative Data:</w:t>
      </w:r>
    </w:p>
    <w:p w:rsidR="00BE4035"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As regarding </w:t>
      </w:r>
      <w:r w:rsidRPr="0047313D">
        <w:rPr>
          <w:rFonts w:ascii="Times New Roman" w:eastAsia="Times New Roman" w:hAnsi="Times New Roman" w:cs="Times New Roman"/>
          <w:i/>
          <w:sz w:val="20"/>
          <w:szCs w:val="20"/>
          <w:lang w:bidi="en-US"/>
        </w:rPr>
        <w:t>the hospital stay</w:t>
      </w:r>
      <w:r w:rsidRPr="0047313D">
        <w:rPr>
          <w:rFonts w:ascii="Times New Roman" w:eastAsia="Times New Roman" w:hAnsi="Times New Roman" w:cs="Times New Roman"/>
          <w:sz w:val="20"/>
          <w:szCs w:val="20"/>
          <w:lang w:bidi="en-US"/>
        </w:rPr>
        <w:t>, the mean hospital stay in open group was 5.9±</w:t>
      </w:r>
      <w:r w:rsidR="009F7A89"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 xml:space="preserve">88 days ranging from 3-7 days, while the laparoscopic group was 3.74±.85 days ranging from 2-5 days with highly statistically positive </w:t>
      </w:r>
      <w:r w:rsidRPr="0047313D">
        <w:rPr>
          <w:rFonts w:ascii="Times New Roman" w:eastAsia="Times New Roman" w:hAnsi="Times New Roman" w:cs="Times New Roman"/>
          <w:sz w:val="20"/>
          <w:szCs w:val="20"/>
          <w:lang w:bidi="en-US"/>
        </w:rPr>
        <w:lastRenderedPageBreak/>
        <w:t>correlation difference between 2 groups (P&lt; 0.001). Also the drain was removed in the laparoscopic group earlier showing highly statistical difference between two groups (P&lt; 0.001).</w:t>
      </w:r>
    </w:p>
    <w:p w:rsidR="005716EE" w:rsidRPr="0047313D" w:rsidRDefault="005716EE" w:rsidP="005716EE">
      <w:pPr>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3B036E" w:rsidRPr="0047313D" w:rsidRDefault="003B036E" w:rsidP="005716EE">
      <w:pPr>
        <w:bidi w:val="0"/>
        <w:snapToGrid w:val="0"/>
        <w:spacing w:after="0" w:line="240" w:lineRule="auto"/>
        <w:jc w:val="center"/>
        <w:rPr>
          <w:rFonts w:ascii="Times New Roman" w:eastAsia="Times New Roman" w:hAnsi="Times New Roman" w:cs="Times New Roman"/>
          <w:sz w:val="20"/>
          <w:szCs w:val="20"/>
          <w:lang w:bidi="en-US"/>
        </w:rPr>
      </w:pPr>
    </w:p>
    <w:p w:rsidR="00BE4035" w:rsidRPr="0047313D" w:rsidRDefault="007C43E2" w:rsidP="005716EE">
      <w:pPr>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Table ( </w:t>
      </w:r>
      <w:r w:rsidR="00E27392" w:rsidRPr="0047313D">
        <w:rPr>
          <w:rFonts w:ascii="Times New Roman" w:eastAsia="Times New Roman" w:hAnsi="Times New Roman" w:cs="Times New Roman"/>
          <w:sz w:val="20"/>
          <w:szCs w:val="20"/>
          <w:lang w:bidi="en-US"/>
        </w:rPr>
        <w:t>8</w:t>
      </w:r>
      <w:r w:rsidRPr="0047313D">
        <w:rPr>
          <w:rFonts w:ascii="Times New Roman" w:eastAsia="Times New Roman" w:hAnsi="Times New Roman" w:cs="Times New Roman"/>
          <w:sz w:val="20"/>
          <w:szCs w:val="20"/>
          <w:lang w:bidi="en-US"/>
        </w:rPr>
        <w:t>): The following table shows the postoperative data of the patients included in the study.</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995"/>
        <w:gridCol w:w="1660"/>
        <w:gridCol w:w="1014"/>
        <w:gridCol w:w="1578"/>
        <w:gridCol w:w="1014"/>
        <w:gridCol w:w="1213"/>
      </w:tblGrid>
      <w:tr w:rsidR="007C43E2" w:rsidRPr="0047313D" w:rsidTr="009F7A89">
        <w:trPr>
          <w:jc w:val="center"/>
        </w:trPr>
        <w:tc>
          <w:tcPr>
            <w:tcW w:w="1581" w:type="pct"/>
            <w:vMerge w:val="restart"/>
            <w:shd w:val="clear" w:color="auto" w:fill="D9D9D9"/>
            <w:vAlign w:val="center"/>
          </w:tcPr>
          <w:p w:rsidR="00FA28F1" w:rsidRPr="0047313D" w:rsidRDefault="00FA28F1"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FFFFFF"/>
                <w:sz w:val="20"/>
                <w:szCs w:val="20"/>
                <w:lang w:bidi="en-US"/>
              </w:rPr>
            </w:pPr>
          </w:p>
        </w:tc>
        <w:tc>
          <w:tcPr>
            <w:tcW w:w="1411" w:type="pct"/>
            <w:gridSpan w:val="2"/>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Group A (n=50)</w:t>
            </w:r>
          </w:p>
        </w:tc>
        <w:tc>
          <w:tcPr>
            <w:tcW w:w="1368" w:type="pct"/>
            <w:gridSpan w:val="2"/>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Group B (n=50)</w:t>
            </w:r>
          </w:p>
        </w:tc>
        <w:tc>
          <w:tcPr>
            <w:tcW w:w="640" w:type="pct"/>
            <w:vMerge w:val="restart"/>
            <w:shd w:val="clear" w:color="auto" w:fill="D9D9D9"/>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color w:val="FFFFFF"/>
                <w:sz w:val="20"/>
                <w:szCs w:val="20"/>
                <w:lang w:bidi="en-US"/>
              </w:rPr>
            </w:pPr>
            <w:r w:rsidRPr="0047313D">
              <w:rPr>
                <w:rFonts w:ascii="Times New Roman" w:eastAsia="Times New Roman" w:hAnsi="Times New Roman" w:cs="Times New Roman"/>
                <w:b/>
                <w:bCs/>
                <w:i/>
                <w:sz w:val="20"/>
                <w:szCs w:val="20"/>
                <w:lang w:bidi="en-US"/>
              </w:rPr>
              <w:t>P-value</w:t>
            </w:r>
          </w:p>
        </w:tc>
      </w:tr>
      <w:tr w:rsidR="007C43E2" w:rsidRPr="0047313D" w:rsidTr="009F7A89">
        <w:trPr>
          <w:jc w:val="center"/>
        </w:trPr>
        <w:tc>
          <w:tcPr>
            <w:tcW w:w="1581" w:type="pct"/>
            <w:vMerge/>
            <w:vAlign w:val="center"/>
          </w:tcPr>
          <w:p w:rsidR="00FA28F1" w:rsidRPr="0047313D" w:rsidRDefault="00FA28F1"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876" w:type="pct"/>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 ± SD</w:t>
            </w:r>
          </w:p>
        </w:tc>
        <w:tc>
          <w:tcPr>
            <w:tcW w:w="535" w:type="pct"/>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Range</w:t>
            </w:r>
          </w:p>
        </w:tc>
        <w:tc>
          <w:tcPr>
            <w:tcW w:w="833" w:type="pct"/>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Mean ±SD</w:t>
            </w:r>
          </w:p>
        </w:tc>
        <w:tc>
          <w:tcPr>
            <w:tcW w:w="535" w:type="pct"/>
            <w:vAlign w:val="center"/>
          </w:tcPr>
          <w:p w:rsidR="00FA28F1"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Range</w:t>
            </w:r>
          </w:p>
        </w:tc>
        <w:tc>
          <w:tcPr>
            <w:tcW w:w="640" w:type="pct"/>
            <w:vMerge/>
            <w:vAlign w:val="center"/>
          </w:tcPr>
          <w:p w:rsidR="00FA28F1" w:rsidRPr="0047313D" w:rsidRDefault="00FA28F1"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p>
        </w:tc>
      </w:tr>
      <w:tr w:rsidR="007C43E2" w:rsidRPr="0047313D" w:rsidTr="009F7A89">
        <w:trPr>
          <w:jc w:val="center"/>
        </w:trPr>
        <w:tc>
          <w:tcPr>
            <w:tcW w:w="1581"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Hospital stay (days)</w:t>
            </w:r>
          </w:p>
        </w:tc>
        <w:tc>
          <w:tcPr>
            <w:tcW w:w="876"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3.74±.85</w:t>
            </w:r>
          </w:p>
        </w:tc>
        <w:tc>
          <w:tcPr>
            <w:tcW w:w="535"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2-5</w:t>
            </w:r>
          </w:p>
        </w:tc>
        <w:tc>
          <w:tcPr>
            <w:tcW w:w="833"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5.9±</w:t>
            </w:r>
            <w:r w:rsidR="009F7A89"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88</w:t>
            </w:r>
          </w:p>
        </w:tc>
        <w:tc>
          <w:tcPr>
            <w:tcW w:w="535"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3-7</w:t>
            </w:r>
          </w:p>
        </w:tc>
        <w:tc>
          <w:tcPr>
            <w:tcW w:w="640"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&lt;0.001</w:t>
            </w:r>
          </w:p>
        </w:tc>
      </w:tr>
      <w:tr w:rsidR="007C43E2" w:rsidRPr="0047313D" w:rsidTr="009F7A89">
        <w:trPr>
          <w:jc w:val="center"/>
        </w:trPr>
        <w:tc>
          <w:tcPr>
            <w:tcW w:w="1581"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Drain removal (days)</w:t>
            </w:r>
          </w:p>
        </w:tc>
        <w:tc>
          <w:tcPr>
            <w:tcW w:w="876"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2.9±0.97</w:t>
            </w:r>
          </w:p>
        </w:tc>
        <w:tc>
          <w:tcPr>
            <w:tcW w:w="535"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2-5</w:t>
            </w:r>
          </w:p>
        </w:tc>
        <w:tc>
          <w:tcPr>
            <w:tcW w:w="833"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4.31±1.1</w:t>
            </w:r>
          </w:p>
        </w:tc>
        <w:tc>
          <w:tcPr>
            <w:tcW w:w="535"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3-7</w:t>
            </w:r>
          </w:p>
        </w:tc>
        <w:tc>
          <w:tcPr>
            <w:tcW w:w="640" w:type="pct"/>
            <w:vAlign w:val="center"/>
          </w:tcPr>
          <w:p w:rsidR="00BE4035"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&lt;0.001</w:t>
            </w:r>
          </w:p>
        </w:tc>
      </w:tr>
    </w:tbl>
    <w:p w:rsidR="009F7A89"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5716EE" w:rsidRPr="0047313D" w:rsidRDefault="005716EE" w:rsidP="005716EE">
      <w:pPr>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3B036E"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A</w:t>
      </w:r>
      <w:r w:rsidR="007C43E2" w:rsidRPr="0047313D">
        <w:rPr>
          <w:rFonts w:ascii="Times New Roman" w:eastAsia="Times New Roman" w:hAnsi="Times New Roman" w:cs="Times New Roman"/>
          <w:sz w:val="20"/>
          <w:szCs w:val="20"/>
          <w:lang w:bidi="en-US"/>
        </w:rPr>
        <w:t>s shown in table (</w:t>
      </w:r>
      <w:r w:rsidR="00E27392" w:rsidRPr="0047313D">
        <w:rPr>
          <w:rFonts w:ascii="Times New Roman" w:eastAsia="Times New Roman" w:hAnsi="Times New Roman" w:cs="Times New Roman"/>
          <w:sz w:val="20"/>
          <w:szCs w:val="20"/>
          <w:lang w:bidi="en-US"/>
        </w:rPr>
        <w:t>9</w:t>
      </w:r>
      <w:r w:rsidR="007C43E2" w:rsidRPr="0047313D">
        <w:rPr>
          <w:rFonts w:ascii="Times New Roman" w:eastAsia="Times New Roman" w:hAnsi="Times New Roman" w:cs="Times New Roman"/>
          <w:sz w:val="20"/>
          <w:szCs w:val="20"/>
          <w:lang w:bidi="en-US"/>
        </w:rPr>
        <w:t xml:space="preserve"> ), the most frequent complication was postoperative ascites and which was seen in 35 (70%) cases in the open group and in 23 (46%) cases in laparoscopic group with highly significant difference between both groups with much more lower incidence in laparoscopic group </w:t>
      </w:r>
      <w:r w:rsidR="007C43E2" w:rsidRPr="0047313D">
        <w:rPr>
          <w:rFonts w:ascii="Times New Roman" w:eastAsia="Times New Roman" w:hAnsi="Times New Roman" w:cs="Times New Roman"/>
          <w:sz w:val="20"/>
          <w:szCs w:val="20"/>
          <w:lang w:bidi="en-US"/>
        </w:rPr>
        <w:lastRenderedPageBreak/>
        <w:t xml:space="preserve">(P&lt;0.004). It was recorded that the complications occurred all over the both groups in relation to the technique of resection which was more in open than laparoscopic resection but without statistically </w:t>
      </w:r>
      <w:r w:rsidR="000B2B4B" w:rsidRPr="0047313D">
        <w:rPr>
          <w:rFonts w:ascii="Times New Roman" w:eastAsia="Times New Roman" w:hAnsi="Times New Roman" w:cs="Times New Roman"/>
          <w:sz w:val="20"/>
          <w:szCs w:val="20"/>
          <w:lang w:bidi="en-US"/>
        </w:rPr>
        <w:t>significant.</w:t>
      </w:r>
    </w:p>
    <w:p w:rsidR="005716EE" w:rsidRPr="0047313D" w:rsidRDefault="005716EE" w:rsidP="005716EE">
      <w:pPr>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5716EE" w:rsidRPr="0047313D" w:rsidRDefault="005716EE" w:rsidP="005716EE">
      <w:pPr>
        <w:bidi w:val="0"/>
        <w:snapToGrid w:val="0"/>
        <w:spacing w:after="0" w:line="240" w:lineRule="auto"/>
        <w:jc w:val="center"/>
        <w:rPr>
          <w:rFonts w:ascii="Times New Roman" w:hAnsi="Times New Roman" w:cs="Times New Roman"/>
          <w:sz w:val="20"/>
          <w:szCs w:val="20"/>
          <w:lang w:eastAsia="zh-CN" w:bidi="en-US"/>
        </w:rPr>
      </w:pPr>
    </w:p>
    <w:p w:rsidR="003B036E" w:rsidRPr="0047313D" w:rsidRDefault="007C43E2" w:rsidP="005716EE">
      <w:pPr>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9</w:t>
      </w:r>
      <w:r w:rsidRPr="0047313D">
        <w:rPr>
          <w:rFonts w:ascii="Times New Roman" w:eastAsia="Times New Roman" w:hAnsi="Times New Roman" w:cs="Times New Roman"/>
          <w:sz w:val="20"/>
          <w:szCs w:val="20"/>
          <w:lang w:bidi="en-US"/>
        </w:rPr>
        <w:t xml:space="preserve"> ): Postoperative complications in both groups</w:t>
      </w:r>
      <w:r w:rsidR="000B2B4B" w:rsidRPr="0047313D">
        <w:rPr>
          <w:rFonts w:ascii="Times New Roman" w:eastAsia="Times New Roman" w:hAnsi="Times New Roman" w:cs="Times New Roman"/>
          <w:sz w:val="20"/>
          <w:szCs w:val="20"/>
          <w:lang w:bidi="en-US"/>
        </w:rPr>
        <w:t>.</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3826"/>
        <w:gridCol w:w="2245"/>
        <w:gridCol w:w="2245"/>
        <w:gridCol w:w="1158"/>
      </w:tblGrid>
      <w:tr w:rsidR="007C43E2" w:rsidRPr="0047313D" w:rsidTr="009F7A89">
        <w:trPr>
          <w:jc w:val="center"/>
        </w:trPr>
        <w:tc>
          <w:tcPr>
            <w:tcW w:w="2019" w:type="pct"/>
            <w:vMerge w:val="restart"/>
            <w:tcBorders>
              <w:top w:val="thinThickSmallGap" w:sz="24" w:space="0" w:color="auto"/>
              <w:left w:val="thinThickSmallGap" w:sz="24" w:space="0" w:color="auto"/>
              <w:bottom w:val="single" w:sz="6" w:space="0" w:color="000000"/>
              <w:right w:val="single" w:sz="6" w:space="0" w:color="000000"/>
            </w:tcBorders>
            <w:shd w:val="clear" w:color="auto" w:fill="D9D9D9"/>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185"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1185"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611" w:type="pct"/>
            <w:vMerge w:val="restart"/>
            <w:tcBorders>
              <w:top w:val="thinThickSmallGap" w:sz="24" w:space="0" w:color="auto"/>
              <w:left w:val="single" w:sz="6" w:space="0" w:color="000000"/>
              <w:bottom w:val="single" w:sz="6" w:space="0" w:color="000000"/>
              <w:right w:val="thickThinSmallGap" w:sz="24" w:space="0" w:color="auto"/>
            </w:tcBorders>
            <w:shd w:val="clear" w:color="auto" w:fill="D9D9D9"/>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7C43E2" w:rsidRPr="0047313D" w:rsidTr="009F7A89">
        <w:trPr>
          <w:jc w:val="center"/>
        </w:trPr>
        <w:tc>
          <w:tcPr>
            <w:tcW w:w="2019" w:type="pct"/>
            <w:vMerge/>
            <w:tcBorders>
              <w:top w:val="nil"/>
              <w:left w:val="thinThickSmallGap" w:sz="24" w:space="0" w:color="auto"/>
              <w:bottom w:val="single" w:sz="6" w:space="0" w:color="000000"/>
              <w:right w:val="single" w:sz="6" w:space="0" w:color="000000"/>
            </w:tcBorders>
            <w:shd w:val="clear" w:color="auto" w:fill="D9D9D9"/>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185"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1185" w:type="pct"/>
            <w:tcBorders>
              <w:top w:val="single" w:sz="6" w:space="0" w:color="000000"/>
              <w:left w:val="single" w:sz="6" w:space="0" w:color="000000"/>
              <w:bottom w:val="single" w:sz="6" w:space="0" w:color="000000"/>
              <w:right w:val="single" w:sz="6" w:space="0" w:color="000000"/>
            </w:tcBorders>
            <w:shd w:val="clear" w:color="auto" w:fill="D9D9D9"/>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611" w:type="pct"/>
            <w:vMerge/>
            <w:tcBorders>
              <w:top w:val="nil"/>
              <w:left w:val="single" w:sz="6" w:space="0" w:color="000000"/>
              <w:bottom w:val="single" w:sz="6" w:space="0" w:color="000000"/>
              <w:right w:val="thickThinSmallGap" w:sz="24" w:space="0" w:color="auto"/>
            </w:tcBorders>
            <w:shd w:val="clear" w:color="auto" w:fill="D9D9D9"/>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Bleeding</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 (2)</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 (0)</w:t>
            </w:r>
          </w:p>
        </w:tc>
        <w:tc>
          <w:tcPr>
            <w:tcW w:w="611" w:type="pct"/>
            <w:tcBorders>
              <w:top w:val="single" w:sz="6" w:space="0" w:color="000000"/>
              <w:left w:val="single" w:sz="6" w:space="0" w:color="000000"/>
              <w:bottom w:val="single" w:sz="6" w:space="0" w:color="000000"/>
              <w:right w:val="thickThinSmallGap" w:sz="24" w:space="0" w:color="auto"/>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0.053</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Ascites</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23 (46)</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35 (70)</w:t>
            </w:r>
          </w:p>
        </w:tc>
        <w:tc>
          <w:tcPr>
            <w:tcW w:w="611" w:type="pct"/>
            <w:tcBorders>
              <w:top w:val="single" w:sz="6" w:space="0" w:color="000000"/>
              <w:left w:val="single" w:sz="6" w:space="0" w:color="000000"/>
              <w:bottom w:val="single" w:sz="6" w:space="0" w:color="000000"/>
              <w:right w:val="thickThinSmallGap" w:sz="24" w:space="0" w:color="auto"/>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0.004</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Wound infection</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 (6)</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 (12)</w:t>
            </w:r>
          </w:p>
        </w:tc>
        <w:tc>
          <w:tcPr>
            <w:tcW w:w="611" w:type="pct"/>
            <w:tcBorders>
              <w:top w:val="single" w:sz="6" w:space="0" w:color="000000"/>
              <w:left w:val="single" w:sz="6" w:space="0" w:color="000000"/>
              <w:bottom w:val="single" w:sz="6" w:space="0" w:color="000000"/>
              <w:right w:val="thickThinSmallGap" w:sz="24" w:space="0" w:color="auto"/>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0.613</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Liver failure</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11" w:type="pct"/>
            <w:tcBorders>
              <w:top w:val="single" w:sz="6" w:space="0" w:color="000000"/>
              <w:left w:val="single" w:sz="6" w:space="0" w:color="000000"/>
              <w:bottom w:val="single" w:sz="6" w:space="0" w:color="000000"/>
              <w:right w:val="thickThinSmallGap" w:sz="24" w:space="0" w:color="auto"/>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Pulmonary complication</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11" w:type="pct"/>
            <w:tcBorders>
              <w:top w:val="single" w:sz="6" w:space="0" w:color="000000"/>
              <w:left w:val="single" w:sz="6" w:space="0" w:color="000000"/>
              <w:bottom w:val="single" w:sz="6" w:space="0" w:color="000000"/>
              <w:right w:val="thickThinSmallGap" w:sz="24" w:space="0" w:color="auto"/>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Port site</w:t>
            </w:r>
            <w:r w:rsidR="003B036E" w:rsidRPr="0047313D">
              <w:rPr>
                <w:rFonts w:ascii="Times New Roman" w:eastAsia="Times New Roman" w:hAnsi="Times New Roman" w:cs="Times New Roman"/>
                <w:b/>
                <w:bCs/>
                <w:iCs/>
                <w:sz w:val="20"/>
                <w:szCs w:val="20"/>
                <w:lang w:bidi="en-US"/>
              </w:rPr>
              <w:t xml:space="preserve"> metastasis</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w:t>
            </w:r>
            <w:r w:rsidR="003B036E"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w:t>
            </w:r>
            <w:r w:rsidR="003B036E" w:rsidRPr="0047313D">
              <w:rPr>
                <w:rFonts w:ascii="Times New Roman" w:eastAsia="Times New Roman" w:hAnsi="Times New Roman" w:cs="Times New Roman"/>
                <w:sz w:val="20"/>
                <w:szCs w:val="20"/>
                <w:lang w:bidi="en-US"/>
              </w:rPr>
              <w:t>)</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 (0)</w:t>
            </w:r>
          </w:p>
        </w:tc>
        <w:tc>
          <w:tcPr>
            <w:tcW w:w="611" w:type="pct"/>
            <w:vMerge w:val="restart"/>
            <w:tcBorders>
              <w:top w:val="single" w:sz="6" w:space="0" w:color="000000"/>
              <w:left w:val="single" w:sz="6" w:space="0" w:color="000000"/>
              <w:right w:val="thickThinSmallGap" w:sz="24" w:space="0" w:color="auto"/>
            </w:tcBorders>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1.00</w:t>
            </w: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Incisional Hernia</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 (2)</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w:t>
            </w:r>
            <w:r w:rsidR="003B036E"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w:t>
            </w:r>
            <w:r w:rsidR="003B036E" w:rsidRPr="0047313D">
              <w:rPr>
                <w:rFonts w:ascii="Times New Roman" w:eastAsia="Times New Roman" w:hAnsi="Times New Roman" w:cs="Times New Roman"/>
                <w:sz w:val="20"/>
                <w:szCs w:val="20"/>
                <w:lang w:bidi="en-US"/>
              </w:rPr>
              <w:t>)</w:t>
            </w:r>
          </w:p>
        </w:tc>
        <w:tc>
          <w:tcPr>
            <w:tcW w:w="611" w:type="pct"/>
            <w:vMerge/>
            <w:tcBorders>
              <w:top w:val="nil"/>
              <w:left w:val="single" w:sz="6" w:space="0" w:color="000000"/>
              <w:bottom w:val="nil"/>
              <w:right w:val="thickThinSmallGap" w:sz="24" w:space="0" w:color="auto"/>
            </w:tcBorders>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2019" w:type="pct"/>
            <w:tcBorders>
              <w:top w:val="single" w:sz="6" w:space="0" w:color="000000"/>
              <w:left w:val="thinThickSmallGap" w:sz="24" w:space="0" w:color="auto"/>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BILE</w:t>
            </w:r>
            <w:r w:rsidR="009F7A89" w:rsidRPr="0047313D">
              <w:rPr>
                <w:rFonts w:ascii="Times New Roman" w:eastAsia="Times New Roman" w:hAnsi="Times New Roman" w:cs="Times New Roman"/>
                <w:b/>
                <w:bCs/>
                <w:iCs/>
                <w:sz w:val="20"/>
                <w:szCs w:val="20"/>
                <w:lang w:bidi="en-US"/>
              </w:rPr>
              <w:t xml:space="preserve"> </w:t>
            </w:r>
            <w:r w:rsidRPr="0047313D">
              <w:rPr>
                <w:rFonts w:ascii="Times New Roman" w:eastAsia="Times New Roman" w:hAnsi="Times New Roman" w:cs="Times New Roman"/>
                <w:b/>
                <w:bCs/>
                <w:iCs/>
                <w:sz w:val="20"/>
                <w:szCs w:val="20"/>
                <w:lang w:bidi="en-US"/>
              </w:rPr>
              <w:t>LEAK/STRICTURE</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1185" w:type="pct"/>
            <w:tcBorders>
              <w:top w:val="single" w:sz="6" w:space="0" w:color="000000"/>
              <w:left w:val="single" w:sz="6" w:space="0" w:color="000000"/>
              <w:bottom w:val="single" w:sz="6" w:space="0" w:color="000000"/>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11" w:type="pct"/>
            <w:tcBorders>
              <w:top w:val="nil"/>
              <w:left w:val="single" w:sz="6" w:space="0" w:color="000000"/>
              <w:bottom w:val="nil"/>
              <w:right w:val="thickThinSmallGap" w:sz="24" w:space="0" w:color="auto"/>
            </w:tcBorders>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2019" w:type="pct"/>
            <w:tcBorders>
              <w:top w:val="single" w:sz="6" w:space="0" w:color="000000"/>
              <w:left w:val="thinThickSmallGap" w:sz="24" w:space="0" w:color="auto"/>
              <w:bottom w:val="thickThinSmallGap" w:sz="24" w:space="0" w:color="auto"/>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Cs/>
                <w:sz w:val="20"/>
                <w:szCs w:val="20"/>
                <w:lang w:bidi="en-US"/>
              </w:rPr>
            </w:pPr>
            <w:r w:rsidRPr="0047313D">
              <w:rPr>
                <w:rFonts w:ascii="Times New Roman" w:eastAsia="Times New Roman" w:hAnsi="Times New Roman" w:cs="Times New Roman"/>
                <w:b/>
                <w:bCs/>
                <w:iCs/>
                <w:sz w:val="20"/>
                <w:szCs w:val="20"/>
                <w:lang w:bidi="en-US"/>
              </w:rPr>
              <w:t>Mortality</w:t>
            </w:r>
          </w:p>
        </w:tc>
        <w:tc>
          <w:tcPr>
            <w:tcW w:w="1185" w:type="pct"/>
            <w:tcBorders>
              <w:top w:val="single" w:sz="6" w:space="0" w:color="000000"/>
              <w:left w:val="single" w:sz="6" w:space="0" w:color="000000"/>
              <w:bottom w:val="thickThinSmallGap" w:sz="24" w:space="0" w:color="auto"/>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1185" w:type="pct"/>
            <w:tcBorders>
              <w:top w:val="single" w:sz="6" w:space="0" w:color="000000"/>
              <w:left w:val="single" w:sz="6" w:space="0" w:color="000000"/>
              <w:bottom w:val="thickThinSmallGap" w:sz="24" w:space="0" w:color="auto"/>
              <w:right w:val="single" w:sz="6" w:space="0" w:color="000000"/>
            </w:tcBorders>
            <w:vAlign w:val="center"/>
          </w:tcPr>
          <w:p w:rsidR="003B036E"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11" w:type="pct"/>
            <w:tcBorders>
              <w:top w:val="nil"/>
              <w:left w:val="single" w:sz="6" w:space="0" w:color="000000"/>
              <w:bottom w:val="thickThinSmallGap" w:sz="24" w:space="0" w:color="auto"/>
              <w:right w:val="thickThinSmallGap" w:sz="24" w:space="0" w:color="auto"/>
            </w:tcBorders>
            <w:vAlign w:val="center"/>
          </w:tcPr>
          <w:p w:rsidR="003B036E" w:rsidRPr="0047313D" w:rsidRDefault="003B036E"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bl>
    <w:p w:rsidR="003B036E" w:rsidRPr="0047313D" w:rsidRDefault="003B036E"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5716EE" w:rsidRPr="0047313D" w:rsidRDefault="005716EE" w:rsidP="005716EE">
      <w:pPr>
        <w:tabs>
          <w:tab w:val="left" w:pos="3248"/>
        </w:tabs>
        <w:bidi w:val="0"/>
        <w:snapToGrid w:val="0"/>
        <w:spacing w:after="0" w:line="240" w:lineRule="auto"/>
        <w:ind w:firstLine="425"/>
        <w:jc w:val="both"/>
        <w:rPr>
          <w:rFonts w:ascii="Times New Roman" w:eastAsia="Times New Roman" w:hAnsi="Times New Roman" w:cs="Times New Roman"/>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3B036E" w:rsidRPr="0047313D" w:rsidRDefault="007C43E2" w:rsidP="005716EE">
      <w:pPr>
        <w:tabs>
          <w:tab w:val="left" w:pos="324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lastRenderedPageBreak/>
        <w:t xml:space="preserve">There was a case of histologically proved </w:t>
      </w:r>
      <w:r w:rsidRPr="0047313D">
        <w:rPr>
          <w:rFonts w:ascii="Times New Roman" w:eastAsia="Times New Roman" w:hAnsi="Times New Roman" w:cs="Times New Roman"/>
          <w:i/>
          <w:sz w:val="20"/>
          <w:szCs w:val="20"/>
          <w:lang w:bidi="en-US"/>
        </w:rPr>
        <w:t xml:space="preserve">port site metastasis </w:t>
      </w:r>
      <w:r w:rsidRPr="0047313D">
        <w:rPr>
          <w:rFonts w:ascii="Times New Roman" w:eastAsia="Times New Roman" w:hAnsi="Times New Roman" w:cs="Times New Roman"/>
          <w:sz w:val="20"/>
          <w:szCs w:val="20"/>
          <w:lang w:bidi="en-US"/>
        </w:rPr>
        <w:t>in laparoscopic group at the right subcostal port where the specimen is extracted with percentage of (</w:t>
      </w:r>
      <w:r w:rsidR="00652750" w:rsidRPr="0047313D">
        <w:rPr>
          <w:rFonts w:ascii="Times New Roman" w:eastAsia="Times New Roman" w:hAnsi="Times New Roman" w:cs="Times New Roman"/>
          <w:sz w:val="20"/>
          <w:szCs w:val="20"/>
          <w:lang w:bidi="en-US"/>
        </w:rPr>
        <w:t>2</w:t>
      </w:r>
      <w:r w:rsidRPr="0047313D">
        <w:rPr>
          <w:rFonts w:ascii="Times New Roman" w:eastAsia="Times New Roman" w:hAnsi="Times New Roman" w:cs="Times New Roman"/>
          <w:sz w:val="20"/>
          <w:szCs w:val="20"/>
          <w:lang w:bidi="en-US"/>
        </w:rPr>
        <w:t>%) (P=1.00).</w:t>
      </w:r>
    </w:p>
    <w:p w:rsidR="00E76ACB" w:rsidRPr="0047313D" w:rsidRDefault="007C43E2" w:rsidP="005716EE">
      <w:pPr>
        <w:widowControl w:val="0"/>
        <w:tabs>
          <w:tab w:val="left" w:pos="934"/>
          <w:tab w:val="left" w:pos="935"/>
        </w:tabs>
        <w:autoSpaceDE w:val="0"/>
        <w:autoSpaceDN w:val="0"/>
        <w:bidi w:val="0"/>
        <w:snapToGrid w:val="0"/>
        <w:spacing w:after="0" w:line="240" w:lineRule="auto"/>
        <w:jc w:val="both"/>
        <w:outlineLvl w:val="0"/>
        <w:rPr>
          <w:rFonts w:ascii="Times New Roman" w:eastAsia="Britannic Bold" w:hAnsi="Times New Roman" w:cs="Times New Roman"/>
          <w:b/>
          <w:sz w:val="20"/>
          <w:szCs w:val="20"/>
          <w:lang w:bidi="en-US"/>
        </w:rPr>
      </w:pPr>
      <w:r w:rsidRPr="0047313D">
        <w:rPr>
          <w:rFonts w:ascii="Times New Roman" w:eastAsia="Britannic Bold" w:hAnsi="Times New Roman" w:cs="Times New Roman"/>
          <w:b/>
          <w:sz w:val="20"/>
          <w:szCs w:val="20"/>
          <w:lang w:bidi="en-US"/>
        </w:rPr>
        <w:t>Histopathological Data:</w:t>
      </w:r>
    </w:p>
    <w:p w:rsidR="00E76ACB" w:rsidRPr="0047313D" w:rsidRDefault="007C43E2" w:rsidP="005716EE">
      <w:pPr>
        <w:tabs>
          <w:tab w:val="left" w:pos="4643"/>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All cases of HCC in open group were histologically divided into well differentiated HCC in 6 cases (12%) of them and moderately differentiated in 42cases (84%) and another 2 cases (4%) of poorly </w:t>
      </w:r>
      <w:r w:rsidRPr="0047313D">
        <w:rPr>
          <w:rFonts w:ascii="Times New Roman" w:eastAsia="Times New Roman" w:hAnsi="Times New Roman" w:cs="Times New Roman"/>
          <w:sz w:val="20"/>
          <w:szCs w:val="20"/>
          <w:lang w:bidi="en-US"/>
        </w:rPr>
        <w:lastRenderedPageBreak/>
        <w:t>differentiated. In the laparoscopic group, there were 7 (14%) cases of well differentiation, moderate differentiation in 41 (82%) case and poor differentiation in 2 (4%) case and all cases had clear surgical margins with mean resection margin of 8.1±2.2 mm in laparoscopic group while 7.62±2.28 mm in open group. There were no cases of benign liver tumors.</w:t>
      </w:r>
    </w:p>
    <w:p w:rsidR="005716EE" w:rsidRPr="0047313D" w:rsidRDefault="005716EE" w:rsidP="005716EE">
      <w:pPr>
        <w:tabs>
          <w:tab w:val="left" w:pos="4643"/>
        </w:tabs>
        <w:bidi w:val="0"/>
        <w:snapToGrid w:val="0"/>
        <w:spacing w:after="0" w:line="240" w:lineRule="auto"/>
        <w:jc w:val="center"/>
        <w:rPr>
          <w:rFonts w:ascii="Times New Roman" w:eastAsia="Times New Roman" w:hAnsi="Times New Roman" w:cs="Times New Roman"/>
          <w:sz w:val="20"/>
          <w:szCs w:val="20"/>
          <w:lang w:bidi="en-US"/>
        </w:rPr>
        <w:sectPr w:rsidR="005716EE" w:rsidRPr="0047313D" w:rsidSect="005716EE">
          <w:type w:val="continuous"/>
          <w:pgSz w:w="12240" w:h="15840" w:code="9"/>
          <w:pgMar w:top="1440" w:right="1440" w:bottom="1440" w:left="1440" w:header="720" w:footer="720" w:gutter="0"/>
          <w:cols w:num="2" w:space="550"/>
          <w:rtlGutter/>
          <w:docGrid w:linePitch="360"/>
        </w:sectPr>
      </w:pPr>
    </w:p>
    <w:p w:rsidR="00E27392" w:rsidRPr="0047313D" w:rsidRDefault="00E27392" w:rsidP="005716EE">
      <w:pPr>
        <w:tabs>
          <w:tab w:val="left" w:pos="4643"/>
        </w:tabs>
        <w:bidi w:val="0"/>
        <w:snapToGrid w:val="0"/>
        <w:spacing w:after="0" w:line="240" w:lineRule="auto"/>
        <w:jc w:val="center"/>
        <w:rPr>
          <w:rFonts w:ascii="Times New Roman" w:hAnsi="Times New Roman" w:cs="Times New Roman"/>
          <w:sz w:val="20"/>
          <w:szCs w:val="20"/>
          <w:lang w:eastAsia="zh-CN" w:bidi="en-US"/>
        </w:rPr>
      </w:pPr>
    </w:p>
    <w:p w:rsidR="005716EE" w:rsidRDefault="005716EE" w:rsidP="005716EE">
      <w:pPr>
        <w:tabs>
          <w:tab w:val="left" w:pos="4643"/>
        </w:tabs>
        <w:bidi w:val="0"/>
        <w:snapToGrid w:val="0"/>
        <w:spacing w:after="0" w:line="240" w:lineRule="auto"/>
        <w:jc w:val="center"/>
        <w:rPr>
          <w:rFonts w:ascii="Times New Roman" w:hAnsi="Times New Roman" w:cs="Times New Roman"/>
          <w:sz w:val="20"/>
          <w:szCs w:val="20"/>
          <w:lang w:eastAsia="zh-CN" w:bidi="en-US"/>
        </w:rPr>
      </w:pPr>
    </w:p>
    <w:p w:rsidR="0047313D" w:rsidRPr="0047313D" w:rsidRDefault="0047313D" w:rsidP="0047313D">
      <w:pPr>
        <w:tabs>
          <w:tab w:val="left" w:pos="4643"/>
        </w:tabs>
        <w:bidi w:val="0"/>
        <w:snapToGrid w:val="0"/>
        <w:spacing w:after="0" w:line="240" w:lineRule="auto"/>
        <w:jc w:val="center"/>
        <w:rPr>
          <w:rFonts w:ascii="Times New Roman" w:hAnsi="Times New Roman" w:cs="Times New Roman"/>
          <w:sz w:val="20"/>
          <w:szCs w:val="20"/>
          <w:lang w:eastAsia="zh-CN" w:bidi="en-US"/>
        </w:rPr>
      </w:pPr>
    </w:p>
    <w:p w:rsidR="00E76ACB" w:rsidRPr="0047313D" w:rsidRDefault="007C43E2" w:rsidP="005716EE">
      <w:pPr>
        <w:tabs>
          <w:tab w:val="left" w:pos="4643"/>
        </w:tabs>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E27392" w:rsidRPr="0047313D">
        <w:rPr>
          <w:rFonts w:ascii="Times New Roman" w:eastAsia="Times New Roman" w:hAnsi="Times New Roman" w:cs="Times New Roman"/>
          <w:sz w:val="20"/>
          <w:szCs w:val="20"/>
          <w:lang w:bidi="en-US"/>
        </w:rPr>
        <w:t>10</w:t>
      </w:r>
      <w:r w:rsidRPr="0047313D">
        <w:rPr>
          <w:rFonts w:ascii="Times New Roman" w:eastAsia="Times New Roman" w:hAnsi="Times New Roman" w:cs="Times New Roman"/>
          <w:sz w:val="20"/>
          <w:szCs w:val="20"/>
          <w:lang w:bidi="en-US"/>
        </w:rPr>
        <w:t xml:space="preserve"> ): Distribution </w:t>
      </w:r>
      <w:r w:rsidR="00CB5804" w:rsidRPr="0047313D">
        <w:rPr>
          <w:rFonts w:ascii="Times New Roman" w:eastAsia="Times New Roman" w:hAnsi="Times New Roman" w:cs="Times New Roman"/>
          <w:sz w:val="20"/>
          <w:szCs w:val="20"/>
          <w:lang w:bidi="en-US"/>
        </w:rPr>
        <w:t>of histopathological</w:t>
      </w:r>
      <w:r w:rsidRPr="0047313D">
        <w:rPr>
          <w:rFonts w:ascii="Times New Roman" w:eastAsia="Times New Roman" w:hAnsi="Times New Roman" w:cs="Times New Roman"/>
          <w:sz w:val="20"/>
          <w:szCs w:val="20"/>
          <w:lang w:bidi="en-US"/>
        </w:rPr>
        <w:t xml:space="preserve"> </w:t>
      </w:r>
      <w:r w:rsidR="00CB5804" w:rsidRPr="0047313D">
        <w:rPr>
          <w:rFonts w:ascii="Times New Roman" w:eastAsia="Times New Roman" w:hAnsi="Times New Roman" w:cs="Times New Roman"/>
          <w:sz w:val="20"/>
          <w:szCs w:val="20"/>
          <w:lang w:bidi="en-US"/>
        </w:rPr>
        <w:t>data of</w:t>
      </w:r>
      <w:r w:rsidRPr="0047313D">
        <w:rPr>
          <w:rFonts w:ascii="Times New Roman" w:eastAsia="Times New Roman" w:hAnsi="Times New Roman" w:cs="Times New Roman"/>
          <w:sz w:val="20"/>
          <w:szCs w:val="20"/>
          <w:lang w:bidi="en-US"/>
        </w:rPr>
        <w:t xml:space="preserve"> liver tumors cases in both groups.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573"/>
        <w:gridCol w:w="2346"/>
        <w:gridCol w:w="2346"/>
        <w:gridCol w:w="1209"/>
      </w:tblGrid>
      <w:tr w:rsidR="007C43E2" w:rsidRPr="0047313D" w:rsidTr="009F7A89">
        <w:trPr>
          <w:jc w:val="center"/>
        </w:trPr>
        <w:tc>
          <w:tcPr>
            <w:tcW w:w="1886" w:type="pct"/>
            <w:vMerge w:val="restart"/>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238"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1238"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638" w:type="pct"/>
            <w:vMerge w:val="restar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7C43E2" w:rsidRPr="0047313D" w:rsidTr="009F7A89">
        <w:trPr>
          <w:jc w:val="center"/>
        </w:trPr>
        <w:tc>
          <w:tcPr>
            <w:tcW w:w="1886" w:type="pct"/>
            <w:vMerge/>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238"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1238"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638" w:type="pct"/>
            <w:vMerge/>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1886"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Hepatocellular carcinoma</w:t>
            </w:r>
          </w:p>
        </w:tc>
        <w:tc>
          <w:tcPr>
            <w:tcW w:w="1238"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 (100)</w:t>
            </w:r>
          </w:p>
        </w:tc>
        <w:tc>
          <w:tcPr>
            <w:tcW w:w="1238"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 (100)</w:t>
            </w:r>
          </w:p>
        </w:tc>
        <w:tc>
          <w:tcPr>
            <w:tcW w:w="638" w:type="pct"/>
            <w:vMerge w:val="restar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iCs/>
                <w:sz w:val="20"/>
                <w:szCs w:val="20"/>
                <w:lang w:bidi="en-US"/>
              </w:rPr>
              <w:t>1</w:t>
            </w:r>
          </w:p>
        </w:tc>
      </w:tr>
      <w:tr w:rsidR="007C43E2" w:rsidRPr="0047313D" w:rsidTr="009F7A89">
        <w:trPr>
          <w:jc w:val="center"/>
        </w:trPr>
        <w:tc>
          <w:tcPr>
            <w:tcW w:w="1886"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Benign adenoma</w:t>
            </w:r>
          </w:p>
        </w:tc>
        <w:tc>
          <w:tcPr>
            <w:tcW w:w="1238"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 (0)</w:t>
            </w:r>
          </w:p>
        </w:tc>
        <w:tc>
          <w:tcPr>
            <w:tcW w:w="1238"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 (0)</w:t>
            </w:r>
          </w:p>
        </w:tc>
        <w:tc>
          <w:tcPr>
            <w:tcW w:w="638"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bl>
    <w:p w:rsidR="00E76ACB" w:rsidRPr="0047313D" w:rsidRDefault="00E76ACB" w:rsidP="005716EE">
      <w:pPr>
        <w:tabs>
          <w:tab w:val="left" w:pos="4643"/>
        </w:tabs>
        <w:bidi w:val="0"/>
        <w:snapToGrid w:val="0"/>
        <w:spacing w:after="0" w:line="240" w:lineRule="auto"/>
        <w:ind w:firstLine="425"/>
        <w:jc w:val="both"/>
        <w:rPr>
          <w:rFonts w:ascii="Times New Roman" w:eastAsia="Times New Roman" w:hAnsi="Times New Roman" w:cs="Times New Roman"/>
          <w:sz w:val="20"/>
          <w:szCs w:val="20"/>
          <w:lang w:bidi="en-US"/>
        </w:rPr>
      </w:pPr>
    </w:p>
    <w:p w:rsidR="00E76ACB" w:rsidRPr="0047313D" w:rsidRDefault="007C43E2" w:rsidP="005716EE">
      <w:pPr>
        <w:tabs>
          <w:tab w:val="left" w:pos="4643"/>
        </w:tabs>
        <w:bidi w:val="0"/>
        <w:snapToGrid w:val="0"/>
        <w:spacing w:after="0" w:line="240" w:lineRule="auto"/>
        <w:jc w:val="center"/>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482DB2" w:rsidRPr="0047313D">
        <w:rPr>
          <w:rFonts w:ascii="Times New Roman" w:eastAsia="Times New Roman" w:hAnsi="Times New Roman" w:cs="Times New Roman"/>
          <w:sz w:val="20"/>
          <w:szCs w:val="20"/>
          <w:lang w:bidi="en-US"/>
        </w:rPr>
        <w:t>11)</w:t>
      </w:r>
      <w:r w:rsidRPr="0047313D">
        <w:rPr>
          <w:rFonts w:ascii="Times New Roman" w:eastAsia="Times New Roman" w:hAnsi="Times New Roman" w:cs="Times New Roman"/>
          <w:sz w:val="20"/>
          <w:szCs w:val="20"/>
          <w:lang w:bidi="en-US"/>
        </w:rPr>
        <w:t>: Histopathological</w:t>
      </w:r>
      <w:r w:rsidR="00851077" w:rsidRPr="0047313D">
        <w:rPr>
          <w:rFonts w:ascii="Times New Roman" w:eastAsia="Times New Roman" w:hAnsi="Times New Roman" w:cs="Times New Roman"/>
          <w:sz w:val="20"/>
          <w:szCs w:val="20"/>
          <w:lang w:bidi="ar-EG"/>
        </w:rPr>
        <w:t xml:space="preserve"> </w:t>
      </w:r>
      <w:r w:rsidR="00E27392" w:rsidRPr="0047313D">
        <w:rPr>
          <w:rFonts w:ascii="Times New Roman" w:eastAsia="Times New Roman" w:hAnsi="Times New Roman" w:cs="Times New Roman"/>
          <w:sz w:val="20"/>
          <w:szCs w:val="20"/>
          <w:lang w:bidi="en-US"/>
        </w:rPr>
        <w:t xml:space="preserve">finding </w:t>
      </w:r>
      <w:r w:rsidRPr="0047313D">
        <w:rPr>
          <w:rFonts w:ascii="Times New Roman" w:eastAsia="Times New Roman" w:hAnsi="Times New Roman" w:cs="Times New Roman"/>
          <w:sz w:val="20"/>
          <w:szCs w:val="20"/>
          <w:lang w:bidi="en-US"/>
        </w:rPr>
        <w:t>in</w:t>
      </w:r>
      <w:r w:rsidR="00E27392"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 carcinoma cases in</w:t>
      </w:r>
      <w:r w:rsidR="00E27392"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both groups.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581"/>
        <w:gridCol w:w="2600"/>
        <w:gridCol w:w="1707"/>
        <w:gridCol w:w="1707"/>
        <w:gridCol w:w="879"/>
      </w:tblGrid>
      <w:tr w:rsidR="007C43E2" w:rsidRPr="0047313D" w:rsidTr="009F7A89">
        <w:trPr>
          <w:jc w:val="center"/>
        </w:trPr>
        <w:tc>
          <w:tcPr>
            <w:tcW w:w="2734" w:type="pct"/>
            <w:gridSpan w:val="2"/>
            <w:vMerge w:val="restart"/>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01"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 (n=50)</w:t>
            </w:r>
          </w:p>
        </w:tc>
        <w:tc>
          <w:tcPr>
            <w:tcW w:w="901"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 (n=50)</w:t>
            </w:r>
          </w:p>
        </w:tc>
        <w:tc>
          <w:tcPr>
            <w:tcW w:w="464" w:type="pct"/>
            <w:vMerge w:val="restar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7C43E2" w:rsidRPr="0047313D" w:rsidTr="009F7A89">
        <w:trPr>
          <w:jc w:val="center"/>
        </w:trPr>
        <w:tc>
          <w:tcPr>
            <w:tcW w:w="2734" w:type="pct"/>
            <w:gridSpan w:val="2"/>
            <w:vMerge/>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01"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901" w:type="pct"/>
            <w:shd w:val="clear" w:color="auto" w:fill="D9D9D9"/>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464" w:type="pct"/>
            <w:vMerge/>
            <w:shd w:val="clear" w:color="auto" w:fill="D9D9D9"/>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136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Histopathology</w:t>
            </w: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Hepatocellular carcinoma</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50(100 )</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50(100 )</w:t>
            </w:r>
          </w:p>
        </w:tc>
        <w:tc>
          <w:tcPr>
            <w:tcW w:w="464"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0.596</w:t>
            </w:r>
          </w:p>
        </w:tc>
      </w:tr>
      <w:tr w:rsidR="007C43E2" w:rsidRPr="0047313D" w:rsidTr="009F7A89">
        <w:trPr>
          <w:jc w:val="center"/>
        </w:trPr>
        <w:tc>
          <w:tcPr>
            <w:tcW w:w="1362" w:type="pct"/>
            <w:vMerge w:val="restar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Histological Grade</w:t>
            </w: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Well differentiated</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6 (12)</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7 (14)</w:t>
            </w:r>
          </w:p>
        </w:tc>
        <w:tc>
          <w:tcPr>
            <w:tcW w:w="464" w:type="pct"/>
            <w:vMerge w:val="restar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0.470</w:t>
            </w:r>
          </w:p>
        </w:tc>
      </w:tr>
      <w:tr w:rsidR="007C43E2" w:rsidRPr="0047313D" w:rsidTr="009F7A89">
        <w:trPr>
          <w:jc w:val="center"/>
        </w:trPr>
        <w:tc>
          <w:tcPr>
            <w:tcW w:w="1362"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Moderately differentiated</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42 (84)</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41 (82)</w:t>
            </w:r>
          </w:p>
        </w:tc>
        <w:tc>
          <w:tcPr>
            <w:tcW w:w="464"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1362"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Poorly differentiated</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 (4)</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 (4)</w:t>
            </w:r>
          </w:p>
        </w:tc>
        <w:tc>
          <w:tcPr>
            <w:tcW w:w="464"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rPr>
          <w:jc w:val="center"/>
        </w:trPr>
        <w:tc>
          <w:tcPr>
            <w:tcW w:w="1362" w:type="pct"/>
            <w:vMerge w:val="restar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Resection Margins (MM)</w:t>
            </w: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Mean ±SD</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8.1±2.2</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7.62±2.28</w:t>
            </w:r>
          </w:p>
        </w:tc>
        <w:tc>
          <w:tcPr>
            <w:tcW w:w="464" w:type="pct"/>
            <w:vMerge w:val="restar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0.132</w:t>
            </w:r>
          </w:p>
        </w:tc>
      </w:tr>
      <w:tr w:rsidR="007C43E2" w:rsidRPr="0047313D" w:rsidTr="009F7A89">
        <w:trPr>
          <w:jc w:val="center"/>
        </w:trPr>
        <w:tc>
          <w:tcPr>
            <w:tcW w:w="1362"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372"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Range</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5-16</w:t>
            </w:r>
          </w:p>
        </w:tc>
        <w:tc>
          <w:tcPr>
            <w:tcW w:w="901" w:type="pct"/>
            <w:vAlign w:val="center"/>
          </w:tcPr>
          <w:p w:rsidR="00E76ACB"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5-16</w:t>
            </w:r>
          </w:p>
        </w:tc>
        <w:tc>
          <w:tcPr>
            <w:tcW w:w="464" w:type="pct"/>
            <w:vMerge/>
            <w:vAlign w:val="center"/>
          </w:tcPr>
          <w:p w:rsidR="00E76ACB" w:rsidRPr="0047313D" w:rsidRDefault="00E76ACB"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bl>
    <w:p w:rsidR="00E76ACB" w:rsidRDefault="00E76ACB" w:rsidP="005716EE">
      <w:pPr>
        <w:tabs>
          <w:tab w:val="left" w:pos="4643"/>
        </w:tabs>
        <w:bidi w:val="0"/>
        <w:snapToGrid w:val="0"/>
        <w:spacing w:after="0" w:line="240" w:lineRule="auto"/>
        <w:ind w:firstLine="425"/>
        <w:jc w:val="both"/>
        <w:rPr>
          <w:rFonts w:ascii="Times New Roman" w:hAnsi="Times New Roman" w:cs="Times New Roman"/>
          <w:sz w:val="20"/>
          <w:szCs w:val="20"/>
          <w:lang w:eastAsia="zh-CN" w:bidi="en-US"/>
        </w:rPr>
      </w:pPr>
    </w:p>
    <w:p w:rsidR="0047313D" w:rsidRPr="0047313D" w:rsidRDefault="0047313D" w:rsidP="0047313D">
      <w:pPr>
        <w:tabs>
          <w:tab w:val="left" w:pos="4643"/>
        </w:tabs>
        <w:bidi w:val="0"/>
        <w:snapToGrid w:val="0"/>
        <w:spacing w:after="0" w:line="240" w:lineRule="auto"/>
        <w:ind w:firstLine="425"/>
        <w:jc w:val="both"/>
        <w:rPr>
          <w:rFonts w:ascii="Times New Roman" w:hAnsi="Times New Roman" w:cs="Times New Roman"/>
          <w:sz w:val="20"/>
          <w:szCs w:val="20"/>
          <w:lang w:eastAsia="zh-CN" w:bidi="en-US"/>
        </w:rPr>
      </w:pPr>
    </w:p>
    <w:p w:rsidR="009F7A89" w:rsidRPr="0047313D" w:rsidRDefault="007C43E2" w:rsidP="005716EE">
      <w:pPr>
        <w:widowControl w:val="0"/>
        <w:tabs>
          <w:tab w:val="left" w:pos="929"/>
          <w:tab w:val="left" w:pos="930"/>
        </w:tabs>
        <w:autoSpaceDE w:val="0"/>
        <w:autoSpaceDN w:val="0"/>
        <w:bidi w:val="0"/>
        <w:snapToGrid w:val="0"/>
        <w:spacing w:after="0" w:line="240" w:lineRule="auto"/>
        <w:jc w:val="both"/>
        <w:outlineLvl w:val="0"/>
        <w:rPr>
          <w:rFonts w:ascii="Times New Roman" w:hAnsi="Times New Roman" w:cs="Times New Roman"/>
          <w:b/>
          <w:bCs/>
          <w:sz w:val="20"/>
          <w:szCs w:val="20"/>
          <w:lang w:eastAsia="zh-CN" w:bidi="en-US"/>
        </w:rPr>
      </w:pPr>
      <w:r w:rsidRPr="0047313D">
        <w:rPr>
          <w:rFonts w:ascii="Times New Roman" w:eastAsia="Britannic Bold" w:hAnsi="Times New Roman" w:cs="Times New Roman"/>
          <w:b/>
          <w:bCs/>
          <w:sz w:val="20"/>
          <w:szCs w:val="20"/>
          <w:lang w:bidi="en-US"/>
        </w:rPr>
        <w:t>Follow up</w:t>
      </w:r>
      <w:r w:rsidR="009F7A89" w:rsidRPr="0047313D">
        <w:rPr>
          <w:rFonts w:ascii="Times New Roman" w:eastAsia="Britannic Bold" w:hAnsi="Times New Roman" w:cs="Times New Roman"/>
          <w:b/>
          <w:bCs/>
          <w:sz w:val="20"/>
          <w:szCs w:val="20"/>
          <w:lang w:bidi="en-US"/>
        </w:rPr>
        <w:t>:</w:t>
      </w:r>
    </w:p>
    <w:p w:rsidR="005716EE" w:rsidRPr="0047313D" w:rsidRDefault="005716EE" w:rsidP="005716EE">
      <w:pPr>
        <w:widowControl w:val="0"/>
        <w:tabs>
          <w:tab w:val="left" w:pos="929"/>
          <w:tab w:val="left" w:pos="930"/>
        </w:tabs>
        <w:autoSpaceDE w:val="0"/>
        <w:autoSpaceDN w:val="0"/>
        <w:bidi w:val="0"/>
        <w:snapToGrid w:val="0"/>
        <w:spacing w:after="0" w:line="240" w:lineRule="auto"/>
        <w:jc w:val="both"/>
        <w:outlineLvl w:val="0"/>
        <w:rPr>
          <w:rFonts w:ascii="Times New Roman" w:hAnsi="Times New Roman" w:cs="Times New Roman"/>
          <w:b/>
          <w:bCs/>
          <w:sz w:val="20"/>
          <w:szCs w:val="20"/>
          <w:lang w:eastAsia="zh-CN" w:bidi="en-US"/>
        </w:rPr>
      </w:pPr>
    </w:p>
    <w:p w:rsidR="000A0ACC" w:rsidRPr="0047313D" w:rsidRDefault="009F7A89" w:rsidP="005716EE">
      <w:pPr>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w:t>
      </w:r>
      <w:r w:rsidR="007C43E2" w:rsidRPr="0047313D">
        <w:rPr>
          <w:rFonts w:ascii="Times New Roman" w:eastAsia="Times New Roman" w:hAnsi="Times New Roman" w:cs="Times New Roman"/>
          <w:sz w:val="20"/>
          <w:szCs w:val="20"/>
          <w:lang w:bidi="en-US"/>
        </w:rPr>
        <w:t xml:space="preserve">able </w:t>
      </w:r>
      <w:r w:rsidR="00482DB2" w:rsidRPr="0047313D">
        <w:rPr>
          <w:rFonts w:ascii="Times New Roman" w:eastAsia="Times New Roman" w:hAnsi="Times New Roman" w:cs="Times New Roman"/>
          <w:sz w:val="20"/>
          <w:szCs w:val="20"/>
          <w:lang w:bidi="en-US"/>
        </w:rPr>
        <w:t>(12</w:t>
      </w:r>
      <w:r w:rsidR="007C43E2" w:rsidRPr="0047313D">
        <w:rPr>
          <w:rFonts w:ascii="Times New Roman" w:eastAsia="Times New Roman" w:hAnsi="Times New Roman" w:cs="Times New Roman"/>
          <w:sz w:val="20"/>
          <w:szCs w:val="20"/>
          <w:lang w:bidi="en-US"/>
        </w:rPr>
        <w:t>): Showed the level of AFP at the one year follow up between two groups had no difference and no statistically significance.</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shd w:val="clear" w:color="auto" w:fill="FFFFFF"/>
        <w:tblCellMar>
          <w:left w:w="57" w:type="dxa"/>
          <w:right w:w="57" w:type="dxa"/>
        </w:tblCellMar>
        <w:tblLook w:val="01E0"/>
      </w:tblPr>
      <w:tblGrid>
        <w:gridCol w:w="2252"/>
        <w:gridCol w:w="1453"/>
        <w:gridCol w:w="2259"/>
        <w:gridCol w:w="2259"/>
        <w:gridCol w:w="1251"/>
      </w:tblGrid>
      <w:tr w:rsidR="007C43E2" w:rsidRPr="0047313D" w:rsidTr="009F7A89">
        <w:trPr>
          <w:jc w:val="center"/>
        </w:trPr>
        <w:tc>
          <w:tcPr>
            <w:tcW w:w="1956" w:type="pct"/>
            <w:gridSpan w:val="2"/>
            <w:vMerge w:val="restart"/>
            <w:shd w:val="clear" w:color="auto" w:fill="D9D9D9"/>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192"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A (n=50)</w:t>
            </w:r>
          </w:p>
        </w:tc>
        <w:tc>
          <w:tcPr>
            <w:tcW w:w="1192"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B (n=50)</w:t>
            </w:r>
          </w:p>
        </w:tc>
        <w:tc>
          <w:tcPr>
            <w:tcW w:w="660" w:type="pct"/>
            <w:vMerge w:val="restar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P- value</w:t>
            </w:r>
          </w:p>
        </w:tc>
      </w:tr>
      <w:tr w:rsidR="007C43E2" w:rsidRPr="0047313D" w:rsidTr="009F7A89">
        <w:trPr>
          <w:jc w:val="center"/>
        </w:trPr>
        <w:tc>
          <w:tcPr>
            <w:tcW w:w="1956" w:type="pct"/>
            <w:gridSpan w:val="2"/>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192"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1192"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 (%)</w:t>
            </w:r>
          </w:p>
        </w:tc>
        <w:tc>
          <w:tcPr>
            <w:tcW w:w="660"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189"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AFP 3months</w:t>
            </w:r>
          </w:p>
        </w:tc>
        <w:tc>
          <w:tcPr>
            <w:tcW w:w="766"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Declining</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48 (96)</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
                <w:bCs/>
                <w:sz w:val="20"/>
                <w:szCs w:val="20"/>
                <w:lang w:bidi="en-US"/>
              </w:rPr>
              <w:t>48 (96)</w:t>
            </w:r>
          </w:p>
        </w:tc>
        <w:tc>
          <w:tcPr>
            <w:tcW w:w="660" w:type="pct"/>
            <w:vMerge w:val="restar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1.00</w:t>
            </w:r>
          </w:p>
        </w:tc>
      </w:tr>
      <w:tr w:rsidR="007C43E2" w:rsidRPr="0047313D" w:rsidTr="009F7A89">
        <w:trPr>
          <w:jc w:val="center"/>
        </w:trPr>
        <w:tc>
          <w:tcPr>
            <w:tcW w:w="1189"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AFP 6 months</w:t>
            </w:r>
          </w:p>
        </w:tc>
        <w:tc>
          <w:tcPr>
            <w:tcW w:w="766" w:type="pct"/>
            <w:shd w:val="clear" w:color="auto" w:fill="FFFFFF"/>
            <w:vAlign w:val="center"/>
          </w:tcPr>
          <w:p w:rsidR="000A0ACC" w:rsidRPr="0047313D" w:rsidRDefault="007C43E2" w:rsidP="005716EE">
            <w:pPr>
              <w:bidi w:val="0"/>
              <w:snapToGrid w:val="0"/>
              <w:spacing w:after="0" w:line="240" w:lineRule="auto"/>
              <w:jc w:val="both"/>
              <w:rPr>
                <w:rFonts w:ascii="Times New Roman" w:hAnsi="Times New Roman" w:cs="Times New Roman"/>
                <w:sz w:val="20"/>
                <w:szCs w:val="20"/>
              </w:rPr>
            </w:pPr>
            <w:r w:rsidRPr="0047313D">
              <w:rPr>
                <w:rFonts w:ascii="Times New Roman" w:eastAsia="Times New Roman" w:hAnsi="Times New Roman" w:cs="Times New Roman"/>
                <w:i/>
                <w:sz w:val="20"/>
                <w:szCs w:val="20"/>
                <w:lang w:bidi="en-US"/>
              </w:rPr>
              <w:t>Declining</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49(98)</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
                <w:bCs/>
                <w:sz w:val="20"/>
                <w:szCs w:val="20"/>
                <w:lang w:bidi="en-US"/>
              </w:rPr>
              <w:t>48 (96)</w:t>
            </w:r>
          </w:p>
        </w:tc>
        <w:tc>
          <w:tcPr>
            <w:tcW w:w="660"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189"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AFP 9 months</w:t>
            </w:r>
          </w:p>
        </w:tc>
        <w:tc>
          <w:tcPr>
            <w:tcW w:w="766" w:type="pct"/>
            <w:shd w:val="clear" w:color="auto" w:fill="FFFFFF"/>
            <w:vAlign w:val="center"/>
          </w:tcPr>
          <w:p w:rsidR="000A0ACC" w:rsidRPr="0047313D" w:rsidRDefault="007C43E2" w:rsidP="005716EE">
            <w:pPr>
              <w:bidi w:val="0"/>
              <w:snapToGrid w:val="0"/>
              <w:spacing w:after="0" w:line="240" w:lineRule="auto"/>
              <w:jc w:val="both"/>
              <w:rPr>
                <w:rFonts w:ascii="Times New Roman" w:hAnsi="Times New Roman" w:cs="Times New Roman"/>
                <w:sz w:val="20"/>
                <w:szCs w:val="20"/>
              </w:rPr>
            </w:pPr>
            <w:r w:rsidRPr="0047313D">
              <w:rPr>
                <w:rFonts w:ascii="Times New Roman" w:eastAsia="Times New Roman" w:hAnsi="Times New Roman" w:cs="Times New Roman"/>
                <w:i/>
                <w:sz w:val="20"/>
                <w:szCs w:val="20"/>
                <w:lang w:bidi="en-US"/>
              </w:rPr>
              <w:t>Declining</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43 (86)</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
                <w:bCs/>
                <w:sz w:val="20"/>
                <w:szCs w:val="20"/>
                <w:lang w:bidi="en-US"/>
              </w:rPr>
              <w:t>45 (90)</w:t>
            </w:r>
          </w:p>
        </w:tc>
        <w:tc>
          <w:tcPr>
            <w:tcW w:w="660"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1189"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AFP 12 months</w:t>
            </w:r>
          </w:p>
        </w:tc>
        <w:tc>
          <w:tcPr>
            <w:tcW w:w="766" w:type="pct"/>
            <w:shd w:val="clear" w:color="auto" w:fill="FFFFFF"/>
            <w:vAlign w:val="center"/>
          </w:tcPr>
          <w:p w:rsidR="000A0ACC" w:rsidRPr="0047313D" w:rsidRDefault="007C43E2" w:rsidP="005716EE">
            <w:pPr>
              <w:bidi w:val="0"/>
              <w:snapToGrid w:val="0"/>
              <w:spacing w:after="0" w:line="240" w:lineRule="auto"/>
              <w:jc w:val="both"/>
              <w:rPr>
                <w:rFonts w:ascii="Times New Roman" w:hAnsi="Times New Roman" w:cs="Times New Roman"/>
                <w:b/>
                <w:bCs/>
                <w:sz w:val="20"/>
                <w:szCs w:val="20"/>
              </w:rPr>
            </w:pPr>
            <w:r w:rsidRPr="0047313D">
              <w:rPr>
                <w:rFonts w:ascii="Times New Roman" w:eastAsia="Times New Roman" w:hAnsi="Times New Roman" w:cs="Times New Roman"/>
                <w:b/>
                <w:bCs/>
                <w:i/>
                <w:sz w:val="20"/>
                <w:szCs w:val="20"/>
                <w:lang w:bidi="en-US"/>
              </w:rPr>
              <w:t>Declining</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48 (96)</w:t>
            </w:r>
          </w:p>
        </w:tc>
        <w:tc>
          <w:tcPr>
            <w:tcW w:w="1192"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45 (90)</w:t>
            </w:r>
          </w:p>
        </w:tc>
        <w:tc>
          <w:tcPr>
            <w:tcW w:w="660"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bl>
    <w:p w:rsidR="009F7A89"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ar-EG"/>
        </w:rPr>
      </w:pPr>
    </w:p>
    <w:p w:rsidR="000A0ACC" w:rsidRPr="0047313D" w:rsidRDefault="009F7A89" w:rsidP="005716EE">
      <w:pPr>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w:t>
      </w:r>
      <w:r w:rsidR="007C43E2" w:rsidRPr="0047313D">
        <w:rPr>
          <w:rFonts w:ascii="Times New Roman" w:eastAsia="Times New Roman" w:hAnsi="Times New Roman" w:cs="Times New Roman"/>
          <w:sz w:val="20"/>
          <w:szCs w:val="20"/>
          <w:lang w:bidi="en-US"/>
        </w:rPr>
        <w:t xml:space="preserve">able ( </w:t>
      </w:r>
      <w:r w:rsidR="00E27392" w:rsidRPr="0047313D">
        <w:rPr>
          <w:rFonts w:ascii="Times New Roman" w:eastAsia="Times New Roman" w:hAnsi="Times New Roman" w:cs="Times New Roman"/>
          <w:sz w:val="20"/>
          <w:szCs w:val="20"/>
          <w:lang w:bidi="en-US"/>
        </w:rPr>
        <w:t>13</w:t>
      </w:r>
      <w:r w:rsidR="007C43E2" w:rsidRPr="0047313D">
        <w:rPr>
          <w:rFonts w:ascii="Times New Roman" w:eastAsia="Times New Roman" w:hAnsi="Times New Roman" w:cs="Times New Roman"/>
          <w:sz w:val="20"/>
          <w:szCs w:val="20"/>
          <w:lang w:bidi="en-US"/>
        </w:rPr>
        <w:t xml:space="preserve">): Shows the frequency of overall recurrence in both groups </w:t>
      </w:r>
      <w:r w:rsidR="00CB5804" w:rsidRPr="0047313D">
        <w:rPr>
          <w:rFonts w:ascii="Times New Roman" w:eastAsia="Times New Roman" w:hAnsi="Times New Roman" w:cs="Times New Roman"/>
          <w:sz w:val="20"/>
          <w:szCs w:val="20"/>
          <w:lang w:bidi="en-US"/>
        </w:rPr>
        <w:t>either</w:t>
      </w:r>
      <w:r w:rsidR="007C43E2" w:rsidRPr="0047313D">
        <w:rPr>
          <w:rFonts w:ascii="Times New Roman" w:eastAsia="Times New Roman" w:hAnsi="Times New Roman" w:cs="Times New Roman"/>
          <w:sz w:val="20"/>
          <w:szCs w:val="20"/>
          <w:lang w:bidi="en-US"/>
        </w:rPr>
        <w:t xml:space="preserve"> recurrence at operative site or de novo lesions over the 12 months follow up detected by triphasic CT, had been occurred in 2 patients (4%) in laparoscopic group while occurred in 4patients (8%) in open group</w:t>
      </w:r>
      <w:r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with no statistically significance.</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shd w:val="clear" w:color="auto" w:fill="FFFFFF"/>
        <w:tblCellMar>
          <w:left w:w="57" w:type="dxa"/>
          <w:right w:w="57" w:type="dxa"/>
        </w:tblCellMar>
        <w:tblLook w:val="01E0"/>
      </w:tblPr>
      <w:tblGrid>
        <w:gridCol w:w="1530"/>
        <w:gridCol w:w="3075"/>
        <w:gridCol w:w="1864"/>
        <w:gridCol w:w="1864"/>
        <w:gridCol w:w="1141"/>
      </w:tblGrid>
      <w:tr w:rsidR="007C43E2" w:rsidRPr="0047313D" w:rsidTr="009F7A89">
        <w:trPr>
          <w:jc w:val="center"/>
        </w:trPr>
        <w:tc>
          <w:tcPr>
            <w:tcW w:w="2430" w:type="pct"/>
            <w:gridSpan w:val="2"/>
            <w:vMerge w:val="restar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Item</w:t>
            </w:r>
          </w:p>
        </w:tc>
        <w:tc>
          <w:tcPr>
            <w:tcW w:w="984"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A (n=50)</w:t>
            </w:r>
          </w:p>
        </w:tc>
        <w:tc>
          <w:tcPr>
            <w:tcW w:w="984"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Group B (n=50)</w:t>
            </w:r>
          </w:p>
        </w:tc>
        <w:tc>
          <w:tcPr>
            <w:tcW w:w="602"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 xml:space="preserve">P </w:t>
            </w:r>
            <w:r w:rsidR="00DB2A7E" w:rsidRPr="0047313D">
              <w:rPr>
                <w:rFonts w:ascii="Times New Roman" w:eastAsia="Times New Roman" w:hAnsi="Times New Roman" w:cs="Times New Roman"/>
                <w:b/>
                <w:bCs/>
                <w:i/>
                <w:sz w:val="20"/>
                <w:szCs w:val="20"/>
                <w:lang w:bidi="en-US"/>
              </w:rPr>
              <w:t>–</w:t>
            </w:r>
            <w:r w:rsidRPr="0047313D">
              <w:rPr>
                <w:rFonts w:ascii="Times New Roman" w:eastAsia="Times New Roman" w:hAnsi="Times New Roman" w:cs="Times New Roman"/>
                <w:b/>
                <w:bCs/>
                <w:i/>
                <w:sz w:val="20"/>
                <w:szCs w:val="20"/>
                <w:lang w:bidi="en-US"/>
              </w:rPr>
              <w:t xml:space="preserve"> </w:t>
            </w:r>
            <w:r w:rsidR="000A0ACC" w:rsidRPr="0047313D">
              <w:rPr>
                <w:rFonts w:ascii="Times New Roman" w:eastAsia="Times New Roman" w:hAnsi="Times New Roman" w:cs="Times New Roman"/>
                <w:b/>
                <w:bCs/>
                <w:i/>
                <w:sz w:val="20"/>
                <w:szCs w:val="20"/>
                <w:lang w:bidi="en-US"/>
              </w:rPr>
              <w:t>value</w:t>
            </w:r>
          </w:p>
        </w:tc>
      </w:tr>
      <w:tr w:rsidR="007C43E2" w:rsidRPr="0047313D" w:rsidTr="009F7A89">
        <w:trPr>
          <w:jc w:val="center"/>
        </w:trPr>
        <w:tc>
          <w:tcPr>
            <w:tcW w:w="2430" w:type="pct"/>
            <w:gridSpan w:val="2"/>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984"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N (%)</w:t>
            </w:r>
          </w:p>
        </w:tc>
        <w:tc>
          <w:tcPr>
            <w:tcW w:w="984" w:type="pct"/>
            <w:shd w:val="clear" w:color="auto" w:fill="D9D9D9"/>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N (%)</w:t>
            </w:r>
          </w:p>
        </w:tc>
        <w:tc>
          <w:tcPr>
            <w:tcW w:w="602" w:type="pct"/>
            <w:vMerge w:val="restart"/>
            <w:shd w:val="clear" w:color="auto" w:fill="FFFFFF"/>
            <w:vAlign w:val="center"/>
          </w:tcPr>
          <w:p w:rsidR="000A0ACC" w:rsidRPr="0047313D" w:rsidRDefault="009F7A89"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
                <w:bCs/>
                <w:sz w:val="20"/>
                <w:szCs w:val="20"/>
                <w:lang w:bidi="en-US"/>
              </w:rPr>
              <w:t>0</w:t>
            </w:r>
            <w:r w:rsidR="000A0ACC" w:rsidRPr="0047313D">
              <w:rPr>
                <w:rFonts w:ascii="Times New Roman" w:eastAsia="Times New Roman" w:hAnsi="Times New Roman" w:cs="Times New Roman"/>
                <w:b/>
                <w:bCs/>
                <w:sz w:val="20"/>
                <w:szCs w:val="20"/>
                <w:lang w:bidi="en-US"/>
              </w:rPr>
              <w:t>.391</w:t>
            </w:r>
          </w:p>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0</w:t>
            </w:r>
          </w:p>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kk</w:t>
            </w:r>
          </w:p>
        </w:tc>
      </w:tr>
      <w:tr w:rsidR="007C43E2" w:rsidRPr="0047313D" w:rsidTr="009F7A89">
        <w:trPr>
          <w:jc w:val="center"/>
        </w:trPr>
        <w:tc>
          <w:tcPr>
            <w:tcW w:w="807" w:type="pct"/>
            <w:vMerge w:val="restar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CT3</w:t>
            </w:r>
            <w:r w:rsidR="0047313D">
              <w:rPr>
                <w:rFonts w:ascii="Times New Roman" w:hAnsi="Times New Roman" w:cs="Times New Roman" w:hint="eastAsia"/>
                <w:b/>
                <w:bCs/>
                <w:i/>
                <w:sz w:val="20"/>
                <w:szCs w:val="20"/>
                <w:lang w:eastAsia="zh-CN" w:bidi="en-US"/>
              </w:rPr>
              <w:t xml:space="preserve"> </w:t>
            </w:r>
            <w:r w:rsidRPr="0047313D">
              <w:rPr>
                <w:rFonts w:ascii="Times New Roman" w:eastAsia="Times New Roman" w:hAnsi="Times New Roman" w:cs="Times New Roman"/>
                <w:b/>
                <w:bCs/>
                <w:i/>
                <w:sz w:val="20"/>
                <w:szCs w:val="20"/>
                <w:lang w:bidi="en-US"/>
              </w:rPr>
              <w:t>months</w:t>
            </w: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Recurrence at operative site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2(4)</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 (2)</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Negative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48(96)</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49(98)</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bidi w:val="0"/>
              <w:snapToGrid w:val="0"/>
              <w:spacing w:after="0" w:line="240" w:lineRule="auto"/>
              <w:jc w:val="both"/>
              <w:rPr>
                <w:rFonts w:ascii="Times New Roman" w:eastAsia="Times New Roman" w:hAnsi="Times New Roman" w:cs="Times New Roman"/>
                <w:b/>
                <w:bCs/>
                <w:i/>
                <w:sz w:val="20"/>
                <w:szCs w:val="20"/>
                <w:lang w:bidi="en-US"/>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Recurrence at operative site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shd w:val="clear" w:color="auto" w:fill="FFFFFF"/>
            <w:vAlign w:val="center"/>
          </w:tcPr>
          <w:p w:rsidR="000A0ACC" w:rsidRPr="0047313D" w:rsidRDefault="007C43E2" w:rsidP="005716EE">
            <w:pPr>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CT6</w:t>
            </w:r>
            <w:r w:rsidR="0047313D">
              <w:rPr>
                <w:rFonts w:ascii="Times New Roman" w:hAnsi="Times New Roman" w:cs="Times New Roman" w:hint="eastAsia"/>
                <w:b/>
                <w:bCs/>
                <w:i/>
                <w:sz w:val="20"/>
                <w:szCs w:val="20"/>
                <w:lang w:eastAsia="zh-CN" w:bidi="en-US"/>
              </w:rPr>
              <w:t xml:space="preserve"> </w:t>
            </w:r>
            <w:r w:rsidRPr="0047313D">
              <w:rPr>
                <w:rFonts w:ascii="Times New Roman" w:eastAsia="Times New Roman" w:hAnsi="Times New Roman" w:cs="Times New Roman"/>
                <w:b/>
                <w:bCs/>
                <w:i/>
                <w:sz w:val="20"/>
                <w:szCs w:val="20"/>
                <w:lang w:bidi="en-US"/>
              </w:rPr>
              <w:t>months</w:t>
            </w: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Negative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50(100)</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50</w:t>
            </w:r>
            <w:r w:rsidR="000A0ACC"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100</w:t>
            </w:r>
            <w:r w:rsidR="000A0ACC" w:rsidRPr="0047313D">
              <w:rPr>
                <w:rFonts w:ascii="Times New Roman" w:eastAsia="Times New Roman" w:hAnsi="Times New Roman" w:cs="Times New Roman"/>
                <w:sz w:val="20"/>
                <w:szCs w:val="20"/>
                <w:lang w:bidi="en-US"/>
              </w:rPr>
              <w:t>)</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val="restart"/>
            <w:shd w:val="clear" w:color="auto" w:fill="FFFFFF"/>
            <w:vAlign w:val="center"/>
          </w:tcPr>
          <w:p w:rsidR="000A0ACC" w:rsidRPr="0047313D" w:rsidRDefault="007C43E2" w:rsidP="005716EE">
            <w:pPr>
              <w:bidi w:val="0"/>
              <w:snapToGrid w:val="0"/>
              <w:spacing w:after="0" w:line="240" w:lineRule="auto"/>
              <w:jc w:val="both"/>
              <w:rPr>
                <w:rFonts w:ascii="Times New Roman" w:eastAsia="Times New Roman" w:hAnsi="Times New Roman" w:cs="Times New Roman"/>
                <w:b/>
                <w:bCs/>
                <w:i/>
                <w:sz w:val="20"/>
                <w:szCs w:val="20"/>
                <w:lang w:bidi="en-US"/>
              </w:rPr>
            </w:pPr>
            <w:r w:rsidRPr="0047313D">
              <w:rPr>
                <w:rFonts w:ascii="Times New Roman" w:eastAsia="Times New Roman" w:hAnsi="Times New Roman" w:cs="Times New Roman"/>
                <w:b/>
                <w:bCs/>
                <w:i/>
                <w:sz w:val="20"/>
                <w:szCs w:val="20"/>
                <w:lang w:bidi="en-US"/>
              </w:rPr>
              <w:t>CT9</w:t>
            </w:r>
            <w:r w:rsidR="0047313D">
              <w:rPr>
                <w:rFonts w:ascii="Times New Roman" w:hAnsi="Times New Roman" w:cs="Times New Roman" w:hint="eastAsia"/>
                <w:b/>
                <w:bCs/>
                <w:i/>
                <w:sz w:val="20"/>
                <w:szCs w:val="20"/>
                <w:lang w:eastAsia="zh-CN" w:bidi="en-US"/>
              </w:rPr>
              <w:t xml:space="preserve"> </w:t>
            </w:r>
            <w:r w:rsidRPr="0047313D">
              <w:rPr>
                <w:rFonts w:ascii="Times New Roman" w:eastAsia="Times New Roman" w:hAnsi="Times New Roman" w:cs="Times New Roman"/>
                <w:b/>
                <w:bCs/>
                <w:i/>
                <w:sz w:val="20"/>
                <w:szCs w:val="20"/>
                <w:lang w:bidi="en-US"/>
              </w:rPr>
              <w:t>months</w:t>
            </w: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Recurrence at operative site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bidi w:val="0"/>
              <w:snapToGrid w:val="0"/>
              <w:spacing w:after="0" w:line="240" w:lineRule="auto"/>
              <w:jc w:val="both"/>
              <w:rPr>
                <w:rFonts w:ascii="Times New Roman" w:eastAsia="Times New Roman" w:hAnsi="Times New Roman" w:cs="Times New Roman"/>
                <w:b/>
                <w:bCs/>
                <w:sz w:val="20"/>
                <w:szCs w:val="20"/>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De novo lesions</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4(8)</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4(8)</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bidi w:val="0"/>
              <w:snapToGrid w:val="0"/>
              <w:spacing w:after="0" w:line="240" w:lineRule="auto"/>
              <w:jc w:val="both"/>
              <w:rPr>
                <w:rFonts w:ascii="Times New Roman" w:eastAsia="Times New Roman" w:hAnsi="Times New Roman" w:cs="Times New Roman"/>
                <w:b/>
                <w:bCs/>
                <w:sz w:val="20"/>
                <w:szCs w:val="20"/>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Negative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w:t>
            </w:r>
            <w:r w:rsidR="006315D8" w:rsidRPr="0047313D">
              <w:rPr>
                <w:rFonts w:ascii="Times New Roman" w:eastAsia="Times New Roman" w:hAnsi="Times New Roman" w:cs="Times New Roman"/>
                <w:sz w:val="20"/>
                <w:szCs w:val="20"/>
                <w:lang w:bidi="en-US"/>
              </w:rPr>
              <w:t>6</w:t>
            </w:r>
            <w:r w:rsidRPr="0047313D">
              <w:rPr>
                <w:rFonts w:ascii="Times New Roman" w:eastAsia="Times New Roman" w:hAnsi="Times New Roman" w:cs="Times New Roman"/>
                <w:sz w:val="20"/>
                <w:szCs w:val="20"/>
                <w:lang w:bidi="en-US"/>
              </w:rPr>
              <w:t>(88)</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46(92)</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val="restart"/>
            <w:shd w:val="clear" w:color="auto" w:fill="FFFFFF"/>
            <w:vAlign w:val="center"/>
          </w:tcPr>
          <w:p w:rsidR="000A0ACC" w:rsidRPr="0047313D" w:rsidRDefault="007C43E2" w:rsidP="005716EE">
            <w:pPr>
              <w:bidi w:val="0"/>
              <w:snapToGrid w:val="0"/>
              <w:spacing w:after="0" w:line="240" w:lineRule="auto"/>
              <w:jc w:val="both"/>
              <w:rPr>
                <w:rFonts w:ascii="Times New Roman" w:eastAsia="Times New Roman" w:hAnsi="Times New Roman" w:cs="Times New Roman"/>
                <w:b/>
                <w:bCs/>
                <w:sz w:val="20"/>
                <w:szCs w:val="20"/>
              </w:rPr>
            </w:pPr>
            <w:r w:rsidRPr="0047313D">
              <w:rPr>
                <w:rFonts w:ascii="Times New Roman" w:eastAsia="Times New Roman" w:hAnsi="Times New Roman" w:cs="Times New Roman"/>
                <w:b/>
                <w:bCs/>
                <w:i/>
                <w:sz w:val="20"/>
                <w:szCs w:val="20"/>
                <w:lang w:bidi="en-US"/>
              </w:rPr>
              <w:t>CT12</w:t>
            </w:r>
            <w:r w:rsidR="0047313D">
              <w:rPr>
                <w:rFonts w:ascii="Times New Roman" w:hAnsi="Times New Roman" w:cs="Times New Roman" w:hint="eastAsia"/>
                <w:b/>
                <w:bCs/>
                <w:i/>
                <w:sz w:val="20"/>
                <w:szCs w:val="20"/>
                <w:lang w:eastAsia="zh-CN" w:bidi="en-US"/>
              </w:rPr>
              <w:t xml:space="preserve"> </w:t>
            </w:r>
            <w:r w:rsidRPr="0047313D">
              <w:rPr>
                <w:rFonts w:ascii="Times New Roman" w:eastAsia="Times New Roman" w:hAnsi="Times New Roman" w:cs="Times New Roman"/>
                <w:b/>
                <w:bCs/>
                <w:i/>
                <w:sz w:val="20"/>
                <w:szCs w:val="20"/>
                <w:lang w:bidi="en-US"/>
              </w:rPr>
              <w:t>months</w:t>
            </w: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Recurrence at operative site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1(2)</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De novo lesions</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1(2)</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3(6)</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r w:rsidR="007C43E2" w:rsidRPr="0047313D" w:rsidTr="009F7A89">
        <w:trPr>
          <w:jc w:val="center"/>
        </w:trPr>
        <w:tc>
          <w:tcPr>
            <w:tcW w:w="807"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c>
          <w:tcPr>
            <w:tcW w:w="1623"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Negative</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w:t>
            </w:r>
            <w:r w:rsidR="006315D8" w:rsidRPr="0047313D">
              <w:rPr>
                <w:rFonts w:ascii="Times New Roman" w:eastAsia="Times New Roman" w:hAnsi="Times New Roman" w:cs="Times New Roman"/>
                <w:sz w:val="20"/>
                <w:szCs w:val="20"/>
                <w:lang w:bidi="en-US"/>
              </w:rPr>
              <w:t>9(98</w:t>
            </w:r>
            <w:r w:rsidRPr="0047313D">
              <w:rPr>
                <w:rFonts w:ascii="Times New Roman" w:eastAsia="Times New Roman" w:hAnsi="Times New Roman" w:cs="Times New Roman"/>
                <w:sz w:val="20"/>
                <w:szCs w:val="20"/>
                <w:lang w:bidi="en-US"/>
              </w:rPr>
              <w:t>)</w:t>
            </w:r>
          </w:p>
        </w:tc>
        <w:tc>
          <w:tcPr>
            <w:tcW w:w="984" w:type="pct"/>
            <w:shd w:val="clear" w:color="auto" w:fill="FFFFFF"/>
            <w:vAlign w:val="center"/>
          </w:tcPr>
          <w:p w:rsidR="000A0ACC"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4</w:t>
            </w:r>
            <w:r w:rsidR="006315D8" w:rsidRPr="0047313D">
              <w:rPr>
                <w:rFonts w:ascii="Times New Roman" w:eastAsia="Times New Roman" w:hAnsi="Times New Roman" w:cs="Times New Roman"/>
                <w:sz w:val="20"/>
                <w:szCs w:val="20"/>
                <w:lang w:bidi="en-US"/>
              </w:rPr>
              <w:t>7 (94)</w:t>
            </w:r>
          </w:p>
        </w:tc>
        <w:tc>
          <w:tcPr>
            <w:tcW w:w="602" w:type="pct"/>
            <w:vMerge/>
            <w:shd w:val="clear" w:color="auto" w:fill="FFFFFF"/>
            <w:vAlign w:val="center"/>
          </w:tcPr>
          <w:p w:rsidR="000A0ACC" w:rsidRPr="0047313D" w:rsidRDefault="000A0ACC" w:rsidP="005716EE">
            <w:pPr>
              <w:widowControl w:val="0"/>
              <w:autoSpaceDE w:val="0"/>
              <w:autoSpaceDN w:val="0"/>
              <w:bidi w:val="0"/>
              <w:snapToGrid w:val="0"/>
              <w:spacing w:after="0" w:line="240" w:lineRule="auto"/>
              <w:jc w:val="both"/>
              <w:rPr>
                <w:rFonts w:ascii="Times New Roman" w:eastAsia="Times New Roman" w:hAnsi="Times New Roman" w:cs="Times New Roman"/>
                <w:b/>
                <w:bCs/>
                <w:sz w:val="20"/>
                <w:szCs w:val="20"/>
                <w:lang w:bidi="en-US"/>
              </w:rPr>
            </w:pPr>
          </w:p>
        </w:tc>
      </w:tr>
    </w:tbl>
    <w:p w:rsidR="000A0ACC" w:rsidRPr="0047313D" w:rsidRDefault="000A0ACC" w:rsidP="005716EE">
      <w:pPr>
        <w:bidi w:val="0"/>
        <w:snapToGrid w:val="0"/>
        <w:spacing w:after="0" w:line="240" w:lineRule="auto"/>
        <w:ind w:firstLine="425"/>
        <w:jc w:val="both"/>
        <w:rPr>
          <w:rFonts w:ascii="Times New Roman" w:eastAsia="Times New Roman" w:hAnsi="Times New Roman" w:cs="Times New Roman"/>
          <w:sz w:val="20"/>
          <w:szCs w:val="20"/>
          <w:lang w:bidi="en-US"/>
        </w:rPr>
      </w:pP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000000"/>
          <w:insideV w:val="single" w:sz="6" w:space="0" w:color="000000"/>
        </w:tblBorders>
        <w:tblCellMar>
          <w:left w:w="57" w:type="dxa"/>
          <w:right w:w="57" w:type="dxa"/>
        </w:tblCellMar>
        <w:tblLook w:val="01E0"/>
      </w:tblPr>
      <w:tblGrid>
        <w:gridCol w:w="7047"/>
        <w:gridCol w:w="2427"/>
      </w:tblGrid>
      <w:tr w:rsidR="007C43E2" w:rsidRPr="0047313D" w:rsidTr="009F7A89">
        <w:trPr>
          <w:jc w:val="center"/>
        </w:trPr>
        <w:tc>
          <w:tcPr>
            <w:tcW w:w="3719" w:type="pct"/>
            <w:shd w:val="clear" w:color="auto" w:fill="D9D9D9"/>
            <w:vAlign w:val="center"/>
          </w:tcPr>
          <w:p w:rsidR="00697F3A" w:rsidRPr="0047313D" w:rsidRDefault="00697F3A"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1281" w:type="pct"/>
            <w:shd w:val="clear" w:color="auto" w:fill="D9D9D9"/>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P value</w:t>
            </w:r>
          </w:p>
        </w:tc>
      </w:tr>
      <w:tr w:rsidR="007C43E2" w:rsidRPr="0047313D" w:rsidTr="009F7A89">
        <w:trPr>
          <w:jc w:val="center"/>
        </w:trPr>
        <w:tc>
          <w:tcPr>
            <w:tcW w:w="3719" w:type="pct"/>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Log Rank (Mantel-Cox)</w:t>
            </w:r>
          </w:p>
        </w:tc>
        <w:tc>
          <w:tcPr>
            <w:tcW w:w="1281" w:type="pct"/>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0.935</w:t>
            </w:r>
          </w:p>
        </w:tc>
      </w:tr>
    </w:tbl>
    <w:p w:rsidR="00A860DA" w:rsidRPr="0047313D" w:rsidRDefault="00A860DA" w:rsidP="005716EE">
      <w:pPr>
        <w:pStyle w:val="ListParagraph"/>
        <w:widowControl w:val="0"/>
        <w:autoSpaceDE w:val="0"/>
        <w:autoSpaceDN w:val="0"/>
        <w:bidi w:val="0"/>
        <w:snapToGrid w:val="0"/>
        <w:spacing w:after="0" w:line="240" w:lineRule="auto"/>
        <w:ind w:left="0" w:firstLine="425"/>
        <w:jc w:val="both"/>
        <w:rPr>
          <w:rFonts w:ascii="Times New Roman" w:eastAsia="Times New Roman" w:hAnsi="Times New Roman" w:cs="Times New Roman"/>
          <w:bCs/>
          <w:sz w:val="20"/>
          <w:szCs w:val="20"/>
          <w:lang w:bidi="en-US"/>
        </w:rPr>
      </w:pPr>
    </w:p>
    <w:p w:rsidR="0047313D" w:rsidRPr="0047313D" w:rsidRDefault="0047313D" w:rsidP="005716EE">
      <w:pPr>
        <w:widowControl w:val="0"/>
        <w:autoSpaceDE w:val="0"/>
        <w:autoSpaceDN w:val="0"/>
        <w:bidi w:val="0"/>
        <w:snapToGrid w:val="0"/>
        <w:spacing w:after="0" w:line="240" w:lineRule="auto"/>
        <w:jc w:val="both"/>
        <w:rPr>
          <w:rFonts w:ascii="Times New Roman" w:hAnsi="Times New Roman" w:cs="Times New Roman"/>
          <w:b/>
          <w:sz w:val="20"/>
          <w:szCs w:val="20"/>
          <w:lang w:eastAsia="zh-CN" w:bidi="en-US"/>
        </w:rPr>
      </w:pPr>
    </w:p>
    <w:p w:rsidR="0047313D" w:rsidRPr="0047313D" w:rsidRDefault="0047313D" w:rsidP="0047313D">
      <w:pPr>
        <w:widowControl w:val="0"/>
        <w:autoSpaceDE w:val="0"/>
        <w:autoSpaceDN w:val="0"/>
        <w:bidi w:val="0"/>
        <w:snapToGrid w:val="0"/>
        <w:spacing w:after="0" w:line="240" w:lineRule="auto"/>
        <w:jc w:val="both"/>
        <w:rPr>
          <w:rFonts w:ascii="Times New Roman" w:hAnsi="Times New Roman" w:cs="Times New Roman"/>
          <w:b/>
          <w:sz w:val="20"/>
          <w:szCs w:val="20"/>
          <w:lang w:eastAsia="zh-CN" w:bidi="en-US"/>
        </w:rPr>
      </w:pPr>
    </w:p>
    <w:p w:rsidR="0047313D" w:rsidRPr="0047313D" w:rsidRDefault="0047313D" w:rsidP="0047313D">
      <w:pPr>
        <w:widowControl w:val="0"/>
        <w:autoSpaceDE w:val="0"/>
        <w:autoSpaceDN w:val="0"/>
        <w:bidi w:val="0"/>
        <w:snapToGrid w:val="0"/>
        <w:spacing w:after="0" w:line="240" w:lineRule="auto"/>
        <w:jc w:val="both"/>
        <w:rPr>
          <w:rFonts w:ascii="Times New Roman" w:hAnsi="Times New Roman" w:cs="Times New Roman"/>
          <w:b/>
          <w:sz w:val="20"/>
          <w:szCs w:val="20"/>
          <w:lang w:eastAsia="zh-CN" w:bidi="en-US"/>
        </w:rPr>
      </w:pPr>
    </w:p>
    <w:p w:rsidR="005716EE" w:rsidRPr="0047313D" w:rsidRDefault="007C43E2" w:rsidP="0047313D">
      <w:pPr>
        <w:widowControl w:val="0"/>
        <w:autoSpaceDE w:val="0"/>
        <w:autoSpaceDN w:val="0"/>
        <w:bidi w:val="0"/>
        <w:snapToGrid w:val="0"/>
        <w:spacing w:after="0" w:line="240" w:lineRule="auto"/>
        <w:jc w:val="both"/>
        <w:rPr>
          <w:rFonts w:ascii="Times New Roman" w:eastAsia="Times New Roman" w:hAnsi="Times New Roman" w:cs="Times New Roman"/>
          <w:b/>
          <w:sz w:val="20"/>
          <w:szCs w:val="20"/>
          <w:lang w:bidi="en-US"/>
        </w:rPr>
      </w:pPr>
      <w:r w:rsidRPr="0047313D">
        <w:rPr>
          <w:rFonts w:ascii="Times New Roman" w:eastAsia="Times New Roman" w:hAnsi="Times New Roman" w:cs="Times New Roman"/>
          <w:b/>
          <w:sz w:val="20"/>
          <w:szCs w:val="20"/>
          <w:lang w:bidi="en-US"/>
        </w:rPr>
        <w:t>Mortality</w:t>
      </w:r>
    </w:p>
    <w:p w:rsidR="0047313D" w:rsidRPr="0047313D" w:rsidRDefault="0047313D" w:rsidP="005716EE">
      <w:pPr>
        <w:tabs>
          <w:tab w:val="left" w:pos="1710"/>
        </w:tabs>
        <w:bidi w:val="0"/>
        <w:snapToGrid w:val="0"/>
        <w:spacing w:after="0" w:line="240" w:lineRule="auto"/>
        <w:jc w:val="both"/>
        <w:rPr>
          <w:rFonts w:ascii="Times New Roman" w:hAnsi="Times New Roman" w:cs="Times New Roman"/>
          <w:sz w:val="20"/>
          <w:szCs w:val="20"/>
          <w:lang w:eastAsia="zh-CN" w:bidi="en-US"/>
        </w:rPr>
      </w:pPr>
    </w:p>
    <w:p w:rsidR="00697F3A" w:rsidRPr="0047313D" w:rsidRDefault="007C43E2" w:rsidP="0047313D">
      <w:pPr>
        <w:tabs>
          <w:tab w:val="left" w:pos="1710"/>
        </w:tabs>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Table (</w:t>
      </w:r>
      <w:r w:rsidR="00482DB2" w:rsidRPr="0047313D">
        <w:rPr>
          <w:rFonts w:ascii="Times New Roman" w:eastAsia="Times New Roman" w:hAnsi="Times New Roman" w:cs="Times New Roman"/>
          <w:sz w:val="20"/>
          <w:szCs w:val="20"/>
          <w:lang w:bidi="en-US"/>
        </w:rPr>
        <w:t>1</w:t>
      </w:r>
      <w:r w:rsidR="005716EE" w:rsidRPr="0047313D">
        <w:rPr>
          <w:rFonts w:ascii="Times New Roman" w:hAnsi="Times New Roman" w:cs="Times New Roman" w:hint="eastAsia"/>
          <w:sz w:val="20"/>
          <w:szCs w:val="20"/>
          <w:lang w:eastAsia="zh-CN" w:bidi="en-US"/>
        </w:rPr>
        <w:t>4</w:t>
      </w:r>
      <w:r w:rsidR="00482DB2"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 Showed that over the 12 months follow up, only 2</w:t>
      </w:r>
      <w:r w:rsidR="006648C5"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 had been died (3.05%) in the open group with no statistical significance.</w:t>
      </w:r>
    </w:p>
    <w:tbl>
      <w:tblPr>
        <w:tblW w:w="5000" w:type="pct"/>
        <w:jc w:val="center"/>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CellMar>
          <w:left w:w="57" w:type="dxa"/>
          <w:right w:w="57" w:type="dxa"/>
        </w:tblCellMar>
        <w:tblLook w:val="01E0"/>
      </w:tblPr>
      <w:tblGrid>
        <w:gridCol w:w="4420"/>
        <w:gridCol w:w="1738"/>
        <w:gridCol w:w="1738"/>
        <w:gridCol w:w="1578"/>
      </w:tblGrid>
      <w:tr w:rsidR="007C43E2" w:rsidRPr="0047313D" w:rsidTr="009F7A89">
        <w:trPr>
          <w:jc w:val="center"/>
        </w:trPr>
        <w:tc>
          <w:tcPr>
            <w:tcW w:w="2333" w:type="pct"/>
            <w:vMerge w:val="restart"/>
            <w:tcBorders>
              <w:top w:val="thinThickSmallGap" w:sz="24" w:space="0" w:color="auto"/>
              <w:left w:val="thinThickSmallGap" w:sz="24" w:space="0" w:color="auto"/>
              <w:right w:val="single" w:sz="6" w:space="0" w:color="000000"/>
            </w:tcBorders>
            <w:shd w:val="clear" w:color="auto" w:fill="D9D9D9"/>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Mortality 1 year</w:t>
            </w:r>
          </w:p>
        </w:tc>
        <w:tc>
          <w:tcPr>
            <w:tcW w:w="917"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A</w:t>
            </w:r>
          </w:p>
        </w:tc>
        <w:tc>
          <w:tcPr>
            <w:tcW w:w="917" w:type="pct"/>
            <w:tcBorders>
              <w:top w:val="thinThickSmallGap" w:sz="24" w:space="0" w:color="auto"/>
              <w:left w:val="single" w:sz="6" w:space="0" w:color="000000"/>
              <w:bottom w:val="single" w:sz="6" w:space="0" w:color="000000"/>
              <w:right w:val="single" w:sz="6" w:space="0" w:color="000000"/>
            </w:tcBorders>
            <w:shd w:val="clear" w:color="auto" w:fill="D9D9D9"/>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Group B</w:t>
            </w:r>
          </w:p>
        </w:tc>
        <w:tc>
          <w:tcPr>
            <w:tcW w:w="834" w:type="pct"/>
            <w:tcBorders>
              <w:top w:val="thinThickSmallGap" w:sz="24" w:space="0" w:color="auto"/>
              <w:left w:val="single" w:sz="6" w:space="0" w:color="000000"/>
              <w:bottom w:val="single" w:sz="6" w:space="0" w:color="000000"/>
              <w:right w:val="thickThinSmallGap" w:sz="24" w:space="0" w:color="auto"/>
            </w:tcBorders>
            <w:shd w:val="clear" w:color="auto" w:fill="D9D9D9"/>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i/>
                <w:sz w:val="20"/>
                <w:szCs w:val="20"/>
                <w:lang w:bidi="en-US"/>
              </w:rPr>
            </w:pPr>
            <w:r w:rsidRPr="0047313D">
              <w:rPr>
                <w:rFonts w:ascii="Times New Roman" w:eastAsia="Times New Roman" w:hAnsi="Times New Roman" w:cs="Times New Roman"/>
                <w:i/>
                <w:sz w:val="20"/>
                <w:szCs w:val="20"/>
                <w:lang w:bidi="en-US"/>
              </w:rPr>
              <w:t>P-value</w:t>
            </w:r>
          </w:p>
        </w:tc>
      </w:tr>
      <w:tr w:rsidR="007C43E2" w:rsidRPr="0047313D" w:rsidTr="009F7A89">
        <w:trPr>
          <w:jc w:val="center"/>
        </w:trPr>
        <w:tc>
          <w:tcPr>
            <w:tcW w:w="2333" w:type="pct"/>
            <w:vMerge/>
            <w:tcBorders>
              <w:top w:val="nil"/>
              <w:left w:val="thinThickSmallGap" w:sz="24" w:space="0" w:color="auto"/>
              <w:right w:val="single" w:sz="6" w:space="0" w:color="000000"/>
            </w:tcBorders>
            <w:shd w:val="clear" w:color="auto" w:fill="D9D9D9"/>
            <w:vAlign w:val="center"/>
          </w:tcPr>
          <w:p w:rsidR="00697F3A" w:rsidRPr="0047313D" w:rsidRDefault="00697F3A"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1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N (%)</w:t>
            </w:r>
          </w:p>
        </w:tc>
        <w:tc>
          <w:tcPr>
            <w:tcW w:w="917" w:type="pct"/>
            <w:tcBorders>
              <w:top w:val="single" w:sz="6" w:space="0" w:color="000000"/>
              <w:left w:val="single" w:sz="6" w:space="0" w:color="000000"/>
              <w:bottom w:val="single" w:sz="6" w:space="0" w:color="000000"/>
              <w:right w:val="single" w:sz="6" w:space="0" w:color="000000"/>
            </w:tcBorders>
            <w:shd w:val="clear" w:color="auto" w:fill="auto"/>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N (%)</w:t>
            </w:r>
          </w:p>
        </w:tc>
        <w:tc>
          <w:tcPr>
            <w:tcW w:w="834" w:type="pct"/>
            <w:vMerge w:val="restart"/>
            <w:tcBorders>
              <w:top w:val="single" w:sz="6" w:space="0" w:color="000000"/>
              <w:left w:val="single" w:sz="6" w:space="0" w:color="000000"/>
              <w:right w:val="thickThinSmallGap" w:sz="24" w:space="0" w:color="auto"/>
            </w:tcBorders>
            <w:shd w:val="clear" w:color="auto" w:fill="auto"/>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ar-EG"/>
              </w:rPr>
            </w:pPr>
            <w:r w:rsidRPr="0047313D">
              <w:rPr>
                <w:rFonts w:ascii="Times New Roman" w:eastAsia="Times New Roman" w:hAnsi="Times New Roman" w:cs="Times New Roman"/>
                <w:sz w:val="20"/>
                <w:szCs w:val="20"/>
                <w:lang w:bidi="en-US"/>
              </w:rPr>
              <w:t>1.00</w:t>
            </w:r>
          </w:p>
        </w:tc>
      </w:tr>
      <w:tr w:rsidR="007C43E2" w:rsidRPr="0047313D" w:rsidTr="009F7A89">
        <w:trPr>
          <w:jc w:val="center"/>
        </w:trPr>
        <w:tc>
          <w:tcPr>
            <w:tcW w:w="2333" w:type="pct"/>
            <w:vMerge/>
            <w:tcBorders>
              <w:top w:val="nil"/>
              <w:left w:val="thinThickSmallGap" w:sz="24" w:space="0" w:color="auto"/>
              <w:bottom w:val="thickThinSmallGap" w:sz="24" w:space="0" w:color="auto"/>
              <w:right w:val="single" w:sz="6" w:space="0" w:color="000000"/>
            </w:tcBorders>
            <w:shd w:val="clear" w:color="auto" w:fill="D9D9D9"/>
            <w:vAlign w:val="center"/>
          </w:tcPr>
          <w:p w:rsidR="00697F3A" w:rsidRPr="0047313D" w:rsidRDefault="00697F3A"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17"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1 (2)</w:t>
            </w:r>
          </w:p>
        </w:tc>
        <w:tc>
          <w:tcPr>
            <w:tcW w:w="917" w:type="pct"/>
            <w:tcBorders>
              <w:top w:val="single" w:sz="6" w:space="0" w:color="000000"/>
              <w:left w:val="single" w:sz="6" w:space="0" w:color="000000"/>
              <w:bottom w:val="thickThinSmallGap" w:sz="24" w:space="0" w:color="auto"/>
              <w:right w:val="single" w:sz="6" w:space="0" w:color="000000"/>
            </w:tcBorders>
            <w:shd w:val="clear" w:color="auto" w:fill="auto"/>
            <w:vAlign w:val="center"/>
          </w:tcPr>
          <w:p w:rsidR="00697F3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2(4)</w:t>
            </w:r>
          </w:p>
        </w:tc>
        <w:tc>
          <w:tcPr>
            <w:tcW w:w="834" w:type="pct"/>
            <w:vMerge/>
            <w:tcBorders>
              <w:top w:val="nil"/>
              <w:left w:val="single" w:sz="6" w:space="0" w:color="000000"/>
              <w:bottom w:val="thickThinSmallGap" w:sz="24" w:space="0" w:color="auto"/>
              <w:right w:val="thickThinSmallGap" w:sz="24" w:space="0" w:color="auto"/>
            </w:tcBorders>
            <w:shd w:val="clear" w:color="auto" w:fill="auto"/>
            <w:vAlign w:val="center"/>
          </w:tcPr>
          <w:p w:rsidR="00697F3A" w:rsidRPr="0047313D" w:rsidRDefault="00697F3A"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r>
      <w:tr w:rsidR="007C43E2" w:rsidRPr="0047313D" w:rsidTr="009F7A89">
        <w:tblPrEx>
          <w:tblBorders>
            <w:top w:val="thinThickSmallGap" w:sz="24" w:space="0" w:color="auto"/>
            <w:left w:val="thinThickSmallGap" w:sz="24" w:space="0" w:color="auto"/>
            <w:bottom w:val="thickThinSmallGap" w:sz="24" w:space="0" w:color="auto"/>
            <w:right w:val="thickThinSmallGap" w:sz="24" w:space="0" w:color="auto"/>
            <w:insideH w:val="single" w:sz="6" w:space="0" w:color="000000"/>
            <w:insideV w:val="single" w:sz="6" w:space="0" w:color="000000"/>
          </w:tblBorders>
        </w:tblPrEx>
        <w:trPr>
          <w:gridAfter w:val="2"/>
          <w:wAfter w:w="1751" w:type="pct"/>
          <w:jc w:val="center"/>
        </w:trPr>
        <w:tc>
          <w:tcPr>
            <w:tcW w:w="2333" w:type="pct"/>
            <w:shd w:val="clear" w:color="auto" w:fill="D9D9D9"/>
            <w:vAlign w:val="center"/>
          </w:tcPr>
          <w:p w:rsidR="00A860DA" w:rsidRPr="0047313D" w:rsidRDefault="00A860DA"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p>
        </w:tc>
        <w:tc>
          <w:tcPr>
            <w:tcW w:w="917" w:type="pct"/>
            <w:shd w:val="clear" w:color="auto" w:fill="D9D9D9"/>
            <w:vAlign w:val="center"/>
          </w:tcPr>
          <w:p w:rsidR="00A860D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P value</w:t>
            </w:r>
          </w:p>
        </w:tc>
      </w:tr>
      <w:tr w:rsidR="007C43E2" w:rsidRPr="0047313D" w:rsidTr="009F7A89">
        <w:tblPrEx>
          <w:tblBorders>
            <w:top w:val="thinThickSmallGap" w:sz="24" w:space="0" w:color="auto"/>
            <w:left w:val="thinThickSmallGap" w:sz="24" w:space="0" w:color="auto"/>
            <w:bottom w:val="thickThinSmallGap" w:sz="24" w:space="0" w:color="auto"/>
            <w:right w:val="thickThinSmallGap" w:sz="24" w:space="0" w:color="auto"/>
            <w:insideH w:val="single" w:sz="6" w:space="0" w:color="000000"/>
            <w:insideV w:val="single" w:sz="6" w:space="0" w:color="000000"/>
          </w:tblBorders>
        </w:tblPrEx>
        <w:trPr>
          <w:gridAfter w:val="2"/>
          <w:wAfter w:w="1751" w:type="pct"/>
          <w:jc w:val="center"/>
        </w:trPr>
        <w:tc>
          <w:tcPr>
            <w:tcW w:w="2333" w:type="pct"/>
            <w:vAlign w:val="center"/>
          </w:tcPr>
          <w:p w:rsidR="00A860D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Log Rank (Mantel-Cox)</w:t>
            </w:r>
          </w:p>
        </w:tc>
        <w:tc>
          <w:tcPr>
            <w:tcW w:w="917" w:type="pct"/>
            <w:vAlign w:val="center"/>
          </w:tcPr>
          <w:p w:rsidR="00A860DA" w:rsidRPr="0047313D" w:rsidRDefault="007C43E2" w:rsidP="005716EE">
            <w:pPr>
              <w:widowControl w:val="0"/>
              <w:autoSpaceDE w:val="0"/>
              <w:autoSpaceDN w:val="0"/>
              <w:bidi w:val="0"/>
              <w:snapToGrid w:val="0"/>
              <w:spacing w:after="0" w:line="240" w:lineRule="auto"/>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0.325</w:t>
            </w:r>
          </w:p>
        </w:tc>
      </w:tr>
    </w:tbl>
    <w:p w:rsidR="004F6B4C" w:rsidRPr="0047313D" w:rsidRDefault="004F6B4C" w:rsidP="005716EE">
      <w:pPr>
        <w:bidi w:val="0"/>
        <w:snapToGrid w:val="0"/>
        <w:spacing w:after="0" w:line="240" w:lineRule="auto"/>
        <w:jc w:val="both"/>
        <w:rPr>
          <w:rFonts w:ascii="Times New Roman" w:eastAsia="Times New Roman" w:hAnsi="Times New Roman" w:cs="Times New Roman"/>
          <w:b/>
          <w:bCs/>
          <w:sz w:val="20"/>
          <w:szCs w:val="20"/>
          <w:lang w:bidi="en-US"/>
        </w:rPr>
      </w:pPr>
    </w:p>
    <w:p w:rsidR="005716EE" w:rsidRPr="0047313D" w:rsidRDefault="005716EE" w:rsidP="005716EE">
      <w:pPr>
        <w:bidi w:val="0"/>
        <w:snapToGrid w:val="0"/>
        <w:spacing w:after="0" w:line="240" w:lineRule="auto"/>
        <w:jc w:val="both"/>
        <w:rPr>
          <w:rFonts w:ascii="Times New Roman" w:eastAsia="Times New Roman" w:hAnsi="Times New Roman" w:cs="Times New Roman"/>
          <w:b/>
          <w:bCs/>
          <w:sz w:val="20"/>
          <w:szCs w:val="20"/>
          <w:lang w:bidi="en-US"/>
        </w:rPr>
        <w:sectPr w:rsidR="005716EE" w:rsidRPr="0047313D" w:rsidSect="009F7A89">
          <w:type w:val="continuous"/>
          <w:pgSz w:w="12240" w:h="15840" w:code="9"/>
          <w:pgMar w:top="1440" w:right="1440" w:bottom="1440" w:left="1440" w:header="720" w:footer="720" w:gutter="0"/>
          <w:cols w:space="720"/>
          <w:bidi/>
          <w:rtlGutter/>
          <w:docGrid w:linePitch="360"/>
        </w:sectPr>
      </w:pPr>
    </w:p>
    <w:p w:rsidR="006648C5" w:rsidRPr="0047313D" w:rsidRDefault="004F6B4C" w:rsidP="005716EE">
      <w:pPr>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lastRenderedPageBreak/>
        <w:t>4. Discussion</w:t>
      </w:r>
    </w:p>
    <w:p w:rsidR="003418CB" w:rsidRPr="0047313D" w:rsidRDefault="003418CB"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b/>
          <w:bCs/>
          <w:sz w:val="20"/>
          <w:szCs w:val="20"/>
        </w:rPr>
      </w:pPr>
      <w:r w:rsidRPr="0047313D">
        <w:rPr>
          <w:rFonts w:ascii="Times New Roman" w:hAnsi="Times New Roman" w:cs="Times New Roman"/>
          <w:sz w:val="20"/>
          <w:szCs w:val="20"/>
        </w:rPr>
        <w:t xml:space="preserve">Hepatocellular carcinoma constitutes one of the most frequently encountered malignant tumors while it is accounted for as one of the leading causes of cancer-related deaths worldwide. Although liver transplantation would suggest the optimal treatment option for these patients in early stages, in an era of increasing HCC incidence as well as organ shortage such option is not viable in a large scale </w:t>
      </w:r>
      <w:r w:rsidRPr="0047313D">
        <w:rPr>
          <w:rFonts w:ascii="Times New Roman" w:eastAsia="TimesNewRoman" w:hAnsi="Times New Roman" w:cs="Times New Roman"/>
          <w:b/>
          <w:bCs/>
          <w:sz w:val="20"/>
          <w:szCs w:val="20"/>
        </w:rPr>
        <w:t>(</w:t>
      </w:r>
      <w:r w:rsidRPr="0047313D">
        <w:rPr>
          <w:rFonts w:ascii="Times New Roman" w:hAnsi="Times New Roman" w:cs="Times New Roman"/>
          <w:b/>
          <w:bCs/>
          <w:sz w:val="20"/>
          <w:szCs w:val="20"/>
        </w:rPr>
        <w:t>Bruix and Sherman</w:t>
      </w:r>
      <w:r w:rsidRPr="0047313D">
        <w:rPr>
          <w:rFonts w:ascii="Times New Roman" w:eastAsia="TimesNewRoman" w:hAnsi="Times New Roman" w:cs="Times New Roman"/>
          <w:b/>
          <w:bCs/>
          <w:sz w:val="20"/>
          <w:szCs w:val="20"/>
        </w:rPr>
        <w:t>, 2011).</w:t>
      </w:r>
    </w:p>
    <w:p w:rsidR="003418CB"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b/>
          <w:bCs/>
          <w:sz w:val="20"/>
          <w:szCs w:val="20"/>
        </w:rPr>
      </w:pPr>
      <w:r w:rsidRPr="0047313D">
        <w:rPr>
          <w:rFonts w:ascii="Times New Roman" w:hAnsi="Times New Roman" w:cs="Times New Roman"/>
          <w:sz w:val="20"/>
          <w:szCs w:val="20"/>
        </w:rPr>
        <w:t xml:space="preserve">As a result, alternative and more easily accessible curative treatment options such as resection and percutaneous ablation are adopted. </w:t>
      </w:r>
      <w:r w:rsidR="00CB5804" w:rsidRPr="0047313D">
        <w:rPr>
          <w:rFonts w:ascii="Times New Roman" w:hAnsi="Times New Roman" w:cs="Times New Roman"/>
          <w:sz w:val="20"/>
          <w:szCs w:val="20"/>
        </w:rPr>
        <w:t xml:space="preserve">Although initially confronted with skepticism and restraint by hepatobiliary surgeons during the last 15 years, laparoscopic liver surgery is currently considered a safe and effective approach to the management of surgical liver diseases in the hands of trained surgeons with experience in hepatobiliary and laparoscopic surgery </w:t>
      </w:r>
      <w:r w:rsidR="00CB5804" w:rsidRPr="0047313D">
        <w:rPr>
          <w:rFonts w:ascii="Times New Roman" w:eastAsia="TimesNewRoman" w:hAnsi="Times New Roman" w:cs="Times New Roman"/>
          <w:b/>
          <w:bCs/>
          <w:sz w:val="20"/>
          <w:szCs w:val="20"/>
        </w:rPr>
        <w:t>(</w:t>
      </w:r>
      <w:r w:rsidR="00CB5804" w:rsidRPr="0047313D">
        <w:rPr>
          <w:rFonts w:ascii="Times New Roman" w:hAnsi="Times New Roman" w:cs="Times New Roman"/>
          <w:b/>
          <w:bCs/>
          <w:sz w:val="20"/>
          <w:szCs w:val="20"/>
        </w:rPr>
        <w:t>Buell</w:t>
      </w:r>
      <w:r w:rsidR="00CB5804" w:rsidRPr="0047313D">
        <w:rPr>
          <w:rFonts w:ascii="Times New Roman" w:eastAsia="TimesNewRoman" w:hAnsi="Times New Roman" w:cs="Times New Roman"/>
          <w:b/>
          <w:bCs/>
          <w:sz w:val="20"/>
          <w:szCs w:val="20"/>
        </w:rPr>
        <w:t xml:space="preserve"> et al., 2008).</w:t>
      </w:r>
    </w:p>
    <w:p w:rsidR="003418CB" w:rsidRPr="0047313D" w:rsidRDefault="007C43E2" w:rsidP="005716E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Various new studies document that LLR for HCC offers benefits equivalent to other forms of minimally invasive surgery over OLR. Less pain as well as shorter length of stay is included among these benefits.</w:t>
      </w:r>
    </w:p>
    <w:p w:rsidR="003418CB" w:rsidRPr="0047313D" w:rsidRDefault="007C43E2" w:rsidP="005716EE">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47313D">
        <w:rPr>
          <w:rFonts w:ascii="Times New Roman" w:hAnsi="Times New Roman" w:cs="Times New Roman"/>
          <w:sz w:val="20"/>
          <w:szCs w:val="20"/>
        </w:rPr>
        <w:t xml:space="preserve">Moreover, these studies find comparable differences in terms of morbidity and mortality between laparoscopic procedures and open surgery, both achieving adequate oncologic results </w:t>
      </w:r>
      <w:r w:rsidRPr="0047313D">
        <w:rPr>
          <w:rFonts w:ascii="Times New Roman" w:hAnsi="Times New Roman" w:cs="Times New Roman"/>
          <w:b/>
          <w:bCs/>
          <w:sz w:val="20"/>
          <w:szCs w:val="20"/>
        </w:rPr>
        <w:t>(Felli et al., 2015).</w:t>
      </w:r>
    </w:p>
    <w:p w:rsidR="003418CB"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b/>
          <w:bCs/>
          <w:sz w:val="20"/>
          <w:szCs w:val="20"/>
        </w:rPr>
      </w:pPr>
      <w:r w:rsidRPr="0047313D">
        <w:rPr>
          <w:rFonts w:ascii="Times New Roman" w:eastAsia="TimesNewRoman" w:hAnsi="Times New Roman" w:cs="Times New Roman"/>
          <w:sz w:val="20"/>
          <w:szCs w:val="20"/>
        </w:rPr>
        <w:t xml:space="preserve">With the refinements in laparoscopic instruments and accumulated experience with open liver surgery and laparoscopic surgery for various liver resections, LLR has become a common method of treatment for HCC. Nonetheless, LLR remains challenging because it requires adequate handling of bleeding and important structures </w:t>
      </w:r>
      <w:r w:rsidRPr="0047313D">
        <w:rPr>
          <w:rFonts w:ascii="Times New Roman" w:eastAsia="TimesNewRoman" w:hAnsi="Times New Roman" w:cs="Times New Roman"/>
          <w:b/>
          <w:bCs/>
          <w:sz w:val="20"/>
          <w:szCs w:val="20"/>
        </w:rPr>
        <w:t>(Chen et al., 2017).</w:t>
      </w:r>
    </w:p>
    <w:p w:rsidR="00376E02"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t xml:space="preserve">In this study, a comparison between laparoscopic </w:t>
      </w:r>
      <w:r w:rsidR="00DF330E" w:rsidRPr="0047313D">
        <w:rPr>
          <w:rFonts w:ascii="Times New Roman" w:eastAsia="TimesNewRoman" w:hAnsi="Times New Roman" w:cs="Times New Roman"/>
          <w:sz w:val="20"/>
          <w:szCs w:val="20"/>
        </w:rPr>
        <w:t>management</w:t>
      </w:r>
      <w:r w:rsidRPr="0047313D">
        <w:rPr>
          <w:rFonts w:ascii="Times New Roman" w:eastAsia="TimesNewRoman" w:hAnsi="Times New Roman" w:cs="Times New Roman"/>
          <w:sz w:val="20"/>
          <w:szCs w:val="20"/>
        </w:rPr>
        <w:t xml:space="preserve"> and open </w:t>
      </w:r>
      <w:r w:rsidR="00DF330E" w:rsidRPr="0047313D">
        <w:rPr>
          <w:rFonts w:ascii="Times New Roman" w:eastAsia="TimesNewRoman" w:hAnsi="Times New Roman" w:cs="Times New Roman"/>
          <w:sz w:val="20"/>
          <w:szCs w:val="20"/>
        </w:rPr>
        <w:t>management</w:t>
      </w:r>
      <w:r w:rsidRPr="0047313D">
        <w:rPr>
          <w:rFonts w:ascii="Times New Roman" w:eastAsia="TimesNewRoman" w:hAnsi="Times New Roman" w:cs="Times New Roman"/>
          <w:sz w:val="20"/>
          <w:szCs w:val="20"/>
        </w:rPr>
        <w:t xml:space="preserve"> was done to compare short-term results between laparoscopic and open </w:t>
      </w:r>
      <w:r w:rsidR="00DF330E" w:rsidRPr="0047313D">
        <w:rPr>
          <w:rFonts w:ascii="Times New Roman" w:eastAsia="TimesNewRoman" w:hAnsi="Times New Roman" w:cs="Times New Roman"/>
          <w:sz w:val="20"/>
          <w:szCs w:val="20"/>
        </w:rPr>
        <w:t>procedures</w:t>
      </w:r>
      <w:r w:rsidRPr="0047313D">
        <w:rPr>
          <w:rFonts w:ascii="Times New Roman" w:eastAsia="TimesNewRoman" w:hAnsi="Times New Roman" w:cs="Times New Roman"/>
          <w:sz w:val="20"/>
          <w:szCs w:val="20"/>
        </w:rPr>
        <w:t>. This study focused on</w:t>
      </w:r>
      <w:r w:rsidR="009F7A89" w:rsidRPr="0047313D">
        <w:rPr>
          <w:rFonts w:ascii="Times New Roman" w:eastAsia="TimesNewRoman" w:hAnsi="Times New Roman" w:cs="Times New Roman"/>
          <w:sz w:val="20"/>
          <w:szCs w:val="20"/>
        </w:rPr>
        <w:t xml:space="preserve"> </w:t>
      </w:r>
      <w:r w:rsidRPr="0047313D">
        <w:rPr>
          <w:rFonts w:ascii="Times New Roman" w:eastAsia="TimesNewRoman" w:hAnsi="Times New Roman" w:cs="Times New Roman"/>
          <w:sz w:val="20"/>
          <w:szCs w:val="20"/>
        </w:rPr>
        <w:t xml:space="preserve">perioperative period of patients undergoing minor liver </w:t>
      </w:r>
      <w:r w:rsidR="00CB5804" w:rsidRPr="0047313D">
        <w:rPr>
          <w:rFonts w:ascii="Times New Roman" w:eastAsia="TimesNewRoman" w:hAnsi="Times New Roman" w:cs="Times New Roman"/>
          <w:sz w:val="20"/>
          <w:szCs w:val="20"/>
        </w:rPr>
        <w:t>resection and</w:t>
      </w:r>
      <w:r w:rsidRPr="0047313D">
        <w:rPr>
          <w:rFonts w:ascii="Times New Roman" w:eastAsia="TimesNewRoman" w:hAnsi="Times New Roman" w:cs="Times New Roman"/>
          <w:sz w:val="20"/>
          <w:szCs w:val="20"/>
        </w:rPr>
        <w:t xml:space="preserve"> assessing its results if going in line with literature.</w:t>
      </w:r>
    </w:p>
    <w:p w:rsidR="00E1105F"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sz w:val="20"/>
          <w:szCs w:val="20"/>
        </w:rPr>
      </w:pPr>
      <w:r w:rsidRPr="0047313D">
        <w:rPr>
          <w:rFonts w:ascii="Times New Roman" w:eastAsia="TimesNewRoman" w:hAnsi="Times New Roman" w:cs="Times New Roman"/>
          <w:sz w:val="20"/>
          <w:szCs w:val="20"/>
        </w:rPr>
        <w:lastRenderedPageBreak/>
        <w:t xml:space="preserve">This study was conducted on </w:t>
      </w:r>
      <w:r w:rsidR="00DF330E" w:rsidRPr="0047313D">
        <w:rPr>
          <w:rFonts w:ascii="Times New Roman" w:eastAsia="TimesNewRoman" w:hAnsi="Times New Roman" w:cs="Times New Roman"/>
          <w:sz w:val="20"/>
          <w:szCs w:val="20"/>
        </w:rPr>
        <w:t>100</w:t>
      </w:r>
      <w:r w:rsidRPr="0047313D">
        <w:rPr>
          <w:rFonts w:ascii="Times New Roman" w:eastAsia="TimesNewRoman" w:hAnsi="Times New Roman" w:cs="Times New Roman"/>
          <w:sz w:val="20"/>
          <w:szCs w:val="20"/>
        </w:rPr>
        <w:t xml:space="preserve"> patients with hepatic focal lesions for whom </w:t>
      </w:r>
      <w:r w:rsidR="00DF330E" w:rsidRPr="0047313D">
        <w:rPr>
          <w:rFonts w:ascii="Times New Roman" w:eastAsia="TimesNewRoman" w:hAnsi="Times New Roman" w:cs="Times New Roman"/>
          <w:sz w:val="20"/>
          <w:szCs w:val="20"/>
          <w:lang w:bidi="en-US"/>
        </w:rPr>
        <w:t>patients randomly divided into 2 groups, Group A (50 patients (50%)) managed with laparoscopic technique. And Group B (50 patients (50 %)) managed with open technique.</w:t>
      </w:r>
    </w:p>
    <w:p w:rsidR="00E1105F" w:rsidRPr="0047313D" w:rsidRDefault="007C43E2" w:rsidP="005716EE">
      <w:pPr>
        <w:autoSpaceDE w:val="0"/>
        <w:autoSpaceDN w:val="0"/>
        <w:bidi w:val="0"/>
        <w:adjustRightInd w:val="0"/>
        <w:snapToGrid w:val="0"/>
        <w:spacing w:after="0" w:line="240" w:lineRule="auto"/>
        <w:ind w:firstLine="425"/>
        <w:jc w:val="both"/>
        <w:rPr>
          <w:rFonts w:ascii="Times New Roman" w:eastAsia="TimesNewRoman" w:hAnsi="Times New Roman" w:cs="Times New Roman"/>
          <w:b/>
          <w:bCs/>
          <w:sz w:val="20"/>
          <w:szCs w:val="20"/>
        </w:rPr>
      </w:pPr>
      <w:r w:rsidRPr="0047313D">
        <w:rPr>
          <w:rFonts w:ascii="Times New Roman" w:eastAsia="TimesNewRoman" w:hAnsi="Times New Roman" w:cs="Times New Roman"/>
          <w:sz w:val="20"/>
          <w:szCs w:val="20"/>
        </w:rPr>
        <w:t>In this study, both groups were homogeneous with regard to age, sex, etiology of liver cirrhosis, the presence of associated medical conditions, laboratory results and AFP levels. No significant differences were found between both groups regarding demographic data.</w:t>
      </w:r>
    </w:p>
    <w:p w:rsidR="001B0052" w:rsidRPr="0047313D" w:rsidRDefault="007C43E2"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the laparoscopic group, mean age was </w:t>
      </w:r>
      <w:r w:rsidR="00DF330E" w:rsidRPr="0047313D">
        <w:rPr>
          <w:rFonts w:ascii="Times New Roman" w:hAnsi="Times New Roman" w:cs="Times New Roman"/>
          <w:sz w:val="20"/>
          <w:szCs w:val="20"/>
          <w:lang w:bidi="en-US"/>
        </w:rPr>
        <w:t xml:space="preserve">60.4 </w:t>
      </w:r>
      <w:r w:rsidRPr="0047313D">
        <w:rPr>
          <w:rFonts w:ascii="Times New Roman" w:hAnsi="Times New Roman" w:cs="Times New Roman"/>
          <w:sz w:val="20"/>
          <w:szCs w:val="20"/>
        </w:rPr>
        <w:t xml:space="preserve">ranged between </w:t>
      </w:r>
      <w:r w:rsidR="00D87A3A" w:rsidRPr="0047313D">
        <w:rPr>
          <w:rFonts w:ascii="Times New Roman" w:hAnsi="Times New Roman" w:cs="Times New Roman"/>
          <w:sz w:val="20"/>
          <w:szCs w:val="20"/>
          <w:lang w:bidi="en-US"/>
        </w:rPr>
        <w:t xml:space="preserve">47-78 </w:t>
      </w:r>
      <w:r w:rsidRPr="0047313D">
        <w:rPr>
          <w:rFonts w:ascii="Times New Roman" w:hAnsi="Times New Roman" w:cs="Times New Roman"/>
          <w:sz w:val="20"/>
          <w:szCs w:val="20"/>
        </w:rPr>
        <w:t xml:space="preserve">years, while in open group was </w:t>
      </w:r>
      <w:r w:rsidR="00D87A3A" w:rsidRPr="0047313D">
        <w:rPr>
          <w:rFonts w:ascii="Times New Roman" w:hAnsi="Times New Roman" w:cs="Times New Roman"/>
          <w:sz w:val="20"/>
          <w:szCs w:val="20"/>
          <w:lang w:bidi="en-US"/>
        </w:rPr>
        <w:t xml:space="preserve">56.9 </w:t>
      </w:r>
      <w:r w:rsidRPr="0047313D">
        <w:rPr>
          <w:rFonts w:ascii="Times New Roman" w:hAnsi="Times New Roman" w:cs="Times New Roman"/>
          <w:sz w:val="20"/>
          <w:szCs w:val="20"/>
        </w:rPr>
        <w:t xml:space="preserve">ranged between </w:t>
      </w:r>
      <w:r w:rsidR="00D87A3A" w:rsidRPr="0047313D">
        <w:rPr>
          <w:rFonts w:ascii="Times New Roman" w:hAnsi="Times New Roman" w:cs="Times New Roman"/>
          <w:sz w:val="20"/>
          <w:szCs w:val="20"/>
          <w:lang w:bidi="en-US"/>
        </w:rPr>
        <w:t>43-74</w:t>
      </w:r>
      <w:r w:rsidRPr="0047313D">
        <w:rPr>
          <w:rFonts w:ascii="Times New Roman" w:hAnsi="Times New Roman" w:cs="Times New Roman"/>
          <w:sz w:val="20"/>
          <w:szCs w:val="20"/>
        </w:rPr>
        <w:t>years with no statistical difference between the two groups (P&lt;0.223).</w:t>
      </w:r>
    </w:p>
    <w:p w:rsidR="008120F2" w:rsidRPr="0047313D" w:rsidRDefault="007C43E2" w:rsidP="005716EE">
      <w:pPr>
        <w:bidi w:val="0"/>
        <w:snapToGrid w:val="0"/>
        <w:spacing w:after="0" w:line="240" w:lineRule="auto"/>
        <w:ind w:firstLine="425"/>
        <w:jc w:val="both"/>
        <w:rPr>
          <w:rFonts w:ascii="Times New Roman" w:hAnsi="Times New Roman" w:cs="Times New Roman"/>
          <w:b/>
          <w:bCs/>
          <w:sz w:val="20"/>
          <w:szCs w:val="20"/>
        </w:rPr>
      </w:pPr>
      <w:r w:rsidRPr="0047313D">
        <w:rPr>
          <w:rFonts w:ascii="Times New Roman" w:hAnsi="Times New Roman" w:cs="Times New Roman"/>
          <w:sz w:val="20"/>
          <w:szCs w:val="20"/>
        </w:rPr>
        <w:t xml:space="preserve">Similar to a meta-analysis done on 550 patients by </w:t>
      </w:r>
      <w:r w:rsidRPr="0047313D">
        <w:rPr>
          <w:rFonts w:ascii="Times New Roman" w:hAnsi="Times New Roman" w:cs="Times New Roman"/>
          <w:b/>
          <w:bCs/>
          <w:sz w:val="20"/>
          <w:szCs w:val="20"/>
        </w:rPr>
        <w:t xml:space="preserve">Xiong et al., (2012) </w:t>
      </w:r>
      <w:r w:rsidRPr="0047313D">
        <w:rPr>
          <w:rFonts w:ascii="Times New Roman" w:hAnsi="Times New Roman" w:cs="Times New Roman"/>
          <w:sz w:val="20"/>
          <w:szCs w:val="20"/>
        </w:rPr>
        <w:t xml:space="preserve">which included nine studies showed no </w:t>
      </w:r>
      <w:r w:rsidRPr="0047313D">
        <w:rPr>
          <w:rFonts w:ascii="Times New Roman" w:eastAsia="Times New Roman" w:hAnsi="Times New Roman" w:cs="Times New Roman"/>
          <w:sz w:val="20"/>
          <w:szCs w:val="20"/>
          <w:lang w:bidi="en-US"/>
        </w:rPr>
        <w:t>statistical significant</w:t>
      </w:r>
      <w:r w:rsidRPr="0047313D">
        <w:rPr>
          <w:rFonts w:ascii="Times New Roman" w:hAnsi="Times New Roman" w:cs="Times New Roman"/>
          <w:sz w:val="20"/>
          <w:szCs w:val="20"/>
        </w:rPr>
        <w:t xml:space="preserve"> </w:t>
      </w:r>
      <w:r w:rsidRPr="0047313D">
        <w:rPr>
          <w:rFonts w:ascii="Times New Roman" w:eastAsia="Times New Roman" w:hAnsi="Times New Roman" w:cs="Times New Roman"/>
          <w:sz w:val="20"/>
          <w:szCs w:val="20"/>
          <w:lang w:bidi="en-US"/>
        </w:rPr>
        <w:t>difference</w:t>
      </w:r>
      <w:r w:rsidR="009F7A89" w:rsidRPr="0047313D">
        <w:rPr>
          <w:rFonts w:ascii="Times New Roman" w:eastAsia="Times New Roman" w:hAnsi="Times New Roman" w:cs="Times New Roman"/>
          <w:sz w:val="20"/>
          <w:szCs w:val="20"/>
          <w:lang w:bidi="en-US"/>
        </w:rPr>
        <w:t xml:space="preserve"> </w:t>
      </w:r>
      <w:r w:rsidRPr="0047313D">
        <w:rPr>
          <w:rFonts w:ascii="Times New Roman" w:hAnsi="Times New Roman" w:cs="Times New Roman"/>
          <w:sz w:val="20"/>
          <w:szCs w:val="20"/>
        </w:rPr>
        <w:t xml:space="preserve">in the mean age of LLR and OLR groups </w:t>
      </w:r>
      <w:r w:rsidRPr="0047313D">
        <w:rPr>
          <w:rFonts w:ascii="Times New Roman" w:hAnsi="Times New Roman" w:cs="Times New Roman"/>
          <w:b/>
          <w:bCs/>
          <w:sz w:val="20"/>
          <w:szCs w:val="20"/>
        </w:rPr>
        <w:t>(Xiong et al., 2012).</w:t>
      </w:r>
    </w:p>
    <w:p w:rsidR="008120F2" w:rsidRPr="0047313D" w:rsidRDefault="007C43E2"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our work, There was </w:t>
      </w:r>
      <w:r w:rsidR="00D87A3A" w:rsidRPr="0047313D">
        <w:rPr>
          <w:rFonts w:ascii="Times New Roman" w:hAnsi="Times New Roman" w:cs="Times New Roman"/>
          <w:sz w:val="20"/>
          <w:szCs w:val="20"/>
          <w:lang w:bidi="en-US"/>
        </w:rPr>
        <w:t xml:space="preserve">30 males (60%) and 20 females (40%) in the laparoscopic group and 26 males (52%) and 24 females (48%) in the open group. The difference was not significant </w:t>
      </w:r>
      <w:r w:rsidRPr="0047313D">
        <w:rPr>
          <w:rFonts w:ascii="Times New Roman" w:hAnsi="Times New Roman" w:cs="Times New Roman"/>
          <w:sz w:val="20"/>
          <w:szCs w:val="20"/>
        </w:rPr>
        <w:t>between two groups going along with a meta-analysis done on 4</w:t>
      </w:r>
      <w:r w:rsidRPr="0047313D">
        <w:rPr>
          <w:rFonts w:ascii="Times New Roman" w:eastAsia="TimesNewRoman" w:hAnsi="Times New Roman" w:cs="Times New Roman"/>
          <w:sz w:val="20"/>
          <w:szCs w:val="20"/>
        </w:rPr>
        <w:t xml:space="preserve"> </w:t>
      </w:r>
      <w:r w:rsidRPr="0047313D">
        <w:rPr>
          <w:rFonts w:ascii="Times New Roman" w:hAnsi="Times New Roman" w:cs="Times New Roman"/>
          <w:sz w:val="20"/>
          <w:szCs w:val="20"/>
        </w:rPr>
        <w:t xml:space="preserve">comparative studies by </w:t>
      </w:r>
      <w:r w:rsidRPr="0047313D">
        <w:rPr>
          <w:rFonts w:ascii="Times New Roman" w:hAnsi="Times New Roman" w:cs="Times New Roman"/>
          <w:b/>
          <w:bCs/>
          <w:sz w:val="20"/>
          <w:szCs w:val="20"/>
        </w:rPr>
        <w:t>Twaji et al., (2014),</w:t>
      </w:r>
      <w:r w:rsidRPr="0047313D">
        <w:rPr>
          <w:rFonts w:ascii="Times New Roman" w:hAnsi="Times New Roman" w:cs="Times New Roman"/>
          <w:sz w:val="20"/>
          <w:szCs w:val="20"/>
        </w:rPr>
        <w:t xml:space="preserve"> had showed no significance in sex between both groups </w:t>
      </w:r>
      <w:r w:rsidRPr="0047313D">
        <w:rPr>
          <w:rFonts w:ascii="Times New Roman" w:hAnsi="Times New Roman" w:cs="Times New Roman"/>
          <w:b/>
          <w:bCs/>
          <w:sz w:val="20"/>
          <w:szCs w:val="20"/>
        </w:rPr>
        <w:t>(Twaji et al., 2014).</w:t>
      </w:r>
    </w:p>
    <w:p w:rsidR="008120F2" w:rsidRPr="0047313D" w:rsidRDefault="00D87A3A"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lang w:bidi="en-US"/>
        </w:rPr>
        <w:t xml:space="preserve">There were no patients in each group showing negative viral markers. The difference was not significant. 98 patients (98%) had Hepatitis C virus (50 in group A and 48 in group </w:t>
      </w:r>
      <w:r w:rsidR="00CB5804" w:rsidRPr="0047313D">
        <w:rPr>
          <w:rFonts w:ascii="Times New Roman" w:hAnsi="Times New Roman" w:cs="Times New Roman"/>
          <w:sz w:val="20"/>
          <w:szCs w:val="20"/>
          <w:lang w:bidi="en-US"/>
        </w:rPr>
        <w:t>B)</w:t>
      </w:r>
      <w:r w:rsidRPr="0047313D">
        <w:rPr>
          <w:rFonts w:ascii="Times New Roman" w:hAnsi="Times New Roman" w:cs="Times New Roman"/>
          <w:sz w:val="20"/>
          <w:szCs w:val="20"/>
          <w:lang w:bidi="en-US"/>
        </w:rPr>
        <w:t xml:space="preserve"> while only two </w:t>
      </w:r>
      <w:r w:rsidR="00CB5804" w:rsidRPr="0047313D">
        <w:rPr>
          <w:rFonts w:ascii="Times New Roman" w:hAnsi="Times New Roman" w:cs="Times New Roman"/>
          <w:sz w:val="20"/>
          <w:szCs w:val="20"/>
          <w:lang w:bidi="en-US"/>
        </w:rPr>
        <w:t>patients</w:t>
      </w:r>
      <w:r w:rsidRPr="0047313D">
        <w:rPr>
          <w:rFonts w:ascii="Times New Roman" w:hAnsi="Times New Roman" w:cs="Times New Roman"/>
          <w:sz w:val="20"/>
          <w:szCs w:val="20"/>
          <w:lang w:bidi="en-US"/>
        </w:rPr>
        <w:t xml:space="preserve"> (2%) had both hepatitis B</w:t>
      </w:r>
      <w:r w:rsidR="009F7A89" w:rsidRPr="0047313D">
        <w:rPr>
          <w:rFonts w:ascii="Times New Roman" w:hAnsi="Times New Roman" w:cs="Times New Roman"/>
          <w:sz w:val="20"/>
          <w:szCs w:val="20"/>
          <w:lang w:bidi="en-US"/>
        </w:rPr>
        <w:t xml:space="preserve"> &amp; </w:t>
      </w:r>
      <w:r w:rsidRPr="0047313D">
        <w:rPr>
          <w:rFonts w:ascii="Times New Roman" w:hAnsi="Times New Roman" w:cs="Times New Roman"/>
          <w:sz w:val="20"/>
          <w:szCs w:val="20"/>
          <w:lang w:bidi="en-US"/>
        </w:rPr>
        <w:t>C virus.</w:t>
      </w:r>
      <w:r w:rsidR="009F7A89" w:rsidRPr="0047313D">
        <w:rPr>
          <w:rFonts w:ascii="Times New Roman" w:hAnsi="Times New Roman" w:cs="Times New Roman"/>
          <w:sz w:val="20"/>
          <w:szCs w:val="20"/>
          <w:lang w:bidi="en-US"/>
        </w:rPr>
        <w:t xml:space="preserve"> </w:t>
      </w:r>
      <w:r w:rsidRPr="0047313D">
        <w:rPr>
          <w:rFonts w:ascii="Times New Roman" w:hAnsi="Times New Roman" w:cs="Times New Roman"/>
          <w:sz w:val="20"/>
          <w:szCs w:val="20"/>
          <w:lang w:bidi="en-US"/>
        </w:rPr>
        <w:t>The difference was not significant.</w:t>
      </w:r>
    </w:p>
    <w:p w:rsidR="004F445D" w:rsidRPr="0047313D" w:rsidRDefault="004F445D"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Egypt has the highest prevalence of HCV in the world (14.7%) </w:t>
      </w:r>
      <w:r w:rsidRPr="0047313D">
        <w:rPr>
          <w:rFonts w:ascii="Times New Roman" w:hAnsi="Times New Roman" w:cs="Times New Roman"/>
          <w:b/>
          <w:bCs/>
          <w:sz w:val="20"/>
          <w:szCs w:val="20"/>
        </w:rPr>
        <w:t>(Elghannam et al., 2017).</w:t>
      </w:r>
      <w:r w:rsidRPr="0047313D">
        <w:rPr>
          <w:rFonts w:ascii="Times New Roman" w:hAnsi="Times New Roman" w:cs="Times New Roman"/>
          <w:sz w:val="20"/>
          <w:szCs w:val="20"/>
        </w:rPr>
        <w:t xml:space="preserve"> HCV-4 is a continuing epidemic in Egypt </w:t>
      </w:r>
      <w:r w:rsidRPr="0047313D">
        <w:rPr>
          <w:rFonts w:ascii="Times New Roman" w:hAnsi="Times New Roman" w:cs="Times New Roman"/>
          <w:b/>
          <w:bCs/>
          <w:sz w:val="20"/>
          <w:szCs w:val="20"/>
        </w:rPr>
        <w:t>(Zayed et al., 2017)</w:t>
      </w:r>
      <w:r w:rsidR="00D87A3A" w:rsidRPr="0047313D">
        <w:rPr>
          <w:rFonts w:ascii="Times New Roman" w:hAnsi="Times New Roman" w:cs="Times New Roman"/>
          <w:sz w:val="20"/>
          <w:szCs w:val="20"/>
        </w:rPr>
        <w:t>,</w:t>
      </w:r>
      <w:r w:rsidRPr="0047313D">
        <w:rPr>
          <w:rFonts w:ascii="Times New Roman" w:hAnsi="Times New Roman" w:cs="Times New Roman"/>
          <w:sz w:val="20"/>
          <w:szCs w:val="20"/>
        </w:rPr>
        <w:t xml:space="preserve"> ranging from 6% to more than 40% in different regions whereas 30–60% of the infected patients develop chronic liver disease and a substantial percentage develops cirrhosis or even hepatocellular carcinoma </w:t>
      </w:r>
      <w:r w:rsidRPr="0047313D">
        <w:rPr>
          <w:rFonts w:ascii="Times New Roman" w:hAnsi="Times New Roman" w:cs="Times New Roman"/>
          <w:b/>
          <w:bCs/>
          <w:sz w:val="20"/>
          <w:szCs w:val="20"/>
        </w:rPr>
        <w:t>(Omar et al., 2017).</w:t>
      </w:r>
      <w:r w:rsidRPr="0047313D">
        <w:rPr>
          <w:rFonts w:ascii="Times New Roman" w:hAnsi="Times New Roman" w:cs="Times New Roman"/>
          <w:sz w:val="20"/>
          <w:szCs w:val="20"/>
        </w:rPr>
        <w:t xml:space="preserve"> </w:t>
      </w:r>
    </w:p>
    <w:p w:rsidR="001B0052" w:rsidRPr="0047313D" w:rsidRDefault="007C43E2" w:rsidP="005716EE">
      <w:pPr>
        <w:bidi w:val="0"/>
        <w:snapToGrid w:val="0"/>
        <w:spacing w:after="0" w:line="240" w:lineRule="auto"/>
        <w:ind w:firstLine="425"/>
        <w:jc w:val="both"/>
        <w:rPr>
          <w:rFonts w:ascii="Times New Roman" w:hAnsi="Times New Roman" w:cs="Times New Roman"/>
          <w:sz w:val="20"/>
          <w:szCs w:val="20"/>
          <w:lang w:bidi="en-US"/>
        </w:rPr>
      </w:pPr>
      <w:r w:rsidRPr="0047313D">
        <w:rPr>
          <w:rFonts w:ascii="Times New Roman" w:hAnsi="Times New Roman" w:cs="Times New Roman"/>
          <w:sz w:val="20"/>
          <w:szCs w:val="20"/>
        </w:rPr>
        <w:t xml:space="preserve">Concerning our study, </w:t>
      </w:r>
      <w:r w:rsidR="00CB5804" w:rsidRPr="0047313D">
        <w:rPr>
          <w:rFonts w:ascii="Times New Roman" w:hAnsi="Times New Roman" w:cs="Times New Roman"/>
          <w:sz w:val="20"/>
          <w:szCs w:val="20"/>
          <w:lang w:bidi="en-US"/>
        </w:rPr>
        <w:t>the</w:t>
      </w:r>
      <w:r w:rsidR="00D87A3A" w:rsidRPr="0047313D">
        <w:rPr>
          <w:rFonts w:ascii="Times New Roman" w:hAnsi="Times New Roman" w:cs="Times New Roman"/>
          <w:sz w:val="20"/>
          <w:szCs w:val="20"/>
          <w:lang w:bidi="en-US"/>
        </w:rPr>
        <w:t xml:space="preserve"> mean MELD score in laparoscopic group was 8.96±1.72 ranging from 6 to </w:t>
      </w:r>
      <w:r w:rsidR="00D87A3A" w:rsidRPr="0047313D">
        <w:rPr>
          <w:rFonts w:ascii="Times New Roman" w:hAnsi="Times New Roman" w:cs="Times New Roman"/>
          <w:sz w:val="20"/>
          <w:szCs w:val="20"/>
          <w:lang w:bidi="en-US"/>
        </w:rPr>
        <w:lastRenderedPageBreak/>
        <w:t xml:space="preserve">14 while in open group the mean MELD sore was 8.2 ±1.42 ranging from 6 to 11. There were no statistically significant differences (P&lt;0.254). </w:t>
      </w:r>
      <w:r w:rsidRPr="0047313D">
        <w:rPr>
          <w:rFonts w:ascii="Times New Roman" w:hAnsi="Times New Roman" w:cs="Times New Roman"/>
          <w:sz w:val="20"/>
          <w:szCs w:val="20"/>
        </w:rPr>
        <w:t xml:space="preserve">In a study done by </w:t>
      </w:r>
      <w:r w:rsidRPr="0047313D">
        <w:rPr>
          <w:rFonts w:ascii="Times New Roman" w:hAnsi="Times New Roman" w:cs="Times New Roman"/>
          <w:b/>
          <w:bCs/>
          <w:sz w:val="20"/>
          <w:szCs w:val="20"/>
        </w:rPr>
        <w:t>Teh et al., (2007)</w:t>
      </w:r>
      <w:r w:rsidRPr="0047313D">
        <w:rPr>
          <w:rFonts w:ascii="Times New Roman" w:hAnsi="Times New Roman" w:cs="Times New Roman"/>
          <w:sz w:val="20"/>
          <w:szCs w:val="20"/>
        </w:rPr>
        <w:t xml:space="preserve"> had shown that the MELD score can be used to determine which patients with cirrhosis are at low risk of mortality after hepatic resection for HCC. Several other reports have concluded that patients with a higher MELD score are at increased risk of mortality or morbidity after surgery </w:t>
      </w:r>
      <w:r w:rsidRPr="0047313D">
        <w:rPr>
          <w:rFonts w:ascii="Times New Roman" w:hAnsi="Times New Roman" w:cs="Times New Roman"/>
          <w:b/>
          <w:bCs/>
          <w:sz w:val="20"/>
          <w:szCs w:val="20"/>
        </w:rPr>
        <w:t>(Nicoll, 2012).</w:t>
      </w:r>
    </w:p>
    <w:p w:rsidR="006A59FD" w:rsidRPr="0047313D" w:rsidRDefault="004F445D" w:rsidP="005716EE">
      <w:pPr>
        <w:bidi w:val="0"/>
        <w:snapToGrid w:val="0"/>
        <w:spacing w:after="0" w:line="240" w:lineRule="auto"/>
        <w:ind w:firstLine="425"/>
        <w:jc w:val="both"/>
        <w:rPr>
          <w:rFonts w:ascii="Times New Roman" w:hAnsi="Times New Roman" w:cs="Times New Roman"/>
          <w:sz w:val="20"/>
          <w:szCs w:val="20"/>
          <w:lang w:bidi="en-US"/>
        </w:rPr>
      </w:pPr>
      <w:r w:rsidRPr="0047313D">
        <w:rPr>
          <w:rFonts w:ascii="Times New Roman" w:hAnsi="Times New Roman" w:cs="Times New Roman"/>
          <w:sz w:val="20"/>
          <w:szCs w:val="20"/>
        </w:rPr>
        <w:t xml:space="preserve">In this current study, </w:t>
      </w:r>
      <w:r w:rsidR="00CB5804" w:rsidRPr="0047313D">
        <w:rPr>
          <w:rFonts w:ascii="Times New Roman" w:hAnsi="Times New Roman" w:cs="Times New Roman"/>
          <w:sz w:val="20"/>
          <w:szCs w:val="20"/>
          <w:lang w:bidi="en-US"/>
        </w:rPr>
        <w:t>the</w:t>
      </w:r>
      <w:r w:rsidR="006A59FD" w:rsidRPr="0047313D">
        <w:rPr>
          <w:rFonts w:ascii="Times New Roman" w:hAnsi="Times New Roman" w:cs="Times New Roman"/>
          <w:sz w:val="20"/>
          <w:szCs w:val="20"/>
          <w:lang w:bidi="en-US"/>
        </w:rPr>
        <w:t xml:space="preserve"> median Alpha fetoprotein level in laparoscopic group was 62.6 ng/ml ranging between 4.1-978 ng/ml, while the median level in open group was 53 ng/ml, ranging between 2-1602 ng/ml, showing no statistical significant difference between both groups.</w:t>
      </w:r>
      <w:r w:rsidR="009F7A89" w:rsidRPr="0047313D">
        <w:rPr>
          <w:rFonts w:ascii="Times New Roman" w:hAnsi="Times New Roman" w:cs="Times New Roman"/>
          <w:sz w:val="20"/>
          <w:szCs w:val="20"/>
          <w:lang w:bidi="en-US"/>
        </w:rPr>
        <w:t xml:space="preserve"> </w:t>
      </w:r>
    </w:p>
    <w:p w:rsidR="004F445D" w:rsidRPr="0047313D" w:rsidRDefault="004F445D" w:rsidP="005716EE">
      <w:pPr>
        <w:bidi w:val="0"/>
        <w:snapToGrid w:val="0"/>
        <w:spacing w:after="0" w:line="240" w:lineRule="auto"/>
        <w:ind w:firstLine="425"/>
        <w:jc w:val="both"/>
        <w:rPr>
          <w:rFonts w:ascii="Times New Roman" w:hAnsi="Times New Roman" w:cs="Times New Roman"/>
          <w:b/>
          <w:bCs/>
          <w:sz w:val="20"/>
          <w:szCs w:val="20"/>
          <w:lang w:bidi="en-US"/>
        </w:rPr>
      </w:pPr>
      <w:r w:rsidRPr="0047313D">
        <w:rPr>
          <w:rFonts w:ascii="Times New Roman" w:hAnsi="Times New Roman" w:cs="Times New Roman"/>
          <w:sz w:val="20"/>
          <w:szCs w:val="20"/>
        </w:rPr>
        <w:t xml:space="preserve">Serum AFP levels are useful for diagnosing recurrence and predicting prognosis in HCC patients who have undergone hepatic </w:t>
      </w:r>
      <w:r w:rsidR="00CB5804" w:rsidRPr="0047313D">
        <w:rPr>
          <w:rFonts w:ascii="Times New Roman" w:hAnsi="Times New Roman" w:cs="Times New Roman"/>
          <w:sz w:val="20"/>
          <w:szCs w:val="20"/>
        </w:rPr>
        <w:t>resection</w:t>
      </w:r>
      <w:r w:rsidRPr="0047313D">
        <w:rPr>
          <w:rFonts w:ascii="Times New Roman" w:hAnsi="Times New Roman" w:cs="Times New Roman"/>
          <w:sz w:val="20"/>
          <w:szCs w:val="20"/>
        </w:rPr>
        <w:t xml:space="preserve">. High serum AFP levels occur in 60-70% of HCC patients; however, serum AFP levels remain in the normal range in 15- 30% of HCC patients. AFP plays an important role in the regulation of both oncogenic and ontogenetic growth. Apparently, AFP is not only a diagnostic marker, but is also a growth factor that promotes tumor progression, as supported by reports that higher serum AFP is associated with increased mortality </w:t>
      </w:r>
      <w:r w:rsidRPr="0047313D">
        <w:rPr>
          <w:rFonts w:ascii="Times New Roman" w:hAnsi="Times New Roman" w:cs="Times New Roman"/>
          <w:b/>
          <w:bCs/>
          <w:sz w:val="20"/>
          <w:szCs w:val="20"/>
        </w:rPr>
        <w:t>(Toro et al., 2014).</w:t>
      </w:r>
    </w:p>
    <w:p w:rsidR="001B0052" w:rsidRPr="0047313D" w:rsidRDefault="00D53E6E"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The sensitivity of intra-operative ultrasonography (IOUS) for detecting small HCC was 98-99%, which was superior to the sensitivities</w:t>
      </w:r>
      <w:r w:rsidR="009F7A89" w:rsidRPr="0047313D">
        <w:rPr>
          <w:rFonts w:ascii="Times New Roman" w:hAnsi="Times New Roman" w:cs="Times New Roman"/>
          <w:sz w:val="20"/>
          <w:szCs w:val="20"/>
        </w:rPr>
        <w:t xml:space="preserve"> </w:t>
      </w:r>
      <w:r w:rsidR="007C43E2" w:rsidRPr="0047313D">
        <w:rPr>
          <w:rFonts w:ascii="Times New Roman" w:hAnsi="Times New Roman" w:cs="Times New Roman"/>
          <w:sz w:val="20"/>
          <w:szCs w:val="20"/>
        </w:rPr>
        <w:t xml:space="preserve">of preoperative ultrasound, angiography and computed tomography </w:t>
      </w:r>
      <w:r w:rsidR="007C43E2" w:rsidRPr="0047313D">
        <w:rPr>
          <w:rFonts w:ascii="Times New Roman" w:hAnsi="Times New Roman" w:cs="Times New Roman"/>
          <w:b/>
          <w:bCs/>
          <w:sz w:val="20"/>
          <w:szCs w:val="20"/>
        </w:rPr>
        <w:t>(Nagasue et al, 1989).</w:t>
      </w:r>
    </w:p>
    <w:p w:rsidR="006648C5" w:rsidRPr="0047313D" w:rsidRDefault="006A59FD"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i/>
          <w:sz w:val="20"/>
          <w:szCs w:val="20"/>
          <w:lang w:bidi="en-US"/>
        </w:rPr>
        <w:t xml:space="preserve">The mean operative time </w:t>
      </w:r>
      <w:r w:rsidRPr="0047313D">
        <w:rPr>
          <w:rFonts w:ascii="Times New Roman" w:hAnsi="Times New Roman" w:cs="Times New Roman"/>
          <w:sz w:val="20"/>
          <w:szCs w:val="20"/>
          <w:lang w:bidi="en-US"/>
        </w:rPr>
        <w:t>in open group was 158.15 ±35.9 minutes, while the laparoscopic group mean time was 130.4 ±38.1 minutes with statistically significant difference between the 2 groups, (P&lt; 0.001) with decreased operative time in the laparoscopic group.</w:t>
      </w:r>
    </w:p>
    <w:p w:rsidR="00D53E6E" w:rsidRPr="0047313D" w:rsidRDefault="00D53E6E"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Similar results of significantly shorter operative time in the LLR group when compared to the OLR group were found in the a lot of different recent comparative studies as </w:t>
      </w:r>
      <w:r w:rsidRPr="0047313D">
        <w:rPr>
          <w:rFonts w:ascii="Times New Roman" w:hAnsi="Times New Roman" w:cs="Times New Roman"/>
          <w:b/>
          <w:bCs/>
          <w:i/>
          <w:iCs/>
          <w:sz w:val="20"/>
          <w:szCs w:val="20"/>
        </w:rPr>
        <w:t>Leong et al., (2015)</w:t>
      </w:r>
      <w:r w:rsidRPr="0047313D">
        <w:rPr>
          <w:rFonts w:ascii="Times New Roman" w:hAnsi="Times New Roman" w:cs="Times New Roman"/>
          <w:sz w:val="20"/>
          <w:szCs w:val="20"/>
        </w:rPr>
        <w:t xml:space="preserve"> (250.43 min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349.90 min, P &lt;0.001), </w:t>
      </w:r>
      <w:r w:rsidRPr="0047313D">
        <w:rPr>
          <w:rFonts w:ascii="Times New Roman" w:hAnsi="Times New Roman" w:cs="Times New Roman"/>
          <w:b/>
          <w:bCs/>
          <w:i/>
          <w:iCs/>
          <w:sz w:val="20"/>
          <w:szCs w:val="20"/>
        </w:rPr>
        <w:t>Chen et al., (2017)</w:t>
      </w:r>
      <w:r w:rsidRPr="0047313D">
        <w:rPr>
          <w:rFonts w:ascii="Times New Roman" w:hAnsi="Times New Roman" w:cs="Times New Roman"/>
          <w:sz w:val="20"/>
          <w:szCs w:val="20"/>
        </w:rPr>
        <w:t xml:space="preserve"> (200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220min, P&lt;0.001), </w:t>
      </w:r>
      <w:r w:rsidRPr="0047313D">
        <w:rPr>
          <w:rFonts w:ascii="Times New Roman" w:hAnsi="Times New Roman" w:cs="Times New Roman"/>
          <w:b/>
          <w:bCs/>
          <w:i/>
          <w:iCs/>
          <w:sz w:val="20"/>
          <w:szCs w:val="20"/>
        </w:rPr>
        <w:t>Untereiner et al., (2016)</w:t>
      </w:r>
      <w:r w:rsidRPr="0047313D">
        <w:rPr>
          <w:rFonts w:ascii="Times New Roman" w:hAnsi="Times New Roman" w:cs="Times New Roman"/>
          <w:sz w:val="20"/>
          <w:szCs w:val="20"/>
        </w:rPr>
        <w:t xml:space="preserve"> (185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250 P &lt;0.001), </w:t>
      </w:r>
      <w:r w:rsidRPr="0047313D">
        <w:rPr>
          <w:rFonts w:ascii="Times New Roman" w:hAnsi="Times New Roman" w:cs="Times New Roman"/>
          <w:b/>
          <w:bCs/>
          <w:i/>
          <w:iCs/>
          <w:sz w:val="20"/>
          <w:szCs w:val="20"/>
        </w:rPr>
        <w:t>Yoon et al., (2015)</w:t>
      </w:r>
      <w:r w:rsidRPr="0047313D">
        <w:rPr>
          <w:rFonts w:ascii="Times New Roman" w:hAnsi="Times New Roman" w:cs="Times New Roman"/>
          <w:sz w:val="20"/>
          <w:szCs w:val="20"/>
        </w:rPr>
        <w:t xml:space="preserve"> (207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225 min, P &lt;0.001) and Lai et al., (2016) (120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160 min, P&lt; 0.05).</w:t>
      </w:r>
    </w:p>
    <w:p w:rsidR="00B772DE" w:rsidRPr="0047313D" w:rsidRDefault="00B772DE"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On the contrary of our result which was supported by previous mentioned studies, other respectable studies showed significantly longer operative time in the laparoscopic group. This is stated in different studies comparing laparoscopic versus open minor liver resection as </w:t>
      </w:r>
      <w:r w:rsidRPr="0047313D">
        <w:rPr>
          <w:rFonts w:ascii="Times New Roman" w:hAnsi="Times New Roman" w:cs="Times New Roman"/>
          <w:b/>
          <w:bCs/>
          <w:i/>
          <w:iCs/>
          <w:sz w:val="20"/>
          <w:szCs w:val="20"/>
        </w:rPr>
        <w:t>Jiang et al., (2016)</w:t>
      </w:r>
      <w:r w:rsidRPr="0047313D">
        <w:rPr>
          <w:rFonts w:ascii="Times New Roman" w:hAnsi="Times New Roman" w:cs="Times New Roman"/>
          <w:sz w:val="20"/>
          <w:szCs w:val="20"/>
        </w:rPr>
        <w:t xml:space="preserve"> (200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160 min, P&lt;0.15), </w:t>
      </w:r>
      <w:r w:rsidRPr="0047313D">
        <w:rPr>
          <w:rFonts w:ascii="Times New Roman" w:hAnsi="Times New Roman" w:cs="Times New Roman"/>
          <w:b/>
          <w:bCs/>
          <w:i/>
          <w:iCs/>
          <w:sz w:val="20"/>
          <w:szCs w:val="20"/>
        </w:rPr>
        <w:t>Takahara et al., (2015)</w:t>
      </w:r>
      <w:r w:rsidRPr="0047313D">
        <w:rPr>
          <w:rFonts w:ascii="Times New Roman" w:hAnsi="Times New Roman" w:cs="Times New Roman"/>
          <w:sz w:val="20"/>
          <w:szCs w:val="20"/>
        </w:rPr>
        <w:t xml:space="preserve"> (294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270 min, P&lt;0.25).</w:t>
      </w:r>
    </w:p>
    <w:p w:rsidR="00B772DE" w:rsidRPr="0047313D" w:rsidRDefault="00B772DE"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lastRenderedPageBreak/>
        <w:t xml:space="preserve">No significant difference was found in the operating time between the two groups consistent with </w:t>
      </w:r>
      <w:r w:rsidRPr="0047313D">
        <w:rPr>
          <w:rFonts w:ascii="Times New Roman" w:hAnsi="Times New Roman" w:cs="Times New Roman"/>
          <w:b/>
          <w:bCs/>
          <w:i/>
          <w:iCs/>
          <w:sz w:val="20"/>
          <w:szCs w:val="20"/>
        </w:rPr>
        <w:t xml:space="preserve">Wang et al., </w:t>
      </w:r>
      <w:r w:rsidR="004D355C" w:rsidRPr="0047313D">
        <w:rPr>
          <w:rFonts w:ascii="Times New Roman" w:hAnsi="Times New Roman" w:cs="Times New Roman"/>
          <w:b/>
          <w:bCs/>
          <w:i/>
          <w:iCs/>
          <w:sz w:val="20"/>
          <w:szCs w:val="20"/>
        </w:rPr>
        <w:t>(</w:t>
      </w:r>
      <w:r w:rsidRPr="0047313D">
        <w:rPr>
          <w:rFonts w:ascii="Times New Roman" w:hAnsi="Times New Roman" w:cs="Times New Roman"/>
          <w:b/>
          <w:bCs/>
          <w:i/>
          <w:iCs/>
          <w:sz w:val="20"/>
          <w:szCs w:val="20"/>
        </w:rPr>
        <w:t>2015</w:t>
      </w:r>
      <w:r w:rsidR="004D355C" w:rsidRPr="0047313D">
        <w:rPr>
          <w:rFonts w:ascii="Times New Roman" w:hAnsi="Times New Roman" w:cs="Times New Roman"/>
          <w:b/>
          <w:bCs/>
          <w:i/>
          <w:iCs/>
          <w:sz w:val="20"/>
          <w:szCs w:val="20"/>
        </w:rPr>
        <w:t>)</w:t>
      </w:r>
      <w:r w:rsidRPr="0047313D">
        <w:rPr>
          <w:rFonts w:ascii="Times New Roman" w:hAnsi="Times New Roman" w:cs="Times New Roman"/>
          <w:sz w:val="20"/>
          <w:szCs w:val="20"/>
        </w:rPr>
        <w:t xml:space="preserve"> (133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170 min, P=0.073), </w:t>
      </w:r>
      <w:r w:rsidRPr="0047313D">
        <w:rPr>
          <w:rFonts w:ascii="Times New Roman" w:hAnsi="Times New Roman" w:cs="Times New Roman"/>
          <w:b/>
          <w:bCs/>
          <w:i/>
          <w:iCs/>
          <w:sz w:val="20"/>
          <w:szCs w:val="20"/>
        </w:rPr>
        <w:t xml:space="preserve">Hu et al., </w:t>
      </w:r>
      <w:r w:rsidR="004D355C" w:rsidRPr="0047313D">
        <w:rPr>
          <w:rFonts w:ascii="Times New Roman" w:hAnsi="Times New Roman" w:cs="Times New Roman"/>
          <w:b/>
          <w:bCs/>
          <w:i/>
          <w:iCs/>
          <w:sz w:val="20"/>
          <w:szCs w:val="20"/>
        </w:rPr>
        <w:t>(</w:t>
      </w:r>
      <w:r w:rsidRPr="0047313D">
        <w:rPr>
          <w:rFonts w:ascii="Times New Roman" w:hAnsi="Times New Roman" w:cs="Times New Roman"/>
          <w:b/>
          <w:bCs/>
          <w:i/>
          <w:iCs/>
          <w:sz w:val="20"/>
          <w:szCs w:val="20"/>
        </w:rPr>
        <w:t>2011</w:t>
      </w:r>
      <w:r w:rsidR="004D355C" w:rsidRPr="0047313D">
        <w:rPr>
          <w:rFonts w:ascii="Times New Roman" w:hAnsi="Times New Roman" w:cs="Times New Roman"/>
          <w:b/>
          <w:bCs/>
          <w:i/>
          <w:iCs/>
          <w:sz w:val="20"/>
          <w:szCs w:val="20"/>
        </w:rPr>
        <w:t>)</w:t>
      </w:r>
      <w:r w:rsidRPr="0047313D">
        <w:rPr>
          <w:rFonts w:ascii="Times New Roman" w:hAnsi="Times New Roman" w:cs="Times New Roman"/>
          <w:sz w:val="20"/>
          <w:szCs w:val="20"/>
        </w:rPr>
        <w:t xml:space="preserve"> (180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170 min, P&gt;0.05) and </w:t>
      </w:r>
      <w:r w:rsidRPr="0047313D">
        <w:rPr>
          <w:rFonts w:ascii="Times New Roman" w:hAnsi="Times New Roman" w:cs="Times New Roman"/>
          <w:b/>
          <w:bCs/>
          <w:i/>
          <w:iCs/>
          <w:sz w:val="20"/>
          <w:szCs w:val="20"/>
        </w:rPr>
        <w:t xml:space="preserve">Zhang et al., </w:t>
      </w:r>
      <w:r w:rsidR="004D355C" w:rsidRPr="0047313D">
        <w:rPr>
          <w:rFonts w:ascii="Times New Roman" w:hAnsi="Times New Roman" w:cs="Times New Roman"/>
          <w:b/>
          <w:bCs/>
          <w:i/>
          <w:iCs/>
          <w:sz w:val="20"/>
          <w:szCs w:val="20"/>
        </w:rPr>
        <w:t>(</w:t>
      </w:r>
      <w:r w:rsidRPr="0047313D">
        <w:rPr>
          <w:rFonts w:ascii="Times New Roman" w:hAnsi="Times New Roman" w:cs="Times New Roman"/>
          <w:b/>
          <w:bCs/>
          <w:i/>
          <w:iCs/>
          <w:sz w:val="20"/>
          <w:szCs w:val="20"/>
        </w:rPr>
        <w:t>2015</w:t>
      </w:r>
      <w:r w:rsidR="004D355C" w:rsidRPr="0047313D">
        <w:rPr>
          <w:rFonts w:ascii="Times New Roman" w:hAnsi="Times New Roman" w:cs="Times New Roman"/>
          <w:b/>
          <w:bCs/>
          <w:i/>
          <w:iCs/>
          <w:sz w:val="20"/>
          <w:szCs w:val="20"/>
        </w:rPr>
        <w:t>)</w:t>
      </w:r>
      <w:r w:rsidRPr="0047313D">
        <w:rPr>
          <w:rFonts w:ascii="Times New Roman" w:hAnsi="Times New Roman" w:cs="Times New Roman"/>
          <w:sz w:val="20"/>
          <w:szCs w:val="20"/>
        </w:rPr>
        <w:t xml:space="preserve"> (120vs 150 min, P&gt;0.05). </w:t>
      </w:r>
    </w:p>
    <w:p w:rsidR="00B772DE" w:rsidRPr="0047313D" w:rsidRDefault="00B772DE" w:rsidP="005716EE">
      <w:pPr>
        <w:tabs>
          <w:tab w:val="left" w:pos="1134"/>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b/>
          <w:bCs/>
          <w:i/>
          <w:iCs/>
          <w:sz w:val="20"/>
          <w:szCs w:val="20"/>
        </w:rPr>
        <w:t>Hasegawa et al., (2015)</w:t>
      </w:r>
      <w:r w:rsidRPr="0047313D">
        <w:rPr>
          <w:rFonts w:ascii="Times New Roman" w:hAnsi="Times New Roman" w:cs="Times New Roman"/>
          <w:sz w:val="20"/>
          <w:szCs w:val="20"/>
        </w:rPr>
        <w:t xml:space="preserve"> and </w:t>
      </w:r>
      <w:r w:rsidRPr="0047313D">
        <w:rPr>
          <w:rFonts w:ascii="Times New Roman" w:hAnsi="Times New Roman" w:cs="Times New Roman"/>
          <w:b/>
          <w:bCs/>
          <w:i/>
          <w:iCs/>
          <w:sz w:val="20"/>
          <w:szCs w:val="20"/>
        </w:rPr>
        <w:t>Spampinato et al., (2015)</w:t>
      </w:r>
      <w:r w:rsidRPr="0047313D">
        <w:rPr>
          <w:rFonts w:ascii="Times New Roman" w:hAnsi="Times New Roman" w:cs="Times New Roman"/>
          <w:sz w:val="20"/>
          <w:szCs w:val="20"/>
        </w:rPr>
        <w:t xml:space="preserve"> have confirmed the trend of significant reduction in operative time related to increasing experience, both in minor and major resections. </w:t>
      </w:r>
    </w:p>
    <w:p w:rsidR="006648C5" w:rsidRPr="0047313D" w:rsidRDefault="00B772DE" w:rsidP="005716EE">
      <w:pPr>
        <w:bidi w:val="0"/>
        <w:snapToGrid w:val="0"/>
        <w:spacing w:after="0" w:line="240" w:lineRule="auto"/>
        <w:ind w:firstLine="425"/>
        <w:jc w:val="both"/>
        <w:rPr>
          <w:rFonts w:ascii="Times New Roman" w:hAnsi="Times New Roman" w:cs="Times New Roman"/>
          <w:sz w:val="20"/>
          <w:szCs w:val="20"/>
          <w:lang w:bidi="en-US"/>
        </w:rPr>
      </w:pPr>
      <w:r w:rsidRPr="0047313D">
        <w:rPr>
          <w:rFonts w:ascii="Times New Roman" w:hAnsi="Times New Roman" w:cs="Times New Roman"/>
          <w:sz w:val="20"/>
          <w:szCs w:val="20"/>
        </w:rPr>
        <w:t xml:space="preserve">Regarding blood loss in our study, </w:t>
      </w:r>
      <w:r w:rsidR="004D355C" w:rsidRPr="0047313D">
        <w:rPr>
          <w:rFonts w:ascii="Times New Roman" w:hAnsi="Times New Roman" w:cs="Times New Roman"/>
          <w:i/>
          <w:sz w:val="20"/>
          <w:szCs w:val="20"/>
          <w:lang w:bidi="en-US"/>
        </w:rPr>
        <w:t xml:space="preserve">The mean blood loss </w:t>
      </w:r>
      <w:r w:rsidR="004D355C" w:rsidRPr="0047313D">
        <w:rPr>
          <w:rFonts w:ascii="Times New Roman" w:hAnsi="Times New Roman" w:cs="Times New Roman"/>
          <w:sz w:val="20"/>
          <w:szCs w:val="20"/>
          <w:lang w:bidi="en-US"/>
        </w:rPr>
        <w:t>in open group was 390 ±193.7ml while the laparoscopic group mean blood loss was 386 ±371.1ml with no statistically significant difference relations between the 2 groups, (P= 0.671). Ten cases (20%) only needed</w:t>
      </w:r>
      <w:r w:rsidR="009F7A89" w:rsidRPr="0047313D">
        <w:rPr>
          <w:rFonts w:ascii="Times New Roman" w:hAnsi="Times New Roman" w:cs="Times New Roman"/>
          <w:sz w:val="20"/>
          <w:szCs w:val="20"/>
          <w:lang w:bidi="en-US"/>
        </w:rPr>
        <w:t xml:space="preserve"> </w:t>
      </w:r>
      <w:r w:rsidR="007C43E2" w:rsidRPr="0047313D">
        <w:rPr>
          <w:rFonts w:ascii="Times New Roman" w:hAnsi="Times New Roman" w:cs="Times New Roman"/>
          <w:sz w:val="20"/>
          <w:szCs w:val="20"/>
          <w:lang w:bidi="en-US"/>
        </w:rPr>
        <w:t>intraoperative blood transfusion in laparoscopic group compared with 10 cases (20%) in open group. 15 cases (30%) showed no need for plasma transfusion in laparoscopic group compared with only 13cases (26%) in open group.</w:t>
      </w:r>
    </w:p>
    <w:p w:rsidR="00B772DE" w:rsidRPr="0047313D" w:rsidRDefault="00B772DE"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our study, There were no significant differences in intraoperative blood loss and blood transfusion as well as other studies done by </w:t>
      </w:r>
      <w:r w:rsidRPr="0047313D">
        <w:rPr>
          <w:rFonts w:ascii="Times New Roman" w:hAnsi="Times New Roman" w:cs="Times New Roman"/>
          <w:b/>
          <w:bCs/>
          <w:i/>
          <w:iCs/>
          <w:sz w:val="20"/>
          <w:szCs w:val="20"/>
        </w:rPr>
        <w:t>Komatsu et al., (2016)</w:t>
      </w:r>
      <w:r w:rsidRPr="0047313D">
        <w:rPr>
          <w:rFonts w:ascii="Times New Roman" w:hAnsi="Times New Roman" w:cs="Times New Roman"/>
          <w:sz w:val="20"/>
          <w:szCs w:val="20"/>
        </w:rPr>
        <w:t xml:space="preserve"> (median 80 vs. 100 ml; p= 0.094) (2.6 vs. 5.2 %; p = 0.556), and </w:t>
      </w:r>
      <w:r w:rsidRPr="0047313D">
        <w:rPr>
          <w:rFonts w:ascii="Times New Roman" w:hAnsi="Times New Roman" w:cs="Times New Roman"/>
          <w:b/>
          <w:bCs/>
          <w:i/>
          <w:iCs/>
          <w:sz w:val="20"/>
          <w:szCs w:val="20"/>
        </w:rPr>
        <w:t>Hu et al., (2011)</w:t>
      </w:r>
      <w:r w:rsidRPr="0047313D">
        <w:rPr>
          <w:rFonts w:ascii="Times New Roman" w:hAnsi="Times New Roman" w:cs="Times New Roman"/>
          <w:sz w:val="20"/>
          <w:szCs w:val="20"/>
        </w:rPr>
        <w:t xml:space="preserve"> (520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480 g), while another study </w:t>
      </w:r>
      <w:r w:rsidRPr="0047313D">
        <w:rPr>
          <w:rFonts w:ascii="Times New Roman" w:hAnsi="Times New Roman" w:cs="Times New Roman"/>
          <w:b/>
          <w:bCs/>
          <w:i/>
          <w:iCs/>
          <w:sz w:val="20"/>
          <w:szCs w:val="20"/>
        </w:rPr>
        <w:t>Bhojani et al., (2012)</w:t>
      </w:r>
      <w:r w:rsidRPr="0047313D">
        <w:rPr>
          <w:rFonts w:ascii="Times New Roman" w:hAnsi="Times New Roman" w:cs="Times New Roman"/>
          <w:sz w:val="20"/>
          <w:szCs w:val="20"/>
        </w:rPr>
        <w:t xml:space="preserve"> which reported intra- and postoperative transfusions separately did not find a significant difference between the groups </w:t>
      </w:r>
      <w:r w:rsidRPr="0047313D">
        <w:rPr>
          <w:rFonts w:ascii="Times New Roman" w:hAnsi="Times New Roman" w:cs="Times New Roman"/>
          <w:b/>
          <w:bCs/>
          <w:i/>
          <w:iCs/>
          <w:sz w:val="20"/>
          <w:szCs w:val="20"/>
        </w:rPr>
        <w:t>(Bhojani et al., 2012).</w:t>
      </w:r>
    </w:p>
    <w:p w:rsidR="00910105" w:rsidRPr="0047313D" w:rsidRDefault="00910105" w:rsidP="005716EE">
      <w:pPr>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our work, </w:t>
      </w:r>
      <w:r w:rsidR="00CB5804" w:rsidRPr="0047313D">
        <w:rPr>
          <w:rFonts w:ascii="Times New Roman" w:hAnsi="Times New Roman" w:cs="Times New Roman"/>
          <w:sz w:val="20"/>
          <w:szCs w:val="20"/>
          <w:lang w:bidi="en-US"/>
        </w:rPr>
        <w:t>there</w:t>
      </w:r>
      <w:r w:rsidR="004D355C" w:rsidRPr="0047313D">
        <w:rPr>
          <w:rFonts w:ascii="Times New Roman" w:hAnsi="Times New Roman" w:cs="Times New Roman"/>
          <w:sz w:val="20"/>
          <w:szCs w:val="20"/>
          <w:lang w:bidi="en-US"/>
        </w:rPr>
        <w:t xml:space="preserve"> were 5cases converted from laparoscopic to open technique with percentage of 10% of group A</w:t>
      </w:r>
      <w:r w:rsidRPr="0047313D">
        <w:rPr>
          <w:rFonts w:ascii="Times New Roman" w:hAnsi="Times New Roman" w:cs="Times New Roman"/>
          <w:sz w:val="20"/>
          <w:szCs w:val="20"/>
        </w:rPr>
        <w:t>, which is in line with data found in literature, in particular at the beginning of our experience. The main causes of conversion were excessive intraoperative bleeding in two cases and the inability to view the lesion and failure of its localization by laparoscopic intraoperative ultrasound probe</w:t>
      </w:r>
      <w:r w:rsidR="004D355C" w:rsidRPr="0047313D">
        <w:rPr>
          <w:rFonts w:ascii="Times New Roman" w:hAnsi="Times New Roman" w:cs="Times New Roman"/>
          <w:sz w:val="20"/>
          <w:szCs w:val="20"/>
        </w:rPr>
        <w:t xml:space="preserve"> in the other 3 cases</w:t>
      </w:r>
      <w:r w:rsidRPr="0047313D">
        <w:rPr>
          <w:rFonts w:ascii="Times New Roman" w:hAnsi="Times New Roman" w:cs="Times New Roman"/>
          <w:sz w:val="20"/>
          <w:szCs w:val="20"/>
        </w:rPr>
        <w:t xml:space="preserve">. The reported conversion rate is in the range of 0%- 20%, varying mostly according to the indication for LLR </w:t>
      </w:r>
      <w:r w:rsidRPr="0047313D">
        <w:rPr>
          <w:rFonts w:ascii="Times New Roman" w:hAnsi="Times New Roman" w:cs="Times New Roman"/>
          <w:b/>
          <w:bCs/>
          <w:i/>
          <w:iCs/>
          <w:sz w:val="20"/>
          <w:szCs w:val="20"/>
        </w:rPr>
        <w:t>(Edwin et al., 2011).</w:t>
      </w:r>
      <w:r w:rsidRPr="0047313D">
        <w:rPr>
          <w:rFonts w:ascii="Times New Roman" w:hAnsi="Times New Roman" w:cs="Times New Roman"/>
          <w:sz w:val="20"/>
          <w:szCs w:val="20"/>
        </w:rPr>
        <w:t xml:space="preserve"> In patients with cirrhosis reported conversion rates ranged from 7% to 19.4% </w:t>
      </w:r>
      <w:r w:rsidRPr="0047313D">
        <w:rPr>
          <w:rFonts w:ascii="Times New Roman" w:hAnsi="Times New Roman" w:cs="Times New Roman"/>
          <w:b/>
          <w:bCs/>
          <w:sz w:val="20"/>
          <w:szCs w:val="20"/>
        </w:rPr>
        <w:t>(Twaji et al., 2014).</w:t>
      </w:r>
    </w:p>
    <w:p w:rsidR="00910105" w:rsidRPr="0047313D" w:rsidRDefault="00910105"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The conversion rate is also related to the complexity of the</w:t>
      </w:r>
      <w:r w:rsidR="002449AE" w:rsidRPr="0047313D">
        <w:rPr>
          <w:rFonts w:ascii="Times New Roman" w:hAnsi="Times New Roman" w:cs="Times New Roman"/>
          <w:sz w:val="20"/>
          <w:szCs w:val="20"/>
        </w:rPr>
        <w:t xml:space="preserve"> </w:t>
      </w:r>
      <w:r w:rsidRPr="0047313D">
        <w:rPr>
          <w:rFonts w:ascii="Times New Roman" w:hAnsi="Times New Roman" w:cs="Times New Roman"/>
          <w:sz w:val="20"/>
          <w:szCs w:val="20"/>
        </w:rPr>
        <w:t>surgical procedure and accumulated experience. However, with surgical expertise the conversion rate can be reduced to &lt; 5% in high-volume expert centers</w:t>
      </w:r>
      <w:r w:rsidRPr="0047313D">
        <w:rPr>
          <w:rFonts w:ascii="Times New Roman" w:hAnsi="Times New Roman" w:cs="Times New Roman"/>
          <w:b/>
          <w:bCs/>
          <w:sz w:val="20"/>
          <w:szCs w:val="20"/>
        </w:rPr>
        <w:t xml:space="preserve"> (Hasegawa et al., 2015). </w:t>
      </w:r>
    </w:p>
    <w:p w:rsidR="00910105" w:rsidRPr="0047313D" w:rsidRDefault="00910105"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lang w:bidi="en-US"/>
        </w:rPr>
      </w:pPr>
      <w:r w:rsidRPr="0047313D">
        <w:rPr>
          <w:rFonts w:ascii="Times New Roman" w:hAnsi="Times New Roman" w:cs="Times New Roman"/>
          <w:sz w:val="20"/>
          <w:szCs w:val="20"/>
        </w:rPr>
        <w:t xml:space="preserve">Concerning our study, </w:t>
      </w:r>
      <w:r w:rsidR="002449AE" w:rsidRPr="0047313D">
        <w:rPr>
          <w:rFonts w:ascii="Times New Roman" w:hAnsi="Times New Roman" w:cs="Times New Roman"/>
          <w:sz w:val="20"/>
          <w:szCs w:val="20"/>
          <w:lang w:bidi="en-US"/>
        </w:rPr>
        <w:t>Among Group A, 49 patients (98%) had non-anatomical wedge resection while the remaining 1 patient had anatomical resection in form of segmentectomy in one patient (2%).</w:t>
      </w:r>
      <w:r w:rsidR="009F7A89" w:rsidRPr="0047313D">
        <w:rPr>
          <w:rFonts w:ascii="Times New Roman" w:hAnsi="Times New Roman" w:cs="Times New Roman"/>
          <w:sz w:val="20"/>
          <w:szCs w:val="20"/>
          <w:lang w:bidi="en-US"/>
        </w:rPr>
        <w:t xml:space="preserve"> </w:t>
      </w:r>
      <w:r w:rsidR="00CB5804" w:rsidRPr="0047313D">
        <w:rPr>
          <w:rFonts w:ascii="Times New Roman" w:hAnsi="Times New Roman" w:cs="Times New Roman"/>
          <w:sz w:val="20"/>
          <w:szCs w:val="20"/>
          <w:lang w:bidi="en-US"/>
        </w:rPr>
        <w:t>Among</w:t>
      </w:r>
      <w:r w:rsidR="002449AE" w:rsidRPr="0047313D">
        <w:rPr>
          <w:rFonts w:ascii="Times New Roman" w:hAnsi="Times New Roman" w:cs="Times New Roman"/>
          <w:sz w:val="20"/>
          <w:szCs w:val="20"/>
          <w:lang w:bidi="en-US"/>
        </w:rPr>
        <w:t xml:space="preserve"> group B, 49 patients (98%) had non-anatomical wedge resection</w:t>
      </w:r>
      <w:r w:rsidR="009F7A89" w:rsidRPr="0047313D">
        <w:rPr>
          <w:rFonts w:ascii="Times New Roman" w:hAnsi="Times New Roman" w:cs="Times New Roman"/>
          <w:sz w:val="20"/>
          <w:szCs w:val="20"/>
          <w:lang w:bidi="en-US"/>
        </w:rPr>
        <w:t xml:space="preserve"> </w:t>
      </w:r>
      <w:r w:rsidR="007C43E2" w:rsidRPr="0047313D">
        <w:rPr>
          <w:rFonts w:ascii="Times New Roman" w:hAnsi="Times New Roman" w:cs="Times New Roman"/>
          <w:sz w:val="20"/>
          <w:szCs w:val="20"/>
          <w:lang w:bidi="en-US"/>
        </w:rPr>
        <w:t>while the remaining 1 patient had anatomical resection in form of segmentectomy in one patient (2%).</w:t>
      </w:r>
    </w:p>
    <w:p w:rsidR="00910105" w:rsidRPr="0047313D" w:rsidRDefault="00910105"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patients with HCC, achieving laparoscopic anatomic resection with adequate resection margins is </w:t>
      </w:r>
      <w:r w:rsidRPr="0047313D">
        <w:rPr>
          <w:rFonts w:ascii="Times New Roman" w:hAnsi="Times New Roman" w:cs="Times New Roman"/>
          <w:sz w:val="20"/>
          <w:szCs w:val="20"/>
        </w:rPr>
        <w:lastRenderedPageBreak/>
        <w:t xml:space="preserve">difficult. Anatomical resection </w:t>
      </w:r>
      <w:r w:rsidR="00CB5804" w:rsidRPr="0047313D">
        <w:rPr>
          <w:rFonts w:ascii="Times New Roman" w:hAnsi="Times New Roman" w:cs="Times New Roman"/>
          <w:sz w:val="20"/>
          <w:szCs w:val="20"/>
        </w:rPr>
        <w:t>of the</w:t>
      </w:r>
      <w:r w:rsidRPr="0047313D">
        <w:rPr>
          <w:rFonts w:ascii="Times New Roman" w:hAnsi="Times New Roman" w:cs="Times New Roman"/>
          <w:sz w:val="20"/>
          <w:szCs w:val="20"/>
        </w:rPr>
        <w:t xml:space="preserve"> liver may be preferred for HCC for systematic removal of a segment confined by tumor-bearing portal tributaries </w:t>
      </w:r>
      <w:r w:rsidRPr="0047313D">
        <w:rPr>
          <w:rFonts w:ascii="Times New Roman" w:hAnsi="Times New Roman" w:cs="Times New Roman"/>
          <w:b/>
          <w:bCs/>
          <w:sz w:val="20"/>
          <w:szCs w:val="20"/>
        </w:rPr>
        <w:t>(Kim et al., 2017).</w:t>
      </w:r>
    </w:p>
    <w:p w:rsidR="0074314B" w:rsidRPr="0047313D" w:rsidRDefault="00EF44EC"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However, non-anatomical resection is selected because of the patient's background, impairment of liver function and tumor factors </w:t>
      </w:r>
      <w:r w:rsidR="0074314B" w:rsidRPr="0047313D">
        <w:rPr>
          <w:rFonts w:ascii="Times New Roman" w:hAnsi="Times New Roman" w:cs="Times New Roman"/>
          <w:b/>
          <w:bCs/>
          <w:sz w:val="20"/>
          <w:szCs w:val="20"/>
        </w:rPr>
        <w:t>(Kim et al., 2017).</w:t>
      </w:r>
    </w:p>
    <w:p w:rsidR="00EF44EC" w:rsidRPr="0047313D" w:rsidRDefault="00EF44EC"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As regarding the mean hospital stay in our study, </w:t>
      </w:r>
      <w:r w:rsidR="007C43E2" w:rsidRPr="0047313D">
        <w:rPr>
          <w:rFonts w:ascii="Times New Roman" w:hAnsi="Times New Roman" w:cs="Times New Roman"/>
          <w:sz w:val="20"/>
          <w:szCs w:val="20"/>
          <w:lang w:bidi="en-US"/>
        </w:rPr>
        <w:t>the mean hospital stay in open group was 5.9±</w:t>
      </w:r>
      <w:r w:rsidR="009F7A89" w:rsidRPr="0047313D">
        <w:rPr>
          <w:rFonts w:ascii="Times New Roman" w:hAnsi="Times New Roman" w:cs="Times New Roman"/>
          <w:sz w:val="20"/>
          <w:szCs w:val="20"/>
          <w:lang w:bidi="en-US"/>
        </w:rPr>
        <w:t>.</w:t>
      </w:r>
      <w:r w:rsidR="007C43E2" w:rsidRPr="0047313D">
        <w:rPr>
          <w:rFonts w:ascii="Times New Roman" w:hAnsi="Times New Roman" w:cs="Times New Roman"/>
          <w:sz w:val="20"/>
          <w:szCs w:val="20"/>
          <w:lang w:bidi="en-US"/>
        </w:rPr>
        <w:t>88 days ranging from 3-7 days, while the laparoscopic group was 3.74±.85 days ranging from 2-5 days with highly statistically positive correlation difference between 2 groups (P&lt; 0.001). Also the drain was removed in the laparoscopic group earlier showing highly statistical difference between two groups (P&lt; 0.001).</w:t>
      </w:r>
    </w:p>
    <w:p w:rsidR="00EF44EC" w:rsidRPr="0047313D" w:rsidRDefault="00EF44EC"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Most studies have consistently demonstrated a significantly lower hospital stay as compared to the open approach </w:t>
      </w:r>
      <w:r w:rsidRPr="0047313D">
        <w:rPr>
          <w:rFonts w:ascii="Times New Roman" w:hAnsi="Times New Roman" w:cs="Times New Roman"/>
          <w:b/>
          <w:bCs/>
          <w:sz w:val="20"/>
          <w:szCs w:val="20"/>
        </w:rPr>
        <w:t>(Rao et al., 2012).</w:t>
      </w:r>
    </w:p>
    <w:p w:rsidR="00EF44EC" w:rsidRPr="0047313D" w:rsidRDefault="00EF44EC"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As stated in the study done by </w:t>
      </w:r>
      <w:r w:rsidRPr="0047313D">
        <w:rPr>
          <w:rFonts w:ascii="Times New Roman" w:hAnsi="Times New Roman" w:cs="Times New Roman"/>
          <w:b/>
          <w:bCs/>
          <w:i/>
          <w:iCs/>
          <w:sz w:val="20"/>
          <w:szCs w:val="20"/>
        </w:rPr>
        <w:t>Lee et al., (2015)</w:t>
      </w:r>
      <w:r w:rsidRPr="0047313D">
        <w:rPr>
          <w:rFonts w:ascii="Times New Roman" w:hAnsi="Times New Roman" w:cs="Times New Roman"/>
          <w:sz w:val="20"/>
          <w:szCs w:val="20"/>
        </w:rPr>
        <w:t xml:space="preserve"> which showed in their study high significance in shorter hospital stay in laparoscopic group (5d vs. 7d, P&lt;0.001). Similar studies shared the same result with him and successively with our result as </w:t>
      </w:r>
      <w:r w:rsidRPr="0047313D">
        <w:rPr>
          <w:rFonts w:ascii="Times New Roman" w:hAnsi="Times New Roman" w:cs="Times New Roman"/>
          <w:b/>
          <w:bCs/>
          <w:i/>
          <w:iCs/>
          <w:sz w:val="20"/>
          <w:szCs w:val="20"/>
        </w:rPr>
        <w:t>Zhang et al., (2015)</w:t>
      </w:r>
      <w:r w:rsidRPr="0047313D">
        <w:rPr>
          <w:rFonts w:ascii="Times New Roman" w:hAnsi="Times New Roman" w:cs="Times New Roman"/>
          <w:sz w:val="20"/>
          <w:szCs w:val="20"/>
        </w:rPr>
        <w:t xml:space="preserve"> (5d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8 d P&lt;0.001), </w:t>
      </w:r>
      <w:r w:rsidRPr="0047313D">
        <w:rPr>
          <w:rFonts w:ascii="Times New Roman" w:hAnsi="Times New Roman" w:cs="Times New Roman"/>
          <w:b/>
          <w:bCs/>
          <w:i/>
          <w:iCs/>
          <w:sz w:val="20"/>
          <w:szCs w:val="20"/>
        </w:rPr>
        <w:t>Wang et al., (2015)</w:t>
      </w:r>
      <w:r w:rsidRPr="0047313D">
        <w:rPr>
          <w:rFonts w:ascii="Times New Roman" w:hAnsi="Times New Roman" w:cs="Times New Roman"/>
          <w:sz w:val="20"/>
          <w:szCs w:val="20"/>
        </w:rPr>
        <w:t xml:space="preserve"> (5d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10 d, P&lt;0.001). </w:t>
      </w:r>
      <w:r w:rsidRPr="0047313D">
        <w:rPr>
          <w:rFonts w:ascii="Times New Roman" w:hAnsi="Times New Roman" w:cs="Times New Roman"/>
          <w:b/>
          <w:bCs/>
          <w:i/>
          <w:iCs/>
          <w:sz w:val="20"/>
          <w:szCs w:val="20"/>
        </w:rPr>
        <w:t>Bell et al., (2015)</w:t>
      </w:r>
      <w:r w:rsidRPr="0047313D">
        <w:rPr>
          <w:rFonts w:ascii="Times New Roman" w:hAnsi="Times New Roman" w:cs="Times New Roman"/>
          <w:sz w:val="20"/>
          <w:szCs w:val="20"/>
        </w:rPr>
        <w:t xml:space="preserve"> (3d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7d, P&lt;0.002), </w:t>
      </w:r>
      <w:r w:rsidRPr="0047313D">
        <w:rPr>
          <w:rFonts w:ascii="Times New Roman" w:hAnsi="Times New Roman" w:cs="Times New Roman"/>
          <w:b/>
          <w:bCs/>
          <w:i/>
          <w:iCs/>
          <w:sz w:val="20"/>
          <w:szCs w:val="20"/>
        </w:rPr>
        <w:t>Leong et al., (2015)</w:t>
      </w:r>
      <w:r w:rsidRPr="0047313D">
        <w:rPr>
          <w:rFonts w:ascii="Times New Roman" w:hAnsi="Times New Roman" w:cs="Times New Roman"/>
          <w:sz w:val="20"/>
          <w:szCs w:val="20"/>
        </w:rPr>
        <w:t xml:space="preserve"> (7.5dvs 11.4d, P&lt;0.015), </w:t>
      </w:r>
      <w:r w:rsidRPr="0047313D">
        <w:rPr>
          <w:rFonts w:ascii="Times New Roman" w:hAnsi="Times New Roman" w:cs="Times New Roman"/>
          <w:b/>
          <w:bCs/>
          <w:i/>
          <w:iCs/>
          <w:sz w:val="20"/>
          <w:szCs w:val="20"/>
        </w:rPr>
        <w:t>Luo et al., (2015)</w:t>
      </w:r>
      <w:r w:rsidRPr="0047313D">
        <w:rPr>
          <w:rFonts w:ascii="Times New Roman" w:hAnsi="Times New Roman" w:cs="Times New Roman"/>
          <w:sz w:val="20"/>
          <w:szCs w:val="20"/>
        </w:rPr>
        <w:t xml:space="preserve"> and (10 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12 d, P&lt;0.015) </w:t>
      </w:r>
      <w:r w:rsidRPr="0047313D">
        <w:rPr>
          <w:rFonts w:ascii="Times New Roman" w:hAnsi="Times New Roman" w:cs="Times New Roman"/>
          <w:b/>
          <w:bCs/>
          <w:i/>
          <w:iCs/>
          <w:sz w:val="20"/>
          <w:szCs w:val="20"/>
        </w:rPr>
        <w:t xml:space="preserve">Kim et al., </w:t>
      </w:r>
      <w:r w:rsidR="002449AE" w:rsidRPr="0047313D">
        <w:rPr>
          <w:rFonts w:ascii="Times New Roman" w:hAnsi="Times New Roman" w:cs="Times New Roman"/>
          <w:b/>
          <w:bCs/>
          <w:i/>
          <w:iCs/>
          <w:sz w:val="20"/>
          <w:szCs w:val="20"/>
        </w:rPr>
        <w:t>(</w:t>
      </w:r>
      <w:r w:rsidRPr="0047313D">
        <w:rPr>
          <w:rFonts w:ascii="Times New Roman" w:hAnsi="Times New Roman" w:cs="Times New Roman"/>
          <w:b/>
          <w:bCs/>
          <w:i/>
          <w:iCs/>
          <w:sz w:val="20"/>
          <w:szCs w:val="20"/>
        </w:rPr>
        <w:t>2014</w:t>
      </w:r>
      <w:r w:rsidR="002449AE" w:rsidRPr="0047313D">
        <w:rPr>
          <w:rFonts w:ascii="Times New Roman" w:hAnsi="Times New Roman" w:cs="Times New Roman"/>
          <w:b/>
          <w:bCs/>
          <w:i/>
          <w:iCs/>
          <w:sz w:val="20"/>
          <w:szCs w:val="20"/>
        </w:rPr>
        <w:t>)</w:t>
      </w:r>
      <w:r w:rsidRPr="0047313D">
        <w:rPr>
          <w:rFonts w:ascii="Times New Roman" w:hAnsi="Times New Roman" w:cs="Times New Roman"/>
          <w:sz w:val="20"/>
          <w:szCs w:val="20"/>
        </w:rPr>
        <w:t xml:space="preserve"> (12d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17d, P&lt;0.44) </w:t>
      </w:r>
      <w:r w:rsidRPr="0047313D">
        <w:rPr>
          <w:rFonts w:ascii="Times New Roman" w:hAnsi="Times New Roman" w:cs="Times New Roman"/>
          <w:b/>
          <w:bCs/>
          <w:i/>
          <w:iCs/>
          <w:sz w:val="20"/>
          <w:szCs w:val="20"/>
        </w:rPr>
        <w:t>Hu et al., (2015)</w:t>
      </w:r>
      <w:r w:rsidRPr="0047313D">
        <w:rPr>
          <w:rFonts w:ascii="Times New Roman" w:hAnsi="Times New Roman" w:cs="Times New Roman"/>
          <w:sz w:val="20"/>
          <w:szCs w:val="20"/>
        </w:rPr>
        <w:t xml:space="preserve"> (13d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20 d, P&lt;0.01).</w:t>
      </w:r>
    </w:p>
    <w:p w:rsidR="00EF44EC" w:rsidRPr="0047313D" w:rsidRDefault="00EF44EC"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Better integrity of the abdominal wall may be attributable to early discharge from hospital and to reduction of pain at the surgical site. Rapid recovery from surgery and an earlier discharge from the hospital</w:t>
      </w:r>
      <w:r w:rsidR="009F7A89" w:rsidRPr="0047313D">
        <w:rPr>
          <w:rFonts w:ascii="Times New Roman" w:hAnsi="Times New Roman" w:cs="Times New Roman"/>
          <w:sz w:val="20"/>
          <w:szCs w:val="20"/>
        </w:rPr>
        <w:t xml:space="preserve"> </w:t>
      </w:r>
      <w:r w:rsidR="007C43E2" w:rsidRPr="0047313D">
        <w:rPr>
          <w:rFonts w:ascii="Times New Roman" w:hAnsi="Times New Roman" w:cs="Times New Roman"/>
          <w:sz w:val="20"/>
          <w:szCs w:val="20"/>
        </w:rPr>
        <w:t xml:space="preserve">provide further evidence for the safety and feasibility of LLR </w:t>
      </w:r>
      <w:r w:rsidR="007C43E2" w:rsidRPr="0047313D">
        <w:rPr>
          <w:rFonts w:ascii="Times New Roman" w:hAnsi="Times New Roman" w:cs="Times New Roman"/>
          <w:b/>
          <w:bCs/>
          <w:sz w:val="20"/>
          <w:szCs w:val="20"/>
        </w:rPr>
        <w:t>(Kim et al., 2011).</w:t>
      </w:r>
    </w:p>
    <w:p w:rsidR="0056349A" w:rsidRPr="0047313D" w:rsidRDefault="007C43E2"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The drain was removed in the laparoscopic group earlier than open group </w:t>
      </w:r>
      <w:r w:rsidRPr="0047313D">
        <w:rPr>
          <w:rFonts w:ascii="Times New Roman" w:hAnsi="Times New Roman" w:cs="Times New Roman"/>
          <w:sz w:val="20"/>
          <w:szCs w:val="20"/>
          <w:lang w:bidi="en-US"/>
        </w:rPr>
        <w:t xml:space="preserve">2.9±0.97 </w:t>
      </w:r>
      <w:r w:rsidR="00CB5804" w:rsidRPr="0047313D">
        <w:rPr>
          <w:rFonts w:ascii="Times New Roman" w:hAnsi="Times New Roman" w:cs="Times New Roman"/>
          <w:sz w:val="20"/>
          <w:szCs w:val="20"/>
        </w:rPr>
        <w:t>vs.</w:t>
      </w:r>
      <w:r w:rsidRPr="0047313D">
        <w:rPr>
          <w:rFonts w:ascii="Times New Roman" w:hAnsi="Times New Roman" w:cs="Times New Roman"/>
          <w:sz w:val="20"/>
          <w:szCs w:val="20"/>
        </w:rPr>
        <w:t xml:space="preserve"> </w:t>
      </w:r>
      <w:r w:rsidRPr="0047313D">
        <w:rPr>
          <w:rFonts w:ascii="Times New Roman" w:hAnsi="Times New Roman" w:cs="Times New Roman"/>
          <w:sz w:val="20"/>
          <w:szCs w:val="20"/>
          <w:lang w:bidi="en-US"/>
        </w:rPr>
        <w:t xml:space="preserve">4.31±1.1 </w:t>
      </w:r>
      <w:r w:rsidRPr="0047313D">
        <w:rPr>
          <w:rFonts w:ascii="Times New Roman" w:hAnsi="Times New Roman" w:cs="Times New Roman"/>
          <w:sz w:val="20"/>
          <w:szCs w:val="20"/>
        </w:rPr>
        <w:t>days, showing highly statistical difference between two groups (P&lt; 0.001). The use of prophylactic abdominal drainage in liver resection is a controversial. Traditionally, prophylactic drainage has been advocated for the prevention of postoperative fluid collections and the detection and drainage of bile leak. By contrast, since the late 1990s, most Western series have advised against the routine placement of drains in elective liver surgery due to negative</w:t>
      </w:r>
      <w:r w:rsidRPr="0047313D">
        <w:rPr>
          <w:rFonts w:ascii="Times New Roman" w:hAnsi="Times New Roman" w:cs="Times New Roman"/>
          <w:b/>
          <w:bCs/>
          <w:sz w:val="20"/>
          <w:szCs w:val="20"/>
        </w:rPr>
        <w:t xml:space="preserve"> </w:t>
      </w:r>
      <w:r w:rsidRPr="0047313D">
        <w:rPr>
          <w:rFonts w:ascii="Times New Roman" w:hAnsi="Times New Roman" w:cs="Times New Roman"/>
          <w:sz w:val="20"/>
          <w:szCs w:val="20"/>
        </w:rPr>
        <w:t>effects of routine abdominal drainage on the incidence of postoperative infection and development of ascites.</w:t>
      </w:r>
    </w:p>
    <w:p w:rsidR="0056349A" w:rsidRPr="0047313D" w:rsidRDefault="007C43E2" w:rsidP="005716EE">
      <w:pPr>
        <w:tabs>
          <w:tab w:val="left" w:pos="1276"/>
          <w:tab w:val="left" w:pos="1418"/>
        </w:tabs>
        <w:bidi w:val="0"/>
        <w:snapToGrid w:val="0"/>
        <w:spacing w:after="0" w:line="240" w:lineRule="auto"/>
        <w:ind w:firstLine="425"/>
        <w:jc w:val="both"/>
        <w:rPr>
          <w:rFonts w:ascii="Times New Roman" w:hAnsi="Times New Roman" w:cs="Times New Roman"/>
          <w:sz w:val="20"/>
          <w:szCs w:val="20"/>
        </w:rPr>
      </w:pPr>
      <w:r w:rsidRPr="0047313D">
        <w:rPr>
          <w:rFonts w:ascii="Times New Roman" w:hAnsi="Times New Roman" w:cs="Times New Roman"/>
          <w:sz w:val="20"/>
          <w:szCs w:val="20"/>
        </w:rPr>
        <w:t xml:space="preserve">In </w:t>
      </w:r>
      <w:r w:rsidRPr="0047313D">
        <w:rPr>
          <w:rFonts w:ascii="Times New Roman" w:hAnsi="Times New Roman" w:cs="Times New Roman"/>
          <w:b/>
          <w:bCs/>
          <w:i/>
          <w:iCs/>
          <w:sz w:val="20"/>
          <w:szCs w:val="20"/>
        </w:rPr>
        <w:t>Ishizawa</w:t>
      </w:r>
      <w:r w:rsidRPr="0047313D">
        <w:rPr>
          <w:rFonts w:ascii="Times New Roman" w:hAnsi="Times New Roman" w:cs="Times New Roman"/>
          <w:sz w:val="20"/>
          <w:szCs w:val="20"/>
        </w:rPr>
        <w:t xml:space="preserve"> and others study, they tried to identify the clinical factors that predict failure of the “no drain” policy after laparoscopic hepatectomy (LH) in 342 consecutive patients. They concluded that prophylactic drainage during liver resection should be considered in the presence of uncontrollable bile leak, concern for postoperative bleeding risk and those in whom intraoperative blood loss is &gt;400 ml. </w:t>
      </w:r>
      <w:r w:rsidRPr="0047313D">
        <w:rPr>
          <w:rFonts w:ascii="Times New Roman" w:hAnsi="Times New Roman" w:cs="Times New Roman"/>
          <w:sz w:val="20"/>
          <w:szCs w:val="20"/>
        </w:rPr>
        <w:lastRenderedPageBreak/>
        <w:t xml:space="preserve">Otherwise, a “no drain” policy is safe and would enhance the advantages of minimally invasive liver surgery </w:t>
      </w:r>
      <w:r w:rsidRPr="0047313D">
        <w:rPr>
          <w:rFonts w:ascii="Times New Roman" w:hAnsi="Times New Roman" w:cs="Times New Roman"/>
          <w:b/>
          <w:bCs/>
          <w:sz w:val="20"/>
          <w:szCs w:val="20"/>
        </w:rPr>
        <w:t>(Ishizawa et al., 2014).</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In our study, regarding postoperative complications, postoperative ascites which was the most frequent complication in </w:t>
      </w:r>
      <w:r w:rsidR="00283C49" w:rsidRPr="0047313D">
        <w:rPr>
          <w:rFonts w:ascii="Times New Roman" w:eastAsia="Times New Roman" w:hAnsi="Times New Roman" w:cs="Times New Roman"/>
          <w:sz w:val="20"/>
          <w:szCs w:val="20"/>
          <w:lang w:bidi="en-US"/>
        </w:rPr>
        <w:t xml:space="preserve">35 (70%) </w:t>
      </w:r>
      <w:r w:rsidRPr="0047313D">
        <w:rPr>
          <w:rFonts w:ascii="Times New Roman" w:eastAsia="Times New Roman" w:hAnsi="Times New Roman" w:cs="Times New Roman"/>
          <w:sz w:val="20"/>
          <w:szCs w:val="20"/>
          <w:lang w:bidi="en-US"/>
        </w:rPr>
        <w:t xml:space="preserve">cases in the open group and in </w:t>
      </w:r>
      <w:r w:rsidR="00283C49" w:rsidRPr="0047313D">
        <w:rPr>
          <w:rFonts w:ascii="Times New Roman" w:eastAsia="Times New Roman" w:hAnsi="Times New Roman" w:cs="Times New Roman"/>
          <w:sz w:val="20"/>
          <w:szCs w:val="20"/>
          <w:lang w:bidi="en-US"/>
        </w:rPr>
        <w:t xml:space="preserve">23 (46%) </w:t>
      </w:r>
      <w:r w:rsidRPr="0047313D">
        <w:rPr>
          <w:rFonts w:ascii="Times New Roman" w:eastAsia="Times New Roman" w:hAnsi="Times New Roman" w:cs="Times New Roman"/>
          <w:sz w:val="20"/>
          <w:szCs w:val="20"/>
          <w:lang w:bidi="en-US"/>
        </w:rPr>
        <w:t>cases in laparoscopic group showing highly significant difference between two groups as it occurred much more frequent in open group.</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Preservation of collateral circulation in the abdomen, avoiding long incisions and reducing the damage to muscle and round ligament, which may contain important collateral vessels along with other mechanisms that could be part of this phenomenon are the smaller mobilization and manipulation of the liver parenchyma, which reduces the trauma the reduced section of lymph vessels, and minor demand for intraoperative fluids </w:t>
      </w:r>
      <w:r w:rsidRPr="0047313D">
        <w:rPr>
          <w:rFonts w:ascii="Times New Roman" w:eastAsia="Times New Roman" w:hAnsi="Times New Roman" w:cs="Times New Roman"/>
          <w:b/>
          <w:bCs/>
          <w:sz w:val="20"/>
          <w:szCs w:val="20"/>
          <w:lang w:bidi="en-US"/>
        </w:rPr>
        <w:t>(Siniscalchi et al., 2014).</w:t>
      </w:r>
      <w:r w:rsidR="007C43E2" w:rsidRPr="0047313D">
        <w:rPr>
          <w:rFonts w:ascii="Times New Roman" w:eastAsia="Times New Roman" w:hAnsi="Times New Roman" w:cs="Times New Roman"/>
          <w:sz w:val="20"/>
          <w:szCs w:val="20"/>
          <w:lang w:bidi="en-US"/>
        </w:rPr>
        <w:t xml:space="preserve"> Due to these </w:t>
      </w:r>
      <w:r w:rsidRPr="0047313D">
        <w:rPr>
          <w:rFonts w:ascii="Times New Roman" w:eastAsia="Times New Roman" w:hAnsi="Times New Roman" w:cs="Times New Roman"/>
          <w:sz w:val="20"/>
          <w:szCs w:val="20"/>
          <w:lang w:bidi="en-US"/>
        </w:rPr>
        <w:t>reasons, a reduced</w:t>
      </w:r>
      <w:r w:rsidR="009F7A89"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 xml:space="preserve">incidence of postoperative ascites in resected patients by laparoscopic approach has been reported </w:t>
      </w:r>
      <w:r w:rsidR="007C43E2" w:rsidRPr="0047313D">
        <w:rPr>
          <w:rFonts w:ascii="Times New Roman" w:eastAsia="Times New Roman" w:hAnsi="Times New Roman" w:cs="Times New Roman"/>
          <w:b/>
          <w:bCs/>
          <w:sz w:val="20"/>
          <w:szCs w:val="20"/>
          <w:lang w:bidi="en-US"/>
        </w:rPr>
        <w:t>(Kanazawa et al., 2014).</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The reduced incidence of postoperative complications laparoscopic liver resection for HCC compared to conventional approach has been clearly reported in the literature both by single</w:t>
      </w:r>
      <w:r w:rsidR="00283C4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 xml:space="preserve">center experience </w:t>
      </w:r>
      <w:r w:rsidRPr="0047313D">
        <w:rPr>
          <w:rFonts w:ascii="Times New Roman" w:eastAsia="Times New Roman" w:hAnsi="Times New Roman" w:cs="Times New Roman"/>
          <w:b/>
          <w:bCs/>
          <w:sz w:val="20"/>
          <w:szCs w:val="20"/>
          <w:lang w:bidi="en-US"/>
        </w:rPr>
        <w:t>(Kanazawa et al., 2013; Cheung et al., 2013)</w:t>
      </w:r>
      <w:r w:rsidRPr="0047313D">
        <w:rPr>
          <w:rFonts w:ascii="Times New Roman" w:eastAsia="Times New Roman" w:hAnsi="Times New Roman" w:cs="Times New Roman"/>
          <w:sz w:val="20"/>
          <w:szCs w:val="20"/>
          <w:lang w:bidi="en-US"/>
        </w:rPr>
        <w:t xml:space="preserve"> and by meta-analysis </w:t>
      </w:r>
      <w:r w:rsidRPr="0047313D">
        <w:rPr>
          <w:rFonts w:ascii="Times New Roman" w:eastAsia="Times New Roman" w:hAnsi="Times New Roman" w:cs="Times New Roman"/>
          <w:b/>
          <w:bCs/>
          <w:sz w:val="20"/>
          <w:szCs w:val="20"/>
          <w:lang w:bidi="en-US"/>
        </w:rPr>
        <w:t>(Yin et al., 2013; Xiong et al., 2012).</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Discussing the study done by </w:t>
      </w:r>
      <w:r w:rsidRPr="0047313D">
        <w:rPr>
          <w:rFonts w:ascii="Times New Roman" w:eastAsia="Times New Roman" w:hAnsi="Times New Roman" w:cs="Times New Roman"/>
          <w:b/>
          <w:bCs/>
          <w:i/>
          <w:iCs/>
          <w:sz w:val="20"/>
          <w:szCs w:val="20"/>
          <w:lang w:bidi="en-US"/>
        </w:rPr>
        <w:t>Belli et al</w:t>
      </w:r>
      <w:r w:rsidRPr="0047313D">
        <w:rPr>
          <w:rFonts w:ascii="Times New Roman" w:eastAsia="Times New Roman" w:hAnsi="Times New Roman" w:cs="Times New Roman"/>
          <w:sz w:val="20"/>
          <w:szCs w:val="20"/>
          <w:lang w:bidi="en-US"/>
        </w:rPr>
        <w:t xml:space="preserve"> which showed that a significantly decreased postoperative morbidity rate in the laparoscopic group </w:t>
      </w:r>
      <w:r w:rsidRPr="0047313D">
        <w:rPr>
          <w:rFonts w:ascii="Times New Roman" w:eastAsia="Times New Roman" w:hAnsi="Times New Roman" w:cs="Times New Roman"/>
          <w:b/>
          <w:bCs/>
          <w:i/>
          <w:iCs/>
          <w:sz w:val="20"/>
          <w:szCs w:val="20"/>
          <w:lang w:bidi="en-US"/>
        </w:rPr>
        <w:t>(Belli at al., 2009).</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The study done by </w:t>
      </w:r>
      <w:r w:rsidRPr="0047313D">
        <w:rPr>
          <w:rFonts w:ascii="Times New Roman" w:eastAsia="Times New Roman" w:hAnsi="Times New Roman" w:cs="Times New Roman"/>
          <w:b/>
          <w:bCs/>
          <w:i/>
          <w:iCs/>
          <w:sz w:val="20"/>
          <w:szCs w:val="20"/>
          <w:lang w:bidi="en-US"/>
        </w:rPr>
        <w:t>Truant et al.</w:t>
      </w:r>
      <w:r w:rsidRPr="0047313D">
        <w:rPr>
          <w:rFonts w:ascii="Times New Roman" w:eastAsia="Times New Roman" w:hAnsi="Times New Roman" w:cs="Times New Roman"/>
          <w:sz w:val="20"/>
          <w:szCs w:val="20"/>
          <w:lang w:bidi="en-US"/>
        </w:rPr>
        <w:t xml:space="preserve"> showed lower rates of post-operative ascites and liver failure in the LLR group as well </w:t>
      </w:r>
      <w:r w:rsidRPr="0047313D">
        <w:rPr>
          <w:rFonts w:ascii="Times New Roman" w:eastAsia="Times New Roman" w:hAnsi="Times New Roman" w:cs="Times New Roman"/>
          <w:b/>
          <w:bCs/>
          <w:i/>
          <w:iCs/>
          <w:sz w:val="20"/>
          <w:szCs w:val="20"/>
          <w:lang w:bidi="en-US"/>
        </w:rPr>
        <w:t>(Truant et al., 2011).</w:t>
      </w:r>
    </w:p>
    <w:p w:rsidR="00651D3C" w:rsidRPr="0047313D" w:rsidRDefault="00651D3C" w:rsidP="005716EE">
      <w:pPr>
        <w:tabs>
          <w:tab w:val="left" w:pos="1276"/>
          <w:tab w:val="left" w:pos="1418"/>
        </w:tabs>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Comparative studies as done </w:t>
      </w:r>
      <w:r w:rsidRPr="0047313D">
        <w:rPr>
          <w:rFonts w:ascii="Times New Roman" w:eastAsia="Times New Roman" w:hAnsi="Times New Roman" w:cs="Times New Roman"/>
          <w:b/>
          <w:bCs/>
          <w:i/>
          <w:iCs/>
          <w:sz w:val="20"/>
          <w:szCs w:val="20"/>
          <w:lang w:bidi="en-US"/>
        </w:rPr>
        <w:t>Mizuguchi et al., (2011)</w:t>
      </w:r>
      <w:r w:rsidRPr="0047313D">
        <w:rPr>
          <w:rFonts w:ascii="Times New Roman" w:eastAsia="Times New Roman" w:hAnsi="Times New Roman" w:cs="Times New Roman"/>
          <w:sz w:val="20"/>
          <w:szCs w:val="20"/>
          <w:lang w:bidi="en-US"/>
        </w:rPr>
        <w:t xml:space="preserve"> showed significant decrease in the complication rate in patients undergoing LLR. A meta-analysis published by </w:t>
      </w:r>
      <w:r w:rsidRPr="0047313D">
        <w:rPr>
          <w:rFonts w:ascii="Times New Roman" w:eastAsia="Times New Roman" w:hAnsi="Times New Roman" w:cs="Times New Roman"/>
          <w:b/>
          <w:bCs/>
          <w:i/>
          <w:iCs/>
          <w:sz w:val="20"/>
          <w:szCs w:val="20"/>
          <w:lang w:bidi="en-US"/>
        </w:rPr>
        <w:t>Mirnezami et al., (2011)</w:t>
      </w:r>
      <w:r w:rsidRPr="0047313D">
        <w:rPr>
          <w:rFonts w:ascii="Times New Roman" w:eastAsia="Times New Roman" w:hAnsi="Times New Roman" w:cs="Times New Roman"/>
          <w:sz w:val="20"/>
          <w:szCs w:val="20"/>
          <w:lang w:bidi="en-US"/>
        </w:rPr>
        <w:t xml:space="preserve"> showed a significant decrease in the incidence of liver specific complications with LLR compared with OLR.</w:t>
      </w:r>
    </w:p>
    <w:p w:rsidR="006648C5" w:rsidRPr="0047313D" w:rsidRDefault="00CC577A"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Although laparoscopic liver resection for HCC theoretically carries the risk of seeding at the port site, reports of port-site metastasis of HCC are extremely rare. In our present study, we report a case of port-site metastasis of HCC of female patient 67 yrs. old presented with 2cm nodule in the left subcostal abdominal wall where the 10mm laparoscopic port had been inserted 10 months after performing LLR for a 3cm HCC in segment III in left lobe of the liver mostly due to contamination of the port wound during extraction of the resected tumor. After</w:t>
      </w:r>
      <w:r w:rsidRPr="0047313D">
        <w:rPr>
          <w:rFonts w:ascii="Times New Roman" w:eastAsia="TimesNewRoman" w:hAnsi="Times New Roman" w:cs="Times New Roman"/>
          <w:sz w:val="20"/>
          <w:szCs w:val="20"/>
        </w:rPr>
        <w:t xml:space="preserve"> </w:t>
      </w:r>
      <w:r w:rsidRPr="0047313D">
        <w:rPr>
          <w:rFonts w:ascii="Times New Roman" w:eastAsia="Times New Roman" w:hAnsi="Times New Roman" w:cs="Times New Roman"/>
          <w:sz w:val="20"/>
          <w:szCs w:val="20"/>
          <w:lang w:bidi="en-US"/>
        </w:rPr>
        <w:t xml:space="preserve">Triphasic CT was done, local excision of the nodule was performed. A scar derived from port insertion was found on the peritoneum. Histological examination of the excised </w:t>
      </w:r>
      <w:r w:rsidRPr="0047313D">
        <w:rPr>
          <w:rFonts w:ascii="Times New Roman" w:eastAsia="Times New Roman" w:hAnsi="Times New Roman" w:cs="Times New Roman"/>
          <w:sz w:val="20"/>
          <w:szCs w:val="20"/>
          <w:lang w:bidi="en-US"/>
        </w:rPr>
        <w:lastRenderedPageBreak/>
        <w:t>nodule confirmed</w:t>
      </w:r>
      <w:r w:rsidR="009F7A89" w:rsidRPr="0047313D">
        <w:rPr>
          <w:rFonts w:ascii="Times New Roman" w:eastAsia="Times New Roman" w:hAnsi="Times New Roman" w:cs="Times New Roman"/>
          <w:sz w:val="20"/>
          <w:szCs w:val="20"/>
          <w:lang w:bidi="en-US"/>
        </w:rPr>
        <w:t xml:space="preserve"> </w:t>
      </w:r>
      <w:r w:rsidR="007C43E2" w:rsidRPr="0047313D">
        <w:rPr>
          <w:rFonts w:ascii="Times New Roman" w:eastAsia="Times New Roman" w:hAnsi="Times New Roman" w:cs="Times New Roman"/>
          <w:sz w:val="20"/>
          <w:szCs w:val="20"/>
          <w:lang w:bidi="en-US"/>
        </w:rPr>
        <w:t>moderately differentiated HCC, which was consistent with recurrence of the laparoscopically resected HCC.</w:t>
      </w:r>
    </w:p>
    <w:p w:rsidR="00CC577A" w:rsidRPr="0047313D" w:rsidRDefault="00CC577A"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There is first known published report of port-site recurrence or related peritoneal seeding in LLR for HCC was in 2011, Chen and Yen reported one case of subcutaneous seeding of HCC appearing over the surgical wound 12 months after LLR (Chen and Yen, 2011).</w:t>
      </w:r>
    </w:p>
    <w:p w:rsidR="002D252B"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Liver resection gives information about the pathology of the resected tumors. A major concern regarding LLR for malignant lesions is difficulty assessing resection margins, due to the lack of tactile sensation and distance perception in laparoscopic resection (Soubrane et al., 2014). However, our study showed that there was no difference in resection margins in both series. We are able to make up for the lack of palpation in LLR and hence achieve the intended margins laparoscopically, with pre-operative surgical planning using a variety of imaging techniques and the use of intra-operative ultrasonography to demarcate surgical margins.</w:t>
      </w:r>
    </w:p>
    <w:p w:rsidR="002D252B" w:rsidRPr="0047313D" w:rsidRDefault="002D252B"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The best evidence available to date indicates that surgical margins in LLR are as good as in conventional procedures. Recent Comparative studies and meta-analysis as done by </w:t>
      </w:r>
      <w:r w:rsidRPr="0047313D">
        <w:rPr>
          <w:rFonts w:ascii="Times New Roman" w:eastAsia="Times New Roman" w:hAnsi="Times New Roman" w:cs="Times New Roman"/>
          <w:b/>
          <w:bCs/>
          <w:sz w:val="20"/>
          <w:szCs w:val="20"/>
          <w:lang w:bidi="en-US"/>
        </w:rPr>
        <w:t xml:space="preserve">(Yin et al., 2013; Twaji et al., 2015; Rao et al., 2012) </w:t>
      </w:r>
      <w:r w:rsidRPr="0047313D">
        <w:rPr>
          <w:rFonts w:ascii="Times New Roman" w:eastAsia="Times New Roman" w:hAnsi="Times New Roman" w:cs="Times New Roman"/>
          <w:sz w:val="20"/>
          <w:szCs w:val="20"/>
          <w:lang w:bidi="en-US"/>
        </w:rPr>
        <w:t>have indicated that patients operated with LLR have no increased risk of positive surgical margins.</w:t>
      </w:r>
    </w:p>
    <w:p w:rsidR="002D252B" w:rsidRPr="0047313D" w:rsidRDefault="002D252B" w:rsidP="005716EE">
      <w:pPr>
        <w:bidi w:val="0"/>
        <w:snapToGrid w:val="0"/>
        <w:spacing w:after="0" w:line="240" w:lineRule="auto"/>
        <w:ind w:firstLine="425"/>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sz w:val="20"/>
          <w:szCs w:val="20"/>
          <w:lang w:bidi="en-US"/>
        </w:rPr>
        <w:t xml:space="preserve">An important reason for adequate margins relies on patient selection and surgical planning for laparoscopic cases. Surgery should be extensively planned to include peripheral tumors located away from vascular structures and far from the transection plane </w:t>
      </w:r>
      <w:r w:rsidRPr="0047313D">
        <w:rPr>
          <w:rFonts w:ascii="Times New Roman" w:eastAsia="Times New Roman" w:hAnsi="Times New Roman" w:cs="Times New Roman"/>
          <w:b/>
          <w:bCs/>
          <w:sz w:val="20"/>
          <w:szCs w:val="20"/>
          <w:lang w:bidi="en-US"/>
        </w:rPr>
        <w:t>(Gobardhan et al., 2014).</w:t>
      </w:r>
    </w:p>
    <w:p w:rsidR="003908F7" w:rsidRPr="0047313D" w:rsidRDefault="003908F7"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Follow-up was done after one month by measuring the value of the Alpha feto-protein. Then, every 3 months for 12 months. Whenever AFP re-elevated, further imaging studies such as Triphasic CT scan was performed.</w:t>
      </w:r>
    </w:p>
    <w:p w:rsidR="006648C5" w:rsidRPr="0047313D" w:rsidRDefault="004A3EE4"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In our study, local recurrence was found to be more frequent after LLR than OLR with no significant difference (p 0.391). In LLR Group, local recurrence at the site of the treated tumor occurred in 2 patients (</w:t>
      </w:r>
      <w:r w:rsidR="008046A4" w:rsidRPr="0047313D">
        <w:rPr>
          <w:rFonts w:ascii="Times New Roman" w:eastAsia="Times New Roman" w:hAnsi="Times New Roman" w:cs="Times New Roman"/>
          <w:sz w:val="20"/>
          <w:szCs w:val="20"/>
          <w:lang w:bidi="en-US"/>
        </w:rPr>
        <w:t>4%)</w:t>
      </w:r>
      <w:r w:rsidRPr="0047313D">
        <w:rPr>
          <w:rFonts w:ascii="Times New Roman" w:eastAsia="Times New Roman" w:hAnsi="Times New Roman" w:cs="Times New Roman"/>
          <w:sz w:val="20"/>
          <w:szCs w:val="20"/>
          <w:lang w:bidi="en-US"/>
        </w:rPr>
        <w:t>. In OLR Group, it had occurred in only one patient (</w:t>
      </w:r>
      <w:r w:rsidR="008046A4" w:rsidRPr="0047313D">
        <w:rPr>
          <w:rFonts w:ascii="Times New Roman" w:eastAsia="Times New Roman" w:hAnsi="Times New Roman" w:cs="Times New Roman"/>
          <w:sz w:val="20"/>
          <w:szCs w:val="20"/>
          <w:lang w:bidi="en-US"/>
        </w:rPr>
        <w:t>2</w:t>
      </w:r>
      <w:r w:rsidRPr="0047313D">
        <w:rPr>
          <w:rFonts w:ascii="Times New Roman" w:eastAsia="Times New Roman" w:hAnsi="Times New Roman" w:cs="Times New Roman"/>
          <w:sz w:val="20"/>
          <w:szCs w:val="20"/>
          <w:lang w:bidi="en-US"/>
        </w:rPr>
        <w:t>%) who was treated by TACE.</w:t>
      </w:r>
    </w:p>
    <w:p w:rsidR="004A3EE4"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Also in our study, during </w:t>
      </w:r>
      <w:r w:rsidR="000A6035" w:rsidRPr="0047313D">
        <w:rPr>
          <w:rFonts w:ascii="Times New Roman" w:eastAsia="Times New Roman" w:hAnsi="Times New Roman" w:cs="Times New Roman"/>
          <w:sz w:val="20"/>
          <w:szCs w:val="20"/>
          <w:lang w:bidi="en-US"/>
        </w:rPr>
        <w:t>follow up</w:t>
      </w:r>
      <w:r w:rsidRPr="0047313D">
        <w:rPr>
          <w:rFonts w:ascii="Times New Roman" w:eastAsia="Times New Roman" w:hAnsi="Times New Roman" w:cs="Times New Roman"/>
          <w:sz w:val="20"/>
          <w:szCs w:val="20"/>
          <w:lang w:bidi="en-US"/>
        </w:rPr>
        <w:t xml:space="preserve"> period, </w:t>
      </w:r>
      <w:r w:rsidR="00CB5804" w:rsidRPr="0047313D">
        <w:rPr>
          <w:rFonts w:ascii="Times New Roman" w:eastAsia="Times New Roman" w:hAnsi="Times New Roman" w:cs="Times New Roman"/>
          <w:sz w:val="20"/>
          <w:szCs w:val="20"/>
          <w:lang w:bidi="en-US"/>
        </w:rPr>
        <w:t>de novo</w:t>
      </w:r>
      <w:r w:rsidRPr="0047313D">
        <w:rPr>
          <w:rFonts w:ascii="Times New Roman" w:eastAsia="Times New Roman" w:hAnsi="Times New Roman" w:cs="Times New Roman"/>
          <w:sz w:val="20"/>
          <w:szCs w:val="20"/>
          <w:lang w:bidi="en-US"/>
        </w:rPr>
        <w:t xml:space="preserve"> lesions were found in </w:t>
      </w:r>
      <w:r w:rsidR="000A6035" w:rsidRPr="0047313D">
        <w:rPr>
          <w:rFonts w:ascii="Times New Roman" w:eastAsia="Times New Roman" w:hAnsi="Times New Roman" w:cs="Times New Roman"/>
          <w:sz w:val="20"/>
          <w:szCs w:val="20"/>
          <w:lang w:bidi="en-US"/>
        </w:rPr>
        <w:t>5</w:t>
      </w:r>
      <w:r w:rsidRPr="0047313D">
        <w:rPr>
          <w:rFonts w:ascii="Times New Roman" w:eastAsia="Times New Roman" w:hAnsi="Times New Roman" w:cs="Times New Roman"/>
          <w:sz w:val="20"/>
          <w:szCs w:val="20"/>
          <w:lang w:bidi="en-US"/>
        </w:rPr>
        <w:t xml:space="preserve"> patients in LLR group (</w:t>
      </w:r>
      <w:r w:rsidR="000A6035" w:rsidRPr="0047313D">
        <w:rPr>
          <w:rFonts w:ascii="Times New Roman" w:eastAsia="Times New Roman" w:hAnsi="Times New Roman" w:cs="Times New Roman"/>
          <w:sz w:val="20"/>
          <w:szCs w:val="20"/>
          <w:lang w:bidi="en-US"/>
        </w:rPr>
        <w:t xml:space="preserve">10 </w:t>
      </w:r>
      <w:r w:rsidRPr="0047313D">
        <w:rPr>
          <w:rFonts w:ascii="Times New Roman" w:eastAsia="Times New Roman" w:hAnsi="Times New Roman" w:cs="Times New Roman"/>
          <w:sz w:val="20"/>
          <w:szCs w:val="20"/>
          <w:lang w:bidi="en-US"/>
        </w:rPr>
        <w:t xml:space="preserve">%) and </w:t>
      </w:r>
      <w:r w:rsidR="000A6035" w:rsidRPr="0047313D">
        <w:rPr>
          <w:rFonts w:ascii="Times New Roman" w:eastAsia="Times New Roman" w:hAnsi="Times New Roman" w:cs="Times New Roman"/>
          <w:sz w:val="20"/>
          <w:szCs w:val="20"/>
          <w:lang w:bidi="en-US"/>
        </w:rPr>
        <w:t>7</w:t>
      </w:r>
      <w:r w:rsidRPr="0047313D">
        <w:rPr>
          <w:rFonts w:ascii="Times New Roman" w:eastAsia="Times New Roman" w:hAnsi="Times New Roman" w:cs="Times New Roman"/>
          <w:sz w:val="20"/>
          <w:szCs w:val="20"/>
          <w:lang w:bidi="en-US"/>
        </w:rPr>
        <w:t xml:space="preserve"> patients in OLR group (</w:t>
      </w:r>
      <w:r w:rsidR="00E23AFF" w:rsidRPr="0047313D">
        <w:rPr>
          <w:rFonts w:ascii="Times New Roman" w:eastAsia="Times New Roman" w:hAnsi="Times New Roman" w:cs="Times New Roman"/>
          <w:sz w:val="20"/>
          <w:szCs w:val="20"/>
          <w:lang w:bidi="en-US"/>
        </w:rPr>
        <w:t>14</w:t>
      </w:r>
      <w:r w:rsidRPr="0047313D">
        <w:rPr>
          <w:rFonts w:ascii="Times New Roman" w:eastAsia="Times New Roman" w:hAnsi="Times New Roman" w:cs="Times New Roman"/>
          <w:sz w:val="20"/>
          <w:szCs w:val="20"/>
          <w:lang w:bidi="en-US"/>
        </w:rPr>
        <w:t>%) and all of them were treated by TACE.</w:t>
      </w:r>
    </w:p>
    <w:p w:rsidR="004A3EE4"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In the laparoscopic group, the 1-year survival was </w:t>
      </w:r>
      <w:r w:rsidR="006315D8" w:rsidRPr="0047313D">
        <w:rPr>
          <w:rFonts w:ascii="Times New Roman" w:eastAsia="Times New Roman" w:hAnsi="Times New Roman" w:cs="Times New Roman"/>
          <w:sz w:val="20"/>
          <w:szCs w:val="20"/>
          <w:lang w:bidi="en-US"/>
        </w:rPr>
        <w:t>(</w:t>
      </w:r>
      <w:r w:rsidR="00E23AFF" w:rsidRPr="0047313D">
        <w:rPr>
          <w:rFonts w:ascii="Times New Roman" w:eastAsia="Times New Roman" w:hAnsi="Times New Roman" w:cs="Times New Roman"/>
          <w:sz w:val="20"/>
          <w:szCs w:val="20"/>
          <w:lang w:bidi="en-US"/>
        </w:rPr>
        <w:t>98</w:t>
      </w:r>
      <w:r w:rsidRPr="0047313D">
        <w:rPr>
          <w:rFonts w:ascii="Times New Roman" w:eastAsia="Times New Roman" w:hAnsi="Times New Roman" w:cs="Times New Roman"/>
          <w:sz w:val="20"/>
          <w:szCs w:val="20"/>
          <w:lang w:bidi="en-US"/>
        </w:rPr>
        <w:t xml:space="preserve"> %</w:t>
      </w:r>
      <w:r w:rsidR="006315D8" w:rsidRPr="0047313D">
        <w:rPr>
          <w:rFonts w:ascii="Times New Roman" w:eastAsia="Times New Roman" w:hAnsi="Times New Roman" w:cs="Times New Roman"/>
          <w:sz w:val="20"/>
          <w:szCs w:val="20"/>
          <w:lang w:bidi="en-US"/>
        </w:rPr>
        <w:t>)</w:t>
      </w:r>
      <w:r w:rsidRPr="0047313D">
        <w:rPr>
          <w:rFonts w:ascii="Times New Roman" w:eastAsia="Times New Roman" w:hAnsi="Times New Roman" w:cs="Times New Roman"/>
          <w:sz w:val="20"/>
          <w:szCs w:val="20"/>
          <w:lang w:bidi="en-US"/>
        </w:rPr>
        <w:t>, while in the open group was (</w:t>
      </w:r>
      <w:r w:rsidR="00E23AFF" w:rsidRPr="0047313D">
        <w:rPr>
          <w:rFonts w:ascii="Times New Roman" w:eastAsia="Times New Roman" w:hAnsi="Times New Roman" w:cs="Times New Roman"/>
          <w:sz w:val="20"/>
          <w:szCs w:val="20"/>
          <w:lang w:bidi="en-US"/>
        </w:rPr>
        <w:t>96</w:t>
      </w:r>
      <w:r w:rsidRPr="0047313D">
        <w:rPr>
          <w:rFonts w:ascii="Times New Roman" w:eastAsia="Times New Roman" w:hAnsi="Times New Roman" w:cs="Times New Roman"/>
          <w:sz w:val="20"/>
          <w:szCs w:val="20"/>
          <w:lang w:bidi="en-US"/>
        </w:rPr>
        <w:t xml:space="preserve">%). (P=1.00). </w:t>
      </w:r>
    </w:p>
    <w:p w:rsidR="004A3EE4"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In a study done by </w:t>
      </w:r>
      <w:r w:rsidRPr="0047313D">
        <w:rPr>
          <w:rFonts w:ascii="Times New Roman" w:eastAsia="Times New Roman" w:hAnsi="Times New Roman" w:cs="Times New Roman"/>
          <w:b/>
          <w:bCs/>
          <w:i/>
          <w:iCs/>
          <w:sz w:val="20"/>
          <w:szCs w:val="20"/>
          <w:lang w:bidi="en-US"/>
        </w:rPr>
        <w:t>Kim et al.</w:t>
      </w:r>
      <w:r w:rsidRPr="0047313D">
        <w:rPr>
          <w:rFonts w:ascii="Times New Roman" w:eastAsia="Times New Roman" w:hAnsi="Times New Roman" w:cs="Times New Roman"/>
          <w:sz w:val="20"/>
          <w:szCs w:val="20"/>
          <w:lang w:bidi="en-US"/>
        </w:rPr>
        <w:t xml:space="preserve"> (2014) conducted on 58 patients (29 patients in LLR group and 29 patients in OLR group) showed The 1- year survivals </w:t>
      </w:r>
      <w:r w:rsidRPr="0047313D">
        <w:rPr>
          <w:rFonts w:ascii="Times New Roman" w:eastAsia="Times New Roman" w:hAnsi="Times New Roman" w:cs="Times New Roman"/>
          <w:sz w:val="20"/>
          <w:szCs w:val="20"/>
          <w:lang w:bidi="en-US"/>
        </w:rPr>
        <w:lastRenderedPageBreak/>
        <w:t xml:space="preserve">were 100%, in LLR, and 96.5% in OLR (p = 0.267) while The 1-year disease-free survivals were 81.7% in LLR and 78.6 % in OLR, respectively (p = 0.929) </w:t>
      </w:r>
      <w:r w:rsidRPr="0047313D">
        <w:rPr>
          <w:rFonts w:ascii="Times New Roman" w:eastAsia="Times New Roman" w:hAnsi="Times New Roman" w:cs="Times New Roman"/>
          <w:b/>
          <w:bCs/>
          <w:sz w:val="20"/>
          <w:szCs w:val="20"/>
          <w:lang w:bidi="en-US"/>
        </w:rPr>
        <w:t>(Kim et al., 2014).</w:t>
      </w:r>
    </w:p>
    <w:p w:rsidR="006648C5" w:rsidRPr="0047313D" w:rsidRDefault="004A3EE4"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Several factors contributed to reduce mortality after hepatectomy from 5% to almost 0%</w:t>
      </w:r>
      <w:r w:rsidR="005716EE" w:rsidRPr="0047313D">
        <w:rPr>
          <w:rFonts w:ascii="Times New Roman" w:eastAsia="Times New Roman" w:hAnsi="Times New Roman" w:cs="Times New Roman"/>
          <w:sz w:val="20"/>
          <w:szCs w:val="20"/>
          <w:lang w:bidi="en-US"/>
        </w:rPr>
        <w:t>. A</w:t>
      </w:r>
      <w:r w:rsidRPr="0047313D">
        <w:rPr>
          <w:rFonts w:ascii="Times New Roman" w:eastAsia="Times New Roman" w:hAnsi="Times New Roman" w:cs="Times New Roman"/>
          <w:sz w:val="20"/>
          <w:szCs w:val="20"/>
          <w:lang w:bidi="en-US"/>
        </w:rPr>
        <w:t xml:space="preserve">mong these factors, better knowledge of both liver anatomy and physiology, including of liver regeneration and preoperative volume modulation, better morphological assessment, advances in parenchymal transection with the selective use of vascular control and sophisticated perioperative management have all contributed to reduce the risks associated with liver resection </w:t>
      </w:r>
      <w:r w:rsidRPr="0047313D">
        <w:rPr>
          <w:rFonts w:ascii="Times New Roman" w:eastAsia="Times New Roman" w:hAnsi="Times New Roman" w:cs="Times New Roman"/>
          <w:b/>
          <w:bCs/>
          <w:sz w:val="20"/>
          <w:szCs w:val="20"/>
          <w:lang w:bidi="en-US"/>
        </w:rPr>
        <w:t>(Dokmak et al., 2013).</w:t>
      </w:r>
      <w:r w:rsidRPr="0047313D">
        <w:rPr>
          <w:rFonts w:ascii="Times New Roman" w:eastAsia="Times New Roman" w:hAnsi="Times New Roman" w:cs="Times New Roman"/>
          <w:sz w:val="20"/>
          <w:szCs w:val="20"/>
          <w:lang w:bidi="en-US"/>
        </w:rPr>
        <w:t xml:space="preserve"> </w:t>
      </w:r>
    </w:p>
    <w:p w:rsidR="00D71B94" w:rsidRPr="0047313D" w:rsidRDefault="007C43E2" w:rsidP="005716EE">
      <w:pPr>
        <w:bidi w:val="0"/>
        <w:snapToGrid w:val="0"/>
        <w:spacing w:after="0" w:line="240" w:lineRule="auto"/>
        <w:ind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Limitations of our study were the total number of patients</w:t>
      </w:r>
      <w:r w:rsidR="00D71B94"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 xml:space="preserve">was </w:t>
      </w:r>
      <w:r w:rsidR="00D71B94" w:rsidRPr="0047313D">
        <w:rPr>
          <w:rFonts w:ascii="Times New Roman" w:eastAsia="Times New Roman" w:hAnsi="Times New Roman" w:cs="Times New Roman"/>
          <w:sz w:val="20"/>
          <w:szCs w:val="20"/>
          <w:lang w:bidi="en-US"/>
        </w:rPr>
        <w:t xml:space="preserve">not a large number </w:t>
      </w:r>
      <w:r w:rsidR="00CB5804" w:rsidRPr="0047313D">
        <w:rPr>
          <w:rFonts w:ascii="Times New Roman" w:eastAsia="Times New Roman" w:hAnsi="Times New Roman" w:cs="Times New Roman"/>
          <w:sz w:val="20"/>
          <w:szCs w:val="20"/>
          <w:lang w:bidi="en-US"/>
        </w:rPr>
        <w:t>in both</w:t>
      </w:r>
      <w:r w:rsidRPr="0047313D">
        <w:rPr>
          <w:rFonts w:ascii="Times New Roman" w:eastAsia="Times New Roman" w:hAnsi="Times New Roman" w:cs="Times New Roman"/>
          <w:sz w:val="20"/>
          <w:szCs w:val="20"/>
          <w:lang w:bidi="en-US"/>
        </w:rPr>
        <w:t xml:space="preserve"> groups (</w:t>
      </w:r>
      <w:r w:rsidR="00E23AFF" w:rsidRPr="0047313D">
        <w:rPr>
          <w:rFonts w:ascii="Times New Roman" w:eastAsia="Times New Roman" w:hAnsi="Times New Roman" w:cs="Times New Roman"/>
          <w:sz w:val="20"/>
          <w:szCs w:val="20"/>
          <w:lang w:bidi="en-US"/>
        </w:rPr>
        <w:t>50</w:t>
      </w:r>
      <w:r w:rsidRPr="0047313D">
        <w:rPr>
          <w:rFonts w:ascii="Times New Roman" w:eastAsia="Times New Roman" w:hAnsi="Times New Roman" w:cs="Times New Roman"/>
          <w:sz w:val="20"/>
          <w:szCs w:val="20"/>
          <w:lang w:bidi="en-US"/>
        </w:rPr>
        <w:t xml:space="preserve"> patients in laroscopic</w:t>
      </w:r>
      <w:r w:rsidR="00D71B94"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 xml:space="preserve">group and </w:t>
      </w:r>
      <w:r w:rsidR="00E23AFF" w:rsidRPr="0047313D">
        <w:rPr>
          <w:rFonts w:ascii="Times New Roman" w:eastAsia="Times New Roman" w:hAnsi="Times New Roman" w:cs="Times New Roman"/>
          <w:sz w:val="20"/>
          <w:szCs w:val="20"/>
          <w:lang w:bidi="en-US"/>
        </w:rPr>
        <w:t>50</w:t>
      </w:r>
      <w:r w:rsidRPr="0047313D">
        <w:rPr>
          <w:rFonts w:ascii="Times New Roman" w:eastAsia="Times New Roman" w:hAnsi="Times New Roman" w:cs="Times New Roman"/>
          <w:sz w:val="20"/>
          <w:szCs w:val="20"/>
          <w:lang w:bidi="en-US"/>
        </w:rPr>
        <w:t xml:space="preserve"> in the open group) and the relatively short median</w:t>
      </w:r>
      <w:r w:rsidR="00D71B94"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follow-up of 12 months. Also, all patients in our study underwent</w:t>
      </w:r>
      <w:r w:rsidR="00D71B94"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minor resection</w:t>
      </w:r>
      <w:r w:rsidR="00D71B94" w:rsidRPr="0047313D">
        <w:rPr>
          <w:rFonts w:ascii="Times New Roman" w:eastAsia="Times New Roman" w:hAnsi="Times New Roman" w:cs="Times New Roman"/>
          <w:sz w:val="20"/>
          <w:szCs w:val="20"/>
          <w:lang w:bidi="en-US"/>
        </w:rPr>
        <w:t xml:space="preserve"> or even thermal ablation </w:t>
      </w:r>
      <w:r w:rsidRPr="0047313D">
        <w:rPr>
          <w:rFonts w:ascii="Times New Roman" w:eastAsia="Times New Roman" w:hAnsi="Times New Roman" w:cs="Times New Roman"/>
          <w:sz w:val="20"/>
          <w:szCs w:val="20"/>
          <w:lang w:bidi="en-US"/>
        </w:rPr>
        <w:t>and all tumors were mainly located in the</w:t>
      </w:r>
      <w:r w:rsidR="00D71B94"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peripheral portion, so the results of this study have to apply to the selected</w:t>
      </w:r>
      <w:r w:rsidR="00D71B94" w:rsidRPr="0047313D">
        <w:rPr>
          <w:rFonts w:ascii="Times New Roman" w:eastAsia="Times New Roman" w:hAnsi="Times New Roman" w:cs="Times New Roman"/>
          <w:sz w:val="20"/>
          <w:szCs w:val="20"/>
          <w:lang w:bidi="en-US"/>
        </w:rPr>
        <w:t xml:space="preserve"> </w:t>
      </w:r>
      <w:r w:rsidR="00236F17" w:rsidRPr="0047313D">
        <w:rPr>
          <w:rFonts w:ascii="Times New Roman" w:eastAsia="Times New Roman" w:hAnsi="Times New Roman" w:cs="Times New Roman"/>
          <w:sz w:val="20"/>
          <w:szCs w:val="20"/>
          <w:lang w:bidi="en-US"/>
        </w:rPr>
        <w:t>patients but not to general HCC.</w:t>
      </w:r>
    </w:p>
    <w:p w:rsidR="00E932D6" w:rsidRPr="0047313D" w:rsidRDefault="00E932D6" w:rsidP="005716EE">
      <w:pPr>
        <w:bidi w:val="0"/>
        <w:snapToGrid w:val="0"/>
        <w:spacing w:after="0" w:line="240" w:lineRule="auto"/>
        <w:ind w:firstLine="425"/>
        <w:jc w:val="both"/>
        <w:rPr>
          <w:rFonts w:ascii="Times New Roman" w:eastAsia="Times New Roman" w:hAnsi="Times New Roman" w:cs="Times New Roman"/>
          <w:sz w:val="20"/>
          <w:szCs w:val="20"/>
          <w:lang w:bidi="en-US"/>
        </w:rPr>
      </w:pPr>
    </w:p>
    <w:p w:rsidR="00C95EF4" w:rsidRPr="0047313D" w:rsidRDefault="005716EE" w:rsidP="005716EE">
      <w:pPr>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Conclusion</w:t>
      </w:r>
    </w:p>
    <w:p w:rsidR="00C95EF4" w:rsidRPr="0047313D" w:rsidRDefault="007C43E2" w:rsidP="005716EE">
      <w:pPr>
        <w:pStyle w:val="ListParagraph"/>
        <w:numPr>
          <w:ilvl w:val="0"/>
          <w:numId w:val="14"/>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Laparoscopic </w:t>
      </w:r>
      <w:r w:rsidR="00E932D6" w:rsidRPr="0047313D">
        <w:rPr>
          <w:rFonts w:ascii="Times New Roman" w:eastAsia="Times New Roman" w:hAnsi="Times New Roman" w:cs="Times New Roman"/>
          <w:sz w:val="20"/>
          <w:szCs w:val="20"/>
          <w:lang w:bidi="en-US"/>
        </w:rPr>
        <w:t>approach in management of HCC</w:t>
      </w:r>
      <w:r w:rsidRPr="0047313D">
        <w:rPr>
          <w:rFonts w:ascii="Times New Roman" w:eastAsia="Times New Roman" w:hAnsi="Times New Roman" w:cs="Times New Roman"/>
          <w:sz w:val="20"/>
          <w:szCs w:val="20"/>
          <w:lang w:bidi="en-US"/>
        </w:rPr>
        <w:t xml:space="preserve"> is a safe and feasible treatment option</w:t>
      </w:r>
      <w:r w:rsidR="00E932D6" w:rsidRPr="0047313D">
        <w:rPr>
          <w:rFonts w:ascii="Times New Roman" w:eastAsia="Times New Roman" w:hAnsi="Times New Roman" w:cs="Times New Roman"/>
          <w:sz w:val="20"/>
          <w:szCs w:val="20"/>
          <w:lang w:bidi="en-US"/>
        </w:rPr>
        <w:t>.</w:t>
      </w:r>
      <w:r w:rsidR="005716EE" w:rsidRPr="0047313D">
        <w:rPr>
          <w:rFonts w:ascii="Times New Roman" w:eastAsia="Times New Roman" w:hAnsi="Times New Roman" w:cs="Times New Roman"/>
          <w:sz w:val="20"/>
          <w:szCs w:val="20"/>
          <w:lang w:bidi="en-US"/>
        </w:rPr>
        <w:t xml:space="preserve"> </w:t>
      </w:r>
    </w:p>
    <w:p w:rsidR="00C95EF4" w:rsidRPr="0047313D" w:rsidRDefault="007C43E2" w:rsidP="005716EE">
      <w:pPr>
        <w:pStyle w:val="ListParagraph"/>
        <w:numPr>
          <w:ilvl w:val="0"/>
          <w:numId w:val="15"/>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Laparoscopic </w:t>
      </w:r>
      <w:r w:rsidR="00E932D6" w:rsidRPr="0047313D">
        <w:rPr>
          <w:rFonts w:ascii="Times New Roman" w:eastAsia="Times New Roman" w:hAnsi="Times New Roman" w:cs="Times New Roman"/>
          <w:sz w:val="20"/>
          <w:szCs w:val="20"/>
          <w:lang w:bidi="en-US"/>
        </w:rPr>
        <w:t>approach</w:t>
      </w:r>
      <w:r w:rsidRPr="0047313D">
        <w:rPr>
          <w:rFonts w:ascii="Times New Roman" w:eastAsia="Times New Roman" w:hAnsi="Times New Roman" w:cs="Times New Roman"/>
          <w:sz w:val="20"/>
          <w:szCs w:val="20"/>
          <w:lang w:bidi="en-US"/>
        </w:rPr>
        <w:t xml:space="preserve"> for HCC has superior short</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term</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comparable oncological outcomes to open liver</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 and was shown not to increase the tumor</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recurrence risk or adversely affect oncologic outcomes.</w:t>
      </w:r>
    </w:p>
    <w:p w:rsidR="004F7E0D"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Lap. </w:t>
      </w:r>
      <w:r w:rsidR="00CB5804" w:rsidRPr="0047313D">
        <w:rPr>
          <w:rFonts w:ascii="Times New Roman" w:eastAsia="Times New Roman" w:hAnsi="Times New Roman" w:cs="Times New Roman"/>
          <w:sz w:val="20"/>
          <w:szCs w:val="20"/>
          <w:lang w:bidi="en-US"/>
        </w:rPr>
        <w:t>Approach should</w:t>
      </w:r>
      <w:r w:rsidR="00C95EF4" w:rsidRPr="0047313D">
        <w:rPr>
          <w:rFonts w:ascii="Times New Roman" w:eastAsia="Times New Roman" w:hAnsi="Times New Roman" w:cs="Times New Roman"/>
          <w:sz w:val="20"/>
          <w:szCs w:val="20"/>
          <w:lang w:bidi="en-US"/>
        </w:rPr>
        <w:t xml:space="preserve"> be performed for carefully selected patients</w:t>
      </w:r>
      <w:r w:rsidR="004F7E0D" w:rsidRPr="0047313D">
        <w:rPr>
          <w:rFonts w:ascii="Times New Roman" w:eastAsia="Times New Roman" w:hAnsi="Times New Roman" w:cs="Times New Roman"/>
          <w:sz w:val="20"/>
          <w:szCs w:val="20"/>
          <w:lang w:bidi="en-US"/>
        </w:rPr>
        <w:t xml:space="preserve"> </w:t>
      </w:r>
      <w:r w:rsidR="00C95EF4" w:rsidRPr="0047313D">
        <w:rPr>
          <w:rFonts w:ascii="Times New Roman" w:eastAsia="Times New Roman" w:hAnsi="Times New Roman" w:cs="Times New Roman"/>
          <w:sz w:val="20"/>
          <w:szCs w:val="20"/>
          <w:lang w:bidi="en-US"/>
        </w:rPr>
        <w:t>and by an expert surgical team</w:t>
      </w:r>
      <w:r w:rsidR="004F7E0D" w:rsidRPr="0047313D">
        <w:rPr>
          <w:rFonts w:ascii="Times New Roman" w:eastAsia="Times New Roman" w:hAnsi="Times New Roman" w:cs="Times New Roman"/>
          <w:sz w:val="20"/>
          <w:szCs w:val="20"/>
          <w:lang w:bidi="en-US"/>
        </w:rPr>
        <w:t>.</w:t>
      </w:r>
    </w:p>
    <w:p w:rsidR="00C95EF4"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Converting to a new surgical method does not mean that</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 old surgical method was a failure. With advances in</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surgical techniques and instruments, laparoscopic liver</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 has been performed more frequently, even for</w:t>
      </w:r>
      <w:r w:rsidR="004F7E0D"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tumors in difficult anatomical locations.</w:t>
      </w:r>
    </w:p>
    <w:p w:rsidR="00236F17" w:rsidRPr="0047313D" w:rsidRDefault="00236F17" w:rsidP="005716EE">
      <w:pPr>
        <w:bidi w:val="0"/>
        <w:snapToGrid w:val="0"/>
        <w:spacing w:after="0" w:line="240" w:lineRule="auto"/>
        <w:jc w:val="both"/>
        <w:rPr>
          <w:rFonts w:ascii="Times New Roman" w:eastAsia="Times New Roman" w:hAnsi="Times New Roman" w:cs="Times New Roman"/>
          <w:b/>
          <w:bCs/>
          <w:sz w:val="20"/>
          <w:szCs w:val="20"/>
          <w:lang w:bidi="en-US"/>
        </w:rPr>
      </w:pPr>
    </w:p>
    <w:p w:rsidR="004F7E0D" w:rsidRPr="0047313D" w:rsidRDefault="005716EE" w:rsidP="005716EE">
      <w:pPr>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Recommendations</w:t>
      </w:r>
    </w:p>
    <w:p w:rsidR="004F7E0D"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Laparoscopy should be routinely considered in selected patients in centers experienced in liver surgery and in advanced laparoscopy.</w:t>
      </w:r>
    </w:p>
    <w:p w:rsidR="004F7E0D"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This study could serve as useful background research for future randomized </w:t>
      </w:r>
      <w:r w:rsidR="00C6766D" w:rsidRPr="0047313D">
        <w:rPr>
          <w:rFonts w:ascii="Times New Roman" w:eastAsia="Times New Roman" w:hAnsi="Times New Roman" w:cs="Times New Roman"/>
          <w:sz w:val="20"/>
          <w:szCs w:val="20"/>
          <w:lang w:bidi="en-US"/>
        </w:rPr>
        <w:t>controlled</w:t>
      </w:r>
      <w:r w:rsidRPr="0047313D">
        <w:rPr>
          <w:rFonts w:ascii="Times New Roman" w:eastAsia="Times New Roman" w:hAnsi="Times New Roman" w:cs="Times New Roman"/>
          <w:sz w:val="20"/>
          <w:szCs w:val="20"/>
          <w:lang w:bidi="en-US"/>
        </w:rPr>
        <w:t xml:space="preserve"> trials on </w:t>
      </w:r>
      <w:r w:rsidR="00E932D6" w:rsidRPr="0047313D">
        <w:rPr>
          <w:rFonts w:ascii="Times New Roman" w:eastAsia="Times New Roman" w:hAnsi="Times New Roman" w:cs="Times New Roman"/>
          <w:sz w:val="20"/>
          <w:szCs w:val="20"/>
          <w:lang w:bidi="en-US"/>
        </w:rPr>
        <w:t xml:space="preserve">lap. </w:t>
      </w:r>
      <w:r w:rsidR="00906619" w:rsidRPr="0047313D">
        <w:rPr>
          <w:rFonts w:ascii="Times New Roman" w:eastAsia="Times New Roman" w:hAnsi="Times New Roman" w:cs="Times New Roman"/>
          <w:sz w:val="20"/>
          <w:szCs w:val="20"/>
          <w:lang w:bidi="en-US"/>
        </w:rPr>
        <w:t>Approach for</w:t>
      </w:r>
      <w:r w:rsidRPr="0047313D">
        <w:rPr>
          <w:rFonts w:ascii="Times New Roman" w:eastAsia="Times New Roman" w:hAnsi="Times New Roman" w:cs="Times New Roman"/>
          <w:sz w:val="20"/>
          <w:szCs w:val="20"/>
          <w:lang w:bidi="en-US"/>
        </w:rPr>
        <w:t xml:space="preserve"> HCC with well-compensated liver cirrhosis.</w:t>
      </w:r>
    </w:p>
    <w:p w:rsidR="004F7E0D"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Further well-designed, large scale, comparative studies and randomized controlled clinical trials should be continued in this field</w:t>
      </w:r>
      <w:r w:rsidR="00236F17" w:rsidRPr="0047313D">
        <w:rPr>
          <w:rFonts w:ascii="Times New Roman" w:eastAsia="Times New Roman" w:hAnsi="Times New Roman" w:cs="Times New Roman"/>
          <w:sz w:val="20"/>
          <w:szCs w:val="20"/>
          <w:lang w:bidi="en-US"/>
        </w:rPr>
        <w:t>.</w:t>
      </w:r>
    </w:p>
    <w:p w:rsidR="004F7E0D" w:rsidRPr="0047313D" w:rsidRDefault="007C43E2" w:rsidP="005716EE">
      <w:pPr>
        <w:pStyle w:val="ListParagraph"/>
        <w:numPr>
          <w:ilvl w:val="0"/>
          <w:numId w:val="16"/>
        </w:numPr>
        <w:bidi w:val="0"/>
        <w:snapToGrid w:val="0"/>
        <w:spacing w:after="0" w:line="240" w:lineRule="auto"/>
        <w:ind w:left="0" w:firstLine="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 xml:space="preserve">Longer follow-up periods are needed to make more definite conclusions about the comparative </w:t>
      </w:r>
      <w:r w:rsidRPr="0047313D">
        <w:rPr>
          <w:rFonts w:ascii="Times New Roman" w:eastAsia="Times New Roman" w:hAnsi="Times New Roman" w:cs="Times New Roman"/>
          <w:sz w:val="20"/>
          <w:szCs w:val="20"/>
          <w:lang w:bidi="en-US"/>
        </w:rPr>
        <w:lastRenderedPageBreak/>
        <w:t>survival probability of the two groups (</w:t>
      </w:r>
      <w:r w:rsidR="00B74C7F" w:rsidRPr="0047313D">
        <w:rPr>
          <w:rFonts w:ascii="Times New Roman" w:eastAsia="Times New Roman" w:hAnsi="Times New Roman" w:cs="Times New Roman"/>
          <w:sz w:val="20"/>
          <w:szCs w:val="20"/>
          <w:lang w:bidi="en-US"/>
        </w:rPr>
        <w:t>laparoscopic and</w:t>
      </w:r>
      <w:r w:rsidRPr="0047313D">
        <w:rPr>
          <w:rFonts w:ascii="Times New Roman" w:eastAsia="Times New Roman" w:hAnsi="Times New Roman" w:cs="Times New Roman"/>
          <w:sz w:val="20"/>
          <w:szCs w:val="20"/>
          <w:lang w:bidi="en-US"/>
        </w:rPr>
        <w:t xml:space="preserve"> </w:t>
      </w:r>
      <w:r w:rsidR="00906619" w:rsidRPr="0047313D">
        <w:rPr>
          <w:rFonts w:ascii="Times New Roman" w:eastAsia="Times New Roman" w:hAnsi="Times New Roman" w:cs="Times New Roman"/>
          <w:sz w:val="20"/>
          <w:szCs w:val="20"/>
          <w:lang w:bidi="en-US"/>
        </w:rPr>
        <w:t>open</w:t>
      </w:r>
      <w:r w:rsidRPr="0047313D">
        <w:rPr>
          <w:rFonts w:ascii="Times New Roman" w:eastAsia="Times New Roman" w:hAnsi="Times New Roman" w:cs="Times New Roman"/>
          <w:sz w:val="20"/>
          <w:szCs w:val="20"/>
          <w:lang w:bidi="en-US"/>
        </w:rPr>
        <w:t>).</w:t>
      </w:r>
    </w:p>
    <w:p w:rsidR="00236F17" w:rsidRPr="0047313D" w:rsidRDefault="00236F17" w:rsidP="005716EE">
      <w:pPr>
        <w:bidi w:val="0"/>
        <w:snapToGrid w:val="0"/>
        <w:spacing w:after="0" w:line="240" w:lineRule="auto"/>
        <w:jc w:val="both"/>
        <w:rPr>
          <w:rFonts w:ascii="Times New Roman" w:eastAsia="Times New Roman" w:hAnsi="Times New Roman" w:cs="Times New Roman"/>
          <w:b/>
          <w:bCs/>
          <w:sz w:val="20"/>
          <w:szCs w:val="20"/>
          <w:lang w:bidi="en-US"/>
        </w:rPr>
      </w:pPr>
    </w:p>
    <w:p w:rsidR="0098798A" w:rsidRPr="0047313D" w:rsidRDefault="005716EE" w:rsidP="005716EE">
      <w:pPr>
        <w:bidi w:val="0"/>
        <w:snapToGrid w:val="0"/>
        <w:spacing w:after="0" w:line="240" w:lineRule="auto"/>
        <w:jc w:val="both"/>
        <w:rPr>
          <w:rFonts w:ascii="Times New Roman" w:eastAsia="Times New Roman" w:hAnsi="Times New Roman" w:cs="Times New Roman"/>
          <w:b/>
          <w:bCs/>
          <w:sz w:val="20"/>
          <w:szCs w:val="20"/>
          <w:lang w:bidi="en-US"/>
        </w:rPr>
      </w:pPr>
      <w:r w:rsidRPr="0047313D">
        <w:rPr>
          <w:rFonts w:ascii="Times New Roman" w:eastAsia="Times New Roman" w:hAnsi="Times New Roman" w:cs="Times New Roman"/>
          <w:b/>
          <w:bCs/>
          <w:sz w:val="20"/>
          <w:szCs w:val="20"/>
          <w:lang w:bidi="en-US"/>
        </w:rPr>
        <w:t>References</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Bell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Pandanaboyana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Hanif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cost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effective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left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lateral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sectionectomy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transplant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unit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HBP</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332-</w:t>
      </w:r>
      <w:r w:rsidR="005716EE" w:rsidRPr="0047313D">
        <w:rPr>
          <w:rFonts w:ascii="Times New Roman" w:eastAsia="Times New Roman" w:hAnsi="Times New Roman" w:cs="Times New Roman"/>
          <w:sz w:val="20"/>
          <w:szCs w:val="20"/>
          <w:lang w:bidi="en-US"/>
        </w:rPr>
        <w:t>6.</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Bhojani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Fox</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Pitzul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economic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comparison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to</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using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2-to-1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matched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pair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institutional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experience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Coll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184-9</w:t>
      </w:r>
      <w:r w:rsidR="005716EE" w:rsidRPr="0047313D">
        <w:rPr>
          <w:rFonts w:ascii="Times New Roman" w:eastAsia="Times New Roman" w:hAnsi="Times New Roman" w:cs="Times New Roman"/>
          <w:sz w:val="20"/>
          <w:szCs w:val="20"/>
          <w:lang w:bidi="en-US"/>
        </w:rPr>
        <w:t>5.</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sz w:val="20"/>
          <w:szCs w:val="20"/>
          <w:lang w:bidi="en-US"/>
        </w:rPr>
        <w:t>Bismuth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(1988):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anatomical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Blumgart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biliary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tract.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Edinburgh,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Churchil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stone,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3-10.</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Bruix</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Sherman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(2011)</w:t>
      </w:r>
      <w:r w:rsidR="009F7A89" w:rsidRPr="0047313D">
        <w:rPr>
          <w:rFonts w:ascii="Times New Roman" w:eastAsia="Times New Roman" w:hAnsi="Times New Roman" w:cs="Times New Roman"/>
          <w:bCs/>
          <w:sz w:val="20"/>
          <w:szCs w:val="20"/>
          <w:lang w:bidi="en-US"/>
        </w:rPr>
        <w: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Management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update.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(Baltimore,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53(3):1020–1022</w:t>
      </w:r>
      <w:r w:rsidR="005716EE" w:rsidRPr="0047313D">
        <w:rPr>
          <w:rFonts w:ascii="Times New Roman" w:hAnsi="Times New Roman" w:cs="Times New Roman" w:hint="eastAsia"/>
          <w:sz w:val="20"/>
          <w:szCs w:val="20"/>
          <w:lang w:eastAsia="zh-CN" w:bidi="en-US"/>
        </w:rPr>
        <w:t>.</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Buell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Cherqui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Geller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(2009)</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international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position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Louisville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Statement,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2008.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250(5):825–83</w:t>
      </w:r>
      <w:r w:rsidR="005716EE" w:rsidRPr="0047313D">
        <w:rPr>
          <w:rFonts w:ascii="Times New Roman" w:eastAsia="Times New Roman" w:hAnsi="Times New Roman" w:cs="Times New Roman"/>
          <w:sz w:val="20"/>
          <w:szCs w:val="20"/>
          <w:lang w:bidi="en-US"/>
        </w:rPr>
        <w:t>0.</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Chen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Li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Liu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various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extent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Medicine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96: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w:t>
      </w:r>
      <w:r w:rsidR="005716EE" w:rsidRPr="0047313D">
        <w:rPr>
          <w:rFonts w:ascii="Times New Roman" w:eastAsia="Times New Roman" w:hAnsi="Times New Roman" w:cs="Times New Roman"/>
          <w:sz w:val="20"/>
          <w:szCs w:val="20"/>
          <w:lang w:bidi="en-US"/>
        </w:rPr>
        <w:t>7.</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Chen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and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subcutaneous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metastases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after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–assisted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partial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Endosc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Percutan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Tech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41-</w:t>
      </w:r>
      <w:r w:rsidR="005716EE" w:rsidRPr="0047313D">
        <w:rPr>
          <w:rFonts w:ascii="Times New Roman" w:eastAsia="Times New Roman" w:hAnsi="Times New Roman" w:cs="Times New Roman"/>
          <w:sz w:val="20"/>
          <w:szCs w:val="20"/>
          <w:lang w:bidi="en-US"/>
        </w:rPr>
        <w:t>3.</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Cheung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Dai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WC,</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Tsang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Pure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110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Cirrhosis: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Propensity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Single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Center.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264: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612-20.</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Dokmak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Fteriche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Borscheid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(2013):</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2012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21st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century: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from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zero</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Mortality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HPB</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908–15.</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Elghannam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Hassaanien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El-talakawy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performance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disease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specific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scoring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models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intensive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severe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disease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Clini</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diagn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research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12-1</w:t>
      </w:r>
      <w:r w:rsidR="005716EE" w:rsidRPr="0047313D">
        <w:rPr>
          <w:rFonts w:ascii="Times New Roman" w:eastAsia="Times New Roman" w:hAnsi="Times New Roman" w:cs="Times New Roman"/>
          <w:sz w:val="20"/>
          <w:szCs w:val="20"/>
          <w:lang w:bidi="en-US"/>
        </w:rPr>
        <w:t>6.</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Elizabeth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and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Brunt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(2001):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Benign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Clinics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disease.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w:t>
      </w:r>
      <w:r w:rsidR="005716EE" w:rsidRPr="0047313D">
        <w:rPr>
          <w:rFonts w:ascii="Times New Roman" w:hAnsi="Times New Roman" w:cs="Times New Roman" w:hint="eastAsia"/>
          <w:sz w:val="20"/>
          <w:szCs w:val="20"/>
          <w:lang w:eastAsia="zh-CN" w:bidi="en-US"/>
        </w:rPr>
        <w:t>.</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Felli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Cillo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Pinna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bCs/>
          <w:sz w:val="20"/>
          <w:szCs w:val="20"/>
          <w:lang w:bidi="en-US"/>
        </w:rPr>
        <w: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Salvage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transplantation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after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multicenter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experience.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Updates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67(2):215–222</w:t>
      </w:r>
      <w:r w:rsidR="005716EE" w:rsidRPr="0047313D">
        <w:rPr>
          <w:rFonts w:ascii="Times New Roman" w:hAnsi="Times New Roman" w:cs="Times New Roman" w:hint="eastAsia"/>
          <w:sz w:val="20"/>
          <w:szCs w:val="20"/>
          <w:lang w:eastAsia="zh-CN" w:bidi="en-US"/>
        </w:rPr>
        <w:t>.</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Gobardhan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Subar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Gayet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overview</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lastRenderedPageBreak/>
        <w:t>literature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experiences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single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centre.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Best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Pract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Gastroenterol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111-21</w:t>
      </w:r>
      <w:r w:rsidR="005716EE" w:rsidRPr="0047313D">
        <w:rPr>
          <w:rFonts w:ascii="Times New Roman" w:hAnsi="Times New Roman" w:cs="Times New Roman" w:hint="eastAsia"/>
          <w:sz w:val="20"/>
          <w:szCs w:val="20"/>
          <w:lang w:eastAsia="zh-CN" w:bidi="en-US"/>
        </w:rPr>
        <w:t>.</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Hasegawa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Nitta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Sasaki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Long-term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metastases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from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colorectal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cancer: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comparative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168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consecutive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cases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single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center.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157: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1065-7</w:t>
      </w:r>
      <w:r w:rsidR="005716EE" w:rsidRPr="0047313D">
        <w:rPr>
          <w:rFonts w:ascii="Times New Roman" w:eastAsia="Times New Roman" w:hAnsi="Times New Roman" w:cs="Times New Roman"/>
          <w:sz w:val="20"/>
          <w:szCs w:val="20"/>
          <w:lang w:bidi="en-US"/>
        </w:rPr>
        <w:t>2.</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Hu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Chen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and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Comparison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lobectomy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(segmentectomy)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World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Gastroenterol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4725-2</w:t>
      </w:r>
      <w:r w:rsidR="005716EE" w:rsidRPr="0047313D">
        <w:rPr>
          <w:rFonts w:ascii="Times New Roman" w:eastAsia="Times New Roman" w:hAnsi="Times New Roman" w:cs="Times New Roman"/>
          <w:sz w:val="20"/>
          <w:szCs w:val="20"/>
          <w:lang w:bidi="en-US"/>
        </w:rPr>
        <w:t>8.</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Ishizawa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Zuker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NB,</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Conrad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using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no</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drain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policy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342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hepatectomies: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which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factors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predict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failure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HBP</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494-9</w:t>
      </w:r>
      <w:r w:rsidR="005716EE" w:rsidRPr="0047313D">
        <w:rPr>
          <w:rFonts w:ascii="Times New Roman" w:eastAsia="Times New Roman" w:hAnsi="Times New Roman" w:cs="Times New Roman"/>
          <w:sz w:val="20"/>
          <w:szCs w:val="20"/>
          <w:lang w:bidi="en-US"/>
        </w:rPr>
        <w:t xml:space="preserve"> .</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Jackson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NR,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Hauch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safety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efficacy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approaches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to</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JSLS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19:</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e2014.0018</w:t>
      </w:r>
      <w:r w:rsidR="005716EE" w:rsidRPr="0047313D">
        <w:rPr>
          <w:rFonts w:ascii="Times New Roman" w:eastAsia="Times New Roman" w:hAnsi="Times New Roman" w:cs="Times New Roman"/>
          <w:sz w:val="20"/>
          <w:szCs w:val="20"/>
          <w:lang w:bidi="en-US"/>
        </w:rPr>
        <w:t>6.</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Kanazawa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Tsukamoto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Shimizu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(2013):</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treating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recurrent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Hepatobiliary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Pancreat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Sci</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512-1</w:t>
      </w:r>
      <w:r w:rsidR="005716EE" w:rsidRPr="0047313D">
        <w:rPr>
          <w:rFonts w:ascii="Times New Roman" w:eastAsia="Times New Roman" w:hAnsi="Times New Roman" w:cs="Times New Roman"/>
          <w:sz w:val="20"/>
          <w:szCs w:val="20"/>
          <w:lang w:bidi="en-US"/>
        </w:rPr>
        <w:t>7.</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Kim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Laparoscopy-specific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ventral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approach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hemihepatectom</w:t>
      </w:r>
      <w:r w:rsidR="005716EE" w:rsidRPr="0047313D">
        <w:rPr>
          <w:rFonts w:ascii="Times New Roman" w:eastAsia="Times New Roman" w:hAnsi="Times New Roman" w:cs="Times New Roman"/>
          <w:sz w:val="20"/>
          <w:szCs w:val="20"/>
          <w:lang w:bidi="en-US"/>
        </w:rPr>
        <w:t>y 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Oncol.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116: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159–</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63.</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Kim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Jung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Lee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comparison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oncologic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Annals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Surgical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Treatment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Research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86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61-</w:t>
      </w:r>
      <w:r w:rsidR="005716EE" w:rsidRPr="0047313D">
        <w:rPr>
          <w:rFonts w:ascii="Times New Roman" w:eastAsia="Times New Roman" w:hAnsi="Times New Roman" w:cs="Times New Roman"/>
          <w:sz w:val="20"/>
          <w:szCs w:val="20"/>
          <w:lang w:bidi="en-US"/>
        </w:rPr>
        <w:t>7.</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Komatsu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Brustia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Goumard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major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matched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pair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Endosc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1965–7</w:t>
      </w:r>
      <w:r w:rsidR="005716EE" w:rsidRPr="0047313D">
        <w:rPr>
          <w:rFonts w:ascii="Times New Roman" w:eastAsia="Times New Roman" w:hAnsi="Times New Roman" w:cs="Times New Roman"/>
          <w:sz w:val="20"/>
          <w:szCs w:val="20"/>
          <w:lang w:bidi="en-US"/>
        </w:rPr>
        <w:t>4.</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Lee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Conneely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JB,</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Smoot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47313D">
        <w:rPr>
          <w:rFonts w:ascii="Times New Roman" w:hAnsi="Times New Roman" w:cs="Times New Roman" w:hint="eastAsia"/>
          <w:bCs/>
          <w:sz w:val="20"/>
          <w:szCs w:val="20"/>
          <w:lang w:eastAsia="zh-CN"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North-American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Centre: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2-to-1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matched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pair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HPB</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304–1</w:t>
      </w:r>
      <w:r w:rsidR="005716EE" w:rsidRPr="0047313D">
        <w:rPr>
          <w:rFonts w:ascii="Times New Roman" w:eastAsia="Times New Roman" w:hAnsi="Times New Roman" w:cs="Times New Roman"/>
          <w:sz w:val="20"/>
          <w:szCs w:val="20"/>
          <w:lang w:bidi="en-US"/>
        </w:rPr>
        <w:t>0.</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Leong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WQ,</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Ganpathi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IS,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Kow</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Comparative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study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systematic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review</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World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2765-7</w:t>
      </w:r>
      <w:r w:rsidR="005716EE" w:rsidRPr="0047313D">
        <w:rPr>
          <w:rFonts w:ascii="Times New Roman" w:eastAsia="Times New Roman" w:hAnsi="Times New Roman" w:cs="Times New Roman"/>
          <w:sz w:val="20"/>
          <w:szCs w:val="20"/>
          <w:lang w:bidi="en-US"/>
        </w:rPr>
        <w:t>3.</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Luo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Zou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Yao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shortandlong-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comparison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Clin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Exp</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18772-7</w:t>
      </w:r>
      <w:r w:rsidR="005716EE" w:rsidRPr="0047313D">
        <w:rPr>
          <w:rFonts w:ascii="Times New Roman" w:eastAsia="Times New Roman" w:hAnsi="Times New Roman" w:cs="Times New Roman"/>
          <w:sz w:val="20"/>
          <w:szCs w:val="20"/>
          <w:lang w:bidi="en-US"/>
        </w:rPr>
        <w:t>8.</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Mirnezami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Mirnezami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Chandrakumaran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Short-and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long-term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after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systematic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review</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w:t>
      </w:r>
      <w:r w:rsidR="0047313D">
        <w:rPr>
          <w:rFonts w:ascii="Times New Roman" w:hAnsi="Times New Roman" w:cs="Times New Roman" w:hint="eastAsia"/>
          <w:sz w:val="20"/>
          <w:szCs w:val="20"/>
          <w:lang w:eastAsia="zh-CN"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HPB</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(Oxford);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13:</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295-308.</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lastRenderedPageBreak/>
        <w:t>Mitros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(2005):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Kanel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Korula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atlas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pathology,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edition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chapter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w:t>
      </w:r>
      <w:r w:rsidR="005716EE" w:rsidRPr="0047313D">
        <w:rPr>
          <w:rFonts w:ascii="Times New Roman" w:eastAsia="Times New Roman" w:hAnsi="Times New Roman" w:cs="Times New Roman"/>
          <w:sz w:val="20"/>
          <w:szCs w:val="20"/>
          <w:lang w:bidi="en-US"/>
        </w:rPr>
        <w:t>1.</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Omar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MZ,</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Metwally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El-Feky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Role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intrafamilial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transmission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high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prevalence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hepatitis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virus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Egypt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Evidence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Research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9</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27–3</w:t>
      </w:r>
      <w:r w:rsidR="005716EE" w:rsidRPr="0047313D">
        <w:rPr>
          <w:rFonts w:ascii="Times New Roman" w:eastAsia="Times New Roman" w:hAnsi="Times New Roman" w:cs="Times New Roman"/>
          <w:sz w:val="20"/>
          <w:szCs w:val="20"/>
          <w:lang w:bidi="en-US"/>
        </w:rPr>
        <w:t>3.</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Otsuka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Katagiri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Ishii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(2013):</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embolism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what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optimal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pneumoperitoneal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pressure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major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Hepatobiliary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Pancreat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Sci;</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137-14</w:t>
      </w:r>
      <w:r w:rsidR="005716EE" w:rsidRPr="0047313D">
        <w:rPr>
          <w:rFonts w:ascii="Times New Roman" w:eastAsia="Times New Roman" w:hAnsi="Times New Roman" w:cs="Times New Roman"/>
          <w:sz w:val="20"/>
          <w:szCs w:val="20"/>
          <w:lang w:bidi="en-US"/>
        </w:rPr>
        <w:t>0.</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Takahara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Wakabayashi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Beppu</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Long-term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perioperative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propensity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score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matching: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multi-institutional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Japanese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study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Hepatobiliary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Pancreat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Sci;22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(10):721-7.</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bCs/>
          <w:sz w:val="20"/>
          <w:szCs w:val="20"/>
          <w:lang w:bidi="en-US"/>
        </w:rPr>
      </w:pPr>
      <w:r w:rsidRPr="0047313D">
        <w:rPr>
          <w:rFonts w:ascii="Times New Roman" w:eastAsia="Times New Roman" w:hAnsi="Times New Roman" w:cs="Times New Roman"/>
          <w:bCs/>
          <w:sz w:val="20"/>
          <w:szCs w:val="20"/>
          <w:lang w:bidi="en-US"/>
        </w:rPr>
        <w:t>Teh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Nagorney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Stevens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(2007)</w:t>
      </w:r>
      <w:r w:rsidRPr="0047313D">
        <w:rPr>
          <w:rFonts w:ascii="Times New Roman" w:eastAsia="Times New Roman" w:hAnsi="Times New Roman" w:cs="Times New Roman"/>
          <w:sz w:val="20"/>
          <w:szCs w:val="20"/>
          <w:lang w:bidi="en-US"/>
        </w:rPr>
        <w:t>:</w:t>
      </w:r>
      <w:r w:rsidR="009F7A89" w:rsidRPr="0047313D">
        <w:rPr>
          <w:rFonts w:ascii="Times New Roman" w:eastAsia="Times New Roman" w:hAnsi="Times New Roman" w:cs="Times New Roman"/>
          <w:sz w:val="20"/>
          <w:szCs w:val="20"/>
          <w:lang w:bidi="ar-EG"/>
        </w:rPr>
        <w:t xml:space="preserve"> </w:t>
      </w:r>
      <w:r w:rsidRPr="0047313D">
        <w:rPr>
          <w:rFonts w:ascii="Times New Roman" w:eastAsia="Times New Roman" w:hAnsi="Times New Roman" w:cs="Times New Roman"/>
          <w:sz w:val="20"/>
          <w:szCs w:val="20"/>
          <w:lang w:bidi="en-US"/>
        </w:rPr>
        <w:t>Risk</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factors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mortality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after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surgery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cirrhosis.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Gastroenterol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132: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1261–9.</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Tor</w:t>
      </w:r>
      <w:r w:rsidR="005716EE" w:rsidRPr="0047313D">
        <w:rPr>
          <w:rFonts w:ascii="Times New Roman" w:eastAsia="Times New Roman" w:hAnsi="Times New Roman" w:cs="Times New Roman"/>
          <w:bCs/>
          <w:sz w:val="20"/>
          <w:szCs w:val="20"/>
          <w:lang w:bidi="en-US"/>
        </w:rPr>
        <w:t>o A</w:t>
      </w:r>
      <w:r w:rsidRPr="0047313D">
        <w:rPr>
          <w:rFonts w:ascii="Times New Roman" w:eastAsia="Times New Roman" w:hAnsi="Times New Roman" w:cs="Times New Roman"/>
          <w:bCs/>
          <w:sz w:val="20"/>
          <w:szCs w:val="20"/>
          <w:lang w:bidi="en-US"/>
        </w:rPr>
        <w: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Ardiri</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Mannino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Effect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post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treatment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α-fetoprotein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levels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size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survival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treated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transarterial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chemoembolization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radiofrequency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ablation: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retrospective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study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BMC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w:t>
      </w:r>
      <w:r w:rsidR="005716EE" w:rsidRPr="0047313D">
        <w:rPr>
          <w:rFonts w:ascii="Times New Roman" w:eastAsia="Times New Roman" w:hAnsi="Times New Roman" w:cs="Times New Roman"/>
          <w:sz w:val="20"/>
          <w:szCs w:val="20"/>
          <w:lang w:bidi="en-US"/>
        </w:rPr>
        <w:t>8.</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Truant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Bouras</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Hebbar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peripheral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chronic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disease: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case-matched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study.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Endosc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3668-7</w:t>
      </w:r>
      <w:r w:rsidR="005716EE" w:rsidRPr="0047313D">
        <w:rPr>
          <w:rFonts w:ascii="Times New Roman" w:eastAsia="Times New Roman" w:hAnsi="Times New Roman" w:cs="Times New Roman"/>
          <w:sz w:val="20"/>
          <w:szCs w:val="20"/>
          <w:lang w:bidi="en-US"/>
        </w:rPr>
        <w:t>7.</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Twaij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Pucher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PH,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Sodergren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approach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to</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lastRenderedPageBreak/>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known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cirrhosis: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Systematic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review</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World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Gastroenterol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8274-8</w:t>
      </w:r>
      <w:r w:rsidR="005716EE" w:rsidRPr="0047313D">
        <w:rPr>
          <w:rFonts w:ascii="Times New Roman" w:eastAsia="Times New Roman" w:hAnsi="Times New Roman" w:cs="Times New Roman"/>
          <w:sz w:val="20"/>
          <w:szCs w:val="20"/>
          <w:lang w:bidi="en-US"/>
        </w:rPr>
        <w:t>1.</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Untereiner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X,</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Cagnet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Memeo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Short-term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middle-term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evaluation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hepatectomies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compared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with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hepatectomies: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propensity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score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matching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World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Gastrointest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(9):</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643-5</w:t>
      </w:r>
      <w:r w:rsidR="005716EE" w:rsidRPr="0047313D">
        <w:rPr>
          <w:rFonts w:ascii="Times New Roman" w:eastAsia="Times New Roman" w:hAnsi="Times New Roman" w:cs="Times New Roman"/>
          <w:sz w:val="20"/>
          <w:szCs w:val="20"/>
          <w:lang w:bidi="en-US"/>
        </w:rPr>
        <w:t>0.</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Wang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XT,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Wang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Duan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WD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(2015):</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sz w:val="20"/>
          <w:szCs w:val="20"/>
          <w:lang w:bidi="en-US"/>
        </w:rPr>
        <w:t>Pure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Versus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Primary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Elderly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Patients: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Single-Center,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Case-Matched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Study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Medicine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94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(43):</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w:t>
      </w:r>
      <w:r w:rsidR="005716EE" w:rsidRPr="0047313D">
        <w:rPr>
          <w:rFonts w:ascii="Times New Roman" w:eastAsia="Times New Roman" w:hAnsi="Times New Roman" w:cs="Times New Roman"/>
          <w:sz w:val="20"/>
          <w:szCs w:val="20"/>
          <w:lang w:bidi="en-US"/>
        </w:rPr>
        <w:t>7.</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Xiong</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JJ,</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Altaf</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K,</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Javed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MA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(2012):</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resection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World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Gastroenterol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18</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(45):</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6657-6</w:t>
      </w:r>
      <w:r w:rsidR="005716EE" w:rsidRPr="0047313D">
        <w:rPr>
          <w:rFonts w:ascii="Times New Roman" w:eastAsia="Times New Roman" w:hAnsi="Times New Roman" w:cs="Times New Roman"/>
          <w:sz w:val="20"/>
          <w:szCs w:val="20"/>
          <w:lang w:bidi="en-US"/>
        </w:rPr>
        <w:t>8.</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Yin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Z,</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Fan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X,</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Ye</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H,</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(2013):</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Short-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long-term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after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laparoscopic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open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hepatectomy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for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hepatocellular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carcinoma: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global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systematic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review</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meta-analysis.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Surg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Oncol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20:</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1203–15.</w:t>
      </w:r>
    </w:p>
    <w:p w:rsidR="00092330"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Zachary</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Goodman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LM</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and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Terracciano</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(2006):</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Tumor—like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lesions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biliary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tract: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aetiology,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epidemiology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pathology.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MacSween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RNM,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Burt</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Portmann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BC,</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Shah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KG,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Scheuen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PJ</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Anthony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PP</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Pathology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the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liver,</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5th</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ed,</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London,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Churchill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Livingstone,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761-</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803.</w:t>
      </w:r>
    </w:p>
    <w:p w:rsidR="005716EE" w:rsidRPr="0047313D" w:rsidRDefault="00092330" w:rsidP="005716EE">
      <w:pPr>
        <w:pStyle w:val="ListParagraph"/>
        <w:numPr>
          <w:ilvl w:val="0"/>
          <w:numId w:val="22"/>
        </w:numPr>
        <w:bidi w:val="0"/>
        <w:snapToGrid w:val="0"/>
        <w:spacing w:after="0" w:line="240" w:lineRule="auto"/>
        <w:ind w:left="425" w:hanging="425"/>
        <w:jc w:val="both"/>
        <w:rPr>
          <w:rFonts w:ascii="Times New Roman" w:eastAsia="Times New Roman" w:hAnsi="Times New Roman" w:cs="Times New Roman"/>
          <w:sz w:val="20"/>
          <w:szCs w:val="20"/>
          <w:lang w:bidi="en-US"/>
        </w:rPr>
      </w:pPr>
      <w:r w:rsidRPr="0047313D">
        <w:rPr>
          <w:rFonts w:ascii="Times New Roman" w:eastAsia="Times New Roman" w:hAnsi="Times New Roman" w:cs="Times New Roman"/>
          <w:bCs/>
          <w:sz w:val="20"/>
          <w:szCs w:val="20"/>
          <w:lang w:bidi="en-US"/>
        </w:rPr>
        <w:t>Zayed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RA,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Omran</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Zayed</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et</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al.,</w:t>
      </w:r>
      <w:r w:rsidR="009F7A89" w:rsidRPr="0047313D">
        <w:rPr>
          <w:rFonts w:ascii="Times New Roman" w:eastAsia="Times New Roman" w:hAnsi="Times New Roman" w:cs="Times New Roman"/>
          <w:bCs/>
          <w:sz w:val="20"/>
          <w:szCs w:val="20"/>
          <w:lang w:bidi="en-US"/>
        </w:rPr>
        <w:t xml:space="preserve"> </w:t>
      </w:r>
      <w:r w:rsidRPr="0047313D">
        <w:rPr>
          <w:rFonts w:ascii="Times New Roman" w:eastAsia="Times New Roman" w:hAnsi="Times New Roman" w:cs="Times New Roman"/>
          <w:bCs/>
          <w:sz w:val="20"/>
          <w:szCs w:val="20"/>
          <w:lang w:bidi="en-US"/>
        </w:rPr>
        <w:t>(2017):</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determinants</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of</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infection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outcome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HCV-Genotype</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4</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Viral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Immunol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Zhang</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Y,</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Chen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XM,</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Sun</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DL</w:t>
      </w:r>
      <w:r w:rsidR="009F7A89" w:rsidRPr="0047313D">
        <w:rPr>
          <w:rFonts w:ascii="Times New Roman" w:eastAsia="Times New Roman" w:hAnsi="Times New Roman" w:cs="Times New Roman"/>
          <w:sz w:val="20"/>
          <w:szCs w:val="20"/>
          <w:lang w:bidi="en-US"/>
        </w:rPr>
        <w:t xml:space="preserve"> </w:t>
      </w:r>
      <w:r w:rsidRPr="0047313D">
        <w:rPr>
          <w:rFonts w:ascii="Times New Roman" w:eastAsia="Times New Roman" w:hAnsi="Times New Roman" w:cs="Times New Roman"/>
          <w:sz w:val="20"/>
          <w:szCs w:val="20"/>
          <w:lang w:bidi="en-US"/>
        </w:rPr>
        <w:t>e</w:t>
      </w:r>
      <w:r w:rsidR="005716EE" w:rsidRPr="0047313D">
        <w:rPr>
          <w:rFonts w:ascii="Times New Roman" w:eastAsia="Times New Roman" w:hAnsi="Times New Roman" w:cs="Times New Roman"/>
          <w:sz w:val="20"/>
          <w:szCs w:val="20"/>
          <w:lang w:bidi="en-US"/>
        </w:rPr>
        <w:t>t.</w:t>
      </w:r>
    </w:p>
    <w:p w:rsidR="005716EE" w:rsidRPr="0047313D" w:rsidRDefault="005716EE" w:rsidP="005716EE">
      <w:pPr>
        <w:bidi w:val="0"/>
        <w:snapToGrid w:val="0"/>
        <w:spacing w:after="0" w:line="240" w:lineRule="auto"/>
        <w:ind w:left="425" w:hanging="425"/>
        <w:jc w:val="both"/>
        <w:rPr>
          <w:rFonts w:ascii="Times New Roman" w:eastAsia="Times New Roman" w:hAnsi="Times New Roman" w:cs="Times New Roman"/>
          <w:sz w:val="20"/>
          <w:szCs w:val="20"/>
          <w:lang w:bidi="ar-EG"/>
        </w:rPr>
        <w:sectPr w:rsidR="005716EE" w:rsidRPr="0047313D" w:rsidSect="005716EE">
          <w:type w:val="continuous"/>
          <w:pgSz w:w="12240" w:h="15840" w:code="9"/>
          <w:pgMar w:top="1440" w:right="1440" w:bottom="1440" w:left="1440" w:header="720" w:footer="720" w:gutter="0"/>
          <w:cols w:num="2" w:space="550"/>
          <w:rtlGutter/>
          <w:docGrid w:linePitch="360"/>
        </w:sectPr>
      </w:pPr>
    </w:p>
    <w:p w:rsidR="00C07B46" w:rsidRPr="0047313D" w:rsidRDefault="00C07B46" w:rsidP="005716EE">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E075C7" w:rsidRPr="0047313D" w:rsidRDefault="00E075C7" w:rsidP="005716EE">
      <w:pPr>
        <w:bidi w:val="0"/>
        <w:snapToGrid w:val="0"/>
        <w:spacing w:after="0" w:line="240" w:lineRule="auto"/>
        <w:ind w:left="425" w:hanging="425"/>
        <w:jc w:val="both"/>
        <w:rPr>
          <w:rFonts w:ascii="Times New Roman" w:hAnsi="Times New Roman" w:cs="Times New Roman"/>
          <w:sz w:val="20"/>
          <w:szCs w:val="20"/>
          <w:lang w:bidi="ar-EG"/>
        </w:rPr>
      </w:pPr>
    </w:p>
    <w:p w:rsidR="009F7A89" w:rsidRPr="0047313D" w:rsidRDefault="009F7A89" w:rsidP="005716EE">
      <w:pPr>
        <w:bidi w:val="0"/>
        <w:snapToGrid w:val="0"/>
        <w:spacing w:after="0" w:line="240" w:lineRule="auto"/>
        <w:ind w:firstLine="425"/>
        <w:jc w:val="both"/>
        <w:rPr>
          <w:rFonts w:ascii="Times New Roman" w:eastAsia="Times New Roman" w:hAnsi="Times New Roman" w:cs="Times New Roman"/>
          <w:sz w:val="20"/>
          <w:szCs w:val="20"/>
          <w:lang w:bidi="ar-EG"/>
        </w:rPr>
      </w:pPr>
    </w:p>
    <w:p w:rsidR="00E075C7" w:rsidRPr="0047313D" w:rsidRDefault="009F7A89" w:rsidP="005716EE">
      <w:pPr>
        <w:bidi w:val="0"/>
        <w:snapToGrid w:val="0"/>
        <w:spacing w:after="0" w:line="240" w:lineRule="auto"/>
        <w:jc w:val="both"/>
        <w:rPr>
          <w:rFonts w:ascii="Times New Roman" w:eastAsia="Times New Roman" w:hAnsi="Times New Roman" w:cs="Times New Roman"/>
          <w:sz w:val="20"/>
          <w:szCs w:val="20"/>
          <w:lang w:bidi="ar-EG"/>
        </w:rPr>
      </w:pPr>
      <w:r w:rsidRPr="0047313D">
        <w:rPr>
          <w:rFonts w:ascii="Times New Roman" w:eastAsia="Times New Roman" w:hAnsi="Times New Roman" w:cs="Times New Roman"/>
          <w:sz w:val="20"/>
          <w:szCs w:val="20"/>
          <w:lang w:bidi="ar-EG"/>
        </w:rPr>
        <w:t>9/11/2019</w:t>
      </w:r>
    </w:p>
    <w:sectPr w:rsidR="00E075C7" w:rsidRPr="0047313D" w:rsidSect="009F7A89">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B44" w:rsidRDefault="00022B44" w:rsidP="00C87186">
      <w:pPr>
        <w:spacing w:after="0" w:line="240" w:lineRule="auto"/>
      </w:pPr>
      <w:r>
        <w:separator/>
      </w:r>
    </w:p>
  </w:endnote>
  <w:endnote w:type="continuationSeparator" w:id="0">
    <w:p w:rsidR="00022B44" w:rsidRDefault="00022B44" w:rsidP="00C87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Britannic Bold">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EE" w:rsidRPr="00AA5D44" w:rsidRDefault="000A19A2" w:rsidP="00AA5D44">
    <w:pPr>
      <w:bidi w:val="0"/>
      <w:spacing w:after="0" w:line="240" w:lineRule="auto"/>
      <w:jc w:val="center"/>
      <w:rPr>
        <w:rFonts w:ascii="Times New Roman" w:hAnsi="Times New Roman" w:cs="Times New Roman"/>
        <w:sz w:val="20"/>
      </w:rPr>
    </w:pPr>
    <w:r w:rsidRPr="00AA5D44">
      <w:rPr>
        <w:rFonts w:ascii="Times New Roman" w:hAnsi="Times New Roman" w:cs="Times New Roman"/>
        <w:sz w:val="20"/>
      </w:rPr>
      <w:fldChar w:fldCharType="begin"/>
    </w:r>
    <w:r w:rsidR="00AA5D44" w:rsidRPr="00AA5D44">
      <w:rPr>
        <w:rFonts w:ascii="Times New Roman" w:hAnsi="Times New Roman" w:cs="Times New Roman"/>
        <w:sz w:val="20"/>
      </w:rPr>
      <w:instrText xml:space="preserve"> page </w:instrText>
    </w:r>
    <w:r w:rsidRPr="00AA5D44">
      <w:rPr>
        <w:rFonts w:ascii="Times New Roman" w:hAnsi="Times New Roman" w:cs="Times New Roman"/>
        <w:sz w:val="20"/>
      </w:rPr>
      <w:fldChar w:fldCharType="separate"/>
    </w:r>
    <w:r w:rsidR="00454666">
      <w:rPr>
        <w:rFonts w:ascii="Times New Roman" w:hAnsi="Times New Roman" w:cs="Times New Roman"/>
        <w:noProof/>
        <w:sz w:val="20"/>
      </w:rPr>
      <w:t>9</w:t>
    </w:r>
    <w:r w:rsidRPr="00AA5D4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B44" w:rsidRDefault="00022B44" w:rsidP="00C87186">
      <w:pPr>
        <w:spacing w:after="0" w:line="240" w:lineRule="auto"/>
      </w:pPr>
      <w:r>
        <w:separator/>
      </w:r>
    </w:p>
  </w:footnote>
  <w:footnote w:type="continuationSeparator" w:id="0">
    <w:p w:rsidR="00022B44" w:rsidRDefault="00022B44" w:rsidP="00C87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44" w:rsidRPr="00AA5D44" w:rsidRDefault="00AA5D44" w:rsidP="00AA5D4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AA5D44">
      <w:rPr>
        <w:rFonts w:ascii="Times New Roman" w:hAnsi="Times New Roman" w:cs="Times New Roman" w:hint="eastAsia"/>
        <w:iCs/>
        <w:color w:val="000000"/>
        <w:sz w:val="20"/>
      </w:rPr>
      <w:tab/>
    </w:r>
    <w:r w:rsidRPr="00AA5D44">
      <w:rPr>
        <w:rFonts w:ascii="Times New Roman" w:hAnsi="Times New Roman" w:cs="Times New Roman"/>
        <w:iCs/>
        <w:color w:val="000000"/>
        <w:sz w:val="20"/>
      </w:rPr>
      <w:t xml:space="preserve">Cancer Biology </w:t>
    </w:r>
    <w:r w:rsidRPr="00AA5D44">
      <w:rPr>
        <w:rFonts w:ascii="Times New Roman" w:hAnsi="Times New Roman" w:cs="Times New Roman"/>
        <w:iCs/>
        <w:sz w:val="20"/>
      </w:rPr>
      <w:t>201</w:t>
    </w:r>
    <w:r w:rsidRPr="00AA5D44">
      <w:rPr>
        <w:rFonts w:ascii="Times New Roman" w:hAnsi="Times New Roman" w:cs="Times New Roman" w:hint="eastAsia"/>
        <w:iCs/>
        <w:sz w:val="20"/>
      </w:rPr>
      <w:t>9</w:t>
    </w:r>
    <w:r w:rsidRPr="00AA5D44">
      <w:rPr>
        <w:rFonts w:ascii="Times New Roman" w:hAnsi="Times New Roman" w:cs="Times New Roman"/>
        <w:iCs/>
        <w:sz w:val="20"/>
      </w:rPr>
      <w:t>;</w:t>
    </w:r>
    <w:r w:rsidRPr="00AA5D44">
      <w:rPr>
        <w:rFonts w:ascii="Times New Roman" w:hAnsi="Times New Roman" w:cs="Times New Roman" w:hint="eastAsia"/>
        <w:iCs/>
        <w:sz w:val="20"/>
      </w:rPr>
      <w:t>9</w:t>
    </w:r>
    <w:r w:rsidRPr="00AA5D44">
      <w:rPr>
        <w:rFonts w:ascii="Times New Roman" w:hAnsi="Times New Roman" w:cs="Times New Roman"/>
        <w:iCs/>
        <w:sz w:val="20"/>
      </w:rPr>
      <w:t>(</w:t>
    </w:r>
    <w:r w:rsidRPr="00AA5D44">
      <w:rPr>
        <w:rFonts w:ascii="Times New Roman" w:hAnsi="Times New Roman" w:cs="Times New Roman" w:hint="eastAsia"/>
        <w:iCs/>
        <w:sz w:val="20"/>
      </w:rPr>
      <w:t>4</w:t>
    </w:r>
    <w:r w:rsidRPr="00AA5D44">
      <w:rPr>
        <w:rFonts w:ascii="Times New Roman" w:hAnsi="Times New Roman" w:cs="Times New Roman"/>
        <w:iCs/>
        <w:sz w:val="20"/>
      </w:rPr>
      <w:t xml:space="preserve">)  </w:t>
    </w:r>
    <w:r w:rsidRPr="00AA5D44">
      <w:rPr>
        <w:rFonts w:ascii="Times New Roman" w:hAnsi="Times New Roman" w:cs="Times New Roman" w:hint="eastAsia"/>
        <w:iCs/>
        <w:sz w:val="20"/>
      </w:rPr>
      <w:t xml:space="preserve">   </w:t>
    </w:r>
    <w:r w:rsidRPr="00AA5D44">
      <w:rPr>
        <w:rFonts w:ascii="Times New Roman" w:hAnsi="Times New Roman" w:cs="Times New Roman" w:hint="eastAsia"/>
        <w:iCs/>
        <w:sz w:val="20"/>
      </w:rPr>
      <w:tab/>
      <w:t xml:space="preserve">   </w:t>
    </w:r>
    <w:r w:rsidRPr="00AA5D44">
      <w:rPr>
        <w:rFonts w:ascii="Times New Roman" w:hAnsi="Times New Roman" w:cs="Times New Roman"/>
        <w:iCs/>
        <w:sz w:val="20"/>
      </w:rPr>
      <w:t xml:space="preserve"> </w:t>
    </w:r>
    <w:r w:rsidRPr="00AA5D44">
      <w:rPr>
        <w:rFonts w:ascii="Times New Roman" w:hAnsi="Times New Roman" w:cs="Times New Roman"/>
        <w:sz w:val="20"/>
      </w:rPr>
      <w:t xml:space="preserve">  </w:t>
    </w:r>
    <w:hyperlink r:id="rId1" w:history="1">
      <w:r w:rsidRPr="00AA5D44">
        <w:rPr>
          <w:rStyle w:val="Hyperlink"/>
          <w:rFonts w:ascii="Times New Roman" w:hAnsi="Times New Roman" w:cs="Times New Roman"/>
          <w:sz w:val="20"/>
        </w:rPr>
        <w:t>http://www.cancerbio.net</w:t>
      </w:r>
    </w:hyperlink>
    <w:r w:rsidRPr="00AA5D44">
      <w:rPr>
        <w:rFonts w:ascii="Times New Roman" w:hAnsi="Times New Roman" w:cs="Times New Roman" w:hint="eastAsia"/>
        <w:sz w:val="20"/>
      </w:rPr>
      <w:t xml:space="preserve">   </w:t>
    </w:r>
    <w:r w:rsidRPr="00AA5D44">
      <w:rPr>
        <w:rFonts w:ascii="Times New Roman" w:hAnsi="Times New Roman" w:cs="Times New Roman" w:hint="eastAsia"/>
        <w:b/>
        <w:i/>
        <w:color w:val="FF0000"/>
        <w:sz w:val="20"/>
        <w:szCs w:val="20"/>
        <w:bdr w:val="single" w:sz="4" w:space="0" w:color="FF0000"/>
      </w:rPr>
      <w:t>CBJ</w:t>
    </w:r>
  </w:p>
  <w:p w:rsidR="00AA5D44" w:rsidRPr="00AA5D44" w:rsidRDefault="00AA5D44" w:rsidP="00AA5D4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40F8"/>
    <w:multiLevelType w:val="hybridMultilevel"/>
    <w:tmpl w:val="6276DF24"/>
    <w:lvl w:ilvl="0" w:tplc="1D546A0C">
      <w:start w:val="1"/>
      <w:numFmt w:val="bullet"/>
      <w:lvlText w:val=""/>
      <w:lvlJc w:val="left"/>
      <w:pPr>
        <w:ind w:left="1470" w:hanging="360"/>
      </w:pPr>
      <w:rPr>
        <w:rFonts w:ascii="Symbol" w:hAnsi="Symbol" w:hint="default"/>
      </w:rPr>
    </w:lvl>
    <w:lvl w:ilvl="1" w:tplc="B55629CA" w:tentative="1">
      <w:start w:val="1"/>
      <w:numFmt w:val="bullet"/>
      <w:lvlText w:val="o"/>
      <w:lvlJc w:val="left"/>
      <w:pPr>
        <w:ind w:left="2190" w:hanging="360"/>
      </w:pPr>
      <w:rPr>
        <w:rFonts w:ascii="Courier New" w:hAnsi="Courier New" w:cs="Courier New" w:hint="default"/>
      </w:rPr>
    </w:lvl>
    <w:lvl w:ilvl="2" w:tplc="905A33DE" w:tentative="1">
      <w:start w:val="1"/>
      <w:numFmt w:val="bullet"/>
      <w:lvlText w:val=""/>
      <w:lvlJc w:val="left"/>
      <w:pPr>
        <w:ind w:left="2910" w:hanging="360"/>
      </w:pPr>
      <w:rPr>
        <w:rFonts w:ascii="Wingdings" w:hAnsi="Wingdings" w:hint="default"/>
      </w:rPr>
    </w:lvl>
    <w:lvl w:ilvl="3" w:tplc="3844049C" w:tentative="1">
      <w:start w:val="1"/>
      <w:numFmt w:val="bullet"/>
      <w:lvlText w:val=""/>
      <w:lvlJc w:val="left"/>
      <w:pPr>
        <w:ind w:left="3630" w:hanging="360"/>
      </w:pPr>
      <w:rPr>
        <w:rFonts w:ascii="Symbol" w:hAnsi="Symbol" w:hint="default"/>
      </w:rPr>
    </w:lvl>
    <w:lvl w:ilvl="4" w:tplc="17FC91D2" w:tentative="1">
      <w:start w:val="1"/>
      <w:numFmt w:val="bullet"/>
      <w:lvlText w:val="o"/>
      <w:lvlJc w:val="left"/>
      <w:pPr>
        <w:ind w:left="4350" w:hanging="360"/>
      </w:pPr>
      <w:rPr>
        <w:rFonts w:ascii="Courier New" w:hAnsi="Courier New" w:cs="Courier New" w:hint="default"/>
      </w:rPr>
    </w:lvl>
    <w:lvl w:ilvl="5" w:tplc="CAE68E4C" w:tentative="1">
      <w:start w:val="1"/>
      <w:numFmt w:val="bullet"/>
      <w:lvlText w:val=""/>
      <w:lvlJc w:val="left"/>
      <w:pPr>
        <w:ind w:left="5070" w:hanging="360"/>
      </w:pPr>
      <w:rPr>
        <w:rFonts w:ascii="Wingdings" w:hAnsi="Wingdings" w:hint="default"/>
      </w:rPr>
    </w:lvl>
    <w:lvl w:ilvl="6" w:tplc="A492F5EE" w:tentative="1">
      <w:start w:val="1"/>
      <w:numFmt w:val="bullet"/>
      <w:lvlText w:val=""/>
      <w:lvlJc w:val="left"/>
      <w:pPr>
        <w:ind w:left="5790" w:hanging="360"/>
      </w:pPr>
      <w:rPr>
        <w:rFonts w:ascii="Symbol" w:hAnsi="Symbol" w:hint="default"/>
      </w:rPr>
    </w:lvl>
    <w:lvl w:ilvl="7" w:tplc="2DB28E00" w:tentative="1">
      <w:start w:val="1"/>
      <w:numFmt w:val="bullet"/>
      <w:lvlText w:val="o"/>
      <w:lvlJc w:val="left"/>
      <w:pPr>
        <w:ind w:left="6510" w:hanging="360"/>
      </w:pPr>
      <w:rPr>
        <w:rFonts w:ascii="Courier New" w:hAnsi="Courier New" w:cs="Courier New" w:hint="default"/>
      </w:rPr>
    </w:lvl>
    <w:lvl w:ilvl="8" w:tplc="274E369A" w:tentative="1">
      <w:start w:val="1"/>
      <w:numFmt w:val="bullet"/>
      <w:lvlText w:val=""/>
      <w:lvlJc w:val="left"/>
      <w:pPr>
        <w:ind w:left="7230" w:hanging="360"/>
      </w:pPr>
      <w:rPr>
        <w:rFonts w:ascii="Wingdings" w:hAnsi="Wingdings" w:hint="default"/>
      </w:rPr>
    </w:lvl>
  </w:abstractNum>
  <w:abstractNum w:abstractNumId="1">
    <w:nsid w:val="12241A1A"/>
    <w:multiLevelType w:val="hybridMultilevel"/>
    <w:tmpl w:val="2E8872FE"/>
    <w:lvl w:ilvl="0" w:tplc="9A808506">
      <w:numFmt w:val="bullet"/>
      <w:lvlText w:val="•"/>
      <w:lvlJc w:val="left"/>
      <w:pPr>
        <w:ind w:left="720" w:hanging="360"/>
      </w:pPr>
      <w:rPr>
        <w:rFonts w:hint="default"/>
        <w:lang w:val="en-US" w:eastAsia="en-US" w:bidi="en-US"/>
      </w:rPr>
    </w:lvl>
    <w:lvl w:ilvl="1" w:tplc="967ED4E6" w:tentative="1">
      <w:start w:val="1"/>
      <w:numFmt w:val="bullet"/>
      <w:lvlText w:val="o"/>
      <w:lvlJc w:val="left"/>
      <w:pPr>
        <w:ind w:left="1440" w:hanging="360"/>
      </w:pPr>
      <w:rPr>
        <w:rFonts w:ascii="Courier New" w:hAnsi="Courier New" w:cs="Courier New" w:hint="default"/>
      </w:rPr>
    </w:lvl>
    <w:lvl w:ilvl="2" w:tplc="0D50219E" w:tentative="1">
      <w:start w:val="1"/>
      <w:numFmt w:val="bullet"/>
      <w:lvlText w:val=""/>
      <w:lvlJc w:val="left"/>
      <w:pPr>
        <w:ind w:left="2160" w:hanging="360"/>
      </w:pPr>
      <w:rPr>
        <w:rFonts w:ascii="Wingdings" w:hAnsi="Wingdings" w:hint="default"/>
      </w:rPr>
    </w:lvl>
    <w:lvl w:ilvl="3" w:tplc="FFD2A97A" w:tentative="1">
      <w:start w:val="1"/>
      <w:numFmt w:val="bullet"/>
      <w:lvlText w:val=""/>
      <w:lvlJc w:val="left"/>
      <w:pPr>
        <w:ind w:left="2880" w:hanging="360"/>
      </w:pPr>
      <w:rPr>
        <w:rFonts w:ascii="Symbol" w:hAnsi="Symbol" w:hint="default"/>
      </w:rPr>
    </w:lvl>
    <w:lvl w:ilvl="4" w:tplc="42A08078" w:tentative="1">
      <w:start w:val="1"/>
      <w:numFmt w:val="bullet"/>
      <w:lvlText w:val="o"/>
      <w:lvlJc w:val="left"/>
      <w:pPr>
        <w:ind w:left="3600" w:hanging="360"/>
      </w:pPr>
      <w:rPr>
        <w:rFonts w:ascii="Courier New" w:hAnsi="Courier New" w:cs="Courier New" w:hint="default"/>
      </w:rPr>
    </w:lvl>
    <w:lvl w:ilvl="5" w:tplc="207696E6" w:tentative="1">
      <w:start w:val="1"/>
      <w:numFmt w:val="bullet"/>
      <w:lvlText w:val=""/>
      <w:lvlJc w:val="left"/>
      <w:pPr>
        <w:ind w:left="4320" w:hanging="360"/>
      </w:pPr>
      <w:rPr>
        <w:rFonts w:ascii="Wingdings" w:hAnsi="Wingdings" w:hint="default"/>
      </w:rPr>
    </w:lvl>
    <w:lvl w:ilvl="6" w:tplc="A2669EC4" w:tentative="1">
      <w:start w:val="1"/>
      <w:numFmt w:val="bullet"/>
      <w:lvlText w:val=""/>
      <w:lvlJc w:val="left"/>
      <w:pPr>
        <w:ind w:left="5040" w:hanging="360"/>
      </w:pPr>
      <w:rPr>
        <w:rFonts w:ascii="Symbol" w:hAnsi="Symbol" w:hint="default"/>
      </w:rPr>
    </w:lvl>
    <w:lvl w:ilvl="7" w:tplc="3FE6A9B4" w:tentative="1">
      <w:start w:val="1"/>
      <w:numFmt w:val="bullet"/>
      <w:lvlText w:val="o"/>
      <w:lvlJc w:val="left"/>
      <w:pPr>
        <w:ind w:left="5760" w:hanging="360"/>
      </w:pPr>
      <w:rPr>
        <w:rFonts w:ascii="Courier New" w:hAnsi="Courier New" w:cs="Courier New" w:hint="default"/>
      </w:rPr>
    </w:lvl>
    <w:lvl w:ilvl="8" w:tplc="D2AA5D74" w:tentative="1">
      <w:start w:val="1"/>
      <w:numFmt w:val="bullet"/>
      <w:lvlText w:val=""/>
      <w:lvlJc w:val="left"/>
      <w:pPr>
        <w:ind w:left="6480" w:hanging="360"/>
      </w:pPr>
      <w:rPr>
        <w:rFonts w:ascii="Wingdings" w:hAnsi="Wingdings" w:hint="default"/>
      </w:rPr>
    </w:lvl>
  </w:abstractNum>
  <w:abstractNum w:abstractNumId="2">
    <w:nsid w:val="136B23FA"/>
    <w:multiLevelType w:val="hybridMultilevel"/>
    <w:tmpl w:val="F1BC3DAA"/>
    <w:lvl w:ilvl="0" w:tplc="BF1E691A">
      <w:start w:val="1"/>
      <w:numFmt w:val="bullet"/>
      <w:lvlText w:val=""/>
      <w:lvlJc w:val="left"/>
      <w:pPr>
        <w:ind w:left="1110" w:hanging="360"/>
      </w:pPr>
      <w:rPr>
        <w:rFonts w:ascii="Symbol" w:hAnsi="Symbol" w:hint="default"/>
      </w:rPr>
    </w:lvl>
    <w:lvl w:ilvl="1" w:tplc="926239B2" w:tentative="1">
      <w:start w:val="1"/>
      <w:numFmt w:val="bullet"/>
      <w:lvlText w:val="o"/>
      <w:lvlJc w:val="left"/>
      <w:pPr>
        <w:ind w:left="1830" w:hanging="360"/>
      </w:pPr>
      <w:rPr>
        <w:rFonts w:ascii="Courier New" w:hAnsi="Courier New" w:cs="Courier New" w:hint="default"/>
      </w:rPr>
    </w:lvl>
    <w:lvl w:ilvl="2" w:tplc="BFD60F52" w:tentative="1">
      <w:start w:val="1"/>
      <w:numFmt w:val="bullet"/>
      <w:lvlText w:val=""/>
      <w:lvlJc w:val="left"/>
      <w:pPr>
        <w:ind w:left="2550" w:hanging="360"/>
      </w:pPr>
      <w:rPr>
        <w:rFonts w:ascii="Wingdings" w:hAnsi="Wingdings" w:hint="default"/>
      </w:rPr>
    </w:lvl>
    <w:lvl w:ilvl="3" w:tplc="33EAEAD2" w:tentative="1">
      <w:start w:val="1"/>
      <w:numFmt w:val="bullet"/>
      <w:lvlText w:val=""/>
      <w:lvlJc w:val="left"/>
      <w:pPr>
        <w:ind w:left="3270" w:hanging="360"/>
      </w:pPr>
      <w:rPr>
        <w:rFonts w:ascii="Symbol" w:hAnsi="Symbol" w:hint="default"/>
      </w:rPr>
    </w:lvl>
    <w:lvl w:ilvl="4" w:tplc="1A7C4BFC" w:tentative="1">
      <w:start w:val="1"/>
      <w:numFmt w:val="bullet"/>
      <w:lvlText w:val="o"/>
      <w:lvlJc w:val="left"/>
      <w:pPr>
        <w:ind w:left="3990" w:hanging="360"/>
      </w:pPr>
      <w:rPr>
        <w:rFonts w:ascii="Courier New" w:hAnsi="Courier New" w:cs="Courier New" w:hint="default"/>
      </w:rPr>
    </w:lvl>
    <w:lvl w:ilvl="5" w:tplc="7CCACDAA" w:tentative="1">
      <w:start w:val="1"/>
      <w:numFmt w:val="bullet"/>
      <w:lvlText w:val=""/>
      <w:lvlJc w:val="left"/>
      <w:pPr>
        <w:ind w:left="4710" w:hanging="360"/>
      </w:pPr>
      <w:rPr>
        <w:rFonts w:ascii="Wingdings" w:hAnsi="Wingdings" w:hint="default"/>
      </w:rPr>
    </w:lvl>
    <w:lvl w:ilvl="6" w:tplc="77B8283A" w:tentative="1">
      <w:start w:val="1"/>
      <w:numFmt w:val="bullet"/>
      <w:lvlText w:val=""/>
      <w:lvlJc w:val="left"/>
      <w:pPr>
        <w:ind w:left="5430" w:hanging="360"/>
      </w:pPr>
      <w:rPr>
        <w:rFonts w:ascii="Symbol" w:hAnsi="Symbol" w:hint="default"/>
      </w:rPr>
    </w:lvl>
    <w:lvl w:ilvl="7" w:tplc="939A128E" w:tentative="1">
      <w:start w:val="1"/>
      <w:numFmt w:val="bullet"/>
      <w:lvlText w:val="o"/>
      <w:lvlJc w:val="left"/>
      <w:pPr>
        <w:ind w:left="6150" w:hanging="360"/>
      </w:pPr>
      <w:rPr>
        <w:rFonts w:ascii="Courier New" w:hAnsi="Courier New" w:cs="Courier New" w:hint="default"/>
      </w:rPr>
    </w:lvl>
    <w:lvl w:ilvl="8" w:tplc="3F8C5D82" w:tentative="1">
      <w:start w:val="1"/>
      <w:numFmt w:val="bullet"/>
      <w:lvlText w:val=""/>
      <w:lvlJc w:val="left"/>
      <w:pPr>
        <w:ind w:left="6870" w:hanging="360"/>
      </w:pPr>
      <w:rPr>
        <w:rFonts w:ascii="Wingdings" w:hAnsi="Wingdings" w:hint="default"/>
      </w:rPr>
    </w:lvl>
  </w:abstractNum>
  <w:abstractNum w:abstractNumId="3">
    <w:nsid w:val="149850EF"/>
    <w:multiLevelType w:val="hybridMultilevel"/>
    <w:tmpl w:val="90BCEC76"/>
    <w:lvl w:ilvl="0" w:tplc="ACD29B7C">
      <w:numFmt w:val="bullet"/>
      <w:lvlText w:val="•"/>
      <w:lvlJc w:val="left"/>
      <w:pPr>
        <w:ind w:left="720" w:hanging="360"/>
      </w:pPr>
      <w:rPr>
        <w:rFonts w:hint="default"/>
        <w:lang w:val="en-US" w:eastAsia="en-US" w:bidi="en-US"/>
      </w:rPr>
    </w:lvl>
    <w:lvl w:ilvl="1" w:tplc="49EEB48E" w:tentative="1">
      <w:start w:val="1"/>
      <w:numFmt w:val="bullet"/>
      <w:lvlText w:val="o"/>
      <w:lvlJc w:val="left"/>
      <w:pPr>
        <w:ind w:left="1440" w:hanging="360"/>
      </w:pPr>
      <w:rPr>
        <w:rFonts w:ascii="Courier New" w:hAnsi="Courier New" w:cs="Courier New" w:hint="default"/>
      </w:rPr>
    </w:lvl>
    <w:lvl w:ilvl="2" w:tplc="43626CC2" w:tentative="1">
      <w:start w:val="1"/>
      <w:numFmt w:val="bullet"/>
      <w:lvlText w:val=""/>
      <w:lvlJc w:val="left"/>
      <w:pPr>
        <w:ind w:left="2160" w:hanging="360"/>
      </w:pPr>
      <w:rPr>
        <w:rFonts w:ascii="Wingdings" w:hAnsi="Wingdings" w:hint="default"/>
      </w:rPr>
    </w:lvl>
    <w:lvl w:ilvl="3" w:tplc="EB048B78" w:tentative="1">
      <w:start w:val="1"/>
      <w:numFmt w:val="bullet"/>
      <w:lvlText w:val=""/>
      <w:lvlJc w:val="left"/>
      <w:pPr>
        <w:ind w:left="2880" w:hanging="360"/>
      </w:pPr>
      <w:rPr>
        <w:rFonts w:ascii="Symbol" w:hAnsi="Symbol" w:hint="default"/>
      </w:rPr>
    </w:lvl>
    <w:lvl w:ilvl="4" w:tplc="1BE0A508" w:tentative="1">
      <w:start w:val="1"/>
      <w:numFmt w:val="bullet"/>
      <w:lvlText w:val="o"/>
      <w:lvlJc w:val="left"/>
      <w:pPr>
        <w:ind w:left="3600" w:hanging="360"/>
      </w:pPr>
      <w:rPr>
        <w:rFonts w:ascii="Courier New" w:hAnsi="Courier New" w:cs="Courier New" w:hint="default"/>
      </w:rPr>
    </w:lvl>
    <w:lvl w:ilvl="5" w:tplc="AED25B58" w:tentative="1">
      <w:start w:val="1"/>
      <w:numFmt w:val="bullet"/>
      <w:lvlText w:val=""/>
      <w:lvlJc w:val="left"/>
      <w:pPr>
        <w:ind w:left="4320" w:hanging="360"/>
      </w:pPr>
      <w:rPr>
        <w:rFonts w:ascii="Wingdings" w:hAnsi="Wingdings" w:hint="default"/>
      </w:rPr>
    </w:lvl>
    <w:lvl w:ilvl="6" w:tplc="C4381788" w:tentative="1">
      <w:start w:val="1"/>
      <w:numFmt w:val="bullet"/>
      <w:lvlText w:val=""/>
      <w:lvlJc w:val="left"/>
      <w:pPr>
        <w:ind w:left="5040" w:hanging="360"/>
      </w:pPr>
      <w:rPr>
        <w:rFonts w:ascii="Symbol" w:hAnsi="Symbol" w:hint="default"/>
      </w:rPr>
    </w:lvl>
    <w:lvl w:ilvl="7" w:tplc="FECA3680" w:tentative="1">
      <w:start w:val="1"/>
      <w:numFmt w:val="bullet"/>
      <w:lvlText w:val="o"/>
      <w:lvlJc w:val="left"/>
      <w:pPr>
        <w:ind w:left="5760" w:hanging="360"/>
      </w:pPr>
      <w:rPr>
        <w:rFonts w:ascii="Courier New" w:hAnsi="Courier New" w:cs="Courier New" w:hint="default"/>
      </w:rPr>
    </w:lvl>
    <w:lvl w:ilvl="8" w:tplc="3984033E" w:tentative="1">
      <w:start w:val="1"/>
      <w:numFmt w:val="bullet"/>
      <w:lvlText w:val=""/>
      <w:lvlJc w:val="left"/>
      <w:pPr>
        <w:ind w:left="6480" w:hanging="360"/>
      </w:pPr>
      <w:rPr>
        <w:rFonts w:ascii="Wingdings" w:hAnsi="Wingdings" w:hint="default"/>
      </w:rPr>
    </w:lvl>
  </w:abstractNum>
  <w:abstractNum w:abstractNumId="4">
    <w:nsid w:val="156C0262"/>
    <w:multiLevelType w:val="hybridMultilevel"/>
    <w:tmpl w:val="1B1A2FC2"/>
    <w:lvl w:ilvl="0" w:tplc="3D6A76A0">
      <w:numFmt w:val="bullet"/>
      <w:lvlText w:val=""/>
      <w:lvlJc w:val="left"/>
      <w:pPr>
        <w:ind w:left="1095" w:hanging="375"/>
      </w:pPr>
      <w:rPr>
        <w:rFonts w:ascii="Symbol" w:eastAsia="Times New Roman" w:hAnsi="Symbol" w:cs="Calibri" w:hint="default"/>
      </w:rPr>
    </w:lvl>
    <w:lvl w:ilvl="1" w:tplc="59826B36" w:tentative="1">
      <w:start w:val="1"/>
      <w:numFmt w:val="bullet"/>
      <w:lvlText w:val="o"/>
      <w:lvlJc w:val="left"/>
      <w:pPr>
        <w:ind w:left="1800" w:hanging="360"/>
      </w:pPr>
      <w:rPr>
        <w:rFonts w:ascii="Courier New" w:hAnsi="Courier New" w:cs="Courier New" w:hint="default"/>
      </w:rPr>
    </w:lvl>
    <w:lvl w:ilvl="2" w:tplc="8EB8C8DC" w:tentative="1">
      <w:start w:val="1"/>
      <w:numFmt w:val="bullet"/>
      <w:lvlText w:val=""/>
      <w:lvlJc w:val="left"/>
      <w:pPr>
        <w:ind w:left="2520" w:hanging="360"/>
      </w:pPr>
      <w:rPr>
        <w:rFonts w:ascii="Wingdings" w:hAnsi="Wingdings" w:hint="default"/>
      </w:rPr>
    </w:lvl>
    <w:lvl w:ilvl="3" w:tplc="59F8F492" w:tentative="1">
      <w:start w:val="1"/>
      <w:numFmt w:val="bullet"/>
      <w:lvlText w:val=""/>
      <w:lvlJc w:val="left"/>
      <w:pPr>
        <w:ind w:left="3240" w:hanging="360"/>
      </w:pPr>
      <w:rPr>
        <w:rFonts w:ascii="Symbol" w:hAnsi="Symbol" w:hint="default"/>
      </w:rPr>
    </w:lvl>
    <w:lvl w:ilvl="4" w:tplc="061CDB7E" w:tentative="1">
      <w:start w:val="1"/>
      <w:numFmt w:val="bullet"/>
      <w:lvlText w:val="o"/>
      <w:lvlJc w:val="left"/>
      <w:pPr>
        <w:ind w:left="3960" w:hanging="360"/>
      </w:pPr>
      <w:rPr>
        <w:rFonts w:ascii="Courier New" w:hAnsi="Courier New" w:cs="Courier New" w:hint="default"/>
      </w:rPr>
    </w:lvl>
    <w:lvl w:ilvl="5" w:tplc="090C4E0E" w:tentative="1">
      <w:start w:val="1"/>
      <w:numFmt w:val="bullet"/>
      <w:lvlText w:val=""/>
      <w:lvlJc w:val="left"/>
      <w:pPr>
        <w:ind w:left="4680" w:hanging="360"/>
      </w:pPr>
      <w:rPr>
        <w:rFonts w:ascii="Wingdings" w:hAnsi="Wingdings" w:hint="default"/>
      </w:rPr>
    </w:lvl>
    <w:lvl w:ilvl="6" w:tplc="BDECB4FE" w:tentative="1">
      <w:start w:val="1"/>
      <w:numFmt w:val="bullet"/>
      <w:lvlText w:val=""/>
      <w:lvlJc w:val="left"/>
      <w:pPr>
        <w:ind w:left="5400" w:hanging="360"/>
      </w:pPr>
      <w:rPr>
        <w:rFonts w:ascii="Symbol" w:hAnsi="Symbol" w:hint="default"/>
      </w:rPr>
    </w:lvl>
    <w:lvl w:ilvl="7" w:tplc="0CDA6A86" w:tentative="1">
      <w:start w:val="1"/>
      <w:numFmt w:val="bullet"/>
      <w:lvlText w:val="o"/>
      <w:lvlJc w:val="left"/>
      <w:pPr>
        <w:ind w:left="6120" w:hanging="360"/>
      </w:pPr>
      <w:rPr>
        <w:rFonts w:ascii="Courier New" w:hAnsi="Courier New" w:cs="Courier New" w:hint="default"/>
      </w:rPr>
    </w:lvl>
    <w:lvl w:ilvl="8" w:tplc="1D4A10AA" w:tentative="1">
      <w:start w:val="1"/>
      <w:numFmt w:val="bullet"/>
      <w:lvlText w:val=""/>
      <w:lvlJc w:val="left"/>
      <w:pPr>
        <w:ind w:left="6840" w:hanging="360"/>
      </w:pPr>
      <w:rPr>
        <w:rFonts w:ascii="Wingdings" w:hAnsi="Wingdings" w:hint="default"/>
      </w:rPr>
    </w:lvl>
  </w:abstractNum>
  <w:abstractNum w:abstractNumId="5">
    <w:nsid w:val="2448063C"/>
    <w:multiLevelType w:val="hybridMultilevel"/>
    <w:tmpl w:val="980CB22C"/>
    <w:lvl w:ilvl="0" w:tplc="86F0110C">
      <w:start w:val="1"/>
      <w:numFmt w:val="bullet"/>
      <w:lvlText w:val=""/>
      <w:lvlJc w:val="left"/>
      <w:pPr>
        <w:ind w:left="1193" w:hanging="360"/>
      </w:pPr>
      <w:rPr>
        <w:rFonts w:ascii="Symbol" w:hAnsi="Symbol" w:hint="default"/>
      </w:rPr>
    </w:lvl>
    <w:lvl w:ilvl="1" w:tplc="4E5A2332" w:tentative="1">
      <w:start w:val="1"/>
      <w:numFmt w:val="bullet"/>
      <w:lvlText w:val="o"/>
      <w:lvlJc w:val="left"/>
      <w:pPr>
        <w:ind w:left="1913" w:hanging="360"/>
      </w:pPr>
      <w:rPr>
        <w:rFonts w:ascii="Courier New" w:hAnsi="Courier New" w:cs="Courier New" w:hint="default"/>
      </w:rPr>
    </w:lvl>
    <w:lvl w:ilvl="2" w:tplc="BC769C38" w:tentative="1">
      <w:start w:val="1"/>
      <w:numFmt w:val="bullet"/>
      <w:lvlText w:val=""/>
      <w:lvlJc w:val="left"/>
      <w:pPr>
        <w:ind w:left="2633" w:hanging="360"/>
      </w:pPr>
      <w:rPr>
        <w:rFonts w:ascii="Wingdings" w:hAnsi="Wingdings" w:hint="default"/>
      </w:rPr>
    </w:lvl>
    <w:lvl w:ilvl="3" w:tplc="AA9E1092" w:tentative="1">
      <w:start w:val="1"/>
      <w:numFmt w:val="bullet"/>
      <w:lvlText w:val=""/>
      <w:lvlJc w:val="left"/>
      <w:pPr>
        <w:ind w:left="3353" w:hanging="360"/>
      </w:pPr>
      <w:rPr>
        <w:rFonts w:ascii="Symbol" w:hAnsi="Symbol" w:hint="default"/>
      </w:rPr>
    </w:lvl>
    <w:lvl w:ilvl="4" w:tplc="167E6508" w:tentative="1">
      <w:start w:val="1"/>
      <w:numFmt w:val="bullet"/>
      <w:lvlText w:val="o"/>
      <w:lvlJc w:val="left"/>
      <w:pPr>
        <w:ind w:left="4073" w:hanging="360"/>
      </w:pPr>
      <w:rPr>
        <w:rFonts w:ascii="Courier New" w:hAnsi="Courier New" w:cs="Courier New" w:hint="default"/>
      </w:rPr>
    </w:lvl>
    <w:lvl w:ilvl="5" w:tplc="3C7E349E" w:tentative="1">
      <w:start w:val="1"/>
      <w:numFmt w:val="bullet"/>
      <w:lvlText w:val=""/>
      <w:lvlJc w:val="left"/>
      <w:pPr>
        <w:ind w:left="4793" w:hanging="360"/>
      </w:pPr>
      <w:rPr>
        <w:rFonts w:ascii="Wingdings" w:hAnsi="Wingdings" w:hint="default"/>
      </w:rPr>
    </w:lvl>
    <w:lvl w:ilvl="6" w:tplc="0ADE515C" w:tentative="1">
      <w:start w:val="1"/>
      <w:numFmt w:val="bullet"/>
      <w:lvlText w:val=""/>
      <w:lvlJc w:val="left"/>
      <w:pPr>
        <w:ind w:left="5513" w:hanging="360"/>
      </w:pPr>
      <w:rPr>
        <w:rFonts w:ascii="Symbol" w:hAnsi="Symbol" w:hint="default"/>
      </w:rPr>
    </w:lvl>
    <w:lvl w:ilvl="7" w:tplc="9676C7FE" w:tentative="1">
      <w:start w:val="1"/>
      <w:numFmt w:val="bullet"/>
      <w:lvlText w:val="o"/>
      <w:lvlJc w:val="left"/>
      <w:pPr>
        <w:ind w:left="6233" w:hanging="360"/>
      </w:pPr>
      <w:rPr>
        <w:rFonts w:ascii="Courier New" w:hAnsi="Courier New" w:cs="Courier New" w:hint="default"/>
      </w:rPr>
    </w:lvl>
    <w:lvl w:ilvl="8" w:tplc="F6D044CC" w:tentative="1">
      <w:start w:val="1"/>
      <w:numFmt w:val="bullet"/>
      <w:lvlText w:val=""/>
      <w:lvlJc w:val="left"/>
      <w:pPr>
        <w:ind w:left="6953" w:hanging="360"/>
      </w:pPr>
      <w:rPr>
        <w:rFonts w:ascii="Wingdings" w:hAnsi="Wingdings" w:hint="default"/>
      </w:rPr>
    </w:lvl>
  </w:abstractNum>
  <w:abstractNum w:abstractNumId="6">
    <w:nsid w:val="29B94EB2"/>
    <w:multiLevelType w:val="multilevel"/>
    <w:tmpl w:val="91B4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00F59"/>
    <w:multiLevelType w:val="hybridMultilevel"/>
    <w:tmpl w:val="E38AA626"/>
    <w:lvl w:ilvl="0" w:tplc="BB0A17EA">
      <w:start w:val="1"/>
      <w:numFmt w:val="bullet"/>
      <w:lvlText w:val=""/>
      <w:lvlJc w:val="left"/>
      <w:pPr>
        <w:ind w:left="720" w:hanging="360"/>
      </w:pPr>
      <w:rPr>
        <w:rFonts w:ascii="Symbol" w:hAnsi="Symbol" w:hint="default"/>
      </w:rPr>
    </w:lvl>
    <w:lvl w:ilvl="1" w:tplc="E738CF06" w:tentative="1">
      <w:start w:val="1"/>
      <w:numFmt w:val="bullet"/>
      <w:lvlText w:val="o"/>
      <w:lvlJc w:val="left"/>
      <w:pPr>
        <w:ind w:left="1440" w:hanging="360"/>
      </w:pPr>
      <w:rPr>
        <w:rFonts w:ascii="Courier New" w:hAnsi="Courier New" w:cs="Courier New" w:hint="default"/>
      </w:rPr>
    </w:lvl>
    <w:lvl w:ilvl="2" w:tplc="D002760E" w:tentative="1">
      <w:start w:val="1"/>
      <w:numFmt w:val="bullet"/>
      <w:lvlText w:val=""/>
      <w:lvlJc w:val="left"/>
      <w:pPr>
        <w:ind w:left="2160" w:hanging="360"/>
      </w:pPr>
      <w:rPr>
        <w:rFonts w:ascii="Wingdings" w:hAnsi="Wingdings" w:hint="default"/>
      </w:rPr>
    </w:lvl>
    <w:lvl w:ilvl="3" w:tplc="5F802056" w:tentative="1">
      <w:start w:val="1"/>
      <w:numFmt w:val="bullet"/>
      <w:lvlText w:val=""/>
      <w:lvlJc w:val="left"/>
      <w:pPr>
        <w:ind w:left="2880" w:hanging="360"/>
      </w:pPr>
      <w:rPr>
        <w:rFonts w:ascii="Symbol" w:hAnsi="Symbol" w:hint="default"/>
      </w:rPr>
    </w:lvl>
    <w:lvl w:ilvl="4" w:tplc="C6E6E8BE" w:tentative="1">
      <w:start w:val="1"/>
      <w:numFmt w:val="bullet"/>
      <w:lvlText w:val="o"/>
      <w:lvlJc w:val="left"/>
      <w:pPr>
        <w:ind w:left="3600" w:hanging="360"/>
      </w:pPr>
      <w:rPr>
        <w:rFonts w:ascii="Courier New" w:hAnsi="Courier New" w:cs="Courier New" w:hint="default"/>
      </w:rPr>
    </w:lvl>
    <w:lvl w:ilvl="5" w:tplc="5914BB5A" w:tentative="1">
      <w:start w:val="1"/>
      <w:numFmt w:val="bullet"/>
      <w:lvlText w:val=""/>
      <w:lvlJc w:val="left"/>
      <w:pPr>
        <w:ind w:left="4320" w:hanging="360"/>
      </w:pPr>
      <w:rPr>
        <w:rFonts w:ascii="Wingdings" w:hAnsi="Wingdings" w:hint="default"/>
      </w:rPr>
    </w:lvl>
    <w:lvl w:ilvl="6" w:tplc="D9F07DBE" w:tentative="1">
      <w:start w:val="1"/>
      <w:numFmt w:val="bullet"/>
      <w:lvlText w:val=""/>
      <w:lvlJc w:val="left"/>
      <w:pPr>
        <w:ind w:left="5040" w:hanging="360"/>
      </w:pPr>
      <w:rPr>
        <w:rFonts w:ascii="Symbol" w:hAnsi="Symbol" w:hint="default"/>
      </w:rPr>
    </w:lvl>
    <w:lvl w:ilvl="7" w:tplc="4E769802" w:tentative="1">
      <w:start w:val="1"/>
      <w:numFmt w:val="bullet"/>
      <w:lvlText w:val="o"/>
      <w:lvlJc w:val="left"/>
      <w:pPr>
        <w:ind w:left="5760" w:hanging="360"/>
      </w:pPr>
      <w:rPr>
        <w:rFonts w:ascii="Courier New" w:hAnsi="Courier New" w:cs="Courier New" w:hint="default"/>
      </w:rPr>
    </w:lvl>
    <w:lvl w:ilvl="8" w:tplc="F23EE65C" w:tentative="1">
      <w:start w:val="1"/>
      <w:numFmt w:val="bullet"/>
      <w:lvlText w:val=""/>
      <w:lvlJc w:val="left"/>
      <w:pPr>
        <w:ind w:left="6480" w:hanging="360"/>
      </w:pPr>
      <w:rPr>
        <w:rFonts w:ascii="Wingdings" w:hAnsi="Wingdings" w:hint="default"/>
      </w:rPr>
    </w:lvl>
  </w:abstractNum>
  <w:abstractNum w:abstractNumId="8">
    <w:nsid w:val="2CB025B8"/>
    <w:multiLevelType w:val="hybridMultilevel"/>
    <w:tmpl w:val="964C84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F65215"/>
    <w:multiLevelType w:val="multilevel"/>
    <w:tmpl w:val="6FACB66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Arial" w:eastAsia="Calibri"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874B5"/>
    <w:multiLevelType w:val="hybridMultilevel"/>
    <w:tmpl w:val="AABA4FB6"/>
    <w:lvl w:ilvl="0" w:tplc="1C4C0DF8">
      <w:numFmt w:val="bullet"/>
      <w:lvlText w:val="•"/>
      <w:lvlJc w:val="left"/>
      <w:pPr>
        <w:ind w:left="1289" w:hanging="360"/>
      </w:pPr>
      <w:rPr>
        <w:rFonts w:hint="default"/>
        <w:lang w:val="en-US" w:eastAsia="en-US" w:bidi="en-US"/>
      </w:rPr>
    </w:lvl>
    <w:lvl w:ilvl="1" w:tplc="487C31EE" w:tentative="1">
      <w:start w:val="1"/>
      <w:numFmt w:val="bullet"/>
      <w:lvlText w:val="o"/>
      <w:lvlJc w:val="left"/>
      <w:pPr>
        <w:ind w:left="2009" w:hanging="360"/>
      </w:pPr>
      <w:rPr>
        <w:rFonts w:ascii="Courier New" w:hAnsi="Courier New" w:cs="Courier New" w:hint="default"/>
      </w:rPr>
    </w:lvl>
    <w:lvl w:ilvl="2" w:tplc="CA641066" w:tentative="1">
      <w:start w:val="1"/>
      <w:numFmt w:val="bullet"/>
      <w:lvlText w:val=""/>
      <w:lvlJc w:val="left"/>
      <w:pPr>
        <w:ind w:left="2729" w:hanging="360"/>
      </w:pPr>
      <w:rPr>
        <w:rFonts w:ascii="Wingdings" w:hAnsi="Wingdings" w:hint="default"/>
      </w:rPr>
    </w:lvl>
    <w:lvl w:ilvl="3" w:tplc="645C7D1C" w:tentative="1">
      <w:start w:val="1"/>
      <w:numFmt w:val="bullet"/>
      <w:lvlText w:val=""/>
      <w:lvlJc w:val="left"/>
      <w:pPr>
        <w:ind w:left="3449" w:hanging="360"/>
      </w:pPr>
      <w:rPr>
        <w:rFonts w:ascii="Symbol" w:hAnsi="Symbol" w:hint="default"/>
      </w:rPr>
    </w:lvl>
    <w:lvl w:ilvl="4" w:tplc="4096348A" w:tentative="1">
      <w:start w:val="1"/>
      <w:numFmt w:val="bullet"/>
      <w:lvlText w:val="o"/>
      <w:lvlJc w:val="left"/>
      <w:pPr>
        <w:ind w:left="4169" w:hanging="360"/>
      </w:pPr>
      <w:rPr>
        <w:rFonts w:ascii="Courier New" w:hAnsi="Courier New" w:cs="Courier New" w:hint="default"/>
      </w:rPr>
    </w:lvl>
    <w:lvl w:ilvl="5" w:tplc="13449632" w:tentative="1">
      <w:start w:val="1"/>
      <w:numFmt w:val="bullet"/>
      <w:lvlText w:val=""/>
      <w:lvlJc w:val="left"/>
      <w:pPr>
        <w:ind w:left="4889" w:hanging="360"/>
      </w:pPr>
      <w:rPr>
        <w:rFonts w:ascii="Wingdings" w:hAnsi="Wingdings" w:hint="default"/>
      </w:rPr>
    </w:lvl>
    <w:lvl w:ilvl="6" w:tplc="8A823774" w:tentative="1">
      <w:start w:val="1"/>
      <w:numFmt w:val="bullet"/>
      <w:lvlText w:val=""/>
      <w:lvlJc w:val="left"/>
      <w:pPr>
        <w:ind w:left="5609" w:hanging="360"/>
      </w:pPr>
      <w:rPr>
        <w:rFonts w:ascii="Symbol" w:hAnsi="Symbol" w:hint="default"/>
      </w:rPr>
    </w:lvl>
    <w:lvl w:ilvl="7" w:tplc="C2ACF838" w:tentative="1">
      <w:start w:val="1"/>
      <w:numFmt w:val="bullet"/>
      <w:lvlText w:val="o"/>
      <w:lvlJc w:val="left"/>
      <w:pPr>
        <w:ind w:left="6329" w:hanging="360"/>
      </w:pPr>
      <w:rPr>
        <w:rFonts w:ascii="Courier New" w:hAnsi="Courier New" w:cs="Courier New" w:hint="default"/>
      </w:rPr>
    </w:lvl>
    <w:lvl w:ilvl="8" w:tplc="167E2310" w:tentative="1">
      <w:start w:val="1"/>
      <w:numFmt w:val="bullet"/>
      <w:lvlText w:val=""/>
      <w:lvlJc w:val="left"/>
      <w:pPr>
        <w:ind w:left="7049" w:hanging="360"/>
      </w:pPr>
      <w:rPr>
        <w:rFonts w:ascii="Wingdings" w:hAnsi="Wingdings" w:hint="default"/>
      </w:rPr>
    </w:lvl>
  </w:abstractNum>
  <w:abstractNum w:abstractNumId="11">
    <w:nsid w:val="3FFA2672"/>
    <w:multiLevelType w:val="multilevel"/>
    <w:tmpl w:val="4F7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65006"/>
    <w:multiLevelType w:val="hybridMultilevel"/>
    <w:tmpl w:val="756059B4"/>
    <w:lvl w:ilvl="0" w:tplc="FF18F2CC">
      <w:numFmt w:val="bullet"/>
      <w:lvlText w:val="•"/>
      <w:lvlJc w:val="left"/>
      <w:pPr>
        <w:ind w:left="720" w:hanging="360"/>
      </w:pPr>
      <w:rPr>
        <w:rFonts w:hint="default"/>
        <w:lang w:val="en-US" w:eastAsia="en-US" w:bidi="en-US"/>
      </w:rPr>
    </w:lvl>
    <w:lvl w:ilvl="1" w:tplc="0E3A16FC" w:tentative="1">
      <w:start w:val="1"/>
      <w:numFmt w:val="bullet"/>
      <w:lvlText w:val="o"/>
      <w:lvlJc w:val="left"/>
      <w:pPr>
        <w:ind w:left="1440" w:hanging="360"/>
      </w:pPr>
      <w:rPr>
        <w:rFonts w:ascii="Courier New" w:hAnsi="Courier New" w:cs="Courier New" w:hint="default"/>
      </w:rPr>
    </w:lvl>
    <w:lvl w:ilvl="2" w:tplc="451A4DAE" w:tentative="1">
      <w:start w:val="1"/>
      <w:numFmt w:val="bullet"/>
      <w:lvlText w:val=""/>
      <w:lvlJc w:val="left"/>
      <w:pPr>
        <w:ind w:left="2160" w:hanging="360"/>
      </w:pPr>
      <w:rPr>
        <w:rFonts w:ascii="Wingdings" w:hAnsi="Wingdings" w:hint="default"/>
      </w:rPr>
    </w:lvl>
    <w:lvl w:ilvl="3" w:tplc="A0464AAA" w:tentative="1">
      <w:start w:val="1"/>
      <w:numFmt w:val="bullet"/>
      <w:lvlText w:val=""/>
      <w:lvlJc w:val="left"/>
      <w:pPr>
        <w:ind w:left="2880" w:hanging="360"/>
      </w:pPr>
      <w:rPr>
        <w:rFonts w:ascii="Symbol" w:hAnsi="Symbol" w:hint="default"/>
      </w:rPr>
    </w:lvl>
    <w:lvl w:ilvl="4" w:tplc="DF82FA66" w:tentative="1">
      <w:start w:val="1"/>
      <w:numFmt w:val="bullet"/>
      <w:lvlText w:val="o"/>
      <w:lvlJc w:val="left"/>
      <w:pPr>
        <w:ind w:left="3600" w:hanging="360"/>
      </w:pPr>
      <w:rPr>
        <w:rFonts w:ascii="Courier New" w:hAnsi="Courier New" w:cs="Courier New" w:hint="default"/>
      </w:rPr>
    </w:lvl>
    <w:lvl w:ilvl="5" w:tplc="D6F2B6B4" w:tentative="1">
      <w:start w:val="1"/>
      <w:numFmt w:val="bullet"/>
      <w:lvlText w:val=""/>
      <w:lvlJc w:val="left"/>
      <w:pPr>
        <w:ind w:left="4320" w:hanging="360"/>
      </w:pPr>
      <w:rPr>
        <w:rFonts w:ascii="Wingdings" w:hAnsi="Wingdings" w:hint="default"/>
      </w:rPr>
    </w:lvl>
    <w:lvl w:ilvl="6" w:tplc="A15E3B44" w:tentative="1">
      <w:start w:val="1"/>
      <w:numFmt w:val="bullet"/>
      <w:lvlText w:val=""/>
      <w:lvlJc w:val="left"/>
      <w:pPr>
        <w:ind w:left="5040" w:hanging="360"/>
      </w:pPr>
      <w:rPr>
        <w:rFonts w:ascii="Symbol" w:hAnsi="Symbol" w:hint="default"/>
      </w:rPr>
    </w:lvl>
    <w:lvl w:ilvl="7" w:tplc="1048098A" w:tentative="1">
      <w:start w:val="1"/>
      <w:numFmt w:val="bullet"/>
      <w:lvlText w:val="o"/>
      <w:lvlJc w:val="left"/>
      <w:pPr>
        <w:ind w:left="5760" w:hanging="360"/>
      </w:pPr>
      <w:rPr>
        <w:rFonts w:ascii="Courier New" w:hAnsi="Courier New" w:cs="Courier New" w:hint="default"/>
      </w:rPr>
    </w:lvl>
    <w:lvl w:ilvl="8" w:tplc="75E44308" w:tentative="1">
      <w:start w:val="1"/>
      <w:numFmt w:val="bullet"/>
      <w:lvlText w:val=""/>
      <w:lvlJc w:val="left"/>
      <w:pPr>
        <w:ind w:left="6480" w:hanging="360"/>
      </w:pPr>
      <w:rPr>
        <w:rFonts w:ascii="Wingdings" w:hAnsi="Wingdings" w:hint="default"/>
      </w:rPr>
    </w:lvl>
  </w:abstractNum>
  <w:abstractNum w:abstractNumId="13">
    <w:nsid w:val="42E17ECA"/>
    <w:multiLevelType w:val="hybridMultilevel"/>
    <w:tmpl w:val="E99EF326"/>
    <w:lvl w:ilvl="0" w:tplc="00F40CAC">
      <w:numFmt w:val="bullet"/>
      <w:lvlText w:val=""/>
      <w:lvlJc w:val="left"/>
      <w:pPr>
        <w:ind w:left="735" w:hanging="375"/>
      </w:pPr>
      <w:rPr>
        <w:rFonts w:ascii="Symbol" w:eastAsia="Times New Roman" w:hAnsi="Symbol" w:cs="Calibri" w:hint="default"/>
      </w:rPr>
    </w:lvl>
    <w:lvl w:ilvl="1" w:tplc="6EAC5AAE" w:tentative="1">
      <w:start w:val="1"/>
      <w:numFmt w:val="bullet"/>
      <w:lvlText w:val="o"/>
      <w:lvlJc w:val="left"/>
      <w:pPr>
        <w:ind w:left="1440" w:hanging="360"/>
      </w:pPr>
      <w:rPr>
        <w:rFonts w:ascii="Courier New" w:hAnsi="Courier New" w:cs="Courier New" w:hint="default"/>
      </w:rPr>
    </w:lvl>
    <w:lvl w:ilvl="2" w:tplc="2F460328" w:tentative="1">
      <w:start w:val="1"/>
      <w:numFmt w:val="bullet"/>
      <w:lvlText w:val=""/>
      <w:lvlJc w:val="left"/>
      <w:pPr>
        <w:ind w:left="2160" w:hanging="360"/>
      </w:pPr>
      <w:rPr>
        <w:rFonts w:ascii="Wingdings" w:hAnsi="Wingdings" w:hint="default"/>
      </w:rPr>
    </w:lvl>
    <w:lvl w:ilvl="3" w:tplc="6AA47726" w:tentative="1">
      <w:start w:val="1"/>
      <w:numFmt w:val="bullet"/>
      <w:lvlText w:val=""/>
      <w:lvlJc w:val="left"/>
      <w:pPr>
        <w:ind w:left="2880" w:hanging="360"/>
      </w:pPr>
      <w:rPr>
        <w:rFonts w:ascii="Symbol" w:hAnsi="Symbol" w:hint="default"/>
      </w:rPr>
    </w:lvl>
    <w:lvl w:ilvl="4" w:tplc="5580A22A" w:tentative="1">
      <w:start w:val="1"/>
      <w:numFmt w:val="bullet"/>
      <w:lvlText w:val="o"/>
      <w:lvlJc w:val="left"/>
      <w:pPr>
        <w:ind w:left="3600" w:hanging="360"/>
      </w:pPr>
      <w:rPr>
        <w:rFonts w:ascii="Courier New" w:hAnsi="Courier New" w:cs="Courier New" w:hint="default"/>
      </w:rPr>
    </w:lvl>
    <w:lvl w:ilvl="5" w:tplc="D212B6F4" w:tentative="1">
      <w:start w:val="1"/>
      <w:numFmt w:val="bullet"/>
      <w:lvlText w:val=""/>
      <w:lvlJc w:val="left"/>
      <w:pPr>
        <w:ind w:left="4320" w:hanging="360"/>
      </w:pPr>
      <w:rPr>
        <w:rFonts w:ascii="Wingdings" w:hAnsi="Wingdings" w:hint="default"/>
      </w:rPr>
    </w:lvl>
    <w:lvl w:ilvl="6" w:tplc="625E092C" w:tentative="1">
      <w:start w:val="1"/>
      <w:numFmt w:val="bullet"/>
      <w:lvlText w:val=""/>
      <w:lvlJc w:val="left"/>
      <w:pPr>
        <w:ind w:left="5040" w:hanging="360"/>
      </w:pPr>
      <w:rPr>
        <w:rFonts w:ascii="Symbol" w:hAnsi="Symbol" w:hint="default"/>
      </w:rPr>
    </w:lvl>
    <w:lvl w:ilvl="7" w:tplc="18A827AC" w:tentative="1">
      <w:start w:val="1"/>
      <w:numFmt w:val="bullet"/>
      <w:lvlText w:val="o"/>
      <w:lvlJc w:val="left"/>
      <w:pPr>
        <w:ind w:left="5760" w:hanging="360"/>
      </w:pPr>
      <w:rPr>
        <w:rFonts w:ascii="Courier New" w:hAnsi="Courier New" w:cs="Courier New" w:hint="default"/>
      </w:rPr>
    </w:lvl>
    <w:lvl w:ilvl="8" w:tplc="5CFCA41A" w:tentative="1">
      <w:start w:val="1"/>
      <w:numFmt w:val="bullet"/>
      <w:lvlText w:val=""/>
      <w:lvlJc w:val="left"/>
      <w:pPr>
        <w:ind w:left="6480" w:hanging="360"/>
      </w:pPr>
      <w:rPr>
        <w:rFonts w:ascii="Wingdings" w:hAnsi="Wingdings" w:hint="default"/>
      </w:rPr>
    </w:lvl>
  </w:abstractNum>
  <w:abstractNum w:abstractNumId="14">
    <w:nsid w:val="555B5BA5"/>
    <w:multiLevelType w:val="multilevel"/>
    <w:tmpl w:val="1F0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880519"/>
    <w:multiLevelType w:val="hybridMultilevel"/>
    <w:tmpl w:val="DD3CFEBE"/>
    <w:lvl w:ilvl="0" w:tplc="A686E310">
      <w:start w:val="3"/>
      <w:numFmt w:val="decimal"/>
      <w:lvlText w:val="%1-"/>
      <w:lvlJc w:val="left"/>
      <w:pPr>
        <w:tabs>
          <w:tab w:val="num" w:pos="360"/>
        </w:tabs>
        <w:ind w:left="360" w:hanging="360"/>
      </w:pPr>
      <w:rPr>
        <w:rFonts w:hint="default"/>
      </w:rPr>
    </w:lvl>
    <w:lvl w:ilvl="1" w:tplc="67F6E30C" w:tentative="1">
      <w:start w:val="1"/>
      <w:numFmt w:val="lowerLetter"/>
      <w:lvlText w:val="%2."/>
      <w:lvlJc w:val="left"/>
      <w:pPr>
        <w:tabs>
          <w:tab w:val="num" w:pos="1080"/>
        </w:tabs>
        <w:ind w:left="1080" w:hanging="360"/>
      </w:pPr>
    </w:lvl>
    <w:lvl w:ilvl="2" w:tplc="F93ABDFA" w:tentative="1">
      <w:start w:val="1"/>
      <w:numFmt w:val="lowerRoman"/>
      <w:lvlText w:val="%3."/>
      <w:lvlJc w:val="right"/>
      <w:pPr>
        <w:tabs>
          <w:tab w:val="num" w:pos="1800"/>
        </w:tabs>
        <w:ind w:left="1800" w:hanging="180"/>
      </w:pPr>
    </w:lvl>
    <w:lvl w:ilvl="3" w:tplc="AB22DD84" w:tentative="1">
      <w:start w:val="1"/>
      <w:numFmt w:val="decimal"/>
      <w:lvlText w:val="%4."/>
      <w:lvlJc w:val="left"/>
      <w:pPr>
        <w:tabs>
          <w:tab w:val="num" w:pos="2520"/>
        </w:tabs>
        <w:ind w:left="2520" w:hanging="360"/>
      </w:pPr>
    </w:lvl>
    <w:lvl w:ilvl="4" w:tplc="C678A1B4" w:tentative="1">
      <w:start w:val="1"/>
      <w:numFmt w:val="lowerLetter"/>
      <w:lvlText w:val="%5."/>
      <w:lvlJc w:val="left"/>
      <w:pPr>
        <w:tabs>
          <w:tab w:val="num" w:pos="3240"/>
        </w:tabs>
        <w:ind w:left="3240" w:hanging="360"/>
      </w:pPr>
    </w:lvl>
    <w:lvl w:ilvl="5" w:tplc="07163646" w:tentative="1">
      <w:start w:val="1"/>
      <w:numFmt w:val="lowerRoman"/>
      <w:lvlText w:val="%6."/>
      <w:lvlJc w:val="right"/>
      <w:pPr>
        <w:tabs>
          <w:tab w:val="num" w:pos="3960"/>
        </w:tabs>
        <w:ind w:left="3960" w:hanging="180"/>
      </w:pPr>
    </w:lvl>
    <w:lvl w:ilvl="6" w:tplc="98161E28" w:tentative="1">
      <w:start w:val="1"/>
      <w:numFmt w:val="decimal"/>
      <w:lvlText w:val="%7."/>
      <w:lvlJc w:val="left"/>
      <w:pPr>
        <w:tabs>
          <w:tab w:val="num" w:pos="4680"/>
        </w:tabs>
        <w:ind w:left="4680" w:hanging="360"/>
      </w:pPr>
    </w:lvl>
    <w:lvl w:ilvl="7" w:tplc="42C4D544" w:tentative="1">
      <w:start w:val="1"/>
      <w:numFmt w:val="lowerLetter"/>
      <w:lvlText w:val="%8."/>
      <w:lvlJc w:val="left"/>
      <w:pPr>
        <w:tabs>
          <w:tab w:val="num" w:pos="5400"/>
        </w:tabs>
        <w:ind w:left="5400" w:hanging="360"/>
      </w:pPr>
    </w:lvl>
    <w:lvl w:ilvl="8" w:tplc="12B02ACC" w:tentative="1">
      <w:start w:val="1"/>
      <w:numFmt w:val="lowerRoman"/>
      <w:lvlText w:val="%9."/>
      <w:lvlJc w:val="right"/>
      <w:pPr>
        <w:tabs>
          <w:tab w:val="num" w:pos="6120"/>
        </w:tabs>
        <w:ind w:left="6120" w:hanging="180"/>
      </w:pPr>
    </w:lvl>
  </w:abstractNum>
  <w:abstractNum w:abstractNumId="16">
    <w:nsid w:val="6AFF7C2E"/>
    <w:multiLevelType w:val="hybridMultilevel"/>
    <w:tmpl w:val="87A2C532"/>
    <w:lvl w:ilvl="0" w:tplc="7B2CE3AC">
      <w:numFmt w:val="bullet"/>
      <w:lvlText w:val=""/>
      <w:lvlJc w:val="left"/>
      <w:pPr>
        <w:ind w:left="929" w:hanging="360"/>
      </w:pPr>
      <w:rPr>
        <w:rFonts w:ascii="Symbol" w:eastAsia="Symbol" w:hAnsi="Symbol" w:cs="Symbol" w:hint="default"/>
        <w:w w:val="99"/>
        <w:sz w:val="32"/>
        <w:szCs w:val="32"/>
        <w:lang w:val="en-US" w:eastAsia="en-US" w:bidi="en-US"/>
      </w:rPr>
    </w:lvl>
    <w:lvl w:ilvl="1" w:tplc="CB26FB2C">
      <w:numFmt w:val="bullet"/>
      <w:lvlText w:val="•"/>
      <w:lvlJc w:val="left"/>
      <w:pPr>
        <w:ind w:left="1688" w:hanging="360"/>
      </w:pPr>
      <w:rPr>
        <w:rFonts w:hint="default"/>
        <w:lang w:val="en-US" w:eastAsia="en-US" w:bidi="en-US"/>
      </w:rPr>
    </w:lvl>
    <w:lvl w:ilvl="2" w:tplc="8DDEEED8">
      <w:numFmt w:val="bullet"/>
      <w:lvlText w:val="•"/>
      <w:lvlJc w:val="left"/>
      <w:pPr>
        <w:ind w:left="2456" w:hanging="360"/>
      </w:pPr>
      <w:rPr>
        <w:rFonts w:hint="default"/>
        <w:lang w:val="en-US" w:eastAsia="en-US" w:bidi="en-US"/>
      </w:rPr>
    </w:lvl>
    <w:lvl w:ilvl="3" w:tplc="91E2F252">
      <w:numFmt w:val="bullet"/>
      <w:lvlText w:val="•"/>
      <w:lvlJc w:val="left"/>
      <w:pPr>
        <w:ind w:left="3224" w:hanging="360"/>
      </w:pPr>
      <w:rPr>
        <w:rFonts w:hint="default"/>
        <w:lang w:val="en-US" w:eastAsia="en-US" w:bidi="en-US"/>
      </w:rPr>
    </w:lvl>
    <w:lvl w:ilvl="4" w:tplc="D4E00E7E">
      <w:numFmt w:val="bullet"/>
      <w:lvlText w:val="•"/>
      <w:lvlJc w:val="left"/>
      <w:pPr>
        <w:ind w:left="3992" w:hanging="360"/>
      </w:pPr>
      <w:rPr>
        <w:rFonts w:hint="default"/>
        <w:lang w:val="en-US" w:eastAsia="en-US" w:bidi="en-US"/>
      </w:rPr>
    </w:lvl>
    <w:lvl w:ilvl="5" w:tplc="76D41CEC">
      <w:numFmt w:val="bullet"/>
      <w:lvlText w:val="•"/>
      <w:lvlJc w:val="left"/>
      <w:pPr>
        <w:ind w:left="4760" w:hanging="360"/>
      </w:pPr>
      <w:rPr>
        <w:rFonts w:hint="default"/>
        <w:lang w:val="en-US" w:eastAsia="en-US" w:bidi="en-US"/>
      </w:rPr>
    </w:lvl>
    <w:lvl w:ilvl="6" w:tplc="0272281E">
      <w:numFmt w:val="bullet"/>
      <w:lvlText w:val="•"/>
      <w:lvlJc w:val="left"/>
      <w:pPr>
        <w:ind w:left="5528" w:hanging="360"/>
      </w:pPr>
      <w:rPr>
        <w:rFonts w:hint="default"/>
        <w:lang w:val="en-US" w:eastAsia="en-US" w:bidi="en-US"/>
      </w:rPr>
    </w:lvl>
    <w:lvl w:ilvl="7" w:tplc="8000E9AE">
      <w:numFmt w:val="bullet"/>
      <w:lvlText w:val="•"/>
      <w:lvlJc w:val="left"/>
      <w:pPr>
        <w:ind w:left="6296" w:hanging="360"/>
      </w:pPr>
      <w:rPr>
        <w:rFonts w:hint="default"/>
        <w:lang w:val="en-US" w:eastAsia="en-US" w:bidi="en-US"/>
      </w:rPr>
    </w:lvl>
    <w:lvl w:ilvl="8" w:tplc="3A00911C">
      <w:numFmt w:val="bullet"/>
      <w:lvlText w:val="•"/>
      <w:lvlJc w:val="left"/>
      <w:pPr>
        <w:ind w:left="7064" w:hanging="360"/>
      </w:pPr>
      <w:rPr>
        <w:rFonts w:hint="default"/>
        <w:lang w:val="en-US" w:eastAsia="en-US" w:bidi="en-US"/>
      </w:rPr>
    </w:lvl>
  </w:abstractNum>
  <w:abstractNum w:abstractNumId="17">
    <w:nsid w:val="6DCF7134"/>
    <w:multiLevelType w:val="hybridMultilevel"/>
    <w:tmpl w:val="4BCA1D54"/>
    <w:lvl w:ilvl="0" w:tplc="E4F88370">
      <w:numFmt w:val="bullet"/>
      <w:lvlText w:val="•"/>
      <w:lvlJc w:val="left"/>
      <w:pPr>
        <w:ind w:left="720" w:hanging="360"/>
      </w:pPr>
      <w:rPr>
        <w:rFonts w:hint="default"/>
        <w:lang w:val="en-US" w:eastAsia="en-US" w:bidi="en-US"/>
      </w:rPr>
    </w:lvl>
    <w:lvl w:ilvl="1" w:tplc="04C0B0CA" w:tentative="1">
      <w:start w:val="1"/>
      <w:numFmt w:val="bullet"/>
      <w:lvlText w:val="o"/>
      <w:lvlJc w:val="left"/>
      <w:pPr>
        <w:ind w:left="1440" w:hanging="360"/>
      </w:pPr>
      <w:rPr>
        <w:rFonts w:ascii="Courier New" w:hAnsi="Courier New" w:cs="Courier New" w:hint="default"/>
      </w:rPr>
    </w:lvl>
    <w:lvl w:ilvl="2" w:tplc="ABF6974A" w:tentative="1">
      <w:start w:val="1"/>
      <w:numFmt w:val="bullet"/>
      <w:lvlText w:val=""/>
      <w:lvlJc w:val="left"/>
      <w:pPr>
        <w:ind w:left="2160" w:hanging="360"/>
      </w:pPr>
      <w:rPr>
        <w:rFonts w:ascii="Wingdings" w:hAnsi="Wingdings" w:hint="default"/>
      </w:rPr>
    </w:lvl>
    <w:lvl w:ilvl="3" w:tplc="9E88486C" w:tentative="1">
      <w:start w:val="1"/>
      <w:numFmt w:val="bullet"/>
      <w:lvlText w:val=""/>
      <w:lvlJc w:val="left"/>
      <w:pPr>
        <w:ind w:left="2880" w:hanging="360"/>
      </w:pPr>
      <w:rPr>
        <w:rFonts w:ascii="Symbol" w:hAnsi="Symbol" w:hint="default"/>
      </w:rPr>
    </w:lvl>
    <w:lvl w:ilvl="4" w:tplc="A45275D4" w:tentative="1">
      <w:start w:val="1"/>
      <w:numFmt w:val="bullet"/>
      <w:lvlText w:val="o"/>
      <w:lvlJc w:val="left"/>
      <w:pPr>
        <w:ind w:left="3600" w:hanging="360"/>
      </w:pPr>
      <w:rPr>
        <w:rFonts w:ascii="Courier New" w:hAnsi="Courier New" w:cs="Courier New" w:hint="default"/>
      </w:rPr>
    </w:lvl>
    <w:lvl w:ilvl="5" w:tplc="C1A6A448" w:tentative="1">
      <w:start w:val="1"/>
      <w:numFmt w:val="bullet"/>
      <w:lvlText w:val=""/>
      <w:lvlJc w:val="left"/>
      <w:pPr>
        <w:ind w:left="4320" w:hanging="360"/>
      </w:pPr>
      <w:rPr>
        <w:rFonts w:ascii="Wingdings" w:hAnsi="Wingdings" w:hint="default"/>
      </w:rPr>
    </w:lvl>
    <w:lvl w:ilvl="6" w:tplc="D4B82B7E" w:tentative="1">
      <w:start w:val="1"/>
      <w:numFmt w:val="bullet"/>
      <w:lvlText w:val=""/>
      <w:lvlJc w:val="left"/>
      <w:pPr>
        <w:ind w:left="5040" w:hanging="360"/>
      </w:pPr>
      <w:rPr>
        <w:rFonts w:ascii="Symbol" w:hAnsi="Symbol" w:hint="default"/>
      </w:rPr>
    </w:lvl>
    <w:lvl w:ilvl="7" w:tplc="C43000A6" w:tentative="1">
      <w:start w:val="1"/>
      <w:numFmt w:val="bullet"/>
      <w:lvlText w:val="o"/>
      <w:lvlJc w:val="left"/>
      <w:pPr>
        <w:ind w:left="5760" w:hanging="360"/>
      </w:pPr>
      <w:rPr>
        <w:rFonts w:ascii="Courier New" w:hAnsi="Courier New" w:cs="Courier New" w:hint="default"/>
      </w:rPr>
    </w:lvl>
    <w:lvl w:ilvl="8" w:tplc="58F074AC" w:tentative="1">
      <w:start w:val="1"/>
      <w:numFmt w:val="bullet"/>
      <w:lvlText w:val=""/>
      <w:lvlJc w:val="left"/>
      <w:pPr>
        <w:ind w:left="6480" w:hanging="360"/>
      </w:pPr>
      <w:rPr>
        <w:rFonts w:ascii="Wingdings" w:hAnsi="Wingdings" w:hint="default"/>
      </w:rPr>
    </w:lvl>
  </w:abstractNum>
  <w:abstractNum w:abstractNumId="18">
    <w:nsid w:val="6FF30A24"/>
    <w:multiLevelType w:val="hybridMultilevel"/>
    <w:tmpl w:val="4DAACFEC"/>
    <w:lvl w:ilvl="0" w:tplc="10EC7B8A">
      <w:start w:val="1"/>
      <w:numFmt w:val="bullet"/>
      <w:lvlText w:val=""/>
      <w:lvlJc w:val="left"/>
      <w:pPr>
        <w:ind w:left="1289" w:hanging="360"/>
      </w:pPr>
      <w:rPr>
        <w:rFonts w:ascii="Symbol" w:hAnsi="Symbol" w:hint="default"/>
      </w:rPr>
    </w:lvl>
    <w:lvl w:ilvl="1" w:tplc="FC143AEC" w:tentative="1">
      <w:start w:val="1"/>
      <w:numFmt w:val="bullet"/>
      <w:lvlText w:val="o"/>
      <w:lvlJc w:val="left"/>
      <w:pPr>
        <w:ind w:left="2009" w:hanging="360"/>
      </w:pPr>
      <w:rPr>
        <w:rFonts w:ascii="Courier New" w:hAnsi="Courier New" w:cs="Courier New" w:hint="default"/>
      </w:rPr>
    </w:lvl>
    <w:lvl w:ilvl="2" w:tplc="D76858F2" w:tentative="1">
      <w:start w:val="1"/>
      <w:numFmt w:val="bullet"/>
      <w:lvlText w:val=""/>
      <w:lvlJc w:val="left"/>
      <w:pPr>
        <w:ind w:left="2729" w:hanging="360"/>
      </w:pPr>
      <w:rPr>
        <w:rFonts w:ascii="Wingdings" w:hAnsi="Wingdings" w:hint="default"/>
      </w:rPr>
    </w:lvl>
    <w:lvl w:ilvl="3" w:tplc="B3BA8E0E" w:tentative="1">
      <w:start w:val="1"/>
      <w:numFmt w:val="bullet"/>
      <w:lvlText w:val=""/>
      <w:lvlJc w:val="left"/>
      <w:pPr>
        <w:ind w:left="3449" w:hanging="360"/>
      </w:pPr>
      <w:rPr>
        <w:rFonts w:ascii="Symbol" w:hAnsi="Symbol" w:hint="default"/>
      </w:rPr>
    </w:lvl>
    <w:lvl w:ilvl="4" w:tplc="1C16DEA2" w:tentative="1">
      <w:start w:val="1"/>
      <w:numFmt w:val="bullet"/>
      <w:lvlText w:val="o"/>
      <w:lvlJc w:val="left"/>
      <w:pPr>
        <w:ind w:left="4169" w:hanging="360"/>
      </w:pPr>
      <w:rPr>
        <w:rFonts w:ascii="Courier New" w:hAnsi="Courier New" w:cs="Courier New" w:hint="default"/>
      </w:rPr>
    </w:lvl>
    <w:lvl w:ilvl="5" w:tplc="A580C43C" w:tentative="1">
      <w:start w:val="1"/>
      <w:numFmt w:val="bullet"/>
      <w:lvlText w:val=""/>
      <w:lvlJc w:val="left"/>
      <w:pPr>
        <w:ind w:left="4889" w:hanging="360"/>
      </w:pPr>
      <w:rPr>
        <w:rFonts w:ascii="Wingdings" w:hAnsi="Wingdings" w:hint="default"/>
      </w:rPr>
    </w:lvl>
    <w:lvl w:ilvl="6" w:tplc="C73863F0" w:tentative="1">
      <w:start w:val="1"/>
      <w:numFmt w:val="bullet"/>
      <w:lvlText w:val=""/>
      <w:lvlJc w:val="left"/>
      <w:pPr>
        <w:ind w:left="5609" w:hanging="360"/>
      </w:pPr>
      <w:rPr>
        <w:rFonts w:ascii="Symbol" w:hAnsi="Symbol" w:hint="default"/>
      </w:rPr>
    </w:lvl>
    <w:lvl w:ilvl="7" w:tplc="4C722A34" w:tentative="1">
      <w:start w:val="1"/>
      <w:numFmt w:val="bullet"/>
      <w:lvlText w:val="o"/>
      <w:lvlJc w:val="left"/>
      <w:pPr>
        <w:ind w:left="6329" w:hanging="360"/>
      </w:pPr>
      <w:rPr>
        <w:rFonts w:ascii="Courier New" w:hAnsi="Courier New" w:cs="Courier New" w:hint="default"/>
      </w:rPr>
    </w:lvl>
    <w:lvl w:ilvl="8" w:tplc="85DCF30E" w:tentative="1">
      <w:start w:val="1"/>
      <w:numFmt w:val="bullet"/>
      <w:lvlText w:val=""/>
      <w:lvlJc w:val="left"/>
      <w:pPr>
        <w:ind w:left="7049" w:hanging="360"/>
      </w:pPr>
      <w:rPr>
        <w:rFonts w:ascii="Wingdings" w:hAnsi="Wingdings" w:hint="default"/>
      </w:rPr>
    </w:lvl>
  </w:abstractNum>
  <w:abstractNum w:abstractNumId="19">
    <w:nsid w:val="74A41069"/>
    <w:multiLevelType w:val="hybridMultilevel"/>
    <w:tmpl w:val="848A2906"/>
    <w:lvl w:ilvl="0" w:tplc="A294ABDC">
      <w:start w:val="4"/>
      <w:numFmt w:val="bullet"/>
      <w:lvlText w:val="-"/>
      <w:lvlJc w:val="left"/>
      <w:pPr>
        <w:ind w:left="1095" w:hanging="375"/>
      </w:pPr>
      <w:rPr>
        <w:rFonts w:ascii="Arial" w:eastAsia="Calibri" w:hAnsi="Arial" w:cs="Arial" w:hint="default"/>
      </w:rPr>
    </w:lvl>
    <w:lvl w:ilvl="1" w:tplc="9F6A5612" w:tentative="1">
      <w:start w:val="1"/>
      <w:numFmt w:val="bullet"/>
      <w:lvlText w:val="o"/>
      <w:lvlJc w:val="left"/>
      <w:pPr>
        <w:ind w:left="1800" w:hanging="360"/>
      </w:pPr>
      <w:rPr>
        <w:rFonts w:ascii="Courier New" w:hAnsi="Courier New" w:cs="Courier New" w:hint="default"/>
      </w:rPr>
    </w:lvl>
    <w:lvl w:ilvl="2" w:tplc="610C9B50" w:tentative="1">
      <w:start w:val="1"/>
      <w:numFmt w:val="bullet"/>
      <w:lvlText w:val=""/>
      <w:lvlJc w:val="left"/>
      <w:pPr>
        <w:ind w:left="2520" w:hanging="360"/>
      </w:pPr>
      <w:rPr>
        <w:rFonts w:ascii="Wingdings" w:hAnsi="Wingdings" w:hint="default"/>
      </w:rPr>
    </w:lvl>
    <w:lvl w:ilvl="3" w:tplc="CF4E6446" w:tentative="1">
      <w:start w:val="1"/>
      <w:numFmt w:val="bullet"/>
      <w:lvlText w:val=""/>
      <w:lvlJc w:val="left"/>
      <w:pPr>
        <w:ind w:left="3240" w:hanging="360"/>
      </w:pPr>
      <w:rPr>
        <w:rFonts w:ascii="Symbol" w:hAnsi="Symbol" w:hint="default"/>
      </w:rPr>
    </w:lvl>
    <w:lvl w:ilvl="4" w:tplc="63B6A1A2" w:tentative="1">
      <w:start w:val="1"/>
      <w:numFmt w:val="bullet"/>
      <w:lvlText w:val="o"/>
      <w:lvlJc w:val="left"/>
      <w:pPr>
        <w:ind w:left="3960" w:hanging="360"/>
      </w:pPr>
      <w:rPr>
        <w:rFonts w:ascii="Courier New" w:hAnsi="Courier New" w:cs="Courier New" w:hint="default"/>
      </w:rPr>
    </w:lvl>
    <w:lvl w:ilvl="5" w:tplc="4A808306" w:tentative="1">
      <w:start w:val="1"/>
      <w:numFmt w:val="bullet"/>
      <w:lvlText w:val=""/>
      <w:lvlJc w:val="left"/>
      <w:pPr>
        <w:ind w:left="4680" w:hanging="360"/>
      </w:pPr>
      <w:rPr>
        <w:rFonts w:ascii="Wingdings" w:hAnsi="Wingdings" w:hint="default"/>
      </w:rPr>
    </w:lvl>
    <w:lvl w:ilvl="6" w:tplc="25BAD868" w:tentative="1">
      <w:start w:val="1"/>
      <w:numFmt w:val="bullet"/>
      <w:lvlText w:val=""/>
      <w:lvlJc w:val="left"/>
      <w:pPr>
        <w:ind w:left="5400" w:hanging="360"/>
      </w:pPr>
      <w:rPr>
        <w:rFonts w:ascii="Symbol" w:hAnsi="Symbol" w:hint="default"/>
      </w:rPr>
    </w:lvl>
    <w:lvl w:ilvl="7" w:tplc="C3E6D0FC" w:tentative="1">
      <w:start w:val="1"/>
      <w:numFmt w:val="bullet"/>
      <w:lvlText w:val="o"/>
      <w:lvlJc w:val="left"/>
      <w:pPr>
        <w:ind w:left="6120" w:hanging="360"/>
      </w:pPr>
      <w:rPr>
        <w:rFonts w:ascii="Courier New" w:hAnsi="Courier New" w:cs="Courier New" w:hint="default"/>
      </w:rPr>
    </w:lvl>
    <w:lvl w:ilvl="8" w:tplc="FBB4C3F8" w:tentative="1">
      <w:start w:val="1"/>
      <w:numFmt w:val="bullet"/>
      <w:lvlText w:val=""/>
      <w:lvlJc w:val="left"/>
      <w:pPr>
        <w:ind w:left="6840" w:hanging="360"/>
      </w:pPr>
      <w:rPr>
        <w:rFonts w:ascii="Wingdings" w:hAnsi="Wingdings" w:hint="default"/>
      </w:rPr>
    </w:lvl>
  </w:abstractNum>
  <w:abstractNum w:abstractNumId="20">
    <w:nsid w:val="74A65BB7"/>
    <w:multiLevelType w:val="multilevel"/>
    <w:tmpl w:val="9570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D6F5C"/>
    <w:multiLevelType w:val="hybridMultilevel"/>
    <w:tmpl w:val="D710110C"/>
    <w:lvl w:ilvl="0" w:tplc="0EF08EB4">
      <w:start w:val="1"/>
      <w:numFmt w:val="bullet"/>
      <w:lvlText w:val=""/>
      <w:lvlJc w:val="left"/>
      <w:pPr>
        <w:ind w:left="720" w:hanging="360"/>
      </w:pPr>
      <w:rPr>
        <w:rFonts w:ascii="Symbol" w:hAnsi="Symbol" w:hint="default"/>
      </w:rPr>
    </w:lvl>
    <w:lvl w:ilvl="1" w:tplc="15EA366E" w:tentative="1">
      <w:start w:val="1"/>
      <w:numFmt w:val="bullet"/>
      <w:lvlText w:val="o"/>
      <w:lvlJc w:val="left"/>
      <w:pPr>
        <w:ind w:left="1440" w:hanging="360"/>
      </w:pPr>
      <w:rPr>
        <w:rFonts w:ascii="Courier New" w:hAnsi="Courier New" w:cs="Courier New" w:hint="default"/>
      </w:rPr>
    </w:lvl>
    <w:lvl w:ilvl="2" w:tplc="69649F8A" w:tentative="1">
      <w:start w:val="1"/>
      <w:numFmt w:val="bullet"/>
      <w:lvlText w:val=""/>
      <w:lvlJc w:val="left"/>
      <w:pPr>
        <w:ind w:left="2160" w:hanging="360"/>
      </w:pPr>
      <w:rPr>
        <w:rFonts w:ascii="Wingdings" w:hAnsi="Wingdings" w:hint="default"/>
      </w:rPr>
    </w:lvl>
    <w:lvl w:ilvl="3" w:tplc="EF402AE6" w:tentative="1">
      <w:start w:val="1"/>
      <w:numFmt w:val="bullet"/>
      <w:lvlText w:val=""/>
      <w:lvlJc w:val="left"/>
      <w:pPr>
        <w:ind w:left="2880" w:hanging="360"/>
      </w:pPr>
      <w:rPr>
        <w:rFonts w:ascii="Symbol" w:hAnsi="Symbol" w:hint="default"/>
      </w:rPr>
    </w:lvl>
    <w:lvl w:ilvl="4" w:tplc="213E8CB6" w:tentative="1">
      <w:start w:val="1"/>
      <w:numFmt w:val="bullet"/>
      <w:lvlText w:val="o"/>
      <w:lvlJc w:val="left"/>
      <w:pPr>
        <w:ind w:left="3600" w:hanging="360"/>
      </w:pPr>
      <w:rPr>
        <w:rFonts w:ascii="Courier New" w:hAnsi="Courier New" w:cs="Courier New" w:hint="default"/>
      </w:rPr>
    </w:lvl>
    <w:lvl w:ilvl="5" w:tplc="C22C9188" w:tentative="1">
      <w:start w:val="1"/>
      <w:numFmt w:val="bullet"/>
      <w:lvlText w:val=""/>
      <w:lvlJc w:val="left"/>
      <w:pPr>
        <w:ind w:left="4320" w:hanging="360"/>
      </w:pPr>
      <w:rPr>
        <w:rFonts w:ascii="Wingdings" w:hAnsi="Wingdings" w:hint="default"/>
      </w:rPr>
    </w:lvl>
    <w:lvl w:ilvl="6" w:tplc="7EFAA03A" w:tentative="1">
      <w:start w:val="1"/>
      <w:numFmt w:val="bullet"/>
      <w:lvlText w:val=""/>
      <w:lvlJc w:val="left"/>
      <w:pPr>
        <w:ind w:left="5040" w:hanging="360"/>
      </w:pPr>
      <w:rPr>
        <w:rFonts w:ascii="Symbol" w:hAnsi="Symbol" w:hint="default"/>
      </w:rPr>
    </w:lvl>
    <w:lvl w:ilvl="7" w:tplc="404E4590" w:tentative="1">
      <w:start w:val="1"/>
      <w:numFmt w:val="bullet"/>
      <w:lvlText w:val="o"/>
      <w:lvlJc w:val="left"/>
      <w:pPr>
        <w:ind w:left="5760" w:hanging="360"/>
      </w:pPr>
      <w:rPr>
        <w:rFonts w:ascii="Courier New" w:hAnsi="Courier New" w:cs="Courier New" w:hint="default"/>
      </w:rPr>
    </w:lvl>
    <w:lvl w:ilvl="8" w:tplc="24FAE4CA"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6"/>
  </w:num>
  <w:num w:numId="5">
    <w:abstractNumId w:val="20"/>
  </w:num>
  <w:num w:numId="6">
    <w:abstractNumId w:val="21"/>
  </w:num>
  <w:num w:numId="7">
    <w:abstractNumId w:val="13"/>
  </w:num>
  <w:num w:numId="8">
    <w:abstractNumId w:val="4"/>
  </w:num>
  <w:num w:numId="9">
    <w:abstractNumId w:val="19"/>
  </w:num>
  <w:num w:numId="10">
    <w:abstractNumId w:val="15"/>
  </w:num>
  <w:num w:numId="11">
    <w:abstractNumId w:val="16"/>
  </w:num>
  <w:num w:numId="12">
    <w:abstractNumId w:val="18"/>
  </w:num>
  <w:num w:numId="13">
    <w:abstractNumId w:val="2"/>
  </w:num>
  <w:num w:numId="14">
    <w:abstractNumId w:val="17"/>
  </w:num>
  <w:num w:numId="15">
    <w:abstractNumId w:val="1"/>
  </w:num>
  <w:num w:numId="16">
    <w:abstractNumId w:val="3"/>
  </w:num>
  <w:num w:numId="17">
    <w:abstractNumId w:val="12"/>
  </w:num>
  <w:num w:numId="18">
    <w:abstractNumId w:val="10"/>
  </w:num>
  <w:num w:numId="19">
    <w:abstractNumId w:val="0"/>
  </w:num>
  <w:num w:numId="20">
    <w:abstractNumId w:val="5"/>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6E5B6D"/>
    <w:rsid w:val="0000144D"/>
    <w:rsid w:val="00007283"/>
    <w:rsid w:val="00022B44"/>
    <w:rsid w:val="000311C1"/>
    <w:rsid w:val="00034E70"/>
    <w:rsid w:val="00046FC6"/>
    <w:rsid w:val="00050942"/>
    <w:rsid w:val="00054A88"/>
    <w:rsid w:val="000568BE"/>
    <w:rsid w:val="00063427"/>
    <w:rsid w:val="00080890"/>
    <w:rsid w:val="00083BDA"/>
    <w:rsid w:val="00092330"/>
    <w:rsid w:val="00092786"/>
    <w:rsid w:val="000A0ACC"/>
    <w:rsid w:val="000A19A2"/>
    <w:rsid w:val="000A45DF"/>
    <w:rsid w:val="000A6035"/>
    <w:rsid w:val="000B2B4B"/>
    <w:rsid w:val="00103D2F"/>
    <w:rsid w:val="00121507"/>
    <w:rsid w:val="001278DC"/>
    <w:rsid w:val="00132A19"/>
    <w:rsid w:val="0014274E"/>
    <w:rsid w:val="00170181"/>
    <w:rsid w:val="00171757"/>
    <w:rsid w:val="00172AD9"/>
    <w:rsid w:val="00177332"/>
    <w:rsid w:val="00180F19"/>
    <w:rsid w:val="001820B1"/>
    <w:rsid w:val="001840B7"/>
    <w:rsid w:val="00185366"/>
    <w:rsid w:val="001931E5"/>
    <w:rsid w:val="00195969"/>
    <w:rsid w:val="001964D4"/>
    <w:rsid w:val="001A18B0"/>
    <w:rsid w:val="001B0052"/>
    <w:rsid w:val="001C2FFC"/>
    <w:rsid w:val="001E5581"/>
    <w:rsid w:val="002015B2"/>
    <w:rsid w:val="00212627"/>
    <w:rsid w:val="002133DA"/>
    <w:rsid w:val="00236CF3"/>
    <w:rsid w:val="00236F17"/>
    <w:rsid w:val="002449AE"/>
    <w:rsid w:val="0024757C"/>
    <w:rsid w:val="00254277"/>
    <w:rsid w:val="00270671"/>
    <w:rsid w:val="0027419F"/>
    <w:rsid w:val="00275B4B"/>
    <w:rsid w:val="00275FB5"/>
    <w:rsid w:val="0027648D"/>
    <w:rsid w:val="00280EED"/>
    <w:rsid w:val="00283C49"/>
    <w:rsid w:val="002A027E"/>
    <w:rsid w:val="002B1581"/>
    <w:rsid w:val="002B3989"/>
    <w:rsid w:val="002D0A0F"/>
    <w:rsid w:val="002D10CF"/>
    <w:rsid w:val="002D252B"/>
    <w:rsid w:val="002D25EE"/>
    <w:rsid w:val="002D38FB"/>
    <w:rsid w:val="002E1EC7"/>
    <w:rsid w:val="002E28C5"/>
    <w:rsid w:val="002E29F2"/>
    <w:rsid w:val="002E471F"/>
    <w:rsid w:val="002E596A"/>
    <w:rsid w:val="002E7CCB"/>
    <w:rsid w:val="002F1784"/>
    <w:rsid w:val="002F258D"/>
    <w:rsid w:val="00323679"/>
    <w:rsid w:val="00327117"/>
    <w:rsid w:val="00335B56"/>
    <w:rsid w:val="003418CB"/>
    <w:rsid w:val="00342285"/>
    <w:rsid w:val="00343DA0"/>
    <w:rsid w:val="00355152"/>
    <w:rsid w:val="0035762C"/>
    <w:rsid w:val="00370204"/>
    <w:rsid w:val="00370E6E"/>
    <w:rsid w:val="00372D4D"/>
    <w:rsid w:val="00376E02"/>
    <w:rsid w:val="003908F7"/>
    <w:rsid w:val="00397D19"/>
    <w:rsid w:val="003A48C3"/>
    <w:rsid w:val="003B036E"/>
    <w:rsid w:val="003D43B6"/>
    <w:rsid w:val="003F2934"/>
    <w:rsid w:val="003F4041"/>
    <w:rsid w:val="0040368E"/>
    <w:rsid w:val="00405D39"/>
    <w:rsid w:val="0042068A"/>
    <w:rsid w:val="00420CFF"/>
    <w:rsid w:val="00425D16"/>
    <w:rsid w:val="004279D6"/>
    <w:rsid w:val="00427E83"/>
    <w:rsid w:val="00432DE6"/>
    <w:rsid w:val="00434613"/>
    <w:rsid w:val="0044537E"/>
    <w:rsid w:val="0045015D"/>
    <w:rsid w:val="0045026E"/>
    <w:rsid w:val="00454666"/>
    <w:rsid w:val="0045519E"/>
    <w:rsid w:val="0047313D"/>
    <w:rsid w:val="00475B8B"/>
    <w:rsid w:val="00482DB2"/>
    <w:rsid w:val="004A10AE"/>
    <w:rsid w:val="004A3EE4"/>
    <w:rsid w:val="004B1E9B"/>
    <w:rsid w:val="004C77BD"/>
    <w:rsid w:val="004C78AF"/>
    <w:rsid w:val="004D0160"/>
    <w:rsid w:val="004D355C"/>
    <w:rsid w:val="004E114D"/>
    <w:rsid w:val="004F1D45"/>
    <w:rsid w:val="004F445D"/>
    <w:rsid w:val="004F6B4C"/>
    <w:rsid w:val="004F7E0D"/>
    <w:rsid w:val="005125EB"/>
    <w:rsid w:val="00512619"/>
    <w:rsid w:val="00514FB6"/>
    <w:rsid w:val="005157B1"/>
    <w:rsid w:val="00516327"/>
    <w:rsid w:val="00524762"/>
    <w:rsid w:val="00534301"/>
    <w:rsid w:val="0054627F"/>
    <w:rsid w:val="00555794"/>
    <w:rsid w:val="00563342"/>
    <w:rsid w:val="0056349A"/>
    <w:rsid w:val="00570B0B"/>
    <w:rsid w:val="005716EE"/>
    <w:rsid w:val="00574632"/>
    <w:rsid w:val="00575302"/>
    <w:rsid w:val="00593E62"/>
    <w:rsid w:val="00595502"/>
    <w:rsid w:val="00597431"/>
    <w:rsid w:val="005B36DA"/>
    <w:rsid w:val="005C0437"/>
    <w:rsid w:val="005C5120"/>
    <w:rsid w:val="005E3786"/>
    <w:rsid w:val="005E7D07"/>
    <w:rsid w:val="00622EA7"/>
    <w:rsid w:val="006315D8"/>
    <w:rsid w:val="00633955"/>
    <w:rsid w:val="00635C62"/>
    <w:rsid w:val="00637E33"/>
    <w:rsid w:val="00642899"/>
    <w:rsid w:val="00651D3C"/>
    <w:rsid w:val="00652750"/>
    <w:rsid w:val="00653F52"/>
    <w:rsid w:val="00653FE5"/>
    <w:rsid w:val="0065695B"/>
    <w:rsid w:val="00663381"/>
    <w:rsid w:val="006648C5"/>
    <w:rsid w:val="006820C5"/>
    <w:rsid w:val="00697F3A"/>
    <w:rsid w:val="006A03DA"/>
    <w:rsid w:val="006A59FD"/>
    <w:rsid w:val="006A6AB1"/>
    <w:rsid w:val="006B767F"/>
    <w:rsid w:val="006C0F18"/>
    <w:rsid w:val="006C4A0C"/>
    <w:rsid w:val="006D05AA"/>
    <w:rsid w:val="006D5688"/>
    <w:rsid w:val="006D6D43"/>
    <w:rsid w:val="006E0329"/>
    <w:rsid w:val="006E18E1"/>
    <w:rsid w:val="006E262F"/>
    <w:rsid w:val="006E2688"/>
    <w:rsid w:val="006E398A"/>
    <w:rsid w:val="006E5B6D"/>
    <w:rsid w:val="006F0560"/>
    <w:rsid w:val="006F37E3"/>
    <w:rsid w:val="0071044F"/>
    <w:rsid w:val="00711D74"/>
    <w:rsid w:val="00714D3D"/>
    <w:rsid w:val="0072223A"/>
    <w:rsid w:val="00725E6C"/>
    <w:rsid w:val="007329C5"/>
    <w:rsid w:val="00736424"/>
    <w:rsid w:val="00742457"/>
    <w:rsid w:val="0074314B"/>
    <w:rsid w:val="0075277F"/>
    <w:rsid w:val="00754344"/>
    <w:rsid w:val="00757128"/>
    <w:rsid w:val="00777575"/>
    <w:rsid w:val="007A1C57"/>
    <w:rsid w:val="007B518E"/>
    <w:rsid w:val="007C2130"/>
    <w:rsid w:val="007C43E2"/>
    <w:rsid w:val="007C5D49"/>
    <w:rsid w:val="007E73D9"/>
    <w:rsid w:val="007F115D"/>
    <w:rsid w:val="008046A4"/>
    <w:rsid w:val="008120F2"/>
    <w:rsid w:val="00822633"/>
    <w:rsid w:val="00851077"/>
    <w:rsid w:val="0086171C"/>
    <w:rsid w:val="00864791"/>
    <w:rsid w:val="00871477"/>
    <w:rsid w:val="00873A4D"/>
    <w:rsid w:val="008B0053"/>
    <w:rsid w:val="008C40C5"/>
    <w:rsid w:val="008C6E6E"/>
    <w:rsid w:val="008D2CCB"/>
    <w:rsid w:val="008D2DD7"/>
    <w:rsid w:val="008D715B"/>
    <w:rsid w:val="008E240A"/>
    <w:rsid w:val="008E5FBA"/>
    <w:rsid w:val="00906102"/>
    <w:rsid w:val="00906619"/>
    <w:rsid w:val="00910105"/>
    <w:rsid w:val="00921F6B"/>
    <w:rsid w:val="00924925"/>
    <w:rsid w:val="009262AE"/>
    <w:rsid w:val="0093614C"/>
    <w:rsid w:val="00940F89"/>
    <w:rsid w:val="00943612"/>
    <w:rsid w:val="009675E4"/>
    <w:rsid w:val="0097782C"/>
    <w:rsid w:val="009858FE"/>
    <w:rsid w:val="0098798A"/>
    <w:rsid w:val="00995CC5"/>
    <w:rsid w:val="009A7D13"/>
    <w:rsid w:val="009B4DA4"/>
    <w:rsid w:val="009C7736"/>
    <w:rsid w:val="009D348C"/>
    <w:rsid w:val="009E226B"/>
    <w:rsid w:val="009E5FEE"/>
    <w:rsid w:val="009F07A2"/>
    <w:rsid w:val="009F1957"/>
    <w:rsid w:val="009F7A89"/>
    <w:rsid w:val="00A004E4"/>
    <w:rsid w:val="00A03204"/>
    <w:rsid w:val="00A115C3"/>
    <w:rsid w:val="00A2049C"/>
    <w:rsid w:val="00A24DA8"/>
    <w:rsid w:val="00A31EF0"/>
    <w:rsid w:val="00A33139"/>
    <w:rsid w:val="00A35CA0"/>
    <w:rsid w:val="00A378DB"/>
    <w:rsid w:val="00A45D03"/>
    <w:rsid w:val="00A45E6B"/>
    <w:rsid w:val="00A5299C"/>
    <w:rsid w:val="00A52CEE"/>
    <w:rsid w:val="00A52CFC"/>
    <w:rsid w:val="00A61987"/>
    <w:rsid w:val="00A751F4"/>
    <w:rsid w:val="00A80649"/>
    <w:rsid w:val="00A8257A"/>
    <w:rsid w:val="00A82DA2"/>
    <w:rsid w:val="00A860DA"/>
    <w:rsid w:val="00AA0AB0"/>
    <w:rsid w:val="00AA371B"/>
    <w:rsid w:val="00AA3BE0"/>
    <w:rsid w:val="00AA5D44"/>
    <w:rsid w:val="00AD5E6E"/>
    <w:rsid w:val="00AD7713"/>
    <w:rsid w:val="00B07C22"/>
    <w:rsid w:val="00B12BEE"/>
    <w:rsid w:val="00B27FEF"/>
    <w:rsid w:val="00B34249"/>
    <w:rsid w:val="00B35A5C"/>
    <w:rsid w:val="00B40F3A"/>
    <w:rsid w:val="00B438E0"/>
    <w:rsid w:val="00B5252B"/>
    <w:rsid w:val="00B74C7F"/>
    <w:rsid w:val="00B772DE"/>
    <w:rsid w:val="00B85B02"/>
    <w:rsid w:val="00B87D2C"/>
    <w:rsid w:val="00BA7669"/>
    <w:rsid w:val="00BB5EC1"/>
    <w:rsid w:val="00BB7492"/>
    <w:rsid w:val="00BC1819"/>
    <w:rsid w:val="00BC6742"/>
    <w:rsid w:val="00BD7183"/>
    <w:rsid w:val="00BE1238"/>
    <w:rsid w:val="00BE3BFB"/>
    <w:rsid w:val="00BE4035"/>
    <w:rsid w:val="00BF2715"/>
    <w:rsid w:val="00BF4DCE"/>
    <w:rsid w:val="00C0231F"/>
    <w:rsid w:val="00C07B46"/>
    <w:rsid w:val="00C112AF"/>
    <w:rsid w:val="00C222D2"/>
    <w:rsid w:val="00C32C8A"/>
    <w:rsid w:val="00C3515B"/>
    <w:rsid w:val="00C44C2C"/>
    <w:rsid w:val="00C47E4B"/>
    <w:rsid w:val="00C560DB"/>
    <w:rsid w:val="00C60A0A"/>
    <w:rsid w:val="00C6766D"/>
    <w:rsid w:val="00C87186"/>
    <w:rsid w:val="00C95BE2"/>
    <w:rsid w:val="00C95EF4"/>
    <w:rsid w:val="00C979D8"/>
    <w:rsid w:val="00CB1A68"/>
    <w:rsid w:val="00CB20CD"/>
    <w:rsid w:val="00CB2854"/>
    <w:rsid w:val="00CB5804"/>
    <w:rsid w:val="00CB738B"/>
    <w:rsid w:val="00CC577A"/>
    <w:rsid w:val="00CD4972"/>
    <w:rsid w:val="00CF1090"/>
    <w:rsid w:val="00D11322"/>
    <w:rsid w:val="00D16786"/>
    <w:rsid w:val="00D31774"/>
    <w:rsid w:val="00D34ED4"/>
    <w:rsid w:val="00D41161"/>
    <w:rsid w:val="00D42854"/>
    <w:rsid w:val="00D4505F"/>
    <w:rsid w:val="00D5003E"/>
    <w:rsid w:val="00D53E6E"/>
    <w:rsid w:val="00D63548"/>
    <w:rsid w:val="00D65F8F"/>
    <w:rsid w:val="00D71B94"/>
    <w:rsid w:val="00D83C7D"/>
    <w:rsid w:val="00D87A3A"/>
    <w:rsid w:val="00DB2A7E"/>
    <w:rsid w:val="00DC6CBC"/>
    <w:rsid w:val="00DD2D0B"/>
    <w:rsid w:val="00DE0575"/>
    <w:rsid w:val="00DE175B"/>
    <w:rsid w:val="00DE2029"/>
    <w:rsid w:val="00DE251C"/>
    <w:rsid w:val="00DF2EE1"/>
    <w:rsid w:val="00DF313C"/>
    <w:rsid w:val="00DF330E"/>
    <w:rsid w:val="00E004E5"/>
    <w:rsid w:val="00E075C7"/>
    <w:rsid w:val="00E1105F"/>
    <w:rsid w:val="00E216CC"/>
    <w:rsid w:val="00E23AFF"/>
    <w:rsid w:val="00E27392"/>
    <w:rsid w:val="00E32D35"/>
    <w:rsid w:val="00E35128"/>
    <w:rsid w:val="00E447F4"/>
    <w:rsid w:val="00E70C76"/>
    <w:rsid w:val="00E76ACB"/>
    <w:rsid w:val="00E77142"/>
    <w:rsid w:val="00E932D6"/>
    <w:rsid w:val="00E96EDA"/>
    <w:rsid w:val="00E97E8B"/>
    <w:rsid w:val="00EB3FD0"/>
    <w:rsid w:val="00EB5E99"/>
    <w:rsid w:val="00EC37B9"/>
    <w:rsid w:val="00EC3EE1"/>
    <w:rsid w:val="00EC4161"/>
    <w:rsid w:val="00EC4635"/>
    <w:rsid w:val="00ED4720"/>
    <w:rsid w:val="00ED646E"/>
    <w:rsid w:val="00ED6754"/>
    <w:rsid w:val="00EE214B"/>
    <w:rsid w:val="00EF3748"/>
    <w:rsid w:val="00EF44EC"/>
    <w:rsid w:val="00F1137D"/>
    <w:rsid w:val="00F15E6B"/>
    <w:rsid w:val="00F22FCA"/>
    <w:rsid w:val="00F32358"/>
    <w:rsid w:val="00F32DD8"/>
    <w:rsid w:val="00F41189"/>
    <w:rsid w:val="00F44CEA"/>
    <w:rsid w:val="00F5656E"/>
    <w:rsid w:val="00F744EE"/>
    <w:rsid w:val="00F865D6"/>
    <w:rsid w:val="00F90257"/>
    <w:rsid w:val="00FA28F1"/>
    <w:rsid w:val="00FA7F74"/>
    <w:rsid w:val="00FC604C"/>
    <w:rsid w:val="00FD125B"/>
    <w:rsid w:val="00FD44E3"/>
    <w:rsid w:val="00FF0697"/>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D9"/>
    <w:pPr>
      <w:bidi/>
      <w:spacing w:after="200" w:line="276" w:lineRule="auto"/>
    </w:pPr>
    <w:rPr>
      <w:sz w:val="22"/>
      <w:szCs w:val="22"/>
      <w:lang w:eastAsia="en-US"/>
    </w:rPr>
  </w:style>
  <w:style w:type="paragraph" w:styleId="Heading1">
    <w:name w:val="heading 1"/>
    <w:basedOn w:val="Normal"/>
    <w:link w:val="Heading1Char"/>
    <w:uiPriority w:val="9"/>
    <w:qFormat/>
    <w:rsid w:val="006A6AB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idodelatabla">
    <w:name w:val="Contenido de la tabla"/>
    <w:basedOn w:val="Normal"/>
    <w:rsid w:val="006E5B6D"/>
    <w:pPr>
      <w:widowControl w:val="0"/>
      <w:suppressLineNumbers/>
      <w:suppressAutoHyphens/>
      <w:bidi w:val="0"/>
      <w:spacing w:after="0" w:line="240" w:lineRule="auto"/>
    </w:pPr>
    <w:rPr>
      <w:rFonts w:ascii="Times New Roman" w:eastAsia="DejaVu Sans" w:hAnsi="Times New Roman" w:cs="Times New Roman"/>
      <w:kern w:val="1"/>
      <w:sz w:val="24"/>
      <w:szCs w:val="24"/>
      <w:lang w:val="en-GB"/>
    </w:rPr>
  </w:style>
  <w:style w:type="paragraph" w:styleId="BalloonText">
    <w:name w:val="Balloon Text"/>
    <w:basedOn w:val="Normal"/>
    <w:link w:val="BalloonTextChar"/>
    <w:uiPriority w:val="99"/>
    <w:semiHidden/>
    <w:unhideWhenUsed/>
    <w:rsid w:val="00DF3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3C"/>
    <w:rPr>
      <w:rFonts w:ascii="Tahoma" w:hAnsi="Tahoma" w:cs="Tahoma"/>
      <w:sz w:val="16"/>
      <w:szCs w:val="16"/>
    </w:rPr>
  </w:style>
  <w:style w:type="character" w:styleId="Hyperlink">
    <w:name w:val="Hyperlink"/>
    <w:basedOn w:val="DefaultParagraphFont"/>
    <w:uiPriority w:val="99"/>
    <w:unhideWhenUsed/>
    <w:rsid w:val="006A03DA"/>
    <w:rPr>
      <w:color w:val="0000FF"/>
      <w:u w:val="single"/>
    </w:rPr>
  </w:style>
  <w:style w:type="paragraph" w:customStyle="1" w:styleId="Default">
    <w:name w:val="Default"/>
    <w:rsid w:val="0000144D"/>
    <w:pPr>
      <w:autoSpaceDE w:val="0"/>
      <w:autoSpaceDN w:val="0"/>
      <w:adjustRightInd w:val="0"/>
    </w:pPr>
    <w:rPr>
      <w:rFonts w:ascii="Times New Roman" w:hAnsi="Times New Roman" w:cs="Times New Roman"/>
      <w:color w:val="000000"/>
      <w:sz w:val="24"/>
      <w:szCs w:val="24"/>
      <w:lang w:eastAsia="en-US"/>
    </w:rPr>
  </w:style>
  <w:style w:type="paragraph" w:styleId="Header">
    <w:name w:val="header"/>
    <w:basedOn w:val="Normal"/>
    <w:link w:val="HeaderChar"/>
    <w:uiPriority w:val="99"/>
    <w:unhideWhenUsed/>
    <w:rsid w:val="00C871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7186"/>
  </w:style>
  <w:style w:type="paragraph" w:styleId="Footer">
    <w:name w:val="footer"/>
    <w:basedOn w:val="Normal"/>
    <w:link w:val="FooterChar"/>
    <w:uiPriority w:val="99"/>
    <w:unhideWhenUsed/>
    <w:rsid w:val="00C871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7186"/>
  </w:style>
  <w:style w:type="paragraph" w:styleId="ListParagraph">
    <w:name w:val="List Paragraph"/>
    <w:basedOn w:val="Normal"/>
    <w:uiPriority w:val="34"/>
    <w:qFormat/>
    <w:rsid w:val="00080890"/>
    <w:pPr>
      <w:ind w:left="720"/>
      <w:contextualSpacing/>
    </w:pPr>
  </w:style>
  <w:style w:type="paragraph" w:styleId="NoSpacing">
    <w:name w:val="No Spacing"/>
    <w:link w:val="NoSpacingChar"/>
    <w:qFormat/>
    <w:rsid w:val="00C60A0A"/>
    <w:rPr>
      <w:rFonts w:eastAsia="Times New Roman"/>
      <w:sz w:val="22"/>
      <w:szCs w:val="22"/>
      <w:lang w:eastAsia="ja-JP"/>
    </w:rPr>
  </w:style>
  <w:style w:type="character" w:customStyle="1" w:styleId="NoSpacingChar">
    <w:name w:val="No Spacing Char"/>
    <w:basedOn w:val="DefaultParagraphFont"/>
    <w:link w:val="NoSpacing"/>
    <w:rsid w:val="00C60A0A"/>
    <w:rPr>
      <w:rFonts w:eastAsia="Times New Roman"/>
      <w:sz w:val="22"/>
      <w:szCs w:val="22"/>
      <w:lang w:val="en-US" w:eastAsia="ja-JP" w:bidi="ar-SA"/>
    </w:rPr>
  </w:style>
  <w:style w:type="table" w:styleId="LightShading-Accent2">
    <w:name w:val="Light Shading Accent 2"/>
    <w:basedOn w:val="TableNormal"/>
    <w:uiPriority w:val="60"/>
    <w:rsid w:val="00372D4D"/>
    <w:rPr>
      <w:color w:val="943634"/>
    </w:rPr>
    <w:tblPr>
      <w:tblStyleRowBandSize w:val="1"/>
      <w:tblStyleColBandSize w:val="1"/>
      <w:tblInd w:w="0" w:type="dxa"/>
      <w:tblBorders>
        <w:top w:val="single" w:sz="8" w:space="0" w:color="C0504D"/>
        <w:left w:val="nil"/>
        <w:bottom w:val="single" w:sz="8" w:space="0" w:color="C0504D"/>
        <w:right w:val="nil"/>
        <w:insideH w:val="nil"/>
        <w:insideV w:val="nil"/>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5">
    <w:name w:val="Light Grid Accent 5"/>
    <w:basedOn w:val="TableNormal"/>
    <w:uiPriority w:val="62"/>
    <w:rsid w:val="0094361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94361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11">
    <w:name w:val="Medium Shading 1 - Accent 11"/>
    <w:basedOn w:val="TableNormal"/>
    <w:uiPriority w:val="63"/>
    <w:rsid w:val="0017733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nil"/>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5">
    <w:name w:val="Light List Accent 5"/>
    <w:basedOn w:val="TableNormal"/>
    <w:uiPriority w:val="61"/>
    <w:rsid w:val="00BE403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nil"/>
        <w:insideV w:val="nil"/>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5">
    <w:name w:val="Medium Grid 1 Accent 5"/>
    <w:basedOn w:val="TableNormal"/>
    <w:uiPriority w:val="67"/>
    <w:rsid w:val="000A0A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Grid-Accent4">
    <w:name w:val="Light Grid Accent 4"/>
    <w:basedOn w:val="TableNormal"/>
    <w:uiPriority w:val="62"/>
    <w:rsid w:val="000A0A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eading1Char">
    <w:name w:val="Heading 1 Char"/>
    <w:basedOn w:val="DefaultParagraphFont"/>
    <w:link w:val="Heading1"/>
    <w:uiPriority w:val="9"/>
    <w:rsid w:val="006A6AB1"/>
    <w:rPr>
      <w:rFonts w:ascii="Times New Roman" w:eastAsia="Times New Roman" w:hAnsi="Times New Roman" w:cs="Times New Roman"/>
      <w:b/>
      <w:bCs/>
      <w:kern w:val="36"/>
      <w:sz w:val="48"/>
      <w:szCs w:val="48"/>
      <w:lang w:val="en-CA" w:eastAsia="en-CA"/>
    </w:rPr>
  </w:style>
  <w:style w:type="character" w:customStyle="1" w:styleId="msonormal0">
    <w:name w:val="msonormal0"/>
    <w:basedOn w:val="DefaultParagraphFont"/>
    <w:rsid w:val="005716EE"/>
  </w:style>
</w:styles>
</file>

<file path=word/webSettings.xml><?xml version="1.0" encoding="utf-8"?>
<w:webSettings xmlns:r="http://schemas.openxmlformats.org/officeDocument/2006/relationships" xmlns:w="http://schemas.openxmlformats.org/wordprocessingml/2006/main">
  <w:divs>
    <w:div w:id="416443414">
      <w:bodyDiv w:val="1"/>
      <w:marLeft w:val="0"/>
      <w:marRight w:val="0"/>
      <w:marTop w:val="0"/>
      <w:marBottom w:val="0"/>
      <w:divBdr>
        <w:top w:val="none" w:sz="0" w:space="0" w:color="auto"/>
        <w:left w:val="none" w:sz="0" w:space="0" w:color="auto"/>
        <w:bottom w:val="none" w:sz="0" w:space="0" w:color="auto"/>
        <w:right w:val="none" w:sz="0" w:space="0" w:color="auto"/>
      </w:divBdr>
    </w:div>
    <w:div w:id="556401589">
      <w:bodyDiv w:val="1"/>
      <w:marLeft w:val="0"/>
      <w:marRight w:val="0"/>
      <w:marTop w:val="0"/>
      <w:marBottom w:val="0"/>
      <w:divBdr>
        <w:top w:val="none" w:sz="0" w:space="0" w:color="auto"/>
        <w:left w:val="none" w:sz="0" w:space="0" w:color="auto"/>
        <w:bottom w:val="none" w:sz="0" w:space="0" w:color="auto"/>
        <w:right w:val="none" w:sz="0" w:space="0" w:color="auto"/>
      </w:divBdr>
      <w:divsChild>
        <w:div w:id="237835443">
          <w:marLeft w:val="0"/>
          <w:marRight w:val="0"/>
          <w:marTop w:val="0"/>
          <w:marBottom w:val="0"/>
          <w:divBdr>
            <w:top w:val="none" w:sz="0" w:space="0" w:color="auto"/>
            <w:left w:val="none" w:sz="0" w:space="0" w:color="auto"/>
            <w:bottom w:val="none" w:sz="0" w:space="0" w:color="auto"/>
            <w:right w:val="none" w:sz="0" w:space="0" w:color="auto"/>
          </w:divBdr>
        </w:div>
      </w:divsChild>
    </w:div>
    <w:div w:id="57895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weelah_eg@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cbj090419.0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E835-3FCA-4785-93A5-5F29D4B8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7026</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46987</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4325445</vt:i4>
      </vt:variant>
      <vt:variant>
        <vt:i4>0</vt:i4>
      </vt:variant>
      <vt:variant>
        <vt:i4>0</vt:i4>
      </vt:variant>
      <vt:variant>
        <vt:i4>5</vt:i4>
      </vt:variant>
      <vt:variant>
        <vt:lpwstr>mailto:taweelah_eg@hotmail.com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5</cp:revision>
  <cp:lastPrinted>2019-09-11T16:52:00Z</cp:lastPrinted>
  <dcterms:created xsi:type="dcterms:W3CDTF">2019-09-14T06:44:00Z</dcterms:created>
  <dcterms:modified xsi:type="dcterms:W3CDTF">2019-09-16T02:19:00Z</dcterms:modified>
</cp:coreProperties>
</file>