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3330" w:rsidRPr="00827AA9" w:rsidRDefault="003F13ED" w:rsidP="00827AA9">
      <w:pPr>
        <w:snapToGrid w:val="0"/>
        <w:spacing w:after="0" w:line="240" w:lineRule="auto"/>
        <w:jc w:val="center"/>
        <w:rPr>
          <w:rFonts w:ascii="Times New Roman" w:hAnsi="Times New Roman" w:cs="Times New Roman"/>
          <w:b/>
          <w:sz w:val="20"/>
          <w:szCs w:val="20"/>
        </w:rPr>
      </w:pPr>
      <w:bookmarkStart w:id="0" w:name="_GoBack"/>
      <w:bookmarkEnd w:id="0"/>
      <w:r w:rsidRPr="00827AA9">
        <w:rPr>
          <w:rFonts w:ascii="Times New Roman" w:hAnsi="Times New Roman" w:cs="Times New Roman"/>
          <w:b/>
          <w:sz w:val="20"/>
          <w:szCs w:val="20"/>
        </w:rPr>
        <w:t>The application of Clathrin Heavy Chain and Leukemia Inhibitory Factor Receptor in the differential diagnosis of benig</w:t>
      </w:r>
      <w:r w:rsidR="003E717C" w:rsidRPr="00827AA9">
        <w:rPr>
          <w:rFonts w:ascii="Times New Roman" w:hAnsi="Times New Roman" w:cs="Times New Roman"/>
          <w:b/>
          <w:sz w:val="20"/>
          <w:szCs w:val="20"/>
        </w:rPr>
        <w:t>n and malignant hepatic lesions</w:t>
      </w:r>
    </w:p>
    <w:p w:rsidR="00903330" w:rsidRPr="00827AA9" w:rsidRDefault="00903330" w:rsidP="00827AA9">
      <w:pPr>
        <w:snapToGrid w:val="0"/>
        <w:spacing w:after="0" w:line="240" w:lineRule="auto"/>
        <w:jc w:val="center"/>
        <w:rPr>
          <w:rFonts w:ascii="Times New Roman" w:hAnsi="Times New Roman" w:cs="Times New Roman"/>
          <w:b/>
          <w:sz w:val="20"/>
          <w:szCs w:val="20"/>
        </w:rPr>
      </w:pPr>
    </w:p>
    <w:p w:rsidR="00903330" w:rsidRPr="00827AA9" w:rsidRDefault="00EE4571" w:rsidP="00827AA9">
      <w:pPr>
        <w:snapToGrid w:val="0"/>
        <w:spacing w:after="0" w:line="240" w:lineRule="auto"/>
        <w:jc w:val="center"/>
        <w:rPr>
          <w:rFonts w:ascii="Times New Roman" w:hAnsi="Times New Roman" w:cs="Times New Roman"/>
          <w:color w:val="000000"/>
          <w:sz w:val="20"/>
          <w:szCs w:val="20"/>
          <w:lang w:eastAsia="zh-CN"/>
        </w:rPr>
      </w:pPr>
      <w:r w:rsidRPr="00827AA9">
        <w:rPr>
          <w:rFonts w:ascii="Times New Roman" w:hAnsi="Times New Roman" w:cs="Times New Roman"/>
          <w:color w:val="000000"/>
          <w:sz w:val="20"/>
          <w:szCs w:val="20"/>
        </w:rPr>
        <w:t xml:space="preserve">Aliaa Atef Shams Eldeen, </w:t>
      </w:r>
      <w:r w:rsidR="003E717C" w:rsidRPr="00827AA9">
        <w:rPr>
          <w:rFonts w:ascii="Times New Roman" w:hAnsi="Times New Roman" w:cs="Times New Roman"/>
          <w:color w:val="000000"/>
          <w:sz w:val="20"/>
          <w:szCs w:val="20"/>
        </w:rPr>
        <w:t xml:space="preserve">and </w:t>
      </w:r>
      <w:r w:rsidRPr="00827AA9">
        <w:rPr>
          <w:rFonts w:ascii="Times New Roman" w:hAnsi="Times New Roman" w:cs="Times New Roman"/>
          <w:color w:val="000000"/>
          <w:sz w:val="20"/>
          <w:szCs w:val="20"/>
        </w:rPr>
        <w:t>Rania Elsayed</w:t>
      </w:r>
      <w:r w:rsidR="003E717C" w:rsidRPr="00827AA9">
        <w:rPr>
          <w:rFonts w:ascii="Times New Roman" w:hAnsi="Times New Roman" w:cs="Times New Roman"/>
          <w:color w:val="000000"/>
          <w:sz w:val="20"/>
          <w:szCs w:val="20"/>
        </w:rPr>
        <w:t xml:space="preserve"> </w:t>
      </w:r>
      <w:r w:rsidRPr="00827AA9">
        <w:rPr>
          <w:rFonts w:ascii="Times New Roman" w:hAnsi="Times New Roman" w:cs="Times New Roman"/>
          <w:color w:val="000000"/>
          <w:sz w:val="20"/>
          <w:szCs w:val="20"/>
        </w:rPr>
        <w:t>Wasfy</w:t>
      </w:r>
    </w:p>
    <w:p w:rsidR="00903330" w:rsidRPr="00827AA9" w:rsidRDefault="00903330" w:rsidP="00827AA9">
      <w:pPr>
        <w:snapToGrid w:val="0"/>
        <w:spacing w:after="0" w:line="240" w:lineRule="auto"/>
        <w:jc w:val="center"/>
        <w:rPr>
          <w:rFonts w:ascii="Times New Roman" w:hAnsi="Times New Roman" w:cs="Times New Roman"/>
          <w:color w:val="000000"/>
          <w:sz w:val="20"/>
          <w:szCs w:val="20"/>
          <w:lang w:eastAsia="zh-CN"/>
        </w:rPr>
      </w:pPr>
    </w:p>
    <w:p w:rsidR="00EE4571" w:rsidRPr="00827AA9" w:rsidRDefault="00EE4571" w:rsidP="00827AA9">
      <w:pPr>
        <w:snapToGrid w:val="0"/>
        <w:spacing w:after="0" w:line="240" w:lineRule="auto"/>
        <w:jc w:val="center"/>
        <w:rPr>
          <w:rFonts w:ascii="Times New Roman" w:hAnsi="Times New Roman" w:cs="Times New Roman"/>
          <w:sz w:val="20"/>
          <w:szCs w:val="20"/>
        </w:rPr>
      </w:pPr>
      <w:r w:rsidRPr="00827AA9">
        <w:rPr>
          <w:rFonts w:ascii="Times New Roman" w:hAnsi="Times New Roman" w:cs="Times New Roman"/>
          <w:sz w:val="20"/>
          <w:szCs w:val="20"/>
        </w:rPr>
        <w:t>Pathology</w:t>
      </w:r>
      <w:r w:rsidR="003E717C" w:rsidRPr="00827AA9">
        <w:rPr>
          <w:rFonts w:ascii="Times New Roman" w:hAnsi="Times New Roman" w:cs="Times New Roman"/>
          <w:sz w:val="20"/>
          <w:szCs w:val="20"/>
        </w:rPr>
        <w:t xml:space="preserve"> Department</w:t>
      </w:r>
      <w:r w:rsidRPr="00827AA9">
        <w:rPr>
          <w:rFonts w:ascii="Times New Roman" w:hAnsi="Times New Roman" w:cs="Times New Roman"/>
          <w:sz w:val="20"/>
          <w:szCs w:val="20"/>
        </w:rPr>
        <w:t xml:space="preserve">, Faculty of Medicine, Tanta </w:t>
      </w:r>
      <w:r w:rsidR="003E717C" w:rsidRPr="00827AA9">
        <w:rPr>
          <w:rFonts w:ascii="Times New Roman" w:hAnsi="Times New Roman" w:cs="Times New Roman"/>
          <w:sz w:val="20"/>
          <w:szCs w:val="20"/>
        </w:rPr>
        <w:t>University, Egypt</w:t>
      </w:r>
    </w:p>
    <w:p w:rsidR="00903330" w:rsidRPr="00827AA9" w:rsidRDefault="003E717C" w:rsidP="00827AA9">
      <w:pPr>
        <w:snapToGrid w:val="0"/>
        <w:spacing w:after="0" w:line="240" w:lineRule="auto"/>
        <w:jc w:val="center"/>
        <w:rPr>
          <w:rFonts w:ascii="Times New Roman" w:hAnsi="Times New Roman" w:cs="Times New Roman"/>
          <w:sz w:val="20"/>
          <w:szCs w:val="20"/>
        </w:rPr>
      </w:pPr>
      <w:r w:rsidRPr="00827AA9">
        <w:rPr>
          <w:rFonts w:ascii="Times New Roman" w:hAnsi="Times New Roman" w:cs="Times New Roman"/>
          <w:color w:val="000000"/>
          <w:sz w:val="20"/>
          <w:szCs w:val="20"/>
        </w:rPr>
        <w:t>Email:</w:t>
      </w:r>
      <w:r w:rsidR="00903330" w:rsidRPr="00827AA9">
        <w:rPr>
          <w:rFonts w:ascii="Times New Roman" w:hAnsi="Times New Roman" w:cs="Times New Roman"/>
          <w:color w:val="000000"/>
          <w:sz w:val="20"/>
          <w:szCs w:val="20"/>
        </w:rPr>
        <w:t xml:space="preserve"> </w:t>
      </w:r>
      <w:hyperlink r:id="rId8" w:history="1">
        <w:r w:rsidR="009805CE" w:rsidRPr="00827AA9">
          <w:rPr>
            <w:rStyle w:val="Hyperlink"/>
            <w:rFonts w:ascii="Times New Roman" w:hAnsi="Times New Roman" w:cs="Times New Roman"/>
            <w:sz w:val="20"/>
            <w:szCs w:val="20"/>
          </w:rPr>
          <w:t>dr-aliaaatef@hotmail.com</w:t>
        </w:r>
      </w:hyperlink>
      <w:r w:rsidR="009805CE" w:rsidRPr="00827AA9">
        <w:rPr>
          <w:rFonts w:ascii="Times New Roman" w:hAnsi="Times New Roman" w:cs="Times New Roman"/>
          <w:sz w:val="20"/>
          <w:szCs w:val="20"/>
        </w:rPr>
        <w:t xml:space="preserve"> </w:t>
      </w:r>
    </w:p>
    <w:p w:rsidR="00903330" w:rsidRPr="00827AA9" w:rsidRDefault="00903330" w:rsidP="00827AA9">
      <w:pPr>
        <w:snapToGrid w:val="0"/>
        <w:spacing w:after="0" w:line="240" w:lineRule="auto"/>
        <w:jc w:val="center"/>
        <w:rPr>
          <w:rFonts w:ascii="Times New Roman" w:hAnsi="Times New Roman" w:cs="Times New Roman"/>
          <w:sz w:val="20"/>
          <w:szCs w:val="20"/>
        </w:rPr>
      </w:pPr>
    </w:p>
    <w:p w:rsidR="005E7D01" w:rsidRPr="00827AA9" w:rsidRDefault="003F13ED" w:rsidP="00827AA9">
      <w:pPr>
        <w:snapToGrid w:val="0"/>
        <w:spacing w:after="0" w:line="240" w:lineRule="auto"/>
        <w:jc w:val="both"/>
        <w:rPr>
          <w:rFonts w:ascii="Times New Roman" w:hAnsi="Times New Roman" w:cs="Times New Roman"/>
          <w:sz w:val="20"/>
          <w:szCs w:val="20"/>
        </w:rPr>
      </w:pPr>
      <w:r w:rsidRPr="00827AA9">
        <w:rPr>
          <w:rFonts w:ascii="Times New Roman" w:hAnsi="Times New Roman" w:cs="Times New Roman"/>
          <w:b/>
          <w:sz w:val="20"/>
          <w:szCs w:val="20"/>
        </w:rPr>
        <w:t>Abstract</w:t>
      </w:r>
      <w:r w:rsidR="003E717C" w:rsidRPr="00827AA9">
        <w:rPr>
          <w:rFonts w:ascii="Times New Roman" w:hAnsi="Times New Roman" w:cs="Times New Roman"/>
          <w:b/>
          <w:sz w:val="20"/>
          <w:szCs w:val="20"/>
        </w:rPr>
        <w:t xml:space="preserve">: </w:t>
      </w:r>
      <w:r w:rsidRPr="00827AA9">
        <w:rPr>
          <w:rFonts w:ascii="Times New Roman" w:hAnsi="Times New Roman" w:cs="Times New Roman"/>
          <w:b/>
          <w:sz w:val="20"/>
          <w:szCs w:val="20"/>
        </w:rPr>
        <w:t>Background</w:t>
      </w:r>
      <w:r w:rsidRPr="00827AA9">
        <w:rPr>
          <w:rFonts w:ascii="Times New Roman" w:hAnsi="Times New Roman" w:cs="Times New Roman"/>
          <w:sz w:val="20"/>
          <w:szCs w:val="20"/>
        </w:rPr>
        <w:t xml:space="preserve">: Hepatic focal lesions </w:t>
      </w:r>
      <w:r w:rsidRPr="00827AA9">
        <w:rPr>
          <w:rFonts w:ascii="Times New Roman" w:hAnsi="Times New Roman" w:cs="Times New Roman"/>
          <w:color w:val="231F20"/>
          <w:sz w:val="20"/>
          <w:szCs w:val="20"/>
        </w:rPr>
        <w:t xml:space="preserve">include a heterogeneous group of lesions ranging from benign regenerative cirrhotic nodules to low and high grade dysplastic nodules to HCC. </w:t>
      </w:r>
      <w:r w:rsidRPr="00827AA9">
        <w:rPr>
          <w:rFonts w:ascii="Times New Roman" w:hAnsi="Times New Roman" w:cs="Times New Roman"/>
          <w:sz w:val="20"/>
          <w:szCs w:val="20"/>
        </w:rPr>
        <w:t>Hepatocellular carcinoma (HCC) is the most common type of all primary liver tumors.</w:t>
      </w:r>
      <w:r w:rsidRPr="00827AA9">
        <w:rPr>
          <w:rFonts w:ascii="Times New Roman" w:hAnsi="Times New Roman" w:cs="Times New Roman"/>
          <w:color w:val="231F20"/>
          <w:sz w:val="20"/>
          <w:szCs w:val="20"/>
        </w:rPr>
        <w:t xml:space="preserve"> Liver cell dysplasia particularly high-grade dysplasia (HGD) has a high risk for malignant transformation. It is mandatory to find more accurate and comprehensive novel markers for diagnosis of HCC.</w:t>
      </w:r>
      <w:r w:rsidR="004F26D9" w:rsidRPr="00827AA9">
        <w:rPr>
          <w:rFonts w:ascii="Times New Roman" w:hAnsi="Times New Roman" w:cs="Times New Roman" w:hint="eastAsia"/>
          <w:color w:val="231F20"/>
          <w:sz w:val="20"/>
          <w:szCs w:val="20"/>
          <w:lang w:eastAsia="zh-CN"/>
        </w:rPr>
        <w:t xml:space="preserve"> </w:t>
      </w:r>
      <w:r w:rsidRPr="00827AA9">
        <w:rPr>
          <w:rFonts w:ascii="Times New Roman" w:hAnsi="Times New Roman" w:cs="Times New Roman"/>
          <w:b/>
          <w:sz w:val="20"/>
          <w:szCs w:val="20"/>
        </w:rPr>
        <w:t xml:space="preserve">Aim: </w:t>
      </w:r>
      <w:r w:rsidRPr="00827AA9">
        <w:rPr>
          <w:rFonts w:ascii="Times New Roman" w:hAnsi="Times New Roman" w:cs="Times New Roman"/>
          <w:sz w:val="20"/>
          <w:szCs w:val="20"/>
        </w:rPr>
        <w:t xml:space="preserve">To study the diagnostic role of clathrin heavy chain (CHC) and leukaemia inhibitory factor receptor (LIFR) in malignant and non-malignant liver lesions and correlation with the clinico-pathological parameters of studied cases. </w:t>
      </w:r>
      <w:r w:rsidRPr="00827AA9">
        <w:rPr>
          <w:rFonts w:ascii="Times New Roman" w:hAnsi="Times New Roman" w:cs="Times New Roman"/>
          <w:b/>
          <w:sz w:val="20"/>
          <w:szCs w:val="20"/>
        </w:rPr>
        <w:t>Results:</w:t>
      </w:r>
      <w:r w:rsidRPr="00827AA9">
        <w:rPr>
          <w:rFonts w:ascii="Times New Roman" w:hAnsi="Times New Roman" w:cs="Times New Roman"/>
          <w:sz w:val="20"/>
          <w:szCs w:val="20"/>
        </w:rPr>
        <w:t xml:space="preserve"> CHC immunopositvity was highly specific and sensitive indicator for hepatocellular carcinoma unlike LIFR which cannot be used as reliable indicator of liver malignancy.</w:t>
      </w:r>
      <w:r w:rsidR="004F26D9" w:rsidRPr="00827AA9">
        <w:rPr>
          <w:rFonts w:ascii="Times New Roman" w:hAnsi="Times New Roman" w:cs="Times New Roman" w:hint="eastAsia"/>
          <w:sz w:val="20"/>
          <w:szCs w:val="20"/>
          <w:lang w:eastAsia="zh-CN"/>
        </w:rPr>
        <w:t xml:space="preserve"> </w:t>
      </w:r>
      <w:r w:rsidRPr="00827AA9">
        <w:rPr>
          <w:rFonts w:ascii="Times New Roman" w:hAnsi="Times New Roman" w:cs="Times New Roman"/>
          <w:sz w:val="20"/>
          <w:szCs w:val="20"/>
        </w:rPr>
        <w:t xml:space="preserve">Most of cases of HCC were positive for CHC (31 out of 33) (93.9%). Most of cases of cirrhosis (17 out of 25) (68.0%) were negative for CHC. In liver cell dysplasia, 14 cases were positive (70.0%) (P&lt;0.001). LIFR was more expressed in non-malignant than in HCC. 92% of cases of cirrhosis were positive for LIFR. 95% of cases of dyspalsia were positive for LIFR; only 30.3% of HCC showed positivity for LIFR. This inverse relation was statistically highly significant (p&lt;0.001). </w:t>
      </w:r>
      <w:r w:rsidRPr="00827AA9">
        <w:rPr>
          <w:rFonts w:ascii="Times New Roman" w:hAnsi="Times New Roman" w:cs="Times New Roman"/>
          <w:b/>
          <w:sz w:val="20"/>
          <w:szCs w:val="20"/>
        </w:rPr>
        <w:t>Conclusion</w:t>
      </w:r>
      <w:r w:rsidRPr="00827AA9">
        <w:rPr>
          <w:rFonts w:ascii="Times New Roman" w:hAnsi="Times New Roman" w:cs="Times New Roman"/>
          <w:sz w:val="20"/>
          <w:szCs w:val="20"/>
        </w:rPr>
        <w:t>: CHC can be a promising diagnostic immunomarker for the diagnosis of HCC unlike LIFR which can’t be a reliable diagnostic marker alone.</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 xml:space="preserve">However, a combination of both markers (CHC and LIFR) </w:t>
      </w:r>
      <w:r w:rsidRPr="00827AA9">
        <w:rPr>
          <w:rFonts w:ascii="Times New Roman" w:hAnsi="Times New Roman" w:cs="Times New Roman"/>
          <w:color w:val="231F20"/>
          <w:sz w:val="20"/>
          <w:szCs w:val="20"/>
        </w:rPr>
        <w:t xml:space="preserve">represents a valuable diagnostic tool in </w:t>
      </w:r>
      <w:r w:rsidRPr="00827AA9">
        <w:rPr>
          <w:rFonts w:ascii="Times New Roman" w:hAnsi="Times New Roman" w:cs="Times New Roman"/>
          <w:sz w:val="20"/>
          <w:szCs w:val="20"/>
        </w:rPr>
        <w:t>workout of hepatic lesions uncertain for malignancy rather than individual markers.</w:t>
      </w:r>
    </w:p>
    <w:p w:rsidR="00827AA9" w:rsidRPr="00827AA9" w:rsidRDefault="00827AA9" w:rsidP="00827AA9">
      <w:pPr>
        <w:snapToGrid w:val="0"/>
        <w:spacing w:after="0" w:line="240" w:lineRule="auto"/>
        <w:jc w:val="both"/>
        <w:rPr>
          <w:rFonts w:ascii="Times New Roman" w:hAnsi="Times New Roman" w:cs="Times New Roman"/>
          <w:color w:val="000000"/>
          <w:sz w:val="20"/>
          <w:szCs w:val="20"/>
          <w:lang w:eastAsia="zh-CN"/>
        </w:rPr>
      </w:pPr>
      <w:r w:rsidRPr="00827AA9">
        <w:rPr>
          <w:rFonts w:ascii="Times New Roman" w:hAnsi="Times New Roman" w:cs="Times New Roman" w:hint="eastAsia"/>
          <w:b/>
          <w:sz w:val="20"/>
          <w:szCs w:val="20"/>
          <w:lang w:val="en-GB"/>
        </w:rPr>
        <w:t>[</w:t>
      </w:r>
      <w:r w:rsidRPr="00827AA9">
        <w:rPr>
          <w:rFonts w:ascii="Times New Roman" w:hAnsi="Times New Roman" w:cs="Times New Roman"/>
          <w:color w:val="000000"/>
          <w:sz w:val="20"/>
          <w:szCs w:val="20"/>
        </w:rPr>
        <w:t>Aliaa Atef Shams Eldeen, and Rania Elsayed Wasfy</w:t>
      </w:r>
      <w:r w:rsidRPr="00827AA9">
        <w:rPr>
          <w:rFonts w:ascii="Times New Roman" w:hAnsi="Times New Roman" w:cs="Times New Roman"/>
          <w:sz w:val="20"/>
          <w:szCs w:val="20"/>
        </w:rPr>
        <w:t xml:space="preserve">. </w:t>
      </w:r>
      <w:r w:rsidRPr="00827AA9">
        <w:rPr>
          <w:rFonts w:ascii="Times New Roman" w:hAnsi="Times New Roman" w:cs="Times New Roman"/>
          <w:b/>
          <w:sz w:val="20"/>
          <w:szCs w:val="20"/>
        </w:rPr>
        <w:t>The application of Clathrin Heavy Chain and Leukemia Inhibitory Factor Receptor in the differential diagnosis of benign and malignant hepatic lesions</w:t>
      </w:r>
      <w:r w:rsidRPr="00827AA9">
        <w:rPr>
          <w:rFonts w:ascii="Times New Roman" w:eastAsia="Times New Roman" w:hAnsi="Times New Roman" w:cs="Times New Roman"/>
          <w:b/>
          <w:bCs/>
          <w:sz w:val="20"/>
          <w:szCs w:val="20"/>
          <w:lang w:bidi="fa-IR"/>
        </w:rPr>
        <w:t>.</w:t>
      </w:r>
      <w:r w:rsidRPr="00827AA9">
        <w:rPr>
          <w:rFonts w:ascii="Times New Roman" w:hAnsi="Times New Roman" w:cs="Times New Roman"/>
          <w:i/>
          <w:sz w:val="20"/>
          <w:szCs w:val="20"/>
        </w:rPr>
        <w:t xml:space="preserve"> Cancer Biology</w:t>
      </w:r>
      <w:r w:rsidRPr="00827AA9">
        <w:rPr>
          <w:rFonts w:ascii="Times New Roman" w:hAnsi="Times New Roman" w:cs="Times New Roman"/>
          <w:sz w:val="20"/>
          <w:szCs w:val="20"/>
        </w:rPr>
        <w:t xml:space="preserve"> 201</w:t>
      </w:r>
      <w:r w:rsidRPr="00827AA9">
        <w:rPr>
          <w:rFonts w:ascii="Times New Roman" w:hAnsi="Times New Roman" w:cs="Times New Roman" w:hint="eastAsia"/>
          <w:sz w:val="20"/>
          <w:szCs w:val="20"/>
        </w:rPr>
        <w:t>9</w:t>
      </w:r>
      <w:r w:rsidRPr="00827AA9">
        <w:rPr>
          <w:rFonts w:ascii="Times New Roman" w:hAnsi="Times New Roman" w:cs="Times New Roman"/>
          <w:sz w:val="20"/>
          <w:szCs w:val="20"/>
        </w:rPr>
        <w:t>;</w:t>
      </w:r>
      <w:r w:rsidRPr="00827AA9">
        <w:rPr>
          <w:rFonts w:ascii="Times New Roman" w:hAnsi="Times New Roman" w:cs="Times New Roman" w:hint="eastAsia"/>
          <w:sz w:val="20"/>
          <w:szCs w:val="20"/>
        </w:rPr>
        <w:t>9</w:t>
      </w:r>
      <w:r w:rsidRPr="00827AA9">
        <w:rPr>
          <w:rFonts w:ascii="Times New Roman" w:hAnsi="Times New Roman" w:cs="Times New Roman"/>
          <w:sz w:val="20"/>
          <w:szCs w:val="20"/>
        </w:rPr>
        <w:t>(</w:t>
      </w:r>
      <w:r w:rsidRPr="00827AA9">
        <w:rPr>
          <w:rFonts w:ascii="Times New Roman" w:hAnsi="Times New Roman" w:cs="Times New Roman" w:hint="eastAsia"/>
          <w:sz w:val="20"/>
          <w:szCs w:val="20"/>
        </w:rPr>
        <w:t>3</w:t>
      </w:r>
      <w:r w:rsidRPr="00827AA9">
        <w:rPr>
          <w:rFonts w:ascii="Times New Roman" w:hAnsi="Times New Roman" w:cs="Times New Roman"/>
          <w:sz w:val="20"/>
          <w:szCs w:val="20"/>
        </w:rPr>
        <w:t>):</w:t>
      </w:r>
      <w:r w:rsidR="00026F95">
        <w:rPr>
          <w:rFonts w:ascii="Times New Roman" w:hAnsi="Times New Roman" w:cs="Times New Roman"/>
          <w:noProof/>
          <w:color w:val="000000"/>
          <w:sz w:val="20"/>
          <w:szCs w:val="20"/>
        </w:rPr>
        <w:t>32-38</w:t>
      </w:r>
      <w:r w:rsidRPr="00827AA9">
        <w:rPr>
          <w:rFonts w:ascii="Times New Roman" w:hAnsi="Times New Roman" w:cs="Times New Roman"/>
          <w:sz w:val="20"/>
          <w:szCs w:val="20"/>
        </w:rPr>
        <w:t xml:space="preserve">]. </w:t>
      </w:r>
      <w:r w:rsidRPr="00827AA9">
        <w:rPr>
          <w:rStyle w:val="msonormal0"/>
          <w:rFonts w:ascii="Times New Roman" w:eastAsia="宋" w:hAnsi="Times New Roman" w:cs="Times New Roman"/>
          <w:sz w:val="20"/>
          <w:szCs w:val="20"/>
        </w:rPr>
        <w:t>ISSN: 2150-1041 (print); ISSN: 2150-105X (online)</w:t>
      </w:r>
      <w:r w:rsidRPr="00827AA9">
        <w:rPr>
          <w:rFonts w:ascii="Times New Roman" w:hAnsi="Times New Roman" w:cs="Times New Roman"/>
          <w:sz w:val="20"/>
          <w:szCs w:val="20"/>
        </w:rPr>
        <w:t xml:space="preserve">. </w:t>
      </w:r>
      <w:hyperlink r:id="rId9" w:history="1">
        <w:r w:rsidRPr="00827AA9">
          <w:rPr>
            <w:rStyle w:val="Hyperlink"/>
            <w:rFonts w:ascii="Times New Roman" w:hAnsi="Times New Roman" w:cs="Times New Roman"/>
            <w:sz w:val="20"/>
            <w:szCs w:val="20"/>
          </w:rPr>
          <w:t>http://www.cancerbio.net</w:t>
        </w:r>
      </w:hyperlink>
      <w:r w:rsidRPr="00827AA9">
        <w:rPr>
          <w:rFonts w:ascii="Times New Roman" w:hAnsi="Times New Roman" w:cs="Times New Roman"/>
          <w:sz w:val="20"/>
          <w:szCs w:val="20"/>
        </w:rPr>
        <w:t>.</w:t>
      </w:r>
      <w:r w:rsidRPr="00827AA9">
        <w:rPr>
          <w:rFonts w:ascii="Times New Roman" w:hAnsi="Times New Roman" w:cs="Times New Roman" w:hint="eastAsia"/>
          <w:sz w:val="20"/>
          <w:szCs w:val="20"/>
        </w:rPr>
        <w:t xml:space="preserve"> </w:t>
      </w:r>
      <w:r>
        <w:rPr>
          <w:rFonts w:ascii="Times New Roman" w:hAnsi="Times New Roman" w:cs="Times New Roman" w:hint="eastAsia"/>
          <w:sz w:val="20"/>
          <w:szCs w:val="20"/>
          <w:lang w:eastAsia="zh-CN"/>
        </w:rPr>
        <w:t>5</w:t>
      </w:r>
      <w:r w:rsidRPr="00827AA9">
        <w:rPr>
          <w:rFonts w:ascii="Times New Roman" w:hAnsi="Times New Roman" w:cs="Times New Roman" w:hint="eastAsia"/>
          <w:sz w:val="20"/>
          <w:szCs w:val="20"/>
        </w:rPr>
        <w:t xml:space="preserve">. </w:t>
      </w:r>
      <w:r w:rsidRPr="00827AA9">
        <w:rPr>
          <w:rFonts w:ascii="Times New Roman" w:hAnsi="Times New Roman" w:cs="Times New Roman"/>
          <w:color w:val="000000"/>
          <w:sz w:val="20"/>
          <w:szCs w:val="20"/>
          <w:shd w:val="clear" w:color="auto" w:fill="FFFFFF"/>
        </w:rPr>
        <w:t>doi:</w:t>
      </w:r>
      <w:hyperlink r:id="rId10" w:history="1">
        <w:r w:rsidRPr="00827AA9">
          <w:rPr>
            <w:rStyle w:val="Hyperlink"/>
            <w:rFonts w:ascii="Times New Roman" w:hAnsi="Times New Roman" w:cs="Times New Roman"/>
            <w:sz w:val="20"/>
            <w:szCs w:val="20"/>
            <w:shd w:val="clear" w:color="auto" w:fill="FFFFFF"/>
          </w:rPr>
          <w:t>10.7537/mars</w:t>
        </w:r>
        <w:r w:rsidRPr="00827AA9">
          <w:rPr>
            <w:rStyle w:val="Hyperlink"/>
            <w:rFonts w:ascii="Times New Roman" w:hAnsi="Times New Roman" w:cs="Times New Roman" w:hint="eastAsia"/>
            <w:sz w:val="20"/>
            <w:szCs w:val="20"/>
            <w:shd w:val="clear" w:color="auto" w:fill="FFFFFF"/>
          </w:rPr>
          <w:t>cbj0903</w:t>
        </w:r>
        <w:r w:rsidRPr="00827AA9">
          <w:rPr>
            <w:rStyle w:val="Hyperlink"/>
            <w:rFonts w:ascii="Times New Roman" w:hAnsi="Times New Roman" w:cs="Times New Roman"/>
            <w:sz w:val="20"/>
            <w:szCs w:val="20"/>
            <w:shd w:val="clear" w:color="auto" w:fill="FFFFFF"/>
          </w:rPr>
          <w:t>1</w:t>
        </w:r>
        <w:r w:rsidRPr="00827AA9">
          <w:rPr>
            <w:rStyle w:val="Hyperlink"/>
            <w:rFonts w:ascii="Times New Roman" w:hAnsi="Times New Roman" w:cs="Times New Roman" w:hint="eastAsia"/>
            <w:sz w:val="20"/>
            <w:szCs w:val="20"/>
            <w:shd w:val="clear" w:color="auto" w:fill="FFFFFF"/>
          </w:rPr>
          <w:t>9.</w:t>
        </w:r>
        <w:r w:rsidRPr="00827AA9">
          <w:rPr>
            <w:rStyle w:val="Hyperlink"/>
            <w:rFonts w:ascii="Times New Roman" w:hAnsi="Times New Roman" w:cs="Times New Roman"/>
            <w:sz w:val="20"/>
            <w:szCs w:val="20"/>
            <w:shd w:val="clear" w:color="auto" w:fill="FFFFFF"/>
          </w:rPr>
          <w:t>0</w:t>
        </w:r>
        <w:r>
          <w:rPr>
            <w:rStyle w:val="Hyperlink"/>
            <w:rFonts w:ascii="Times New Roman" w:hAnsi="Times New Roman" w:cs="Times New Roman" w:hint="eastAsia"/>
            <w:sz w:val="20"/>
            <w:szCs w:val="20"/>
            <w:shd w:val="clear" w:color="auto" w:fill="FFFFFF"/>
            <w:lang w:eastAsia="zh-CN"/>
          </w:rPr>
          <w:t>5</w:t>
        </w:r>
      </w:hyperlink>
      <w:r w:rsidRPr="00827AA9">
        <w:rPr>
          <w:rFonts w:ascii="Times New Roman" w:hAnsi="Times New Roman" w:cs="Times New Roman"/>
          <w:color w:val="000000"/>
          <w:sz w:val="20"/>
          <w:szCs w:val="20"/>
          <w:shd w:val="clear" w:color="auto" w:fill="FFFFFF"/>
        </w:rPr>
        <w:t>.</w:t>
      </w:r>
    </w:p>
    <w:p w:rsidR="003E717C" w:rsidRPr="00903330" w:rsidRDefault="003E717C" w:rsidP="00827AA9">
      <w:pPr>
        <w:snapToGrid w:val="0"/>
        <w:spacing w:after="0" w:line="240" w:lineRule="auto"/>
        <w:jc w:val="both"/>
        <w:rPr>
          <w:rFonts w:ascii="Times New Roman" w:hAnsi="Times New Roman" w:cs="Times New Roman"/>
          <w:color w:val="000000"/>
          <w:sz w:val="20"/>
          <w:szCs w:val="20"/>
        </w:rPr>
      </w:pPr>
    </w:p>
    <w:p w:rsidR="005E7D01" w:rsidRPr="00903330" w:rsidRDefault="003F13ED" w:rsidP="00827AA9">
      <w:pPr>
        <w:snapToGrid w:val="0"/>
        <w:spacing w:after="0" w:line="240" w:lineRule="auto"/>
        <w:jc w:val="both"/>
        <w:rPr>
          <w:rFonts w:ascii="Times New Roman" w:hAnsi="Times New Roman" w:cs="Times New Roman"/>
          <w:sz w:val="20"/>
          <w:szCs w:val="20"/>
        </w:rPr>
      </w:pPr>
      <w:r w:rsidRPr="00903330">
        <w:rPr>
          <w:rFonts w:ascii="Times New Roman" w:hAnsi="Times New Roman" w:cs="Times New Roman"/>
          <w:b/>
          <w:sz w:val="20"/>
          <w:szCs w:val="20"/>
        </w:rPr>
        <w:t xml:space="preserve">Key words: </w:t>
      </w:r>
      <w:r w:rsidRPr="00903330">
        <w:rPr>
          <w:rFonts w:ascii="Times New Roman" w:hAnsi="Times New Roman" w:cs="Times New Roman"/>
          <w:sz w:val="20"/>
          <w:szCs w:val="20"/>
        </w:rPr>
        <w:t xml:space="preserve">Clathrin heavy chain, Leukaemia inhibitory factor receptor, hepatocellular carcinoma. </w:t>
      </w:r>
    </w:p>
    <w:p w:rsidR="005E7D01" w:rsidRPr="00903330" w:rsidRDefault="005E7D01" w:rsidP="00827AA9">
      <w:pPr>
        <w:snapToGrid w:val="0"/>
        <w:spacing w:after="0" w:line="240" w:lineRule="auto"/>
        <w:ind w:firstLine="425"/>
        <w:jc w:val="both"/>
        <w:rPr>
          <w:rFonts w:ascii="Times New Roman" w:hAnsi="Times New Roman" w:cs="Times New Roman"/>
          <w:sz w:val="20"/>
          <w:szCs w:val="20"/>
        </w:rPr>
      </w:pPr>
    </w:p>
    <w:p w:rsidR="00827AA9" w:rsidRDefault="00827AA9" w:rsidP="00827AA9">
      <w:pPr>
        <w:snapToGrid w:val="0"/>
        <w:spacing w:after="0" w:line="240" w:lineRule="auto"/>
        <w:jc w:val="both"/>
        <w:rPr>
          <w:rFonts w:ascii="Times New Roman" w:hAnsi="Times New Roman" w:cs="Times New Roman"/>
          <w:b/>
          <w:sz w:val="20"/>
          <w:szCs w:val="20"/>
        </w:rPr>
        <w:sectPr w:rsidR="00827AA9" w:rsidSect="00026F95">
          <w:headerReference w:type="default" r:id="rId11"/>
          <w:footerReference w:type="default" r:id="rId12"/>
          <w:type w:val="continuous"/>
          <w:pgSz w:w="12240" w:h="15840"/>
          <w:pgMar w:top="1440" w:right="1440" w:bottom="1440" w:left="1440" w:header="720" w:footer="720" w:gutter="0"/>
          <w:pgNumType w:start="32"/>
          <w:cols w:space="720"/>
          <w:docGrid w:linePitch="299"/>
        </w:sectPr>
      </w:pPr>
    </w:p>
    <w:p w:rsidR="005E7D01" w:rsidRPr="00903330" w:rsidRDefault="003E717C" w:rsidP="00827AA9">
      <w:pPr>
        <w:snapToGrid w:val="0"/>
        <w:spacing w:after="0" w:line="240" w:lineRule="auto"/>
        <w:jc w:val="both"/>
        <w:rPr>
          <w:rFonts w:ascii="Times New Roman" w:hAnsi="Times New Roman" w:cs="Times New Roman"/>
          <w:b/>
          <w:sz w:val="20"/>
          <w:szCs w:val="20"/>
        </w:rPr>
      </w:pPr>
      <w:r w:rsidRPr="00903330">
        <w:rPr>
          <w:rFonts w:ascii="Times New Roman" w:hAnsi="Times New Roman" w:cs="Times New Roman"/>
          <w:b/>
          <w:sz w:val="20"/>
          <w:szCs w:val="20"/>
        </w:rPr>
        <w:lastRenderedPageBreak/>
        <w:t xml:space="preserve">1. </w:t>
      </w:r>
      <w:r w:rsidR="003F13ED" w:rsidRPr="00903330">
        <w:rPr>
          <w:rFonts w:ascii="Times New Roman" w:hAnsi="Times New Roman" w:cs="Times New Roman"/>
          <w:b/>
          <w:sz w:val="20"/>
          <w:szCs w:val="20"/>
        </w:rPr>
        <w:t>Introduction:</w:t>
      </w: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Hepatic focal lesions include a heterogeneous group of lesions ranging from benign regenerative cirrhotic nodules to low and high grade dysplastic nodules to hepatocellular carcinoma. Hepatocellular carcinoma (HCC) is the most common type of all primary liver tumors, the fifth most common cancer and the third cause of cancer-related deaths all over the world. It shows marked geographic variations with the most of cases occurring in the developing countries [Anatelli et al., 2008].</w:t>
      </w: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HCC is more prevalent in males than females with the peak incidence occuring in the 5th to 6th decades. Multiple factors are involved in the etiology of HCC with HBV and HCV infection being the most important in association with cirrhosi</w:t>
      </w:r>
      <w:r w:rsidR="00903330" w:rsidRPr="00903330">
        <w:rPr>
          <w:rFonts w:ascii="Times New Roman" w:hAnsi="Times New Roman" w:cs="Times New Roman"/>
          <w:sz w:val="20"/>
          <w:szCs w:val="20"/>
        </w:rPr>
        <w:t>s [</w:t>
      </w:r>
      <w:r w:rsidRPr="00903330">
        <w:rPr>
          <w:rFonts w:ascii="Times New Roman" w:hAnsi="Times New Roman" w:cs="Times New Roman"/>
          <w:sz w:val="20"/>
          <w:szCs w:val="20"/>
        </w:rPr>
        <w:t>Mohan, 2010].</w:t>
      </w: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 xml:space="preserve">Liver cell dysplasia particularly high-grade dysplasia (HGD) has a high risk for malignant transformation. The detection of dysplasia, especially HGD, or its differentiation from cirrhotic nodules or early HCC are often very challenging on the basis of histopathological features alone especially in tiny core biopsies. Despite the recent advances in imaging techniques and the increased frequency of early </w:t>
      </w:r>
      <w:r w:rsidRPr="00903330">
        <w:rPr>
          <w:rFonts w:ascii="Times New Roman" w:hAnsi="Times New Roman" w:cs="Times New Roman"/>
          <w:sz w:val="20"/>
          <w:szCs w:val="20"/>
        </w:rPr>
        <w:lastRenderedPageBreak/>
        <w:t>detection of small lesions, the low specificity of their identification has not been resolved [Jin et al., 2013].</w:t>
      </w:r>
    </w:p>
    <w:p w:rsidR="005E7D01" w:rsidRPr="00903330" w:rsidRDefault="003F13ED" w:rsidP="00827AA9">
      <w:pPr>
        <w:pBdr>
          <w:top w:val="nil"/>
          <w:left w:val="nil"/>
          <w:bottom w:val="nil"/>
          <w:right w:val="nil"/>
          <w:between w:val="nil"/>
        </w:pBdr>
        <w:snapToGrid w:val="0"/>
        <w:spacing w:after="0" w:line="240" w:lineRule="auto"/>
        <w:ind w:firstLine="425"/>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 xml:space="preserve">HCC can remain undetected for awhile because in a large number of cases it occurs on top of cirrhosis. This late detection of HCC is a main cause for tumor rapid progression and increased HCC related mortality rates. So, improvement of survival of HCC patients depends on the early detection of HCCs by discovering new sensitive and specific markers for early HCC [Fanni et al., 2012]. </w:t>
      </w: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The commonly applied diagnostic markers for HCC are not sensitive or specific enough and are incapable for identification of early well differentiated HCC making it mandatory to find more accurate and comprehensive novel proteins for diagnosis of HCC [Yan et al., 2011].</w:t>
      </w: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 xml:space="preserve">Clathrin is a protein having important roles in membrane trafficking and, mitosis. The clathrin protein is a trimeric assembly, comprising of three heavy chains with an associated light chain. Two clathrin heavy chain genes are found in humans: CHC17 and CHC22. CHC17, commonly known as CHC, is highly expressed in all cells while CHC22 expression is very low in most of cells but mainly present in skeletal muscle. In non-dividing cells, </w:t>
      </w:r>
      <w:r w:rsidRPr="00903330">
        <w:rPr>
          <w:rFonts w:ascii="Times New Roman" w:hAnsi="Times New Roman" w:cs="Times New Roman"/>
          <w:sz w:val="20"/>
          <w:szCs w:val="20"/>
        </w:rPr>
        <w:lastRenderedPageBreak/>
        <w:t>clathrin forms coated vesicles transported from the cell membrane to endosomes or between endosomes and the Golgi apparatus [Royle, 2006].</w:t>
      </w: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When the cell becomes mitotically active, membrane trafficking is inhibited and clathrin becomes localized to the mitotic spindle but resumes in late telophase. This shows the possibility of clathrin having a separate function different from membrane trafficking occuring during mitosis. Two different gene fusions involving CHC have been identified in human cancers: anaplastic lymphoma kinase (ALK) and transcription factor binding to IGHM enhancer 3 (TFE3). This altered clathrin function due to the presence of these fusion proteins could contribute to oncogenesi</w:t>
      </w:r>
      <w:r w:rsidR="00903330" w:rsidRPr="00903330">
        <w:rPr>
          <w:rFonts w:ascii="Times New Roman" w:hAnsi="Times New Roman" w:cs="Times New Roman"/>
          <w:sz w:val="20"/>
          <w:szCs w:val="20"/>
        </w:rPr>
        <w:t>s [</w:t>
      </w:r>
      <w:r w:rsidRPr="00903330">
        <w:rPr>
          <w:rFonts w:ascii="Times New Roman" w:hAnsi="Times New Roman" w:cs="Times New Roman"/>
          <w:sz w:val="20"/>
          <w:szCs w:val="20"/>
        </w:rPr>
        <w:t>Blixt</w:t>
      </w:r>
      <w:r w:rsidR="00903330" w:rsidRPr="00903330">
        <w:rPr>
          <w:rFonts w:ascii="Times New Roman" w:hAnsi="Times New Roman" w:cs="Times New Roman"/>
          <w:sz w:val="20"/>
          <w:szCs w:val="20"/>
        </w:rPr>
        <w:t xml:space="preserve"> &amp; </w:t>
      </w:r>
      <w:r w:rsidRPr="00903330">
        <w:rPr>
          <w:rFonts w:ascii="Times New Roman" w:hAnsi="Times New Roman" w:cs="Times New Roman"/>
          <w:sz w:val="20"/>
          <w:szCs w:val="20"/>
        </w:rPr>
        <w:t>Royle, 2011].</w:t>
      </w:r>
    </w:p>
    <w:p w:rsidR="005E7D01" w:rsidRPr="00903330" w:rsidRDefault="003F13ED" w:rsidP="00827AA9">
      <w:pPr>
        <w:snapToGrid w:val="0"/>
        <w:spacing w:after="0" w:line="240" w:lineRule="auto"/>
        <w:ind w:firstLine="425"/>
        <w:jc w:val="both"/>
        <w:rPr>
          <w:rFonts w:ascii="Times New Roman" w:eastAsia="Times New Roman" w:hAnsi="Times New Roman" w:cs="Times New Roman"/>
          <w:sz w:val="20"/>
          <w:szCs w:val="20"/>
        </w:rPr>
      </w:pPr>
      <w:r w:rsidRPr="00903330">
        <w:rPr>
          <w:rFonts w:ascii="Times New Roman" w:hAnsi="Times New Roman" w:cs="Times New Roman"/>
          <w:sz w:val="20"/>
          <w:szCs w:val="20"/>
        </w:rPr>
        <w:t xml:space="preserve">CHC in liver is an endothelial marker that is overexpressed in malignant cells of HCC and </w:t>
      </w:r>
      <w:r w:rsidRPr="00903330">
        <w:rPr>
          <w:rFonts w:ascii="Times New Roman" w:eastAsia="Times New Roman" w:hAnsi="Times New Roman" w:cs="Times New Roman"/>
          <w:sz w:val="20"/>
          <w:szCs w:val="20"/>
        </w:rPr>
        <w:t>showed promising results especially in combination with other diagnostic markers as glypican-3, HSP70 and glutamine synthas</w:t>
      </w:r>
      <w:r w:rsidR="00903330" w:rsidRPr="00903330">
        <w:rPr>
          <w:rFonts w:ascii="Times New Roman" w:eastAsia="Times New Roman" w:hAnsi="Times New Roman" w:cs="Times New Roman"/>
          <w:sz w:val="20"/>
          <w:szCs w:val="20"/>
        </w:rPr>
        <w:t xml:space="preserve">e </w:t>
      </w:r>
      <w:r w:rsidR="00903330" w:rsidRPr="00903330">
        <w:rPr>
          <w:rFonts w:ascii="Times New Roman" w:hAnsi="Times New Roman" w:cs="Times New Roman"/>
          <w:sz w:val="20"/>
          <w:szCs w:val="20"/>
        </w:rPr>
        <w:t>[</w:t>
      </w:r>
      <w:r w:rsidRPr="00903330">
        <w:rPr>
          <w:rFonts w:ascii="Times New Roman" w:hAnsi="Times New Roman" w:cs="Times New Roman"/>
          <w:sz w:val="20"/>
          <w:szCs w:val="20"/>
        </w:rPr>
        <w:t>Seimiya et al., 2008].</w:t>
      </w: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Leukemia inhibitory factor receptor (LIFR) is a multifunctional glycoprotein involved in signal transduction through interleukin-6 (IL-6) cytokine family. LIFR has variable diverse functions ranging from glucose uptake, maintaining of stem cells in a pluripotent state, liver protective actions, to alteration of cell proliferation either stimulation or inhibition. LIFR was also identified as a suppressor of metastasis through Hippo-YAP pathway [Chen et al., 2012]. LIFR was also reported as a tumor suppressor gene in HCC [Okamura et al., 2010].</w:t>
      </w: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However, whether CHC or LIFR, their roles as immunomarkers for differentiation between benign and malignant hepatic lesions have not been thoroughly investigated.</w:t>
      </w: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New Roman" w:hAnsi="Times New Roman" w:cs="Times New Roman"/>
          <w:b/>
          <w:sz w:val="20"/>
          <w:szCs w:val="20"/>
        </w:rPr>
      </w:pPr>
      <w:r w:rsidRPr="00903330">
        <w:rPr>
          <w:rFonts w:ascii="Times New Roman" w:eastAsia="Times New Roman" w:hAnsi="Times New Roman" w:cs="Times New Roman"/>
          <w:b/>
          <w:sz w:val="20"/>
          <w:szCs w:val="20"/>
        </w:rPr>
        <w:t>Aim of the work</w:t>
      </w:r>
    </w:p>
    <w:p w:rsidR="005E7D01" w:rsidRPr="00903330" w:rsidRDefault="003F13ED" w:rsidP="00827AA9">
      <w:pPr>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903330">
        <w:rPr>
          <w:rFonts w:ascii="Times New Roman" w:eastAsia="Times New Roman" w:hAnsi="Times New Roman" w:cs="Times New Roman"/>
          <w:sz w:val="20"/>
          <w:szCs w:val="20"/>
        </w:rPr>
        <w:t>To study the diagnostic role of clathrin heavy chain (CHC) and leukaemia inhibitory factor receptor (LIFR) in malignant and non-malignant liver lesions. Their expression was also correlated with the clinico-pathological parameters of studied cases such as age, gender, tumor size and tumor grade.</w:t>
      </w:r>
    </w:p>
    <w:p w:rsidR="003E717C" w:rsidRPr="00903330" w:rsidRDefault="003E717C" w:rsidP="00827AA9">
      <w:pPr>
        <w:snapToGrid w:val="0"/>
        <w:spacing w:after="0" w:line="240" w:lineRule="auto"/>
        <w:jc w:val="both"/>
        <w:rPr>
          <w:rFonts w:ascii="Times New Roman" w:hAnsi="Times New Roman" w:cs="Times New Roman"/>
          <w:b/>
          <w:sz w:val="20"/>
          <w:szCs w:val="20"/>
        </w:rPr>
      </w:pPr>
    </w:p>
    <w:p w:rsidR="005E7D01" w:rsidRPr="00903330" w:rsidRDefault="003E717C" w:rsidP="00827AA9">
      <w:pPr>
        <w:snapToGrid w:val="0"/>
        <w:spacing w:after="0" w:line="240" w:lineRule="auto"/>
        <w:jc w:val="both"/>
        <w:rPr>
          <w:rFonts w:ascii="Times New Roman" w:hAnsi="Times New Roman" w:cs="Times New Roman"/>
          <w:b/>
          <w:sz w:val="20"/>
          <w:szCs w:val="20"/>
        </w:rPr>
      </w:pPr>
      <w:r w:rsidRPr="00903330">
        <w:rPr>
          <w:rFonts w:ascii="Times New Roman" w:hAnsi="Times New Roman" w:cs="Times New Roman"/>
          <w:b/>
          <w:sz w:val="20"/>
          <w:szCs w:val="20"/>
        </w:rPr>
        <w:t xml:space="preserve">2. </w:t>
      </w:r>
      <w:r w:rsidR="003F13ED" w:rsidRPr="00903330">
        <w:rPr>
          <w:rFonts w:ascii="Times New Roman" w:hAnsi="Times New Roman" w:cs="Times New Roman"/>
          <w:b/>
          <w:sz w:val="20"/>
          <w:szCs w:val="20"/>
        </w:rPr>
        <w:t>Materials and methods:</w:t>
      </w:r>
    </w:p>
    <w:p w:rsidR="005E7D01" w:rsidRPr="00903330" w:rsidRDefault="003F13ED" w:rsidP="00827AA9">
      <w:pPr>
        <w:snapToGrid w:val="0"/>
        <w:spacing w:after="0" w:line="240" w:lineRule="auto"/>
        <w:ind w:firstLine="425"/>
        <w:jc w:val="both"/>
        <w:rPr>
          <w:rFonts w:ascii="Times New Roman" w:eastAsia="Times New Roman" w:hAnsi="Times New Roman" w:cs="Times New Roman"/>
          <w:sz w:val="20"/>
          <w:szCs w:val="20"/>
        </w:rPr>
      </w:pPr>
      <w:r w:rsidRPr="00903330">
        <w:rPr>
          <w:rFonts w:ascii="Times New Roman" w:eastAsia="Times New Roman" w:hAnsi="Times New Roman" w:cs="Times New Roman"/>
          <w:sz w:val="20"/>
          <w:szCs w:val="20"/>
        </w:rPr>
        <w:t>The study comprised of 78 formalin fixed paraffin embedded hepatic tissue blocks (25 cirrhosis, 20 dyspalsia and 33 of HCC). Paraffin Blocks were collected from the archives of the pathology department, tanta university hospital, and private laboratories, with their clinic-pathological data.</w:t>
      </w:r>
    </w:p>
    <w:p w:rsidR="005E7D01" w:rsidRPr="00903330" w:rsidRDefault="003F13ED" w:rsidP="00827AA9">
      <w:pPr>
        <w:snapToGrid w:val="0"/>
        <w:spacing w:after="0" w:line="240" w:lineRule="auto"/>
        <w:jc w:val="both"/>
        <w:rPr>
          <w:rFonts w:ascii="Times New Roman" w:eastAsia="Times New Roman" w:hAnsi="Times New Roman" w:cs="Times New Roman"/>
          <w:b/>
          <w:sz w:val="20"/>
          <w:szCs w:val="20"/>
        </w:rPr>
      </w:pPr>
      <w:r w:rsidRPr="00903330">
        <w:rPr>
          <w:rFonts w:ascii="Times New Roman" w:eastAsia="Times New Roman" w:hAnsi="Times New Roman" w:cs="Times New Roman"/>
          <w:b/>
          <w:sz w:val="20"/>
          <w:szCs w:val="20"/>
        </w:rPr>
        <w:t>Immunohistochemicalstaining</w:t>
      </w:r>
      <w:r w:rsidR="00903330" w:rsidRPr="00903330">
        <w:rPr>
          <w:rFonts w:ascii="Times New Roman" w:eastAsia="Times New Roman" w:hAnsi="Times New Roman" w:cs="Times New Roman"/>
          <w:b/>
          <w:sz w:val="20"/>
          <w:szCs w:val="20"/>
        </w:rPr>
        <w:t>:</w:t>
      </w:r>
    </w:p>
    <w:p w:rsidR="005E7D01" w:rsidRPr="00903330" w:rsidRDefault="003F13ED" w:rsidP="00827AA9">
      <w:pPr>
        <w:snapToGrid w:val="0"/>
        <w:spacing w:after="0" w:line="240" w:lineRule="auto"/>
        <w:ind w:firstLine="425"/>
        <w:jc w:val="both"/>
        <w:rPr>
          <w:rFonts w:ascii="Times New Roman" w:eastAsia="Times New Roman" w:hAnsi="Times New Roman" w:cs="Times New Roman"/>
          <w:sz w:val="20"/>
          <w:szCs w:val="20"/>
        </w:rPr>
      </w:pPr>
      <w:r w:rsidRPr="00903330">
        <w:rPr>
          <w:rFonts w:ascii="Times New Roman" w:eastAsia="Times New Roman" w:hAnsi="Times New Roman" w:cs="Times New Roman"/>
          <w:sz w:val="20"/>
          <w:szCs w:val="20"/>
        </w:rPr>
        <w:t xml:space="preserve">For immunostaining, 4 μm sections were deparaffinized in xylene, and then become rehydrated in decreasing concentrations of ethanol. Blockage of endogenous peroxidases (by incubation in 0.3% H2O2 for 30 min) followed by microwave incubation (15 </w:t>
      </w:r>
      <w:r w:rsidRPr="00903330">
        <w:rPr>
          <w:rFonts w:ascii="Times New Roman" w:eastAsia="Times New Roman" w:hAnsi="Times New Roman" w:cs="Times New Roman"/>
          <w:sz w:val="20"/>
          <w:szCs w:val="20"/>
        </w:rPr>
        <w:lastRenderedPageBreak/>
        <w:t>min in 10 mM sodium citrate buffer pH 6.0) for antigen retrieval. Slides were then incubated with the primary antibodies CHC (Rabbit / IgG polyclonal Antibody, Catalog Number PA5-50514, Thermofisher scientific, dilution 1:25-1:100 overnight at 4°C) and LIFR (Mouse / IgG1 Monoclonal Antibody, Catalog Number MA1-065, Thermofisher scientific, dilution: 1:100). Slides were rinsed by phosphate buffered saline after every step. Phosphate Slides were examined blindly (without knowledge of the clinical data). Counting of positive cells was done using LEICA image analysis system (LEICA DFC290 HD, Leica Microsystems Ltd., Heerbrugg, Switzerland). Five high power fields (x400 fields) were counted in each slide. Cells with cytoplasmic positivity for CHC and LIFR were counted. The counts were statistically analyzed using SPSS version 16 (SPSS Inc., Chicago, Illinois, USA).</w:t>
      </w:r>
    </w:p>
    <w:p w:rsidR="005E7D01" w:rsidRPr="00903330" w:rsidRDefault="003F13ED" w:rsidP="00827AA9">
      <w:pPr>
        <w:snapToGrid w:val="0"/>
        <w:spacing w:after="0" w:line="240" w:lineRule="auto"/>
        <w:jc w:val="both"/>
        <w:rPr>
          <w:rFonts w:ascii="Times New Roman" w:eastAsia="Times New Roman" w:hAnsi="Times New Roman" w:cs="Times New Roman"/>
          <w:b/>
          <w:sz w:val="20"/>
          <w:szCs w:val="20"/>
        </w:rPr>
      </w:pPr>
      <w:r w:rsidRPr="00903330">
        <w:rPr>
          <w:rFonts w:ascii="Times New Roman" w:eastAsia="Times New Roman" w:hAnsi="Times New Roman" w:cs="Times New Roman"/>
          <w:b/>
          <w:sz w:val="20"/>
          <w:szCs w:val="20"/>
        </w:rPr>
        <w:t>Interpretation of immunostaining</w:t>
      </w:r>
      <w:r w:rsidR="00903330" w:rsidRPr="00903330">
        <w:rPr>
          <w:rFonts w:ascii="Times New Roman" w:eastAsia="Times New Roman" w:hAnsi="Times New Roman" w:cs="Times New Roman"/>
          <w:b/>
          <w:sz w:val="20"/>
          <w:szCs w:val="20"/>
        </w:rPr>
        <w:t>:</w:t>
      </w:r>
    </w:p>
    <w:p w:rsidR="005E7D01" w:rsidRPr="00903330" w:rsidRDefault="003F13ED" w:rsidP="00827AA9">
      <w:pPr>
        <w:snapToGrid w:val="0"/>
        <w:spacing w:after="0" w:line="240" w:lineRule="auto"/>
        <w:ind w:firstLine="425"/>
        <w:jc w:val="both"/>
        <w:rPr>
          <w:rFonts w:ascii="Times New Roman" w:eastAsia="Times New Roman" w:hAnsi="Times New Roman" w:cs="Times New Roman"/>
          <w:sz w:val="20"/>
          <w:szCs w:val="20"/>
        </w:rPr>
      </w:pPr>
      <w:r w:rsidRPr="00903330">
        <w:rPr>
          <w:rFonts w:ascii="Times New Roman" w:eastAsia="Times New Roman" w:hAnsi="Times New Roman" w:cs="Times New Roman"/>
          <w:sz w:val="20"/>
          <w:szCs w:val="20"/>
        </w:rPr>
        <w:t>Immunostaining scores were independently evaluated by two pathologists who were blinded to the clinical outcome. The most 3 representative fields were selected under low power magnification (×100). For LIFR, positivity was detected by brown cytoplasmic staining. The immunostaining was scored according to the percentage of positive cells: 0 (0–10%), 1 (11–50%), and 2 (&gt; 51%) and the intensity of the staining: 0 (no staining), 1 (light brown), 2 (brown), and 3 (dark brown). The end scores were calculated with the following formula: overall scores = percentage score × intensity score. Overall scores of ≤ 1, 1–3, and ≥ 3 were defined as –, +, and ++, respectively [Luo et al., 2015]. CHC was also detected by cytoplasmic staining. Protein expression was scored as negative (0), weak (1), moderate (2), and strong (3) [Seimiya et al., 2008].</w:t>
      </w: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 xml:space="preserve">Statistical analysis was performed by using the Kruskal Wallis test, 2-tailed Fisher exact test or the χ2 test with Yates continuity correction. A </w:t>
      </w:r>
      <w:r w:rsidRPr="00903330">
        <w:rPr>
          <w:rFonts w:ascii="Times New Roman" w:hAnsi="Times New Roman" w:cs="Times New Roman"/>
          <w:i/>
          <w:sz w:val="20"/>
          <w:szCs w:val="20"/>
        </w:rPr>
        <w:t xml:space="preserve">P </w:t>
      </w:r>
      <w:r w:rsidRPr="00903330">
        <w:rPr>
          <w:rFonts w:ascii="Times New Roman" w:hAnsi="Times New Roman" w:cs="Times New Roman"/>
          <w:sz w:val="20"/>
          <w:szCs w:val="20"/>
        </w:rPr>
        <w:t>value of less than 0.05 was considered statistically significant.</w:t>
      </w:r>
    </w:p>
    <w:p w:rsidR="005E7D01" w:rsidRPr="00903330" w:rsidRDefault="005E7D01" w:rsidP="00827AA9">
      <w:pPr>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p>
    <w:p w:rsidR="005E7D01" w:rsidRPr="00903330" w:rsidRDefault="003E717C" w:rsidP="00827AA9">
      <w:pPr>
        <w:snapToGrid w:val="0"/>
        <w:spacing w:after="0" w:line="240" w:lineRule="auto"/>
        <w:jc w:val="both"/>
        <w:rPr>
          <w:rFonts w:ascii="Times New Roman" w:hAnsi="Times New Roman" w:cs="Times New Roman"/>
          <w:b/>
          <w:sz w:val="20"/>
          <w:szCs w:val="20"/>
        </w:rPr>
      </w:pPr>
      <w:r w:rsidRPr="00903330">
        <w:rPr>
          <w:rFonts w:ascii="Times New Roman" w:hAnsi="Times New Roman" w:cs="Times New Roman"/>
          <w:b/>
          <w:sz w:val="20"/>
          <w:szCs w:val="20"/>
        </w:rPr>
        <w:t xml:space="preserve">3. </w:t>
      </w:r>
      <w:r w:rsidR="003F13ED" w:rsidRPr="00903330">
        <w:rPr>
          <w:rFonts w:ascii="Times New Roman" w:hAnsi="Times New Roman" w:cs="Times New Roman"/>
          <w:b/>
          <w:sz w:val="20"/>
          <w:szCs w:val="20"/>
        </w:rPr>
        <w:t>Results:</w:t>
      </w:r>
    </w:p>
    <w:p w:rsidR="005E7D01" w:rsidRPr="00903330" w:rsidRDefault="003F13ED" w:rsidP="00827AA9">
      <w:pPr>
        <w:snapToGrid w:val="0"/>
        <w:spacing w:after="0" w:line="240" w:lineRule="auto"/>
        <w:jc w:val="both"/>
        <w:rPr>
          <w:rFonts w:ascii="Times New Roman" w:hAnsi="Times New Roman" w:cs="Times New Roman"/>
          <w:b/>
          <w:i/>
          <w:sz w:val="20"/>
          <w:szCs w:val="20"/>
        </w:rPr>
      </w:pPr>
      <w:r w:rsidRPr="00903330">
        <w:rPr>
          <w:rFonts w:ascii="Times New Roman" w:hAnsi="Times New Roman" w:cs="Times New Roman"/>
          <w:b/>
          <w:i/>
          <w:sz w:val="20"/>
          <w:szCs w:val="20"/>
        </w:rPr>
        <w:t>Clinicopathological data:</w:t>
      </w: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 xml:space="preserve">The study included 78 cases of hepatic lesions, including 25 of cirrhosis (18 males and 7 females) with a mean age of 60.64 ± 12.77, 20 cases of dysplasia (13 males and 7 females) with a mean age of 58.40 ± 15.22 and 33 cases of HCC (20 males and 13 females with a mean age of 62.66 ± 11.58. </w:t>
      </w: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For HCC, the size was classified into small and large (17 and 16 cases respectively). The grade was classified into well, moderate and poorly differentiated (14, 8 and 11 cases respectively).</w:t>
      </w:r>
    </w:p>
    <w:p w:rsidR="005E7D01" w:rsidRPr="00903330" w:rsidRDefault="003F13ED" w:rsidP="00827AA9">
      <w:pPr>
        <w:snapToGrid w:val="0"/>
        <w:spacing w:after="0" w:line="240" w:lineRule="auto"/>
        <w:jc w:val="both"/>
        <w:rPr>
          <w:rFonts w:ascii="Times New Roman" w:hAnsi="Times New Roman" w:cs="Times New Roman"/>
          <w:b/>
          <w:i/>
          <w:sz w:val="20"/>
          <w:szCs w:val="20"/>
        </w:rPr>
      </w:pPr>
      <w:r w:rsidRPr="00903330">
        <w:rPr>
          <w:rFonts w:ascii="Times New Roman" w:hAnsi="Times New Roman" w:cs="Times New Roman"/>
          <w:b/>
          <w:i/>
          <w:sz w:val="20"/>
          <w:szCs w:val="20"/>
        </w:rPr>
        <w:t>CHC immunohistochemical staining results:</w:t>
      </w: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 xml:space="preserve">CHC was detected as cytoplasmic staining of tumor cells. CHC expression was present in most of </w:t>
      </w:r>
      <w:r w:rsidRPr="00903330">
        <w:rPr>
          <w:rFonts w:ascii="Times New Roman" w:hAnsi="Times New Roman" w:cs="Times New Roman"/>
          <w:sz w:val="20"/>
          <w:szCs w:val="20"/>
        </w:rPr>
        <w:lastRenderedPageBreak/>
        <w:t>cases of HCC, decrease slightly with dysplasia with marked decrease in cirrhosis.</w:t>
      </w:r>
      <w:r w:rsidR="00903330" w:rsidRPr="00903330">
        <w:rPr>
          <w:rFonts w:ascii="Times New Roman" w:hAnsi="Times New Roman" w:cs="Times New Roman"/>
          <w:sz w:val="20"/>
          <w:szCs w:val="20"/>
        </w:rPr>
        <w:t xml:space="preserve"> </w:t>
      </w:r>
      <w:r w:rsidRPr="00903330">
        <w:rPr>
          <w:rFonts w:ascii="Times New Roman" w:hAnsi="Times New Roman" w:cs="Times New Roman"/>
          <w:sz w:val="20"/>
          <w:szCs w:val="20"/>
        </w:rPr>
        <w:t>Most of cases of HCC were positive to CHC (31 out of 33) (93.9%)</w:t>
      </w:r>
      <w:r w:rsidR="00903330" w:rsidRPr="00903330">
        <w:rPr>
          <w:rFonts w:ascii="Times New Roman" w:hAnsi="Times New Roman" w:cs="Times New Roman"/>
          <w:sz w:val="20"/>
          <w:szCs w:val="20"/>
        </w:rPr>
        <w:t>,</w:t>
      </w:r>
      <w:r w:rsidRPr="00903330">
        <w:rPr>
          <w:rFonts w:ascii="Times New Roman" w:hAnsi="Times New Roman" w:cs="Times New Roman"/>
          <w:sz w:val="20"/>
          <w:szCs w:val="20"/>
        </w:rPr>
        <w:t xml:space="preserve"> only 2 cases of HCC were negative to CHC (6.1%). Most of cases of cirrhosis (17 out of 25) (68.0%) were negative to CHC. While only 8 cases of cirrhosis (32.0%) were positive to CHC. In liver cell dysplasia, 14 cases were positive (70.0%) and 6 cases (30%) were negative to CHC (Fig 1). </w:t>
      </w:r>
    </w:p>
    <w:p w:rsidR="003E717C" w:rsidRPr="00903330" w:rsidRDefault="003E717C" w:rsidP="00827AA9">
      <w:pPr>
        <w:snapToGrid w:val="0"/>
        <w:spacing w:after="0" w:line="240" w:lineRule="auto"/>
        <w:ind w:firstLine="425"/>
        <w:jc w:val="both"/>
        <w:rPr>
          <w:rFonts w:ascii="Times New Roman" w:hAnsi="Times New Roman" w:cs="Times New Roman"/>
          <w:sz w:val="20"/>
          <w:szCs w:val="20"/>
        </w:rPr>
      </w:pPr>
    </w:p>
    <w:p w:rsidR="003E717C" w:rsidRPr="00903330" w:rsidRDefault="003E717C" w:rsidP="00827AA9">
      <w:pPr>
        <w:snapToGrid w:val="0"/>
        <w:spacing w:after="0" w:line="240" w:lineRule="auto"/>
        <w:jc w:val="center"/>
        <w:rPr>
          <w:rFonts w:ascii="Times New Roman" w:hAnsi="Times New Roman" w:cs="Times New Roman"/>
          <w:sz w:val="20"/>
          <w:szCs w:val="20"/>
        </w:rPr>
      </w:pPr>
      <w:r w:rsidRPr="00903330">
        <w:rPr>
          <w:rFonts w:ascii="Times New Roman" w:hAnsi="Times New Roman" w:cs="Times New Roman"/>
          <w:noProof/>
          <w:sz w:val="20"/>
          <w:szCs w:val="20"/>
          <w:lang w:eastAsia="zh-CN"/>
        </w:rPr>
        <w:drawing>
          <wp:inline distT="0" distB="0" distL="0" distR="0">
            <wp:extent cx="2546047" cy="1850197"/>
            <wp:effectExtent l="19050" t="0" r="6653" b="0"/>
            <wp:docPr id="1" name="صورة 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3" cstate="print"/>
                    <a:srcRect/>
                    <a:stretch>
                      <a:fillRect/>
                    </a:stretch>
                  </pic:blipFill>
                  <pic:spPr bwMode="auto">
                    <a:xfrm>
                      <a:off x="0" y="0"/>
                      <a:ext cx="2560169" cy="1860459"/>
                    </a:xfrm>
                    <a:prstGeom prst="rect">
                      <a:avLst/>
                    </a:prstGeom>
                    <a:noFill/>
                    <a:ln w="9525">
                      <a:noFill/>
                      <a:miter lim="800000"/>
                      <a:headEnd/>
                      <a:tailEnd/>
                    </a:ln>
                  </pic:spPr>
                </pic:pic>
              </a:graphicData>
            </a:graphic>
          </wp:inline>
        </w:drawing>
      </w:r>
    </w:p>
    <w:p w:rsidR="003E717C" w:rsidRPr="00903330" w:rsidRDefault="003E717C" w:rsidP="00827AA9">
      <w:pPr>
        <w:snapToGrid w:val="0"/>
        <w:spacing w:after="0" w:line="240" w:lineRule="auto"/>
        <w:jc w:val="both"/>
        <w:rPr>
          <w:rFonts w:ascii="Times New Roman" w:hAnsi="Times New Roman" w:cs="Times New Roman"/>
          <w:sz w:val="20"/>
          <w:szCs w:val="20"/>
          <w:lang w:bidi="ar-EG"/>
        </w:rPr>
      </w:pPr>
      <w:r w:rsidRPr="00903330">
        <w:rPr>
          <w:rFonts w:ascii="Times New Roman" w:hAnsi="Times New Roman" w:cs="Times New Roman"/>
          <w:b/>
          <w:bCs/>
          <w:sz w:val="20"/>
          <w:szCs w:val="20"/>
          <w:lang w:bidi="ar-EG"/>
        </w:rPr>
        <w:t>Fig 1</w:t>
      </w:r>
      <w:r w:rsidR="00827AA9" w:rsidRPr="00903330">
        <w:rPr>
          <w:rFonts w:ascii="Times New Roman" w:hAnsi="Times New Roman" w:cs="Times New Roman"/>
          <w:b/>
          <w:bCs/>
          <w:sz w:val="20"/>
          <w:szCs w:val="20"/>
          <w:lang w:bidi="ar-EG"/>
        </w:rPr>
        <w:t>.</w:t>
      </w:r>
      <w:r w:rsidR="00827AA9">
        <w:rPr>
          <w:rFonts w:ascii="Times New Roman" w:hAnsi="Times New Roman" w:cs="Times New Roman"/>
          <w:b/>
          <w:bCs/>
          <w:sz w:val="20"/>
          <w:szCs w:val="20"/>
          <w:lang w:bidi="ar-EG"/>
        </w:rPr>
        <w:t xml:space="preserve"> </w:t>
      </w:r>
      <w:r w:rsidR="00827AA9" w:rsidRPr="00903330">
        <w:rPr>
          <w:rFonts w:ascii="Times New Roman" w:hAnsi="Times New Roman" w:cs="Times New Roman"/>
          <w:sz w:val="20"/>
          <w:szCs w:val="20"/>
          <w:lang w:bidi="ar-EG"/>
        </w:rPr>
        <w:t>A</w:t>
      </w:r>
      <w:r w:rsidRPr="00903330">
        <w:rPr>
          <w:rFonts w:ascii="Times New Roman" w:hAnsi="Times New Roman" w:cs="Times New Roman"/>
          <w:sz w:val="20"/>
          <w:szCs w:val="20"/>
          <w:lang w:bidi="ar-EG"/>
        </w:rPr>
        <w:t xml:space="preserve"> case of liver cell dysplasia with moderate cytoplasmic staining (+2) of CHC</w:t>
      </w:r>
    </w:p>
    <w:p w:rsidR="003E717C" w:rsidRPr="00903330" w:rsidRDefault="003E717C" w:rsidP="00827AA9">
      <w:pPr>
        <w:snapToGrid w:val="0"/>
        <w:spacing w:after="0" w:line="240" w:lineRule="auto"/>
        <w:ind w:firstLine="425"/>
        <w:jc w:val="both"/>
        <w:rPr>
          <w:rFonts w:ascii="Times New Roman" w:hAnsi="Times New Roman" w:cs="Times New Roman"/>
          <w:sz w:val="20"/>
          <w:szCs w:val="20"/>
        </w:rPr>
      </w:pP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This relation was highly significant statistically (P&lt;0.001) (Table 3). Statistical analysis revealed significant association between tumor size and cytoplasmic expression of CHC where most of large size carcinoma cases (14 out of 16) showed strong positivity to CHC (Table 2)</w:t>
      </w: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 xml:space="preserve">Studying the relation with tumor grade also revealed significant relation with advancing grade and strong CHC expression. Strong CHC expression of +3 was detected in most of moderate and poorly </w:t>
      </w:r>
      <w:r w:rsidRPr="00903330">
        <w:rPr>
          <w:rFonts w:ascii="Times New Roman" w:hAnsi="Times New Roman" w:cs="Times New Roman"/>
          <w:sz w:val="20"/>
          <w:szCs w:val="20"/>
        </w:rPr>
        <w:lastRenderedPageBreak/>
        <w:t>differentiated cases (7 out of 8 and 9 out of 11 respectively) (Table 2) (Fig 2,3).</w:t>
      </w:r>
    </w:p>
    <w:p w:rsidR="003911BB" w:rsidRPr="00903330" w:rsidRDefault="003911BB" w:rsidP="00827AA9">
      <w:pPr>
        <w:snapToGrid w:val="0"/>
        <w:spacing w:after="0" w:line="240" w:lineRule="auto"/>
        <w:ind w:firstLine="425"/>
        <w:jc w:val="both"/>
        <w:rPr>
          <w:rFonts w:ascii="Times New Roman" w:hAnsi="Times New Roman" w:cs="Times New Roman"/>
          <w:sz w:val="20"/>
          <w:szCs w:val="20"/>
          <w:lang w:bidi="ar-EG"/>
        </w:rPr>
      </w:pPr>
    </w:p>
    <w:p w:rsidR="003911BB" w:rsidRPr="00903330" w:rsidRDefault="003911BB" w:rsidP="00827AA9">
      <w:pPr>
        <w:snapToGrid w:val="0"/>
        <w:spacing w:after="0" w:line="240" w:lineRule="auto"/>
        <w:jc w:val="center"/>
        <w:rPr>
          <w:rFonts w:ascii="Times New Roman" w:hAnsi="Times New Roman" w:cs="Times New Roman"/>
          <w:sz w:val="20"/>
          <w:szCs w:val="20"/>
        </w:rPr>
      </w:pPr>
      <w:r w:rsidRPr="00903330">
        <w:rPr>
          <w:rFonts w:ascii="Times New Roman" w:hAnsi="Times New Roman" w:cs="Times New Roman"/>
          <w:noProof/>
          <w:sz w:val="20"/>
          <w:szCs w:val="20"/>
          <w:lang w:eastAsia="zh-CN"/>
        </w:rPr>
        <w:drawing>
          <wp:inline distT="0" distB="0" distL="0" distR="0">
            <wp:extent cx="2610940" cy="1820849"/>
            <wp:effectExtent l="19050" t="0" r="0" b="0"/>
            <wp:docPr id="10" name="صورة 1" descr="C:\Users\Alia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aa\Desktop\Untitled.png"/>
                    <pic:cNvPicPr>
                      <a:picLocks noChangeAspect="1" noChangeArrowheads="1"/>
                    </pic:cNvPicPr>
                  </pic:nvPicPr>
                  <pic:blipFill>
                    <a:blip r:embed="rId14" cstate="print"/>
                    <a:srcRect/>
                    <a:stretch>
                      <a:fillRect/>
                    </a:stretch>
                  </pic:blipFill>
                  <pic:spPr bwMode="auto">
                    <a:xfrm>
                      <a:off x="0" y="0"/>
                      <a:ext cx="2613232" cy="1822448"/>
                    </a:xfrm>
                    <a:prstGeom prst="rect">
                      <a:avLst/>
                    </a:prstGeom>
                    <a:noFill/>
                    <a:ln w="9525">
                      <a:noFill/>
                      <a:miter lim="800000"/>
                      <a:headEnd/>
                      <a:tailEnd/>
                    </a:ln>
                  </pic:spPr>
                </pic:pic>
              </a:graphicData>
            </a:graphic>
          </wp:inline>
        </w:drawing>
      </w:r>
    </w:p>
    <w:p w:rsidR="003911BB" w:rsidRPr="00903330" w:rsidRDefault="003911BB" w:rsidP="00827AA9">
      <w:pPr>
        <w:snapToGrid w:val="0"/>
        <w:spacing w:after="0" w:line="240" w:lineRule="auto"/>
        <w:jc w:val="both"/>
        <w:rPr>
          <w:rFonts w:ascii="Times New Roman" w:hAnsi="Times New Roman" w:cs="Times New Roman"/>
          <w:sz w:val="20"/>
          <w:szCs w:val="20"/>
          <w:lang w:bidi="ar-EG"/>
        </w:rPr>
      </w:pPr>
      <w:r w:rsidRPr="00903330">
        <w:rPr>
          <w:rFonts w:ascii="Times New Roman" w:hAnsi="Times New Roman" w:cs="Times New Roman"/>
          <w:b/>
          <w:bCs/>
          <w:sz w:val="20"/>
          <w:szCs w:val="20"/>
          <w:lang w:bidi="ar-EG"/>
        </w:rPr>
        <w:t>Fig 2</w:t>
      </w:r>
      <w:r w:rsidR="00827AA9" w:rsidRPr="00903330">
        <w:rPr>
          <w:rFonts w:ascii="Times New Roman" w:hAnsi="Times New Roman" w:cs="Times New Roman"/>
          <w:b/>
          <w:bCs/>
          <w:sz w:val="20"/>
          <w:szCs w:val="20"/>
          <w:lang w:bidi="ar-EG"/>
        </w:rPr>
        <w:t>.</w:t>
      </w:r>
      <w:r w:rsidR="00827AA9">
        <w:rPr>
          <w:rFonts w:ascii="Times New Roman" w:hAnsi="Times New Roman" w:cs="Times New Roman"/>
          <w:b/>
          <w:bCs/>
          <w:sz w:val="20"/>
          <w:szCs w:val="20"/>
          <w:lang w:bidi="ar-EG"/>
        </w:rPr>
        <w:t xml:space="preserve"> </w:t>
      </w:r>
      <w:r w:rsidR="00827AA9" w:rsidRPr="00903330">
        <w:rPr>
          <w:rFonts w:ascii="Times New Roman" w:hAnsi="Times New Roman" w:cs="Times New Roman"/>
          <w:sz w:val="20"/>
          <w:szCs w:val="20"/>
          <w:lang w:bidi="ar-EG"/>
        </w:rPr>
        <w:t>A</w:t>
      </w:r>
      <w:r w:rsidRPr="00903330">
        <w:rPr>
          <w:rFonts w:ascii="Times New Roman" w:hAnsi="Times New Roman" w:cs="Times New Roman"/>
          <w:sz w:val="20"/>
          <w:szCs w:val="20"/>
          <w:lang w:bidi="ar-EG"/>
        </w:rPr>
        <w:t xml:space="preserve"> case of moderately differentiated HCC with strong cytoplasmic expression (+3) of CHC</w:t>
      </w:r>
    </w:p>
    <w:p w:rsidR="003911BB" w:rsidRPr="00903330" w:rsidRDefault="003911BB" w:rsidP="00827AA9">
      <w:pPr>
        <w:snapToGrid w:val="0"/>
        <w:spacing w:after="0" w:line="240" w:lineRule="auto"/>
        <w:ind w:firstLine="425"/>
        <w:jc w:val="both"/>
        <w:rPr>
          <w:rFonts w:ascii="Times New Roman" w:hAnsi="Times New Roman" w:cs="Times New Roman"/>
          <w:sz w:val="20"/>
          <w:szCs w:val="20"/>
        </w:rPr>
      </w:pPr>
    </w:p>
    <w:p w:rsidR="003911BB" w:rsidRPr="00903330" w:rsidRDefault="003911BB" w:rsidP="00827AA9">
      <w:pPr>
        <w:snapToGrid w:val="0"/>
        <w:spacing w:after="0" w:line="240" w:lineRule="auto"/>
        <w:jc w:val="center"/>
        <w:rPr>
          <w:rFonts w:ascii="Times New Roman" w:hAnsi="Times New Roman" w:cs="Times New Roman"/>
          <w:sz w:val="20"/>
          <w:szCs w:val="20"/>
        </w:rPr>
      </w:pPr>
      <w:r w:rsidRPr="00903330">
        <w:rPr>
          <w:rFonts w:ascii="Times New Roman" w:hAnsi="Times New Roman" w:cs="Times New Roman"/>
          <w:noProof/>
          <w:sz w:val="20"/>
          <w:szCs w:val="20"/>
          <w:lang w:eastAsia="zh-CN"/>
        </w:rPr>
        <w:drawing>
          <wp:inline distT="0" distB="0" distL="0" distR="0">
            <wp:extent cx="2581026" cy="1741336"/>
            <wp:effectExtent l="19050" t="0" r="0" b="0"/>
            <wp:docPr id="11" name="صورة 2"/>
            <wp:cNvGraphicFramePr/>
            <a:graphic xmlns:a="http://schemas.openxmlformats.org/drawingml/2006/main">
              <a:graphicData uri="http://schemas.openxmlformats.org/drawingml/2006/picture">
                <pic:pic xmlns:pic="http://schemas.openxmlformats.org/drawingml/2006/picture">
                  <pic:nvPicPr>
                    <pic:cNvPr id="4099" name="Picture 2"/>
                    <pic:cNvPicPr>
                      <a:picLocks noChangeAspect="1" noChangeArrowheads="1"/>
                    </pic:cNvPicPr>
                  </pic:nvPicPr>
                  <pic:blipFill>
                    <a:blip r:embed="rId15" cstate="print"/>
                    <a:srcRect/>
                    <a:stretch>
                      <a:fillRect/>
                    </a:stretch>
                  </pic:blipFill>
                  <pic:spPr bwMode="auto">
                    <a:xfrm>
                      <a:off x="0" y="0"/>
                      <a:ext cx="2586752" cy="1745199"/>
                    </a:xfrm>
                    <a:prstGeom prst="rect">
                      <a:avLst/>
                    </a:prstGeom>
                    <a:noFill/>
                    <a:ln w="9525">
                      <a:noFill/>
                      <a:miter lim="800000"/>
                      <a:headEnd/>
                      <a:tailEnd/>
                    </a:ln>
                  </pic:spPr>
                </pic:pic>
              </a:graphicData>
            </a:graphic>
          </wp:inline>
        </w:drawing>
      </w:r>
    </w:p>
    <w:p w:rsidR="003E717C" w:rsidRPr="00903330" w:rsidRDefault="003911BB" w:rsidP="00827AA9">
      <w:pPr>
        <w:snapToGrid w:val="0"/>
        <w:spacing w:after="0" w:line="240" w:lineRule="auto"/>
        <w:jc w:val="both"/>
        <w:rPr>
          <w:rFonts w:ascii="Times New Roman" w:hAnsi="Times New Roman" w:cs="Times New Roman"/>
          <w:sz w:val="20"/>
          <w:szCs w:val="20"/>
          <w:lang w:bidi="ar-EG"/>
        </w:rPr>
      </w:pPr>
      <w:r w:rsidRPr="00903330">
        <w:rPr>
          <w:rFonts w:ascii="Times New Roman" w:hAnsi="Times New Roman" w:cs="Times New Roman"/>
          <w:b/>
          <w:bCs/>
          <w:sz w:val="20"/>
          <w:szCs w:val="20"/>
          <w:lang w:bidi="ar-EG"/>
        </w:rPr>
        <w:t>Fig</w:t>
      </w:r>
      <w:r w:rsidR="00F35E4D">
        <w:rPr>
          <w:rFonts w:ascii="Times New Roman" w:hAnsi="Times New Roman" w:cs="Times New Roman" w:hint="eastAsia"/>
          <w:b/>
          <w:bCs/>
          <w:sz w:val="20"/>
          <w:szCs w:val="20"/>
          <w:lang w:eastAsia="zh-CN" w:bidi="ar-EG"/>
        </w:rPr>
        <w:t xml:space="preserve"> </w:t>
      </w:r>
      <w:r w:rsidRPr="00903330">
        <w:rPr>
          <w:rFonts w:ascii="Times New Roman" w:hAnsi="Times New Roman" w:cs="Times New Roman"/>
          <w:b/>
          <w:bCs/>
          <w:sz w:val="20"/>
          <w:szCs w:val="20"/>
          <w:lang w:bidi="ar-EG"/>
        </w:rPr>
        <w:t>3</w:t>
      </w:r>
      <w:r w:rsidR="00827AA9" w:rsidRPr="00903330">
        <w:rPr>
          <w:rFonts w:ascii="Times New Roman" w:hAnsi="Times New Roman" w:cs="Times New Roman"/>
          <w:b/>
          <w:bCs/>
          <w:sz w:val="20"/>
          <w:szCs w:val="20"/>
          <w:lang w:bidi="ar-EG"/>
        </w:rPr>
        <w:t>.</w:t>
      </w:r>
      <w:r w:rsidR="00827AA9">
        <w:rPr>
          <w:rFonts w:ascii="Times New Roman" w:hAnsi="Times New Roman" w:cs="Times New Roman"/>
          <w:b/>
          <w:bCs/>
          <w:sz w:val="20"/>
          <w:szCs w:val="20"/>
          <w:lang w:bidi="ar-EG"/>
        </w:rPr>
        <w:t xml:space="preserve"> </w:t>
      </w:r>
      <w:r w:rsidR="00827AA9" w:rsidRPr="00903330">
        <w:rPr>
          <w:rFonts w:ascii="Times New Roman" w:hAnsi="Times New Roman" w:cs="Times New Roman"/>
          <w:sz w:val="20"/>
          <w:szCs w:val="20"/>
          <w:lang w:bidi="ar-EG"/>
        </w:rPr>
        <w:t>A</w:t>
      </w:r>
      <w:r w:rsidRPr="00903330">
        <w:rPr>
          <w:rFonts w:ascii="Times New Roman" w:hAnsi="Times New Roman" w:cs="Times New Roman"/>
          <w:sz w:val="20"/>
          <w:szCs w:val="20"/>
          <w:lang w:bidi="ar-EG"/>
        </w:rPr>
        <w:t xml:space="preserve"> case of poorly differentiated HCC with strong cytoplasmic expressio</w:t>
      </w:r>
      <w:r w:rsidR="00903330" w:rsidRPr="00903330">
        <w:rPr>
          <w:rFonts w:ascii="Times New Roman" w:hAnsi="Times New Roman" w:cs="Times New Roman"/>
          <w:sz w:val="20"/>
          <w:szCs w:val="20"/>
          <w:lang w:bidi="ar-EG"/>
        </w:rPr>
        <w:t>n (</w:t>
      </w:r>
      <w:r w:rsidRPr="00903330">
        <w:rPr>
          <w:rFonts w:ascii="Times New Roman" w:hAnsi="Times New Roman" w:cs="Times New Roman"/>
          <w:sz w:val="20"/>
          <w:szCs w:val="20"/>
          <w:lang w:bidi="ar-EG"/>
        </w:rPr>
        <w:t>+3) of CHC</w:t>
      </w:r>
    </w:p>
    <w:p w:rsidR="00827AA9" w:rsidRDefault="00827AA9" w:rsidP="00827AA9">
      <w:pPr>
        <w:snapToGrid w:val="0"/>
        <w:spacing w:after="0" w:line="240" w:lineRule="auto"/>
        <w:jc w:val="center"/>
        <w:rPr>
          <w:rFonts w:ascii="Times New Roman" w:hAnsi="Times New Roman" w:cs="Times New Roman"/>
          <w:b/>
          <w:bCs/>
          <w:sz w:val="20"/>
          <w:szCs w:val="20"/>
        </w:rPr>
        <w:sectPr w:rsidR="00827AA9" w:rsidSect="003F5E9B">
          <w:type w:val="continuous"/>
          <w:pgSz w:w="12240" w:h="15840"/>
          <w:pgMar w:top="1440" w:right="1440" w:bottom="1440" w:left="1440" w:header="720" w:footer="720" w:gutter="0"/>
          <w:cols w:num="2" w:space="550"/>
          <w:docGrid w:linePitch="299"/>
        </w:sectPr>
      </w:pPr>
    </w:p>
    <w:p w:rsidR="00827AA9" w:rsidRDefault="00827AA9" w:rsidP="00827AA9">
      <w:pPr>
        <w:snapToGrid w:val="0"/>
        <w:spacing w:after="0" w:line="240" w:lineRule="auto"/>
        <w:jc w:val="center"/>
        <w:rPr>
          <w:rFonts w:ascii="Times New Roman" w:hAnsi="Times New Roman" w:cs="Times New Roman"/>
          <w:b/>
          <w:bCs/>
          <w:sz w:val="20"/>
          <w:szCs w:val="20"/>
          <w:lang w:eastAsia="zh-CN"/>
        </w:rPr>
      </w:pPr>
    </w:p>
    <w:p w:rsidR="005E7D01" w:rsidRPr="00903330" w:rsidRDefault="003F13ED" w:rsidP="00827AA9">
      <w:pPr>
        <w:snapToGrid w:val="0"/>
        <w:spacing w:after="0" w:line="240" w:lineRule="auto"/>
        <w:jc w:val="center"/>
        <w:rPr>
          <w:rFonts w:ascii="Times New Roman" w:hAnsi="Times New Roman" w:cs="Times New Roman"/>
          <w:sz w:val="20"/>
          <w:szCs w:val="20"/>
        </w:rPr>
      </w:pPr>
      <w:r w:rsidRPr="00903330">
        <w:rPr>
          <w:rFonts w:ascii="Times New Roman" w:hAnsi="Times New Roman" w:cs="Times New Roman"/>
          <w:b/>
          <w:bCs/>
          <w:sz w:val="20"/>
          <w:szCs w:val="20"/>
        </w:rPr>
        <w:t>Table 1</w:t>
      </w:r>
      <w:r w:rsidR="00827AA9" w:rsidRPr="00903330">
        <w:rPr>
          <w:rFonts w:ascii="Times New Roman" w:hAnsi="Times New Roman" w:cs="Times New Roman"/>
          <w:sz w:val="20"/>
          <w:szCs w:val="20"/>
        </w:rPr>
        <w:t>.</w:t>
      </w:r>
      <w:r w:rsidR="00827AA9">
        <w:rPr>
          <w:rFonts w:ascii="Times New Roman" w:hAnsi="Times New Roman" w:cs="Times New Roman"/>
          <w:sz w:val="20"/>
          <w:szCs w:val="20"/>
        </w:rPr>
        <w:t xml:space="preserve"> </w:t>
      </w:r>
      <w:r w:rsidR="00827AA9" w:rsidRPr="00903330">
        <w:rPr>
          <w:rFonts w:ascii="Times New Roman" w:hAnsi="Times New Roman" w:cs="Times New Roman"/>
          <w:sz w:val="20"/>
          <w:szCs w:val="20"/>
        </w:rPr>
        <w:t>T</w:t>
      </w:r>
      <w:r w:rsidRPr="00903330">
        <w:rPr>
          <w:rFonts w:ascii="Times New Roman" w:hAnsi="Times New Roman" w:cs="Times New Roman"/>
          <w:sz w:val="20"/>
          <w:szCs w:val="20"/>
        </w:rPr>
        <w:t>he relation between CHC expression with tumor size and grade.</w:t>
      </w:r>
    </w:p>
    <w:tbl>
      <w:tblPr>
        <w:tblStyle w:val="a6"/>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tblPr>
      <w:tblGrid>
        <w:gridCol w:w="763"/>
        <w:gridCol w:w="810"/>
        <w:gridCol w:w="1808"/>
        <w:gridCol w:w="1215"/>
        <w:gridCol w:w="942"/>
        <w:gridCol w:w="1086"/>
        <w:gridCol w:w="1232"/>
        <w:gridCol w:w="1618"/>
      </w:tblGrid>
      <w:tr w:rsidR="005E7D01" w:rsidRPr="00903330" w:rsidTr="00903330">
        <w:trPr>
          <w:jc w:val="center"/>
        </w:trPr>
        <w:tc>
          <w:tcPr>
            <w:tcW w:w="403" w:type="pct"/>
            <w:vMerge w:val="restar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HCC</w:t>
            </w:r>
          </w:p>
        </w:tc>
        <w:tc>
          <w:tcPr>
            <w:tcW w:w="1382" w:type="pct"/>
            <w:gridSpan w:val="2"/>
            <w:vMerge w:val="restart"/>
            <w:vAlign w:val="center"/>
          </w:tcPr>
          <w:p w:rsidR="005E7D01" w:rsidRPr="00903330" w:rsidRDefault="005E7D01"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tc>
        <w:tc>
          <w:tcPr>
            <w:tcW w:w="2361" w:type="pct"/>
            <w:gridSpan w:val="4"/>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CHC</w:t>
            </w:r>
          </w:p>
        </w:tc>
        <w:tc>
          <w:tcPr>
            <w:tcW w:w="854" w:type="pct"/>
            <w:vMerge w:val="restar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FE (p value)</w:t>
            </w:r>
          </w:p>
        </w:tc>
      </w:tr>
      <w:tr w:rsidR="005E7D01" w:rsidRPr="00903330" w:rsidTr="00903330">
        <w:trPr>
          <w:jc w:val="center"/>
        </w:trPr>
        <w:tc>
          <w:tcPr>
            <w:tcW w:w="403" w:type="pct"/>
            <w:vMerge/>
            <w:vAlign w:val="center"/>
          </w:tcPr>
          <w:p w:rsidR="005E7D01" w:rsidRPr="00903330" w:rsidRDefault="005E7D01" w:rsidP="00827AA9">
            <w:pPr>
              <w:widowControl w:val="0"/>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tc>
        <w:tc>
          <w:tcPr>
            <w:tcW w:w="1382" w:type="pct"/>
            <w:gridSpan w:val="2"/>
            <w:vMerge/>
            <w:vAlign w:val="center"/>
          </w:tcPr>
          <w:p w:rsidR="005E7D01" w:rsidRPr="00903330" w:rsidRDefault="005E7D01" w:rsidP="00827AA9">
            <w:pPr>
              <w:widowControl w:val="0"/>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tc>
        <w:tc>
          <w:tcPr>
            <w:tcW w:w="641"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Negative</w:t>
            </w:r>
          </w:p>
          <w:p w:rsidR="005E7D01" w:rsidRPr="00903330" w:rsidRDefault="00501B9F"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(n</w:t>
            </w:r>
            <w:r w:rsidR="003F13ED" w:rsidRPr="00903330">
              <w:rPr>
                <w:rFonts w:ascii="Times New Roman" w:eastAsia="Times" w:hAnsi="Times New Roman" w:cs="Times New Roman"/>
                <w:sz w:val="20"/>
                <w:szCs w:val="20"/>
              </w:rPr>
              <w:t>=2)</w:t>
            </w:r>
          </w:p>
        </w:tc>
        <w:tc>
          <w:tcPr>
            <w:tcW w:w="497"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+1</w:t>
            </w:r>
          </w:p>
          <w:p w:rsidR="005E7D01" w:rsidRPr="00903330" w:rsidRDefault="00501B9F"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(n</w:t>
            </w:r>
            <w:r w:rsidR="003F13ED" w:rsidRPr="00903330">
              <w:rPr>
                <w:rFonts w:ascii="Times New Roman" w:eastAsia="Times" w:hAnsi="Times New Roman" w:cs="Times New Roman"/>
                <w:sz w:val="20"/>
                <w:szCs w:val="20"/>
              </w:rPr>
              <w:t>=1)</w:t>
            </w:r>
          </w:p>
        </w:tc>
        <w:tc>
          <w:tcPr>
            <w:tcW w:w="573"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+2</w:t>
            </w: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(n=8)</w:t>
            </w:r>
          </w:p>
        </w:tc>
        <w:tc>
          <w:tcPr>
            <w:tcW w:w="650"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+3</w:t>
            </w:r>
          </w:p>
          <w:p w:rsidR="005E7D01" w:rsidRPr="00903330" w:rsidRDefault="00501B9F"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(n</w:t>
            </w:r>
            <w:r w:rsidR="003F13ED" w:rsidRPr="00903330">
              <w:rPr>
                <w:rFonts w:ascii="Times New Roman" w:eastAsia="Times" w:hAnsi="Times New Roman" w:cs="Times New Roman"/>
                <w:sz w:val="20"/>
                <w:szCs w:val="20"/>
              </w:rPr>
              <w:t>=22)</w:t>
            </w:r>
          </w:p>
        </w:tc>
        <w:tc>
          <w:tcPr>
            <w:tcW w:w="854" w:type="pct"/>
            <w:vMerge/>
            <w:vAlign w:val="center"/>
          </w:tcPr>
          <w:p w:rsidR="005E7D01" w:rsidRPr="00903330" w:rsidRDefault="005E7D01" w:rsidP="00827AA9">
            <w:pPr>
              <w:widowControl w:val="0"/>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tc>
      </w:tr>
      <w:tr w:rsidR="005E7D01" w:rsidRPr="00903330" w:rsidTr="00903330">
        <w:trPr>
          <w:jc w:val="center"/>
        </w:trPr>
        <w:tc>
          <w:tcPr>
            <w:tcW w:w="403" w:type="pct"/>
            <w:vMerge/>
            <w:vAlign w:val="center"/>
          </w:tcPr>
          <w:p w:rsidR="005E7D01" w:rsidRPr="00903330" w:rsidRDefault="005E7D01" w:rsidP="00827AA9">
            <w:pPr>
              <w:widowControl w:val="0"/>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tc>
        <w:tc>
          <w:tcPr>
            <w:tcW w:w="428" w:type="pct"/>
            <w:vMerge w:val="restar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size</w:t>
            </w:r>
          </w:p>
        </w:tc>
        <w:tc>
          <w:tcPr>
            <w:tcW w:w="954" w:type="pct"/>
            <w:vAlign w:val="center"/>
          </w:tcPr>
          <w:p w:rsidR="005E7D01" w:rsidRPr="00903330" w:rsidRDefault="00933578"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 xml:space="preserve">Small </w:t>
            </w:r>
            <w:r w:rsidR="003F13ED" w:rsidRPr="00903330">
              <w:rPr>
                <w:rFonts w:ascii="Times New Roman" w:eastAsia="Times" w:hAnsi="Times New Roman" w:cs="Times New Roman"/>
                <w:sz w:val="20"/>
                <w:szCs w:val="20"/>
              </w:rPr>
              <w:t>n=17</w:t>
            </w:r>
          </w:p>
        </w:tc>
        <w:tc>
          <w:tcPr>
            <w:tcW w:w="641" w:type="pct"/>
            <w:vAlign w:val="center"/>
          </w:tcPr>
          <w:p w:rsidR="005E7D01" w:rsidRPr="00903330" w:rsidRDefault="00933578"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1 (50</w:t>
            </w:r>
            <w:r w:rsidR="003F13ED" w:rsidRPr="00903330">
              <w:rPr>
                <w:rFonts w:ascii="Times New Roman" w:eastAsia="Times" w:hAnsi="Times New Roman" w:cs="Times New Roman"/>
                <w:sz w:val="20"/>
                <w:szCs w:val="20"/>
              </w:rPr>
              <w:t>)</w:t>
            </w:r>
          </w:p>
        </w:tc>
        <w:tc>
          <w:tcPr>
            <w:tcW w:w="497" w:type="pct"/>
            <w:vAlign w:val="center"/>
          </w:tcPr>
          <w:p w:rsidR="005E7D01" w:rsidRPr="00903330" w:rsidRDefault="00933578"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1(100</w:t>
            </w:r>
            <w:r w:rsidR="003F13ED" w:rsidRPr="00903330">
              <w:rPr>
                <w:rFonts w:ascii="Times New Roman" w:eastAsia="Times" w:hAnsi="Times New Roman" w:cs="Times New Roman"/>
                <w:sz w:val="20"/>
                <w:szCs w:val="20"/>
              </w:rPr>
              <w:t>)</w:t>
            </w:r>
          </w:p>
        </w:tc>
        <w:tc>
          <w:tcPr>
            <w:tcW w:w="573"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7 (87.5)</w:t>
            </w:r>
          </w:p>
        </w:tc>
        <w:tc>
          <w:tcPr>
            <w:tcW w:w="650"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8 (36.4)</w:t>
            </w:r>
          </w:p>
        </w:tc>
        <w:tc>
          <w:tcPr>
            <w:tcW w:w="854" w:type="pct"/>
            <w:vMerge w:val="restart"/>
            <w:vAlign w:val="center"/>
          </w:tcPr>
          <w:p w:rsidR="00903330"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7.23</w:t>
            </w:r>
          </w:p>
          <w:p w:rsidR="005E7D01" w:rsidRPr="00903330" w:rsidRDefault="00903330"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w:t>
            </w:r>
            <w:r w:rsidR="003F13ED" w:rsidRPr="00903330">
              <w:rPr>
                <w:rFonts w:ascii="Times New Roman" w:eastAsia="Times" w:hAnsi="Times New Roman" w:cs="Times New Roman"/>
                <w:sz w:val="20"/>
                <w:szCs w:val="20"/>
              </w:rPr>
              <w:t>0.01)*</w:t>
            </w:r>
          </w:p>
        </w:tc>
      </w:tr>
      <w:tr w:rsidR="005E7D01" w:rsidRPr="00903330" w:rsidTr="00903330">
        <w:trPr>
          <w:jc w:val="center"/>
        </w:trPr>
        <w:tc>
          <w:tcPr>
            <w:tcW w:w="403" w:type="pct"/>
            <w:vMerge/>
            <w:vAlign w:val="center"/>
          </w:tcPr>
          <w:p w:rsidR="005E7D01" w:rsidRPr="00903330" w:rsidRDefault="005E7D01" w:rsidP="00827AA9">
            <w:pPr>
              <w:widowControl w:val="0"/>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tc>
        <w:tc>
          <w:tcPr>
            <w:tcW w:w="428" w:type="pct"/>
            <w:vMerge/>
            <w:vAlign w:val="center"/>
          </w:tcPr>
          <w:p w:rsidR="005E7D01" w:rsidRPr="00903330" w:rsidRDefault="005E7D01" w:rsidP="00827AA9">
            <w:pPr>
              <w:widowControl w:val="0"/>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tc>
        <w:tc>
          <w:tcPr>
            <w:tcW w:w="954" w:type="pct"/>
            <w:vAlign w:val="center"/>
          </w:tcPr>
          <w:p w:rsidR="005E7D01" w:rsidRPr="00903330" w:rsidRDefault="00933578"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 xml:space="preserve">Large </w:t>
            </w:r>
            <w:r w:rsidR="003F13ED" w:rsidRPr="00903330">
              <w:rPr>
                <w:rFonts w:ascii="Times New Roman" w:eastAsia="Times" w:hAnsi="Times New Roman" w:cs="Times New Roman"/>
                <w:sz w:val="20"/>
                <w:szCs w:val="20"/>
              </w:rPr>
              <w:t>n=16</w:t>
            </w:r>
          </w:p>
        </w:tc>
        <w:tc>
          <w:tcPr>
            <w:tcW w:w="641" w:type="pct"/>
            <w:vAlign w:val="center"/>
          </w:tcPr>
          <w:p w:rsidR="005E7D01" w:rsidRPr="00903330" w:rsidRDefault="00933578"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1 (50</w:t>
            </w:r>
            <w:r w:rsidR="003F13ED" w:rsidRPr="00903330">
              <w:rPr>
                <w:rFonts w:ascii="Times New Roman" w:eastAsia="Times" w:hAnsi="Times New Roman" w:cs="Times New Roman"/>
                <w:sz w:val="20"/>
                <w:szCs w:val="20"/>
              </w:rPr>
              <w:t>)</w:t>
            </w:r>
          </w:p>
        </w:tc>
        <w:tc>
          <w:tcPr>
            <w:tcW w:w="497"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0</w:t>
            </w:r>
          </w:p>
        </w:tc>
        <w:tc>
          <w:tcPr>
            <w:tcW w:w="573"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1 (12.5)</w:t>
            </w:r>
          </w:p>
        </w:tc>
        <w:tc>
          <w:tcPr>
            <w:tcW w:w="650"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14 (63.6)</w:t>
            </w:r>
          </w:p>
        </w:tc>
        <w:tc>
          <w:tcPr>
            <w:tcW w:w="854" w:type="pct"/>
            <w:vMerge/>
            <w:vAlign w:val="center"/>
          </w:tcPr>
          <w:p w:rsidR="005E7D01" w:rsidRPr="00903330" w:rsidRDefault="005E7D01" w:rsidP="00827AA9">
            <w:pPr>
              <w:widowControl w:val="0"/>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tc>
      </w:tr>
      <w:tr w:rsidR="005E7D01" w:rsidRPr="00903330" w:rsidTr="00903330">
        <w:trPr>
          <w:jc w:val="center"/>
        </w:trPr>
        <w:tc>
          <w:tcPr>
            <w:tcW w:w="403" w:type="pct"/>
            <w:vMerge/>
            <w:vAlign w:val="center"/>
          </w:tcPr>
          <w:p w:rsidR="005E7D01" w:rsidRPr="00903330" w:rsidRDefault="005E7D01" w:rsidP="00827AA9">
            <w:pPr>
              <w:widowControl w:val="0"/>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tc>
        <w:tc>
          <w:tcPr>
            <w:tcW w:w="428" w:type="pct"/>
            <w:vMerge w:val="restar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grade</w:t>
            </w:r>
          </w:p>
        </w:tc>
        <w:tc>
          <w:tcPr>
            <w:tcW w:w="954" w:type="pct"/>
            <w:vAlign w:val="center"/>
          </w:tcPr>
          <w:p w:rsidR="005E7D01" w:rsidRPr="00903330" w:rsidRDefault="00933578"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Well</w:t>
            </w:r>
            <w:r w:rsidR="00903330" w:rsidRPr="00903330">
              <w:rPr>
                <w:rFonts w:ascii="Times New Roman" w:eastAsia="Times" w:hAnsi="Times New Roman" w:cs="Times New Roman"/>
                <w:sz w:val="20"/>
                <w:szCs w:val="20"/>
              </w:rPr>
              <w:t xml:space="preserve"> </w:t>
            </w:r>
            <w:r w:rsidR="003F13ED" w:rsidRPr="00903330">
              <w:rPr>
                <w:rFonts w:ascii="Times New Roman" w:eastAsia="Times" w:hAnsi="Times New Roman" w:cs="Times New Roman"/>
                <w:sz w:val="20"/>
                <w:szCs w:val="20"/>
              </w:rPr>
              <w:t>n=14</w:t>
            </w:r>
          </w:p>
        </w:tc>
        <w:tc>
          <w:tcPr>
            <w:tcW w:w="641" w:type="pct"/>
            <w:vAlign w:val="center"/>
          </w:tcPr>
          <w:p w:rsidR="005E7D01" w:rsidRPr="00903330" w:rsidRDefault="00933578"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 xml:space="preserve">0 </w:t>
            </w:r>
          </w:p>
        </w:tc>
        <w:tc>
          <w:tcPr>
            <w:tcW w:w="497"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1</w:t>
            </w:r>
            <w:r w:rsidR="00933578" w:rsidRPr="00903330">
              <w:rPr>
                <w:rFonts w:ascii="Times New Roman" w:eastAsia="Times" w:hAnsi="Times New Roman" w:cs="Times New Roman"/>
                <w:sz w:val="20"/>
                <w:szCs w:val="20"/>
              </w:rPr>
              <w:t>(100)</w:t>
            </w:r>
          </w:p>
        </w:tc>
        <w:tc>
          <w:tcPr>
            <w:tcW w:w="573"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7 (87.5)</w:t>
            </w:r>
          </w:p>
        </w:tc>
        <w:tc>
          <w:tcPr>
            <w:tcW w:w="650"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6 (27.3)</w:t>
            </w:r>
          </w:p>
        </w:tc>
        <w:tc>
          <w:tcPr>
            <w:tcW w:w="854" w:type="pct"/>
            <w:vMerge w:val="restar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11.02</w:t>
            </w: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(0.007)*</w:t>
            </w:r>
          </w:p>
        </w:tc>
      </w:tr>
      <w:tr w:rsidR="005E7D01" w:rsidRPr="00903330" w:rsidTr="00903330">
        <w:trPr>
          <w:jc w:val="center"/>
        </w:trPr>
        <w:tc>
          <w:tcPr>
            <w:tcW w:w="403" w:type="pct"/>
            <w:vMerge/>
            <w:vAlign w:val="center"/>
          </w:tcPr>
          <w:p w:rsidR="005E7D01" w:rsidRPr="00903330" w:rsidRDefault="005E7D01" w:rsidP="00827AA9">
            <w:pPr>
              <w:widowControl w:val="0"/>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tc>
        <w:tc>
          <w:tcPr>
            <w:tcW w:w="428" w:type="pct"/>
            <w:vMerge/>
            <w:vAlign w:val="center"/>
          </w:tcPr>
          <w:p w:rsidR="005E7D01" w:rsidRPr="00903330" w:rsidRDefault="005E7D01" w:rsidP="00827AA9">
            <w:pPr>
              <w:widowControl w:val="0"/>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tc>
        <w:tc>
          <w:tcPr>
            <w:tcW w:w="954"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Moderate n=8</w:t>
            </w:r>
          </w:p>
        </w:tc>
        <w:tc>
          <w:tcPr>
            <w:tcW w:w="641" w:type="pct"/>
            <w:vAlign w:val="center"/>
          </w:tcPr>
          <w:p w:rsidR="005E7D01" w:rsidRPr="00903330" w:rsidRDefault="00933578"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1 (50</w:t>
            </w:r>
            <w:r w:rsidR="003F13ED" w:rsidRPr="00903330">
              <w:rPr>
                <w:rFonts w:ascii="Times New Roman" w:eastAsia="Times" w:hAnsi="Times New Roman" w:cs="Times New Roman"/>
                <w:sz w:val="20"/>
                <w:szCs w:val="20"/>
              </w:rPr>
              <w:t>)</w:t>
            </w:r>
          </w:p>
        </w:tc>
        <w:tc>
          <w:tcPr>
            <w:tcW w:w="497"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0</w:t>
            </w:r>
          </w:p>
        </w:tc>
        <w:tc>
          <w:tcPr>
            <w:tcW w:w="573"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 xml:space="preserve">0 </w:t>
            </w:r>
          </w:p>
        </w:tc>
        <w:tc>
          <w:tcPr>
            <w:tcW w:w="650"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7 (31.8)</w:t>
            </w:r>
          </w:p>
        </w:tc>
        <w:tc>
          <w:tcPr>
            <w:tcW w:w="854" w:type="pct"/>
            <w:vMerge/>
            <w:vAlign w:val="center"/>
          </w:tcPr>
          <w:p w:rsidR="005E7D01" w:rsidRPr="00903330" w:rsidRDefault="005E7D01" w:rsidP="00827AA9">
            <w:pPr>
              <w:widowControl w:val="0"/>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tc>
      </w:tr>
      <w:tr w:rsidR="005E7D01" w:rsidRPr="00903330" w:rsidTr="00903330">
        <w:trPr>
          <w:jc w:val="center"/>
        </w:trPr>
        <w:tc>
          <w:tcPr>
            <w:tcW w:w="403" w:type="pct"/>
            <w:vMerge/>
            <w:vAlign w:val="center"/>
          </w:tcPr>
          <w:p w:rsidR="005E7D01" w:rsidRPr="00903330" w:rsidRDefault="005E7D01" w:rsidP="00827AA9">
            <w:pPr>
              <w:widowControl w:val="0"/>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tc>
        <w:tc>
          <w:tcPr>
            <w:tcW w:w="428" w:type="pct"/>
            <w:vMerge/>
            <w:vAlign w:val="center"/>
          </w:tcPr>
          <w:p w:rsidR="005E7D01" w:rsidRPr="00903330" w:rsidRDefault="005E7D01" w:rsidP="00827AA9">
            <w:pPr>
              <w:widowControl w:val="0"/>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tc>
        <w:tc>
          <w:tcPr>
            <w:tcW w:w="954"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Poor</w:t>
            </w:r>
            <w:r w:rsidR="00903330" w:rsidRPr="00903330">
              <w:rPr>
                <w:rFonts w:ascii="Times New Roman" w:eastAsia="Times" w:hAnsi="Times New Roman" w:cs="Times New Roman"/>
                <w:sz w:val="20"/>
                <w:szCs w:val="20"/>
              </w:rPr>
              <w:t xml:space="preserve"> </w:t>
            </w:r>
            <w:r w:rsidRPr="00903330">
              <w:rPr>
                <w:rFonts w:ascii="Times New Roman" w:eastAsia="Times" w:hAnsi="Times New Roman" w:cs="Times New Roman"/>
                <w:sz w:val="20"/>
                <w:szCs w:val="20"/>
              </w:rPr>
              <w:t>n=11</w:t>
            </w:r>
          </w:p>
        </w:tc>
        <w:tc>
          <w:tcPr>
            <w:tcW w:w="641" w:type="pct"/>
            <w:vAlign w:val="center"/>
          </w:tcPr>
          <w:p w:rsidR="005E7D01" w:rsidRPr="00903330" w:rsidRDefault="00933578"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1 (50</w:t>
            </w:r>
            <w:r w:rsidR="003F13ED" w:rsidRPr="00903330">
              <w:rPr>
                <w:rFonts w:ascii="Times New Roman" w:eastAsia="Times" w:hAnsi="Times New Roman" w:cs="Times New Roman"/>
                <w:sz w:val="20"/>
                <w:szCs w:val="20"/>
              </w:rPr>
              <w:t>)</w:t>
            </w:r>
          </w:p>
        </w:tc>
        <w:tc>
          <w:tcPr>
            <w:tcW w:w="497"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0</w:t>
            </w:r>
          </w:p>
        </w:tc>
        <w:tc>
          <w:tcPr>
            <w:tcW w:w="573"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1 (12.5)</w:t>
            </w:r>
          </w:p>
        </w:tc>
        <w:tc>
          <w:tcPr>
            <w:tcW w:w="650"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9 (40.9)</w:t>
            </w:r>
          </w:p>
        </w:tc>
        <w:tc>
          <w:tcPr>
            <w:tcW w:w="854" w:type="pct"/>
            <w:vMerge/>
            <w:vAlign w:val="center"/>
          </w:tcPr>
          <w:p w:rsidR="005E7D01" w:rsidRPr="00903330" w:rsidRDefault="005E7D01" w:rsidP="00827AA9">
            <w:pPr>
              <w:widowControl w:val="0"/>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tc>
      </w:tr>
    </w:tbl>
    <w:p w:rsidR="005E7D01" w:rsidRPr="00903330" w:rsidRDefault="003F13ED" w:rsidP="00827AA9">
      <w:pPr>
        <w:snapToGrid w:val="0"/>
        <w:spacing w:after="0" w:line="240" w:lineRule="auto"/>
        <w:jc w:val="both"/>
        <w:rPr>
          <w:rFonts w:ascii="Times New Roman" w:hAnsi="Times New Roman" w:cs="Times New Roman"/>
          <w:sz w:val="20"/>
          <w:szCs w:val="20"/>
        </w:rPr>
      </w:pPr>
      <w:r w:rsidRPr="00903330">
        <w:rPr>
          <w:rFonts w:ascii="Times New Roman" w:hAnsi="Times New Roman" w:cs="Times New Roman"/>
          <w:sz w:val="20"/>
          <w:szCs w:val="20"/>
        </w:rPr>
        <w:t>*Statistically significant (P&lt;0.05).</w:t>
      </w:r>
    </w:p>
    <w:p w:rsidR="003911BB" w:rsidRPr="00903330" w:rsidRDefault="003911BB" w:rsidP="00827AA9">
      <w:pPr>
        <w:snapToGrid w:val="0"/>
        <w:spacing w:after="0" w:line="240" w:lineRule="auto"/>
        <w:ind w:firstLine="425"/>
        <w:jc w:val="both"/>
        <w:rPr>
          <w:rFonts w:ascii="Times New Roman" w:hAnsi="Times New Roman" w:cs="Times New Roman"/>
          <w:sz w:val="20"/>
          <w:szCs w:val="20"/>
        </w:rPr>
      </w:pPr>
    </w:p>
    <w:p w:rsidR="00827AA9" w:rsidRDefault="00827AA9" w:rsidP="00827AA9">
      <w:pPr>
        <w:snapToGrid w:val="0"/>
        <w:spacing w:after="0" w:line="240" w:lineRule="auto"/>
        <w:jc w:val="both"/>
        <w:rPr>
          <w:rFonts w:ascii="Times New Roman" w:hAnsi="Times New Roman" w:cs="Times New Roman"/>
          <w:b/>
          <w:i/>
          <w:sz w:val="20"/>
          <w:szCs w:val="20"/>
        </w:rPr>
        <w:sectPr w:rsidR="00827AA9" w:rsidSect="003F5E9B">
          <w:type w:val="continuous"/>
          <w:pgSz w:w="12240" w:h="15840"/>
          <w:pgMar w:top="1440" w:right="1440" w:bottom="1440" w:left="1440" w:header="720" w:footer="720" w:gutter="0"/>
          <w:cols w:space="720"/>
          <w:docGrid w:linePitch="299"/>
        </w:sectPr>
      </w:pPr>
    </w:p>
    <w:p w:rsidR="005E7D01" w:rsidRPr="00903330" w:rsidRDefault="003F13ED" w:rsidP="00827AA9">
      <w:pPr>
        <w:snapToGrid w:val="0"/>
        <w:spacing w:after="0" w:line="240" w:lineRule="auto"/>
        <w:jc w:val="both"/>
        <w:rPr>
          <w:rFonts w:ascii="Times New Roman" w:hAnsi="Times New Roman" w:cs="Times New Roman"/>
          <w:b/>
          <w:i/>
          <w:sz w:val="20"/>
          <w:szCs w:val="20"/>
        </w:rPr>
      </w:pPr>
      <w:r w:rsidRPr="00903330">
        <w:rPr>
          <w:rFonts w:ascii="Times New Roman" w:hAnsi="Times New Roman" w:cs="Times New Roman"/>
          <w:b/>
          <w:i/>
          <w:sz w:val="20"/>
          <w:szCs w:val="20"/>
        </w:rPr>
        <w:lastRenderedPageBreak/>
        <w:t>LIFR immunohistochemical staining results:</w:t>
      </w: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LIFR was detected by cytoplasmic staining of tumor cells. The expression of LIFR was more expressed in non-malignant (cirrhosis and dyspalsia) than in HCC.</w:t>
      </w:r>
      <w:r w:rsidR="00903330" w:rsidRPr="00903330">
        <w:rPr>
          <w:rFonts w:ascii="Times New Roman" w:hAnsi="Times New Roman" w:cs="Times New Roman"/>
          <w:sz w:val="20"/>
          <w:szCs w:val="20"/>
        </w:rPr>
        <w:t xml:space="preserve"> </w:t>
      </w:r>
      <w:r w:rsidRPr="00903330">
        <w:rPr>
          <w:rFonts w:ascii="Times New Roman" w:hAnsi="Times New Roman" w:cs="Times New Roman"/>
          <w:sz w:val="20"/>
          <w:szCs w:val="20"/>
        </w:rPr>
        <w:t xml:space="preserve">92% of cases of cirrhosis were positive to LIFR. (Fig 4). 95% of cases of dyspalsia were positive to LIFR. (Fig 5). On the other hand, only 30.3% of HCC showed positivity to LIFR (Fig 6). </w:t>
      </w:r>
      <w:r w:rsidRPr="00903330">
        <w:rPr>
          <w:rFonts w:ascii="Times New Roman" w:hAnsi="Times New Roman" w:cs="Times New Roman"/>
          <w:sz w:val="20"/>
          <w:szCs w:val="20"/>
        </w:rPr>
        <w:lastRenderedPageBreak/>
        <w:t xml:space="preserve">This inverse relation was statistically highly significant (p&lt;0.001) (Table 3). </w:t>
      </w: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 xml:space="preserve">As a result of low expression of LIFR in cases of HCC, no significant association was found between LIFR positivity and either the size or grade of HCC cases. </w:t>
      </w:r>
    </w:p>
    <w:p w:rsidR="005E7D01" w:rsidRPr="00903330" w:rsidRDefault="003F13ED" w:rsidP="00827AA9">
      <w:pPr>
        <w:snapToGrid w:val="0"/>
        <w:spacing w:after="0" w:line="240" w:lineRule="auto"/>
        <w:ind w:firstLine="425"/>
        <w:jc w:val="both"/>
        <w:rPr>
          <w:rFonts w:ascii="Times New Roman" w:hAnsi="Times New Roman" w:cs="Times New Roman"/>
          <w:sz w:val="20"/>
          <w:szCs w:val="20"/>
          <w:lang w:eastAsia="zh-CN"/>
        </w:rPr>
      </w:pPr>
      <w:r w:rsidRPr="00903330">
        <w:rPr>
          <w:rFonts w:ascii="Times New Roman" w:hAnsi="Times New Roman" w:cs="Times New Roman"/>
          <w:sz w:val="20"/>
          <w:szCs w:val="20"/>
        </w:rPr>
        <w:t xml:space="preserve">Concerning the age and gender, no statistical significant relation was found between CHC and LIFR </w:t>
      </w:r>
      <w:r w:rsidRPr="00903330">
        <w:rPr>
          <w:rFonts w:ascii="Times New Roman" w:hAnsi="Times New Roman" w:cs="Times New Roman"/>
          <w:sz w:val="20"/>
          <w:szCs w:val="20"/>
        </w:rPr>
        <w:lastRenderedPageBreak/>
        <w:t xml:space="preserve">on one hand and patient’s age or gender on the other hand in all studied cases. </w:t>
      </w:r>
    </w:p>
    <w:p w:rsidR="00903330" w:rsidRPr="00903330" w:rsidRDefault="00903330" w:rsidP="00827AA9">
      <w:pPr>
        <w:snapToGrid w:val="0"/>
        <w:spacing w:after="0" w:line="240" w:lineRule="auto"/>
        <w:ind w:firstLine="425"/>
        <w:jc w:val="both"/>
        <w:rPr>
          <w:rFonts w:ascii="Times New Roman" w:hAnsi="Times New Roman" w:cs="Times New Roman"/>
          <w:sz w:val="20"/>
          <w:szCs w:val="20"/>
          <w:lang w:eastAsia="zh-CN"/>
        </w:rPr>
      </w:pPr>
    </w:p>
    <w:p w:rsidR="003E717C" w:rsidRPr="00903330" w:rsidRDefault="003E717C" w:rsidP="00827AA9">
      <w:pPr>
        <w:snapToGrid w:val="0"/>
        <w:spacing w:after="0" w:line="240" w:lineRule="auto"/>
        <w:jc w:val="center"/>
        <w:rPr>
          <w:rFonts w:ascii="Times New Roman" w:hAnsi="Times New Roman" w:cs="Times New Roman"/>
          <w:sz w:val="20"/>
          <w:szCs w:val="20"/>
        </w:rPr>
      </w:pPr>
      <w:r w:rsidRPr="00903330">
        <w:rPr>
          <w:rFonts w:ascii="Times New Roman" w:hAnsi="Times New Roman" w:cs="Times New Roman"/>
          <w:noProof/>
          <w:sz w:val="20"/>
          <w:szCs w:val="20"/>
          <w:lang w:eastAsia="zh-CN"/>
        </w:rPr>
        <w:drawing>
          <wp:inline distT="0" distB="0" distL="0" distR="0">
            <wp:extent cx="2608387" cy="1836751"/>
            <wp:effectExtent l="19050" t="0" r="1463" b="0"/>
            <wp:docPr id="2" name="صورة 8" descr="C:\Users\Aliaa\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aa\AppData\Local\Microsoft\Windows\INetCache\Content.Word\Untitled.png"/>
                    <pic:cNvPicPr>
                      <a:picLocks noChangeAspect="1" noChangeArrowheads="1"/>
                    </pic:cNvPicPr>
                  </pic:nvPicPr>
                  <pic:blipFill>
                    <a:blip r:embed="rId16" cstate="print"/>
                    <a:srcRect/>
                    <a:stretch>
                      <a:fillRect/>
                    </a:stretch>
                  </pic:blipFill>
                  <pic:spPr bwMode="auto">
                    <a:xfrm>
                      <a:off x="0" y="0"/>
                      <a:ext cx="2606429" cy="1835372"/>
                    </a:xfrm>
                    <a:prstGeom prst="rect">
                      <a:avLst/>
                    </a:prstGeom>
                    <a:noFill/>
                    <a:ln w="9525">
                      <a:noFill/>
                      <a:miter lim="800000"/>
                      <a:headEnd/>
                      <a:tailEnd/>
                    </a:ln>
                  </pic:spPr>
                </pic:pic>
              </a:graphicData>
            </a:graphic>
          </wp:inline>
        </w:drawing>
      </w:r>
    </w:p>
    <w:p w:rsidR="003E717C" w:rsidRPr="00903330" w:rsidRDefault="003E717C" w:rsidP="00827AA9">
      <w:pPr>
        <w:pStyle w:val="Default"/>
        <w:snapToGrid w:val="0"/>
        <w:jc w:val="both"/>
        <w:rPr>
          <w:rFonts w:ascii="Times New Roman" w:eastAsia="OTNEJMQuadraat" w:hAnsi="Times New Roman" w:cs="Times New Roman"/>
          <w:color w:val="auto"/>
          <w:sz w:val="20"/>
          <w:szCs w:val="20"/>
          <w:lang w:eastAsia="zh-CN"/>
        </w:rPr>
      </w:pPr>
      <w:r w:rsidRPr="00903330">
        <w:rPr>
          <w:rFonts w:ascii="Times New Roman" w:eastAsia="OTNEJMQuadraat" w:hAnsi="Times New Roman" w:cs="Times New Roman"/>
          <w:b/>
          <w:bCs/>
          <w:color w:val="auto"/>
          <w:sz w:val="20"/>
          <w:szCs w:val="20"/>
        </w:rPr>
        <w:t>Fig 4</w:t>
      </w:r>
      <w:r w:rsidR="00827AA9" w:rsidRPr="00903330">
        <w:rPr>
          <w:rFonts w:ascii="Times New Roman" w:eastAsia="OTNEJMQuadraat" w:hAnsi="Times New Roman" w:cs="Times New Roman"/>
          <w:b/>
          <w:bCs/>
          <w:color w:val="auto"/>
          <w:sz w:val="20"/>
          <w:szCs w:val="20"/>
        </w:rPr>
        <w:t>.</w:t>
      </w:r>
      <w:r w:rsidR="00827AA9">
        <w:rPr>
          <w:rFonts w:ascii="Times New Roman" w:eastAsia="OTNEJMQuadraat" w:hAnsi="Times New Roman" w:cs="Times New Roman"/>
          <w:b/>
          <w:bCs/>
          <w:color w:val="auto"/>
          <w:sz w:val="20"/>
          <w:szCs w:val="20"/>
        </w:rPr>
        <w:t xml:space="preserve"> </w:t>
      </w:r>
      <w:r w:rsidR="00827AA9" w:rsidRPr="00903330">
        <w:rPr>
          <w:rFonts w:ascii="Times New Roman" w:eastAsia="OTNEJMQuadraat" w:hAnsi="Times New Roman" w:cs="Times New Roman"/>
          <w:color w:val="auto"/>
          <w:sz w:val="20"/>
          <w:szCs w:val="20"/>
        </w:rPr>
        <w:t>A</w:t>
      </w:r>
      <w:r w:rsidRPr="00903330">
        <w:rPr>
          <w:rFonts w:ascii="Times New Roman" w:eastAsia="OTNEJMQuadraat" w:hAnsi="Times New Roman" w:cs="Times New Roman"/>
          <w:color w:val="auto"/>
          <w:sz w:val="20"/>
          <w:szCs w:val="20"/>
        </w:rPr>
        <w:t xml:space="preserve"> case of cirrhosis with strongly positive cytoplasmic stainin</w:t>
      </w:r>
      <w:r w:rsidR="00903330" w:rsidRPr="00903330">
        <w:rPr>
          <w:rFonts w:ascii="Times New Roman" w:eastAsia="OTNEJMQuadraat" w:hAnsi="Times New Roman" w:cs="Times New Roman"/>
          <w:color w:val="auto"/>
          <w:sz w:val="20"/>
          <w:szCs w:val="20"/>
        </w:rPr>
        <w:t>g (</w:t>
      </w:r>
      <w:r w:rsidRPr="00903330">
        <w:rPr>
          <w:rFonts w:ascii="Times New Roman" w:eastAsia="OTNEJMQuadraat" w:hAnsi="Times New Roman" w:cs="Times New Roman"/>
          <w:color w:val="auto"/>
          <w:sz w:val="20"/>
          <w:szCs w:val="20"/>
        </w:rPr>
        <w:t>++) to LIFR</w:t>
      </w:r>
    </w:p>
    <w:p w:rsidR="00903330" w:rsidRPr="00903330" w:rsidRDefault="00903330" w:rsidP="00827AA9">
      <w:pPr>
        <w:pStyle w:val="Default"/>
        <w:snapToGrid w:val="0"/>
        <w:ind w:firstLine="425"/>
        <w:jc w:val="both"/>
        <w:rPr>
          <w:rFonts w:ascii="Times New Roman" w:eastAsia="OTNEJMQuadraat" w:hAnsi="Times New Roman" w:cs="Times New Roman"/>
          <w:color w:val="auto"/>
          <w:sz w:val="20"/>
          <w:szCs w:val="20"/>
          <w:lang w:val="en-GB" w:eastAsia="zh-CN"/>
        </w:rPr>
      </w:pPr>
    </w:p>
    <w:p w:rsidR="003E717C" w:rsidRPr="00903330" w:rsidRDefault="003E717C" w:rsidP="00827AA9">
      <w:pPr>
        <w:snapToGrid w:val="0"/>
        <w:spacing w:after="0" w:line="240" w:lineRule="auto"/>
        <w:jc w:val="center"/>
        <w:rPr>
          <w:rFonts w:ascii="Times New Roman" w:hAnsi="Times New Roman" w:cs="Times New Roman"/>
          <w:sz w:val="20"/>
          <w:szCs w:val="20"/>
          <w:lang w:val="en-GB"/>
        </w:rPr>
      </w:pPr>
      <w:r w:rsidRPr="00903330">
        <w:rPr>
          <w:rFonts w:ascii="Times New Roman" w:hAnsi="Times New Roman" w:cs="Times New Roman"/>
          <w:noProof/>
          <w:sz w:val="20"/>
          <w:szCs w:val="20"/>
          <w:lang w:eastAsia="zh-CN"/>
        </w:rPr>
        <w:lastRenderedPageBreak/>
        <w:drawing>
          <wp:inline distT="0" distB="0" distL="0" distR="0">
            <wp:extent cx="2461757" cy="1835455"/>
            <wp:effectExtent l="19050" t="0" r="0" b="0"/>
            <wp:docPr id="3" name="صورة 3"/>
            <wp:cNvGraphicFramePr/>
            <a:graphic xmlns:a="http://schemas.openxmlformats.org/drawingml/2006/main">
              <a:graphicData uri="http://schemas.openxmlformats.org/drawingml/2006/picture">
                <pic:pic xmlns:pic="http://schemas.openxmlformats.org/drawingml/2006/picture">
                  <pic:nvPicPr>
                    <pic:cNvPr id="6147" name="Picture 2"/>
                    <pic:cNvPicPr>
                      <a:picLocks noChangeAspect="1" noChangeArrowheads="1"/>
                    </pic:cNvPicPr>
                  </pic:nvPicPr>
                  <pic:blipFill>
                    <a:blip r:embed="rId17" cstate="print"/>
                    <a:srcRect/>
                    <a:stretch>
                      <a:fillRect/>
                    </a:stretch>
                  </pic:blipFill>
                  <pic:spPr bwMode="auto">
                    <a:xfrm>
                      <a:off x="0" y="0"/>
                      <a:ext cx="2464520" cy="1837515"/>
                    </a:xfrm>
                    <a:prstGeom prst="rect">
                      <a:avLst/>
                    </a:prstGeom>
                    <a:noFill/>
                    <a:ln w="9525">
                      <a:noFill/>
                      <a:miter lim="800000"/>
                      <a:headEnd/>
                      <a:tailEnd/>
                    </a:ln>
                  </pic:spPr>
                </pic:pic>
              </a:graphicData>
            </a:graphic>
          </wp:inline>
        </w:drawing>
      </w:r>
    </w:p>
    <w:p w:rsidR="003E717C" w:rsidRPr="00903330" w:rsidRDefault="003E717C" w:rsidP="00827AA9">
      <w:pPr>
        <w:snapToGrid w:val="0"/>
        <w:spacing w:after="0" w:line="240" w:lineRule="auto"/>
        <w:jc w:val="both"/>
        <w:rPr>
          <w:rFonts w:ascii="Times New Roman" w:hAnsi="Times New Roman" w:cs="Times New Roman"/>
          <w:sz w:val="20"/>
          <w:szCs w:val="20"/>
          <w:lang w:bidi="ar-EG"/>
        </w:rPr>
      </w:pPr>
      <w:r w:rsidRPr="00903330">
        <w:rPr>
          <w:rFonts w:ascii="Times New Roman" w:hAnsi="Times New Roman" w:cs="Times New Roman"/>
          <w:b/>
          <w:bCs/>
          <w:sz w:val="20"/>
          <w:szCs w:val="20"/>
          <w:lang w:bidi="ar-EG"/>
        </w:rPr>
        <w:t>Fig 5</w:t>
      </w:r>
      <w:r w:rsidR="00827AA9" w:rsidRPr="00903330">
        <w:rPr>
          <w:rFonts w:ascii="Times New Roman" w:hAnsi="Times New Roman" w:cs="Times New Roman"/>
          <w:b/>
          <w:bCs/>
          <w:sz w:val="20"/>
          <w:szCs w:val="20"/>
          <w:lang w:bidi="ar-EG"/>
        </w:rPr>
        <w:t>.</w:t>
      </w:r>
      <w:r w:rsidR="00827AA9">
        <w:rPr>
          <w:rFonts w:ascii="Times New Roman" w:hAnsi="Times New Roman" w:cs="Times New Roman"/>
          <w:b/>
          <w:bCs/>
          <w:sz w:val="20"/>
          <w:szCs w:val="20"/>
          <w:lang w:bidi="ar-EG"/>
        </w:rPr>
        <w:t xml:space="preserve"> </w:t>
      </w:r>
      <w:r w:rsidR="00827AA9" w:rsidRPr="00903330">
        <w:rPr>
          <w:rFonts w:ascii="Times New Roman" w:hAnsi="Times New Roman" w:cs="Times New Roman"/>
          <w:sz w:val="20"/>
          <w:szCs w:val="20"/>
          <w:lang w:bidi="ar-EG"/>
        </w:rPr>
        <w:t>A</w:t>
      </w:r>
      <w:r w:rsidRPr="00903330">
        <w:rPr>
          <w:rFonts w:ascii="Times New Roman" w:hAnsi="Times New Roman" w:cs="Times New Roman"/>
          <w:sz w:val="20"/>
          <w:szCs w:val="20"/>
          <w:lang w:bidi="ar-EG"/>
        </w:rPr>
        <w:t xml:space="preserve"> case of liver cell dysplasia with strongly positive cytoplasmic expression (++) of LIFR</w:t>
      </w:r>
    </w:p>
    <w:p w:rsidR="003E717C" w:rsidRPr="00903330" w:rsidRDefault="003E717C" w:rsidP="00827AA9">
      <w:pPr>
        <w:snapToGrid w:val="0"/>
        <w:spacing w:after="0" w:line="240" w:lineRule="auto"/>
        <w:ind w:firstLine="425"/>
        <w:jc w:val="both"/>
        <w:rPr>
          <w:rFonts w:ascii="Times New Roman" w:hAnsi="Times New Roman" w:cs="Times New Roman"/>
          <w:sz w:val="20"/>
          <w:szCs w:val="20"/>
          <w:lang w:bidi="ar-EG"/>
        </w:rPr>
      </w:pPr>
    </w:p>
    <w:p w:rsidR="003E717C" w:rsidRPr="00903330" w:rsidRDefault="003E717C" w:rsidP="00827AA9">
      <w:pPr>
        <w:snapToGrid w:val="0"/>
        <w:spacing w:after="0" w:line="240" w:lineRule="auto"/>
        <w:jc w:val="center"/>
        <w:rPr>
          <w:rFonts w:ascii="Times New Roman" w:hAnsi="Times New Roman" w:cs="Times New Roman"/>
          <w:sz w:val="20"/>
          <w:szCs w:val="20"/>
        </w:rPr>
      </w:pPr>
      <w:r w:rsidRPr="00903330">
        <w:rPr>
          <w:rFonts w:ascii="Times New Roman" w:hAnsi="Times New Roman" w:cs="Times New Roman"/>
          <w:noProof/>
          <w:sz w:val="20"/>
          <w:szCs w:val="20"/>
          <w:lang w:eastAsia="zh-CN"/>
        </w:rPr>
        <w:drawing>
          <wp:inline distT="0" distB="0" distL="0" distR="0">
            <wp:extent cx="2533318" cy="1804946"/>
            <wp:effectExtent l="19050" t="0" r="332" b="0"/>
            <wp:docPr id="4" name="صورة 14"/>
            <wp:cNvGraphicFramePr/>
            <a:graphic xmlns:a="http://schemas.openxmlformats.org/drawingml/2006/main">
              <a:graphicData uri="http://schemas.openxmlformats.org/drawingml/2006/picture">
                <pic:pic xmlns:pic="http://schemas.openxmlformats.org/drawingml/2006/picture">
                  <pic:nvPicPr>
                    <pic:cNvPr id="7171" name="Picture 2"/>
                    <pic:cNvPicPr>
                      <a:picLocks noChangeAspect="1" noChangeArrowheads="1"/>
                    </pic:cNvPicPr>
                  </pic:nvPicPr>
                  <pic:blipFill>
                    <a:blip r:embed="rId18" cstate="print"/>
                    <a:srcRect/>
                    <a:stretch>
                      <a:fillRect/>
                    </a:stretch>
                  </pic:blipFill>
                  <pic:spPr bwMode="auto">
                    <a:xfrm>
                      <a:off x="0" y="0"/>
                      <a:ext cx="2539920" cy="1809650"/>
                    </a:xfrm>
                    <a:prstGeom prst="rect">
                      <a:avLst/>
                    </a:prstGeom>
                    <a:noFill/>
                    <a:ln w="9525">
                      <a:noFill/>
                      <a:miter lim="800000"/>
                      <a:headEnd/>
                      <a:tailEnd/>
                    </a:ln>
                  </pic:spPr>
                </pic:pic>
              </a:graphicData>
            </a:graphic>
          </wp:inline>
        </w:drawing>
      </w:r>
    </w:p>
    <w:p w:rsidR="003E717C" w:rsidRPr="00903330" w:rsidRDefault="003E717C" w:rsidP="00827AA9">
      <w:pPr>
        <w:snapToGrid w:val="0"/>
        <w:spacing w:after="0" w:line="240" w:lineRule="auto"/>
        <w:jc w:val="both"/>
        <w:rPr>
          <w:rFonts w:ascii="Times New Roman" w:hAnsi="Times New Roman" w:cs="Times New Roman"/>
          <w:sz w:val="20"/>
          <w:szCs w:val="20"/>
          <w:lang w:val="en-GB"/>
        </w:rPr>
      </w:pPr>
      <w:r w:rsidRPr="00903330">
        <w:rPr>
          <w:rFonts w:ascii="Times New Roman" w:hAnsi="Times New Roman" w:cs="Times New Roman"/>
          <w:b/>
          <w:bCs/>
          <w:sz w:val="20"/>
          <w:szCs w:val="20"/>
        </w:rPr>
        <w:t>Fig 6.</w:t>
      </w:r>
      <w:r w:rsidRPr="00903330">
        <w:rPr>
          <w:rFonts w:ascii="Times New Roman" w:hAnsi="Times New Roman" w:cs="Times New Roman"/>
          <w:sz w:val="20"/>
          <w:szCs w:val="20"/>
        </w:rPr>
        <w:t xml:space="preserve"> A case of poorly differentiated HCC with positive cytoplasmic expression (+) of LIFR</w:t>
      </w:r>
    </w:p>
    <w:p w:rsidR="00827AA9" w:rsidRDefault="00827AA9" w:rsidP="00827AA9">
      <w:pPr>
        <w:snapToGrid w:val="0"/>
        <w:spacing w:after="0" w:line="240" w:lineRule="auto"/>
        <w:jc w:val="center"/>
        <w:rPr>
          <w:rFonts w:ascii="Times New Roman" w:hAnsi="Times New Roman" w:cs="Times New Roman"/>
          <w:sz w:val="20"/>
          <w:szCs w:val="20"/>
          <w:lang w:val="en-GB"/>
        </w:rPr>
        <w:sectPr w:rsidR="00827AA9" w:rsidSect="003F5E9B">
          <w:type w:val="continuous"/>
          <w:pgSz w:w="12240" w:h="15840"/>
          <w:pgMar w:top="1440" w:right="1440" w:bottom="1440" w:left="1440" w:header="720" w:footer="720" w:gutter="0"/>
          <w:cols w:num="2" w:space="550"/>
          <w:docGrid w:linePitch="299"/>
        </w:sectPr>
      </w:pPr>
    </w:p>
    <w:p w:rsidR="003E717C" w:rsidRPr="00903330" w:rsidRDefault="003E717C" w:rsidP="00827AA9">
      <w:pPr>
        <w:snapToGrid w:val="0"/>
        <w:spacing w:after="0" w:line="240" w:lineRule="auto"/>
        <w:jc w:val="center"/>
        <w:rPr>
          <w:rFonts w:ascii="Times New Roman" w:hAnsi="Times New Roman" w:cs="Times New Roman"/>
          <w:sz w:val="20"/>
          <w:szCs w:val="20"/>
          <w:lang w:val="en-GB"/>
        </w:rPr>
      </w:pPr>
    </w:p>
    <w:p w:rsidR="005E7D01" w:rsidRPr="00903330" w:rsidRDefault="003F13ED" w:rsidP="00827AA9">
      <w:pPr>
        <w:snapToGrid w:val="0"/>
        <w:spacing w:after="0" w:line="240" w:lineRule="auto"/>
        <w:jc w:val="center"/>
        <w:rPr>
          <w:rFonts w:ascii="Times New Roman" w:hAnsi="Times New Roman" w:cs="Times New Roman"/>
          <w:sz w:val="20"/>
          <w:szCs w:val="20"/>
          <w:lang w:val="en-GB"/>
        </w:rPr>
      </w:pPr>
      <w:r w:rsidRPr="00903330">
        <w:rPr>
          <w:rFonts w:ascii="Times New Roman" w:hAnsi="Times New Roman" w:cs="Times New Roman"/>
          <w:b/>
          <w:bCs/>
          <w:sz w:val="20"/>
          <w:szCs w:val="20"/>
        </w:rPr>
        <w:t>Table 2.</w:t>
      </w:r>
      <w:r w:rsidRPr="00903330">
        <w:rPr>
          <w:rFonts w:ascii="Times New Roman" w:hAnsi="Times New Roman" w:cs="Times New Roman"/>
          <w:sz w:val="20"/>
          <w:szCs w:val="20"/>
        </w:rPr>
        <w:t xml:space="preserve"> The relation between LIFR expression with tumor size and grade</w:t>
      </w:r>
    </w:p>
    <w:tbl>
      <w:tblPr>
        <w:tblStyle w:val="a7"/>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tblPr>
      <w:tblGrid>
        <w:gridCol w:w="857"/>
        <w:gridCol w:w="910"/>
        <w:gridCol w:w="2107"/>
        <w:gridCol w:w="1379"/>
        <w:gridCol w:w="1218"/>
        <w:gridCol w:w="1379"/>
        <w:gridCol w:w="1624"/>
      </w:tblGrid>
      <w:tr w:rsidR="005E7D01" w:rsidRPr="00903330" w:rsidTr="00903330">
        <w:trPr>
          <w:jc w:val="center"/>
        </w:trPr>
        <w:tc>
          <w:tcPr>
            <w:tcW w:w="452" w:type="pct"/>
            <w:vMerge w:val="restar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HCC</w:t>
            </w:r>
          </w:p>
        </w:tc>
        <w:tc>
          <w:tcPr>
            <w:tcW w:w="1592" w:type="pct"/>
            <w:gridSpan w:val="2"/>
            <w:vMerge w:val="restart"/>
            <w:vAlign w:val="center"/>
          </w:tcPr>
          <w:p w:rsidR="005E7D01" w:rsidRPr="00903330" w:rsidRDefault="005E7D01"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tc>
        <w:tc>
          <w:tcPr>
            <w:tcW w:w="2099" w:type="pct"/>
            <w:gridSpan w:val="3"/>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LIFR</w:t>
            </w:r>
          </w:p>
        </w:tc>
        <w:tc>
          <w:tcPr>
            <w:tcW w:w="857" w:type="pct"/>
            <w:vMerge w:val="restar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p value</w:t>
            </w:r>
          </w:p>
        </w:tc>
      </w:tr>
      <w:tr w:rsidR="005E7D01" w:rsidRPr="00903330" w:rsidTr="00903330">
        <w:trPr>
          <w:jc w:val="center"/>
        </w:trPr>
        <w:tc>
          <w:tcPr>
            <w:tcW w:w="452" w:type="pct"/>
            <w:vMerge/>
            <w:vAlign w:val="center"/>
          </w:tcPr>
          <w:p w:rsidR="005E7D01" w:rsidRPr="00903330" w:rsidRDefault="005E7D01" w:rsidP="00827AA9">
            <w:pPr>
              <w:widowControl w:val="0"/>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tc>
        <w:tc>
          <w:tcPr>
            <w:tcW w:w="1592" w:type="pct"/>
            <w:gridSpan w:val="2"/>
            <w:vMerge/>
            <w:vAlign w:val="center"/>
          </w:tcPr>
          <w:p w:rsidR="005E7D01" w:rsidRPr="00903330" w:rsidRDefault="005E7D01" w:rsidP="00827AA9">
            <w:pPr>
              <w:widowControl w:val="0"/>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tc>
        <w:tc>
          <w:tcPr>
            <w:tcW w:w="728"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Negative</w:t>
            </w:r>
          </w:p>
          <w:p w:rsidR="005E7D01" w:rsidRPr="00903330" w:rsidRDefault="00933578"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(n</w:t>
            </w:r>
            <w:r w:rsidR="003F13ED" w:rsidRPr="00903330">
              <w:rPr>
                <w:rFonts w:ascii="Times New Roman" w:eastAsia="Times" w:hAnsi="Times New Roman" w:cs="Times New Roman"/>
                <w:sz w:val="20"/>
                <w:szCs w:val="20"/>
              </w:rPr>
              <w:t>=23)</w:t>
            </w:r>
          </w:p>
        </w:tc>
        <w:tc>
          <w:tcPr>
            <w:tcW w:w="643"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w:t>
            </w:r>
          </w:p>
          <w:p w:rsidR="005E7D01" w:rsidRPr="00903330" w:rsidRDefault="00933578"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(n</w:t>
            </w:r>
            <w:r w:rsidR="003F13ED" w:rsidRPr="00903330">
              <w:rPr>
                <w:rFonts w:ascii="Times New Roman" w:eastAsia="Times" w:hAnsi="Times New Roman" w:cs="Times New Roman"/>
                <w:sz w:val="20"/>
                <w:szCs w:val="20"/>
              </w:rPr>
              <w:t>=8)</w:t>
            </w:r>
          </w:p>
        </w:tc>
        <w:tc>
          <w:tcPr>
            <w:tcW w:w="728"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w:t>
            </w:r>
          </w:p>
          <w:p w:rsidR="005E7D01" w:rsidRPr="00903330" w:rsidRDefault="00933578"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(n</w:t>
            </w:r>
            <w:r w:rsidR="003F13ED" w:rsidRPr="00903330">
              <w:rPr>
                <w:rFonts w:ascii="Times New Roman" w:eastAsia="Times" w:hAnsi="Times New Roman" w:cs="Times New Roman"/>
                <w:sz w:val="20"/>
                <w:szCs w:val="20"/>
              </w:rPr>
              <w:t>=2)</w:t>
            </w:r>
          </w:p>
        </w:tc>
        <w:tc>
          <w:tcPr>
            <w:tcW w:w="857" w:type="pct"/>
            <w:vMerge/>
            <w:vAlign w:val="center"/>
          </w:tcPr>
          <w:p w:rsidR="005E7D01" w:rsidRPr="00903330" w:rsidRDefault="005E7D01" w:rsidP="00827AA9">
            <w:pPr>
              <w:widowControl w:val="0"/>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tc>
      </w:tr>
      <w:tr w:rsidR="005E7D01" w:rsidRPr="00903330" w:rsidTr="00903330">
        <w:trPr>
          <w:jc w:val="center"/>
        </w:trPr>
        <w:tc>
          <w:tcPr>
            <w:tcW w:w="452" w:type="pct"/>
            <w:vMerge/>
            <w:vAlign w:val="center"/>
          </w:tcPr>
          <w:p w:rsidR="005E7D01" w:rsidRPr="00903330" w:rsidRDefault="005E7D01" w:rsidP="00827AA9">
            <w:pPr>
              <w:widowControl w:val="0"/>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tc>
        <w:tc>
          <w:tcPr>
            <w:tcW w:w="480" w:type="pct"/>
            <w:vMerge w:val="restart"/>
            <w:vAlign w:val="center"/>
          </w:tcPr>
          <w:p w:rsidR="005E7D01" w:rsidRPr="00903330" w:rsidRDefault="005E7D01"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size</w:t>
            </w:r>
          </w:p>
        </w:tc>
        <w:tc>
          <w:tcPr>
            <w:tcW w:w="1111"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Small</w:t>
            </w:r>
            <w:r w:rsidR="00903330" w:rsidRPr="00903330">
              <w:rPr>
                <w:rFonts w:ascii="Times New Roman" w:eastAsia="Times" w:hAnsi="Times New Roman" w:cs="Times New Roman"/>
                <w:sz w:val="20"/>
                <w:szCs w:val="20"/>
              </w:rPr>
              <w:t xml:space="preserve"> </w:t>
            </w:r>
            <w:r w:rsidR="00933578" w:rsidRPr="00903330">
              <w:rPr>
                <w:rFonts w:ascii="Times New Roman" w:eastAsia="Times" w:hAnsi="Times New Roman" w:cs="Times New Roman"/>
                <w:sz w:val="20"/>
                <w:szCs w:val="20"/>
              </w:rPr>
              <w:t>n</w:t>
            </w:r>
            <w:r w:rsidRPr="00903330">
              <w:rPr>
                <w:rFonts w:ascii="Times New Roman" w:eastAsia="Times" w:hAnsi="Times New Roman" w:cs="Times New Roman"/>
                <w:sz w:val="20"/>
                <w:szCs w:val="20"/>
              </w:rPr>
              <w:t>=17</w:t>
            </w:r>
          </w:p>
        </w:tc>
        <w:tc>
          <w:tcPr>
            <w:tcW w:w="728"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11 (47.8)</w:t>
            </w:r>
          </w:p>
        </w:tc>
        <w:tc>
          <w:tcPr>
            <w:tcW w:w="643"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4 (50.0)</w:t>
            </w:r>
          </w:p>
        </w:tc>
        <w:tc>
          <w:tcPr>
            <w:tcW w:w="728"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2 (100.0)</w:t>
            </w:r>
          </w:p>
        </w:tc>
        <w:tc>
          <w:tcPr>
            <w:tcW w:w="857" w:type="pct"/>
            <w:vMerge w:val="restar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1.71</w:t>
            </w: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(0.59)</w:t>
            </w:r>
          </w:p>
        </w:tc>
      </w:tr>
      <w:tr w:rsidR="005E7D01" w:rsidRPr="00903330" w:rsidTr="00903330">
        <w:trPr>
          <w:jc w:val="center"/>
        </w:trPr>
        <w:tc>
          <w:tcPr>
            <w:tcW w:w="452" w:type="pct"/>
            <w:vMerge/>
            <w:vAlign w:val="center"/>
          </w:tcPr>
          <w:p w:rsidR="005E7D01" w:rsidRPr="00903330" w:rsidRDefault="005E7D01" w:rsidP="00827AA9">
            <w:pPr>
              <w:widowControl w:val="0"/>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tc>
        <w:tc>
          <w:tcPr>
            <w:tcW w:w="480" w:type="pct"/>
            <w:vMerge/>
            <w:vAlign w:val="center"/>
          </w:tcPr>
          <w:p w:rsidR="005E7D01" w:rsidRPr="00903330" w:rsidRDefault="005E7D01" w:rsidP="00827AA9">
            <w:pPr>
              <w:widowControl w:val="0"/>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tc>
        <w:tc>
          <w:tcPr>
            <w:tcW w:w="1111"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Large</w:t>
            </w:r>
            <w:r w:rsidR="00903330" w:rsidRPr="00903330">
              <w:rPr>
                <w:rFonts w:ascii="Times New Roman" w:eastAsia="Times" w:hAnsi="Times New Roman" w:cs="Times New Roman"/>
                <w:sz w:val="20"/>
                <w:szCs w:val="20"/>
              </w:rPr>
              <w:t xml:space="preserve"> </w:t>
            </w:r>
            <w:r w:rsidRPr="00903330">
              <w:rPr>
                <w:rFonts w:ascii="Times New Roman" w:eastAsia="Times" w:hAnsi="Times New Roman" w:cs="Times New Roman"/>
                <w:sz w:val="20"/>
                <w:szCs w:val="20"/>
              </w:rPr>
              <w:t>n=16</w:t>
            </w:r>
          </w:p>
        </w:tc>
        <w:tc>
          <w:tcPr>
            <w:tcW w:w="728"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12 (52.2)</w:t>
            </w:r>
          </w:p>
        </w:tc>
        <w:tc>
          <w:tcPr>
            <w:tcW w:w="643"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4 (50.0)</w:t>
            </w:r>
          </w:p>
        </w:tc>
        <w:tc>
          <w:tcPr>
            <w:tcW w:w="728"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0 (0.0)</w:t>
            </w:r>
          </w:p>
        </w:tc>
        <w:tc>
          <w:tcPr>
            <w:tcW w:w="857" w:type="pct"/>
            <w:vMerge/>
            <w:vAlign w:val="center"/>
          </w:tcPr>
          <w:p w:rsidR="005E7D01" w:rsidRPr="00903330" w:rsidRDefault="005E7D01" w:rsidP="00827AA9">
            <w:pPr>
              <w:widowControl w:val="0"/>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tc>
      </w:tr>
      <w:tr w:rsidR="005E7D01" w:rsidRPr="00903330" w:rsidTr="00903330">
        <w:trPr>
          <w:jc w:val="center"/>
        </w:trPr>
        <w:tc>
          <w:tcPr>
            <w:tcW w:w="452" w:type="pct"/>
            <w:vMerge/>
            <w:vAlign w:val="center"/>
          </w:tcPr>
          <w:p w:rsidR="005E7D01" w:rsidRPr="00903330" w:rsidRDefault="005E7D01" w:rsidP="00827AA9">
            <w:pPr>
              <w:widowControl w:val="0"/>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tc>
        <w:tc>
          <w:tcPr>
            <w:tcW w:w="480" w:type="pct"/>
            <w:vMerge w:val="restart"/>
            <w:vAlign w:val="center"/>
          </w:tcPr>
          <w:p w:rsidR="005E7D01" w:rsidRPr="00903330" w:rsidRDefault="005E7D01"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grade</w:t>
            </w:r>
          </w:p>
        </w:tc>
        <w:tc>
          <w:tcPr>
            <w:tcW w:w="1111"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Well</w:t>
            </w:r>
            <w:r w:rsidR="00903330" w:rsidRPr="00903330">
              <w:rPr>
                <w:rFonts w:ascii="Times New Roman" w:eastAsia="Times" w:hAnsi="Times New Roman" w:cs="Times New Roman"/>
                <w:sz w:val="20"/>
                <w:szCs w:val="20"/>
              </w:rPr>
              <w:t xml:space="preserve"> </w:t>
            </w:r>
            <w:r w:rsidRPr="00903330">
              <w:rPr>
                <w:rFonts w:ascii="Times New Roman" w:eastAsia="Times" w:hAnsi="Times New Roman" w:cs="Times New Roman"/>
                <w:sz w:val="20"/>
                <w:szCs w:val="20"/>
              </w:rPr>
              <w:t>n=14</w:t>
            </w:r>
          </w:p>
        </w:tc>
        <w:tc>
          <w:tcPr>
            <w:tcW w:w="728"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8 (34.8)</w:t>
            </w:r>
          </w:p>
        </w:tc>
        <w:tc>
          <w:tcPr>
            <w:tcW w:w="643"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4 (50.0)</w:t>
            </w:r>
          </w:p>
        </w:tc>
        <w:tc>
          <w:tcPr>
            <w:tcW w:w="728"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2 (100.0)</w:t>
            </w:r>
          </w:p>
        </w:tc>
        <w:tc>
          <w:tcPr>
            <w:tcW w:w="857" w:type="pct"/>
            <w:vMerge w:val="restar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2.76 (0.64)</w:t>
            </w:r>
          </w:p>
        </w:tc>
      </w:tr>
      <w:tr w:rsidR="005E7D01" w:rsidRPr="00903330" w:rsidTr="00903330">
        <w:trPr>
          <w:jc w:val="center"/>
        </w:trPr>
        <w:tc>
          <w:tcPr>
            <w:tcW w:w="452" w:type="pct"/>
            <w:vMerge/>
            <w:vAlign w:val="center"/>
          </w:tcPr>
          <w:p w:rsidR="005E7D01" w:rsidRPr="00903330" w:rsidRDefault="005E7D01" w:rsidP="00827AA9">
            <w:pPr>
              <w:widowControl w:val="0"/>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tc>
        <w:tc>
          <w:tcPr>
            <w:tcW w:w="480" w:type="pct"/>
            <w:vMerge/>
            <w:vAlign w:val="center"/>
          </w:tcPr>
          <w:p w:rsidR="005E7D01" w:rsidRPr="00903330" w:rsidRDefault="005E7D01" w:rsidP="00827AA9">
            <w:pPr>
              <w:widowControl w:val="0"/>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tc>
        <w:tc>
          <w:tcPr>
            <w:tcW w:w="1111"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Moderate</w:t>
            </w:r>
            <w:r w:rsidR="00903330" w:rsidRPr="00903330">
              <w:rPr>
                <w:rFonts w:ascii="Times New Roman" w:eastAsia="Times" w:hAnsi="Times New Roman" w:cs="Times New Roman"/>
                <w:sz w:val="20"/>
                <w:szCs w:val="20"/>
              </w:rPr>
              <w:t xml:space="preserve"> </w:t>
            </w:r>
            <w:r w:rsidRPr="00903330">
              <w:rPr>
                <w:rFonts w:ascii="Times New Roman" w:eastAsia="Times" w:hAnsi="Times New Roman" w:cs="Times New Roman"/>
                <w:sz w:val="20"/>
                <w:szCs w:val="20"/>
              </w:rPr>
              <w:t>n= 8</w:t>
            </w:r>
          </w:p>
        </w:tc>
        <w:tc>
          <w:tcPr>
            <w:tcW w:w="728"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6 (26.1)</w:t>
            </w:r>
          </w:p>
        </w:tc>
        <w:tc>
          <w:tcPr>
            <w:tcW w:w="643"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2 (25.0)</w:t>
            </w:r>
          </w:p>
        </w:tc>
        <w:tc>
          <w:tcPr>
            <w:tcW w:w="728"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0 (0.0)</w:t>
            </w:r>
          </w:p>
        </w:tc>
        <w:tc>
          <w:tcPr>
            <w:tcW w:w="857" w:type="pct"/>
            <w:vMerge/>
            <w:vAlign w:val="center"/>
          </w:tcPr>
          <w:p w:rsidR="005E7D01" w:rsidRPr="00903330" w:rsidRDefault="005E7D01" w:rsidP="00827AA9">
            <w:pPr>
              <w:widowControl w:val="0"/>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tc>
      </w:tr>
      <w:tr w:rsidR="005E7D01" w:rsidRPr="00903330" w:rsidTr="00903330">
        <w:trPr>
          <w:jc w:val="center"/>
        </w:trPr>
        <w:tc>
          <w:tcPr>
            <w:tcW w:w="452" w:type="pct"/>
            <w:vMerge/>
            <w:vAlign w:val="center"/>
          </w:tcPr>
          <w:p w:rsidR="005E7D01" w:rsidRPr="00903330" w:rsidRDefault="005E7D01" w:rsidP="00827AA9">
            <w:pPr>
              <w:widowControl w:val="0"/>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tc>
        <w:tc>
          <w:tcPr>
            <w:tcW w:w="480" w:type="pct"/>
            <w:vMerge/>
            <w:vAlign w:val="center"/>
          </w:tcPr>
          <w:p w:rsidR="005E7D01" w:rsidRPr="00903330" w:rsidRDefault="005E7D01" w:rsidP="00827AA9">
            <w:pPr>
              <w:widowControl w:val="0"/>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tc>
        <w:tc>
          <w:tcPr>
            <w:tcW w:w="1111"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Poor</w:t>
            </w:r>
            <w:r w:rsidR="00903330" w:rsidRPr="00903330">
              <w:rPr>
                <w:rFonts w:ascii="Times New Roman" w:eastAsia="Times" w:hAnsi="Times New Roman" w:cs="Times New Roman"/>
                <w:sz w:val="20"/>
                <w:szCs w:val="20"/>
              </w:rPr>
              <w:t xml:space="preserve"> </w:t>
            </w:r>
            <w:r w:rsidRPr="00903330">
              <w:rPr>
                <w:rFonts w:ascii="Times New Roman" w:eastAsia="Times" w:hAnsi="Times New Roman" w:cs="Times New Roman"/>
                <w:sz w:val="20"/>
                <w:szCs w:val="20"/>
              </w:rPr>
              <w:t>n=11</w:t>
            </w:r>
          </w:p>
        </w:tc>
        <w:tc>
          <w:tcPr>
            <w:tcW w:w="728"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9 (39.1)</w:t>
            </w:r>
          </w:p>
        </w:tc>
        <w:tc>
          <w:tcPr>
            <w:tcW w:w="643"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2 (25.0)</w:t>
            </w:r>
          </w:p>
        </w:tc>
        <w:tc>
          <w:tcPr>
            <w:tcW w:w="728"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0 (0.0)</w:t>
            </w:r>
          </w:p>
        </w:tc>
        <w:tc>
          <w:tcPr>
            <w:tcW w:w="857" w:type="pct"/>
            <w:vMerge/>
            <w:vAlign w:val="center"/>
          </w:tcPr>
          <w:p w:rsidR="005E7D01" w:rsidRPr="00903330" w:rsidRDefault="005E7D01" w:rsidP="00827AA9">
            <w:pPr>
              <w:widowControl w:val="0"/>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tc>
      </w:tr>
    </w:tbl>
    <w:p w:rsidR="005E7D01" w:rsidRPr="00903330" w:rsidRDefault="005E7D01" w:rsidP="00827AA9">
      <w:pPr>
        <w:pBdr>
          <w:top w:val="nil"/>
          <w:left w:val="nil"/>
          <w:bottom w:val="nil"/>
          <w:right w:val="nil"/>
          <w:between w:val="nil"/>
        </w:pBdr>
        <w:snapToGrid w:val="0"/>
        <w:spacing w:after="0" w:line="240" w:lineRule="auto"/>
        <w:jc w:val="center"/>
        <w:rPr>
          <w:rFonts w:ascii="Times New Roman" w:eastAsia="Times" w:hAnsi="Times New Roman" w:cs="Times New Roman"/>
          <w:sz w:val="20"/>
          <w:szCs w:val="20"/>
        </w:rPr>
      </w:pPr>
    </w:p>
    <w:p w:rsidR="005E7D01" w:rsidRPr="00903330" w:rsidRDefault="003F13ED" w:rsidP="00827AA9">
      <w:pPr>
        <w:snapToGrid w:val="0"/>
        <w:spacing w:after="0" w:line="240" w:lineRule="auto"/>
        <w:jc w:val="center"/>
        <w:rPr>
          <w:rFonts w:ascii="Times New Roman" w:hAnsi="Times New Roman" w:cs="Times New Roman"/>
          <w:sz w:val="20"/>
          <w:szCs w:val="20"/>
        </w:rPr>
      </w:pPr>
      <w:r w:rsidRPr="00903330">
        <w:rPr>
          <w:rFonts w:ascii="Times New Roman" w:hAnsi="Times New Roman" w:cs="Times New Roman"/>
          <w:b/>
          <w:bCs/>
          <w:sz w:val="20"/>
          <w:szCs w:val="20"/>
        </w:rPr>
        <w:t>Table 3</w:t>
      </w:r>
      <w:r w:rsidRPr="00903330">
        <w:rPr>
          <w:rFonts w:ascii="Times New Roman" w:hAnsi="Times New Roman" w:cs="Times New Roman"/>
          <w:sz w:val="20"/>
          <w:szCs w:val="20"/>
        </w:rPr>
        <w:t>:</w:t>
      </w:r>
      <w:r w:rsidR="00903330" w:rsidRPr="00903330">
        <w:rPr>
          <w:rFonts w:ascii="Times New Roman" w:hAnsi="Times New Roman" w:cs="Times New Roman"/>
          <w:sz w:val="20"/>
          <w:szCs w:val="20"/>
        </w:rPr>
        <w:t xml:space="preserve"> </w:t>
      </w:r>
      <w:r w:rsidRPr="00903330">
        <w:rPr>
          <w:rFonts w:ascii="Times New Roman" w:hAnsi="Times New Roman" w:cs="Times New Roman"/>
          <w:sz w:val="20"/>
          <w:szCs w:val="20"/>
        </w:rPr>
        <w:t>CHC and LIFR expression in dysplasia, cirrhosis, and HCC</w:t>
      </w:r>
    </w:p>
    <w:tbl>
      <w:tblPr>
        <w:tblStyle w:val="a8"/>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00"/>
      </w:tblPr>
      <w:tblGrid>
        <w:gridCol w:w="1600"/>
        <w:gridCol w:w="1711"/>
        <w:gridCol w:w="2096"/>
        <w:gridCol w:w="2018"/>
        <w:gridCol w:w="963"/>
        <w:gridCol w:w="1086"/>
      </w:tblGrid>
      <w:tr w:rsidR="005E7D01" w:rsidRPr="00903330" w:rsidTr="00903330">
        <w:trPr>
          <w:jc w:val="center"/>
        </w:trPr>
        <w:tc>
          <w:tcPr>
            <w:tcW w:w="845" w:type="pct"/>
            <w:vAlign w:val="center"/>
          </w:tcPr>
          <w:p w:rsidR="005E7D01" w:rsidRPr="00903330" w:rsidRDefault="005E7D01"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tc>
        <w:tc>
          <w:tcPr>
            <w:tcW w:w="903"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HCC (n=33)</w:t>
            </w: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No.</w:t>
            </w:r>
            <w:r w:rsidR="00903330" w:rsidRPr="00903330">
              <w:rPr>
                <w:rFonts w:ascii="Times New Roman" w:eastAsia="Times" w:hAnsi="Times New Roman" w:cs="Times New Roman"/>
                <w:sz w:val="20"/>
                <w:szCs w:val="20"/>
              </w:rPr>
              <w:t xml:space="preserve"> </w:t>
            </w:r>
            <w:r w:rsidRPr="00903330">
              <w:rPr>
                <w:rFonts w:ascii="Times New Roman" w:eastAsia="Times" w:hAnsi="Times New Roman" w:cs="Times New Roman"/>
                <w:sz w:val="20"/>
                <w:szCs w:val="20"/>
              </w:rPr>
              <w:t>%</w:t>
            </w:r>
          </w:p>
        </w:tc>
        <w:tc>
          <w:tcPr>
            <w:tcW w:w="1106"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Dysplasia (n=20)</w:t>
            </w: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No.</w:t>
            </w:r>
            <w:r w:rsidR="00903330" w:rsidRPr="00903330">
              <w:rPr>
                <w:rFonts w:ascii="Times New Roman" w:eastAsia="Times" w:hAnsi="Times New Roman" w:cs="Times New Roman"/>
                <w:sz w:val="20"/>
                <w:szCs w:val="20"/>
              </w:rPr>
              <w:t xml:space="preserve"> </w:t>
            </w:r>
            <w:r w:rsidRPr="00903330">
              <w:rPr>
                <w:rFonts w:ascii="Times New Roman" w:eastAsia="Times" w:hAnsi="Times New Roman" w:cs="Times New Roman"/>
                <w:sz w:val="20"/>
                <w:szCs w:val="20"/>
              </w:rPr>
              <w:t>%</w:t>
            </w:r>
          </w:p>
        </w:tc>
        <w:tc>
          <w:tcPr>
            <w:tcW w:w="1065"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Cirrhosis (n=25)</w:t>
            </w: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No.</w:t>
            </w:r>
            <w:r w:rsidR="00903330" w:rsidRPr="00903330">
              <w:rPr>
                <w:rFonts w:ascii="Times New Roman" w:eastAsia="Times" w:hAnsi="Times New Roman" w:cs="Times New Roman"/>
                <w:sz w:val="20"/>
                <w:szCs w:val="20"/>
              </w:rPr>
              <w:t xml:space="preserve"> </w:t>
            </w:r>
            <w:r w:rsidRPr="00903330">
              <w:rPr>
                <w:rFonts w:ascii="Times New Roman" w:eastAsia="Times" w:hAnsi="Times New Roman" w:cs="Times New Roman"/>
                <w:sz w:val="20"/>
                <w:szCs w:val="20"/>
              </w:rPr>
              <w:t>%</w:t>
            </w:r>
          </w:p>
        </w:tc>
        <w:tc>
          <w:tcPr>
            <w:tcW w:w="508"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x</w:t>
            </w:r>
            <w:r w:rsidRPr="00903330">
              <w:rPr>
                <w:rFonts w:ascii="Times New Roman" w:eastAsia="Times" w:hAnsi="Times New Roman" w:cs="Times New Roman"/>
                <w:sz w:val="20"/>
                <w:szCs w:val="20"/>
                <w:vertAlign w:val="superscript"/>
              </w:rPr>
              <w:t>2</w:t>
            </w:r>
          </w:p>
        </w:tc>
        <w:tc>
          <w:tcPr>
            <w:tcW w:w="573"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P value</w:t>
            </w:r>
          </w:p>
        </w:tc>
      </w:tr>
      <w:tr w:rsidR="005E7D01" w:rsidRPr="00903330" w:rsidTr="00903330">
        <w:trPr>
          <w:jc w:val="center"/>
        </w:trPr>
        <w:tc>
          <w:tcPr>
            <w:tcW w:w="845"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Age (mean ± SD)</w:t>
            </w:r>
          </w:p>
        </w:tc>
        <w:tc>
          <w:tcPr>
            <w:tcW w:w="903"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62.66 ± 11.58</w:t>
            </w:r>
          </w:p>
        </w:tc>
        <w:tc>
          <w:tcPr>
            <w:tcW w:w="1106"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58.40 ± 15.22</w:t>
            </w:r>
          </w:p>
        </w:tc>
        <w:tc>
          <w:tcPr>
            <w:tcW w:w="1065"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60.64 ± 12.77</w:t>
            </w:r>
          </w:p>
        </w:tc>
        <w:tc>
          <w:tcPr>
            <w:tcW w:w="508"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F=0.68</w:t>
            </w:r>
          </w:p>
        </w:tc>
        <w:tc>
          <w:tcPr>
            <w:tcW w:w="573"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0.50</w:t>
            </w:r>
          </w:p>
        </w:tc>
      </w:tr>
      <w:tr w:rsidR="005E7D01" w:rsidRPr="00903330" w:rsidTr="00903330">
        <w:trPr>
          <w:jc w:val="center"/>
        </w:trPr>
        <w:tc>
          <w:tcPr>
            <w:tcW w:w="845"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Gender:</w:t>
            </w: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Male:</w:t>
            </w: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Female:</w:t>
            </w:r>
          </w:p>
        </w:tc>
        <w:tc>
          <w:tcPr>
            <w:tcW w:w="903" w:type="pct"/>
            <w:vAlign w:val="center"/>
          </w:tcPr>
          <w:p w:rsidR="005E7D01" w:rsidRPr="00903330" w:rsidRDefault="005E7D01"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20 (60.0)</w:t>
            </w: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13 (39.4)</w:t>
            </w:r>
          </w:p>
        </w:tc>
        <w:tc>
          <w:tcPr>
            <w:tcW w:w="1106" w:type="pct"/>
            <w:vAlign w:val="center"/>
          </w:tcPr>
          <w:p w:rsidR="005E7D01" w:rsidRPr="00903330" w:rsidRDefault="005E7D01"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13 (65.0)</w:t>
            </w: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7 (35.0)</w:t>
            </w:r>
          </w:p>
        </w:tc>
        <w:tc>
          <w:tcPr>
            <w:tcW w:w="1065" w:type="pct"/>
            <w:vAlign w:val="center"/>
          </w:tcPr>
          <w:p w:rsidR="005E7D01" w:rsidRPr="00903330" w:rsidRDefault="005E7D01"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18 (72.0)</w:t>
            </w: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7 (28.0)</w:t>
            </w:r>
          </w:p>
        </w:tc>
        <w:tc>
          <w:tcPr>
            <w:tcW w:w="508" w:type="pct"/>
            <w:vAlign w:val="center"/>
          </w:tcPr>
          <w:p w:rsidR="005E7D01" w:rsidRPr="00903330" w:rsidRDefault="005E7D01"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0.81</w:t>
            </w:r>
          </w:p>
        </w:tc>
        <w:tc>
          <w:tcPr>
            <w:tcW w:w="573" w:type="pct"/>
            <w:vAlign w:val="center"/>
          </w:tcPr>
          <w:p w:rsidR="005E7D01" w:rsidRPr="00903330" w:rsidRDefault="005E7D01"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0.66</w:t>
            </w:r>
          </w:p>
        </w:tc>
      </w:tr>
      <w:tr w:rsidR="005E7D01" w:rsidRPr="00903330" w:rsidTr="00903330">
        <w:trPr>
          <w:jc w:val="center"/>
        </w:trPr>
        <w:tc>
          <w:tcPr>
            <w:tcW w:w="845"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CHC:</w:t>
            </w: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-ve:</w:t>
            </w: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+ve:</w:t>
            </w:r>
          </w:p>
        </w:tc>
        <w:tc>
          <w:tcPr>
            <w:tcW w:w="903" w:type="pct"/>
            <w:vAlign w:val="center"/>
          </w:tcPr>
          <w:p w:rsidR="005E7D01" w:rsidRPr="00903330" w:rsidRDefault="005E7D01"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2 (6.1)</w:t>
            </w: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31 (93.9)</w:t>
            </w:r>
          </w:p>
        </w:tc>
        <w:tc>
          <w:tcPr>
            <w:tcW w:w="1106" w:type="pct"/>
            <w:vAlign w:val="center"/>
          </w:tcPr>
          <w:p w:rsidR="005E7D01" w:rsidRPr="00903330" w:rsidRDefault="005E7D01"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6 (30.0)</w:t>
            </w: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14 (70.0)</w:t>
            </w:r>
          </w:p>
        </w:tc>
        <w:tc>
          <w:tcPr>
            <w:tcW w:w="1065" w:type="pct"/>
            <w:vAlign w:val="center"/>
          </w:tcPr>
          <w:p w:rsidR="005E7D01" w:rsidRPr="00903330" w:rsidRDefault="005E7D01"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17 (68.0)</w:t>
            </w: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8 (32.0)</w:t>
            </w:r>
          </w:p>
        </w:tc>
        <w:tc>
          <w:tcPr>
            <w:tcW w:w="508" w:type="pct"/>
            <w:vAlign w:val="center"/>
          </w:tcPr>
          <w:p w:rsidR="005E7D01" w:rsidRPr="00903330" w:rsidRDefault="005E7D01"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25.10</w:t>
            </w:r>
          </w:p>
        </w:tc>
        <w:tc>
          <w:tcPr>
            <w:tcW w:w="573" w:type="pct"/>
            <w:vAlign w:val="center"/>
          </w:tcPr>
          <w:p w:rsidR="005E7D01" w:rsidRPr="00903330" w:rsidRDefault="005E7D01"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&lt;0.001</w:t>
            </w:r>
            <w:r w:rsidR="00933578" w:rsidRPr="00903330">
              <w:rPr>
                <w:rFonts w:ascii="Times New Roman" w:eastAsia="Times" w:hAnsi="Times New Roman" w:cs="Times New Roman"/>
                <w:sz w:val="20"/>
                <w:szCs w:val="20"/>
              </w:rPr>
              <w:t>*</w:t>
            </w:r>
          </w:p>
        </w:tc>
      </w:tr>
      <w:tr w:rsidR="005E7D01" w:rsidRPr="00903330" w:rsidTr="00903330">
        <w:trPr>
          <w:jc w:val="center"/>
        </w:trPr>
        <w:tc>
          <w:tcPr>
            <w:tcW w:w="845" w:type="pct"/>
            <w:vAlign w:val="center"/>
          </w:tcPr>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LIFR:</w:t>
            </w: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-ve:</w:t>
            </w: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+ve:</w:t>
            </w:r>
          </w:p>
        </w:tc>
        <w:tc>
          <w:tcPr>
            <w:tcW w:w="903" w:type="pct"/>
            <w:vAlign w:val="center"/>
          </w:tcPr>
          <w:p w:rsidR="005E7D01" w:rsidRPr="00903330" w:rsidRDefault="005E7D01"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23 (69.7)</w:t>
            </w: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10 (30.3)</w:t>
            </w:r>
          </w:p>
        </w:tc>
        <w:tc>
          <w:tcPr>
            <w:tcW w:w="1106" w:type="pct"/>
            <w:vAlign w:val="center"/>
          </w:tcPr>
          <w:p w:rsidR="005E7D01" w:rsidRPr="00903330" w:rsidRDefault="005E7D01"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1 (5.0)</w:t>
            </w: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19 (95.0)</w:t>
            </w:r>
          </w:p>
        </w:tc>
        <w:tc>
          <w:tcPr>
            <w:tcW w:w="1065" w:type="pct"/>
            <w:vAlign w:val="center"/>
          </w:tcPr>
          <w:p w:rsidR="005E7D01" w:rsidRPr="00903330" w:rsidRDefault="005E7D01"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2 (8.0)</w:t>
            </w: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23 (92.0)</w:t>
            </w:r>
          </w:p>
        </w:tc>
        <w:tc>
          <w:tcPr>
            <w:tcW w:w="508" w:type="pct"/>
            <w:vAlign w:val="center"/>
          </w:tcPr>
          <w:p w:rsidR="005E7D01" w:rsidRPr="00903330" w:rsidRDefault="005E7D01"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34.08</w:t>
            </w:r>
          </w:p>
        </w:tc>
        <w:tc>
          <w:tcPr>
            <w:tcW w:w="573" w:type="pct"/>
            <w:vAlign w:val="center"/>
          </w:tcPr>
          <w:p w:rsidR="005E7D01" w:rsidRPr="00903330" w:rsidRDefault="005E7D01"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p>
          <w:p w:rsidR="005E7D01" w:rsidRPr="00903330" w:rsidRDefault="003F13ED" w:rsidP="00827AA9">
            <w:pPr>
              <w:pBdr>
                <w:top w:val="nil"/>
                <w:left w:val="nil"/>
                <w:bottom w:val="nil"/>
                <w:right w:val="nil"/>
                <w:between w:val="nil"/>
              </w:pBdr>
              <w:snapToGrid w:val="0"/>
              <w:spacing w:after="0" w:line="240" w:lineRule="auto"/>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&lt;0.001</w:t>
            </w:r>
            <w:r w:rsidR="00933578" w:rsidRPr="00903330">
              <w:rPr>
                <w:rFonts w:ascii="Times New Roman" w:eastAsia="Times" w:hAnsi="Times New Roman" w:cs="Times New Roman"/>
                <w:sz w:val="20"/>
                <w:szCs w:val="20"/>
              </w:rPr>
              <w:t>*</w:t>
            </w:r>
          </w:p>
        </w:tc>
      </w:tr>
    </w:tbl>
    <w:p w:rsidR="00933578" w:rsidRDefault="00933578" w:rsidP="00827AA9">
      <w:pPr>
        <w:snapToGrid w:val="0"/>
        <w:spacing w:after="0" w:line="240" w:lineRule="auto"/>
        <w:jc w:val="both"/>
        <w:rPr>
          <w:rFonts w:ascii="Times New Roman" w:hAnsi="Times New Roman" w:cs="Times New Roman" w:hint="eastAsia"/>
          <w:sz w:val="20"/>
          <w:szCs w:val="20"/>
          <w:lang w:eastAsia="zh-CN"/>
        </w:rPr>
      </w:pPr>
      <w:r w:rsidRPr="00903330">
        <w:rPr>
          <w:rFonts w:ascii="Times New Roman" w:hAnsi="Times New Roman" w:cs="Times New Roman"/>
          <w:sz w:val="20"/>
          <w:szCs w:val="20"/>
        </w:rPr>
        <w:t>*Statistically significant (P&lt;0.05).</w:t>
      </w:r>
    </w:p>
    <w:p w:rsidR="00F35E4D" w:rsidRPr="00903330" w:rsidRDefault="00F35E4D" w:rsidP="00827AA9">
      <w:pPr>
        <w:snapToGrid w:val="0"/>
        <w:spacing w:after="0" w:line="240" w:lineRule="auto"/>
        <w:jc w:val="both"/>
        <w:rPr>
          <w:rFonts w:ascii="Times New Roman" w:hAnsi="Times New Roman" w:cs="Times New Roman" w:hint="eastAsia"/>
          <w:sz w:val="20"/>
          <w:szCs w:val="20"/>
          <w:lang w:eastAsia="zh-CN"/>
        </w:rPr>
      </w:pP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Regarding statistical relations, CHC immunopositvity was highly specific and sensitive indicator for hepatocellular carcinoma unlike LIFR which cannot be used as reliable indicator of liver malignancy. (Table 4)</w:t>
      </w:r>
    </w:p>
    <w:p w:rsidR="005E7D01" w:rsidRPr="00903330" w:rsidRDefault="005E7D01" w:rsidP="00827AA9">
      <w:pPr>
        <w:tabs>
          <w:tab w:val="left" w:pos="3713"/>
        </w:tabs>
        <w:snapToGrid w:val="0"/>
        <w:spacing w:after="0" w:line="240" w:lineRule="auto"/>
        <w:jc w:val="center"/>
        <w:rPr>
          <w:rFonts w:ascii="Times New Roman" w:hAnsi="Times New Roman" w:cs="Times New Roman"/>
          <w:sz w:val="20"/>
          <w:szCs w:val="20"/>
        </w:rPr>
      </w:pPr>
    </w:p>
    <w:p w:rsidR="00F35E4D" w:rsidRDefault="00F35E4D" w:rsidP="00827AA9">
      <w:pPr>
        <w:tabs>
          <w:tab w:val="left" w:pos="3713"/>
        </w:tabs>
        <w:snapToGrid w:val="0"/>
        <w:spacing w:after="0" w:line="240" w:lineRule="auto"/>
        <w:jc w:val="center"/>
        <w:rPr>
          <w:rFonts w:ascii="Times New Roman" w:hAnsi="Times New Roman" w:cs="Times New Roman" w:hint="eastAsia"/>
          <w:b/>
          <w:bCs/>
          <w:sz w:val="20"/>
          <w:szCs w:val="20"/>
          <w:lang w:eastAsia="zh-CN"/>
        </w:rPr>
      </w:pPr>
    </w:p>
    <w:p w:rsidR="005E7D01" w:rsidRPr="00903330" w:rsidRDefault="003F13ED" w:rsidP="00827AA9">
      <w:pPr>
        <w:tabs>
          <w:tab w:val="left" w:pos="3713"/>
        </w:tabs>
        <w:snapToGrid w:val="0"/>
        <w:spacing w:after="0" w:line="240" w:lineRule="auto"/>
        <w:jc w:val="center"/>
        <w:rPr>
          <w:rFonts w:ascii="Times New Roman" w:hAnsi="Times New Roman" w:cs="Times New Roman"/>
          <w:sz w:val="20"/>
          <w:szCs w:val="20"/>
        </w:rPr>
      </w:pPr>
      <w:r w:rsidRPr="00903330">
        <w:rPr>
          <w:rFonts w:ascii="Times New Roman" w:hAnsi="Times New Roman" w:cs="Times New Roman"/>
          <w:b/>
          <w:bCs/>
          <w:sz w:val="20"/>
          <w:szCs w:val="20"/>
        </w:rPr>
        <w:t>Table 4:</w:t>
      </w:r>
      <w:r w:rsidRPr="00903330">
        <w:rPr>
          <w:rFonts w:ascii="Times New Roman" w:hAnsi="Times New Roman" w:cs="Times New Roman"/>
          <w:sz w:val="20"/>
          <w:szCs w:val="20"/>
        </w:rPr>
        <w:t xml:space="preserve"> sensitivity and specificity of CHC and LIFR</w:t>
      </w:r>
    </w:p>
    <w:tbl>
      <w:tblPr>
        <w:tblStyle w:val="aa"/>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00"/>
      </w:tblPr>
      <w:tblGrid>
        <w:gridCol w:w="1187"/>
        <w:gridCol w:w="2099"/>
        <w:gridCol w:w="2124"/>
        <w:gridCol w:w="1042"/>
        <w:gridCol w:w="1114"/>
        <w:gridCol w:w="1908"/>
      </w:tblGrid>
      <w:tr w:rsidR="005E7D01" w:rsidRPr="00903330" w:rsidTr="00903330">
        <w:trPr>
          <w:jc w:val="center"/>
        </w:trPr>
        <w:tc>
          <w:tcPr>
            <w:tcW w:w="626" w:type="pct"/>
            <w:shd w:val="clear" w:color="auto" w:fill="auto"/>
            <w:vAlign w:val="center"/>
          </w:tcPr>
          <w:p w:rsidR="005E7D01" w:rsidRPr="00903330" w:rsidRDefault="003F13ED" w:rsidP="00827AA9">
            <w:pPr>
              <w:snapToGrid w:val="0"/>
              <w:spacing w:after="0" w:line="240" w:lineRule="auto"/>
              <w:jc w:val="both"/>
              <w:rPr>
                <w:rFonts w:ascii="Times New Roman" w:hAnsi="Times New Roman" w:cs="Times New Roman"/>
                <w:sz w:val="20"/>
                <w:szCs w:val="20"/>
              </w:rPr>
            </w:pPr>
            <w:r w:rsidRPr="00903330">
              <w:rPr>
                <w:rFonts w:ascii="Times New Roman" w:hAnsi="Times New Roman" w:cs="Times New Roman"/>
                <w:sz w:val="20"/>
                <w:szCs w:val="20"/>
              </w:rPr>
              <w:t>AUC</w:t>
            </w:r>
          </w:p>
        </w:tc>
        <w:tc>
          <w:tcPr>
            <w:tcW w:w="1108" w:type="pct"/>
            <w:shd w:val="clear" w:color="auto" w:fill="auto"/>
            <w:vAlign w:val="center"/>
          </w:tcPr>
          <w:p w:rsidR="005E7D01" w:rsidRPr="00903330" w:rsidRDefault="003F13ED" w:rsidP="00827AA9">
            <w:pPr>
              <w:snapToGrid w:val="0"/>
              <w:spacing w:after="0" w:line="240" w:lineRule="auto"/>
              <w:jc w:val="both"/>
              <w:rPr>
                <w:rFonts w:ascii="Times New Roman" w:hAnsi="Times New Roman" w:cs="Times New Roman"/>
                <w:sz w:val="20"/>
                <w:szCs w:val="20"/>
              </w:rPr>
            </w:pPr>
            <w:r w:rsidRPr="00903330">
              <w:rPr>
                <w:rFonts w:ascii="Times New Roman" w:hAnsi="Times New Roman" w:cs="Times New Roman"/>
                <w:sz w:val="20"/>
                <w:szCs w:val="20"/>
              </w:rPr>
              <w:t>Sensitivity</w:t>
            </w:r>
          </w:p>
        </w:tc>
        <w:tc>
          <w:tcPr>
            <w:tcW w:w="1121" w:type="pct"/>
            <w:shd w:val="clear" w:color="auto" w:fill="auto"/>
            <w:vAlign w:val="center"/>
          </w:tcPr>
          <w:p w:rsidR="005E7D01" w:rsidRPr="00903330" w:rsidRDefault="003F13ED" w:rsidP="00827AA9">
            <w:pPr>
              <w:snapToGrid w:val="0"/>
              <w:spacing w:after="0" w:line="240" w:lineRule="auto"/>
              <w:jc w:val="both"/>
              <w:rPr>
                <w:rFonts w:ascii="Times New Roman" w:hAnsi="Times New Roman" w:cs="Times New Roman"/>
                <w:sz w:val="20"/>
                <w:szCs w:val="20"/>
              </w:rPr>
            </w:pPr>
            <w:r w:rsidRPr="00903330">
              <w:rPr>
                <w:rFonts w:ascii="Times New Roman" w:hAnsi="Times New Roman" w:cs="Times New Roman"/>
                <w:sz w:val="20"/>
                <w:szCs w:val="20"/>
              </w:rPr>
              <w:t>Specificity</w:t>
            </w:r>
          </w:p>
        </w:tc>
        <w:tc>
          <w:tcPr>
            <w:tcW w:w="550" w:type="pct"/>
            <w:shd w:val="clear" w:color="auto" w:fill="auto"/>
            <w:vAlign w:val="center"/>
          </w:tcPr>
          <w:p w:rsidR="005E7D01" w:rsidRPr="00903330" w:rsidRDefault="003F13ED" w:rsidP="00827AA9">
            <w:pPr>
              <w:snapToGrid w:val="0"/>
              <w:spacing w:after="0" w:line="240" w:lineRule="auto"/>
              <w:jc w:val="both"/>
              <w:rPr>
                <w:rFonts w:ascii="Times New Roman" w:hAnsi="Times New Roman" w:cs="Times New Roman"/>
                <w:sz w:val="20"/>
                <w:szCs w:val="20"/>
              </w:rPr>
            </w:pPr>
            <w:r w:rsidRPr="00903330">
              <w:rPr>
                <w:rFonts w:ascii="Times New Roman" w:hAnsi="Times New Roman" w:cs="Times New Roman"/>
                <w:sz w:val="20"/>
                <w:szCs w:val="20"/>
              </w:rPr>
              <w:t>PPV</w:t>
            </w:r>
          </w:p>
        </w:tc>
        <w:tc>
          <w:tcPr>
            <w:tcW w:w="588" w:type="pct"/>
            <w:shd w:val="clear" w:color="auto" w:fill="auto"/>
            <w:vAlign w:val="center"/>
          </w:tcPr>
          <w:p w:rsidR="005E7D01" w:rsidRPr="00903330" w:rsidRDefault="003F13ED" w:rsidP="00827AA9">
            <w:pPr>
              <w:snapToGrid w:val="0"/>
              <w:spacing w:after="0" w:line="240" w:lineRule="auto"/>
              <w:jc w:val="both"/>
              <w:rPr>
                <w:rFonts w:ascii="Times New Roman" w:hAnsi="Times New Roman" w:cs="Times New Roman"/>
                <w:sz w:val="20"/>
                <w:szCs w:val="20"/>
              </w:rPr>
            </w:pPr>
            <w:r w:rsidRPr="00903330">
              <w:rPr>
                <w:rFonts w:ascii="Times New Roman" w:hAnsi="Times New Roman" w:cs="Times New Roman"/>
                <w:sz w:val="20"/>
                <w:szCs w:val="20"/>
              </w:rPr>
              <w:t>NPV</w:t>
            </w:r>
          </w:p>
        </w:tc>
        <w:tc>
          <w:tcPr>
            <w:tcW w:w="1007" w:type="pct"/>
            <w:shd w:val="clear" w:color="auto" w:fill="auto"/>
            <w:vAlign w:val="center"/>
          </w:tcPr>
          <w:p w:rsidR="005E7D01" w:rsidRPr="00903330" w:rsidRDefault="003F13ED" w:rsidP="00827AA9">
            <w:pPr>
              <w:snapToGrid w:val="0"/>
              <w:spacing w:after="0" w:line="240" w:lineRule="auto"/>
              <w:jc w:val="both"/>
              <w:rPr>
                <w:rFonts w:ascii="Times New Roman" w:hAnsi="Times New Roman" w:cs="Times New Roman"/>
                <w:sz w:val="20"/>
                <w:szCs w:val="20"/>
              </w:rPr>
            </w:pPr>
            <w:r w:rsidRPr="00903330">
              <w:rPr>
                <w:rFonts w:ascii="Times New Roman" w:hAnsi="Times New Roman" w:cs="Times New Roman"/>
                <w:sz w:val="20"/>
                <w:szCs w:val="20"/>
              </w:rPr>
              <w:t xml:space="preserve">Accuracy </w:t>
            </w:r>
          </w:p>
        </w:tc>
      </w:tr>
      <w:tr w:rsidR="005E7D01" w:rsidRPr="00903330" w:rsidTr="00903330">
        <w:trPr>
          <w:jc w:val="center"/>
        </w:trPr>
        <w:tc>
          <w:tcPr>
            <w:tcW w:w="626" w:type="pct"/>
            <w:shd w:val="clear" w:color="auto" w:fill="auto"/>
            <w:vAlign w:val="center"/>
          </w:tcPr>
          <w:p w:rsidR="005E7D01" w:rsidRPr="00903330" w:rsidRDefault="003F13ED" w:rsidP="00827AA9">
            <w:pPr>
              <w:snapToGrid w:val="0"/>
              <w:spacing w:after="0" w:line="240" w:lineRule="auto"/>
              <w:jc w:val="both"/>
              <w:rPr>
                <w:rFonts w:ascii="Times New Roman" w:hAnsi="Times New Roman" w:cs="Times New Roman"/>
                <w:sz w:val="20"/>
                <w:szCs w:val="20"/>
              </w:rPr>
            </w:pPr>
            <w:r w:rsidRPr="00903330">
              <w:rPr>
                <w:rFonts w:ascii="Times New Roman" w:hAnsi="Times New Roman" w:cs="Times New Roman"/>
                <w:sz w:val="20"/>
                <w:szCs w:val="20"/>
              </w:rPr>
              <w:t>CHC</w:t>
            </w:r>
          </w:p>
        </w:tc>
        <w:tc>
          <w:tcPr>
            <w:tcW w:w="1108" w:type="pct"/>
            <w:shd w:val="clear" w:color="auto" w:fill="auto"/>
            <w:vAlign w:val="center"/>
          </w:tcPr>
          <w:p w:rsidR="005E7D01" w:rsidRPr="00903330" w:rsidRDefault="003F13ED" w:rsidP="00827AA9">
            <w:pPr>
              <w:snapToGrid w:val="0"/>
              <w:spacing w:after="0" w:line="240" w:lineRule="auto"/>
              <w:jc w:val="both"/>
              <w:rPr>
                <w:rFonts w:ascii="Times New Roman" w:hAnsi="Times New Roman" w:cs="Times New Roman"/>
                <w:sz w:val="20"/>
                <w:szCs w:val="20"/>
              </w:rPr>
            </w:pPr>
            <w:r w:rsidRPr="00903330">
              <w:rPr>
                <w:rFonts w:ascii="Times New Roman" w:hAnsi="Times New Roman" w:cs="Times New Roman"/>
                <w:sz w:val="20"/>
                <w:szCs w:val="20"/>
              </w:rPr>
              <w:t>93.9</w:t>
            </w:r>
          </w:p>
        </w:tc>
        <w:tc>
          <w:tcPr>
            <w:tcW w:w="1121" w:type="pct"/>
            <w:shd w:val="clear" w:color="auto" w:fill="auto"/>
            <w:vAlign w:val="center"/>
          </w:tcPr>
          <w:p w:rsidR="005E7D01" w:rsidRPr="00903330" w:rsidRDefault="003F13ED" w:rsidP="00827AA9">
            <w:pPr>
              <w:snapToGrid w:val="0"/>
              <w:spacing w:after="0" w:line="240" w:lineRule="auto"/>
              <w:jc w:val="both"/>
              <w:rPr>
                <w:rFonts w:ascii="Times New Roman" w:hAnsi="Times New Roman" w:cs="Times New Roman"/>
                <w:sz w:val="20"/>
                <w:szCs w:val="20"/>
              </w:rPr>
            </w:pPr>
            <w:r w:rsidRPr="00903330">
              <w:rPr>
                <w:rFonts w:ascii="Times New Roman" w:hAnsi="Times New Roman" w:cs="Times New Roman"/>
                <w:sz w:val="20"/>
                <w:szCs w:val="20"/>
              </w:rPr>
              <w:t>95.0</w:t>
            </w:r>
          </w:p>
        </w:tc>
        <w:tc>
          <w:tcPr>
            <w:tcW w:w="550" w:type="pct"/>
            <w:shd w:val="clear" w:color="auto" w:fill="auto"/>
            <w:vAlign w:val="center"/>
          </w:tcPr>
          <w:p w:rsidR="005E7D01" w:rsidRPr="00903330" w:rsidRDefault="003F13ED" w:rsidP="00827AA9">
            <w:pPr>
              <w:snapToGrid w:val="0"/>
              <w:spacing w:after="0" w:line="240" w:lineRule="auto"/>
              <w:jc w:val="both"/>
              <w:rPr>
                <w:rFonts w:ascii="Times New Roman" w:hAnsi="Times New Roman" w:cs="Times New Roman"/>
                <w:sz w:val="20"/>
                <w:szCs w:val="20"/>
              </w:rPr>
            </w:pPr>
            <w:r w:rsidRPr="00903330">
              <w:rPr>
                <w:rFonts w:ascii="Times New Roman" w:hAnsi="Times New Roman" w:cs="Times New Roman"/>
                <w:sz w:val="20"/>
                <w:szCs w:val="20"/>
              </w:rPr>
              <w:t>69</w:t>
            </w:r>
          </w:p>
        </w:tc>
        <w:tc>
          <w:tcPr>
            <w:tcW w:w="588" w:type="pct"/>
            <w:shd w:val="clear" w:color="auto" w:fill="auto"/>
            <w:vAlign w:val="center"/>
          </w:tcPr>
          <w:p w:rsidR="005E7D01" w:rsidRPr="00903330" w:rsidRDefault="003F13ED" w:rsidP="00827AA9">
            <w:pPr>
              <w:snapToGrid w:val="0"/>
              <w:spacing w:after="0" w:line="240" w:lineRule="auto"/>
              <w:jc w:val="both"/>
              <w:rPr>
                <w:rFonts w:ascii="Times New Roman" w:hAnsi="Times New Roman" w:cs="Times New Roman"/>
                <w:sz w:val="20"/>
                <w:szCs w:val="20"/>
              </w:rPr>
            </w:pPr>
            <w:r w:rsidRPr="00903330">
              <w:rPr>
                <w:rFonts w:ascii="Times New Roman" w:hAnsi="Times New Roman" w:cs="Times New Roman"/>
                <w:sz w:val="20"/>
                <w:szCs w:val="20"/>
              </w:rPr>
              <w:t>75</w:t>
            </w:r>
          </w:p>
        </w:tc>
        <w:tc>
          <w:tcPr>
            <w:tcW w:w="1007" w:type="pct"/>
            <w:shd w:val="clear" w:color="auto" w:fill="auto"/>
            <w:vAlign w:val="center"/>
          </w:tcPr>
          <w:p w:rsidR="005E7D01" w:rsidRPr="00903330" w:rsidRDefault="003F13ED" w:rsidP="00827AA9">
            <w:pPr>
              <w:snapToGrid w:val="0"/>
              <w:spacing w:after="0" w:line="240" w:lineRule="auto"/>
              <w:jc w:val="both"/>
              <w:rPr>
                <w:rFonts w:ascii="Times New Roman" w:hAnsi="Times New Roman" w:cs="Times New Roman"/>
                <w:sz w:val="20"/>
                <w:szCs w:val="20"/>
              </w:rPr>
            </w:pPr>
            <w:r w:rsidRPr="00903330">
              <w:rPr>
                <w:rFonts w:ascii="Times New Roman" w:hAnsi="Times New Roman" w:cs="Times New Roman"/>
                <w:sz w:val="20"/>
                <w:szCs w:val="20"/>
              </w:rPr>
              <w:t>70</w:t>
            </w:r>
          </w:p>
        </w:tc>
      </w:tr>
      <w:tr w:rsidR="005E7D01" w:rsidRPr="00903330" w:rsidTr="00903330">
        <w:trPr>
          <w:jc w:val="center"/>
        </w:trPr>
        <w:tc>
          <w:tcPr>
            <w:tcW w:w="626" w:type="pct"/>
            <w:shd w:val="clear" w:color="auto" w:fill="auto"/>
            <w:vAlign w:val="center"/>
          </w:tcPr>
          <w:p w:rsidR="005E7D01" w:rsidRPr="00903330" w:rsidRDefault="003F13ED" w:rsidP="00827AA9">
            <w:pPr>
              <w:snapToGrid w:val="0"/>
              <w:spacing w:after="0" w:line="240" w:lineRule="auto"/>
              <w:jc w:val="both"/>
              <w:rPr>
                <w:rFonts w:ascii="Times New Roman" w:hAnsi="Times New Roman" w:cs="Times New Roman"/>
                <w:sz w:val="20"/>
                <w:szCs w:val="20"/>
              </w:rPr>
            </w:pPr>
            <w:r w:rsidRPr="00903330">
              <w:rPr>
                <w:rFonts w:ascii="Times New Roman" w:hAnsi="Times New Roman" w:cs="Times New Roman"/>
                <w:sz w:val="20"/>
                <w:szCs w:val="20"/>
              </w:rPr>
              <w:t>LIFR</w:t>
            </w:r>
          </w:p>
        </w:tc>
        <w:tc>
          <w:tcPr>
            <w:tcW w:w="1108" w:type="pct"/>
            <w:shd w:val="clear" w:color="auto" w:fill="auto"/>
            <w:vAlign w:val="center"/>
          </w:tcPr>
          <w:p w:rsidR="005E7D01" w:rsidRPr="00903330" w:rsidRDefault="003F13ED" w:rsidP="00827AA9">
            <w:pPr>
              <w:snapToGrid w:val="0"/>
              <w:spacing w:after="0" w:line="240" w:lineRule="auto"/>
              <w:jc w:val="both"/>
              <w:rPr>
                <w:rFonts w:ascii="Times New Roman" w:hAnsi="Times New Roman" w:cs="Times New Roman"/>
                <w:sz w:val="20"/>
                <w:szCs w:val="20"/>
              </w:rPr>
            </w:pPr>
            <w:r w:rsidRPr="00903330">
              <w:rPr>
                <w:rFonts w:ascii="Times New Roman" w:hAnsi="Times New Roman" w:cs="Times New Roman"/>
                <w:sz w:val="20"/>
                <w:szCs w:val="20"/>
              </w:rPr>
              <w:t>69.7</w:t>
            </w:r>
          </w:p>
        </w:tc>
        <w:tc>
          <w:tcPr>
            <w:tcW w:w="1121" w:type="pct"/>
            <w:shd w:val="clear" w:color="auto" w:fill="auto"/>
            <w:vAlign w:val="center"/>
          </w:tcPr>
          <w:p w:rsidR="005E7D01" w:rsidRPr="00903330" w:rsidRDefault="003F13ED" w:rsidP="00827AA9">
            <w:pPr>
              <w:snapToGrid w:val="0"/>
              <w:spacing w:after="0" w:line="240" w:lineRule="auto"/>
              <w:jc w:val="both"/>
              <w:rPr>
                <w:rFonts w:ascii="Times New Roman" w:hAnsi="Times New Roman" w:cs="Times New Roman"/>
                <w:sz w:val="20"/>
                <w:szCs w:val="20"/>
              </w:rPr>
            </w:pPr>
            <w:r w:rsidRPr="00903330">
              <w:rPr>
                <w:rFonts w:ascii="Times New Roman" w:hAnsi="Times New Roman" w:cs="Times New Roman"/>
                <w:sz w:val="20"/>
                <w:szCs w:val="20"/>
              </w:rPr>
              <w:t>30.0</w:t>
            </w:r>
          </w:p>
        </w:tc>
        <w:tc>
          <w:tcPr>
            <w:tcW w:w="550" w:type="pct"/>
            <w:shd w:val="clear" w:color="auto" w:fill="auto"/>
            <w:vAlign w:val="center"/>
          </w:tcPr>
          <w:p w:rsidR="005E7D01" w:rsidRPr="00903330" w:rsidRDefault="003F13ED" w:rsidP="00827AA9">
            <w:pPr>
              <w:snapToGrid w:val="0"/>
              <w:spacing w:after="0" w:line="240" w:lineRule="auto"/>
              <w:jc w:val="both"/>
              <w:rPr>
                <w:rFonts w:ascii="Times New Roman" w:hAnsi="Times New Roman" w:cs="Times New Roman"/>
                <w:sz w:val="20"/>
                <w:szCs w:val="20"/>
              </w:rPr>
            </w:pPr>
            <w:r w:rsidRPr="00903330">
              <w:rPr>
                <w:rFonts w:ascii="Times New Roman" w:hAnsi="Times New Roman" w:cs="Times New Roman"/>
                <w:sz w:val="20"/>
                <w:szCs w:val="20"/>
              </w:rPr>
              <w:t>96</w:t>
            </w:r>
          </w:p>
        </w:tc>
        <w:tc>
          <w:tcPr>
            <w:tcW w:w="588" w:type="pct"/>
            <w:shd w:val="clear" w:color="auto" w:fill="auto"/>
            <w:vAlign w:val="center"/>
          </w:tcPr>
          <w:p w:rsidR="005E7D01" w:rsidRPr="00903330" w:rsidRDefault="003F13ED" w:rsidP="00827AA9">
            <w:pPr>
              <w:snapToGrid w:val="0"/>
              <w:spacing w:after="0" w:line="240" w:lineRule="auto"/>
              <w:jc w:val="both"/>
              <w:rPr>
                <w:rFonts w:ascii="Times New Roman" w:hAnsi="Times New Roman" w:cs="Times New Roman"/>
                <w:sz w:val="20"/>
                <w:szCs w:val="20"/>
              </w:rPr>
            </w:pPr>
            <w:r w:rsidRPr="00903330">
              <w:rPr>
                <w:rFonts w:ascii="Times New Roman" w:hAnsi="Times New Roman" w:cs="Times New Roman"/>
                <w:sz w:val="20"/>
                <w:szCs w:val="20"/>
              </w:rPr>
              <w:t>66</w:t>
            </w:r>
          </w:p>
        </w:tc>
        <w:tc>
          <w:tcPr>
            <w:tcW w:w="1007" w:type="pct"/>
            <w:shd w:val="clear" w:color="auto" w:fill="auto"/>
            <w:vAlign w:val="center"/>
          </w:tcPr>
          <w:p w:rsidR="005E7D01" w:rsidRPr="00903330" w:rsidRDefault="003F13ED" w:rsidP="00827AA9">
            <w:pPr>
              <w:snapToGrid w:val="0"/>
              <w:spacing w:after="0" w:line="240" w:lineRule="auto"/>
              <w:jc w:val="both"/>
              <w:rPr>
                <w:rFonts w:ascii="Times New Roman" w:hAnsi="Times New Roman" w:cs="Times New Roman"/>
                <w:sz w:val="20"/>
                <w:szCs w:val="20"/>
              </w:rPr>
            </w:pPr>
            <w:r w:rsidRPr="00903330">
              <w:rPr>
                <w:rFonts w:ascii="Times New Roman" w:hAnsi="Times New Roman" w:cs="Times New Roman"/>
                <w:sz w:val="20"/>
                <w:szCs w:val="20"/>
              </w:rPr>
              <w:t>79</w:t>
            </w:r>
          </w:p>
        </w:tc>
      </w:tr>
    </w:tbl>
    <w:p w:rsidR="005E7D01" w:rsidRDefault="005E7D01" w:rsidP="00827AA9">
      <w:pPr>
        <w:tabs>
          <w:tab w:val="left" w:pos="3713"/>
        </w:tabs>
        <w:snapToGrid w:val="0"/>
        <w:spacing w:after="0" w:line="240" w:lineRule="auto"/>
        <w:ind w:firstLine="425"/>
        <w:jc w:val="both"/>
        <w:rPr>
          <w:rFonts w:ascii="Times New Roman" w:hAnsi="Times New Roman" w:cs="Times New Roman" w:hint="eastAsia"/>
          <w:sz w:val="20"/>
          <w:szCs w:val="20"/>
          <w:lang w:eastAsia="zh-CN"/>
        </w:rPr>
      </w:pPr>
    </w:p>
    <w:p w:rsidR="00F35E4D" w:rsidRPr="00903330" w:rsidRDefault="00F35E4D" w:rsidP="00827AA9">
      <w:pPr>
        <w:tabs>
          <w:tab w:val="left" w:pos="3713"/>
        </w:tabs>
        <w:snapToGrid w:val="0"/>
        <w:spacing w:after="0" w:line="240" w:lineRule="auto"/>
        <w:ind w:firstLine="425"/>
        <w:jc w:val="both"/>
        <w:rPr>
          <w:rFonts w:ascii="Times New Roman" w:hAnsi="Times New Roman" w:cs="Times New Roman" w:hint="eastAsia"/>
          <w:sz w:val="20"/>
          <w:szCs w:val="20"/>
          <w:lang w:eastAsia="zh-CN"/>
        </w:rPr>
      </w:pPr>
    </w:p>
    <w:p w:rsidR="00827AA9" w:rsidRDefault="00827AA9" w:rsidP="00827AA9">
      <w:pPr>
        <w:pBdr>
          <w:top w:val="nil"/>
          <w:left w:val="nil"/>
          <w:bottom w:val="nil"/>
          <w:right w:val="nil"/>
          <w:between w:val="nil"/>
        </w:pBdr>
        <w:snapToGrid w:val="0"/>
        <w:spacing w:after="0" w:line="240" w:lineRule="auto"/>
        <w:jc w:val="both"/>
        <w:rPr>
          <w:rFonts w:ascii="Times New Roman" w:eastAsia="Times" w:hAnsi="Times New Roman" w:cs="Times New Roman"/>
          <w:b/>
          <w:sz w:val="20"/>
          <w:szCs w:val="20"/>
        </w:rPr>
        <w:sectPr w:rsidR="00827AA9" w:rsidSect="003F5E9B">
          <w:type w:val="continuous"/>
          <w:pgSz w:w="12240" w:h="15840"/>
          <w:pgMar w:top="1440" w:right="1440" w:bottom="1440" w:left="1440" w:header="720" w:footer="720" w:gutter="0"/>
          <w:cols w:space="720"/>
          <w:docGrid w:linePitch="299"/>
        </w:sectPr>
      </w:pPr>
    </w:p>
    <w:p w:rsidR="005E7D01" w:rsidRPr="00903330" w:rsidRDefault="003E717C" w:rsidP="00827AA9">
      <w:pPr>
        <w:pBdr>
          <w:top w:val="nil"/>
          <w:left w:val="nil"/>
          <w:bottom w:val="nil"/>
          <w:right w:val="nil"/>
          <w:between w:val="nil"/>
        </w:pBdr>
        <w:snapToGrid w:val="0"/>
        <w:spacing w:after="0" w:line="240" w:lineRule="auto"/>
        <w:jc w:val="both"/>
        <w:rPr>
          <w:rFonts w:ascii="Times New Roman" w:eastAsia="Times" w:hAnsi="Times New Roman" w:cs="Times New Roman"/>
          <w:b/>
          <w:sz w:val="20"/>
          <w:szCs w:val="20"/>
        </w:rPr>
      </w:pPr>
      <w:r w:rsidRPr="00903330">
        <w:rPr>
          <w:rFonts w:ascii="Times New Roman" w:eastAsia="Times" w:hAnsi="Times New Roman" w:cs="Times New Roman"/>
          <w:b/>
          <w:sz w:val="20"/>
          <w:szCs w:val="20"/>
        </w:rPr>
        <w:lastRenderedPageBreak/>
        <w:t xml:space="preserve">4. </w:t>
      </w:r>
      <w:r w:rsidR="003F13ED" w:rsidRPr="00903330">
        <w:rPr>
          <w:rFonts w:ascii="Times New Roman" w:eastAsia="Times" w:hAnsi="Times New Roman" w:cs="Times New Roman"/>
          <w:b/>
          <w:sz w:val="20"/>
          <w:szCs w:val="20"/>
        </w:rPr>
        <w:t>Discussion:</w:t>
      </w:r>
    </w:p>
    <w:p w:rsidR="005E7D01" w:rsidRPr="00903330" w:rsidRDefault="003F13ED" w:rsidP="00827AA9">
      <w:pPr>
        <w:pBdr>
          <w:top w:val="nil"/>
          <w:left w:val="nil"/>
          <w:bottom w:val="nil"/>
          <w:right w:val="nil"/>
          <w:between w:val="nil"/>
        </w:pBdr>
        <w:snapToGrid w:val="0"/>
        <w:spacing w:after="0" w:line="240" w:lineRule="auto"/>
        <w:ind w:firstLine="425"/>
        <w:jc w:val="both"/>
        <w:rPr>
          <w:rFonts w:ascii="Times New Roman" w:eastAsia="Times" w:hAnsi="Times New Roman" w:cs="Times New Roman"/>
          <w:sz w:val="20"/>
          <w:szCs w:val="20"/>
        </w:rPr>
      </w:pPr>
      <w:bookmarkStart w:id="1" w:name="_gjdgxs" w:colFirst="0" w:colLast="0"/>
      <w:bookmarkEnd w:id="1"/>
      <w:r w:rsidRPr="00903330">
        <w:rPr>
          <w:rFonts w:ascii="Times New Roman" w:eastAsia="Times" w:hAnsi="Times New Roman" w:cs="Times New Roman"/>
          <w:sz w:val="20"/>
          <w:szCs w:val="20"/>
        </w:rPr>
        <w:t>The differentiation between various hepatic focal lesions can be one of the most common and confusing problems encountered by pathologists who are asked nowadays to provide conclusive diagnosis for adequate management and therapy. To support the provisional diagnosis made on the basis of morphological criteria, the finding of new immunomarkers for the early detection of HCC and for successful management, became a necessity. [Gamal et al., 2017].</w:t>
      </w:r>
    </w:p>
    <w:p w:rsidR="005E7D01" w:rsidRPr="00903330" w:rsidRDefault="003F13ED" w:rsidP="00827AA9">
      <w:pPr>
        <w:pBdr>
          <w:top w:val="nil"/>
          <w:left w:val="nil"/>
          <w:bottom w:val="nil"/>
          <w:right w:val="nil"/>
          <w:between w:val="nil"/>
        </w:pBdr>
        <w:snapToGrid w:val="0"/>
        <w:spacing w:after="0" w:line="240" w:lineRule="auto"/>
        <w:ind w:firstLine="425"/>
        <w:jc w:val="both"/>
        <w:rPr>
          <w:rFonts w:ascii="Times New Roman" w:eastAsia="Times" w:hAnsi="Times New Roman" w:cs="Times New Roman"/>
          <w:sz w:val="20"/>
          <w:szCs w:val="20"/>
        </w:rPr>
      </w:pPr>
      <w:r w:rsidRPr="00903330">
        <w:rPr>
          <w:rFonts w:ascii="Times New Roman" w:eastAsia="Times" w:hAnsi="Times New Roman" w:cs="Times New Roman"/>
          <w:sz w:val="20"/>
          <w:szCs w:val="20"/>
        </w:rPr>
        <w:t>In the present study, we intended to study the usefulness of both CHC and LIFR in the differential diagnosis between benign and malignant liver lesions precisely liver cirrhosis, liver cell dysplasia and HCC.</w:t>
      </w: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Concerning the study of CHC immunostaining; CHC was chosen for being an endothelial marker, it works well as an internal control for non parenchymal hepatocytes and, was found to be overexpressed in the cytoplasm of malignant hepatocytes [Fanni et al., 2012].</w:t>
      </w: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In our study, CHC was detected as cytoplasmic staining of hepatocytes in most of cases of HCC, decreased slightly with dysplasia with marked decrease in cirrhosis.</w:t>
      </w:r>
      <w:r w:rsidR="00903330" w:rsidRPr="00903330">
        <w:rPr>
          <w:rFonts w:ascii="Times New Roman" w:hAnsi="Times New Roman" w:cs="Times New Roman"/>
          <w:sz w:val="20"/>
          <w:szCs w:val="20"/>
        </w:rPr>
        <w:t xml:space="preserve"> </w:t>
      </w:r>
      <w:r w:rsidRPr="00903330">
        <w:rPr>
          <w:rFonts w:ascii="Times New Roman" w:hAnsi="Times New Roman" w:cs="Times New Roman"/>
          <w:sz w:val="20"/>
          <w:szCs w:val="20"/>
        </w:rPr>
        <w:t xml:space="preserve">93.9% </w:t>
      </w:r>
      <w:r w:rsidR="0055316D" w:rsidRPr="00903330">
        <w:rPr>
          <w:rFonts w:ascii="Times New Roman" w:hAnsi="Times New Roman" w:cs="Times New Roman"/>
          <w:sz w:val="20"/>
          <w:szCs w:val="20"/>
        </w:rPr>
        <w:t>of HCC cases were positive, 68</w:t>
      </w:r>
      <w:r w:rsidRPr="00903330">
        <w:rPr>
          <w:rFonts w:ascii="Times New Roman" w:hAnsi="Times New Roman" w:cs="Times New Roman"/>
          <w:sz w:val="20"/>
          <w:szCs w:val="20"/>
        </w:rPr>
        <w:t>% of liver cirrhosis</w:t>
      </w:r>
      <w:r w:rsidR="0055316D" w:rsidRPr="00903330">
        <w:rPr>
          <w:rFonts w:ascii="Times New Roman" w:hAnsi="Times New Roman" w:cs="Times New Roman"/>
          <w:sz w:val="20"/>
          <w:szCs w:val="20"/>
        </w:rPr>
        <w:t xml:space="preserve"> were negative to CHC while 70</w:t>
      </w:r>
      <w:r w:rsidRPr="00903330">
        <w:rPr>
          <w:rFonts w:ascii="Times New Roman" w:hAnsi="Times New Roman" w:cs="Times New Roman"/>
          <w:sz w:val="20"/>
          <w:szCs w:val="20"/>
        </w:rPr>
        <w:t xml:space="preserve">% of liver cell dysplasia cases were positive to CHC. </w:t>
      </w: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In approval with our results, Di Tommaso et al. (2011) assessed CHC</w:t>
      </w:r>
      <w:r w:rsidR="00903330" w:rsidRPr="00903330">
        <w:rPr>
          <w:rFonts w:ascii="Times New Roman" w:hAnsi="Times New Roman" w:cs="Times New Roman"/>
          <w:sz w:val="20"/>
          <w:szCs w:val="20"/>
        </w:rPr>
        <w:t xml:space="preserve"> </w:t>
      </w:r>
      <w:r w:rsidRPr="00903330">
        <w:rPr>
          <w:rFonts w:ascii="Times New Roman" w:hAnsi="Times New Roman" w:cs="Times New Roman"/>
          <w:sz w:val="20"/>
          <w:szCs w:val="20"/>
        </w:rPr>
        <w:t xml:space="preserve">with other markers as GPC-3 and HSP70 immunoreactivity in 15 neoplastic </w:t>
      </w:r>
      <w:r w:rsidR="00F35E4D" w:rsidRPr="00903330">
        <w:rPr>
          <w:rFonts w:ascii="Times New Roman" w:hAnsi="Times New Roman" w:cs="Times New Roman"/>
          <w:sz w:val="20"/>
          <w:szCs w:val="20"/>
        </w:rPr>
        <w:t>liver lesions</w:t>
      </w:r>
      <w:r w:rsidRPr="00903330">
        <w:rPr>
          <w:rFonts w:ascii="Times New Roman" w:hAnsi="Times New Roman" w:cs="Times New Roman"/>
          <w:sz w:val="20"/>
          <w:szCs w:val="20"/>
        </w:rPr>
        <w:t xml:space="preserve"> (8 HCCs and 7 HGDNs). They noted that CHC is the most overexpressed immunomarker in this panel. Only one HGDN case showed focal weak positivity where HCC hepatocytes showed diffuse strong staining in five of eight cases and with focal staining in three of eight cases. 26 out of 30 cases of cirrhosis were negative for CHC immunostaining.</w:t>
      </w: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Supporting our results, Schaeffer et al. (2011), discovered CHC strong immunostaining in HCC while being absent in non-malignant lesions.</w:t>
      </w: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 xml:space="preserve">In 2008, Seimiya et al. reached similar results. They stated that immunostaining of CHC can contribute to the early diagnosis of HCC. They found that CHC expression was surprisingly different </w:t>
      </w:r>
      <w:r w:rsidRPr="00903330">
        <w:rPr>
          <w:rFonts w:ascii="Times New Roman" w:hAnsi="Times New Roman" w:cs="Times New Roman"/>
          <w:sz w:val="20"/>
          <w:szCs w:val="20"/>
        </w:rPr>
        <w:lastRenderedPageBreak/>
        <w:t>between tumorous and nontumorous liver tissues. CHC was useful in distinguishing HCC from benign liver lesions such as regenerative nodules.</w:t>
      </w:r>
    </w:p>
    <w:p w:rsidR="005E7D01" w:rsidRPr="00903330" w:rsidRDefault="003F13ED" w:rsidP="00827AA9">
      <w:pPr>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903330">
        <w:rPr>
          <w:rFonts w:ascii="Times New Roman" w:eastAsia="Times New Roman" w:hAnsi="Times New Roman" w:cs="Times New Roman"/>
          <w:sz w:val="20"/>
          <w:szCs w:val="20"/>
        </w:rPr>
        <w:t>Lately, Gamal et al. (2017) also studied CHC expression in 30 HCC specimens and 18 cirrhotic liver tissues near HCC They noted significant upregulation o</w:t>
      </w:r>
      <w:r w:rsidR="00827AA9" w:rsidRPr="00903330">
        <w:rPr>
          <w:rFonts w:ascii="Times New Roman" w:eastAsia="Times New Roman" w:hAnsi="Times New Roman" w:cs="Times New Roman"/>
          <w:sz w:val="20"/>
          <w:szCs w:val="20"/>
        </w:rPr>
        <w:t>f</w:t>
      </w:r>
      <w:r w:rsidR="00827AA9">
        <w:rPr>
          <w:rFonts w:ascii="Times New Roman" w:eastAsia="Times New Roman" w:hAnsi="Times New Roman" w:cs="Times New Roman"/>
          <w:sz w:val="20"/>
          <w:szCs w:val="20"/>
        </w:rPr>
        <w:t xml:space="preserve"> </w:t>
      </w:r>
      <w:r w:rsidR="00827AA9" w:rsidRPr="00903330">
        <w:rPr>
          <w:rFonts w:ascii="Times New Roman" w:eastAsia="Times New Roman" w:hAnsi="Times New Roman" w:cs="Times New Roman"/>
          <w:sz w:val="20"/>
          <w:szCs w:val="20"/>
        </w:rPr>
        <w:t>C</w:t>
      </w:r>
      <w:r w:rsidRPr="00903330">
        <w:rPr>
          <w:rFonts w:ascii="Times New Roman" w:eastAsia="Times New Roman" w:hAnsi="Times New Roman" w:cs="Times New Roman"/>
          <w:sz w:val="20"/>
          <w:szCs w:val="20"/>
        </w:rPr>
        <w:t xml:space="preserve">HC in hepatocellular carcinomas compared to cirrhotic liver tissue suggesting their role in hepatocarcinogenesis. </w:t>
      </w: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Statistical analysis of our data revealed significant relation between tumor size and positive expression of CHC where most of large size HCCs showed strong positivity to CHC. In the same time, there was significant relation between advancing grade and strong CHC expression.</w:t>
      </w:r>
    </w:p>
    <w:p w:rsidR="005E7D01" w:rsidRPr="00903330" w:rsidRDefault="003F13ED" w:rsidP="00827AA9">
      <w:pPr>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903330">
        <w:rPr>
          <w:rFonts w:ascii="Times New Roman" w:eastAsia="Times New Roman" w:hAnsi="Times New Roman" w:cs="Times New Roman"/>
          <w:sz w:val="20"/>
          <w:szCs w:val="20"/>
        </w:rPr>
        <w:t>Gamal et al. (2017), similarly found positive correlation between CHC and histological grade of HCC but no significant relation with tumor size.</w:t>
      </w:r>
    </w:p>
    <w:p w:rsidR="005E7D01" w:rsidRPr="00903330" w:rsidRDefault="003F13ED" w:rsidP="00827AA9">
      <w:pPr>
        <w:pBdr>
          <w:top w:val="nil"/>
          <w:left w:val="nil"/>
          <w:bottom w:val="nil"/>
          <w:right w:val="nil"/>
          <w:between w:val="nil"/>
        </w:pBdr>
        <w:snapToGrid w:val="0"/>
        <w:spacing w:after="0" w:line="240" w:lineRule="auto"/>
        <w:ind w:firstLine="425"/>
        <w:jc w:val="both"/>
        <w:rPr>
          <w:rFonts w:ascii="Times New Roman" w:eastAsia="Times New Roman" w:hAnsi="Times New Roman" w:cs="Times New Roman"/>
          <w:sz w:val="20"/>
          <w:szCs w:val="20"/>
        </w:rPr>
      </w:pPr>
      <w:r w:rsidRPr="00903330">
        <w:rPr>
          <w:rFonts w:ascii="Times New Roman" w:eastAsia="Times New Roman" w:hAnsi="Times New Roman" w:cs="Times New Roman"/>
          <w:sz w:val="20"/>
          <w:szCs w:val="20"/>
        </w:rPr>
        <w:t>Concerning Sensitivity and specificity of CHC in this study, CHC was highly specific and sensitive indicator for hepatocellular carcinoma with 93.9% sensitivity, 95% specificity and 70% diagnostic accuracy.</w:t>
      </w: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Similarly, Seimiya et al. (2008), found that the sensitivity and specificity of CHC for the detection of HCC were 51.8% and 95.6%</w:t>
      </w:r>
      <w:r w:rsidR="00903330" w:rsidRPr="00903330">
        <w:rPr>
          <w:rFonts w:ascii="Times New Roman" w:hAnsi="Times New Roman" w:cs="Times New Roman"/>
          <w:sz w:val="20"/>
          <w:szCs w:val="20"/>
        </w:rPr>
        <w:t>.</w:t>
      </w: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Schaeffer et al. (2011), stated that the addition of CHC to a panel of other four markers increased the diagnostic accuracy for HCCs (from 76.9 to 84.3%), and there was an important gain in sensitivity (from 46.8 to 63.8%).</w:t>
      </w: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 xml:space="preserve">Interestingly, Di Tommaso et al. (2011), found that a four‐marker panel with CHC was superior to a three‐marker panel without CHC with a gain in sensitivity and accuracy with four markers staining (63.8% and 84.3% respectively) versus three markers staining (46.8% and 76.9% respectively). </w:t>
      </w: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The biological roles of interleukin-6 cytokine family including LIFR, are widely varia</w:t>
      </w:r>
      <w:r w:rsidR="003C3D7D" w:rsidRPr="00903330">
        <w:rPr>
          <w:rFonts w:ascii="Times New Roman" w:hAnsi="Times New Roman" w:cs="Times New Roman"/>
          <w:sz w:val="20"/>
          <w:szCs w:val="20"/>
        </w:rPr>
        <w:t>ble, In the present study we aim</w:t>
      </w:r>
      <w:r w:rsidRPr="00903330">
        <w:rPr>
          <w:rFonts w:ascii="Times New Roman" w:hAnsi="Times New Roman" w:cs="Times New Roman"/>
          <w:sz w:val="20"/>
          <w:szCs w:val="20"/>
        </w:rPr>
        <w:t>ed to discuss the role of LIFR in liver carcinogenesis and its efficacy as diagnostic marker for HCC. The role of LIFR in HCC was analysed in several tumors including breast, nasopharyngeal carcinoma, choriocarcinoma and leukaemi</w:t>
      </w:r>
      <w:r w:rsidR="00903330" w:rsidRPr="00903330">
        <w:rPr>
          <w:rFonts w:ascii="Times New Roman" w:hAnsi="Times New Roman" w:cs="Times New Roman"/>
          <w:sz w:val="20"/>
          <w:szCs w:val="20"/>
        </w:rPr>
        <w:t>a [</w:t>
      </w:r>
      <w:r w:rsidRPr="00903330">
        <w:rPr>
          <w:rFonts w:ascii="Times New Roman" w:hAnsi="Times New Roman" w:cs="Times New Roman"/>
          <w:sz w:val="20"/>
          <w:szCs w:val="20"/>
        </w:rPr>
        <w:t>Shin et al., 2011, Hergovich, 2012, Liu</w:t>
      </w:r>
      <w:r w:rsidR="00903330" w:rsidRPr="00903330">
        <w:rPr>
          <w:rFonts w:ascii="Times New Roman" w:hAnsi="Times New Roman" w:cs="Times New Roman"/>
          <w:sz w:val="20"/>
          <w:szCs w:val="20"/>
        </w:rPr>
        <w:t xml:space="preserve"> &amp; </w:t>
      </w:r>
      <w:r w:rsidRPr="00903330">
        <w:rPr>
          <w:rFonts w:ascii="Times New Roman" w:hAnsi="Times New Roman" w:cs="Times New Roman"/>
          <w:sz w:val="20"/>
          <w:szCs w:val="20"/>
        </w:rPr>
        <w:lastRenderedPageBreak/>
        <w:t>Chang, 2014, Fitzgerald et al., 2005 and Yue et al., 2015]. Very few studies discussed the expression of LIFR in liver lesions and the results were controversial.</w:t>
      </w: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In our study, we found that LIF</w:t>
      </w:r>
      <w:r w:rsidR="003C3D7D" w:rsidRPr="00903330">
        <w:rPr>
          <w:rFonts w:ascii="Times New Roman" w:hAnsi="Times New Roman" w:cs="Times New Roman"/>
          <w:sz w:val="20"/>
          <w:szCs w:val="20"/>
        </w:rPr>
        <w:t>R</w:t>
      </w:r>
      <w:r w:rsidRPr="00903330">
        <w:rPr>
          <w:rFonts w:ascii="Times New Roman" w:hAnsi="Times New Roman" w:cs="Times New Roman"/>
          <w:sz w:val="20"/>
          <w:szCs w:val="20"/>
        </w:rPr>
        <w:t xml:space="preserve"> was more expressed in non-malignant than in HCC.</w:t>
      </w:r>
      <w:r w:rsidR="00903330" w:rsidRPr="00903330">
        <w:rPr>
          <w:rFonts w:ascii="Times New Roman" w:hAnsi="Times New Roman" w:cs="Times New Roman"/>
          <w:sz w:val="20"/>
          <w:szCs w:val="20"/>
        </w:rPr>
        <w:t xml:space="preserve"> </w:t>
      </w:r>
      <w:r w:rsidRPr="00903330">
        <w:rPr>
          <w:rFonts w:ascii="Times New Roman" w:hAnsi="Times New Roman" w:cs="Times New Roman"/>
          <w:sz w:val="20"/>
          <w:szCs w:val="20"/>
        </w:rPr>
        <w:t>92% of cases of cirrhosis were positive to LIF</w:t>
      </w:r>
      <w:r w:rsidR="003C3D7D" w:rsidRPr="00903330">
        <w:rPr>
          <w:rFonts w:ascii="Times New Roman" w:hAnsi="Times New Roman" w:cs="Times New Roman"/>
          <w:sz w:val="20"/>
          <w:szCs w:val="20"/>
        </w:rPr>
        <w:t>R</w:t>
      </w:r>
      <w:r w:rsidRPr="00903330">
        <w:rPr>
          <w:rFonts w:ascii="Times New Roman" w:hAnsi="Times New Roman" w:cs="Times New Roman"/>
          <w:sz w:val="20"/>
          <w:szCs w:val="20"/>
        </w:rPr>
        <w:t>. 95% of cases of dyspalsia were positive to LIF</w:t>
      </w:r>
      <w:r w:rsidR="003C3D7D" w:rsidRPr="00903330">
        <w:rPr>
          <w:rFonts w:ascii="Times New Roman" w:hAnsi="Times New Roman" w:cs="Times New Roman"/>
          <w:sz w:val="20"/>
          <w:szCs w:val="20"/>
        </w:rPr>
        <w:t>R</w:t>
      </w:r>
      <w:r w:rsidRPr="00903330">
        <w:rPr>
          <w:rFonts w:ascii="Times New Roman" w:hAnsi="Times New Roman" w:cs="Times New Roman"/>
          <w:sz w:val="20"/>
          <w:szCs w:val="20"/>
        </w:rPr>
        <w:t>. On the other hand, only 30.3% of HCC showed positivity to LIF</w:t>
      </w:r>
      <w:r w:rsidR="003C3D7D" w:rsidRPr="00903330">
        <w:rPr>
          <w:rFonts w:ascii="Times New Roman" w:hAnsi="Times New Roman" w:cs="Times New Roman"/>
          <w:sz w:val="20"/>
          <w:szCs w:val="20"/>
        </w:rPr>
        <w:t>R</w:t>
      </w:r>
      <w:r w:rsidRPr="00903330">
        <w:rPr>
          <w:rFonts w:ascii="Times New Roman" w:hAnsi="Times New Roman" w:cs="Times New Roman"/>
          <w:sz w:val="20"/>
          <w:szCs w:val="20"/>
        </w:rPr>
        <w:t xml:space="preserve">. This inverse relation was statistically highly significant (p&lt;0.001). </w:t>
      </w: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The same results were reached by Luo et al. in 2015. They analysed the expression of LIFR in 64 cirrhotic nodules, 62 dysplastic nodules, and 71 HCCs. They noticed that LIFR expression was decreased along with stepwise progression of hepatocarcinogenesis from dysplastic nodules to HCC</w:t>
      </w:r>
      <w:r w:rsidR="00827AA9" w:rsidRPr="00903330">
        <w:rPr>
          <w:rFonts w:ascii="Times New Roman" w:hAnsi="Times New Roman" w:cs="Times New Roman"/>
          <w:sz w:val="20"/>
          <w:szCs w:val="20"/>
        </w:rPr>
        <w:t>.</w:t>
      </w:r>
      <w:r w:rsidR="00827AA9">
        <w:rPr>
          <w:rFonts w:ascii="Times New Roman" w:hAnsi="Times New Roman" w:cs="Times New Roman"/>
          <w:sz w:val="20"/>
          <w:szCs w:val="20"/>
        </w:rPr>
        <w:t xml:space="preserve"> </w:t>
      </w:r>
      <w:r w:rsidR="00827AA9" w:rsidRPr="00903330">
        <w:rPr>
          <w:rFonts w:ascii="Times New Roman" w:hAnsi="Times New Roman" w:cs="Times New Roman"/>
          <w:sz w:val="20"/>
          <w:szCs w:val="20"/>
        </w:rPr>
        <w:t>T</w:t>
      </w:r>
      <w:r w:rsidR="003C3D7D" w:rsidRPr="00903330">
        <w:rPr>
          <w:rFonts w:ascii="Times New Roman" w:hAnsi="Times New Roman" w:cs="Times New Roman"/>
          <w:sz w:val="20"/>
          <w:szCs w:val="20"/>
        </w:rPr>
        <w:t>heir results were</w:t>
      </w:r>
      <w:r w:rsidRPr="00903330">
        <w:rPr>
          <w:rFonts w:ascii="Times New Roman" w:hAnsi="Times New Roman" w:cs="Times New Roman"/>
          <w:sz w:val="20"/>
          <w:szCs w:val="20"/>
        </w:rPr>
        <w:t xml:space="preserve"> significantly different between well differentiated HCC and HGDNs.</w:t>
      </w: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In the same year, Luo et al.</w:t>
      </w:r>
      <w:r w:rsidR="00827AA9" w:rsidRPr="00903330">
        <w:rPr>
          <w:rFonts w:ascii="Times New Roman" w:hAnsi="Times New Roman" w:cs="Times New Roman"/>
          <w:sz w:val="20"/>
          <w:szCs w:val="20"/>
        </w:rPr>
        <w:t>,</w:t>
      </w:r>
      <w:r w:rsidR="00827AA9">
        <w:rPr>
          <w:rFonts w:ascii="Times New Roman" w:hAnsi="Times New Roman" w:cs="Times New Roman"/>
          <w:sz w:val="20"/>
          <w:szCs w:val="20"/>
        </w:rPr>
        <w:t xml:space="preserve"> </w:t>
      </w:r>
      <w:r w:rsidR="00827AA9" w:rsidRPr="00903330">
        <w:rPr>
          <w:rFonts w:ascii="Times New Roman" w:hAnsi="Times New Roman" w:cs="Times New Roman"/>
          <w:sz w:val="20"/>
          <w:szCs w:val="20"/>
        </w:rPr>
        <w:t>i</w:t>
      </w:r>
      <w:r w:rsidR="003C3D7D" w:rsidRPr="00903330">
        <w:rPr>
          <w:rFonts w:ascii="Times New Roman" w:hAnsi="Times New Roman" w:cs="Times New Roman"/>
          <w:sz w:val="20"/>
          <w:szCs w:val="20"/>
        </w:rPr>
        <w:t>n another st</w:t>
      </w:r>
      <w:r w:rsidR="00F35E4D">
        <w:rPr>
          <w:rFonts w:ascii="Times New Roman" w:hAnsi="Times New Roman" w:cs="Times New Roman" w:hint="eastAsia"/>
          <w:sz w:val="20"/>
          <w:szCs w:val="20"/>
          <w:lang w:eastAsia="zh-CN"/>
        </w:rPr>
        <w:t>u</w:t>
      </w:r>
      <w:r w:rsidR="003C3D7D" w:rsidRPr="00903330">
        <w:rPr>
          <w:rFonts w:ascii="Times New Roman" w:hAnsi="Times New Roman" w:cs="Times New Roman"/>
          <w:sz w:val="20"/>
          <w:szCs w:val="20"/>
        </w:rPr>
        <w:t xml:space="preserve">dy, </w:t>
      </w:r>
      <w:r w:rsidRPr="00903330">
        <w:rPr>
          <w:rFonts w:ascii="Times New Roman" w:hAnsi="Times New Roman" w:cs="Times New Roman"/>
          <w:sz w:val="20"/>
          <w:szCs w:val="20"/>
        </w:rPr>
        <w:t>also revealed decreased expression of LIFR in HCC, and even lower in HCC with metastasis. They demonstrated as well that downregulated LIFR expression indicated poor prognosis for HCC patients.</w:t>
      </w: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In addition, Okamura et al. (2010)</w:t>
      </w:r>
      <w:r w:rsidR="00827AA9" w:rsidRPr="00903330">
        <w:rPr>
          <w:rFonts w:ascii="Times New Roman" w:hAnsi="Times New Roman" w:cs="Times New Roman"/>
          <w:sz w:val="20"/>
          <w:szCs w:val="20"/>
        </w:rPr>
        <w:t>,</w:t>
      </w:r>
      <w:r w:rsidR="00827AA9">
        <w:rPr>
          <w:rFonts w:ascii="Times New Roman" w:hAnsi="Times New Roman" w:cs="Times New Roman"/>
          <w:sz w:val="20"/>
          <w:szCs w:val="20"/>
        </w:rPr>
        <w:t xml:space="preserve"> </w:t>
      </w:r>
      <w:r w:rsidR="00827AA9" w:rsidRPr="00903330">
        <w:rPr>
          <w:rFonts w:ascii="Times New Roman" w:hAnsi="Times New Roman" w:cs="Times New Roman"/>
          <w:sz w:val="20"/>
          <w:szCs w:val="20"/>
        </w:rPr>
        <w:t>a</w:t>
      </w:r>
      <w:r w:rsidRPr="00903330">
        <w:rPr>
          <w:rFonts w:ascii="Times New Roman" w:hAnsi="Times New Roman" w:cs="Times New Roman"/>
          <w:sz w:val="20"/>
          <w:szCs w:val="20"/>
        </w:rPr>
        <w:t>ttempted to identify the suppressor genes of HCC as LIFR. They found that only 23 of 48 (47.9%) tumor tissues showed positivity for LIFR gene, and the expression level was clearly decreased in HCCs (P&lt;0.0001)</w:t>
      </w:r>
      <w:r w:rsidR="00827AA9" w:rsidRPr="00903330">
        <w:rPr>
          <w:rFonts w:ascii="Times New Roman" w:hAnsi="Times New Roman" w:cs="Times New Roman"/>
          <w:sz w:val="20"/>
          <w:szCs w:val="20"/>
        </w:rPr>
        <w:t>.</w:t>
      </w:r>
      <w:r w:rsidR="00827AA9">
        <w:rPr>
          <w:rFonts w:ascii="Times New Roman" w:hAnsi="Times New Roman" w:cs="Times New Roman"/>
          <w:sz w:val="20"/>
          <w:szCs w:val="20"/>
        </w:rPr>
        <w:t xml:space="preserve"> </w:t>
      </w:r>
      <w:r w:rsidR="00827AA9" w:rsidRPr="00903330">
        <w:rPr>
          <w:rFonts w:ascii="Times New Roman" w:hAnsi="Times New Roman" w:cs="Times New Roman"/>
          <w:sz w:val="20"/>
          <w:szCs w:val="20"/>
        </w:rPr>
        <w:t>T</w:t>
      </w:r>
      <w:r w:rsidRPr="00903330">
        <w:rPr>
          <w:rFonts w:ascii="Times New Roman" w:hAnsi="Times New Roman" w:cs="Times New Roman"/>
          <w:sz w:val="20"/>
          <w:szCs w:val="20"/>
        </w:rPr>
        <w:t>hey also</w:t>
      </w:r>
      <w:r w:rsidR="00F35E4D">
        <w:rPr>
          <w:rFonts w:ascii="Times New Roman" w:hAnsi="Times New Roman" w:cs="Times New Roman" w:hint="eastAsia"/>
          <w:sz w:val="20"/>
          <w:szCs w:val="20"/>
          <w:lang w:eastAsia="zh-CN"/>
        </w:rPr>
        <w:t xml:space="preserve"> </w:t>
      </w:r>
      <w:r w:rsidR="00F35E4D" w:rsidRPr="00903330">
        <w:rPr>
          <w:rFonts w:ascii="Times New Roman" w:hAnsi="Times New Roman" w:cs="Times New Roman"/>
          <w:sz w:val="20"/>
          <w:szCs w:val="20"/>
        </w:rPr>
        <w:t>considered</w:t>
      </w:r>
      <w:r w:rsidR="003C3D7D" w:rsidRPr="00903330">
        <w:rPr>
          <w:rFonts w:ascii="Times New Roman" w:hAnsi="Times New Roman" w:cs="Times New Roman"/>
          <w:sz w:val="20"/>
          <w:szCs w:val="20"/>
        </w:rPr>
        <w:t xml:space="preserve"> LIFR gene as</w:t>
      </w:r>
      <w:r w:rsidRPr="00903330">
        <w:rPr>
          <w:rFonts w:ascii="Times New Roman" w:hAnsi="Times New Roman" w:cs="Times New Roman"/>
          <w:sz w:val="20"/>
          <w:szCs w:val="20"/>
        </w:rPr>
        <w:t xml:space="preserve"> a new </w:t>
      </w:r>
      <w:r w:rsidR="003C3D7D" w:rsidRPr="00903330">
        <w:rPr>
          <w:rFonts w:ascii="Times New Roman" w:hAnsi="Times New Roman" w:cs="Times New Roman"/>
          <w:sz w:val="20"/>
          <w:szCs w:val="20"/>
        </w:rPr>
        <w:t xml:space="preserve">tumor </w:t>
      </w:r>
      <w:r w:rsidRPr="00903330">
        <w:rPr>
          <w:rFonts w:ascii="Times New Roman" w:hAnsi="Times New Roman" w:cs="Times New Roman"/>
          <w:sz w:val="20"/>
          <w:szCs w:val="20"/>
        </w:rPr>
        <w:t>suppressor gene of HCC.</w:t>
      </w: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On the other hand</w:t>
      </w:r>
      <w:r w:rsidR="003C3D7D" w:rsidRPr="00903330">
        <w:rPr>
          <w:rFonts w:ascii="Times New Roman" w:hAnsi="Times New Roman" w:cs="Times New Roman"/>
          <w:sz w:val="20"/>
          <w:szCs w:val="20"/>
        </w:rPr>
        <w:t>,</w:t>
      </w:r>
      <w:r w:rsidRPr="00903330">
        <w:rPr>
          <w:rFonts w:ascii="Times New Roman" w:hAnsi="Times New Roman" w:cs="Times New Roman"/>
          <w:sz w:val="20"/>
          <w:szCs w:val="20"/>
        </w:rPr>
        <w:t xml:space="preserve"> several studies discussed the expression of LIFR in different tumors as breast cancer. Shin et al. (2011</w:t>
      </w:r>
      <w:r w:rsidR="00827AA9" w:rsidRPr="00903330">
        <w:rPr>
          <w:rFonts w:ascii="Times New Roman" w:hAnsi="Times New Roman" w:cs="Times New Roman"/>
          <w:sz w:val="20"/>
          <w:szCs w:val="20"/>
        </w:rPr>
        <w:t>)</w:t>
      </w:r>
      <w:r w:rsidR="00827AA9">
        <w:rPr>
          <w:rFonts w:ascii="Times New Roman" w:hAnsi="Times New Roman" w:cs="Times New Roman"/>
          <w:sz w:val="20"/>
          <w:szCs w:val="20"/>
        </w:rPr>
        <w:t xml:space="preserve"> </w:t>
      </w:r>
      <w:r w:rsidR="00827AA9" w:rsidRPr="00903330">
        <w:rPr>
          <w:rFonts w:ascii="Times New Roman" w:hAnsi="Times New Roman" w:cs="Times New Roman"/>
          <w:sz w:val="20"/>
          <w:szCs w:val="20"/>
        </w:rPr>
        <w:t>s</w:t>
      </w:r>
      <w:r w:rsidRPr="00903330">
        <w:rPr>
          <w:rFonts w:ascii="Times New Roman" w:hAnsi="Times New Roman" w:cs="Times New Roman"/>
          <w:sz w:val="20"/>
          <w:szCs w:val="20"/>
        </w:rPr>
        <w:t>howed LIF</w:t>
      </w:r>
      <w:r w:rsidR="003C3D7D" w:rsidRPr="00903330">
        <w:rPr>
          <w:rFonts w:ascii="Times New Roman" w:hAnsi="Times New Roman" w:cs="Times New Roman"/>
          <w:sz w:val="20"/>
          <w:szCs w:val="20"/>
        </w:rPr>
        <w:t>R</w:t>
      </w:r>
      <w:r w:rsidRPr="00903330">
        <w:rPr>
          <w:rFonts w:ascii="Times New Roman" w:hAnsi="Times New Roman" w:cs="Times New Roman"/>
          <w:sz w:val="20"/>
          <w:szCs w:val="20"/>
        </w:rPr>
        <w:t xml:space="preserve"> overexpression with breast cancer progression although the molecular mechanisms responsible are still largely unknown. In contrast, Hergovichin2012, noted that LIFR over-expression in breast cancer cells suppressed tumour growth, suggesting that LIFR is an important breast tumour suppressor. Similarly, Chen et al. (2012) also found that LIFR is downregulated in breast cancer.</w:t>
      </w: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In nasopharyngeal carcinoma, Liu</w:t>
      </w:r>
      <w:r w:rsidR="00903330" w:rsidRPr="00903330">
        <w:rPr>
          <w:rFonts w:ascii="Times New Roman" w:hAnsi="Times New Roman" w:cs="Times New Roman"/>
          <w:sz w:val="20"/>
          <w:szCs w:val="20"/>
        </w:rPr>
        <w:t xml:space="preserve"> &amp; </w:t>
      </w:r>
      <w:r w:rsidRPr="00903330">
        <w:rPr>
          <w:rFonts w:ascii="Times New Roman" w:hAnsi="Times New Roman" w:cs="Times New Roman"/>
          <w:sz w:val="20"/>
          <w:szCs w:val="20"/>
        </w:rPr>
        <w:t>Chang (2014)</w:t>
      </w:r>
      <w:r w:rsidR="00827AA9" w:rsidRPr="00903330">
        <w:rPr>
          <w:rFonts w:ascii="Times New Roman" w:hAnsi="Times New Roman" w:cs="Times New Roman"/>
          <w:sz w:val="20"/>
          <w:szCs w:val="20"/>
        </w:rPr>
        <w:t>,</w:t>
      </w:r>
      <w:r w:rsidR="00827AA9">
        <w:rPr>
          <w:rFonts w:ascii="Times New Roman" w:hAnsi="Times New Roman" w:cs="Times New Roman"/>
          <w:sz w:val="20"/>
          <w:szCs w:val="20"/>
        </w:rPr>
        <w:t xml:space="preserve"> </w:t>
      </w:r>
      <w:r w:rsidR="00827AA9" w:rsidRPr="00903330">
        <w:rPr>
          <w:rFonts w:ascii="Times New Roman" w:hAnsi="Times New Roman" w:cs="Times New Roman"/>
          <w:sz w:val="20"/>
          <w:szCs w:val="20"/>
        </w:rPr>
        <w:t>s</w:t>
      </w:r>
      <w:r w:rsidRPr="00903330">
        <w:rPr>
          <w:rFonts w:ascii="Times New Roman" w:hAnsi="Times New Roman" w:cs="Times New Roman"/>
          <w:sz w:val="20"/>
          <w:szCs w:val="20"/>
        </w:rPr>
        <w:t xml:space="preserve">tated that LIFR, </w:t>
      </w:r>
      <w:r w:rsidR="00F35E4D" w:rsidRPr="00903330">
        <w:rPr>
          <w:rFonts w:ascii="Times New Roman" w:hAnsi="Times New Roman" w:cs="Times New Roman"/>
          <w:sz w:val="20"/>
          <w:szCs w:val="20"/>
        </w:rPr>
        <w:t>as a</w:t>
      </w:r>
      <w:r w:rsidRPr="00903330">
        <w:rPr>
          <w:rFonts w:ascii="Times New Roman" w:hAnsi="Times New Roman" w:cs="Times New Roman"/>
          <w:sz w:val="20"/>
          <w:szCs w:val="20"/>
        </w:rPr>
        <w:t xml:space="preserve"> cytokine, is thought to protect tumor cells fr</w:t>
      </w:r>
      <w:r w:rsidR="003C3D7D" w:rsidRPr="00903330">
        <w:rPr>
          <w:rFonts w:ascii="Times New Roman" w:hAnsi="Times New Roman" w:cs="Times New Roman"/>
          <w:sz w:val="20"/>
          <w:szCs w:val="20"/>
        </w:rPr>
        <w:t>om immune surveillance and form</w:t>
      </w:r>
      <w:r w:rsidRPr="00903330">
        <w:rPr>
          <w:rFonts w:ascii="Times New Roman" w:hAnsi="Times New Roman" w:cs="Times New Roman"/>
          <w:sz w:val="20"/>
          <w:szCs w:val="20"/>
        </w:rPr>
        <w:t xml:space="preserve"> an important component of the tumor microenvironment. LIF</w:t>
      </w:r>
      <w:r w:rsidR="003C3D7D" w:rsidRPr="00903330">
        <w:rPr>
          <w:rFonts w:ascii="Times New Roman" w:hAnsi="Times New Roman" w:cs="Times New Roman"/>
          <w:sz w:val="20"/>
          <w:szCs w:val="20"/>
        </w:rPr>
        <w:t>R</w:t>
      </w:r>
      <w:r w:rsidRPr="00903330">
        <w:rPr>
          <w:rFonts w:ascii="Times New Roman" w:hAnsi="Times New Roman" w:cs="Times New Roman"/>
          <w:sz w:val="20"/>
          <w:szCs w:val="20"/>
        </w:rPr>
        <w:t xml:space="preserve"> affects tumor growth and survival.</w:t>
      </w: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In 2005, Fitzgerald et al</w:t>
      </w:r>
      <w:r w:rsidR="00827AA9" w:rsidRPr="00903330">
        <w:rPr>
          <w:rFonts w:ascii="Times New Roman" w:hAnsi="Times New Roman" w:cs="Times New Roman"/>
          <w:sz w:val="20"/>
          <w:szCs w:val="20"/>
        </w:rPr>
        <w:t>.</w:t>
      </w:r>
      <w:r w:rsidR="00827AA9">
        <w:rPr>
          <w:rFonts w:ascii="Times New Roman" w:hAnsi="Times New Roman" w:cs="Times New Roman"/>
          <w:sz w:val="20"/>
          <w:szCs w:val="20"/>
        </w:rPr>
        <w:t xml:space="preserve"> </w:t>
      </w:r>
      <w:r w:rsidR="00827AA9" w:rsidRPr="00903330">
        <w:rPr>
          <w:rFonts w:ascii="Times New Roman" w:hAnsi="Times New Roman" w:cs="Times New Roman"/>
          <w:sz w:val="20"/>
          <w:szCs w:val="20"/>
        </w:rPr>
        <w:t>f</w:t>
      </w:r>
      <w:r w:rsidRPr="00903330">
        <w:rPr>
          <w:rFonts w:ascii="Times New Roman" w:hAnsi="Times New Roman" w:cs="Times New Roman"/>
          <w:sz w:val="20"/>
          <w:szCs w:val="20"/>
        </w:rPr>
        <w:t>ound a connection between LIF</w:t>
      </w:r>
      <w:r w:rsidR="003C3D7D" w:rsidRPr="00903330">
        <w:rPr>
          <w:rFonts w:ascii="Times New Roman" w:hAnsi="Times New Roman" w:cs="Times New Roman"/>
          <w:sz w:val="20"/>
          <w:szCs w:val="20"/>
        </w:rPr>
        <w:t>R</w:t>
      </w:r>
      <w:r w:rsidRPr="00903330">
        <w:rPr>
          <w:rFonts w:ascii="Times New Roman" w:hAnsi="Times New Roman" w:cs="Times New Roman"/>
          <w:sz w:val="20"/>
          <w:szCs w:val="20"/>
        </w:rPr>
        <w:t xml:space="preserve"> activity and invasiveness of choriocarcinoma and trophoblastic cells. As for leukemia cells, Yue et al. (2015) found that LIFR plays an important role in inducing differentiation of leukemia cells.</w:t>
      </w:r>
    </w:p>
    <w:p w:rsidR="005E7D01" w:rsidRPr="00903330" w:rsidRDefault="003F13ED" w:rsidP="00827AA9">
      <w:pPr>
        <w:tabs>
          <w:tab w:val="left" w:pos="8080"/>
        </w:tabs>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lastRenderedPageBreak/>
        <w:t>Unlike CHC, we found that LIFR cannot be used as reliable indicator of liver malignancy with specificity 30% and sensitivity 69.7%.</w:t>
      </w:r>
    </w:p>
    <w:p w:rsidR="005E7D01" w:rsidRPr="00903330" w:rsidRDefault="003F13ED" w:rsidP="00827AA9">
      <w:pPr>
        <w:snapToGrid w:val="0"/>
        <w:spacing w:after="0" w:line="240" w:lineRule="auto"/>
        <w:ind w:firstLine="425"/>
        <w:jc w:val="both"/>
        <w:rPr>
          <w:rFonts w:ascii="Times New Roman" w:hAnsi="Times New Roman" w:cs="Times New Roman"/>
          <w:sz w:val="20"/>
          <w:szCs w:val="20"/>
        </w:rPr>
      </w:pPr>
      <w:r w:rsidRPr="00903330">
        <w:rPr>
          <w:rFonts w:ascii="Times New Roman" w:hAnsi="Times New Roman" w:cs="Times New Roman"/>
          <w:sz w:val="20"/>
          <w:szCs w:val="20"/>
        </w:rPr>
        <w:t>Lou et al. (2015), noticed lower sensitivity for LIFR (58.1%) and 90.5 specificity. The combination of LIFR with CD34 improved</w:t>
      </w:r>
      <w:r w:rsidR="00903330" w:rsidRPr="00903330">
        <w:rPr>
          <w:rFonts w:ascii="Times New Roman" w:hAnsi="Times New Roman" w:cs="Times New Roman"/>
          <w:sz w:val="20"/>
          <w:szCs w:val="20"/>
        </w:rPr>
        <w:t xml:space="preserve"> </w:t>
      </w:r>
      <w:r w:rsidRPr="00903330">
        <w:rPr>
          <w:rFonts w:ascii="Times New Roman" w:hAnsi="Times New Roman" w:cs="Times New Roman"/>
          <w:sz w:val="20"/>
          <w:szCs w:val="20"/>
        </w:rPr>
        <w:t>sensitivity to 93.5%. They stated that combination, N</w:t>
      </w:r>
      <w:r w:rsidR="003C3D7D" w:rsidRPr="00903330">
        <w:rPr>
          <w:rFonts w:ascii="Times New Roman" w:hAnsi="Times New Roman" w:cs="Times New Roman"/>
          <w:sz w:val="20"/>
          <w:szCs w:val="20"/>
        </w:rPr>
        <w:t>ot LIFR alone, may be used as a</w:t>
      </w:r>
      <w:r w:rsidRPr="00903330">
        <w:rPr>
          <w:rFonts w:ascii="Times New Roman" w:hAnsi="Times New Roman" w:cs="Times New Roman"/>
          <w:sz w:val="20"/>
          <w:szCs w:val="20"/>
        </w:rPr>
        <w:t xml:space="preserve"> differential diagnostic model for HCC from HGDNs in clinical practice.</w:t>
      </w:r>
    </w:p>
    <w:p w:rsidR="005E7D01" w:rsidRPr="00903330" w:rsidRDefault="005E7D01" w:rsidP="00827AA9">
      <w:pPr>
        <w:snapToGrid w:val="0"/>
        <w:spacing w:after="0" w:line="240" w:lineRule="auto"/>
        <w:ind w:firstLine="425"/>
        <w:jc w:val="both"/>
        <w:rPr>
          <w:rFonts w:ascii="Times New Roman" w:hAnsi="Times New Roman" w:cs="Times New Roman"/>
          <w:sz w:val="20"/>
          <w:szCs w:val="20"/>
        </w:rPr>
      </w:pPr>
    </w:p>
    <w:p w:rsidR="003E717C" w:rsidRPr="00903330" w:rsidRDefault="003F13ED" w:rsidP="00827AA9">
      <w:pPr>
        <w:snapToGrid w:val="0"/>
        <w:spacing w:after="0" w:line="240" w:lineRule="auto"/>
        <w:jc w:val="both"/>
        <w:rPr>
          <w:rFonts w:ascii="Times New Roman" w:hAnsi="Times New Roman" w:cs="Times New Roman"/>
          <w:sz w:val="20"/>
          <w:szCs w:val="20"/>
        </w:rPr>
      </w:pPr>
      <w:r w:rsidRPr="00903330">
        <w:rPr>
          <w:rFonts w:ascii="Times New Roman" w:hAnsi="Times New Roman" w:cs="Times New Roman"/>
          <w:b/>
          <w:sz w:val="20"/>
          <w:szCs w:val="20"/>
        </w:rPr>
        <w:t xml:space="preserve">Conclusion </w:t>
      </w:r>
    </w:p>
    <w:p w:rsidR="005E7D01" w:rsidRDefault="003F13ED" w:rsidP="00827AA9">
      <w:pPr>
        <w:snapToGrid w:val="0"/>
        <w:spacing w:after="0" w:line="240" w:lineRule="auto"/>
        <w:ind w:firstLine="425"/>
        <w:jc w:val="both"/>
        <w:rPr>
          <w:rFonts w:ascii="Times New Roman" w:hAnsi="Times New Roman" w:cs="Times New Roman"/>
          <w:sz w:val="20"/>
          <w:szCs w:val="20"/>
          <w:lang w:eastAsia="zh-CN"/>
        </w:rPr>
      </w:pPr>
      <w:r w:rsidRPr="00903330">
        <w:rPr>
          <w:rFonts w:ascii="Times New Roman" w:hAnsi="Times New Roman" w:cs="Times New Roman"/>
          <w:sz w:val="20"/>
          <w:szCs w:val="20"/>
        </w:rPr>
        <w:t>Our results suggest that CHC can be a promising diagnostic immunomarker for the diagnosis of HCC unlike LIFR which can’t be a reliable diagnostic marker alone.</w:t>
      </w:r>
      <w:r w:rsidR="00903330" w:rsidRPr="00903330">
        <w:rPr>
          <w:rFonts w:ascii="Times New Roman" w:hAnsi="Times New Roman" w:cs="Times New Roman"/>
          <w:sz w:val="20"/>
          <w:szCs w:val="20"/>
        </w:rPr>
        <w:t xml:space="preserve"> </w:t>
      </w:r>
      <w:r w:rsidRPr="00903330">
        <w:rPr>
          <w:rFonts w:ascii="Times New Roman" w:hAnsi="Times New Roman" w:cs="Times New Roman"/>
          <w:sz w:val="20"/>
          <w:szCs w:val="20"/>
        </w:rPr>
        <w:t xml:space="preserve">A combination of both markers (CHC and LIFR) </w:t>
      </w:r>
      <w:r w:rsidR="003C3D7D" w:rsidRPr="00903330">
        <w:rPr>
          <w:rFonts w:ascii="Times New Roman" w:hAnsi="Times New Roman" w:cs="Times New Roman"/>
          <w:sz w:val="20"/>
          <w:szCs w:val="20"/>
        </w:rPr>
        <w:t xml:space="preserve">can </w:t>
      </w:r>
      <w:r w:rsidRPr="00903330">
        <w:rPr>
          <w:rFonts w:ascii="Times New Roman" w:hAnsi="Times New Roman" w:cs="Times New Roman"/>
          <w:sz w:val="20"/>
          <w:szCs w:val="20"/>
        </w:rPr>
        <w:t>represen</w:t>
      </w:r>
      <w:r w:rsidR="003C3D7D" w:rsidRPr="00903330">
        <w:rPr>
          <w:rFonts w:ascii="Times New Roman" w:hAnsi="Times New Roman" w:cs="Times New Roman"/>
          <w:sz w:val="20"/>
          <w:szCs w:val="20"/>
        </w:rPr>
        <w:t>t</w:t>
      </w:r>
      <w:r w:rsidRPr="00903330">
        <w:rPr>
          <w:rFonts w:ascii="Times New Roman" w:hAnsi="Times New Roman" w:cs="Times New Roman"/>
          <w:sz w:val="20"/>
          <w:szCs w:val="20"/>
        </w:rPr>
        <w:t xml:space="preserve"> a valuable diagnostic tool in workout of hepatic lesions uncertain for malignancy rather than individual markers. Furthermore, we think that the diagnostic and therapeutic ramifications of our results await future investigations.</w:t>
      </w:r>
    </w:p>
    <w:p w:rsidR="00827AA9" w:rsidRPr="00903330" w:rsidRDefault="00827AA9" w:rsidP="00827AA9">
      <w:pPr>
        <w:snapToGrid w:val="0"/>
        <w:spacing w:after="0" w:line="240" w:lineRule="auto"/>
        <w:ind w:firstLine="425"/>
        <w:jc w:val="both"/>
        <w:rPr>
          <w:rFonts w:ascii="Times New Roman" w:hAnsi="Times New Roman" w:cs="Times New Roman"/>
          <w:sz w:val="20"/>
          <w:szCs w:val="20"/>
          <w:lang w:eastAsia="zh-CN"/>
        </w:rPr>
      </w:pPr>
    </w:p>
    <w:p w:rsidR="00933578" w:rsidRPr="00903330" w:rsidRDefault="00933578" w:rsidP="00827AA9">
      <w:pPr>
        <w:autoSpaceDE w:val="0"/>
        <w:autoSpaceDN w:val="0"/>
        <w:adjustRightInd w:val="0"/>
        <w:snapToGrid w:val="0"/>
        <w:spacing w:after="0" w:line="240" w:lineRule="auto"/>
        <w:jc w:val="both"/>
        <w:rPr>
          <w:rFonts w:ascii="Times New Roman" w:hAnsi="Times New Roman" w:cs="Times New Roman"/>
          <w:b/>
          <w:bCs/>
          <w:sz w:val="20"/>
          <w:szCs w:val="20"/>
          <w:lang w:val="en-GB"/>
        </w:rPr>
      </w:pPr>
      <w:r w:rsidRPr="00903330">
        <w:rPr>
          <w:rFonts w:ascii="Times New Roman" w:hAnsi="Times New Roman" w:cs="Times New Roman"/>
          <w:b/>
          <w:bCs/>
          <w:sz w:val="20"/>
          <w:szCs w:val="20"/>
          <w:lang w:val="en-GB"/>
        </w:rPr>
        <w:t>Acknowledgment:</w:t>
      </w:r>
    </w:p>
    <w:p w:rsidR="00933578" w:rsidRPr="00903330" w:rsidRDefault="00933578" w:rsidP="00827AA9">
      <w:pPr>
        <w:autoSpaceDE w:val="0"/>
        <w:autoSpaceDN w:val="0"/>
        <w:adjustRightInd w:val="0"/>
        <w:snapToGrid w:val="0"/>
        <w:spacing w:after="0" w:line="240" w:lineRule="auto"/>
        <w:ind w:firstLine="425"/>
        <w:jc w:val="both"/>
        <w:rPr>
          <w:rFonts w:ascii="Times New Roman" w:hAnsi="Times New Roman" w:cs="Times New Roman"/>
          <w:b/>
          <w:bCs/>
          <w:sz w:val="20"/>
          <w:szCs w:val="20"/>
          <w:lang w:val="en-GB"/>
        </w:rPr>
      </w:pPr>
      <w:r w:rsidRPr="00903330">
        <w:rPr>
          <w:rFonts w:ascii="Times New Roman" w:hAnsi="Times New Roman" w:cs="Times New Roman"/>
          <w:sz w:val="20"/>
          <w:szCs w:val="20"/>
        </w:rPr>
        <w:t>We wish to thank the department of pathology of faculty of medicine, Tanta university, for providing us with a large part of the cases from the archive of the department and making our work much easier.</w:t>
      </w:r>
    </w:p>
    <w:p w:rsidR="00933578" w:rsidRPr="00903330" w:rsidRDefault="00933578" w:rsidP="00827AA9">
      <w:pPr>
        <w:snapToGrid w:val="0"/>
        <w:spacing w:after="0" w:line="240" w:lineRule="auto"/>
        <w:ind w:firstLine="425"/>
        <w:jc w:val="both"/>
        <w:rPr>
          <w:rFonts w:ascii="Times New Roman" w:hAnsi="Times New Roman" w:cs="Times New Roman"/>
          <w:sz w:val="20"/>
          <w:szCs w:val="20"/>
          <w:lang w:val="en-GB"/>
        </w:rPr>
      </w:pPr>
    </w:p>
    <w:p w:rsidR="00933578" w:rsidRPr="00903330" w:rsidRDefault="00933578" w:rsidP="00827AA9">
      <w:pPr>
        <w:snapToGrid w:val="0"/>
        <w:spacing w:after="0" w:line="240" w:lineRule="auto"/>
        <w:jc w:val="both"/>
        <w:rPr>
          <w:rFonts w:ascii="Times New Roman" w:hAnsi="Times New Roman" w:cs="Times New Roman"/>
          <w:b/>
          <w:bCs/>
          <w:sz w:val="20"/>
          <w:szCs w:val="20"/>
        </w:rPr>
      </w:pPr>
      <w:r w:rsidRPr="00903330">
        <w:rPr>
          <w:rFonts w:ascii="Times New Roman" w:hAnsi="Times New Roman" w:cs="Times New Roman"/>
          <w:b/>
          <w:bCs/>
          <w:sz w:val="20"/>
          <w:szCs w:val="20"/>
        </w:rPr>
        <w:t>Conflicts of</w:t>
      </w:r>
      <w:r w:rsidR="003E717C" w:rsidRPr="00903330">
        <w:rPr>
          <w:rFonts w:ascii="Times New Roman" w:hAnsi="Times New Roman" w:cs="Times New Roman"/>
          <w:b/>
          <w:bCs/>
          <w:sz w:val="20"/>
          <w:szCs w:val="20"/>
        </w:rPr>
        <w:t xml:space="preserve"> </w:t>
      </w:r>
      <w:r w:rsidRPr="00903330">
        <w:rPr>
          <w:rFonts w:ascii="Times New Roman" w:hAnsi="Times New Roman" w:cs="Times New Roman"/>
          <w:b/>
          <w:bCs/>
          <w:sz w:val="20"/>
          <w:szCs w:val="20"/>
        </w:rPr>
        <w:t>interest</w:t>
      </w:r>
      <w:r w:rsidR="00903330" w:rsidRPr="00903330">
        <w:rPr>
          <w:rFonts w:ascii="Times New Roman" w:hAnsi="Times New Roman" w:cs="Times New Roman"/>
          <w:b/>
          <w:bCs/>
          <w:sz w:val="20"/>
          <w:szCs w:val="20"/>
        </w:rPr>
        <w:t>:</w:t>
      </w:r>
    </w:p>
    <w:p w:rsidR="00933578" w:rsidRPr="00903330" w:rsidRDefault="00933578" w:rsidP="00827AA9">
      <w:pPr>
        <w:autoSpaceDE w:val="0"/>
        <w:autoSpaceDN w:val="0"/>
        <w:adjustRightInd w:val="0"/>
        <w:snapToGrid w:val="0"/>
        <w:spacing w:after="0" w:line="240" w:lineRule="auto"/>
        <w:ind w:firstLine="425"/>
        <w:jc w:val="both"/>
        <w:rPr>
          <w:rFonts w:ascii="Times New Roman" w:hAnsi="Times New Roman" w:cs="Times New Roman"/>
          <w:sz w:val="20"/>
          <w:szCs w:val="20"/>
          <w:lang w:val="en-GB"/>
        </w:rPr>
      </w:pPr>
      <w:r w:rsidRPr="00903330">
        <w:rPr>
          <w:rFonts w:ascii="Times New Roman" w:hAnsi="Times New Roman" w:cs="Times New Roman"/>
          <w:sz w:val="20"/>
          <w:szCs w:val="20"/>
          <w:lang w:val="en-GB"/>
        </w:rPr>
        <w:t xml:space="preserve">Author </w:t>
      </w:r>
      <w:r w:rsidRPr="00903330">
        <w:rPr>
          <w:rFonts w:ascii="Times New Roman" w:hAnsi="Times New Roman" w:cs="Times New Roman"/>
          <w:i/>
          <w:iCs/>
          <w:sz w:val="20"/>
          <w:szCs w:val="20"/>
          <w:lang w:val="en-GB"/>
        </w:rPr>
        <w:t>Aliaa Atef</w:t>
      </w:r>
      <w:r w:rsidR="00F35E4D">
        <w:rPr>
          <w:rFonts w:ascii="Times New Roman" w:hAnsi="Times New Roman" w:cs="Times New Roman" w:hint="eastAsia"/>
          <w:i/>
          <w:iCs/>
          <w:sz w:val="20"/>
          <w:szCs w:val="20"/>
          <w:lang w:val="en-GB" w:eastAsia="zh-CN"/>
        </w:rPr>
        <w:t xml:space="preserve"> </w:t>
      </w:r>
      <w:r w:rsidRPr="00903330">
        <w:rPr>
          <w:rFonts w:ascii="Times New Roman" w:hAnsi="Times New Roman" w:cs="Times New Roman"/>
          <w:sz w:val="20"/>
          <w:szCs w:val="20"/>
          <w:lang w:val="en-GB"/>
        </w:rPr>
        <w:t xml:space="preserve">declares that she has no conflict of interest. Author </w:t>
      </w:r>
      <w:r w:rsidRPr="00903330">
        <w:rPr>
          <w:rFonts w:ascii="Times New Roman" w:hAnsi="Times New Roman" w:cs="Times New Roman"/>
          <w:i/>
          <w:iCs/>
          <w:sz w:val="20"/>
          <w:szCs w:val="20"/>
          <w:lang w:val="en-GB"/>
        </w:rPr>
        <w:t>Rania Elsayedwasfy</w:t>
      </w:r>
      <w:r w:rsidR="00F35E4D">
        <w:rPr>
          <w:rFonts w:ascii="Times New Roman" w:hAnsi="Times New Roman" w:cs="Times New Roman" w:hint="eastAsia"/>
          <w:i/>
          <w:iCs/>
          <w:sz w:val="20"/>
          <w:szCs w:val="20"/>
          <w:lang w:val="en-GB" w:eastAsia="zh-CN"/>
        </w:rPr>
        <w:t xml:space="preserve"> </w:t>
      </w:r>
      <w:r w:rsidRPr="00903330">
        <w:rPr>
          <w:rFonts w:ascii="Times New Roman" w:hAnsi="Times New Roman" w:cs="Times New Roman"/>
          <w:sz w:val="20"/>
          <w:szCs w:val="20"/>
          <w:lang w:val="en-GB"/>
        </w:rPr>
        <w:t xml:space="preserve">declares that she has no conflict of interest. </w:t>
      </w:r>
    </w:p>
    <w:p w:rsidR="005E7D01" w:rsidRPr="00903330" w:rsidRDefault="005E7D01" w:rsidP="00827AA9">
      <w:pPr>
        <w:snapToGrid w:val="0"/>
        <w:spacing w:after="0" w:line="240" w:lineRule="auto"/>
        <w:jc w:val="both"/>
        <w:rPr>
          <w:rFonts w:ascii="Times New Roman" w:hAnsi="Times New Roman" w:cs="Times New Roman"/>
          <w:b/>
          <w:sz w:val="20"/>
          <w:szCs w:val="20"/>
        </w:rPr>
      </w:pPr>
    </w:p>
    <w:p w:rsidR="005E7D01" w:rsidRPr="00903330" w:rsidRDefault="003F13ED" w:rsidP="00827AA9">
      <w:pPr>
        <w:snapToGrid w:val="0"/>
        <w:spacing w:after="0" w:line="240" w:lineRule="auto"/>
        <w:ind w:left="425" w:hanging="425"/>
        <w:jc w:val="both"/>
        <w:rPr>
          <w:rFonts w:ascii="Times New Roman" w:hAnsi="Times New Roman" w:cs="Times New Roman"/>
          <w:b/>
          <w:sz w:val="20"/>
          <w:szCs w:val="20"/>
        </w:rPr>
      </w:pPr>
      <w:r w:rsidRPr="00903330">
        <w:rPr>
          <w:rFonts w:ascii="Times New Roman" w:hAnsi="Times New Roman" w:cs="Times New Roman"/>
          <w:b/>
          <w:sz w:val="20"/>
          <w:szCs w:val="20"/>
        </w:rPr>
        <w:t>References:</w:t>
      </w:r>
    </w:p>
    <w:p w:rsidR="005E7D01" w:rsidRPr="00827AA9" w:rsidRDefault="003F13ED" w:rsidP="00827AA9">
      <w:pPr>
        <w:pStyle w:val="ListParagraph"/>
        <w:numPr>
          <w:ilvl w:val="0"/>
          <w:numId w:val="1"/>
        </w:numPr>
        <w:snapToGrid w:val="0"/>
        <w:spacing w:after="0" w:line="240" w:lineRule="auto"/>
        <w:ind w:left="425" w:hanging="425"/>
        <w:jc w:val="both"/>
        <w:rPr>
          <w:rFonts w:ascii="Times New Roman" w:hAnsi="Times New Roman" w:cs="Times New Roman"/>
          <w:sz w:val="20"/>
          <w:szCs w:val="20"/>
        </w:rPr>
      </w:pPr>
      <w:r w:rsidRPr="00827AA9">
        <w:rPr>
          <w:rFonts w:ascii="Times New Roman" w:hAnsi="Times New Roman" w:cs="Times New Roman"/>
          <w:sz w:val="20"/>
          <w:szCs w:val="20"/>
        </w:rPr>
        <w:t>Anatelli</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F,</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Chuang</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S,</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Yang</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X</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et</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al.</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(2008).</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Value</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of</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Glypican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3</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Immunostaining</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in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the</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Diagnosis</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of</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Hepatocellular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Carcinoma</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on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Needle</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Biopsy</w:t>
      </w:r>
      <w:r w:rsidR="00827AA9" w:rsidRPr="00827AA9">
        <w:rPr>
          <w:rFonts w:ascii="Times New Roman" w:hAnsi="Times New Roman" w:cs="Times New Roman"/>
          <w:sz w:val="20"/>
          <w:szCs w:val="20"/>
        </w:rPr>
        <w:t>.</w:t>
      </w:r>
      <w:r w:rsidR="00827AA9">
        <w:rPr>
          <w:rFonts w:ascii="Times New Roman" w:hAnsi="Times New Roman" w:cs="Times New Roman"/>
          <w:sz w:val="20"/>
          <w:szCs w:val="20"/>
        </w:rPr>
        <w:t xml:space="preserve"> </w:t>
      </w:r>
      <w:r w:rsidR="00827AA9" w:rsidRPr="00827AA9">
        <w:rPr>
          <w:rFonts w:ascii="Times New Roman" w:hAnsi="Times New Roman" w:cs="Times New Roman"/>
          <w:sz w:val="20"/>
          <w:szCs w:val="20"/>
        </w:rPr>
        <w:t>A</w:t>
      </w:r>
      <w:r w:rsidRPr="00827AA9">
        <w:rPr>
          <w:rFonts w:ascii="Times New Roman" w:hAnsi="Times New Roman" w:cs="Times New Roman"/>
          <w:sz w:val="20"/>
          <w:szCs w:val="20"/>
        </w:rPr>
        <w:t>m</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J</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ClinPathol,</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130,</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219-223.</w:t>
      </w:r>
    </w:p>
    <w:p w:rsidR="005E7D01" w:rsidRPr="00827AA9" w:rsidRDefault="003F13ED" w:rsidP="00827AA9">
      <w:pPr>
        <w:pStyle w:val="ListParagraph"/>
        <w:numPr>
          <w:ilvl w:val="0"/>
          <w:numId w:val="1"/>
        </w:numPr>
        <w:snapToGrid w:val="0"/>
        <w:spacing w:after="0" w:line="240" w:lineRule="auto"/>
        <w:ind w:left="425" w:hanging="425"/>
        <w:jc w:val="both"/>
        <w:rPr>
          <w:rFonts w:ascii="Times New Roman" w:hAnsi="Times New Roman" w:cs="Times New Roman"/>
          <w:sz w:val="20"/>
          <w:szCs w:val="20"/>
        </w:rPr>
      </w:pPr>
      <w:r w:rsidRPr="00827AA9">
        <w:rPr>
          <w:rFonts w:ascii="Times New Roman" w:hAnsi="Times New Roman" w:cs="Times New Roman"/>
          <w:sz w:val="20"/>
          <w:szCs w:val="20"/>
        </w:rPr>
        <w:t>Blixt</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M</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and</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Royle</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S</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(2011)</w:t>
      </w:r>
      <w:r w:rsidR="00827AA9" w:rsidRPr="00827AA9">
        <w:rPr>
          <w:rFonts w:ascii="Times New Roman" w:hAnsi="Times New Roman" w:cs="Times New Roman"/>
          <w:sz w:val="20"/>
          <w:szCs w:val="20"/>
        </w:rPr>
        <w:t>.</w:t>
      </w:r>
      <w:r w:rsidR="00827AA9">
        <w:rPr>
          <w:rFonts w:ascii="Times New Roman" w:hAnsi="Times New Roman" w:cs="Times New Roman"/>
          <w:sz w:val="20"/>
          <w:szCs w:val="20"/>
        </w:rPr>
        <w:t xml:space="preserve"> </w:t>
      </w:r>
      <w:r w:rsidR="00827AA9" w:rsidRPr="00827AA9">
        <w:rPr>
          <w:rFonts w:ascii="Times New Roman" w:hAnsi="Times New Roman" w:cs="Times New Roman"/>
          <w:sz w:val="20"/>
          <w:szCs w:val="20"/>
        </w:rPr>
        <w:t>C</w:t>
      </w:r>
      <w:r w:rsidRPr="00827AA9">
        <w:rPr>
          <w:rFonts w:ascii="Times New Roman" w:hAnsi="Times New Roman" w:cs="Times New Roman"/>
          <w:sz w:val="20"/>
          <w:szCs w:val="20"/>
        </w:rPr>
        <w:t>lathrin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heavy</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chain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gene</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fusions</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expressed</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in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human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cancers:</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analysis</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of</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cellular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functions,</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12(6),</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754-61.</w:t>
      </w:r>
      <w:r w:rsidR="00903330" w:rsidRPr="00827AA9">
        <w:rPr>
          <w:rFonts w:ascii="Times New Roman" w:hAnsi="Times New Roman" w:cs="Times New Roman"/>
          <w:sz w:val="20"/>
          <w:szCs w:val="20"/>
        </w:rPr>
        <w:t xml:space="preserve"> </w:t>
      </w:r>
    </w:p>
    <w:p w:rsidR="005E7D01" w:rsidRPr="00827AA9" w:rsidRDefault="003F13ED" w:rsidP="00827AA9">
      <w:pPr>
        <w:pStyle w:val="ListParagraph"/>
        <w:numPr>
          <w:ilvl w:val="0"/>
          <w:numId w:val="1"/>
        </w:numPr>
        <w:snapToGrid w:val="0"/>
        <w:spacing w:after="0" w:line="240" w:lineRule="auto"/>
        <w:ind w:left="425" w:hanging="425"/>
        <w:jc w:val="both"/>
        <w:rPr>
          <w:rFonts w:ascii="Times New Roman" w:hAnsi="Times New Roman" w:cs="Times New Roman"/>
          <w:sz w:val="20"/>
          <w:szCs w:val="20"/>
        </w:rPr>
      </w:pPr>
      <w:r w:rsidRPr="00827AA9">
        <w:rPr>
          <w:rFonts w:ascii="Times New Roman" w:hAnsi="Times New Roman" w:cs="Times New Roman"/>
          <w:sz w:val="20"/>
          <w:szCs w:val="20"/>
        </w:rPr>
        <w:t>Chen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D,</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Sun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Y,</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Wei</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Y</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et</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al.</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(2012).</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LIFR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is</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a</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breast</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cancer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metastasis</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suppressor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upstream</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of</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the</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Hippo-YAP</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pathway</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and</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a</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prognostic</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marker.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Nat</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Med</w:t>
      </w:r>
      <w:r w:rsidR="00903330" w:rsidRPr="00827AA9">
        <w:rPr>
          <w:rFonts w:ascii="Times New Roman" w:hAnsi="Times New Roman" w:cs="Times New Roman"/>
          <w:sz w:val="20"/>
          <w:szCs w:val="20"/>
        </w:rPr>
        <w:t>,</w:t>
      </w:r>
      <w:r w:rsidRPr="00827AA9">
        <w:rPr>
          <w:rFonts w:ascii="Times New Roman" w:hAnsi="Times New Roman" w:cs="Times New Roman"/>
          <w:sz w:val="20"/>
          <w:szCs w:val="20"/>
        </w:rPr>
        <w:t>18,</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1511–1517.</w:t>
      </w:r>
      <w:r w:rsidR="00903330" w:rsidRPr="00827AA9">
        <w:rPr>
          <w:rFonts w:ascii="Times New Roman" w:hAnsi="Times New Roman" w:cs="Times New Roman"/>
          <w:sz w:val="20"/>
          <w:szCs w:val="20"/>
        </w:rPr>
        <w:t xml:space="preserve"> </w:t>
      </w:r>
    </w:p>
    <w:p w:rsidR="005E7D01" w:rsidRPr="00827AA9" w:rsidRDefault="003F13ED" w:rsidP="00827AA9">
      <w:pPr>
        <w:pStyle w:val="Heading1"/>
        <w:numPr>
          <w:ilvl w:val="0"/>
          <w:numId w:val="1"/>
        </w:numPr>
        <w:shd w:val="clear" w:color="auto" w:fill="FFFFFF"/>
        <w:snapToGrid w:val="0"/>
        <w:spacing w:before="0" w:after="0"/>
        <w:ind w:left="425" w:hanging="425"/>
        <w:jc w:val="both"/>
        <w:rPr>
          <w:rFonts w:ascii="Times New Roman" w:hAnsi="Times New Roman"/>
          <w:kern w:val="0"/>
          <w:sz w:val="20"/>
          <w:szCs w:val="20"/>
        </w:rPr>
      </w:pPr>
      <w:r w:rsidRPr="00827AA9">
        <w:rPr>
          <w:rFonts w:ascii="Times New Roman" w:hAnsi="Times New Roman"/>
          <w:kern w:val="0"/>
          <w:sz w:val="20"/>
          <w:szCs w:val="20"/>
        </w:rPr>
        <w:t>Di</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Tommaso</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L,</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Destro</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A,</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Fabbris</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V</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et</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al.</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(2011).</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Diagnostic</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accuracy</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of</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clathrin</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heavy</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chain</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staining</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in</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a</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marker</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panel</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for</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the</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diagnosis</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of</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small</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hepatocellular</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carcinoma</w:t>
      </w:r>
      <w:r w:rsidR="00827AA9" w:rsidRPr="00827AA9">
        <w:rPr>
          <w:rFonts w:ascii="Times New Roman" w:hAnsi="Times New Roman"/>
          <w:kern w:val="0"/>
          <w:sz w:val="20"/>
          <w:szCs w:val="20"/>
        </w:rPr>
        <w:t>.</w:t>
      </w:r>
      <w:r w:rsidR="00827AA9">
        <w:rPr>
          <w:rFonts w:ascii="Times New Roman" w:hAnsi="Times New Roman"/>
          <w:kern w:val="0"/>
          <w:sz w:val="20"/>
          <w:szCs w:val="20"/>
        </w:rPr>
        <w:t xml:space="preserve"> </w:t>
      </w:r>
      <w:r w:rsidR="00827AA9" w:rsidRPr="00827AA9">
        <w:rPr>
          <w:rFonts w:ascii="Times New Roman" w:hAnsi="Times New Roman"/>
          <w:kern w:val="0"/>
          <w:sz w:val="20"/>
          <w:szCs w:val="20"/>
        </w:rPr>
        <w:t>H</w:t>
      </w:r>
      <w:r w:rsidRPr="00827AA9">
        <w:rPr>
          <w:rFonts w:ascii="Times New Roman" w:hAnsi="Times New Roman"/>
          <w:kern w:val="0"/>
          <w:sz w:val="20"/>
          <w:szCs w:val="20"/>
        </w:rPr>
        <w:t>epatology,</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53(5),</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1549-57.</w:t>
      </w:r>
    </w:p>
    <w:p w:rsidR="005E7D01" w:rsidRPr="00827AA9" w:rsidRDefault="003F13ED" w:rsidP="00827AA9">
      <w:pPr>
        <w:pStyle w:val="ListParagraph"/>
        <w:numPr>
          <w:ilvl w:val="0"/>
          <w:numId w:val="1"/>
        </w:numPr>
        <w:snapToGrid w:val="0"/>
        <w:spacing w:after="0" w:line="240" w:lineRule="auto"/>
        <w:ind w:left="425" w:hanging="425"/>
        <w:jc w:val="both"/>
        <w:rPr>
          <w:rFonts w:ascii="Times New Roman" w:hAnsi="Times New Roman" w:cs="Times New Roman"/>
          <w:sz w:val="20"/>
          <w:szCs w:val="20"/>
        </w:rPr>
      </w:pPr>
      <w:r w:rsidRPr="00827AA9">
        <w:rPr>
          <w:rFonts w:ascii="Times New Roman" w:hAnsi="Times New Roman" w:cs="Times New Roman"/>
          <w:sz w:val="20"/>
          <w:szCs w:val="20"/>
        </w:rPr>
        <w:t>Fanni</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D,</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Gerosa</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and</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Faa</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G</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(2012).</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The</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Histomorphological</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and</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Immunohistochemical</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Diagnosis</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of</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Hepatocellular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Carcinoma,</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Hepatocellular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Carcinoma</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Clinical</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Research,</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65-88.</w:t>
      </w:r>
    </w:p>
    <w:p w:rsidR="005E7D01" w:rsidRPr="00827AA9" w:rsidRDefault="003F13ED" w:rsidP="00827AA9">
      <w:pPr>
        <w:pStyle w:val="Heading1"/>
        <w:numPr>
          <w:ilvl w:val="0"/>
          <w:numId w:val="1"/>
        </w:numPr>
        <w:shd w:val="clear" w:color="auto" w:fill="FFFFFF"/>
        <w:snapToGrid w:val="0"/>
        <w:spacing w:before="0" w:after="0"/>
        <w:ind w:left="425" w:hanging="425"/>
        <w:jc w:val="both"/>
        <w:rPr>
          <w:rFonts w:ascii="Times New Roman" w:hAnsi="Times New Roman"/>
          <w:kern w:val="0"/>
          <w:sz w:val="20"/>
          <w:szCs w:val="20"/>
        </w:rPr>
      </w:pPr>
      <w:r w:rsidRPr="00827AA9">
        <w:rPr>
          <w:rFonts w:ascii="Times New Roman" w:hAnsi="Times New Roman"/>
          <w:kern w:val="0"/>
          <w:sz w:val="20"/>
          <w:szCs w:val="20"/>
        </w:rPr>
        <w:t>Fitzgerald</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J,</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Tsareva</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S,</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Poehlmann</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T</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et</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al.</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(2005).</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Leukemia</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inhibitory</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factor</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triggers</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lastRenderedPageBreak/>
        <w:t>activation</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of</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signal</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transducer</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and</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activator</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of</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transcription</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3,</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proliferation,</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invasiveness,</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and</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altered</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protease</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expression</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in</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choriocarcinoma</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cells.</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Int</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J</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Biochem</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Cell</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Biol,</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37(11),</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2284-96.</w:t>
      </w:r>
    </w:p>
    <w:p w:rsidR="005E7D01" w:rsidRPr="00827AA9" w:rsidRDefault="003F13ED" w:rsidP="00827AA9">
      <w:pPr>
        <w:pStyle w:val="Heading1"/>
        <w:numPr>
          <w:ilvl w:val="0"/>
          <w:numId w:val="1"/>
        </w:numPr>
        <w:snapToGrid w:val="0"/>
        <w:spacing w:before="0" w:after="0"/>
        <w:ind w:left="425" w:hanging="425"/>
        <w:jc w:val="both"/>
        <w:rPr>
          <w:rFonts w:ascii="Times New Roman" w:hAnsi="Times New Roman"/>
          <w:kern w:val="0"/>
          <w:sz w:val="20"/>
          <w:szCs w:val="20"/>
        </w:rPr>
      </w:pPr>
      <w:r w:rsidRPr="00827AA9">
        <w:rPr>
          <w:rFonts w:ascii="Times New Roman" w:hAnsi="Times New Roman"/>
          <w:kern w:val="0"/>
          <w:sz w:val="20"/>
          <w:szCs w:val="20"/>
        </w:rPr>
        <w:t>Gamal</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Y,</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Ahmed</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A,</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Hassan</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H</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et</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al.</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(2017).</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Glypican-3,</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heat</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shock</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protein-70,</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and</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clathrin</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heavy</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chain</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in</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hepatitis</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C</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virus-related</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hepatocellular</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carcinoma.</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Egyptian</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Journal</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of</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Pathology,37(2)</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236–243.</w:t>
      </w:r>
    </w:p>
    <w:p w:rsidR="005E7D01" w:rsidRPr="00827AA9" w:rsidRDefault="003F13ED" w:rsidP="00827AA9">
      <w:pPr>
        <w:pStyle w:val="ListParagraph"/>
        <w:numPr>
          <w:ilvl w:val="0"/>
          <w:numId w:val="1"/>
        </w:numPr>
        <w:snapToGrid w:val="0"/>
        <w:spacing w:after="0" w:line="240" w:lineRule="auto"/>
        <w:ind w:left="425" w:hanging="425"/>
        <w:jc w:val="both"/>
        <w:rPr>
          <w:rFonts w:ascii="Times New Roman" w:hAnsi="Times New Roman" w:cs="Times New Roman"/>
          <w:sz w:val="20"/>
          <w:szCs w:val="20"/>
        </w:rPr>
      </w:pPr>
      <w:r w:rsidRPr="00827AA9">
        <w:rPr>
          <w:rFonts w:ascii="Times New Roman" w:hAnsi="Times New Roman" w:cs="Times New Roman"/>
          <w:sz w:val="20"/>
          <w:szCs w:val="20"/>
        </w:rPr>
        <w:t>Hergovich</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A</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(2012).</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YAP-Hippo</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signalling</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downstream</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of</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leukemia</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inhibitory</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factor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receptor: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implications</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for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breast</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cancer.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Breast</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Cancer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Research,</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14,</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326.</w:t>
      </w:r>
    </w:p>
    <w:p w:rsidR="005E7D01" w:rsidRPr="00827AA9" w:rsidRDefault="003F13ED" w:rsidP="00827AA9">
      <w:pPr>
        <w:pStyle w:val="ListParagraph"/>
        <w:numPr>
          <w:ilvl w:val="0"/>
          <w:numId w:val="1"/>
        </w:numPr>
        <w:snapToGrid w:val="0"/>
        <w:spacing w:after="0" w:line="240" w:lineRule="auto"/>
        <w:ind w:left="425" w:hanging="425"/>
        <w:jc w:val="both"/>
        <w:rPr>
          <w:rFonts w:ascii="Times New Roman" w:hAnsi="Times New Roman" w:cs="Times New Roman"/>
          <w:sz w:val="20"/>
          <w:szCs w:val="20"/>
        </w:rPr>
      </w:pPr>
      <w:r w:rsidRPr="00827AA9">
        <w:rPr>
          <w:rFonts w:ascii="Times New Roman" w:hAnsi="Times New Roman" w:cs="Times New Roman"/>
          <w:sz w:val="20"/>
          <w:szCs w:val="20"/>
        </w:rPr>
        <w:t>Jin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G,</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Dong</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H,</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Yu</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W</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bet</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al.</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(2013).</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A</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novel</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panel</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of</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biomarkers</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in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distinction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of</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small</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well-differentiated</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HCC</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from</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dysplastic</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nodules</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and</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outcome</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values</w:t>
      </w:r>
      <w:r w:rsidR="00827AA9" w:rsidRPr="00827AA9">
        <w:rPr>
          <w:rFonts w:ascii="Times New Roman" w:hAnsi="Times New Roman" w:cs="Times New Roman"/>
          <w:sz w:val="20"/>
          <w:szCs w:val="20"/>
        </w:rPr>
        <w:t>.</w:t>
      </w:r>
      <w:r w:rsidR="00827AA9">
        <w:rPr>
          <w:rFonts w:ascii="Times New Roman" w:hAnsi="Times New Roman" w:cs="Times New Roman"/>
          <w:sz w:val="20"/>
          <w:szCs w:val="20"/>
        </w:rPr>
        <w:t xml:space="preserve"> </w:t>
      </w:r>
      <w:r w:rsidR="00827AA9" w:rsidRPr="00827AA9">
        <w:rPr>
          <w:rFonts w:ascii="Times New Roman" w:hAnsi="Times New Roman" w:cs="Times New Roman"/>
          <w:sz w:val="20"/>
          <w:szCs w:val="20"/>
        </w:rPr>
        <w:t>B</w:t>
      </w:r>
      <w:r w:rsidRPr="00827AA9">
        <w:rPr>
          <w:rFonts w:ascii="Times New Roman" w:hAnsi="Times New Roman" w:cs="Times New Roman"/>
          <w:sz w:val="20"/>
          <w:szCs w:val="20"/>
        </w:rPr>
        <w:t>MC</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Cancer,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13,</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161.</w:t>
      </w:r>
    </w:p>
    <w:p w:rsidR="00827AA9" w:rsidRDefault="003F13ED" w:rsidP="00827AA9">
      <w:pPr>
        <w:pStyle w:val="Heading1"/>
        <w:numPr>
          <w:ilvl w:val="0"/>
          <w:numId w:val="1"/>
        </w:numPr>
        <w:shd w:val="clear" w:color="auto" w:fill="FFFFFF"/>
        <w:snapToGrid w:val="0"/>
        <w:spacing w:before="0" w:after="0"/>
        <w:ind w:left="425" w:hanging="425"/>
        <w:jc w:val="both"/>
        <w:rPr>
          <w:rFonts w:ascii="Times New Roman" w:hAnsi="Times New Roman"/>
          <w:kern w:val="0"/>
          <w:sz w:val="20"/>
          <w:szCs w:val="20"/>
        </w:rPr>
      </w:pPr>
      <w:r w:rsidRPr="00827AA9">
        <w:rPr>
          <w:rFonts w:ascii="Times New Roman" w:hAnsi="Times New Roman"/>
          <w:kern w:val="0"/>
          <w:sz w:val="20"/>
          <w:szCs w:val="20"/>
        </w:rPr>
        <w:t>Liu</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S</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and</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Chang</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Y</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(2014)</w:t>
      </w:r>
      <w:r w:rsidR="00827AA9" w:rsidRPr="00827AA9">
        <w:rPr>
          <w:rFonts w:ascii="Times New Roman" w:hAnsi="Times New Roman"/>
          <w:kern w:val="0"/>
          <w:sz w:val="20"/>
          <w:szCs w:val="20"/>
        </w:rPr>
        <w:t>.</w:t>
      </w:r>
      <w:r w:rsidR="00827AA9">
        <w:rPr>
          <w:rFonts w:ascii="Times New Roman" w:hAnsi="Times New Roman"/>
          <w:kern w:val="0"/>
          <w:sz w:val="20"/>
          <w:szCs w:val="20"/>
        </w:rPr>
        <w:t xml:space="preserve"> </w:t>
      </w:r>
      <w:r w:rsidR="00827AA9" w:rsidRPr="00827AA9">
        <w:rPr>
          <w:rFonts w:ascii="Times New Roman" w:hAnsi="Times New Roman"/>
          <w:kern w:val="0"/>
          <w:sz w:val="20"/>
          <w:szCs w:val="20"/>
        </w:rPr>
        <w:t>R</w:t>
      </w:r>
      <w:r w:rsidRPr="00827AA9">
        <w:rPr>
          <w:rFonts w:ascii="Times New Roman" w:hAnsi="Times New Roman"/>
          <w:kern w:val="0"/>
          <w:sz w:val="20"/>
          <w:szCs w:val="20"/>
        </w:rPr>
        <w:t>ole</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of</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leukemia</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inhibitory</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factor</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in</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nasopharyngeal</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carcinogenesis</w:t>
      </w:r>
      <w:r w:rsidR="00827AA9" w:rsidRPr="00827AA9">
        <w:rPr>
          <w:rFonts w:ascii="Times New Roman" w:hAnsi="Times New Roman"/>
          <w:kern w:val="0"/>
          <w:sz w:val="20"/>
          <w:szCs w:val="20"/>
        </w:rPr>
        <w:t>.</w:t>
      </w:r>
      <w:r w:rsidR="00827AA9">
        <w:rPr>
          <w:rFonts w:ascii="Times New Roman" w:hAnsi="Times New Roman"/>
          <w:kern w:val="0"/>
          <w:sz w:val="20"/>
          <w:szCs w:val="20"/>
        </w:rPr>
        <w:t xml:space="preserve"> </w:t>
      </w:r>
      <w:r w:rsidR="00827AA9" w:rsidRPr="00827AA9">
        <w:rPr>
          <w:rFonts w:ascii="Times New Roman" w:hAnsi="Times New Roman"/>
          <w:kern w:val="0"/>
          <w:sz w:val="20"/>
          <w:szCs w:val="20"/>
        </w:rPr>
        <w:t>M</w:t>
      </w:r>
      <w:r w:rsidRPr="00827AA9">
        <w:rPr>
          <w:rFonts w:ascii="Times New Roman" w:hAnsi="Times New Roman"/>
          <w:kern w:val="0"/>
          <w:sz w:val="20"/>
          <w:szCs w:val="20"/>
        </w:rPr>
        <w:t>ol</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Cell</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Oncol,</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1(1),</w:t>
      </w:r>
      <w:r w:rsidR="00903330" w:rsidRPr="00827AA9">
        <w:rPr>
          <w:rFonts w:ascii="Times New Roman" w:hAnsi="Times New Roman"/>
          <w:kern w:val="0"/>
          <w:sz w:val="20"/>
          <w:szCs w:val="20"/>
        </w:rPr>
        <w:t xml:space="preserve"> </w:t>
      </w:r>
      <w:r w:rsidRPr="00827AA9">
        <w:rPr>
          <w:rFonts w:ascii="Times New Roman" w:hAnsi="Times New Roman"/>
          <w:kern w:val="0"/>
          <w:sz w:val="20"/>
          <w:szCs w:val="20"/>
        </w:rPr>
        <w:t>e2990</w:t>
      </w:r>
      <w:r w:rsidR="00827AA9" w:rsidRPr="00827AA9">
        <w:rPr>
          <w:rFonts w:ascii="Times New Roman" w:hAnsi="Times New Roman"/>
          <w:kern w:val="0"/>
          <w:sz w:val="20"/>
          <w:szCs w:val="20"/>
        </w:rPr>
        <w:t>0</w:t>
      </w:r>
      <w:r w:rsidR="00827AA9">
        <w:rPr>
          <w:rFonts w:ascii="Times New Roman" w:hAnsi="Times New Roman"/>
          <w:kern w:val="0"/>
          <w:sz w:val="20"/>
          <w:szCs w:val="20"/>
        </w:rPr>
        <w:t>.</w:t>
      </w:r>
    </w:p>
    <w:p w:rsidR="005E7D01" w:rsidRPr="00827AA9" w:rsidRDefault="003F13ED" w:rsidP="00827AA9">
      <w:pPr>
        <w:pStyle w:val="ListParagraph"/>
        <w:numPr>
          <w:ilvl w:val="0"/>
          <w:numId w:val="1"/>
        </w:numPr>
        <w:snapToGrid w:val="0"/>
        <w:spacing w:after="0" w:line="240" w:lineRule="auto"/>
        <w:ind w:left="425" w:hanging="425"/>
        <w:jc w:val="both"/>
        <w:rPr>
          <w:rFonts w:ascii="Times New Roman" w:hAnsi="Times New Roman" w:cs="Times New Roman"/>
          <w:sz w:val="20"/>
          <w:szCs w:val="20"/>
        </w:rPr>
      </w:pPr>
      <w:r w:rsidRPr="00827AA9">
        <w:rPr>
          <w:rFonts w:ascii="Times New Roman" w:hAnsi="Times New Roman" w:cs="Times New Roman"/>
          <w:sz w:val="20"/>
          <w:szCs w:val="20"/>
        </w:rPr>
        <w:t>Lu</w:t>
      </w:r>
      <w:r w:rsidR="00827AA9" w:rsidRPr="00827AA9">
        <w:rPr>
          <w:rFonts w:ascii="Times New Roman" w:hAnsi="Times New Roman" w:cs="Times New Roman"/>
          <w:sz w:val="20"/>
          <w:szCs w:val="20"/>
        </w:rPr>
        <w:t>o</w:t>
      </w:r>
      <w:r w:rsidR="00827AA9">
        <w:rPr>
          <w:rFonts w:ascii="Times New Roman" w:hAnsi="Times New Roman" w:cs="Times New Roman"/>
          <w:sz w:val="20"/>
          <w:szCs w:val="20"/>
        </w:rPr>
        <w:t xml:space="preserve"> </w:t>
      </w:r>
      <w:r w:rsidR="00827AA9" w:rsidRPr="00827AA9">
        <w:rPr>
          <w:rFonts w:ascii="Times New Roman" w:hAnsi="Times New Roman" w:cs="Times New Roman"/>
          <w:sz w:val="20"/>
          <w:szCs w:val="20"/>
        </w:rPr>
        <w:t>Q</w:t>
      </w:r>
      <w:r w:rsidRPr="00827AA9">
        <w:rPr>
          <w:rFonts w:ascii="Times New Roman" w:hAnsi="Times New Roman" w:cs="Times New Roman"/>
          <w:sz w:val="20"/>
          <w:szCs w:val="20"/>
        </w:rPr>
        <w:t>,</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Zhang</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Y,</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Wan</w:t>
      </w:r>
      <w:r w:rsidR="00827AA9" w:rsidRPr="00827AA9">
        <w:rPr>
          <w:rFonts w:ascii="Times New Roman" w:hAnsi="Times New Roman" w:cs="Times New Roman"/>
          <w:sz w:val="20"/>
          <w:szCs w:val="20"/>
        </w:rPr>
        <w:t>g</w:t>
      </w:r>
      <w:r w:rsidR="00827AA9">
        <w:rPr>
          <w:rFonts w:ascii="Times New Roman" w:hAnsi="Times New Roman" w:cs="Times New Roman"/>
          <w:sz w:val="20"/>
          <w:szCs w:val="20"/>
        </w:rPr>
        <w:t xml:space="preserve"> </w:t>
      </w:r>
      <w:r w:rsidR="00827AA9" w:rsidRPr="00827AA9">
        <w:rPr>
          <w:rFonts w:ascii="Times New Roman" w:hAnsi="Times New Roman" w:cs="Times New Roman"/>
          <w:sz w:val="20"/>
          <w:szCs w:val="20"/>
        </w:rPr>
        <w:t>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et</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al.</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(2015).</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Leukemia</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inhibitory</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factor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receptor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is</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a</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novel</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immunomarker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in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distinction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of</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well-differentiated</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HCC</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from</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dysplastic</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nodules</w:t>
      </w:r>
      <w:r w:rsidR="00827AA9" w:rsidRPr="00827AA9">
        <w:rPr>
          <w:rFonts w:ascii="Times New Roman" w:hAnsi="Times New Roman" w:cs="Times New Roman"/>
          <w:sz w:val="20"/>
          <w:szCs w:val="20"/>
        </w:rPr>
        <w:t>.</w:t>
      </w:r>
      <w:r w:rsidR="00827AA9">
        <w:rPr>
          <w:rFonts w:ascii="Times New Roman" w:hAnsi="Times New Roman" w:cs="Times New Roman"/>
          <w:sz w:val="20"/>
          <w:szCs w:val="20"/>
        </w:rPr>
        <w:t xml:space="preserve"> </w:t>
      </w:r>
      <w:r w:rsidR="00827AA9" w:rsidRPr="00827AA9">
        <w:rPr>
          <w:rFonts w:ascii="Times New Roman" w:hAnsi="Times New Roman" w:cs="Times New Roman"/>
          <w:sz w:val="20"/>
          <w:szCs w:val="20"/>
        </w:rPr>
        <w:t>O</w:t>
      </w:r>
      <w:r w:rsidRPr="00827AA9">
        <w:rPr>
          <w:rFonts w:ascii="Times New Roman" w:hAnsi="Times New Roman" w:cs="Times New Roman"/>
          <w:sz w:val="20"/>
          <w:szCs w:val="20"/>
        </w:rPr>
        <w:t>ncotarget,</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6(9),</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6989-6999.</w:t>
      </w:r>
    </w:p>
    <w:p w:rsidR="005E7D01" w:rsidRPr="00827AA9" w:rsidRDefault="003F13ED" w:rsidP="00827AA9">
      <w:pPr>
        <w:pStyle w:val="ListParagraph"/>
        <w:numPr>
          <w:ilvl w:val="0"/>
          <w:numId w:val="1"/>
        </w:numPr>
        <w:shd w:val="clear" w:color="auto" w:fill="FFFFFF"/>
        <w:snapToGrid w:val="0"/>
        <w:spacing w:after="0" w:line="240" w:lineRule="auto"/>
        <w:ind w:left="425" w:hanging="425"/>
        <w:jc w:val="both"/>
        <w:rPr>
          <w:rFonts w:ascii="Times New Roman" w:hAnsi="Times New Roman" w:cs="Times New Roman"/>
          <w:sz w:val="20"/>
          <w:szCs w:val="20"/>
        </w:rPr>
      </w:pPr>
      <w:r w:rsidRPr="00827AA9">
        <w:rPr>
          <w:rFonts w:ascii="Times New Roman" w:hAnsi="Times New Roman" w:cs="Times New Roman"/>
          <w:sz w:val="20"/>
          <w:szCs w:val="20"/>
        </w:rPr>
        <w:t>Luo</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Q,</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Wang</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Jin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G,</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et</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al.</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(2015).</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LIFR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functions</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as</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a</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metastasis</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suppressor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in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hepatocellular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carcinoma</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by</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negatively</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regulating</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phosphoinositide</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3-kinase/AKT</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pathway.</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Carcinogenesis,</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36(10),</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1201-12.</w:t>
      </w:r>
      <w:r w:rsidR="00903330" w:rsidRPr="00827AA9">
        <w:rPr>
          <w:rFonts w:ascii="Times New Roman" w:hAnsi="Times New Roman" w:cs="Times New Roman"/>
          <w:sz w:val="20"/>
          <w:szCs w:val="20"/>
        </w:rPr>
        <w:t xml:space="preserve"> </w:t>
      </w:r>
    </w:p>
    <w:p w:rsidR="00827AA9" w:rsidRDefault="003F13ED" w:rsidP="00827AA9">
      <w:pPr>
        <w:pStyle w:val="ListParagraph"/>
        <w:numPr>
          <w:ilvl w:val="0"/>
          <w:numId w:val="1"/>
        </w:numPr>
        <w:snapToGrid w:val="0"/>
        <w:spacing w:after="0" w:line="240" w:lineRule="auto"/>
        <w:ind w:left="425" w:hanging="425"/>
        <w:jc w:val="both"/>
        <w:rPr>
          <w:rFonts w:ascii="Times New Roman" w:hAnsi="Times New Roman" w:cs="Times New Roman"/>
          <w:sz w:val="20"/>
          <w:szCs w:val="20"/>
        </w:rPr>
      </w:pPr>
      <w:r w:rsidRPr="00827AA9">
        <w:rPr>
          <w:rFonts w:ascii="Times New Roman" w:hAnsi="Times New Roman" w:cs="Times New Roman"/>
          <w:sz w:val="20"/>
          <w:szCs w:val="20"/>
        </w:rPr>
        <w:t>Mohan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H</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(2010).</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Text</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book</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of</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pathology:</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The</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Liver,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Biliary</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Tract</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and</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Exocrine</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Pancreas.</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CH.</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lastRenderedPageBreak/>
        <w:t>21,</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6</w:t>
      </w:r>
      <w:r w:rsidRPr="00827AA9">
        <w:rPr>
          <w:rFonts w:ascii="Times New Roman" w:hAnsi="Times New Roman" w:cs="Times New Roman"/>
          <w:sz w:val="20"/>
          <w:szCs w:val="20"/>
          <w:vertAlign w:val="superscript"/>
        </w:rPr>
        <w:t>th</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Ed.</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Pub.</w:t>
      </w:r>
      <w:r w:rsidR="00903330" w:rsidRPr="00827AA9">
        <w:rPr>
          <w:rFonts w:ascii="Times New Roman" w:hAnsi="Times New Roman" w:cs="Times New Roman"/>
          <w:sz w:val="20"/>
          <w:szCs w:val="20"/>
        </w:rPr>
        <w:t xml:space="preserve"> </w:t>
      </w:r>
      <w:r w:rsidR="003E717C" w:rsidRPr="00827AA9">
        <w:rPr>
          <w:rFonts w:ascii="Times New Roman" w:hAnsi="Times New Roman" w:cs="Times New Roman"/>
          <w:sz w:val="20"/>
          <w:szCs w:val="20"/>
        </w:rPr>
        <w:t>J</w:t>
      </w:r>
      <w:r w:rsidRPr="00827AA9">
        <w:rPr>
          <w:rFonts w:ascii="Times New Roman" w:hAnsi="Times New Roman" w:cs="Times New Roman"/>
          <w:sz w:val="20"/>
          <w:szCs w:val="20"/>
        </w:rPr>
        <w:t>aypeebrothers</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medical</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publishers</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(p)</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ltd.</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P.</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63</w:t>
      </w:r>
      <w:r w:rsidR="00827AA9" w:rsidRPr="00827AA9">
        <w:rPr>
          <w:rFonts w:ascii="Times New Roman" w:hAnsi="Times New Roman" w:cs="Times New Roman"/>
          <w:sz w:val="20"/>
          <w:szCs w:val="20"/>
        </w:rPr>
        <w:t>3</w:t>
      </w:r>
      <w:r w:rsidR="00827AA9">
        <w:rPr>
          <w:rFonts w:ascii="Times New Roman" w:hAnsi="Times New Roman" w:cs="Times New Roman"/>
          <w:sz w:val="20"/>
          <w:szCs w:val="20"/>
        </w:rPr>
        <w:t>.</w:t>
      </w:r>
    </w:p>
    <w:p w:rsidR="005E7D01" w:rsidRPr="00827AA9" w:rsidRDefault="003F13ED" w:rsidP="00827AA9">
      <w:pPr>
        <w:pStyle w:val="ListParagraph"/>
        <w:numPr>
          <w:ilvl w:val="0"/>
          <w:numId w:val="1"/>
        </w:numPr>
        <w:snapToGrid w:val="0"/>
        <w:spacing w:after="0" w:line="240" w:lineRule="auto"/>
        <w:ind w:left="425" w:hanging="425"/>
        <w:jc w:val="both"/>
        <w:rPr>
          <w:rFonts w:ascii="Times New Roman" w:hAnsi="Times New Roman" w:cs="Times New Roman"/>
          <w:sz w:val="20"/>
          <w:szCs w:val="20"/>
        </w:rPr>
      </w:pPr>
      <w:r w:rsidRPr="00827AA9">
        <w:rPr>
          <w:rFonts w:ascii="Times New Roman" w:hAnsi="Times New Roman" w:cs="Times New Roman"/>
          <w:sz w:val="20"/>
          <w:szCs w:val="20"/>
        </w:rPr>
        <w:t>Okamura</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Y,</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Nomoto</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S,</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Kanda</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M,</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et</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al.</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(2010).</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Leukemia</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inhibitory</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factor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receptor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(LIFR)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is</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detected</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as</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a</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novel</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suppressor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gene</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of</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hepatocellular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carcinoma</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using</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double-combination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array.</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Cancer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Lett.,289,</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170–177.</w:t>
      </w:r>
      <w:r w:rsidR="00903330" w:rsidRPr="00827AA9">
        <w:rPr>
          <w:rFonts w:ascii="Times New Roman" w:hAnsi="Times New Roman" w:cs="Times New Roman"/>
          <w:sz w:val="20"/>
          <w:szCs w:val="20"/>
        </w:rPr>
        <w:t xml:space="preserve"> </w:t>
      </w:r>
    </w:p>
    <w:p w:rsidR="005E7D01" w:rsidRPr="00827AA9" w:rsidRDefault="003F13ED" w:rsidP="00827AA9">
      <w:pPr>
        <w:pStyle w:val="ListParagraph"/>
        <w:numPr>
          <w:ilvl w:val="0"/>
          <w:numId w:val="1"/>
        </w:numPr>
        <w:snapToGrid w:val="0"/>
        <w:spacing w:after="0" w:line="240" w:lineRule="auto"/>
        <w:ind w:left="425" w:hanging="425"/>
        <w:jc w:val="both"/>
        <w:rPr>
          <w:rFonts w:ascii="Times New Roman" w:hAnsi="Times New Roman" w:cs="Times New Roman"/>
          <w:sz w:val="20"/>
          <w:szCs w:val="20"/>
        </w:rPr>
      </w:pPr>
      <w:r w:rsidRPr="00827AA9">
        <w:rPr>
          <w:rFonts w:ascii="Times New Roman" w:hAnsi="Times New Roman" w:cs="Times New Roman"/>
          <w:sz w:val="20"/>
          <w:szCs w:val="20"/>
        </w:rPr>
        <w:t>Royle</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SJ.</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(2006).</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The</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cellular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functions</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of</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clathrin.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Cell</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Mol</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Life</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Sci,</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63(16),</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1823-1832.</w:t>
      </w:r>
    </w:p>
    <w:p w:rsidR="005E7D01" w:rsidRPr="00827AA9" w:rsidRDefault="003F13ED" w:rsidP="00827AA9">
      <w:pPr>
        <w:pStyle w:val="ListParagraph"/>
        <w:numPr>
          <w:ilvl w:val="0"/>
          <w:numId w:val="1"/>
        </w:numPr>
        <w:snapToGrid w:val="0"/>
        <w:spacing w:after="0" w:line="240" w:lineRule="auto"/>
        <w:ind w:left="425" w:hanging="425"/>
        <w:jc w:val="both"/>
        <w:rPr>
          <w:rFonts w:ascii="Times New Roman" w:hAnsi="Times New Roman" w:cs="Times New Roman"/>
          <w:sz w:val="20"/>
          <w:szCs w:val="20"/>
        </w:rPr>
      </w:pPr>
      <w:r w:rsidRPr="00827AA9">
        <w:rPr>
          <w:rFonts w:ascii="Times New Roman" w:hAnsi="Times New Roman" w:cs="Times New Roman"/>
          <w:sz w:val="20"/>
          <w:szCs w:val="20"/>
        </w:rPr>
        <w:t>Schaeffer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D</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and</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Nahum</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Méndez-Sánchez</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(2011)</w:t>
      </w:r>
      <w:r w:rsidR="00827AA9" w:rsidRPr="00827AA9">
        <w:rPr>
          <w:rFonts w:ascii="Times New Roman" w:hAnsi="Times New Roman" w:cs="Times New Roman"/>
          <w:sz w:val="20"/>
          <w:szCs w:val="20"/>
        </w:rPr>
        <w:t>.</w:t>
      </w:r>
      <w:r w:rsidR="00827AA9">
        <w:rPr>
          <w:rFonts w:ascii="Times New Roman" w:hAnsi="Times New Roman" w:cs="Times New Roman"/>
          <w:sz w:val="20"/>
          <w:szCs w:val="20"/>
        </w:rPr>
        <w:t xml:space="preserve"> </w:t>
      </w:r>
      <w:r w:rsidR="00827AA9" w:rsidRPr="00827AA9">
        <w:rPr>
          <w:rFonts w:ascii="Times New Roman" w:hAnsi="Times New Roman" w:cs="Times New Roman"/>
          <w:sz w:val="20"/>
          <w:szCs w:val="20"/>
        </w:rPr>
        <w:t>C</w:t>
      </w:r>
      <w:r w:rsidRPr="00827AA9">
        <w:rPr>
          <w:rFonts w:ascii="Times New Roman" w:hAnsi="Times New Roman" w:cs="Times New Roman"/>
          <w:sz w:val="20"/>
          <w:szCs w:val="20"/>
        </w:rPr>
        <w:t>lathrin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heavy</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chain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(CHC)</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staining</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for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the</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diagnosis</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of</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small</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hepatocellular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carcinoma</w:t>
      </w:r>
      <w:r w:rsidR="00827AA9" w:rsidRPr="00827AA9">
        <w:rPr>
          <w:rFonts w:ascii="Times New Roman" w:hAnsi="Times New Roman" w:cs="Times New Roman"/>
          <w:sz w:val="20"/>
          <w:szCs w:val="20"/>
        </w:rPr>
        <w:t>.</w:t>
      </w:r>
      <w:r w:rsidR="00827AA9">
        <w:rPr>
          <w:rFonts w:ascii="Times New Roman" w:hAnsi="Times New Roman" w:cs="Times New Roman"/>
          <w:sz w:val="20"/>
          <w:szCs w:val="20"/>
        </w:rPr>
        <w:t xml:space="preserve"> </w:t>
      </w:r>
      <w:r w:rsidR="00827AA9" w:rsidRPr="00827AA9">
        <w:rPr>
          <w:rFonts w:ascii="Times New Roman" w:hAnsi="Times New Roman" w:cs="Times New Roman"/>
          <w:sz w:val="20"/>
          <w:szCs w:val="20"/>
        </w:rPr>
        <w:t>A</w:t>
      </w:r>
      <w:r w:rsidRPr="00827AA9">
        <w:rPr>
          <w:rFonts w:ascii="Times New Roman" w:hAnsi="Times New Roman" w:cs="Times New Roman"/>
          <w:sz w:val="20"/>
          <w:szCs w:val="20"/>
        </w:rPr>
        <w:t>nnals</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of</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hepatology,</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10</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(3),</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374-375.</w:t>
      </w:r>
    </w:p>
    <w:p w:rsidR="005E7D01" w:rsidRPr="00827AA9" w:rsidRDefault="003F13ED" w:rsidP="00827AA9">
      <w:pPr>
        <w:pStyle w:val="ListParagraph"/>
        <w:numPr>
          <w:ilvl w:val="0"/>
          <w:numId w:val="1"/>
        </w:numPr>
        <w:snapToGrid w:val="0"/>
        <w:spacing w:after="0" w:line="240" w:lineRule="auto"/>
        <w:ind w:left="425" w:hanging="425"/>
        <w:jc w:val="both"/>
        <w:rPr>
          <w:rFonts w:ascii="Times New Roman" w:hAnsi="Times New Roman" w:cs="Times New Roman"/>
          <w:sz w:val="20"/>
          <w:szCs w:val="20"/>
        </w:rPr>
      </w:pPr>
      <w:r w:rsidRPr="00827AA9">
        <w:rPr>
          <w:rFonts w:ascii="Times New Roman" w:hAnsi="Times New Roman" w:cs="Times New Roman"/>
          <w:sz w:val="20"/>
          <w:szCs w:val="20"/>
        </w:rPr>
        <w:t>Seimiya</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M,</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Tomonaga</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T,</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Matsushita</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K</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et</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al.</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(2008).</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Identification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of</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Novel</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Immunohistochemica</w:t>
      </w:r>
      <w:r w:rsidR="00827AA9" w:rsidRPr="00827AA9">
        <w:rPr>
          <w:rFonts w:ascii="Times New Roman" w:hAnsi="Times New Roman" w:cs="Times New Roman"/>
          <w:sz w:val="20"/>
          <w:szCs w:val="20"/>
        </w:rPr>
        <w:t>l</w:t>
      </w:r>
      <w:r w:rsidR="00827AA9">
        <w:rPr>
          <w:rFonts w:ascii="Times New Roman" w:hAnsi="Times New Roman" w:cs="Times New Roman"/>
          <w:sz w:val="20"/>
          <w:szCs w:val="20"/>
        </w:rPr>
        <w:t xml:space="preserve"> </w:t>
      </w:r>
      <w:r w:rsidR="00827AA9" w:rsidRPr="00827AA9">
        <w:rPr>
          <w:rFonts w:ascii="Times New Roman" w:hAnsi="Times New Roman" w:cs="Times New Roman"/>
          <w:sz w:val="20"/>
          <w:szCs w:val="20"/>
        </w:rPr>
        <w:t>T</w:t>
      </w:r>
      <w:r w:rsidRPr="00827AA9">
        <w:rPr>
          <w:rFonts w:ascii="Times New Roman" w:hAnsi="Times New Roman" w:cs="Times New Roman"/>
          <w:sz w:val="20"/>
          <w:szCs w:val="20"/>
        </w:rPr>
        <w:t>umor</w:t>
      </w:r>
      <w:r w:rsidR="00827AA9" w:rsidRPr="00827AA9">
        <w:rPr>
          <w:rFonts w:ascii="Times New Roman" w:hAnsi="Times New Roman" w:cs="Times New Roman"/>
          <w:sz w:val="20"/>
          <w:szCs w:val="20"/>
        </w:rPr>
        <w:t>m</w:t>
      </w:r>
      <w:r w:rsidR="00827AA9">
        <w:rPr>
          <w:rFonts w:ascii="Times New Roman" w:hAnsi="Times New Roman" w:cs="Times New Roman"/>
          <w:sz w:val="20"/>
          <w:szCs w:val="20"/>
        </w:rPr>
        <w:t xml:space="preserve"> </w:t>
      </w:r>
      <w:r w:rsidR="00827AA9" w:rsidRPr="00827AA9">
        <w:rPr>
          <w:rFonts w:ascii="Times New Roman" w:hAnsi="Times New Roman" w:cs="Times New Roman"/>
          <w:sz w:val="20"/>
          <w:szCs w:val="20"/>
        </w:rPr>
        <w:t>M</w:t>
      </w:r>
      <w:r w:rsidRPr="00827AA9">
        <w:rPr>
          <w:rFonts w:ascii="Times New Roman" w:hAnsi="Times New Roman" w:cs="Times New Roman"/>
          <w:sz w:val="20"/>
          <w:szCs w:val="20"/>
        </w:rPr>
        <w:t>arkers</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for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Primary</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Hepatocellular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Carcinoma</w:t>
      </w:r>
      <w:r w:rsidR="00827AA9" w:rsidRPr="00827AA9">
        <w:rPr>
          <w:rFonts w:ascii="Times New Roman" w:hAnsi="Times New Roman" w:cs="Times New Roman"/>
          <w:sz w:val="20"/>
          <w:szCs w:val="20"/>
        </w:rPr>
        <w:t>;</w:t>
      </w:r>
      <w:r w:rsidR="00827AA9">
        <w:rPr>
          <w:rFonts w:ascii="Times New Roman" w:hAnsi="Times New Roman" w:cs="Times New Roman"/>
          <w:sz w:val="20"/>
          <w:szCs w:val="20"/>
        </w:rPr>
        <w:t xml:space="preserve"> </w:t>
      </w:r>
      <w:r w:rsidR="00827AA9" w:rsidRPr="00827AA9">
        <w:rPr>
          <w:rFonts w:ascii="Times New Roman" w:hAnsi="Times New Roman" w:cs="Times New Roman"/>
          <w:sz w:val="20"/>
          <w:szCs w:val="20"/>
        </w:rPr>
        <w:t>C</w:t>
      </w:r>
      <w:r w:rsidRPr="00827AA9">
        <w:rPr>
          <w:rFonts w:ascii="Times New Roman" w:hAnsi="Times New Roman" w:cs="Times New Roman"/>
          <w:sz w:val="20"/>
          <w:szCs w:val="20"/>
        </w:rPr>
        <w:t>lathrin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Heavy</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Chain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and</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Formiminotransferase</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Cyclodeaminase</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Hepatology,</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48,</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519-530.</w:t>
      </w:r>
    </w:p>
    <w:p w:rsidR="005E7D01" w:rsidRPr="00827AA9" w:rsidRDefault="003F13ED" w:rsidP="00827AA9">
      <w:pPr>
        <w:pStyle w:val="ListParagraph"/>
        <w:numPr>
          <w:ilvl w:val="0"/>
          <w:numId w:val="1"/>
        </w:numPr>
        <w:snapToGrid w:val="0"/>
        <w:spacing w:after="0" w:line="240" w:lineRule="auto"/>
        <w:ind w:left="425" w:hanging="425"/>
        <w:jc w:val="both"/>
        <w:rPr>
          <w:rFonts w:ascii="Times New Roman" w:hAnsi="Times New Roman" w:cs="Times New Roman"/>
          <w:sz w:val="20"/>
          <w:szCs w:val="20"/>
        </w:rPr>
      </w:pPr>
      <w:r w:rsidRPr="00827AA9">
        <w:rPr>
          <w:rFonts w:ascii="Times New Roman" w:hAnsi="Times New Roman" w:cs="Times New Roman"/>
          <w:sz w:val="20"/>
          <w:szCs w:val="20"/>
        </w:rPr>
        <w:t>Shin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J,</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Park</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S</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and</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Jang</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Y</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(2011).</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Epigenetic</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Up-Regulation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of</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Leukemia</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Inhibitory</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Factor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(LIF)</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Gene</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During</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the</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Progression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to</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Breast</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Cancer.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Mol.</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Cells,</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31,</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181-189.</w:t>
      </w:r>
    </w:p>
    <w:p w:rsidR="005E7D01" w:rsidRPr="00827AA9" w:rsidRDefault="003F13ED" w:rsidP="00827AA9">
      <w:pPr>
        <w:pStyle w:val="ListParagraph"/>
        <w:numPr>
          <w:ilvl w:val="0"/>
          <w:numId w:val="1"/>
        </w:numPr>
        <w:snapToGrid w:val="0"/>
        <w:spacing w:after="0" w:line="240" w:lineRule="auto"/>
        <w:ind w:left="425" w:hanging="425"/>
        <w:jc w:val="both"/>
        <w:rPr>
          <w:rFonts w:ascii="Times New Roman" w:hAnsi="Times New Roman" w:cs="Times New Roman"/>
          <w:sz w:val="20"/>
          <w:szCs w:val="20"/>
        </w:rPr>
      </w:pPr>
      <w:r w:rsidRPr="00827AA9">
        <w:rPr>
          <w:rFonts w:ascii="Times New Roman" w:hAnsi="Times New Roman" w:cs="Times New Roman"/>
          <w:sz w:val="20"/>
          <w:szCs w:val="20"/>
        </w:rPr>
        <w:t>Yan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B,</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Wei</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J,</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Qian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Y</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et</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al.</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(2011).</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Expression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and</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clinicopathologic</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significance</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of</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glypican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3</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in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hepatocellular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carcinoma.</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Annals</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of</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Diagnostic</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Pathology,</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15,</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162–169.</w:t>
      </w:r>
    </w:p>
    <w:p w:rsidR="005E7D01" w:rsidRPr="00827AA9" w:rsidRDefault="003F13ED" w:rsidP="00827AA9">
      <w:pPr>
        <w:pStyle w:val="ListParagraph"/>
        <w:numPr>
          <w:ilvl w:val="0"/>
          <w:numId w:val="1"/>
        </w:numPr>
        <w:snapToGrid w:val="0"/>
        <w:spacing w:after="0" w:line="240" w:lineRule="auto"/>
        <w:ind w:left="425" w:hanging="425"/>
        <w:jc w:val="both"/>
        <w:rPr>
          <w:rFonts w:ascii="Times New Roman" w:hAnsi="Times New Roman" w:cs="Times New Roman"/>
          <w:sz w:val="20"/>
          <w:szCs w:val="20"/>
        </w:rPr>
      </w:pPr>
      <w:r w:rsidRPr="00827AA9">
        <w:rPr>
          <w:rFonts w:ascii="Times New Roman" w:hAnsi="Times New Roman" w:cs="Times New Roman"/>
          <w:sz w:val="20"/>
          <w:szCs w:val="20"/>
        </w:rPr>
        <w:t>Yue</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X,</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Wu</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L</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and</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Hu</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W</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(2015)</w:t>
      </w:r>
      <w:r w:rsidR="00827AA9" w:rsidRPr="00827AA9">
        <w:rPr>
          <w:rFonts w:ascii="Times New Roman" w:hAnsi="Times New Roman" w:cs="Times New Roman"/>
          <w:sz w:val="20"/>
          <w:szCs w:val="20"/>
        </w:rPr>
        <w:t>.</w:t>
      </w:r>
      <w:r w:rsidR="00827AA9">
        <w:rPr>
          <w:rFonts w:ascii="Times New Roman" w:hAnsi="Times New Roman" w:cs="Times New Roman"/>
          <w:sz w:val="20"/>
          <w:szCs w:val="20"/>
        </w:rPr>
        <w:t xml:space="preserve"> </w:t>
      </w:r>
      <w:r w:rsidR="00827AA9" w:rsidRPr="00827AA9">
        <w:rPr>
          <w:rFonts w:ascii="Times New Roman" w:hAnsi="Times New Roman" w:cs="Times New Roman"/>
          <w:sz w:val="20"/>
          <w:szCs w:val="20"/>
        </w:rPr>
        <w:t>T</w:t>
      </w:r>
      <w:r w:rsidRPr="00827AA9">
        <w:rPr>
          <w:rFonts w:ascii="Times New Roman" w:hAnsi="Times New Roman" w:cs="Times New Roman"/>
          <w:sz w:val="20"/>
          <w:szCs w:val="20"/>
        </w:rPr>
        <w:t>he</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regulation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of</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leukemia</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inhibitory</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factor</w:t>
      </w:r>
      <w:r w:rsidR="00827AA9" w:rsidRPr="00827AA9">
        <w:rPr>
          <w:rFonts w:ascii="Times New Roman" w:hAnsi="Times New Roman" w:cs="Times New Roman"/>
          <w:sz w:val="20"/>
          <w:szCs w:val="20"/>
        </w:rPr>
        <w:t>.</w:t>
      </w:r>
      <w:r w:rsidR="00827AA9">
        <w:rPr>
          <w:rFonts w:ascii="Times New Roman" w:hAnsi="Times New Roman" w:cs="Times New Roman"/>
          <w:sz w:val="20"/>
          <w:szCs w:val="20"/>
        </w:rPr>
        <w:t xml:space="preserve"> </w:t>
      </w:r>
      <w:r w:rsidR="00827AA9" w:rsidRPr="00827AA9">
        <w:rPr>
          <w:rFonts w:ascii="Times New Roman" w:hAnsi="Times New Roman" w:cs="Times New Roman"/>
          <w:sz w:val="20"/>
          <w:szCs w:val="20"/>
        </w:rPr>
        <w:t>C</w:t>
      </w:r>
      <w:r w:rsidRPr="00827AA9">
        <w:rPr>
          <w:rFonts w:ascii="Times New Roman" w:hAnsi="Times New Roman" w:cs="Times New Roman"/>
          <w:sz w:val="20"/>
          <w:szCs w:val="20"/>
        </w:rPr>
        <w:t>ancer</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Cell</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Microenviron,</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2(3),</w:t>
      </w:r>
      <w:r w:rsidR="00903330" w:rsidRPr="00827AA9">
        <w:rPr>
          <w:rFonts w:ascii="Times New Roman" w:hAnsi="Times New Roman" w:cs="Times New Roman"/>
          <w:sz w:val="20"/>
          <w:szCs w:val="20"/>
        </w:rPr>
        <w:t xml:space="preserve"> </w:t>
      </w:r>
      <w:r w:rsidRPr="00827AA9">
        <w:rPr>
          <w:rFonts w:ascii="Times New Roman" w:hAnsi="Times New Roman" w:cs="Times New Roman"/>
          <w:sz w:val="20"/>
          <w:szCs w:val="20"/>
        </w:rPr>
        <w:t>e877.</w:t>
      </w:r>
    </w:p>
    <w:p w:rsidR="00827AA9" w:rsidRDefault="00827AA9" w:rsidP="00827AA9">
      <w:pPr>
        <w:snapToGrid w:val="0"/>
        <w:spacing w:after="0" w:line="240" w:lineRule="auto"/>
        <w:ind w:left="425" w:hanging="425"/>
        <w:jc w:val="both"/>
        <w:rPr>
          <w:rFonts w:ascii="Times New Roman" w:hAnsi="Times New Roman" w:cs="Times New Roman"/>
          <w:sz w:val="20"/>
          <w:szCs w:val="20"/>
        </w:rPr>
        <w:sectPr w:rsidR="00827AA9" w:rsidSect="003F5E9B">
          <w:type w:val="continuous"/>
          <w:pgSz w:w="12240" w:h="15840"/>
          <w:pgMar w:top="1440" w:right="1440" w:bottom="1440" w:left="1440" w:header="720" w:footer="720" w:gutter="0"/>
          <w:cols w:num="2" w:space="550"/>
          <w:docGrid w:linePitch="299"/>
        </w:sectPr>
      </w:pPr>
    </w:p>
    <w:p w:rsidR="00903330" w:rsidRDefault="00903330" w:rsidP="00827AA9">
      <w:pPr>
        <w:snapToGrid w:val="0"/>
        <w:spacing w:after="0" w:line="240" w:lineRule="auto"/>
        <w:ind w:left="425" w:hanging="425"/>
        <w:jc w:val="both"/>
        <w:rPr>
          <w:rFonts w:ascii="Times New Roman" w:hAnsi="Times New Roman" w:cs="Times New Roman"/>
          <w:sz w:val="20"/>
          <w:szCs w:val="20"/>
          <w:lang w:eastAsia="zh-CN"/>
        </w:rPr>
      </w:pPr>
    </w:p>
    <w:p w:rsidR="00827AA9" w:rsidRDefault="00827AA9" w:rsidP="00827AA9">
      <w:pPr>
        <w:snapToGrid w:val="0"/>
        <w:spacing w:after="0" w:line="240" w:lineRule="auto"/>
        <w:ind w:left="425" w:hanging="425"/>
        <w:jc w:val="both"/>
        <w:rPr>
          <w:rFonts w:ascii="Times New Roman" w:hAnsi="Times New Roman" w:cs="Times New Roman"/>
          <w:sz w:val="20"/>
          <w:szCs w:val="20"/>
          <w:lang w:eastAsia="zh-CN"/>
        </w:rPr>
      </w:pPr>
    </w:p>
    <w:p w:rsidR="00827AA9" w:rsidRPr="00903330" w:rsidRDefault="00827AA9" w:rsidP="00827AA9">
      <w:pPr>
        <w:snapToGrid w:val="0"/>
        <w:spacing w:after="0" w:line="240" w:lineRule="auto"/>
        <w:ind w:firstLine="425"/>
        <w:jc w:val="both"/>
        <w:rPr>
          <w:rFonts w:ascii="Times New Roman" w:hAnsi="Times New Roman" w:cs="Times New Roman"/>
          <w:sz w:val="20"/>
          <w:szCs w:val="20"/>
          <w:lang w:eastAsia="zh-CN"/>
        </w:rPr>
      </w:pPr>
    </w:p>
    <w:p w:rsidR="0098219A" w:rsidRPr="00903330" w:rsidRDefault="00903330" w:rsidP="00827AA9">
      <w:pPr>
        <w:snapToGrid w:val="0"/>
        <w:spacing w:after="0" w:line="240" w:lineRule="auto"/>
        <w:jc w:val="both"/>
        <w:rPr>
          <w:rFonts w:ascii="Times New Roman" w:hAnsi="Times New Roman" w:cs="Times New Roman"/>
          <w:sz w:val="20"/>
          <w:szCs w:val="20"/>
        </w:rPr>
      </w:pPr>
      <w:r w:rsidRPr="00903330">
        <w:rPr>
          <w:rFonts w:ascii="Times New Roman" w:hAnsi="Times New Roman" w:cs="Times New Roman"/>
          <w:sz w:val="20"/>
          <w:szCs w:val="20"/>
        </w:rPr>
        <w:t>7/6/2019</w:t>
      </w:r>
    </w:p>
    <w:sectPr w:rsidR="0098219A" w:rsidRPr="00903330" w:rsidSect="003F5E9B">
      <w:type w:val="continuous"/>
      <w:pgSz w:w="12240" w:h="15840"/>
      <w:pgMar w:top="1440" w:right="1440" w:bottom="1440" w:left="144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6804" w:rsidRDefault="00066804" w:rsidP="00F907D9">
      <w:pPr>
        <w:spacing w:after="0" w:line="240" w:lineRule="auto"/>
      </w:pPr>
      <w:r>
        <w:separator/>
      </w:r>
    </w:p>
  </w:endnote>
  <w:endnote w:type="continuationSeparator" w:id="0">
    <w:p w:rsidR="00066804" w:rsidRDefault="00066804" w:rsidP="00F907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宋">
    <w:altName w:val="Arial Unicode MS"/>
    <w:panose1 w:val="00000000000000000000"/>
    <w:charset w:val="86"/>
    <w:family w:val="roman"/>
    <w:notTrueType/>
    <w:pitch w:val="default"/>
    <w:sig w:usb0="00000001" w:usb1="080E0000" w:usb2="00000010" w:usb3="00000000" w:csb0="00040000" w:csb1="00000000"/>
  </w:font>
  <w:font w:name="OTNEJMQuadraat">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AA9" w:rsidRPr="003F5E9B" w:rsidRDefault="009C7D18" w:rsidP="003F5E9B">
    <w:pPr>
      <w:spacing w:after="0" w:line="240" w:lineRule="auto"/>
      <w:jc w:val="center"/>
      <w:rPr>
        <w:rFonts w:ascii="Times New Roman" w:hAnsi="Times New Roman" w:cs="Times New Roman"/>
        <w:sz w:val="20"/>
      </w:rPr>
    </w:pPr>
    <w:r w:rsidRPr="003F5E9B">
      <w:rPr>
        <w:rFonts w:ascii="Times New Roman" w:hAnsi="Times New Roman" w:cs="Times New Roman"/>
        <w:sz w:val="20"/>
      </w:rPr>
      <w:fldChar w:fldCharType="begin"/>
    </w:r>
    <w:r w:rsidR="003F5E9B" w:rsidRPr="003F5E9B">
      <w:rPr>
        <w:rFonts w:ascii="Times New Roman" w:hAnsi="Times New Roman" w:cs="Times New Roman"/>
        <w:sz w:val="20"/>
      </w:rPr>
      <w:instrText xml:space="preserve"> page </w:instrText>
    </w:r>
    <w:r w:rsidRPr="003F5E9B">
      <w:rPr>
        <w:rFonts w:ascii="Times New Roman" w:hAnsi="Times New Roman" w:cs="Times New Roman"/>
        <w:sz w:val="20"/>
      </w:rPr>
      <w:fldChar w:fldCharType="separate"/>
    </w:r>
    <w:r w:rsidR="00F35E4D">
      <w:rPr>
        <w:rFonts w:ascii="Times New Roman" w:hAnsi="Times New Roman" w:cs="Times New Roman"/>
        <w:noProof/>
        <w:sz w:val="20"/>
      </w:rPr>
      <w:t>38</w:t>
    </w:r>
    <w:r w:rsidRPr="003F5E9B">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6804" w:rsidRDefault="00066804" w:rsidP="00F907D9">
      <w:pPr>
        <w:spacing w:after="0" w:line="240" w:lineRule="auto"/>
      </w:pPr>
      <w:r>
        <w:separator/>
      </w:r>
    </w:p>
  </w:footnote>
  <w:footnote w:type="continuationSeparator" w:id="0">
    <w:p w:rsidR="00066804" w:rsidRDefault="00066804" w:rsidP="00F907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E9B" w:rsidRPr="003F5E9B" w:rsidRDefault="003F5E9B" w:rsidP="003F5E9B">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3F5E9B">
      <w:rPr>
        <w:rFonts w:ascii="Times New Roman" w:hAnsi="Times New Roman" w:cs="Times New Roman" w:hint="eastAsia"/>
        <w:iCs/>
        <w:color w:val="000000"/>
        <w:sz w:val="20"/>
      </w:rPr>
      <w:tab/>
    </w:r>
    <w:r w:rsidRPr="003F5E9B">
      <w:rPr>
        <w:rFonts w:ascii="Times New Roman" w:hAnsi="Times New Roman" w:cs="Times New Roman"/>
        <w:iCs/>
        <w:color w:val="000000"/>
        <w:sz w:val="20"/>
      </w:rPr>
      <w:t xml:space="preserve">Cancer Biology </w:t>
    </w:r>
    <w:r w:rsidRPr="003F5E9B">
      <w:rPr>
        <w:rFonts w:ascii="Times New Roman" w:hAnsi="Times New Roman" w:cs="Times New Roman"/>
        <w:iCs/>
        <w:sz w:val="20"/>
      </w:rPr>
      <w:t>201</w:t>
    </w:r>
    <w:r w:rsidRPr="003F5E9B">
      <w:rPr>
        <w:rFonts w:ascii="Times New Roman" w:hAnsi="Times New Roman" w:cs="Times New Roman" w:hint="eastAsia"/>
        <w:iCs/>
        <w:sz w:val="20"/>
      </w:rPr>
      <w:t>9</w:t>
    </w:r>
    <w:r w:rsidRPr="003F5E9B">
      <w:rPr>
        <w:rFonts w:ascii="Times New Roman" w:hAnsi="Times New Roman" w:cs="Times New Roman"/>
        <w:iCs/>
        <w:sz w:val="20"/>
      </w:rPr>
      <w:t>;</w:t>
    </w:r>
    <w:r w:rsidRPr="003F5E9B">
      <w:rPr>
        <w:rFonts w:ascii="Times New Roman" w:hAnsi="Times New Roman" w:cs="Times New Roman" w:hint="eastAsia"/>
        <w:iCs/>
        <w:sz w:val="20"/>
      </w:rPr>
      <w:t>9</w:t>
    </w:r>
    <w:r w:rsidRPr="003F5E9B">
      <w:rPr>
        <w:rFonts w:ascii="Times New Roman" w:hAnsi="Times New Roman" w:cs="Times New Roman"/>
        <w:iCs/>
        <w:sz w:val="20"/>
      </w:rPr>
      <w:t>(</w:t>
    </w:r>
    <w:r w:rsidRPr="003F5E9B">
      <w:rPr>
        <w:rFonts w:ascii="Times New Roman" w:hAnsi="Times New Roman" w:cs="Times New Roman" w:hint="eastAsia"/>
        <w:iCs/>
        <w:sz w:val="20"/>
      </w:rPr>
      <w:t>3</w:t>
    </w:r>
    <w:r w:rsidRPr="003F5E9B">
      <w:rPr>
        <w:rFonts w:ascii="Times New Roman" w:hAnsi="Times New Roman" w:cs="Times New Roman"/>
        <w:iCs/>
        <w:sz w:val="20"/>
      </w:rPr>
      <w:t xml:space="preserve">)  </w:t>
    </w:r>
    <w:r w:rsidRPr="003F5E9B">
      <w:rPr>
        <w:rFonts w:ascii="Times New Roman" w:hAnsi="Times New Roman" w:cs="Times New Roman" w:hint="eastAsia"/>
        <w:iCs/>
        <w:sz w:val="20"/>
      </w:rPr>
      <w:t xml:space="preserve">   </w:t>
    </w:r>
    <w:r w:rsidRPr="003F5E9B">
      <w:rPr>
        <w:rFonts w:ascii="Times New Roman" w:hAnsi="Times New Roman" w:cs="Times New Roman" w:hint="eastAsia"/>
        <w:iCs/>
        <w:sz w:val="20"/>
      </w:rPr>
      <w:tab/>
      <w:t xml:space="preserve">   </w:t>
    </w:r>
    <w:r w:rsidRPr="003F5E9B">
      <w:rPr>
        <w:rFonts w:ascii="Times New Roman" w:hAnsi="Times New Roman" w:cs="Times New Roman"/>
        <w:iCs/>
        <w:sz w:val="20"/>
      </w:rPr>
      <w:t xml:space="preserve"> </w:t>
    </w:r>
    <w:r w:rsidRPr="003F5E9B">
      <w:rPr>
        <w:rFonts w:ascii="Times New Roman" w:hAnsi="Times New Roman" w:cs="Times New Roman"/>
        <w:sz w:val="20"/>
      </w:rPr>
      <w:t xml:space="preserve">  </w:t>
    </w:r>
    <w:hyperlink r:id="rId1" w:history="1">
      <w:r w:rsidRPr="003F5E9B">
        <w:rPr>
          <w:rStyle w:val="Hyperlink"/>
          <w:rFonts w:ascii="Times New Roman" w:hAnsi="Times New Roman" w:cs="Times New Roman"/>
          <w:sz w:val="20"/>
        </w:rPr>
        <w:t>http://www.cancerbio.net</w:t>
      </w:r>
    </w:hyperlink>
    <w:r w:rsidRPr="003F5E9B">
      <w:rPr>
        <w:rFonts w:ascii="Times New Roman" w:hAnsi="Times New Roman" w:cs="Times New Roman" w:hint="eastAsia"/>
        <w:sz w:val="20"/>
      </w:rPr>
      <w:t xml:space="preserve">   </w:t>
    </w:r>
    <w:r w:rsidRPr="003F5E9B">
      <w:rPr>
        <w:rFonts w:ascii="Times New Roman" w:hAnsi="Times New Roman" w:cs="Times New Roman" w:hint="eastAsia"/>
        <w:b/>
        <w:i/>
        <w:color w:val="FF0000"/>
        <w:sz w:val="20"/>
        <w:szCs w:val="20"/>
        <w:bdr w:val="single" w:sz="4" w:space="0" w:color="FF0000"/>
      </w:rPr>
      <w:t>CBJ</w:t>
    </w:r>
  </w:p>
  <w:p w:rsidR="003F5E9B" w:rsidRPr="003F5E9B" w:rsidRDefault="003F5E9B" w:rsidP="003F5E9B">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135A8D"/>
    <w:multiLevelType w:val="hybridMultilevel"/>
    <w:tmpl w:val="30824C4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16386"/>
  </w:hdrShapeDefaults>
  <w:footnotePr>
    <w:footnote w:id="-1"/>
    <w:footnote w:id="0"/>
  </w:footnotePr>
  <w:endnotePr>
    <w:endnote w:id="-1"/>
    <w:endnote w:id="0"/>
  </w:endnotePr>
  <w:compat>
    <w:useFELayout/>
  </w:compat>
  <w:rsids>
    <w:rsidRoot w:val="005E7D01"/>
    <w:rsid w:val="00026F95"/>
    <w:rsid w:val="00066804"/>
    <w:rsid w:val="000D6141"/>
    <w:rsid w:val="00114F4B"/>
    <w:rsid w:val="0018696B"/>
    <w:rsid w:val="00195DF0"/>
    <w:rsid w:val="00325E1B"/>
    <w:rsid w:val="003911BB"/>
    <w:rsid w:val="003C3D7D"/>
    <w:rsid w:val="003E717C"/>
    <w:rsid w:val="003F13ED"/>
    <w:rsid w:val="003F5E9B"/>
    <w:rsid w:val="004F26D9"/>
    <w:rsid w:val="00501B9F"/>
    <w:rsid w:val="0055316D"/>
    <w:rsid w:val="005E7D01"/>
    <w:rsid w:val="00687578"/>
    <w:rsid w:val="007129B7"/>
    <w:rsid w:val="00827AA9"/>
    <w:rsid w:val="0087719B"/>
    <w:rsid w:val="00903330"/>
    <w:rsid w:val="00933578"/>
    <w:rsid w:val="009805CE"/>
    <w:rsid w:val="0098219A"/>
    <w:rsid w:val="009C7D18"/>
    <w:rsid w:val="00A158F9"/>
    <w:rsid w:val="00AB2ACD"/>
    <w:rsid w:val="00B7663E"/>
    <w:rsid w:val="00BF7061"/>
    <w:rsid w:val="00C03BAE"/>
    <w:rsid w:val="00C42803"/>
    <w:rsid w:val="00EA7AE6"/>
    <w:rsid w:val="00ED3335"/>
    <w:rsid w:val="00EE4571"/>
    <w:rsid w:val="00F35E4D"/>
    <w:rsid w:val="00F75D17"/>
    <w:rsid w:val="00F907D9"/>
    <w:rsid w:val="00FA2352"/>
    <w:rsid w:val="00FC5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Calibri"/>
        <w:sz w:val="22"/>
        <w:szCs w:val="22"/>
        <w:lang w:val="en-US"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39A"/>
  </w:style>
  <w:style w:type="paragraph" w:styleId="Heading1">
    <w:name w:val="heading 1"/>
    <w:basedOn w:val="Normal"/>
    <w:link w:val="Heading1Char"/>
    <w:uiPriority w:val="9"/>
    <w:qFormat/>
    <w:rsid w:val="00760636"/>
    <w:pPr>
      <w:spacing w:before="166" w:after="83" w:line="240" w:lineRule="auto"/>
      <w:outlineLvl w:val="0"/>
    </w:pPr>
    <w:rPr>
      <w:rFonts w:ascii="inherit" w:eastAsia="Times New Roman" w:hAnsi="inherit" w:cs="Times New Roman"/>
      <w:kern w:val="36"/>
      <w:sz w:val="30"/>
      <w:szCs w:val="30"/>
    </w:rPr>
  </w:style>
  <w:style w:type="paragraph" w:styleId="Heading2">
    <w:name w:val="heading 2"/>
    <w:basedOn w:val="Normal2"/>
    <w:next w:val="Normal2"/>
    <w:rsid w:val="005E7D01"/>
    <w:pPr>
      <w:keepNext/>
      <w:keepLines/>
      <w:spacing w:before="360" w:after="80"/>
      <w:outlineLvl w:val="1"/>
    </w:pPr>
    <w:rPr>
      <w:b/>
      <w:sz w:val="36"/>
      <w:szCs w:val="36"/>
    </w:rPr>
  </w:style>
  <w:style w:type="paragraph" w:styleId="Heading3">
    <w:name w:val="heading 3"/>
    <w:basedOn w:val="Normal2"/>
    <w:next w:val="Normal2"/>
    <w:rsid w:val="005E7D01"/>
    <w:pPr>
      <w:keepNext/>
      <w:keepLines/>
      <w:spacing w:before="280" w:after="80"/>
      <w:outlineLvl w:val="2"/>
    </w:pPr>
    <w:rPr>
      <w:b/>
      <w:sz w:val="28"/>
      <w:szCs w:val="28"/>
    </w:rPr>
  </w:style>
  <w:style w:type="paragraph" w:styleId="Heading4">
    <w:name w:val="heading 4"/>
    <w:basedOn w:val="Normal2"/>
    <w:next w:val="Normal2"/>
    <w:rsid w:val="005E7D01"/>
    <w:pPr>
      <w:keepNext/>
      <w:keepLines/>
      <w:spacing w:before="240" w:after="40"/>
      <w:outlineLvl w:val="3"/>
    </w:pPr>
    <w:rPr>
      <w:b/>
      <w:sz w:val="24"/>
      <w:szCs w:val="24"/>
    </w:rPr>
  </w:style>
  <w:style w:type="paragraph" w:styleId="Heading5">
    <w:name w:val="heading 5"/>
    <w:basedOn w:val="Normal2"/>
    <w:next w:val="Normal2"/>
    <w:rsid w:val="005E7D01"/>
    <w:pPr>
      <w:keepNext/>
      <w:keepLines/>
      <w:spacing w:before="220" w:after="40"/>
      <w:outlineLvl w:val="4"/>
    </w:pPr>
    <w:rPr>
      <w:b/>
    </w:rPr>
  </w:style>
  <w:style w:type="paragraph" w:styleId="Heading6">
    <w:name w:val="heading 6"/>
    <w:basedOn w:val="Normal2"/>
    <w:next w:val="Normal2"/>
    <w:rsid w:val="005E7D0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5E7D01"/>
  </w:style>
  <w:style w:type="table" w:customStyle="1" w:styleId="TableNormal1">
    <w:name w:val="Table Normal1"/>
    <w:rsid w:val="005E7D01"/>
    <w:tblPr>
      <w:tblCellMar>
        <w:top w:w="0" w:type="dxa"/>
        <w:left w:w="0" w:type="dxa"/>
        <w:bottom w:w="0" w:type="dxa"/>
        <w:right w:w="0" w:type="dxa"/>
      </w:tblCellMar>
    </w:tblPr>
  </w:style>
  <w:style w:type="paragraph" w:styleId="Title">
    <w:name w:val="Title"/>
    <w:basedOn w:val="Normal2"/>
    <w:next w:val="Normal2"/>
    <w:rsid w:val="005E7D01"/>
    <w:pPr>
      <w:keepNext/>
      <w:keepLines/>
      <w:spacing w:before="480" w:after="120"/>
    </w:pPr>
    <w:rPr>
      <w:b/>
      <w:sz w:val="72"/>
      <w:szCs w:val="72"/>
    </w:rPr>
  </w:style>
  <w:style w:type="paragraph" w:customStyle="1" w:styleId="Normal2">
    <w:name w:val="Normal2"/>
    <w:rsid w:val="005E7D01"/>
  </w:style>
  <w:style w:type="table" w:customStyle="1" w:styleId="TableNormal2">
    <w:name w:val="Table Normal2"/>
    <w:rsid w:val="005E7D01"/>
    <w:tblPr>
      <w:tblCellMar>
        <w:top w:w="0" w:type="dxa"/>
        <w:left w:w="0" w:type="dxa"/>
        <w:bottom w:w="0" w:type="dxa"/>
        <w:right w:w="0" w:type="dxa"/>
      </w:tblCellMar>
    </w:tblPr>
  </w:style>
  <w:style w:type="character" w:customStyle="1" w:styleId="apple-converted-space">
    <w:name w:val="apple-converted-space"/>
    <w:basedOn w:val="DefaultParagraphFont"/>
    <w:rsid w:val="00DC54D8"/>
  </w:style>
  <w:style w:type="paragraph" w:customStyle="1" w:styleId="Default">
    <w:name w:val="Default"/>
    <w:link w:val="DefaultChar"/>
    <w:rsid w:val="00DC54D8"/>
    <w:pPr>
      <w:autoSpaceDE w:val="0"/>
      <w:autoSpaceDN w:val="0"/>
      <w:adjustRightInd w:val="0"/>
      <w:spacing w:after="0" w:line="240" w:lineRule="auto"/>
    </w:pPr>
    <w:rPr>
      <w:rFonts w:ascii="Times" w:eastAsia="Times New Roman" w:hAnsi="Times" w:cs="Times"/>
      <w:color w:val="000000"/>
      <w:sz w:val="24"/>
      <w:szCs w:val="24"/>
    </w:rPr>
  </w:style>
  <w:style w:type="character" w:customStyle="1" w:styleId="A9">
    <w:name w:val="A9"/>
    <w:uiPriority w:val="99"/>
    <w:rsid w:val="00DC54D8"/>
    <w:rPr>
      <w:rFonts w:cs="Times"/>
      <w:color w:val="000000"/>
      <w:sz w:val="14"/>
      <w:szCs w:val="14"/>
    </w:rPr>
  </w:style>
  <w:style w:type="paragraph" w:styleId="BalloonText">
    <w:name w:val="Balloon Text"/>
    <w:basedOn w:val="Normal"/>
    <w:link w:val="BalloonTextChar"/>
    <w:uiPriority w:val="99"/>
    <w:semiHidden/>
    <w:unhideWhenUsed/>
    <w:rsid w:val="00DC54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54D8"/>
    <w:rPr>
      <w:rFonts w:ascii="Tahoma" w:hAnsi="Tahoma" w:cs="Tahoma"/>
      <w:sz w:val="16"/>
      <w:szCs w:val="16"/>
    </w:rPr>
  </w:style>
  <w:style w:type="character" w:styleId="Hyperlink">
    <w:name w:val="Hyperlink"/>
    <w:basedOn w:val="DefaultParagraphFont"/>
    <w:uiPriority w:val="99"/>
    <w:unhideWhenUsed/>
    <w:rsid w:val="00600525"/>
    <w:rPr>
      <w:color w:val="0000FF"/>
      <w:u w:val="single"/>
    </w:rPr>
  </w:style>
  <w:style w:type="character" w:styleId="Emphasis">
    <w:name w:val="Emphasis"/>
    <w:basedOn w:val="DefaultParagraphFont"/>
    <w:uiPriority w:val="20"/>
    <w:qFormat/>
    <w:rsid w:val="00600525"/>
    <w:rPr>
      <w:i/>
      <w:iCs/>
    </w:rPr>
  </w:style>
  <w:style w:type="paragraph" w:styleId="NormalWeb">
    <w:name w:val="Normal (Web)"/>
    <w:basedOn w:val="Normal"/>
    <w:uiPriority w:val="99"/>
    <w:unhideWhenUsed/>
    <w:rsid w:val="007B2FF8"/>
    <w:pPr>
      <w:spacing w:after="83" w:line="240" w:lineRule="auto"/>
    </w:pPr>
    <w:rPr>
      <w:rFonts w:ascii="Times New Roman" w:eastAsia="Times New Roman" w:hAnsi="Times New Roman" w:cs="Times New Roman"/>
      <w:sz w:val="24"/>
      <w:szCs w:val="24"/>
    </w:rPr>
  </w:style>
  <w:style w:type="character" w:customStyle="1" w:styleId="abstract-section-header">
    <w:name w:val="abstract-section-header"/>
    <w:basedOn w:val="DefaultParagraphFont"/>
    <w:rsid w:val="007B2FF8"/>
  </w:style>
  <w:style w:type="character" w:customStyle="1" w:styleId="Heading1Char">
    <w:name w:val="Heading 1 Char"/>
    <w:basedOn w:val="DefaultParagraphFont"/>
    <w:link w:val="Heading1"/>
    <w:uiPriority w:val="9"/>
    <w:rsid w:val="00760636"/>
    <w:rPr>
      <w:rFonts w:ascii="inherit" w:eastAsia="Times New Roman" w:hAnsi="inherit" w:cs="Times New Roman"/>
      <w:kern w:val="36"/>
      <w:sz w:val="30"/>
      <w:szCs w:val="30"/>
      <w:lang w:eastAsia="en-GB"/>
    </w:rPr>
  </w:style>
  <w:style w:type="character" w:customStyle="1" w:styleId="DefaultChar">
    <w:name w:val="Default Char"/>
    <w:link w:val="Default"/>
    <w:rsid w:val="006F48A8"/>
    <w:rPr>
      <w:rFonts w:ascii="Times" w:eastAsia="Times New Roman" w:hAnsi="Times" w:cs="Times"/>
      <w:color w:val="000000"/>
      <w:sz w:val="24"/>
      <w:szCs w:val="24"/>
      <w:lang w:val="en-US"/>
    </w:rPr>
  </w:style>
  <w:style w:type="paragraph" w:styleId="ListParagraph">
    <w:name w:val="List Paragraph"/>
    <w:basedOn w:val="Normal"/>
    <w:uiPriority w:val="34"/>
    <w:qFormat/>
    <w:rsid w:val="00FE4674"/>
    <w:pPr>
      <w:ind w:left="720"/>
      <w:contextualSpacing/>
    </w:pPr>
  </w:style>
  <w:style w:type="character" w:customStyle="1" w:styleId="journaltitle">
    <w:name w:val="journaltitle"/>
    <w:basedOn w:val="DefaultParagraphFont"/>
    <w:rsid w:val="00272C04"/>
  </w:style>
  <w:style w:type="paragraph" w:customStyle="1" w:styleId="icon--meta-keyline-before">
    <w:name w:val="icon--meta-keyline-before"/>
    <w:basedOn w:val="Normal"/>
    <w:rsid w:val="00272C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citationyear">
    <w:name w:val="articlecitation_year"/>
    <w:basedOn w:val="DefaultParagraphFont"/>
    <w:rsid w:val="00272C04"/>
  </w:style>
  <w:style w:type="character" w:customStyle="1" w:styleId="articlecitationvolume">
    <w:name w:val="articlecitation_volume"/>
    <w:basedOn w:val="DefaultParagraphFont"/>
    <w:rsid w:val="00272C04"/>
  </w:style>
  <w:style w:type="character" w:customStyle="1" w:styleId="articlecitationpages">
    <w:name w:val="articlecitation_pages"/>
    <w:basedOn w:val="DefaultParagraphFont"/>
    <w:rsid w:val="00272C04"/>
  </w:style>
  <w:style w:type="character" w:customStyle="1" w:styleId="u-inline-block">
    <w:name w:val="u-inline-block"/>
    <w:basedOn w:val="DefaultParagraphFont"/>
    <w:rsid w:val="00272C04"/>
  </w:style>
  <w:style w:type="character" w:customStyle="1" w:styleId="authorsname">
    <w:name w:val="authors__name"/>
    <w:basedOn w:val="DefaultParagraphFont"/>
    <w:rsid w:val="00272C04"/>
  </w:style>
  <w:style w:type="character" w:customStyle="1" w:styleId="cit">
    <w:name w:val="cit"/>
    <w:basedOn w:val="DefaultParagraphFont"/>
    <w:rsid w:val="00272C04"/>
  </w:style>
  <w:style w:type="character" w:customStyle="1" w:styleId="fm-vol-iss-date">
    <w:name w:val="fm-vol-iss-date"/>
    <w:basedOn w:val="DefaultParagraphFont"/>
    <w:rsid w:val="00272C04"/>
  </w:style>
  <w:style w:type="character" w:customStyle="1" w:styleId="doi">
    <w:name w:val="doi"/>
    <w:basedOn w:val="DefaultParagraphFont"/>
    <w:rsid w:val="00272C04"/>
  </w:style>
  <w:style w:type="character" w:customStyle="1" w:styleId="fm-citation-ids-label">
    <w:name w:val="fm-citation-ids-label"/>
    <w:basedOn w:val="DefaultParagraphFont"/>
    <w:rsid w:val="00272C04"/>
  </w:style>
  <w:style w:type="character" w:customStyle="1" w:styleId="citationref">
    <w:name w:val="citationref"/>
    <w:basedOn w:val="DefaultParagraphFont"/>
    <w:rsid w:val="00C067E9"/>
  </w:style>
  <w:style w:type="character" w:customStyle="1" w:styleId="authorname">
    <w:name w:val="authorname"/>
    <w:basedOn w:val="DefaultParagraphFont"/>
    <w:rsid w:val="00C067E9"/>
  </w:style>
  <w:style w:type="character" w:customStyle="1" w:styleId="u-sronly">
    <w:name w:val="u-sronly"/>
    <w:basedOn w:val="DefaultParagraphFont"/>
    <w:rsid w:val="00C067E9"/>
  </w:style>
  <w:style w:type="character" w:styleId="Strong">
    <w:name w:val="Strong"/>
    <w:basedOn w:val="DefaultParagraphFont"/>
    <w:uiPriority w:val="22"/>
    <w:qFormat/>
    <w:rsid w:val="00C067E9"/>
    <w:rPr>
      <w:b/>
      <w:bCs/>
    </w:rPr>
  </w:style>
  <w:style w:type="character" w:styleId="HTMLCite">
    <w:name w:val="HTML Cite"/>
    <w:basedOn w:val="DefaultParagraphFont"/>
    <w:uiPriority w:val="99"/>
    <w:semiHidden/>
    <w:unhideWhenUsed/>
    <w:rsid w:val="00C067E9"/>
    <w:rPr>
      <w:i/>
      <w:iCs/>
    </w:rPr>
  </w:style>
  <w:style w:type="character" w:customStyle="1" w:styleId="A5">
    <w:name w:val="A5"/>
    <w:uiPriority w:val="99"/>
    <w:rsid w:val="009F0678"/>
    <w:rPr>
      <w:rFonts w:cs="Verdana"/>
      <w:b/>
      <w:bCs/>
      <w:color w:val="000000"/>
      <w:sz w:val="12"/>
      <w:szCs w:val="12"/>
    </w:rPr>
  </w:style>
  <w:style w:type="character" w:customStyle="1" w:styleId="A2">
    <w:name w:val="A2"/>
    <w:uiPriority w:val="99"/>
    <w:rsid w:val="009F0678"/>
    <w:rPr>
      <w:rFonts w:cs="Verdana"/>
      <w:b/>
      <w:bCs/>
      <w:color w:val="000000"/>
      <w:sz w:val="20"/>
      <w:szCs w:val="20"/>
    </w:rPr>
  </w:style>
  <w:style w:type="character" w:customStyle="1" w:styleId="element-citation">
    <w:name w:val="element-citation"/>
    <w:basedOn w:val="DefaultParagraphFont"/>
    <w:rsid w:val="009F0678"/>
  </w:style>
  <w:style w:type="character" w:customStyle="1" w:styleId="ref-journal">
    <w:name w:val="ref-journal"/>
    <w:basedOn w:val="DefaultParagraphFont"/>
    <w:rsid w:val="009F0678"/>
  </w:style>
  <w:style w:type="character" w:customStyle="1" w:styleId="ref-vol">
    <w:name w:val="ref-vol"/>
    <w:basedOn w:val="DefaultParagraphFont"/>
    <w:rsid w:val="009F0678"/>
  </w:style>
  <w:style w:type="character" w:customStyle="1" w:styleId="A0">
    <w:name w:val="A0"/>
    <w:uiPriority w:val="99"/>
    <w:rsid w:val="003C3F35"/>
    <w:rPr>
      <w:i/>
      <w:iCs/>
      <w:color w:val="000000"/>
      <w:sz w:val="18"/>
      <w:szCs w:val="18"/>
    </w:rPr>
  </w:style>
  <w:style w:type="paragraph" w:styleId="Subtitle">
    <w:name w:val="Subtitle"/>
    <w:basedOn w:val="Normal"/>
    <w:next w:val="Normal"/>
    <w:rsid w:val="005E7D01"/>
    <w:pPr>
      <w:keepNext/>
      <w:keepLines/>
      <w:spacing w:before="360" w:after="80"/>
    </w:pPr>
    <w:rPr>
      <w:rFonts w:ascii="Georgia" w:eastAsia="Georgia" w:hAnsi="Georgia" w:cs="Georgia"/>
      <w:i/>
      <w:color w:val="666666"/>
      <w:sz w:val="48"/>
      <w:szCs w:val="48"/>
    </w:rPr>
  </w:style>
  <w:style w:type="table" w:customStyle="1" w:styleId="a">
    <w:basedOn w:val="TableNormal"/>
    <w:rsid w:val="005E7D01"/>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5E7D01"/>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5E7D01"/>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5E7D01"/>
    <w:tblPr>
      <w:tblStyleRowBandSize w:val="1"/>
      <w:tblStyleColBandSize w:val="1"/>
      <w:tblInd w:w="0" w:type="dxa"/>
      <w:tblCellMar>
        <w:top w:w="0" w:type="dxa"/>
        <w:left w:w="115" w:type="dxa"/>
        <w:bottom w:w="0" w:type="dxa"/>
        <w:right w:w="115" w:type="dxa"/>
      </w:tblCellMar>
    </w:tblPr>
  </w:style>
  <w:style w:type="table" w:customStyle="1" w:styleId="a6">
    <w:basedOn w:val="TableNormal"/>
    <w:rsid w:val="005E7D01"/>
    <w:tblPr>
      <w:tblStyleRowBandSize w:val="1"/>
      <w:tblStyleColBandSize w:val="1"/>
      <w:tblInd w:w="0" w:type="dxa"/>
      <w:tblCellMar>
        <w:top w:w="0" w:type="dxa"/>
        <w:left w:w="115" w:type="dxa"/>
        <w:bottom w:w="0" w:type="dxa"/>
        <w:right w:w="115" w:type="dxa"/>
      </w:tblCellMar>
    </w:tblPr>
  </w:style>
  <w:style w:type="table" w:customStyle="1" w:styleId="a7">
    <w:basedOn w:val="TableNormal"/>
    <w:rsid w:val="005E7D01"/>
    <w:tblPr>
      <w:tblStyleRowBandSize w:val="1"/>
      <w:tblStyleColBandSize w:val="1"/>
      <w:tblInd w:w="0" w:type="dxa"/>
      <w:tblCellMar>
        <w:top w:w="0" w:type="dxa"/>
        <w:left w:w="115" w:type="dxa"/>
        <w:bottom w:w="0" w:type="dxa"/>
        <w:right w:w="115" w:type="dxa"/>
      </w:tblCellMar>
    </w:tblPr>
  </w:style>
  <w:style w:type="table" w:customStyle="1" w:styleId="a8">
    <w:basedOn w:val="TableNormal"/>
    <w:rsid w:val="005E7D01"/>
    <w:tblPr>
      <w:tblStyleRowBandSize w:val="1"/>
      <w:tblStyleColBandSize w:val="1"/>
      <w:tblInd w:w="0" w:type="dxa"/>
      <w:tblCellMar>
        <w:top w:w="0" w:type="dxa"/>
        <w:left w:w="115" w:type="dxa"/>
        <w:bottom w:w="0" w:type="dxa"/>
        <w:right w:w="115" w:type="dxa"/>
      </w:tblCellMar>
    </w:tblPr>
  </w:style>
  <w:style w:type="table" w:customStyle="1" w:styleId="aa">
    <w:basedOn w:val="TableNormal"/>
    <w:rsid w:val="005E7D01"/>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semiHidden/>
    <w:unhideWhenUsed/>
    <w:rsid w:val="00F907D9"/>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F907D9"/>
  </w:style>
  <w:style w:type="paragraph" w:styleId="Footer">
    <w:name w:val="footer"/>
    <w:basedOn w:val="Normal"/>
    <w:link w:val="FooterChar"/>
    <w:uiPriority w:val="99"/>
    <w:semiHidden/>
    <w:unhideWhenUsed/>
    <w:rsid w:val="00F907D9"/>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F907D9"/>
  </w:style>
  <w:style w:type="paragraph" w:styleId="NoSpacing">
    <w:name w:val="No Spacing"/>
    <w:basedOn w:val="Normal"/>
    <w:link w:val="NoSpacingChar"/>
    <w:qFormat/>
    <w:rsid w:val="00827AA9"/>
    <w:pPr>
      <w:spacing w:before="100" w:beforeAutospacing="1" w:after="100" w:afterAutospacing="1" w:line="240" w:lineRule="auto"/>
    </w:pPr>
    <w:rPr>
      <w:rFonts w:ascii="Times New Roman" w:eastAsia="宋体" w:hAnsi="Times New Roman" w:cs="Times New Roman"/>
      <w:sz w:val="24"/>
      <w:szCs w:val="24"/>
      <w:lang w:eastAsia="zh-CN"/>
    </w:rPr>
  </w:style>
  <w:style w:type="character" w:customStyle="1" w:styleId="NoSpacingChar">
    <w:name w:val="No Spacing Char"/>
    <w:basedOn w:val="DefaultParagraphFont"/>
    <w:link w:val="NoSpacing"/>
    <w:locked/>
    <w:rsid w:val="00827AA9"/>
    <w:rPr>
      <w:rFonts w:ascii="Times New Roman" w:eastAsia="宋体" w:hAnsi="Times New Roman" w:cs="Times New Roman"/>
      <w:sz w:val="24"/>
      <w:szCs w:val="24"/>
      <w:lang w:eastAsia="zh-CN"/>
    </w:rPr>
  </w:style>
  <w:style w:type="character" w:customStyle="1" w:styleId="msonormal0">
    <w:name w:val="msonormal0"/>
    <w:basedOn w:val="DefaultParagraphFont"/>
    <w:rsid w:val="00827A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39A"/>
  </w:style>
  <w:style w:type="paragraph" w:styleId="Heading1">
    <w:name w:val="heading 1"/>
    <w:basedOn w:val="Normal"/>
    <w:link w:val="Heading1Char"/>
    <w:uiPriority w:val="9"/>
    <w:qFormat/>
    <w:rsid w:val="00760636"/>
    <w:pPr>
      <w:spacing w:before="166" w:after="83" w:line="240" w:lineRule="auto"/>
      <w:outlineLvl w:val="0"/>
    </w:pPr>
    <w:rPr>
      <w:rFonts w:ascii="inherit" w:eastAsia="Times New Roman" w:hAnsi="inherit" w:cs="Times New Roman"/>
      <w:kern w:val="36"/>
      <w:sz w:val="30"/>
      <w:szCs w:val="30"/>
    </w:rPr>
  </w:style>
  <w:style w:type="paragraph" w:styleId="Heading2">
    <w:name w:val="heading 2"/>
    <w:basedOn w:val="Normal2"/>
    <w:next w:val="Normal2"/>
    <w:rsid w:val="005E7D01"/>
    <w:pPr>
      <w:keepNext/>
      <w:keepLines/>
      <w:spacing w:before="360" w:after="80"/>
      <w:outlineLvl w:val="1"/>
    </w:pPr>
    <w:rPr>
      <w:b/>
      <w:sz w:val="36"/>
      <w:szCs w:val="36"/>
    </w:rPr>
  </w:style>
  <w:style w:type="paragraph" w:styleId="Heading3">
    <w:name w:val="heading 3"/>
    <w:basedOn w:val="Normal2"/>
    <w:next w:val="Normal2"/>
    <w:rsid w:val="005E7D01"/>
    <w:pPr>
      <w:keepNext/>
      <w:keepLines/>
      <w:spacing w:before="280" w:after="80"/>
      <w:outlineLvl w:val="2"/>
    </w:pPr>
    <w:rPr>
      <w:b/>
      <w:sz w:val="28"/>
      <w:szCs w:val="28"/>
    </w:rPr>
  </w:style>
  <w:style w:type="paragraph" w:styleId="Heading4">
    <w:name w:val="heading 4"/>
    <w:basedOn w:val="Normal2"/>
    <w:next w:val="Normal2"/>
    <w:rsid w:val="005E7D01"/>
    <w:pPr>
      <w:keepNext/>
      <w:keepLines/>
      <w:spacing w:before="240" w:after="40"/>
      <w:outlineLvl w:val="3"/>
    </w:pPr>
    <w:rPr>
      <w:b/>
      <w:sz w:val="24"/>
      <w:szCs w:val="24"/>
    </w:rPr>
  </w:style>
  <w:style w:type="paragraph" w:styleId="Heading5">
    <w:name w:val="heading 5"/>
    <w:basedOn w:val="Normal2"/>
    <w:next w:val="Normal2"/>
    <w:rsid w:val="005E7D01"/>
    <w:pPr>
      <w:keepNext/>
      <w:keepLines/>
      <w:spacing w:before="220" w:after="40"/>
      <w:outlineLvl w:val="4"/>
    </w:pPr>
    <w:rPr>
      <w:b/>
    </w:rPr>
  </w:style>
  <w:style w:type="paragraph" w:styleId="Heading6">
    <w:name w:val="heading 6"/>
    <w:basedOn w:val="Normal2"/>
    <w:next w:val="Normal2"/>
    <w:rsid w:val="005E7D0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5E7D01"/>
  </w:style>
  <w:style w:type="table" w:customStyle="1" w:styleId="TableNormal1">
    <w:name w:val="Table Normal1"/>
    <w:rsid w:val="005E7D01"/>
    <w:tblPr>
      <w:tblCellMar>
        <w:top w:w="0" w:type="dxa"/>
        <w:left w:w="0" w:type="dxa"/>
        <w:bottom w:w="0" w:type="dxa"/>
        <w:right w:w="0" w:type="dxa"/>
      </w:tblCellMar>
    </w:tblPr>
  </w:style>
  <w:style w:type="paragraph" w:styleId="Title">
    <w:name w:val="Title"/>
    <w:basedOn w:val="Normal2"/>
    <w:next w:val="Normal2"/>
    <w:rsid w:val="005E7D01"/>
    <w:pPr>
      <w:keepNext/>
      <w:keepLines/>
      <w:spacing w:before="480" w:after="120"/>
    </w:pPr>
    <w:rPr>
      <w:b/>
      <w:sz w:val="72"/>
      <w:szCs w:val="72"/>
    </w:rPr>
  </w:style>
  <w:style w:type="paragraph" w:customStyle="1" w:styleId="Normal2">
    <w:name w:val="Normal2"/>
    <w:rsid w:val="005E7D01"/>
  </w:style>
  <w:style w:type="table" w:customStyle="1" w:styleId="TableNormal2">
    <w:name w:val="Table Normal2"/>
    <w:rsid w:val="005E7D01"/>
    <w:tblPr>
      <w:tblCellMar>
        <w:top w:w="0" w:type="dxa"/>
        <w:left w:w="0" w:type="dxa"/>
        <w:bottom w:w="0" w:type="dxa"/>
        <w:right w:w="0" w:type="dxa"/>
      </w:tblCellMar>
    </w:tblPr>
  </w:style>
  <w:style w:type="character" w:customStyle="1" w:styleId="apple-converted-space">
    <w:name w:val="apple-converted-space"/>
    <w:basedOn w:val="DefaultParagraphFont"/>
    <w:rsid w:val="00DC54D8"/>
  </w:style>
  <w:style w:type="paragraph" w:customStyle="1" w:styleId="Default">
    <w:name w:val="Default"/>
    <w:link w:val="DefaultChar"/>
    <w:rsid w:val="00DC54D8"/>
    <w:pPr>
      <w:autoSpaceDE w:val="0"/>
      <w:autoSpaceDN w:val="0"/>
      <w:adjustRightInd w:val="0"/>
      <w:spacing w:after="0" w:line="240" w:lineRule="auto"/>
    </w:pPr>
    <w:rPr>
      <w:rFonts w:ascii="Times" w:eastAsia="Times New Roman" w:hAnsi="Times" w:cs="Times"/>
      <w:color w:val="000000"/>
      <w:sz w:val="24"/>
      <w:szCs w:val="24"/>
    </w:rPr>
  </w:style>
  <w:style w:type="character" w:customStyle="1" w:styleId="A9">
    <w:name w:val="A9"/>
    <w:uiPriority w:val="99"/>
    <w:rsid w:val="00DC54D8"/>
    <w:rPr>
      <w:rFonts w:cs="Times"/>
      <w:color w:val="000000"/>
      <w:sz w:val="14"/>
      <w:szCs w:val="14"/>
    </w:rPr>
  </w:style>
  <w:style w:type="paragraph" w:styleId="BalloonText">
    <w:name w:val="Balloon Text"/>
    <w:basedOn w:val="Normal"/>
    <w:link w:val="BalloonTextChar"/>
    <w:uiPriority w:val="99"/>
    <w:semiHidden/>
    <w:unhideWhenUsed/>
    <w:rsid w:val="00DC54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54D8"/>
    <w:rPr>
      <w:rFonts w:ascii="Tahoma" w:hAnsi="Tahoma" w:cs="Tahoma"/>
      <w:sz w:val="16"/>
      <w:szCs w:val="16"/>
    </w:rPr>
  </w:style>
  <w:style w:type="character" w:styleId="Hyperlink">
    <w:name w:val="Hyperlink"/>
    <w:basedOn w:val="DefaultParagraphFont"/>
    <w:uiPriority w:val="99"/>
    <w:unhideWhenUsed/>
    <w:rsid w:val="00600525"/>
    <w:rPr>
      <w:color w:val="0000FF"/>
      <w:u w:val="single"/>
    </w:rPr>
  </w:style>
  <w:style w:type="character" w:styleId="Emphasis">
    <w:name w:val="Emphasis"/>
    <w:basedOn w:val="DefaultParagraphFont"/>
    <w:uiPriority w:val="20"/>
    <w:qFormat/>
    <w:rsid w:val="00600525"/>
    <w:rPr>
      <w:i/>
      <w:iCs/>
    </w:rPr>
  </w:style>
  <w:style w:type="paragraph" w:styleId="NormalWeb">
    <w:name w:val="Normal (Web)"/>
    <w:basedOn w:val="Normal"/>
    <w:uiPriority w:val="99"/>
    <w:unhideWhenUsed/>
    <w:rsid w:val="007B2FF8"/>
    <w:pPr>
      <w:spacing w:after="83" w:line="240" w:lineRule="auto"/>
    </w:pPr>
    <w:rPr>
      <w:rFonts w:ascii="Times New Roman" w:eastAsia="Times New Roman" w:hAnsi="Times New Roman" w:cs="Times New Roman"/>
      <w:sz w:val="24"/>
      <w:szCs w:val="24"/>
    </w:rPr>
  </w:style>
  <w:style w:type="character" w:customStyle="1" w:styleId="abstract-section-header">
    <w:name w:val="abstract-section-header"/>
    <w:basedOn w:val="DefaultParagraphFont"/>
    <w:rsid w:val="007B2FF8"/>
  </w:style>
  <w:style w:type="character" w:customStyle="1" w:styleId="Heading1Char">
    <w:name w:val="Heading 1 Char"/>
    <w:basedOn w:val="DefaultParagraphFont"/>
    <w:link w:val="Heading1"/>
    <w:uiPriority w:val="9"/>
    <w:rsid w:val="00760636"/>
    <w:rPr>
      <w:rFonts w:ascii="inherit" w:eastAsia="Times New Roman" w:hAnsi="inherit" w:cs="Times New Roman"/>
      <w:kern w:val="36"/>
      <w:sz w:val="30"/>
      <w:szCs w:val="30"/>
      <w:lang w:eastAsia="en-GB"/>
    </w:rPr>
  </w:style>
  <w:style w:type="character" w:customStyle="1" w:styleId="DefaultChar">
    <w:name w:val="Default Char"/>
    <w:link w:val="Default"/>
    <w:rsid w:val="006F48A8"/>
    <w:rPr>
      <w:rFonts w:ascii="Times" w:eastAsia="Times New Roman" w:hAnsi="Times" w:cs="Times"/>
      <w:color w:val="000000"/>
      <w:sz w:val="24"/>
      <w:szCs w:val="24"/>
      <w:lang w:val="en-US"/>
    </w:rPr>
  </w:style>
  <w:style w:type="paragraph" w:styleId="ListParagraph">
    <w:name w:val="List Paragraph"/>
    <w:basedOn w:val="Normal"/>
    <w:uiPriority w:val="34"/>
    <w:qFormat/>
    <w:rsid w:val="00FE4674"/>
    <w:pPr>
      <w:ind w:left="720"/>
      <w:contextualSpacing/>
    </w:pPr>
  </w:style>
  <w:style w:type="character" w:customStyle="1" w:styleId="journaltitle">
    <w:name w:val="journaltitle"/>
    <w:basedOn w:val="DefaultParagraphFont"/>
    <w:rsid w:val="00272C04"/>
  </w:style>
  <w:style w:type="paragraph" w:customStyle="1" w:styleId="icon--meta-keyline-before">
    <w:name w:val="icon--meta-keyline-before"/>
    <w:basedOn w:val="Normal"/>
    <w:rsid w:val="00272C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citationyear">
    <w:name w:val="articlecitation_year"/>
    <w:basedOn w:val="DefaultParagraphFont"/>
    <w:rsid w:val="00272C04"/>
  </w:style>
  <w:style w:type="character" w:customStyle="1" w:styleId="articlecitationvolume">
    <w:name w:val="articlecitation_volume"/>
    <w:basedOn w:val="DefaultParagraphFont"/>
    <w:rsid w:val="00272C04"/>
  </w:style>
  <w:style w:type="character" w:customStyle="1" w:styleId="articlecitationpages">
    <w:name w:val="articlecitation_pages"/>
    <w:basedOn w:val="DefaultParagraphFont"/>
    <w:rsid w:val="00272C04"/>
  </w:style>
  <w:style w:type="character" w:customStyle="1" w:styleId="u-inline-block">
    <w:name w:val="u-inline-block"/>
    <w:basedOn w:val="DefaultParagraphFont"/>
    <w:rsid w:val="00272C04"/>
  </w:style>
  <w:style w:type="character" w:customStyle="1" w:styleId="authorsname">
    <w:name w:val="authors__name"/>
    <w:basedOn w:val="DefaultParagraphFont"/>
    <w:rsid w:val="00272C04"/>
  </w:style>
  <w:style w:type="character" w:customStyle="1" w:styleId="cit">
    <w:name w:val="cit"/>
    <w:basedOn w:val="DefaultParagraphFont"/>
    <w:rsid w:val="00272C04"/>
  </w:style>
  <w:style w:type="character" w:customStyle="1" w:styleId="fm-vol-iss-date">
    <w:name w:val="fm-vol-iss-date"/>
    <w:basedOn w:val="DefaultParagraphFont"/>
    <w:rsid w:val="00272C04"/>
  </w:style>
  <w:style w:type="character" w:customStyle="1" w:styleId="doi">
    <w:name w:val="doi"/>
    <w:basedOn w:val="DefaultParagraphFont"/>
    <w:rsid w:val="00272C04"/>
  </w:style>
  <w:style w:type="character" w:customStyle="1" w:styleId="fm-citation-ids-label">
    <w:name w:val="fm-citation-ids-label"/>
    <w:basedOn w:val="DefaultParagraphFont"/>
    <w:rsid w:val="00272C04"/>
  </w:style>
  <w:style w:type="character" w:customStyle="1" w:styleId="citationref">
    <w:name w:val="citationref"/>
    <w:basedOn w:val="DefaultParagraphFont"/>
    <w:rsid w:val="00C067E9"/>
  </w:style>
  <w:style w:type="character" w:customStyle="1" w:styleId="authorname">
    <w:name w:val="authorname"/>
    <w:basedOn w:val="DefaultParagraphFont"/>
    <w:rsid w:val="00C067E9"/>
  </w:style>
  <w:style w:type="character" w:customStyle="1" w:styleId="u-sronly">
    <w:name w:val="u-sronly"/>
    <w:basedOn w:val="DefaultParagraphFont"/>
    <w:rsid w:val="00C067E9"/>
  </w:style>
  <w:style w:type="character" w:styleId="Strong">
    <w:name w:val="Strong"/>
    <w:basedOn w:val="DefaultParagraphFont"/>
    <w:uiPriority w:val="22"/>
    <w:qFormat/>
    <w:rsid w:val="00C067E9"/>
    <w:rPr>
      <w:b/>
      <w:bCs/>
    </w:rPr>
  </w:style>
  <w:style w:type="character" w:styleId="HTMLCite">
    <w:name w:val="HTML Cite"/>
    <w:basedOn w:val="DefaultParagraphFont"/>
    <w:uiPriority w:val="99"/>
    <w:semiHidden/>
    <w:unhideWhenUsed/>
    <w:rsid w:val="00C067E9"/>
    <w:rPr>
      <w:i/>
      <w:iCs/>
    </w:rPr>
  </w:style>
  <w:style w:type="character" w:customStyle="1" w:styleId="A5">
    <w:name w:val="A5"/>
    <w:uiPriority w:val="99"/>
    <w:rsid w:val="009F0678"/>
    <w:rPr>
      <w:rFonts w:cs="Verdana"/>
      <w:b/>
      <w:bCs/>
      <w:color w:val="000000"/>
      <w:sz w:val="12"/>
      <w:szCs w:val="12"/>
    </w:rPr>
  </w:style>
  <w:style w:type="character" w:customStyle="1" w:styleId="A2">
    <w:name w:val="A2"/>
    <w:uiPriority w:val="99"/>
    <w:rsid w:val="009F0678"/>
    <w:rPr>
      <w:rFonts w:cs="Verdana"/>
      <w:b/>
      <w:bCs/>
      <w:color w:val="000000"/>
      <w:sz w:val="20"/>
      <w:szCs w:val="20"/>
    </w:rPr>
  </w:style>
  <w:style w:type="character" w:customStyle="1" w:styleId="element-citation">
    <w:name w:val="element-citation"/>
    <w:basedOn w:val="DefaultParagraphFont"/>
    <w:rsid w:val="009F0678"/>
  </w:style>
  <w:style w:type="character" w:customStyle="1" w:styleId="ref-journal">
    <w:name w:val="ref-journal"/>
    <w:basedOn w:val="DefaultParagraphFont"/>
    <w:rsid w:val="009F0678"/>
  </w:style>
  <w:style w:type="character" w:customStyle="1" w:styleId="ref-vol">
    <w:name w:val="ref-vol"/>
    <w:basedOn w:val="DefaultParagraphFont"/>
    <w:rsid w:val="009F0678"/>
  </w:style>
  <w:style w:type="character" w:customStyle="1" w:styleId="A0">
    <w:name w:val="A0"/>
    <w:uiPriority w:val="99"/>
    <w:rsid w:val="003C3F35"/>
    <w:rPr>
      <w:i/>
      <w:iCs/>
      <w:color w:val="000000"/>
      <w:sz w:val="18"/>
      <w:szCs w:val="18"/>
    </w:rPr>
  </w:style>
  <w:style w:type="paragraph" w:styleId="Subtitle">
    <w:name w:val="Subtitle"/>
    <w:basedOn w:val="Normal"/>
    <w:next w:val="Normal"/>
    <w:rsid w:val="005E7D01"/>
    <w:pPr>
      <w:keepNext/>
      <w:keepLines/>
      <w:spacing w:before="360" w:after="80"/>
    </w:pPr>
    <w:rPr>
      <w:rFonts w:ascii="Georgia" w:eastAsia="Georgia" w:hAnsi="Georgia" w:cs="Georgia"/>
      <w:i/>
      <w:color w:val="666666"/>
      <w:sz w:val="48"/>
      <w:szCs w:val="48"/>
    </w:rPr>
  </w:style>
  <w:style w:type="table" w:customStyle="1" w:styleId="a">
    <w:basedOn w:val="TableNormal"/>
    <w:rsid w:val="005E7D01"/>
    <w:tblPr>
      <w:tblStyleRowBandSize w:val="1"/>
      <w:tblStyleColBandSize w:val="1"/>
      <w:tblCellMar>
        <w:left w:w="115" w:type="dxa"/>
        <w:right w:w="115" w:type="dxa"/>
      </w:tblCellMar>
    </w:tblPr>
  </w:style>
  <w:style w:type="table" w:customStyle="1" w:styleId="a1">
    <w:basedOn w:val="TableNormal"/>
    <w:rsid w:val="005E7D01"/>
    <w:tblPr>
      <w:tblStyleRowBandSize w:val="1"/>
      <w:tblStyleColBandSize w:val="1"/>
      <w:tblCellMar>
        <w:left w:w="115" w:type="dxa"/>
        <w:right w:w="115" w:type="dxa"/>
      </w:tblCellMar>
    </w:tblPr>
  </w:style>
  <w:style w:type="table" w:customStyle="1" w:styleId="a3">
    <w:basedOn w:val="TableNormal"/>
    <w:rsid w:val="005E7D01"/>
    <w:tblPr>
      <w:tblStyleRowBandSize w:val="1"/>
      <w:tblStyleColBandSize w:val="1"/>
      <w:tblCellMar>
        <w:left w:w="115" w:type="dxa"/>
        <w:right w:w="115" w:type="dxa"/>
      </w:tblCellMar>
    </w:tblPr>
  </w:style>
  <w:style w:type="table" w:customStyle="1" w:styleId="a4">
    <w:basedOn w:val="TableNormal"/>
    <w:rsid w:val="005E7D01"/>
    <w:tblPr>
      <w:tblStyleRowBandSize w:val="1"/>
      <w:tblStyleColBandSize w:val="1"/>
      <w:tblCellMar>
        <w:left w:w="115" w:type="dxa"/>
        <w:right w:w="115" w:type="dxa"/>
      </w:tblCellMar>
    </w:tblPr>
  </w:style>
  <w:style w:type="table" w:customStyle="1" w:styleId="a6">
    <w:basedOn w:val="TableNormal"/>
    <w:rsid w:val="005E7D01"/>
    <w:tblPr>
      <w:tblStyleRowBandSize w:val="1"/>
      <w:tblStyleColBandSize w:val="1"/>
      <w:tblCellMar>
        <w:left w:w="115" w:type="dxa"/>
        <w:right w:w="115" w:type="dxa"/>
      </w:tblCellMar>
    </w:tblPr>
  </w:style>
  <w:style w:type="table" w:customStyle="1" w:styleId="a7">
    <w:basedOn w:val="TableNormal"/>
    <w:rsid w:val="005E7D01"/>
    <w:tblPr>
      <w:tblStyleRowBandSize w:val="1"/>
      <w:tblStyleColBandSize w:val="1"/>
      <w:tblCellMar>
        <w:left w:w="115" w:type="dxa"/>
        <w:right w:w="115" w:type="dxa"/>
      </w:tblCellMar>
    </w:tblPr>
  </w:style>
  <w:style w:type="table" w:customStyle="1" w:styleId="a8">
    <w:basedOn w:val="TableNormal"/>
    <w:rsid w:val="005E7D01"/>
    <w:tblPr>
      <w:tblStyleRowBandSize w:val="1"/>
      <w:tblStyleColBandSize w:val="1"/>
      <w:tblCellMar>
        <w:left w:w="115" w:type="dxa"/>
        <w:right w:w="115" w:type="dxa"/>
      </w:tblCellMar>
    </w:tblPr>
  </w:style>
  <w:style w:type="table" w:customStyle="1" w:styleId="aa">
    <w:basedOn w:val="TableNormal"/>
    <w:rsid w:val="005E7D01"/>
    <w:tblPr>
      <w:tblStyleRowBandSize w:val="1"/>
      <w:tblStyleColBandSize w:val="1"/>
      <w:tblCellMar>
        <w:left w:w="115" w:type="dxa"/>
        <w:right w:w="115" w:type="dxa"/>
      </w:tblCellMar>
    </w:tblPr>
  </w:style>
</w:styles>
</file>

<file path=word/webSettings.xml><?xml version="1.0" encoding="utf-8"?>
<w:webSettings xmlns:r="http://schemas.openxmlformats.org/officeDocument/2006/relationships" xmlns:w="http://schemas.openxmlformats.org/wordprocessingml/2006/main">
  <w:divs>
    <w:div w:id="474030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aliaaatef@hotmail.com"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dx.doi.org/10.7537/marscbj090319.05"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ancerbio.net"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9499D-69CE-4845-B280-7C1F5DF12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3821</Words>
  <Characters>21780</Characters>
  <Application>Microsoft Office Word</Application>
  <DocSecurity>0</DocSecurity>
  <Lines>181</Lines>
  <Paragraphs>51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Sky123.Org</Company>
  <LinksUpToDate>false</LinksUpToDate>
  <CharactersWithSpaces>25550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Aliaa</dc:creator>
  <cp:lastModifiedBy>Administrator</cp:lastModifiedBy>
  <cp:revision>3</cp:revision>
  <dcterms:created xsi:type="dcterms:W3CDTF">2019-07-08T14:51:00Z</dcterms:created>
  <dcterms:modified xsi:type="dcterms:W3CDTF">2019-07-08T22:29:00Z</dcterms:modified>
</cp:coreProperties>
</file>