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7" w:rsidRPr="00673D40" w:rsidRDefault="00B707A1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3D40">
        <w:rPr>
          <w:rFonts w:ascii="Times New Roman" w:hAnsi="Times New Roman" w:cs="Times New Roman"/>
          <w:b/>
          <w:bCs/>
          <w:sz w:val="20"/>
          <w:szCs w:val="20"/>
        </w:rPr>
        <w:t xml:space="preserve">The prognostic significance of tumor infiltrating CD8+ </w:t>
      </w:r>
      <w:proofErr w:type="spellStart"/>
      <w:r w:rsidRPr="00673D40">
        <w:rPr>
          <w:rFonts w:ascii="Times New Roman" w:hAnsi="Times New Roman" w:cs="Times New Roman"/>
          <w:b/>
          <w:bCs/>
          <w:sz w:val="20"/>
          <w:szCs w:val="20"/>
        </w:rPr>
        <w:t>cytotoxic</w:t>
      </w:r>
      <w:proofErr w:type="spellEnd"/>
      <w:r w:rsidRPr="00673D40">
        <w:rPr>
          <w:rFonts w:ascii="Times New Roman" w:hAnsi="Times New Roman" w:cs="Times New Roman"/>
          <w:b/>
          <w:bCs/>
          <w:sz w:val="20"/>
          <w:szCs w:val="20"/>
        </w:rPr>
        <w:t xml:space="preserve"> cells and FoxP3+T regulatory cells in colon cancer</w:t>
      </w:r>
    </w:p>
    <w:p w:rsidR="00120BC7" w:rsidRPr="00673D40" w:rsidRDefault="00120BC7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0BC7" w:rsidRPr="00673D40" w:rsidRDefault="00802F4A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proofErr w:type="spellStart"/>
      <w:r w:rsidRPr="00673D40">
        <w:rPr>
          <w:rFonts w:ascii="Times New Roman" w:hAnsi="Times New Roman" w:cs="Times New Roman"/>
          <w:sz w:val="20"/>
          <w:szCs w:val="20"/>
        </w:rPr>
        <w:t>Azza</w:t>
      </w:r>
      <w:proofErr w:type="spellEnd"/>
      <w:r w:rsidRPr="00673D40">
        <w:rPr>
          <w:rFonts w:ascii="Times New Roman" w:hAnsi="Times New Roman" w:cs="Times New Roman"/>
          <w:sz w:val="20"/>
          <w:szCs w:val="20"/>
        </w:rPr>
        <w:t xml:space="preserve"> Darwish</w:t>
      </w:r>
      <w:r w:rsidRPr="00673D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73D40">
        <w:rPr>
          <w:rFonts w:ascii="Times New Roman" w:hAnsi="Times New Roman" w:cs="Times New Roman"/>
          <w:sz w:val="20"/>
          <w:szCs w:val="20"/>
        </w:rPr>
        <w:t>*,</w:t>
      </w:r>
      <w:r w:rsidR="005C7FAE" w:rsidRPr="00673D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3D40">
        <w:rPr>
          <w:rFonts w:ascii="Times New Roman" w:hAnsi="Times New Roman" w:cs="Times New Roman"/>
          <w:sz w:val="20"/>
          <w:szCs w:val="20"/>
        </w:rPr>
        <w:t>Haitham</w:t>
      </w:r>
      <w:proofErr w:type="spellEnd"/>
      <w:r w:rsidRPr="00673D40">
        <w:rPr>
          <w:rFonts w:ascii="Times New Roman" w:hAnsi="Times New Roman" w:cs="Times New Roman"/>
          <w:sz w:val="20"/>
          <w:szCs w:val="20"/>
        </w:rPr>
        <w:t xml:space="preserve"> Fayed </w:t>
      </w:r>
      <w:r w:rsidRPr="00673D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73D40">
        <w:rPr>
          <w:rFonts w:ascii="Times New Roman" w:hAnsi="Times New Roman" w:cs="Times New Roman"/>
          <w:sz w:val="20"/>
          <w:szCs w:val="20"/>
        </w:rPr>
        <w:t xml:space="preserve">, Dina </w:t>
      </w:r>
      <w:proofErr w:type="spellStart"/>
      <w:r w:rsidRPr="00673D40">
        <w:rPr>
          <w:rFonts w:ascii="Times New Roman" w:hAnsi="Times New Roman" w:cs="Times New Roman"/>
          <w:sz w:val="20"/>
          <w:szCs w:val="20"/>
        </w:rPr>
        <w:t>Abdallah</w:t>
      </w:r>
      <w:proofErr w:type="spellEnd"/>
      <w:r w:rsidRPr="00673D40">
        <w:rPr>
          <w:rFonts w:ascii="Times New Roman" w:hAnsi="Times New Roman" w:cs="Times New Roman"/>
          <w:sz w:val="20"/>
          <w:szCs w:val="20"/>
        </w:rPr>
        <w:t xml:space="preserve"> </w:t>
      </w:r>
      <w:r w:rsidRPr="00673D40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120BC7" w:rsidRPr="00673D40" w:rsidRDefault="00120BC7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802F4A" w:rsidRPr="00673D40" w:rsidRDefault="00802F4A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D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73D40">
        <w:rPr>
          <w:rFonts w:ascii="Times New Roman" w:hAnsi="Times New Roman" w:cs="Times New Roman"/>
          <w:sz w:val="20"/>
          <w:szCs w:val="20"/>
        </w:rPr>
        <w:t xml:space="preserve"> Clinical Oncology Department, Faculty of Medicine, Alexandria University, Egypt</w:t>
      </w:r>
      <w:r w:rsidR="00AE2FFA" w:rsidRPr="00673D40">
        <w:rPr>
          <w:rFonts w:ascii="Times New Roman" w:hAnsi="Times New Roman" w:cs="Times New Roman"/>
          <w:sz w:val="20"/>
          <w:szCs w:val="20"/>
        </w:rPr>
        <w:t>.</w:t>
      </w:r>
    </w:p>
    <w:p w:rsidR="00802F4A" w:rsidRPr="00673D40" w:rsidRDefault="00802F4A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D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73D40">
        <w:rPr>
          <w:rFonts w:ascii="Times New Roman" w:hAnsi="Times New Roman" w:cs="Times New Roman"/>
          <w:sz w:val="20"/>
          <w:szCs w:val="20"/>
        </w:rPr>
        <w:t xml:space="preserve"> General Surgery Department, Faculty of Medicine, Alexandria University, Egypt</w:t>
      </w:r>
      <w:r w:rsidR="00AE2FFA" w:rsidRPr="00673D40">
        <w:rPr>
          <w:rFonts w:ascii="Times New Roman" w:hAnsi="Times New Roman" w:cs="Times New Roman"/>
          <w:sz w:val="20"/>
          <w:szCs w:val="20"/>
        </w:rPr>
        <w:t>.</w:t>
      </w:r>
    </w:p>
    <w:p w:rsidR="00802F4A" w:rsidRPr="00673D40" w:rsidRDefault="00802F4A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D4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73D40">
        <w:rPr>
          <w:rFonts w:ascii="Times New Roman" w:hAnsi="Times New Roman" w:cs="Times New Roman"/>
          <w:sz w:val="20"/>
          <w:szCs w:val="20"/>
        </w:rPr>
        <w:t xml:space="preserve"> Pathology Department, Faculty of Medicine, Alexandria University, Egypt</w:t>
      </w:r>
      <w:r w:rsidR="00AE2FFA" w:rsidRPr="00673D40">
        <w:rPr>
          <w:rFonts w:ascii="Times New Roman" w:hAnsi="Times New Roman" w:cs="Times New Roman"/>
          <w:sz w:val="20"/>
          <w:szCs w:val="20"/>
        </w:rPr>
        <w:t>.</w:t>
      </w:r>
    </w:p>
    <w:p w:rsidR="00120BC7" w:rsidRPr="00673D40" w:rsidRDefault="005C7FAE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3D40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673D40">
          <w:rPr>
            <w:rStyle w:val="Hyperlink"/>
            <w:rFonts w:ascii="Times New Roman" w:hAnsi="Times New Roman"/>
            <w:sz w:val="20"/>
            <w:szCs w:val="20"/>
          </w:rPr>
          <w:t>azzadarwish2005@yahoo.com</w:t>
        </w:r>
      </w:hyperlink>
      <w:r w:rsidRPr="00673D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BC7" w:rsidRPr="00673D40" w:rsidRDefault="00120BC7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425D" w:rsidRPr="00673D40" w:rsidRDefault="006C0E2F" w:rsidP="00673D4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673D40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5C7FAE" w:rsidRPr="00673D40">
        <w:rPr>
          <w:rFonts w:ascii="Times New Roman" w:hAnsi="Times New Roman" w:cs="Times New Roman"/>
          <w:sz w:val="20"/>
          <w:szCs w:val="20"/>
        </w:rPr>
        <w:t xml:space="preserve">: </w:t>
      </w:r>
      <w:r w:rsidR="0004274C" w:rsidRPr="00673D40">
        <w:rPr>
          <w:rFonts w:ascii="Times New Roman" w:hAnsi="Times New Roman" w:cs="Times New Roman"/>
          <w:sz w:val="20"/>
          <w:szCs w:val="20"/>
        </w:rPr>
        <w:t>Background</w:t>
      </w:r>
      <w:r w:rsidR="005C7FAE" w:rsidRPr="00673D40">
        <w:rPr>
          <w:rFonts w:ascii="Times New Roman" w:hAnsi="Times New Roman" w:cs="Times New Roman"/>
          <w:sz w:val="20"/>
          <w:szCs w:val="20"/>
        </w:rPr>
        <w:t xml:space="preserve">: </w:t>
      </w:r>
      <w:r w:rsidRPr="00673D40">
        <w:rPr>
          <w:rFonts w:ascii="Times New Roman" w:hAnsi="Times New Roman" w:cs="Times New Roman"/>
          <w:sz w:val="20"/>
          <w:szCs w:val="20"/>
        </w:rPr>
        <w:t xml:space="preserve">T-lymphocytic </w:t>
      </w:r>
      <w:proofErr w:type="spellStart"/>
      <w:r w:rsidRPr="00673D40">
        <w:rPr>
          <w:rFonts w:ascii="Times New Roman" w:hAnsi="Times New Roman" w:cs="Times New Roman"/>
          <w:sz w:val="20"/>
          <w:szCs w:val="20"/>
        </w:rPr>
        <w:t>infi</w:t>
      </w:r>
      <w:r w:rsidR="00CC6B75" w:rsidRPr="00673D40">
        <w:rPr>
          <w:rFonts w:ascii="Times New Roman" w:hAnsi="Times New Roman" w:cs="Times New Roman"/>
          <w:sz w:val="20"/>
          <w:szCs w:val="20"/>
        </w:rPr>
        <w:t>tration</w:t>
      </w:r>
      <w:proofErr w:type="spellEnd"/>
      <w:r w:rsidR="00240F1E" w:rsidRPr="00673D40">
        <w:rPr>
          <w:rFonts w:ascii="Times New Roman" w:hAnsi="Times New Roman" w:cs="Times New Roman"/>
          <w:sz w:val="20"/>
          <w:szCs w:val="20"/>
        </w:rPr>
        <w:t xml:space="preserve"> may have a crucial role in the prognosis of colorectal cancer patients</w:t>
      </w:r>
      <w:r w:rsidR="00CF425D" w:rsidRPr="00673D40">
        <w:rPr>
          <w:rFonts w:ascii="Times New Roman" w:hAnsi="Times New Roman" w:cs="Times New Roman"/>
          <w:sz w:val="20"/>
          <w:szCs w:val="20"/>
        </w:rPr>
        <w:t>.</w:t>
      </w:r>
      <w:r w:rsidR="00EE5A52" w:rsidRPr="00673D40">
        <w:rPr>
          <w:rFonts w:ascii="Times New Roman" w:hAnsi="Times New Roman" w:cs="Times New Roman"/>
          <w:sz w:val="20"/>
          <w:szCs w:val="20"/>
        </w:rPr>
        <w:t xml:space="preserve"> </w:t>
      </w:r>
      <w:r w:rsidR="00240F1E" w:rsidRPr="00673D40">
        <w:rPr>
          <w:rFonts w:ascii="Times New Roman" w:hAnsi="Times New Roman" w:cs="Times New Roman"/>
          <w:sz w:val="20"/>
          <w:szCs w:val="20"/>
        </w:rPr>
        <w:t xml:space="preserve">Our aim was to assess the prognostic significance of the presence of lymphocytic infiltration </w:t>
      </w:r>
      <w:r w:rsidR="009065D2" w:rsidRPr="00673D40">
        <w:rPr>
          <w:rFonts w:ascii="Times New Roman" w:hAnsi="Times New Roman" w:cs="Times New Roman"/>
          <w:sz w:val="20"/>
          <w:szCs w:val="20"/>
        </w:rPr>
        <w:t>with focusing on its subsets</w:t>
      </w:r>
      <w:r w:rsidR="00FA4875" w:rsidRPr="00673D40">
        <w:rPr>
          <w:rFonts w:ascii="Times New Roman" w:hAnsi="Times New Roman" w:cs="Times New Roman"/>
          <w:sz w:val="20"/>
          <w:szCs w:val="20"/>
        </w:rPr>
        <w:t>; CD8+ and FoxP3+.</w:t>
      </w:r>
      <w:r w:rsidR="00755213" w:rsidRPr="00673D4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25B56" w:rsidRPr="00673D40">
        <w:rPr>
          <w:rFonts w:ascii="Times New Roman" w:hAnsi="Times New Roman" w:cs="Times New Roman"/>
          <w:sz w:val="20"/>
          <w:szCs w:val="20"/>
        </w:rPr>
        <w:t>Tumor infiltrating lymphocytes (</w:t>
      </w:r>
      <w:proofErr w:type="spellStart"/>
      <w:r w:rsidR="00225B56" w:rsidRPr="00673D40">
        <w:rPr>
          <w:rFonts w:ascii="Times New Roman" w:hAnsi="Times New Roman" w:cs="Times New Roman"/>
          <w:sz w:val="20"/>
          <w:szCs w:val="20"/>
        </w:rPr>
        <w:t>Tils</w:t>
      </w:r>
      <w:proofErr w:type="spellEnd"/>
      <w:r w:rsidR="00225B56" w:rsidRPr="00673D40">
        <w:rPr>
          <w:rFonts w:ascii="Times New Roman" w:hAnsi="Times New Roman" w:cs="Times New Roman"/>
          <w:sz w:val="20"/>
          <w:szCs w:val="20"/>
        </w:rPr>
        <w:t>) were quantified in 69 patients operated for stage II and stage III colon cancer</w:t>
      </w:r>
      <w:r w:rsidR="00CF425D" w:rsidRPr="00673D40">
        <w:rPr>
          <w:rFonts w:ascii="Times New Roman" w:hAnsi="Times New Roman" w:cs="Times New Roman"/>
          <w:sz w:val="20"/>
          <w:szCs w:val="20"/>
        </w:rPr>
        <w:t>.</w:t>
      </w:r>
      <w:r w:rsidR="005C7FAE" w:rsidRPr="00673D40">
        <w:rPr>
          <w:rFonts w:ascii="Times New Roman" w:hAnsi="Times New Roman" w:cs="Times New Roman"/>
          <w:sz w:val="20"/>
          <w:szCs w:val="20"/>
        </w:rPr>
        <w:t xml:space="preserve"> </w:t>
      </w:r>
      <w:r w:rsidR="00225B56" w:rsidRPr="00673D40">
        <w:rPr>
          <w:rFonts w:ascii="Times New Roman" w:hAnsi="Times New Roman" w:cs="Times New Roman"/>
          <w:sz w:val="20"/>
          <w:szCs w:val="20"/>
        </w:rPr>
        <w:t xml:space="preserve">Patients with high </w:t>
      </w:r>
      <w:proofErr w:type="spellStart"/>
      <w:r w:rsidR="00225B56" w:rsidRPr="00673D40">
        <w:rPr>
          <w:rFonts w:ascii="Times New Roman" w:hAnsi="Times New Roman" w:cs="Times New Roman"/>
          <w:sz w:val="20"/>
          <w:szCs w:val="20"/>
        </w:rPr>
        <w:t>Tils</w:t>
      </w:r>
      <w:proofErr w:type="spellEnd"/>
      <w:r w:rsidR="00225B56" w:rsidRPr="00673D40">
        <w:rPr>
          <w:rFonts w:ascii="Times New Roman" w:hAnsi="Times New Roman" w:cs="Times New Roman"/>
          <w:sz w:val="20"/>
          <w:szCs w:val="20"/>
        </w:rPr>
        <w:t xml:space="preserve"> were further stained for CD8+and FoxP3+. </w:t>
      </w:r>
      <w:r w:rsidR="0004274C" w:rsidRPr="00673D40">
        <w:rPr>
          <w:rFonts w:ascii="Times New Roman" w:hAnsi="Times New Roman" w:cs="Times New Roman"/>
          <w:sz w:val="20"/>
          <w:szCs w:val="20"/>
        </w:rPr>
        <w:t>Results Most of our patients (73.9%)</w:t>
      </w:r>
      <w:r w:rsidR="00CF425D" w:rsidRPr="00673D40">
        <w:rPr>
          <w:rFonts w:ascii="Times New Roman" w:hAnsi="Times New Roman" w:cs="Times New Roman"/>
          <w:sz w:val="20"/>
          <w:szCs w:val="20"/>
        </w:rPr>
        <w:t xml:space="preserve"> </w:t>
      </w:r>
      <w:r w:rsidR="0004274C" w:rsidRPr="00673D40">
        <w:rPr>
          <w:rFonts w:ascii="Times New Roman" w:hAnsi="Times New Roman" w:cs="Times New Roman"/>
          <w:sz w:val="20"/>
          <w:szCs w:val="20"/>
        </w:rPr>
        <w:t>had low LI</w:t>
      </w:r>
      <w:r w:rsidR="00CF425D" w:rsidRPr="00673D40">
        <w:rPr>
          <w:rFonts w:ascii="Times New Roman" w:hAnsi="Times New Roman" w:cs="Times New Roman"/>
          <w:sz w:val="20"/>
          <w:szCs w:val="20"/>
        </w:rPr>
        <w:t>,</w:t>
      </w:r>
      <w:r w:rsidR="0004274C" w:rsidRPr="00673D40">
        <w:rPr>
          <w:rFonts w:ascii="Times New Roman" w:hAnsi="Times New Roman" w:cs="Times New Roman"/>
          <w:sz w:val="20"/>
          <w:szCs w:val="20"/>
        </w:rPr>
        <w:t xml:space="preserve"> while 26.1 % had high LI</w:t>
      </w:r>
      <w:r w:rsidR="00CF425D" w:rsidRPr="00673D40">
        <w:rPr>
          <w:rFonts w:ascii="Times New Roman" w:hAnsi="Times New Roman" w:cs="Times New Roman"/>
          <w:sz w:val="20"/>
          <w:szCs w:val="20"/>
        </w:rPr>
        <w:t>.</w:t>
      </w:r>
      <w:r w:rsidR="0004274C" w:rsidRPr="00673D40">
        <w:rPr>
          <w:rFonts w:ascii="Times New Roman" w:hAnsi="Times New Roman" w:cs="Times New Roman"/>
          <w:sz w:val="20"/>
          <w:szCs w:val="20"/>
        </w:rPr>
        <w:t xml:space="preserve"> There was no significant association between any clinic-pathological feature and density of LI</w:t>
      </w:r>
      <w:r w:rsidR="00CF425D" w:rsidRPr="00673D40">
        <w:rPr>
          <w:rFonts w:ascii="Times New Roman" w:hAnsi="Times New Roman" w:cs="Times New Roman"/>
          <w:sz w:val="20"/>
          <w:szCs w:val="20"/>
        </w:rPr>
        <w:t>.</w:t>
      </w:r>
      <w:r w:rsidR="0004274C" w:rsidRPr="00673D40">
        <w:rPr>
          <w:rFonts w:ascii="Times New Roman" w:hAnsi="Times New Roman" w:cs="Times New Roman"/>
          <w:sz w:val="20"/>
          <w:szCs w:val="20"/>
        </w:rPr>
        <w:t xml:space="preserve"> After a </w:t>
      </w:r>
      <w:r w:rsidR="00CF425D" w:rsidRPr="00673D40">
        <w:rPr>
          <w:rFonts w:ascii="Times New Roman" w:hAnsi="Times New Roman" w:cs="Times New Roman"/>
          <w:sz w:val="20"/>
          <w:szCs w:val="20"/>
        </w:rPr>
        <w:t>median follow up of 56.5 months</w:t>
      </w:r>
      <w:r w:rsidR="0004274C" w:rsidRPr="00673D40">
        <w:rPr>
          <w:rFonts w:ascii="Times New Roman" w:hAnsi="Times New Roman" w:cs="Times New Roman"/>
          <w:sz w:val="20"/>
          <w:szCs w:val="20"/>
        </w:rPr>
        <w:t>, the DFS and OS varied according to the density of LI</w:t>
      </w:r>
      <w:r w:rsidR="00CF425D" w:rsidRPr="00673D40">
        <w:rPr>
          <w:rFonts w:ascii="Times New Roman" w:hAnsi="Times New Roman" w:cs="Times New Roman"/>
          <w:sz w:val="20"/>
          <w:szCs w:val="20"/>
        </w:rPr>
        <w:t>.</w:t>
      </w:r>
      <w:r w:rsidR="0004274C" w:rsidRPr="00673D40">
        <w:rPr>
          <w:rFonts w:ascii="Times New Roman" w:hAnsi="Times New Roman" w:cs="Times New Roman"/>
          <w:sz w:val="20"/>
          <w:szCs w:val="20"/>
        </w:rPr>
        <w:t xml:space="preserve"> There was a trend towards better 3-year DFS</w:t>
      </w:r>
      <w:r w:rsidR="00096048" w:rsidRPr="00673D40">
        <w:rPr>
          <w:rFonts w:ascii="Times New Roman" w:hAnsi="Times New Roman" w:cs="Times New Roman"/>
          <w:sz w:val="20"/>
          <w:szCs w:val="20"/>
        </w:rPr>
        <w:t xml:space="preserve"> and OS </w:t>
      </w:r>
      <w:r w:rsidR="0004274C" w:rsidRPr="00673D40">
        <w:rPr>
          <w:rFonts w:ascii="Times New Roman" w:hAnsi="Times New Roman" w:cs="Times New Roman"/>
          <w:sz w:val="20"/>
          <w:szCs w:val="20"/>
        </w:rPr>
        <w:t>in patients</w:t>
      </w:r>
      <w:r w:rsidR="00096048" w:rsidRPr="00673D40">
        <w:rPr>
          <w:rFonts w:ascii="Times New Roman" w:hAnsi="Times New Roman" w:cs="Times New Roman"/>
          <w:sz w:val="20"/>
          <w:szCs w:val="20"/>
        </w:rPr>
        <w:t xml:space="preserve"> with high LI </w:t>
      </w:r>
      <w:r w:rsidR="0004274C" w:rsidRPr="00673D40">
        <w:rPr>
          <w:rFonts w:ascii="Times New Roman" w:hAnsi="Times New Roman" w:cs="Times New Roman"/>
          <w:sz w:val="20"/>
          <w:szCs w:val="20"/>
        </w:rPr>
        <w:t>(p=0.065)</w:t>
      </w:r>
      <w:r w:rsidR="00096048" w:rsidRPr="00673D40">
        <w:rPr>
          <w:rFonts w:ascii="Times New Roman" w:hAnsi="Times New Roman" w:cs="Times New Roman"/>
          <w:sz w:val="20"/>
          <w:szCs w:val="20"/>
        </w:rPr>
        <w:t xml:space="preserve"> and (p=0.08) respectively.</w:t>
      </w:r>
      <w:r w:rsidR="00E20B1E" w:rsidRPr="00673D40">
        <w:rPr>
          <w:rFonts w:ascii="Times New Roman" w:hAnsi="Times New Roman" w:cs="Times New Roman"/>
          <w:sz w:val="20"/>
          <w:szCs w:val="20"/>
        </w:rPr>
        <w:t xml:space="preserve"> </w:t>
      </w:r>
      <w:r w:rsidR="00386664" w:rsidRPr="00673D40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="00386664" w:rsidRPr="00673D40">
        <w:rPr>
          <w:rFonts w:ascii="Times New Roman" w:hAnsi="Times New Roman" w:cs="Times New Roman"/>
          <w:sz w:val="20"/>
          <w:szCs w:val="20"/>
        </w:rPr>
        <w:t>immunophenotyping</w:t>
      </w:r>
      <w:proofErr w:type="spellEnd"/>
      <w:r w:rsidR="00CF425D" w:rsidRPr="00673D40">
        <w:rPr>
          <w:rFonts w:ascii="Times New Roman" w:hAnsi="Times New Roman" w:cs="Times New Roman"/>
          <w:sz w:val="20"/>
          <w:szCs w:val="20"/>
        </w:rPr>
        <w:t>,</w:t>
      </w:r>
      <w:r w:rsidR="00386664" w:rsidRPr="00673D40">
        <w:rPr>
          <w:rFonts w:ascii="Times New Roman" w:hAnsi="Times New Roman" w:cs="Times New Roman"/>
          <w:sz w:val="20"/>
          <w:szCs w:val="20"/>
        </w:rPr>
        <w:t xml:space="preserve"> CD8+ infiltration was more common than FoxP</w:t>
      </w:r>
      <w:r w:rsidR="00E653A9" w:rsidRPr="00673D40">
        <w:rPr>
          <w:rFonts w:ascii="Times New Roman" w:hAnsi="Times New Roman" w:cs="Times New Roman"/>
          <w:sz w:val="20"/>
          <w:szCs w:val="20"/>
        </w:rPr>
        <w:t>3+</w:t>
      </w:r>
      <w:r w:rsidR="00CF425D" w:rsidRPr="00673D40">
        <w:rPr>
          <w:rFonts w:ascii="Times New Roman" w:hAnsi="Times New Roman" w:cs="Times New Roman"/>
          <w:sz w:val="20"/>
          <w:szCs w:val="20"/>
        </w:rPr>
        <w:t>.</w:t>
      </w:r>
      <w:r w:rsidR="00E653A9" w:rsidRPr="00673D40">
        <w:rPr>
          <w:rFonts w:ascii="Times New Roman" w:hAnsi="Times New Roman" w:cs="Times New Roman"/>
          <w:sz w:val="20"/>
          <w:szCs w:val="20"/>
        </w:rPr>
        <w:t xml:space="preserve"> Prominent CD8+ infiltration was associated with lower grade tumors (p=0.06)</w:t>
      </w:r>
      <w:r w:rsidR="00CF425D" w:rsidRPr="00673D40">
        <w:rPr>
          <w:rFonts w:ascii="Times New Roman" w:hAnsi="Times New Roman" w:cs="Times New Roman"/>
          <w:sz w:val="20"/>
          <w:szCs w:val="20"/>
        </w:rPr>
        <w:t>,</w:t>
      </w:r>
      <w:r w:rsidR="00E653A9" w:rsidRPr="00673D40">
        <w:rPr>
          <w:rFonts w:ascii="Times New Roman" w:hAnsi="Times New Roman" w:cs="Times New Roman"/>
          <w:sz w:val="20"/>
          <w:szCs w:val="20"/>
        </w:rPr>
        <w:t xml:space="preserve"> lower N stage (p=0.06) and favorable overall survival (p=0.07).</w:t>
      </w:r>
      <w:r w:rsidR="009065D2" w:rsidRPr="00673D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D40" w:rsidRPr="00673D40" w:rsidRDefault="00673D40" w:rsidP="00673D4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3D40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proofErr w:type="spellStart"/>
      <w:r w:rsidRPr="00673D40">
        <w:rPr>
          <w:rFonts w:ascii="Times New Roman" w:hAnsi="Times New Roman" w:cs="Times New Roman"/>
          <w:sz w:val="20"/>
          <w:szCs w:val="20"/>
        </w:rPr>
        <w:t>Azza</w:t>
      </w:r>
      <w:proofErr w:type="spellEnd"/>
      <w:r w:rsidRPr="00673D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3D40">
        <w:rPr>
          <w:rFonts w:ascii="Times New Roman" w:hAnsi="Times New Roman" w:cs="Times New Roman"/>
          <w:sz w:val="20"/>
          <w:szCs w:val="20"/>
        </w:rPr>
        <w:t>Darwish</w:t>
      </w:r>
      <w:proofErr w:type="spellEnd"/>
      <w:r w:rsidRPr="00673D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3D40">
        <w:rPr>
          <w:rFonts w:ascii="Times New Roman" w:hAnsi="Times New Roman" w:cs="Times New Roman"/>
          <w:sz w:val="20"/>
          <w:szCs w:val="20"/>
        </w:rPr>
        <w:t>Haitham</w:t>
      </w:r>
      <w:proofErr w:type="spellEnd"/>
      <w:r w:rsidRPr="00673D40">
        <w:rPr>
          <w:rFonts w:ascii="Times New Roman" w:hAnsi="Times New Roman" w:cs="Times New Roman"/>
          <w:sz w:val="20"/>
          <w:szCs w:val="20"/>
        </w:rPr>
        <w:t xml:space="preserve"> Fayed</w:t>
      </w:r>
      <w:r>
        <w:rPr>
          <w:rFonts w:ascii="Times New Roman" w:hAnsi="Times New Roman" w:cs="Times New Roman"/>
          <w:sz w:val="20"/>
          <w:szCs w:val="20"/>
        </w:rPr>
        <w:t xml:space="preserve">, Dina </w:t>
      </w:r>
      <w:proofErr w:type="spellStart"/>
      <w:r>
        <w:rPr>
          <w:rFonts w:ascii="Times New Roman" w:hAnsi="Times New Roman" w:cs="Times New Roman"/>
          <w:sz w:val="20"/>
          <w:szCs w:val="20"/>
        </w:rPr>
        <w:t>Abdallah</w:t>
      </w:r>
      <w:proofErr w:type="spellEnd"/>
      <w:r w:rsidRPr="00673D40">
        <w:rPr>
          <w:rFonts w:ascii="Times New Roman" w:hAnsi="Times New Roman" w:cs="Times New Roman"/>
          <w:sz w:val="20"/>
          <w:szCs w:val="20"/>
        </w:rPr>
        <w:t xml:space="preserve">. </w:t>
      </w:r>
      <w:r w:rsidRPr="00673D40">
        <w:rPr>
          <w:rFonts w:ascii="Times New Roman" w:hAnsi="Times New Roman" w:cs="Times New Roman"/>
          <w:b/>
          <w:bCs/>
          <w:sz w:val="20"/>
          <w:szCs w:val="20"/>
        </w:rPr>
        <w:t xml:space="preserve">The prognostic significance of tumor infiltrating CD8+ </w:t>
      </w:r>
      <w:proofErr w:type="spellStart"/>
      <w:r w:rsidRPr="00673D40">
        <w:rPr>
          <w:rFonts w:ascii="Times New Roman" w:hAnsi="Times New Roman" w:cs="Times New Roman"/>
          <w:b/>
          <w:bCs/>
          <w:sz w:val="20"/>
          <w:szCs w:val="20"/>
        </w:rPr>
        <w:t>cytotoxic</w:t>
      </w:r>
      <w:proofErr w:type="spellEnd"/>
      <w:r w:rsidRPr="00673D40">
        <w:rPr>
          <w:rFonts w:ascii="Times New Roman" w:hAnsi="Times New Roman" w:cs="Times New Roman"/>
          <w:b/>
          <w:bCs/>
          <w:sz w:val="20"/>
          <w:szCs w:val="20"/>
        </w:rPr>
        <w:t xml:space="preserve"> cells and FoxP3+T regulatory cells in colon cancer</w:t>
      </w:r>
      <w:r w:rsidRPr="00673D40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673D40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673D40">
        <w:rPr>
          <w:rFonts w:ascii="Times New Roman" w:hAnsi="Times New Roman" w:cs="Times New Roman"/>
          <w:sz w:val="20"/>
          <w:szCs w:val="20"/>
        </w:rPr>
        <w:t xml:space="preserve"> 201</w:t>
      </w:r>
      <w:r w:rsidRPr="00673D40">
        <w:rPr>
          <w:rFonts w:ascii="Times New Roman" w:hAnsi="Times New Roman" w:cs="Times New Roman" w:hint="eastAsia"/>
          <w:sz w:val="20"/>
          <w:szCs w:val="20"/>
        </w:rPr>
        <w:t>9</w:t>
      </w:r>
      <w:r w:rsidRPr="00673D40">
        <w:rPr>
          <w:rFonts w:ascii="Times New Roman" w:hAnsi="Times New Roman" w:cs="Times New Roman"/>
          <w:sz w:val="20"/>
          <w:szCs w:val="20"/>
        </w:rPr>
        <w:t>;</w:t>
      </w:r>
      <w:r w:rsidRPr="00673D40">
        <w:rPr>
          <w:rFonts w:ascii="Times New Roman" w:hAnsi="Times New Roman" w:cs="Times New Roman" w:hint="eastAsia"/>
          <w:sz w:val="20"/>
          <w:szCs w:val="20"/>
        </w:rPr>
        <w:t>9</w:t>
      </w:r>
      <w:r w:rsidRPr="00673D40">
        <w:rPr>
          <w:rFonts w:ascii="Times New Roman" w:hAnsi="Times New Roman" w:cs="Times New Roman"/>
          <w:sz w:val="20"/>
          <w:szCs w:val="20"/>
        </w:rPr>
        <w:t>(</w:t>
      </w:r>
      <w:r w:rsidRPr="00673D40">
        <w:rPr>
          <w:rFonts w:ascii="Times New Roman" w:hAnsi="Times New Roman" w:cs="Times New Roman" w:hint="eastAsia"/>
          <w:sz w:val="20"/>
          <w:szCs w:val="20"/>
        </w:rPr>
        <w:t>3</w:t>
      </w:r>
      <w:r w:rsidRPr="00673D40">
        <w:rPr>
          <w:rFonts w:ascii="Times New Roman" w:hAnsi="Times New Roman" w:cs="Times New Roman"/>
          <w:sz w:val="20"/>
          <w:szCs w:val="20"/>
        </w:rPr>
        <w:t>):</w:t>
      </w:r>
      <w:r w:rsidR="001E514D">
        <w:rPr>
          <w:rFonts w:ascii="Times New Roman" w:hAnsi="Times New Roman" w:cs="Times New Roman"/>
          <w:noProof/>
          <w:color w:val="000000"/>
          <w:sz w:val="20"/>
          <w:szCs w:val="20"/>
        </w:rPr>
        <w:t>1-7</w:t>
      </w:r>
      <w:r w:rsidRPr="00673D40">
        <w:rPr>
          <w:rFonts w:ascii="Times New Roman" w:hAnsi="Times New Roman" w:cs="Times New Roman"/>
          <w:sz w:val="20"/>
          <w:szCs w:val="20"/>
        </w:rPr>
        <w:t xml:space="preserve">]. </w:t>
      </w:r>
      <w:r w:rsidRPr="00673D40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673D40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673D40">
          <w:rPr>
            <w:rStyle w:val="Hyperlink"/>
            <w:rFonts w:ascii="Times New Roman" w:hAnsi="Times New Roman"/>
            <w:sz w:val="20"/>
            <w:szCs w:val="20"/>
          </w:rPr>
          <w:t>http://www.cancerbio.net</w:t>
        </w:r>
      </w:hyperlink>
      <w:r w:rsidRPr="00673D40">
        <w:rPr>
          <w:rFonts w:ascii="Times New Roman" w:hAnsi="Times New Roman" w:cs="Times New Roman"/>
          <w:sz w:val="20"/>
          <w:szCs w:val="20"/>
        </w:rPr>
        <w:t>.</w:t>
      </w:r>
      <w:r w:rsidRPr="00673D4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  <w:r w:rsidRPr="00673D40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673D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673D40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</w:t>
        </w:r>
        <w:r w:rsidRPr="00673D40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cbj0903</w:t>
        </w:r>
        <w:r w:rsidRPr="00673D40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</w:t>
        </w:r>
        <w:r w:rsidRPr="00673D40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9.</w:t>
        </w:r>
        <w:r w:rsidRPr="00673D40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  <w:lang w:eastAsia="zh-CN"/>
          </w:rPr>
          <w:t>1</w:t>
        </w:r>
      </w:hyperlink>
      <w:r w:rsidRPr="00673D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C7FAE" w:rsidRPr="00120BC7" w:rsidRDefault="005C7FAE" w:rsidP="00673D4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86664" w:rsidRPr="00120BC7" w:rsidRDefault="00047840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</w:rPr>
        <w:t>Key words:</w:t>
      </w:r>
      <w:r w:rsidRPr="00120BC7">
        <w:rPr>
          <w:rFonts w:ascii="Times New Roman" w:hAnsi="Times New Roman" w:cs="Times New Roman"/>
          <w:sz w:val="20"/>
          <w:szCs w:val="20"/>
        </w:rPr>
        <w:t xml:space="preserve"> colon cancer, tumor-infiltrating l</w:t>
      </w:r>
      <w:r w:rsidR="00CF425D" w:rsidRPr="00120BC7">
        <w:rPr>
          <w:rFonts w:ascii="Times New Roman" w:hAnsi="Times New Roman" w:cs="Times New Roman"/>
          <w:sz w:val="20"/>
          <w:szCs w:val="20"/>
        </w:rPr>
        <w:t xml:space="preserve">ymphocytes, prognosis, FoxP3+, </w:t>
      </w:r>
      <w:r w:rsidRPr="00120BC7">
        <w:rPr>
          <w:rFonts w:ascii="Times New Roman" w:hAnsi="Times New Roman" w:cs="Times New Roman"/>
          <w:sz w:val="20"/>
          <w:szCs w:val="20"/>
        </w:rPr>
        <w:t>CD8.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3D40" w:rsidRDefault="00673D40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673D40" w:rsidSect="00120B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BF7B24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Introduction</w:t>
      </w:r>
    </w:p>
    <w:p w:rsidR="00BF7B24" w:rsidRPr="00120BC7" w:rsidRDefault="00BF7B24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20BC7">
        <w:rPr>
          <w:rFonts w:ascii="Times New Roman" w:hAnsi="Times New Roman" w:cs="Times New Roman"/>
          <w:sz w:val="20"/>
          <w:szCs w:val="20"/>
        </w:rPr>
        <w:t>The prognostic significance of tumor-infiltrating lymphocyte</w:t>
      </w:r>
      <w:r w:rsidR="003F05AA" w:rsidRPr="00120BC7">
        <w:rPr>
          <w:rFonts w:ascii="Times New Roman" w:hAnsi="Times New Roman" w:cs="Times New Roman"/>
          <w:sz w:val="20"/>
          <w:szCs w:val="20"/>
        </w:rPr>
        <w:t>s (</w:t>
      </w:r>
      <w:proofErr w:type="spellStart"/>
      <w:r w:rsidR="003F05AA" w:rsidRPr="00120BC7">
        <w:rPr>
          <w:rFonts w:ascii="Times New Roman" w:hAnsi="Times New Roman" w:cs="Times New Roman"/>
          <w:sz w:val="20"/>
          <w:szCs w:val="20"/>
        </w:rPr>
        <w:t>TILs</w:t>
      </w:r>
      <w:proofErr w:type="spellEnd"/>
      <w:r w:rsidR="003F05AA" w:rsidRPr="00120BC7">
        <w:rPr>
          <w:rFonts w:ascii="Times New Roman" w:hAnsi="Times New Roman" w:cs="Times New Roman"/>
          <w:sz w:val="20"/>
          <w:szCs w:val="20"/>
        </w:rPr>
        <w:t>) has been a longstanding</w:t>
      </w:r>
      <w:r w:rsidRPr="00120BC7">
        <w:rPr>
          <w:rFonts w:ascii="Times New Roman" w:hAnsi="Times New Roman" w:cs="Times New Roman"/>
          <w:sz w:val="20"/>
          <w:szCs w:val="20"/>
        </w:rPr>
        <w:t xml:space="preserve"> topic</w:t>
      </w:r>
      <w:r w:rsidR="00AE46F7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of debate. Many studies across a wide variety of human tumors have shown a significant association</w:t>
      </w:r>
      <w:r w:rsidR="00AE46F7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between the presence of </w:t>
      </w:r>
      <w:proofErr w:type="spellStart"/>
      <w:r w:rsidRPr="00120BC7">
        <w:rPr>
          <w:rFonts w:ascii="Times New Roman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and patient survival</w:t>
      </w:r>
      <w:r w:rsidR="006A6C7C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A6C7C" w:rsidRPr="00120BC7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(</w:t>
      </w:r>
      <w:r w:rsidRPr="00120BC7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1–3</w:t>
      </w:r>
      <w:r w:rsidR="006A6C7C" w:rsidRPr="00120BC7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).</w:t>
      </w:r>
    </w:p>
    <w:p w:rsidR="00C52540" w:rsidRPr="00120BC7" w:rsidRDefault="00BF7B24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hAnsi="Times New Roman" w:cs="Times New Roman"/>
          <w:sz w:val="20"/>
          <w:szCs w:val="20"/>
          <w:lang w:bidi="ar-EG"/>
        </w:rPr>
        <w:t>However, it is important</w:t>
      </w:r>
      <w:r w:rsidR="00CF425D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to distinguish between</w:t>
      </w:r>
      <w:r w:rsidR="006A6C7C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different types of T lymphocytes, because they may play different role in the tumor microenvironment.</w:t>
      </w:r>
      <w:r w:rsidR="00C52540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Most </w:t>
      </w:r>
      <w:proofErr w:type="spellStart"/>
      <w:r w:rsidRPr="00120BC7">
        <w:rPr>
          <w:rFonts w:ascii="Times New Roman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have a CD3+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phenotype, and CD3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+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can be further subdivided into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cytotoxic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(CD8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+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 T</w:t>
      </w:r>
      <w:r w:rsidR="00C52540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cells, memory (CD45RO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+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 T cells, and regulatory (CD4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+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CD25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+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 T cells</w:t>
      </w:r>
      <w:r w:rsidR="00760AD8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760AD8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4,5</w:t>
      </w:r>
      <w:r w:rsidR="00760AD8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Cytotoxic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(CD8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+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 T cells</w:t>
      </w:r>
      <w:r w:rsidR="00C52540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are thought to have antitumor functions, therefore, a high density of CD8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+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 cells has been shown to</w:t>
      </w:r>
      <w:r w:rsidR="00C5254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be associated with improved outcome</w:t>
      </w:r>
      <w:r w:rsidR="00DC605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DC605B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6,7</w:t>
      </w:r>
      <w:r w:rsidR="00DC605B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</w:p>
    <w:p w:rsidR="00BF7B24" w:rsidRPr="00120BC7" w:rsidRDefault="00BF7B24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 existing evidence suggests that regulatory T cells (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</w:t>
      </w:r>
      <w:r w:rsidR="00C52540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have the ability to inhibit host-versus tumor immunity in the tumor microenvironment via suppression</w:t>
      </w:r>
      <w:r w:rsidR="00C52540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of antitumor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cytotoxic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T cells</w:t>
      </w:r>
      <w:r w:rsidR="00DC605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DC605B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8,9</w:t>
      </w:r>
      <w:r w:rsidR="00DC605B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</w:p>
    <w:p w:rsidR="001D2178" w:rsidRPr="00120BC7" w:rsidRDefault="00BF7B24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The transcription factor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forkhead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box P3 (FoxP3) is a key intracellular molecule for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development</w:t>
      </w:r>
      <w:r w:rsidR="004461A0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 function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10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, which is considered to be the most specific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marker so far. Under normal</w:t>
      </w:r>
      <w:r w:rsidR="004461A0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conditions, FoxP3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+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are essential suppressors of antitumor responses and thus maintain immunological</w:t>
      </w:r>
      <w:r w:rsidR="006A6C7C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tolerance to host tissues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11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High infiltration of FoxP3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+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is expected to be associated with an</w:t>
      </w:r>
      <w:r w:rsidR="006A6C7C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unfavorable outcome. Thus, FoxP3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+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are investigated as a potential prognostic factor and they may</w:t>
      </w:r>
      <w:r w:rsidR="006A6C7C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also represent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lastRenderedPageBreak/>
        <w:t>a novel therapeutic target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 xml:space="preserve"> </w:t>
      </w:r>
      <w:r w:rsidR="000C3E8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(12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864F0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Recent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864F0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evidence indicates that signaling of the T cell </w:t>
      </w:r>
      <w:proofErr w:type="spellStart"/>
      <w:r w:rsidR="00864F0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chemoattractant</w:t>
      </w:r>
      <w:proofErr w:type="spellEnd"/>
      <w:r w:rsidR="00864F0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CCL5 can recruit </w:t>
      </w:r>
      <w:proofErr w:type="spellStart"/>
      <w:r w:rsidR="00864F0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="00864F0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to tumors and enhance their ability to kill CD8+ T cells, thereby providin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g a mechanism of immune escape 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="00864F00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13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864F00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</w:p>
    <w:p w:rsidR="00BF7B24" w:rsidRPr="00120BC7" w:rsidRDefault="00864F00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vertAlign w:val="subscript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Indeed, the poor prognostic effect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ot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high infiltration of FoxP3 </w:t>
      </w:r>
      <w:r w:rsidR="00BF7B2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has been reported in a wide range of localized</w:t>
      </w:r>
      <w:r w:rsidR="006A6C7C" w:rsidRP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F7B2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or metastatic human carcinomas, including breast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="00CB7738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14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,</w:t>
      </w:r>
      <w:r w:rsidR="00BF7B2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ovaria</w:t>
      </w:r>
      <w:r w:rsidR="00120BC7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n </w:t>
      </w:r>
      <w:r w:rsidR="00120BC7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15)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,</w:t>
      </w:r>
      <w:proofErr w:type="spellStart"/>
      <w:r w:rsidR="00BF7B2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hepatocellular</w:t>
      </w:r>
      <w:proofErr w:type="spellEnd"/>
      <w:r w:rsidR="006A6C7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="00CB7738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16</w:t>
      </w:r>
      <w:r w:rsidR="00586F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BF7B2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, lung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="00CB7738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17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5D226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, pancreatic</w:t>
      </w:r>
      <w:r w:rsidR="0012610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126104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(18)</w:t>
      </w:r>
      <w:r w:rsidR="005E4B99" w:rsidRPr="00120BC7">
        <w:rPr>
          <w:rFonts w:ascii="Times New Roman" w:eastAsia="EuclidSymbol" w:hAnsi="Times New Roman" w:cs="Times New Roman"/>
          <w:sz w:val="20"/>
          <w:szCs w:val="20"/>
          <w:vertAlign w:val="subscript"/>
          <w:lang w:bidi="ar-EG"/>
        </w:rPr>
        <w:t>,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 xml:space="preserve"> 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and </w:t>
      </w:r>
      <w:r w:rsidR="00BF7B2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gastric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6A6C7C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</w:t>
      </w:r>
      <w:r w:rsidR="00126104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19</w:t>
      </w:r>
      <w:r w:rsidR="005E4B99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)</w:t>
      </w:r>
      <w:r w:rsidR="005E4B99" w:rsidRPr="00120BC7">
        <w:rPr>
          <w:rFonts w:ascii="Times New Roman" w:eastAsia="EuclidSymbol" w:hAnsi="Times New Roman" w:cs="Times New Roman"/>
          <w:sz w:val="20"/>
          <w:szCs w:val="20"/>
          <w:vertAlign w:val="subscript"/>
          <w:lang w:bidi="ar-EG"/>
        </w:rPr>
        <w:t>.</w:t>
      </w:r>
    </w:p>
    <w:p w:rsidR="001D2178" w:rsidRPr="00120BC7" w:rsidRDefault="003F05AA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In colorectal </w:t>
      </w:r>
      <w:proofErr w:type="spellStart"/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cancer</w:t>
      </w:r>
      <w:r w:rsidR="00CF425D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,</w:t>
      </w: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t</w:t>
      </w:r>
      <w:r w:rsidR="00BF7B24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he</w:t>
      </w:r>
      <w:proofErr w:type="spellEnd"/>
      <w:r w:rsidR="00BF7B24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presence of tumor infiltrating lympho</w:t>
      </w:r>
      <w:r w:rsidR="00BF7B24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softHyphen/>
        <w:t>cytes (TIL), has proven to be a favorable indep</w:t>
      </w:r>
      <w:r w:rsidR="00BD1538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end</w:t>
      </w:r>
      <w:r w:rsidR="00BD1538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softHyphen/>
        <w:t xml:space="preserve">ent prognostic factor </w:t>
      </w:r>
      <w:r w:rsidR="00126104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(20</w:t>
      </w:r>
      <w:r w:rsidR="00AE46F7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)</w:t>
      </w:r>
      <w:r w:rsidR="00CF425D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.</w:t>
      </w:r>
      <w:r w:rsidR="00BF7B24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="00241E20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However, </w:t>
      </w:r>
      <w:r w:rsidR="00BF7B24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high density of tumor-infiltrating FoxP3+ </w:t>
      </w:r>
      <w:proofErr w:type="spellStart"/>
      <w:r w:rsidR="00864F00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Tregs</w:t>
      </w:r>
      <w:proofErr w:type="spellEnd"/>
      <w:r w:rsidR="00864F00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was shown to correlate</w:t>
      </w:r>
      <w:r w:rsidR="00BD1538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with worse prognosis in some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studie</w:t>
      </w:r>
      <w:r w:rsidR="00120BC7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s </w:t>
      </w:r>
      <w:r w:rsidR="00120BC7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(</w:t>
      </w:r>
      <w:r w:rsidR="00B707A1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21,</w:t>
      </w:r>
      <w:r w:rsidR="00126104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22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)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bscript"/>
          <w:lang w:bidi="ar-EG"/>
        </w:rPr>
        <w:t>,</w:t>
      </w:r>
      <w:r w:rsidR="00864F00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while </w:t>
      </w:r>
      <w:r w:rsidR="00BF7B24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other s</w:t>
      </w:r>
      <w:r w:rsidR="00BD1538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tudies identified a considerable</w:t>
      </w:r>
      <w:r w:rsidR="00CF425D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="00241E20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asso</w:t>
      </w:r>
      <w:r w:rsidR="00BD1538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c</w:t>
      </w:r>
      <w:r w:rsidR="00241E20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iation with favorable prognosis 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(</w:t>
      </w:r>
      <w:r w:rsidR="00B707A1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23-26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)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bscript"/>
          <w:lang w:bidi="ar-EG"/>
        </w:rPr>
        <w:t>.</w:t>
      </w:r>
      <w:r w:rsidR="00BD1538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</w:p>
    <w:p w:rsidR="00B93522" w:rsidRPr="00120BC7" w:rsidRDefault="00BD1538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color w:val="000000"/>
          <w:sz w:val="20"/>
          <w:szCs w:val="20"/>
          <w:vertAlign w:val="subscript"/>
          <w:lang w:bidi="ar-EG"/>
        </w:rPr>
      </w:pP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The favorable prognosis associated with high infiltration of</w:t>
      </w:r>
      <w:r w:rsidR="001D2178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FoxP3+ T cell has also been reported in other tumors as Hodgkin’s and follicular lymphoma </w:t>
      </w:r>
      <w:r w:rsidR="00AA0187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(27)</w:t>
      </w:r>
      <w:r w:rsidR="00AA0187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and in head</w:t>
      </w:r>
      <w:r w:rsidR="00B93522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and- neck carcinomas 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perscript"/>
          <w:lang w:bidi="ar-EG"/>
        </w:rPr>
        <w:t>(28)</w:t>
      </w:r>
      <w:r w:rsidR="005E4B99" w:rsidRPr="00120BC7">
        <w:rPr>
          <w:rFonts w:ascii="Times New Roman" w:eastAsia="EuclidSymbol" w:hAnsi="Times New Roman" w:cs="Times New Roman"/>
          <w:color w:val="000000"/>
          <w:sz w:val="20"/>
          <w:szCs w:val="20"/>
          <w:vertAlign w:val="subscript"/>
          <w:lang w:bidi="ar-EG"/>
        </w:rPr>
        <w:t>.</w:t>
      </w:r>
    </w:p>
    <w:p w:rsidR="00B707A1" w:rsidRPr="00120BC7" w:rsidRDefault="00BF7B24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Thus, a deep understanding</w:t>
      </w:r>
      <w:r w:rsidR="00CF425D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="00864F00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of the prognostic role of FoxP3 </w:t>
      </w: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is warranted</w:t>
      </w:r>
      <w:r w:rsidR="00AA0187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.</w:t>
      </w:r>
    </w:p>
    <w:p w:rsidR="002C2983" w:rsidRPr="00120BC7" w:rsidRDefault="00B74B2B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The aim of our work is</w:t>
      </w:r>
      <w:r w:rsidR="002C2983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to assess the pattern</w:t>
      </w:r>
      <w:r w:rsidR="00CF425D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="00FA4875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and prognostic significance </w:t>
      </w:r>
      <w:r w:rsidR="002C2983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of tumor-infiltrating lymphocytes</w:t>
      </w:r>
      <w:r w:rsidR="00CF425D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="00FA4875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with focusing on</w:t>
      </w:r>
      <w:r w:rsidR="00CF425D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 </w:t>
      </w:r>
      <w:r w:rsidR="002C2983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its subtypes (</w:t>
      </w: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CD8+ and Foxp3+ cells</w:t>
      </w:r>
      <w:r w:rsidR="002C2983"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 xml:space="preserve">) </w:t>
      </w:r>
      <w:r w:rsidRPr="00120BC7">
        <w:rPr>
          <w:rFonts w:ascii="Times New Roman" w:eastAsia="EuclidSymbol" w:hAnsi="Times New Roman" w:cs="Times New Roman"/>
          <w:color w:val="000000"/>
          <w:sz w:val="20"/>
          <w:szCs w:val="20"/>
          <w:lang w:bidi="ar-EG"/>
        </w:rPr>
        <w:t>in stage II and III colon cancer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</w:p>
    <w:p w:rsidR="003A173D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</w:rPr>
        <w:t>2. Methods</w:t>
      </w:r>
    </w:p>
    <w:p w:rsidR="00083A05" w:rsidRPr="00120BC7" w:rsidRDefault="00083A05" w:rsidP="00673D4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</w:rPr>
        <w:lastRenderedPageBreak/>
        <w:t>Ethics Statement</w:t>
      </w:r>
    </w:p>
    <w:p w:rsidR="00083A05" w:rsidRPr="00120BC7" w:rsidRDefault="00083A05" w:rsidP="00673D4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20BC7">
        <w:rPr>
          <w:rFonts w:ascii="Times New Roman" w:hAnsi="Times New Roman" w:cs="Times New Roman"/>
          <w:sz w:val="20"/>
          <w:szCs w:val="20"/>
        </w:rPr>
        <w:t>The study was approved by our local ethics committe</w:t>
      </w:r>
      <w:r w:rsidR="00FA4875" w:rsidRPr="00120BC7">
        <w:rPr>
          <w:rFonts w:ascii="Times New Roman" w:hAnsi="Times New Roman" w:cs="Times New Roman"/>
          <w:sz w:val="20"/>
          <w:szCs w:val="20"/>
        </w:rPr>
        <w:t>e</w:t>
      </w:r>
    </w:p>
    <w:p w:rsidR="00B30562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vertAlign w:val="superscript"/>
          <w:lang w:bidi="ar-EG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</w:rPr>
        <w:t>Patients</w:t>
      </w:r>
    </w:p>
    <w:p w:rsidR="00004955" w:rsidRPr="00120BC7" w:rsidRDefault="00B30562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Formalin-fixed paraffin-embedded specimens of 87 patients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,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with surgically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resected</w:t>
      </w:r>
      <w:proofErr w:type="spellEnd"/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F3339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TNM 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stage II and stage</w:t>
      </w:r>
      <w:r w:rsidR="00FA4875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III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primary colon cancer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were collected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These patients were treated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 curative intent in our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institution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A1754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between 2010 and 2014.We retrospectively</w:t>
      </w:r>
      <w:r w:rsidR="008F1AE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reviewed</w:t>
      </w:r>
      <w:r w:rsidR="00012E7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their medical reco</w:t>
      </w:r>
      <w:r w:rsidR="00FA4875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rds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FA4875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 obtained all the clinic-</w:t>
      </w:r>
      <w:r w:rsidR="00012E7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pathological chara</w:t>
      </w:r>
      <w:r w:rsidR="00FA4875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</w:t>
      </w:r>
      <w:r w:rsidR="00012E7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teristics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,</w:t>
      </w:r>
      <w:r w:rsidR="00012E7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treatment</w:t>
      </w:r>
      <w:r w:rsidR="000A2536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012E7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Information</w:t>
      </w:r>
      <w:r w:rsidR="003962A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and patient follow up data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. </w:t>
      </w:r>
      <w:r w:rsidR="003962A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We excluded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3962A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10 patients </w:t>
      </w:r>
      <w:r w:rsidR="0074254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 unavailable follow up data and 8 patients with bad tumor fixation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F3339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4C3F56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Finally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,</w:t>
      </w:r>
      <w:r w:rsidR="004C3F56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74254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69 patients </w:t>
      </w:r>
      <w:r w:rsidR="004C3F56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were </w:t>
      </w:r>
      <w:r w:rsidR="00FA4875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eligib</w:t>
      </w:r>
      <w:r w:rsidR="0074254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 for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our study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. </w:t>
      </w:r>
      <w:r w:rsidR="003A173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 median duration of follow up was 56.5 months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</w:p>
    <w:p w:rsidR="00083A05" w:rsidRPr="00120BC7" w:rsidRDefault="00394632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>Immunohistochemistry</w:t>
      </w:r>
      <w:proofErr w:type="spellEnd"/>
    </w:p>
    <w:p w:rsidR="00673D40" w:rsidRDefault="00394632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673D40" w:rsidSect="00673D40">
          <w:type w:val="continuous"/>
          <w:pgSz w:w="12240" w:h="15840" w:code="9"/>
          <w:pgMar w:top="1440" w:right="1440" w:bottom="1440" w:left="1440" w:header="720" w:footer="720" w:gutter="0"/>
          <w:cols w:num="2" w:space="550"/>
          <w:noEndnote/>
          <w:docGrid w:linePitch="299"/>
        </w:sect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Formalin-fixed paraffin-embedded blocks from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lastRenderedPageBreak/>
        <w:t xml:space="preserve">the patients were studied for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histologic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subtype, grade, pathological stage and density of tumor infiltrating lymphocytes in both epithelial and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stromal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compartments on H</w:t>
      </w:r>
      <w:r w:rsidR="00120BC7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&amp;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E stained sections.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were scored into low (&lt;50%) and High (&gt;50%) of tumor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sections.Immuno</w:t>
      </w:r>
      <w:r w:rsidR="00E6258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-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histochemical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studies using anti CD8 and Fox P3 antibodies applied on 3-4µ thick sections mounted on positively charged slides. Sections were boiled in citrate Buffer (PH6)for 15 minutes, then incubated with primary antibodies at following data For CD8+and FoxP3+ cases, positively-stained cells were counted within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F33394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the tumor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at 20x magnification. Density measurements were recorded as the number of positive cells per tumor per 0.28 mm2 surface area). Then scores were classified into low and high</w:t>
      </w:r>
      <w:r w:rsidR="00C70EEA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(prominent)</w:t>
      </w:r>
      <w:r w:rsidR="00C70EEA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C70EEA" w:rsidRPr="00120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EA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Immunohistochemis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try</w:t>
      </w:r>
      <w:proofErr w:type="spellEnd"/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for CD8 and Fox P3 was done </w:t>
      </w:r>
      <w:r w:rsidR="0026186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only in cases of high LI (Figure1).</w:t>
      </w:r>
      <w:r w:rsidR="00E476CB" w:rsidRPr="00120B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476CB" w:rsidRPr="00120BC7" w:rsidRDefault="00E476CB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0B1E" w:rsidRPr="00120BC7" w:rsidRDefault="00E20B1E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  <w:lang w:bidi="ar-EG"/>
        </w:rPr>
      </w:pPr>
      <w:r w:rsidRPr="00120BC7">
        <w:rPr>
          <w:rFonts w:ascii="Times New Roman" w:hAnsi="Times New Roman" w:cs="Times New Roman"/>
          <w:b/>
          <w:bCs/>
          <w:sz w:val="20"/>
          <w:szCs w:val="18"/>
          <w:lang w:bidi="ar-EG"/>
        </w:rPr>
        <w:t xml:space="preserve">Table 1. Association of </w:t>
      </w:r>
      <w:proofErr w:type="spellStart"/>
      <w:r w:rsidRPr="00120BC7">
        <w:rPr>
          <w:rFonts w:ascii="Times New Roman" w:hAnsi="Times New Roman" w:cs="Times New Roman"/>
          <w:b/>
          <w:bCs/>
          <w:sz w:val="20"/>
          <w:szCs w:val="18"/>
          <w:lang w:bidi="ar-EG"/>
        </w:rPr>
        <w:t>clinicopathological</w:t>
      </w:r>
      <w:proofErr w:type="spellEnd"/>
      <w:r w:rsidRPr="00120BC7">
        <w:rPr>
          <w:rFonts w:ascii="Times New Roman" w:hAnsi="Times New Roman" w:cs="Times New Roman"/>
          <w:b/>
          <w:bCs/>
          <w:sz w:val="20"/>
          <w:szCs w:val="18"/>
          <w:lang w:bidi="ar-EG"/>
        </w:rPr>
        <w:t xml:space="preserve"> Characteristics with density of Lymphocytic Infiltration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789"/>
        <w:gridCol w:w="1918"/>
        <w:gridCol w:w="1899"/>
        <w:gridCol w:w="868"/>
      </w:tblGrid>
      <w:tr w:rsidR="00B947F2" w:rsidRPr="004865D1" w:rsidTr="009869B8">
        <w:trPr>
          <w:cantSplit/>
          <w:tblHeader/>
          <w:jc w:val="center"/>
        </w:trPr>
        <w:tc>
          <w:tcPr>
            <w:tcW w:w="25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LI high</w:t>
            </w:r>
            <w:r w:rsidR="009869B8"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(n = 18)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LI low</w:t>
            </w:r>
            <w:r w:rsidR="009869B8"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="00120BC7"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(</w:t>
            </w: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n = 51)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p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120BC7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Age</w:t>
            </w:r>
          </w:p>
          <w:p w:rsidR="00120BC7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M</w:t>
            </w:r>
            <w:r w:rsidR="00E20B1E"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ean ± SD</w:t>
            </w:r>
          </w:p>
          <w:p w:rsidR="00E20B1E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M</w:t>
            </w:r>
            <w:r w:rsidR="00E20B1E"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edian</w:t>
            </w: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47.9 ± 14.5</w:t>
            </w:r>
          </w:p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44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48.7±18.3</w:t>
            </w:r>
          </w:p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0.38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Sex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Males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10 (55.5%)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31(60.8%)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0.89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Females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8 (44.5%)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20(39.2%)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Site of tumor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Right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5 (27.8%)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16 (31.4%)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0.67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Left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13 (72.2%)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35 (68.6%)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Tumor size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&lt;5cm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6 (33.3%)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18 (35.3%)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0.74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≥5cm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12 (66.7%)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33 (64.7%)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Grade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Well differentiated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2 (11.1%)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 (7.8%)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0.65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Moderately differentiated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12 (66.7%)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30 (58.8%)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Poorly differentiated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 (16.7%)</w:t>
            </w: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12 (23.6%)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Undifferentiated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 (5.5%)</w:t>
            </w: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5 (9.8%)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T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 (16.7%)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6 (11.8%)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0.73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2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 (22.2%)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10 (19.6%)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10 (55.6%)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31 (60.8%)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 (5.5%)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 (7.8%)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N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 xml:space="preserve"> Positive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6 (33.3%)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19 (37.5%)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0.84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Negative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12 (66.7%)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32 (62.7%)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LVI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Negative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10 (55.6%)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38 (74.5%)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0.1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Positive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8 (44.4%)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13 (25.5%)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Obstruction and perforation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 xml:space="preserve">No </w:t>
            </w:r>
            <w:proofErr w:type="spellStart"/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obsruction</w:t>
            </w:r>
            <w:proofErr w:type="spellEnd"/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 xml:space="preserve"> or perforation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17 (94.5%)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47 (92.1%)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0.98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Obstruction and/or perforation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 (5.5%)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4 (7.8%)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bidi="ar-EG"/>
              </w:rPr>
              <w:t>Relapse</w:t>
            </w:r>
          </w:p>
        </w:tc>
        <w:tc>
          <w:tcPr>
            <w:tcW w:w="101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002" w:type="pct"/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No</w:t>
            </w:r>
          </w:p>
        </w:tc>
        <w:tc>
          <w:tcPr>
            <w:tcW w:w="101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13(72.2%)</w:t>
            </w:r>
          </w:p>
        </w:tc>
        <w:tc>
          <w:tcPr>
            <w:tcW w:w="1002" w:type="pct"/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33 (64.7%)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0.89</w:t>
            </w:r>
          </w:p>
        </w:tc>
      </w:tr>
      <w:tr w:rsidR="00B947F2" w:rsidRPr="004865D1" w:rsidTr="003618E9">
        <w:trPr>
          <w:cantSplit/>
          <w:jc w:val="center"/>
        </w:trPr>
        <w:tc>
          <w:tcPr>
            <w:tcW w:w="2528" w:type="pct"/>
            <w:tcBorders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Yes</w:t>
            </w:r>
            <w:r w:rsidR="00120BC7"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 xml:space="preserve"> 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5 (27.8%)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  <w:t>18 (35.3%)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0B1E" w:rsidRPr="004865D1" w:rsidRDefault="00E20B1E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bidi="ar-EG"/>
              </w:rPr>
            </w:pPr>
          </w:p>
        </w:tc>
      </w:tr>
    </w:tbl>
    <w:p w:rsidR="00E20B1E" w:rsidRPr="00120BC7" w:rsidRDefault="00E20B1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3D40" w:rsidRDefault="00673D40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673D40" w:rsidSect="00120BC7">
          <w:type w:val="continuous"/>
          <w:pgSz w:w="12240" w:h="15840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4865D1" w:rsidRPr="00120BC7" w:rsidRDefault="004865D1" w:rsidP="004865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lastRenderedPageBreak/>
        <w:t>Statistical Analysis</w:t>
      </w:r>
    </w:p>
    <w:p w:rsidR="004865D1" w:rsidRPr="00120BC7" w:rsidRDefault="004865D1" w:rsidP="004865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Statistical analysis of the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dataData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were fed to the computer and analyzed using IBM SPSS software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packageversion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20.0. (Armonk, NY: IBM Corp). The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Kolmogorov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- Smirnov test was used to verify the normality of distribution of variables, Comparisons between groups for categorical variables were assessed using Chi-square test (Fisher or Monte Carlo).</w:t>
      </w:r>
      <w:r w:rsidRPr="00120BC7">
        <w:rPr>
          <w:rFonts w:ascii="Times New Roman" w:hAnsi="Times New Roman" w:cs="Times New Roman"/>
          <w:sz w:val="20"/>
          <w:szCs w:val="20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Disease-free survival (DFS) was defined as the time from date of surgery until death from any or the date of first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locoregional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or distant recurrence. Overall survival (OS) was calculated from the date of surgery until death from any cause or was censored at last follow-up. Both DFS and OS were estimated by using the Kaplan-Meier methods. For the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univariate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analysis,</w:t>
      </w:r>
      <w:r w:rsidRPr="00120BC7">
        <w:rPr>
          <w:rFonts w:ascii="Times New Roman" w:hAnsi="Times New Roman" w:cs="Times New Roman"/>
          <w:sz w:val="20"/>
          <w:szCs w:val="20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Kaplan-Meier method with the log rank test was used. Significance of the obtained results was judged at the 5% level.</w:t>
      </w:r>
    </w:p>
    <w:p w:rsidR="004865D1" w:rsidRPr="00120BC7" w:rsidRDefault="004865D1" w:rsidP="004865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</w:p>
    <w:p w:rsidR="004865D1" w:rsidRPr="00120BC7" w:rsidRDefault="004865D1" w:rsidP="004865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>3. Results</w:t>
      </w:r>
    </w:p>
    <w:p w:rsidR="004865D1" w:rsidRPr="00120BC7" w:rsidRDefault="004865D1" w:rsidP="004865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 baseline clinic-pathological characteristics of the eligible patients, stratified by the density of lymphocytic infiltration, are listed in Table 1.</w:t>
      </w:r>
    </w:p>
    <w:p w:rsidR="004865D1" w:rsidRDefault="004865D1" w:rsidP="004865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Most of our patients (73.9%) had low LI, while 26.1 % had high LI.</w:t>
      </w:r>
      <w:r w:rsidRPr="00120BC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There was no significant association between any clinic-pathological feature and density of LI.</w:t>
      </w:r>
    </w:p>
    <w:p w:rsidR="009A0DAC" w:rsidRPr="00120BC7" w:rsidRDefault="00E476CB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hAnsi="Times New Roman" w:cs="Times New Roman"/>
          <w:color w:val="000000"/>
          <w:sz w:val="20"/>
          <w:szCs w:val="20"/>
        </w:rPr>
        <w:t>After a median follow up of 56.5 months</w:t>
      </w:r>
      <w:r w:rsidR="00CF425D" w:rsidRPr="00120BC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20BC7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Pr="00120BC7">
        <w:rPr>
          <w:rFonts w:ascii="Times New Roman" w:hAnsi="Times New Roman" w:cs="Times New Roman"/>
          <w:color w:val="000000"/>
          <w:sz w:val="20"/>
          <w:szCs w:val="20"/>
        </w:rPr>
        <w:lastRenderedPageBreak/>
        <w:t>DFS and OS varied according to the density of LI</w:t>
      </w:r>
      <w:r w:rsidR="00CF425D" w:rsidRPr="00120BC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E476CB" w:rsidRPr="00120BC7" w:rsidRDefault="008421D9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There was a trend towards better 3-year DFS in patients 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with high LI compared to low LI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</w:t>
      </w:r>
      <w:r w:rsidR="009A0DAC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85%</w:t>
      </w:r>
      <w:r w:rsidR="002F4B9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3599A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versus</w:t>
      </w:r>
      <w:r w:rsidR="003F6606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79</w:t>
      </w:r>
      <w:r w:rsidR="002F4B9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%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</w:t>
      </w:r>
      <w:r w:rsidR="002F4B9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26186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(p=0.065) (Figure 2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</w:t>
      </w:r>
      <w:r w:rsidR="0026186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</w:p>
    <w:p w:rsidR="00E476CB" w:rsidRPr="00120BC7" w:rsidRDefault="002F4B91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 3-year OS was also numerically better in high LI compared to low</w:t>
      </w:r>
      <w:r w:rsidR="00D51A1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0B388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(96% </w:t>
      </w:r>
      <w:proofErr w:type="spellStart"/>
      <w:r w:rsidR="000B388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vs</w:t>
      </w:r>
      <w:proofErr w:type="spellEnd"/>
      <w:r w:rsidR="000B388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90 %) (p=0.08</w:t>
      </w:r>
      <w:r w:rsidR="0026186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 (Figure3).</w:t>
      </w:r>
    </w:p>
    <w:p w:rsidR="004865D1" w:rsidRDefault="00C66949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Immunophenotyping</w:t>
      </w:r>
      <w:proofErr w:type="spellEnd"/>
      <w:r w:rsidR="004865D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:</w:t>
      </w:r>
      <w:r w:rsidR="004865D1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</w:p>
    <w:p w:rsidR="00E801EC" w:rsidRPr="00120BC7" w:rsidRDefault="00C66949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Tumors with high LI were further stained with CD8+and FoxP3+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AA646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Promin</w:t>
      </w:r>
      <w:r w:rsidR="00D51A1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</w:t>
      </w:r>
      <w:r w:rsidR="00AA646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nt </w:t>
      </w:r>
      <w:r w:rsidR="004F185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staining for CD8+ was observed</w:t>
      </w:r>
      <w:r w:rsidR="00AA646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in 88.9% of the cases (either alone or associated with high FoxP3+),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AA646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while prominent FoxP3+</w:t>
      </w:r>
      <w:r w:rsidR="004F185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was noticed </w:t>
      </w:r>
      <w:r w:rsidR="00AA646F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in 61% of tumors either alone or with high CD8+. </w:t>
      </w:r>
    </w:p>
    <w:p w:rsidR="00EC6E1D" w:rsidRPr="00120BC7" w:rsidRDefault="00C04352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Association of CD8+ and FoxP3+ densities with different </w:t>
      </w:r>
      <w:r w:rsidR="00D51A1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clinic-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pathological parameters are presented in Table 2.</w:t>
      </w:r>
      <w:r w:rsidR="004F1853" w:rsidRPr="00120BC7">
        <w:rPr>
          <w:rFonts w:ascii="Times New Roman" w:hAnsi="Times New Roman" w:cs="Times New Roman"/>
          <w:sz w:val="20"/>
          <w:szCs w:val="20"/>
        </w:rPr>
        <w:t xml:space="preserve"> </w:t>
      </w:r>
      <w:r w:rsidR="004F185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 significant correlations were</w:t>
      </w:r>
      <w:r w:rsidR="00D51A1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4F185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observed between the density</w:t>
      </w:r>
      <w:r w:rsidR="00D51A1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4F185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 CD8+ or FoxP3+ and any of the</w:t>
      </w:r>
      <w:r w:rsidR="00EC6E1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D51A1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clinic-</w:t>
      </w:r>
      <w:r w:rsidR="00EC6E1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pathological features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. </w:t>
      </w:r>
      <w:r w:rsidR="004F185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However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, </w:t>
      </w:r>
      <w:r w:rsidR="004F1853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there was a tendency for lower grade in tumors with prominent CD8+ (p= 0.06) and FoxP3+ (p=0.059)</w:t>
      </w:r>
      <w:r w:rsidR="00EC6E1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and lower N stage in tumors with prominent CD8+ (p=0.06).</w:t>
      </w:r>
    </w:p>
    <w:p w:rsidR="001037B9" w:rsidRPr="00120BC7" w:rsidRDefault="00D51A12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In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univariate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analysis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, </w:t>
      </w:r>
      <w:r w:rsidR="00EC6E1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Older age, lower</w:t>
      </w:r>
      <w:r w:rsidR="001037B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grade and stage were</w:t>
      </w:r>
      <w:r w:rsidR="00EC6E1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significantly</w:t>
      </w:r>
      <w:r w:rsidR="001037B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associated</w:t>
      </w:r>
      <w:r w:rsidR="00EC6E1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1037B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 better overall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-</w:t>
      </w:r>
      <w:r w:rsidR="001037B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survival</w:t>
      </w:r>
      <w:r w:rsidR="00CF425D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26186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1037B9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Prominent CD8+ and not FoxP3 was a predictor of more favorable overall survival (p=</w:t>
      </w:r>
      <w:r w:rsidR="00B74B2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0.07</w:t>
      </w:r>
      <w:r w:rsidR="00120BC7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 (</w:t>
      </w:r>
      <w:r w:rsidR="00B74B2B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Table3).</w:t>
      </w:r>
    </w:p>
    <w:p w:rsidR="00673D40" w:rsidRDefault="00673D40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  <w:sectPr w:rsidR="00673D40" w:rsidSect="00673D40">
          <w:type w:val="continuous"/>
          <w:pgSz w:w="12240" w:h="15840" w:code="9"/>
          <w:pgMar w:top="1440" w:right="1440" w:bottom="1440" w:left="1440" w:header="720" w:footer="720" w:gutter="0"/>
          <w:cols w:num="2" w:space="550"/>
          <w:noEndnote/>
          <w:docGrid w:linePitch="299"/>
        </w:sectPr>
      </w:pPr>
    </w:p>
    <w:p w:rsidR="00F2611D" w:rsidRPr="00120BC7" w:rsidRDefault="00F2611D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2611D" w:rsidRPr="00120BC7" w:rsidRDefault="00F2611D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Table 2. Association of </w:t>
      </w:r>
      <w:proofErr w:type="spellStart"/>
      <w:r w:rsidRPr="00120BC7">
        <w:rPr>
          <w:rFonts w:ascii="Times New Roman" w:hAnsi="Times New Roman" w:cs="Times New Roman"/>
          <w:b/>
          <w:bCs/>
          <w:sz w:val="20"/>
          <w:szCs w:val="20"/>
          <w:lang w:bidi="ar-EG"/>
        </w:rPr>
        <w:t>clinicopathological</w:t>
      </w:r>
      <w:proofErr w:type="spellEnd"/>
      <w:r w:rsidRPr="00120BC7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Characteristics with density of CD8+ and FoxP3+</w:t>
      </w:r>
      <w:r w:rsidR="00120BC7" w:rsidRPr="00120BC7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  <w:r w:rsidRPr="00120BC7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16"/>
        <w:gridCol w:w="2071"/>
        <w:gridCol w:w="947"/>
        <w:gridCol w:w="2194"/>
        <w:gridCol w:w="1146"/>
      </w:tblGrid>
      <w:tr w:rsidR="00F2611D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High CD8+ T cell density</w:t>
            </w:r>
          </w:p>
        </w:tc>
        <w:tc>
          <w:tcPr>
            <w:tcW w:w="1763" w:type="pct"/>
            <w:gridSpan w:val="2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High FoxP3+ T Cell Density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p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Age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&lt; </w:t>
            </w: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40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≥ 40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6 (37.5%)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10 (62.5%)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4 (36.4%)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7 (63.6%)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0.65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Sex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EG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Males 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Females 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9 (56.2%)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7 (43.8%)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6 (54.5%)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5 (45.5%)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0.92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120BC7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Site of tumor</w:t>
            </w:r>
          </w:p>
          <w:p w:rsidR="00120BC7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R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ight colon</w:t>
            </w:r>
          </w:p>
          <w:p w:rsidR="00F2611D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L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eft colon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5 (31.2%)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11 (68.8%)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4 (36.4%)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7 (63.6%)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0.65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120BC7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Tumor size</w:t>
            </w:r>
          </w:p>
          <w:p w:rsidR="00120BC7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&lt;</w:t>
            </w:r>
            <w:r w:rsidR="00F2611D"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5 cm</w:t>
            </w:r>
          </w:p>
          <w:p w:rsidR="00F2611D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≥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5 cm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6 (37.5%)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10 (62.5%)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4 (36.4%)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7 (63.6%)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0.8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120BC7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Grade</w:t>
            </w:r>
          </w:p>
          <w:p w:rsidR="00120BC7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W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ell differentiated</w:t>
            </w:r>
          </w:p>
          <w:p w:rsidR="00120BC7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oderately differentiated</w:t>
            </w:r>
          </w:p>
          <w:p w:rsidR="00120BC7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P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oorly differentiated</w:t>
            </w:r>
          </w:p>
          <w:p w:rsidR="00F2611D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U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ndifferentiated 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2 (12.5%)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11 (68.7%)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2 (12.5%)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 (6.25%)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 (9.1%)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8 (72.7%)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2 (18.2%)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0.059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3 (18.7%)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4 ( 25%)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9 (56.2%)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 (0)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2 (18.2%)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3 (27.3%)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5 (45.4%)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 (9.1%)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0.82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120BC7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</w:t>
            </w:r>
          </w:p>
          <w:p w:rsidR="00120BC7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P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ositive</w:t>
            </w:r>
          </w:p>
          <w:p w:rsidR="00F2611D" w:rsidRPr="004865D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N</w:t>
            </w:r>
            <w:r w:rsidR="00F2611D"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egative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4 (25%)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12 (75%)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5 (45.5%%)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6 (54.5%%)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0.1</w:t>
            </w:r>
          </w:p>
        </w:tc>
      </w:tr>
      <w:tr w:rsidR="00B947F2" w:rsidRPr="004865D1" w:rsidTr="003618E9">
        <w:trPr>
          <w:jc w:val="center"/>
        </w:trPr>
        <w:tc>
          <w:tcPr>
            <w:tcW w:w="164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LVI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Negative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093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9 (56.2%)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7 (43.8%)</w:t>
            </w:r>
          </w:p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7 (63.6%)</w:t>
            </w:r>
          </w:p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(36.6%)</w:t>
            </w:r>
          </w:p>
        </w:tc>
        <w:tc>
          <w:tcPr>
            <w:tcW w:w="604" w:type="pct"/>
            <w:tcBorders>
              <w:left w:val="nil"/>
              <w:right w:val="nil"/>
            </w:tcBorders>
            <w:vAlign w:val="center"/>
          </w:tcPr>
          <w:p w:rsidR="00F2611D" w:rsidRPr="004865D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65D1">
              <w:rPr>
                <w:rFonts w:ascii="Times New Roman" w:eastAsiaTheme="minorEastAsia" w:hAnsi="Times New Roman" w:cs="Times New Roman"/>
                <w:sz w:val="16"/>
                <w:szCs w:val="16"/>
              </w:rPr>
              <w:t>0.65</w:t>
            </w:r>
          </w:p>
        </w:tc>
      </w:tr>
    </w:tbl>
    <w:p w:rsidR="00F2611D" w:rsidRPr="00120BC7" w:rsidRDefault="00F2611D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F2611D" w:rsidRPr="00DB2031" w:rsidRDefault="00F2611D" w:rsidP="00673D4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2031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Table</w:t>
      </w:r>
      <w:r w:rsidRPr="00DB2031">
        <w:rPr>
          <w:rFonts w:ascii="Times New Roman" w:hAnsi="Times New Roman" w:cs="Times New Roman"/>
          <w:b/>
          <w:bCs/>
          <w:sz w:val="20"/>
          <w:szCs w:val="20"/>
        </w:rPr>
        <w:t xml:space="preserve"> 3. </w:t>
      </w:r>
      <w:proofErr w:type="spellStart"/>
      <w:r w:rsidRPr="00DB2031">
        <w:rPr>
          <w:rFonts w:ascii="Times New Roman" w:hAnsi="Times New Roman" w:cs="Times New Roman"/>
          <w:b/>
          <w:bCs/>
          <w:sz w:val="20"/>
          <w:szCs w:val="20"/>
        </w:rPr>
        <w:t>Univariate</w:t>
      </w:r>
      <w:proofErr w:type="spellEnd"/>
      <w:r w:rsidRPr="00DB2031">
        <w:rPr>
          <w:rFonts w:ascii="Times New Roman" w:hAnsi="Times New Roman" w:cs="Times New Roman"/>
          <w:b/>
          <w:bCs/>
          <w:sz w:val="20"/>
          <w:szCs w:val="20"/>
        </w:rPr>
        <w:t xml:space="preserve"> analysis for the parameters affecting overall survival (n= 69)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995"/>
        <w:gridCol w:w="1063"/>
        <w:gridCol w:w="1063"/>
        <w:gridCol w:w="1063"/>
        <w:gridCol w:w="1290"/>
      </w:tblGrid>
      <w:tr w:rsidR="00B947F2" w:rsidRPr="00DB2031" w:rsidTr="003618E9">
        <w:trPr>
          <w:cantSplit/>
          <w:jc w:val="center"/>
        </w:trPr>
        <w:tc>
          <w:tcPr>
            <w:tcW w:w="2636" w:type="pct"/>
            <w:vMerge w:val="restart"/>
            <w:tcBorders>
              <w:top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Merge/>
            <w:tcBorders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>Age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0.04</w:t>
            </w: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Align w:val="center"/>
          </w:tcPr>
          <w:p w:rsidR="00120BC7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>Sex</w:t>
            </w:r>
          </w:p>
          <w:p w:rsidR="00F2611D" w:rsidRPr="00DB203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M</w:t>
            </w:r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ales </w:t>
            </w:r>
            <w:proofErr w:type="spellStart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vs</w:t>
            </w:r>
            <w:proofErr w:type="spellEnd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 Females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82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0.34</w:t>
            </w: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>Grade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 Well or </w:t>
            </w:r>
            <w:proofErr w:type="spellStart"/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Modertely</w:t>
            </w:r>
            <w:proofErr w:type="spellEnd"/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vs</w:t>
            </w:r>
            <w:proofErr w:type="spellEnd"/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82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0.02</w:t>
            </w: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Poor or Undifferentiated </w:t>
            </w:r>
          </w:p>
        </w:tc>
        <w:tc>
          <w:tcPr>
            <w:tcW w:w="561" w:type="pct"/>
            <w:vMerge w:val="restar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1" w:type="pct"/>
            <w:vMerge w:val="restar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1" w:type="pct"/>
            <w:vMerge w:val="restar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82" w:type="pct"/>
            <w:vMerge w:val="restar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0.04</w:t>
            </w: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Align w:val="center"/>
          </w:tcPr>
          <w:p w:rsidR="00120BC7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>Stage</w:t>
            </w:r>
          </w:p>
          <w:p w:rsidR="00120BC7" w:rsidRPr="00DB203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I</w:t>
            </w:r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I</w:t>
            </w:r>
          </w:p>
          <w:p w:rsidR="00F2611D" w:rsidRPr="00DB203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I</w:t>
            </w:r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II</w:t>
            </w:r>
          </w:p>
        </w:tc>
        <w:tc>
          <w:tcPr>
            <w:tcW w:w="561" w:type="pct"/>
            <w:vMerge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Align w:val="center"/>
          </w:tcPr>
          <w:p w:rsidR="00120BC7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>Tumor site</w:t>
            </w:r>
          </w:p>
          <w:p w:rsidR="00F2611D" w:rsidRPr="00DB203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R</w:t>
            </w:r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ight </w:t>
            </w:r>
            <w:proofErr w:type="spellStart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vs</w:t>
            </w:r>
            <w:proofErr w:type="spellEnd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 Left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2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0.73</w:t>
            </w: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vAlign w:val="center"/>
          </w:tcPr>
          <w:p w:rsidR="00120BC7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>CD8+ T-cell Density</w:t>
            </w:r>
          </w:p>
          <w:p w:rsidR="00F2611D" w:rsidRPr="00DB203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H</w:t>
            </w:r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igh </w:t>
            </w:r>
            <w:proofErr w:type="spellStart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vs</w:t>
            </w:r>
            <w:proofErr w:type="spellEnd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 Low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561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82" w:type="pct"/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0.07 </w:t>
            </w:r>
          </w:p>
        </w:tc>
      </w:tr>
      <w:tr w:rsidR="00B947F2" w:rsidRPr="00DB2031" w:rsidTr="003618E9">
        <w:trPr>
          <w:cantSplit/>
          <w:jc w:val="center"/>
        </w:trPr>
        <w:tc>
          <w:tcPr>
            <w:tcW w:w="2636" w:type="pct"/>
            <w:tcBorders>
              <w:bottom w:val="single" w:sz="4" w:space="0" w:color="auto"/>
            </w:tcBorders>
            <w:vAlign w:val="center"/>
          </w:tcPr>
          <w:p w:rsidR="00120BC7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ar-EG"/>
              </w:rPr>
              <w:t>FoxP3+ T-cell Density</w:t>
            </w:r>
          </w:p>
          <w:p w:rsidR="00F2611D" w:rsidRPr="00DB2031" w:rsidRDefault="00120BC7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H</w:t>
            </w:r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igh </w:t>
            </w:r>
            <w:proofErr w:type="spellStart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>vs</w:t>
            </w:r>
            <w:proofErr w:type="spellEnd"/>
            <w:r w:rsidR="00F2611D" w:rsidRPr="00DB2031">
              <w:rPr>
                <w:rFonts w:ascii="Times New Roman" w:eastAsiaTheme="minorEastAsia" w:hAnsi="Times New Roman" w:cs="Times New Roman"/>
                <w:sz w:val="20"/>
                <w:szCs w:val="20"/>
                <w:lang w:bidi="ar-EG"/>
              </w:rPr>
              <w:t xml:space="preserve"> Low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2611D" w:rsidRPr="00DB2031" w:rsidRDefault="00F2611D" w:rsidP="003618E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2031">
              <w:rPr>
                <w:rFonts w:ascii="Times New Roman" w:eastAsiaTheme="minorEastAsia" w:hAnsi="Times New Roman" w:cs="Times New Roman"/>
                <w:sz w:val="20"/>
                <w:szCs w:val="20"/>
              </w:rPr>
              <w:t>0.183</w:t>
            </w:r>
          </w:p>
        </w:tc>
      </w:tr>
    </w:tbl>
    <w:p w:rsidR="00802461" w:rsidRPr="00120BC7" w:rsidRDefault="00802461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673D40" w:rsidRDefault="00673D40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EuclidSymbol" w:hAnsi="Times New Roman" w:cs="Times New Roman"/>
          <w:sz w:val="20"/>
          <w:szCs w:val="18"/>
          <w:lang w:bidi="ar-EG"/>
        </w:rPr>
        <w:sectPr w:rsidR="00673D40" w:rsidSect="00120BC7">
          <w:type w:val="continuous"/>
          <w:pgSz w:w="12240" w:h="15840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802461" w:rsidRPr="00120BC7" w:rsidRDefault="00DB2031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EuclidSymbol" w:hAnsi="Times New Roman" w:cs="Times New Roman"/>
          <w:sz w:val="20"/>
          <w:szCs w:val="18"/>
          <w:lang w:bidi="ar-EG"/>
        </w:rPr>
      </w:pPr>
      <w:r w:rsidRPr="00AC54EB">
        <w:rPr>
          <w:rFonts w:ascii="Times New Roman" w:eastAsia="EuclidSymbol" w:hAnsi="Times New Roman" w:cs="Times New Roman"/>
          <w:noProof/>
          <w:sz w:val="20"/>
          <w:szCs w:val="18"/>
          <w:lang w:eastAsia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98.45pt;height:141.5pt;visibility:visible;mso-wrap-style:square">
            <v:imagedata r:id="rId17" o:title=""/>
          </v:shape>
        </w:pict>
      </w:r>
    </w:p>
    <w:p w:rsidR="002439DF" w:rsidRDefault="002439DF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18"/>
          <w:lang w:eastAsia="zh-CN"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  <w:t>(A)</w:t>
      </w:r>
    </w:p>
    <w:p w:rsidR="009869B8" w:rsidRPr="009869B8" w:rsidRDefault="009869B8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18"/>
          <w:lang w:eastAsia="zh-CN" w:bidi="ar-EG"/>
        </w:rPr>
      </w:pPr>
    </w:p>
    <w:p w:rsidR="00120BC7" w:rsidRPr="00120BC7" w:rsidRDefault="00DB2031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</w:pPr>
      <w:r w:rsidRPr="00AC54EB">
        <w:rPr>
          <w:rFonts w:ascii="Times New Roman" w:eastAsia="EuclidSymbol" w:hAnsi="Times New Roman" w:cs="Times New Roman"/>
          <w:b/>
          <w:noProof/>
          <w:sz w:val="20"/>
          <w:szCs w:val="18"/>
          <w:lang w:eastAsia="zh-CN"/>
        </w:rPr>
        <w:pict>
          <v:shape id="Picture 3" o:spid="_x0000_i1026" type="#_x0000_t75" style="width:198.45pt;height:141.5pt;visibility:visible;mso-wrap-style:square">
            <v:imagedata r:id="rId18" o:title=""/>
          </v:shape>
        </w:pict>
      </w:r>
    </w:p>
    <w:p w:rsidR="001B5E77" w:rsidRDefault="00120BC7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18"/>
          <w:lang w:eastAsia="zh-CN"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  <w:t>(</w:t>
      </w:r>
      <w:r w:rsidR="001B5E77" w:rsidRPr="00120BC7"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  <w:t>B)</w:t>
      </w:r>
    </w:p>
    <w:p w:rsidR="009869B8" w:rsidRPr="009869B8" w:rsidRDefault="009869B8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18"/>
          <w:lang w:eastAsia="zh-CN" w:bidi="ar-EG"/>
        </w:rPr>
      </w:pPr>
    </w:p>
    <w:p w:rsidR="00120BC7" w:rsidRPr="00120BC7" w:rsidRDefault="00DB2031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EuclidSymbol" w:hAnsi="Times New Roman" w:cs="Times New Roman"/>
          <w:sz w:val="20"/>
          <w:szCs w:val="18"/>
          <w:lang w:bidi="ar-EG"/>
        </w:rPr>
      </w:pPr>
      <w:r w:rsidRPr="00AC54EB">
        <w:rPr>
          <w:rFonts w:ascii="Times New Roman" w:eastAsia="EuclidSymbol" w:hAnsi="Times New Roman" w:cs="Times New Roman"/>
          <w:noProof/>
          <w:sz w:val="20"/>
          <w:szCs w:val="18"/>
          <w:lang w:eastAsia="zh-CN"/>
        </w:rPr>
        <w:lastRenderedPageBreak/>
        <w:pict>
          <v:shape id="Picture 4" o:spid="_x0000_i1027" type="#_x0000_t75" style="width:198.45pt;height:141.5pt;visibility:visible;mso-wrap-style:square">
            <v:imagedata r:id="rId19" o:title=""/>
          </v:shape>
        </w:pict>
      </w:r>
    </w:p>
    <w:p w:rsidR="002439DF" w:rsidRDefault="00120BC7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18"/>
          <w:lang w:eastAsia="zh-CN"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  <w:t>(</w:t>
      </w:r>
      <w:r w:rsidR="00A96435" w:rsidRPr="00120BC7"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  <w:t>C)</w:t>
      </w:r>
    </w:p>
    <w:p w:rsidR="009869B8" w:rsidRPr="009869B8" w:rsidRDefault="009869B8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18"/>
          <w:lang w:eastAsia="zh-CN" w:bidi="ar-EG"/>
        </w:rPr>
      </w:pPr>
    </w:p>
    <w:p w:rsidR="00120BC7" w:rsidRPr="00120BC7" w:rsidRDefault="00DB2031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</w:pPr>
      <w:r w:rsidRPr="00AC54EB">
        <w:rPr>
          <w:rFonts w:ascii="Times New Roman" w:eastAsia="EuclidSymbol" w:hAnsi="Times New Roman" w:cs="Times New Roman"/>
          <w:b/>
          <w:noProof/>
          <w:sz w:val="20"/>
          <w:szCs w:val="18"/>
          <w:lang w:eastAsia="zh-CN"/>
        </w:rPr>
        <w:pict>
          <v:shape id="Picture 5" o:spid="_x0000_i1028" type="#_x0000_t75" style="width:198.45pt;height:141.5pt;visibility:visible;mso-wrap-style:square">
            <v:imagedata r:id="rId20" o:title=""/>
          </v:shape>
        </w:pict>
      </w:r>
    </w:p>
    <w:p w:rsidR="00A96435" w:rsidRDefault="00120BC7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18"/>
          <w:lang w:eastAsia="zh-CN"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  <w:t>(</w:t>
      </w:r>
      <w:r w:rsidR="00A96435" w:rsidRPr="00120BC7">
        <w:rPr>
          <w:rFonts w:ascii="Times New Roman" w:eastAsia="EuclidSymbol" w:hAnsi="Times New Roman" w:cs="Times New Roman"/>
          <w:b/>
          <w:bCs/>
          <w:sz w:val="20"/>
          <w:szCs w:val="18"/>
          <w:lang w:bidi="ar-EG"/>
        </w:rPr>
        <w:t>D)</w:t>
      </w:r>
    </w:p>
    <w:p w:rsidR="009869B8" w:rsidRPr="009869B8" w:rsidRDefault="009869B8" w:rsidP="00DB203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18"/>
          <w:lang w:eastAsia="zh-CN" w:bidi="ar-EG"/>
        </w:rPr>
      </w:pPr>
    </w:p>
    <w:p w:rsidR="004865D1" w:rsidRDefault="004865D1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18"/>
          <w:lang w:bidi="ar-EG"/>
        </w:rPr>
        <w:sectPr w:rsidR="004865D1" w:rsidSect="00673D40">
          <w:type w:val="continuous"/>
          <w:pgSz w:w="12240" w:h="15840" w:code="9"/>
          <w:pgMar w:top="1440" w:right="1440" w:bottom="1440" w:left="1440" w:header="720" w:footer="720" w:gutter="0"/>
          <w:cols w:num="2" w:space="550"/>
          <w:noEndnote/>
          <w:docGrid w:linePitch="299"/>
        </w:sectPr>
      </w:pPr>
    </w:p>
    <w:p w:rsidR="00A8573C" w:rsidRPr="00120BC7" w:rsidRDefault="00A96435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18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lastRenderedPageBreak/>
        <w:t xml:space="preserve">Figure </w:t>
      </w:r>
      <w:r w:rsidR="008025FA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(</w:t>
      </w: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1</w:t>
      </w:r>
      <w:r w:rsidR="008025FA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)</w:t>
      </w: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Examples of the presence of lymphocytic infiltration (LI) and its subsets (CD8+, FoxP3+) in the primary tumors</w:t>
      </w:r>
    </w:p>
    <w:p w:rsidR="00120BC7" w:rsidRPr="00120BC7" w:rsidRDefault="00A8573C" w:rsidP="009869B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EuclidSymbol" w:hAnsi="Times New Roman" w:cs="Times New Roman"/>
          <w:sz w:val="20"/>
          <w:szCs w:val="18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H</w:t>
      </w:r>
      <w:r w:rsidR="00120BC7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&amp; </w:t>
      </w: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E stained section showing high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intratumoral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lymphocyte</w:t>
      </w:r>
      <w:r w:rsidR="00120BC7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s (</w:t>
      </w: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x400)</w:t>
      </w:r>
    </w:p>
    <w:p w:rsidR="00120BC7" w:rsidRPr="00120BC7" w:rsidRDefault="00120BC7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18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(</w:t>
      </w:r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B) H</w:t>
      </w: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&amp; </w:t>
      </w:r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E stained section showing high </w:t>
      </w:r>
      <w:proofErr w:type="spellStart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peritumoral</w:t>
      </w:r>
      <w:proofErr w:type="spellEnd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</w:t>
      </w:r>
      <w:r w:rsidR="00E20B1E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lastRenderedPageBreak/>
        <w:t>lymphocytes (</w:t>
      </w:r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x100)</w:t>
      </w:r>
    </w:p>
    <w:p w:rsidR="00120BC7" w:rsidRPr="00120BC7" w:rsidRDefault="00120BC7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18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(</w:t>
      </w:r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C) High </w:t>
      </w:r>
      <w:proofErr w:type="spellStart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intratumoral</w:t>
      </w:r>
      <w:proofErr w:type="spellEnd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CD8 </w:t>
      </w:r>
      <w:proofErr w:type="spellStart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cytoplasmic</w:t>
      </w:r>
      <w:proofErr w:type="spellEnd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</w:t>
      </w:r>
      <w:proofErr w:type="spellStart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immunoreactivity</w:t>
      </w:r>
      <w:proofErr w:type="spellEnd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(ABC x400)</w:t>
      </w:r>
    </w:p>
    <w:p w:rsidR="008025FA" w:rsidRPr="00120BC7" w:rsidRDefault="00120BC7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(</w:t>
      </w:r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D) High </w:t>
      </w:r>
      <w:proofErr w:type="spellStart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>intratumoral</w:t>
      </w:r>
      <w:proofErr w:type="spellEnd"/>
      <w:r w:rsidR="00A8573C" w:rsidRPr="00120BC7">
        <w:rPr>
          <w:rFonts w:ascii="Times New Roman" w:eastAsia="EuclidSymbol" w:hAnsi="Times New Roman" w:cs="Times New Roman"/>
          <w:sz w:val="20"/>
          <w:szCs w:val="18"/>
          <w:lang w:bidi="ar-EG"/>
        </w:rPr>
        <w:t xml:space="preserve"> FOXP3 nuclear positivity (ABC x400)</w:t>
      </w:r>
    </w:p>
    <w:p w:rsidR="004865D1" w:rsidRDefault="004865D1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18"/>
        </w:rPr>
        <w:sectPr w:rsidR="004865D1" w:rsidSect="004865D1">
          <w:type w:val="continuous"/>
          <w:pgSz w:w="12240" w:h="15840" w:code="9"/>
          <w:pgMar w:top="1440" w:right="1440" w:bottom="1440" w:left="1440" w:header="720" w:footer="720" w:gutter="0"/>
          <w:cols w:num="2" w:space="550"/>
          <w:noEndnote/>
          <w:docGrid w:linePitch="299"/>
        </w:sectPr>
      </w:pPr>
    </w:p>
    <w:p w:rsidR="00120BC7" w:rsidRPr="00120BC7" w:rsidRDefault="00120BC7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18"/>
        </w:rPr>
      </w:pPr>
    </w:p>
    <w:p w:rsidR="005C7FAE" w:rsidRPr="00120BC7" w:rsidRDefault="00DB2031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54EB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w:lastRenderedPageBreak/>
        <w:pict>
          <v:shape id="Picture 6" o:spid="_x0000_i1029" type="#_x0000_t75" style="width:198.45pt;height:141.5pt;visibility:visible;mso-wrap-style:square">
            <v:imagedata r:id="rId21" o:title=""/>
          </v:shape>
        </w:pict>
      </w:r>
    </w:p>
    <w:p w:rsidR="008131FB" w:rsidRPr="00120BC7" w:rsidRDefault="008025FA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</w:rPr>
        <w:t>Figure (2) Disease free survival according to density of Lymphocytic infiltration</w:t>
      </w:r>
    </w:p>
    <w:p w:rsidR="008025FA" w:rsidRPr="00120BC7" w:rsidRDefault="008025FA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7FAE" w:rsidRPr="00120BC7" w:rsidRDefault="00DB2031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54EB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w:pict>
          <v:shape id="Picture 7" o:spid="_x0000_i1030" type="#_x0000_t75" style="width:198.45pt;height:129.6pt;visibility:visible;mso-wrap-style:square">
            <v:imagedata r:id="rId22" o:title=""/>
          </v:shape>
        </w:pict>
      </w:r>
    </w:p>
    <w:p w:rsidR="002816DF" w:rsidRPr="00120BC7" w:rsidRDefault="008025FA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hAnsi="Times New Roman" w:cs="Times New Roman"/>
          <w:b/>
          <w:bCs/>
          <w:sz w:val="20"/>
          <w:szCs w:val="20"/>
        </w:rPr>
        <w:t>Figure (3</w:t>
      </w:r>
      <w:r w:rsidR="008131FB" w:rsidRPr="00120BC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131FB" w:rsidRPr="00120BC7">
        <w:rPr>
          <w:rFonts w:ascii="Times New Roman" w:hAnsi="Times New Roman" w:cs="Times New Roman"/>
          <w:sz w:val="20"/>
          <w:szCs w:val="20"/>
        </w:rPr>
        <w:t xml:space="preserve"> </w:t>
      </w:r>
      <w:r w:rsidRPr="00120BC7">
        <w:rPr>
          <w:rFonts w:ascii="Times New Roman" w:hAnsi="Times New Roman" w:cs="Times New Roman"/>
          <w:sz w:val="20"/>
          <w:szCs w:val="20"/>
        </w:rPr>
        <w:t>Overall survival according to density of lymphocytic infiltration</w:t>
      </w:r>
    </w:p>
    <w:p w:rsidR="00E20B1E" w:rsidRPr="00120BC7" w:rsidRDefault="00E20B1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>4. Discussion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The prognosis of colorectal cancer used to be predicted by the classical clinic-pathological features as TNM stage,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lymphovascular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invasion and age </w:t>
      </w:r>
      <w:r w:rsidRPr="00120BC7">
        <w:rPr>
          <w:rFonts w:ascii="Times New Roman" w:hAnsi="Times New Roman" w:cs="Times New Roman"/>
          <w:sz w:val="20"/>
          <w:szCs w:val="20"/>
          <w:vertAlign w:val="superscript"/>
        </w:rPr>
        <w:t>(29)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, but recently host-defense mechanisms emerged as an important factor in p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redicting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the outcome of patients with colorectal cancer 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(30,31)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</w:p>
    <w:p w:rsidR="005C7FAE" w:rsidRPr="00120BC7" w:rsidRDefault="00EE5A52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The prognostic role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</w:t>
      </w:r>
      <w:proofErr w:type="spellEnd"/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–</w:t>
      </w:r>
      <w:proofErr w:type="spellStart"/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infitrating</w:t>
      </w:r>
      <w:proofErr w:type="spellEnd"/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lymphocytes have been evaluated in colorectal cancer, but most studies include patients with colon and rectal cancer, only few studies have focused on colon cancer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(32,33)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Moreover,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have several subsets, each has a specific contribution in controlling the local -adaptive immune response and there is also a complex interaction among theses subsets. </w:t>
      </w:r>
      <w:r w:rsidRPr="00120BC7">
        <w:rPr>
          <w:rFonts w:ascii="Times New Roman" w:hAnsi="Times New Roman" w:cs="Times New Roman"/>
          <w:sz w:val="20"/>
          <w:szCs w:val="20"/>
          <w:vertAlign w:val="superscript"/>
        </w:rPr>
        <w:t>(34)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The objective of our study is to assess the pattern of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and its prognostic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singnificance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, with specific emphasis on its subtypes; CD8+ and Foxp3+ in patients with stage II and stage III colon cancer.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In our study we quantified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in the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stroma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and epithelium of the tumor together.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Most of our patients (74%) had low LI. Patients with high LI (26%) showed a tendency for better DFS and OS. The 3-year DFS and OS was 85% and 96% in patients with high LI, compared to 79% and 90 % in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lastRenderedPageBreak/>
        <w:t>patients with low LI, respectively.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This is in accordance to Emile et al 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(35)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. who reported a higher DFS and OS in patients with high LI compared to low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Pages et al </w:t>
      </w:r>
      <w:r w:rsidRPr="00120BC7">
        <w:rPr>
          <w:rFonts w:ascii="Times New Roman" w:eastAsia="EuclidSymbol" w:hAnsi="Times New Roman" w:cs="Times New Roman"/>
          <w:sz w:val="20"/>
          <w:szCs w:val="20"/>
          <w:vertAlign w:val="superscript"/>
          <w:lang w:bidi="ar-EG"/>
        </w:rPr>
        <w:t>(36)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. also, found that high levels of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are associated with less advanced stage and longer overall survival.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 our study patients with high LI were further analyzed and stained for CD8+ and FoxP3+.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CD8+ density was higher than FoxP3+. The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prescence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of high infiltration of CD8+was associated with lower grade (p=0.06) and lower N stage (p=0.06).In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univariate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analysis, we found that CD8+ was associated with a tendency for favorable overall survival (p=0.07).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According to our results,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TIls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especially its subset CD8 densities were shown to add prognostic information to the classical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clinico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-pathological features.</w:t>
      </w:r>
      <w:r w:rsidRPr="00120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BC7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Our study has some limitations. First being </w:t>
      </w:r>
      <w:r w:rsidR="00EE5A5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retrospective.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Second including small sample of patients.</w:t>
      </w:r>
    </w:p>
    <w:p w:rsidR="00120BC7" w:rsidRPr="00120BC7" w:rsidRDefault="00120BC7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>Conflict of interest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 authors declare that they have no conflict of interest.</w:t>
      </w:r>
    </w:p>
    <w:p w:rsidR="009869B8" w:rsidRDefault="009869B8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 w:bidi="ar-EG"/>
        </w:rPr>
      </w:pP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>Funding sources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None.</w:t>
      </w:r>
    </w:p>
    <w:p w:rsidR="009869B8" w:rsidRDefault="009869B8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 w:bidi="ar-EG"/>
        </w:rPr>
      </w:pP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>Acknowledgements</w:t>
      </w:r>
    </w:p>
    <w:p w:rsidR="005C7FAE" w:rsidRPr="00120BC7" w:rsidRDefault="005C7FAE" w:rsidP="00673D40">
      <w:pPr>
        <w:snapToGrid w:val="0"/>
        <w:spacing w:after="0" w:line="240" w:lineRule="auto"/>
        <w:ind w:firstLine="425"/>
        <w:jc w:val="both"/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None. </w:t>
      </w:r>
    </w:p>
    <w:p w:rsidR="005C7FAE" w:rsidRPr="00120BC7" w:rsidRDefault="005C7FAE" w:rsidP="00673D4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BC7">
        <w:rPr>
          <w:rFonts w:ascii="Times New Roman" w:hAnsi="Times New Roman" w:cs="Times New Roman"/>
          <w:b/>
          <w:sz w:val="20"/>
          <w:szCs w:val="20"/>
        </w:rPr>
        <w:t xml:space="preserve">Author contribution: </w:t>
      </w:r>
    </w:p>
    <w:p w:rsidR="005C7FAE" w:rsidRPr="00120BC7" w:rsidRDefault="005C7FAE" w:rsidP="00673D4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20BC7">
        <w:rPr>
          <w:rFonts w:ascii="Times New Roman" w:hAnsi="Times New Roman" w:cs="Times New Roman"/>
          <w:bCs/>
          <w:sz w:val="20"/>
          <w:szCs w:val="20"/>
        </w:rPr>
        <w:t>Azza</w:t>
      </w:r>
      <w:proofErr w:type="spellEnd"/>
      <w:r w:rsidRPr="00120B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0BC7">
        <w:rPr>
          <w:rFonts w:ascii="Times New Roman" w:hAnsi="Times New Roman" w:cs="Times New Roman"/>
          <w:bCs/>
          <w:sz w:val="20"/>
          <w:szCs w:val="20"/>
        </w:rPr>
        <w:t>Darwish</w:t>
      </w:r>
      <w:proofErr w:type="spellEnd"/>
      <w:r w:rsidR="00120BC7" w:rsidRPr="00120BC7">
        <w:rPr>
          <w:rFonts w:ascii="Times New Roman" w:hAnsi="Times New Roman" w:cs="Times New Roman"/>
          <w:bCs/>
          <w:sz w:val="20"/>
          <w:szCs w:val="20"/>
        </w:rPr>
        <w:t>,</w:t>
      </w:r>
      <w:r w:rsidRPr="00120B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0BC7">
        <w:rPr>
          <w:rFonts w:ascii="Times New Roman" w:hAnsi="Times New Roman" w:cs="Times New Roman"/>
          <w:bCs/>
          <w:sz w:val="20"/>
          <w:szCs w:val="20"/>
        </w:rPr>
        <w:t>Haitham</w:t>
      </w:r>
      <w:proofErr w:type="spellEnd"/>
      <w:r w:rsidRPr="00120BC7">
        <w:rPr>
          <w:rFonts w:ascii="Times New Roman" w:hAnsi="Times New Roman" w:cs="Times New Roman"/>
          <w:bCs/>
          <w:sz w:val="20"/>
          <w:szCs w:val="20"/>
        </w:rPr>
        <w:t xml:space="preserve"> Fayed and Dina </w:t>
      </w:r>
      <w:proofErr w:type="spellStart"/>
      <w:r w:rsidRPr="00120BC7">
        <w:rPr>
          <w:rFonts w:ascii="Times New Roman" w:hAnsi="Times New Roman" w:cs="Times New Roman"/>
          <w:bCs/>
          <w:sz w:val="20"/>
          <w:szCs w:val="20"/>
        </w:rPr>
        <w:t>Abdallah</w:t>
      </w:r>
      <w:proofErr w:type="spellEnd"/>
      <w:r w:rsidRPr="00120BC7">
        <w:rPr>
          <w:rFonts w:ascii="Times New Roman" w:hAnsi="Times New Roman" w:cs="Times New Roman"/>
          <w:bCs/>
          <w:sz w:val="20"/>
          <w:szCs w:val="20"/>
        </w:rPr>
        <w:t xml:space="preserve"> contributed equally to this work.</w:t>
      </w:r>
      <w:r w:rsidRPr="00120B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b/>
          <w:bCs/>
          <w:sz w:val="20"/>
          <w:szCs w:val="20"/>
        </w:rPr>
      </w:pPr>
    </w:p>
    <w:p w:rsidR="005C7FAE" w:rsidRPr="00120BC7" w:rsidRDefault="005C7FAE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>References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Deschoolmeester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Baay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Marck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Weyler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Vermeulen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Lardon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intriguing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player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survival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BMC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2010,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11:19.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JW,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Kim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Significance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Arch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surg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2012;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47(4):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366-371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Zou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tumour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immunity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immunotherapy.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Nat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Rev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6: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295-307.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Titu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LV,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Monson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JR,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Greenman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role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CD8(+)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responses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2002;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51:235-47.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Liao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Zhang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Yuan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Value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lastRenderedPageBreak/>
        <w:t>Gastrointestinal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Cancers: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Meta-Analysis.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PLOS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EE5A5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EE5A52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2014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9(5):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e94376.</w:t>
      </w:r>
      <w:r w:rsidR="00120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Divitiis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Nasti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Montano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Fisichella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Iaffaioli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RV,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Berretta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predictive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response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factors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Between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hope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reality.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World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Gastroenterol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2014;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20(41):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15049-59.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Suzuki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Chikazawa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Tasaka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Wada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Yamasaki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Kitaura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Intratumoral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CD8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(+)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T/FOXP3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(+)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ratio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predictive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marker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survival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2010;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59:653-61.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Ladoire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Martin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Ghiringhelli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role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human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carcinomas: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paradox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2011;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60: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909–18.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Shang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Liu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Jiang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Liu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value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cancers: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systematic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review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meta-analysis.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Sci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Rep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2015;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5:15179.</w:t>
      </w:r>
    </w:p>
    <w:p w:rsidR="004865D1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Hori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Nomura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Sakaguchi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Control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development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transcription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factor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Science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299:1057-1061,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</w:t>
      </w:r>
      <w:r w:rsidR="004865D1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0</w:t>
      </w:r>
      <w:r w:rsidR="004865D1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</w:p>
    <w:p w:rsidR="005C7FAE" w:rsidRPr="00120BC7" w:rsidRDefault="004865D1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>
        <w:rPr>
          <w:rFonts w:ascii="Times New Roman" w:eastAsiaTheme="minorEastAsia" w:hAnsi="Times New Roman" w:cs="Times New Roman" w:hint="eastAsia"/>
          <w:sz w:val="20"/>
          <w:szCs w:val="20"/>
          <w:lang w:eastAsia="zh-CN" w:bidi="ar-EG"/>
        </w:rPr>
        <w:t>D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eLeeuw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Kost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SE,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Kakal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Nelson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BH.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value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cancer:a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critical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review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literature.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2012;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18: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="005C7FAE"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3022–9.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Zou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tumour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immunity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immunotherapy.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Nat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Rev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6:295-307,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2006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Chang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Mahalingam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CT,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Chen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TW,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CW,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derived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chemokine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CCL5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enhances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TGF-beta-mediated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killing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CD8(+)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T-regulatory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2012;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72: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1092–102.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Bates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SB,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Leek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RD,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Garcia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Harris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Quantification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enables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identification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high-risk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breast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those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risk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late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relapse.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24:5373-80.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Sato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Olson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Ahn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Bundy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Nishikawa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Qian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Intraepithelial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CD8+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high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CD8+/regulatory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ratio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are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associated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favorable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ovarian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Natl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AcadSci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USA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2005;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102:18538-43.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Q,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Qiu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Zhou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XY,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Xiao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Intratumoral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balance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cytotoxic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associated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hepatocellular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carcinoma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after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resection.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2007;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25: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2586–93.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Kawai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Ishii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Kubota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Murata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Naito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lastRenderedPageBreak/>
        <w:t>Mizuno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Predominant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infiltration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macrophages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CD8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+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nests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significant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predictor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survival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stage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IV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nonsmall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lung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2008;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113:</w:t>
      </w:r>
      <w:r w:rsidR="00120BC7">
        <w:rPr>
          <w:rFonts w:ascii="Times New Roman" w:eastAsia="EuclidSymbol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1387–95.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Hiraoka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Onozato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Kosuge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Hirohashi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Prevalence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increases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during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progression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pancreatic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ductal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adenocarcinoma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premalignant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lesions.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12:5423-34.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Shen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Zhou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RL,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Zhong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Higher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intratumoral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infiltrated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numbers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Foxp3+/CD8+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ratio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are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associated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adverse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resectable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gastric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2010;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136: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1585–95.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JW,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Kim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Significance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Arch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surg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2012;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47(4):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366-71.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Yaqub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Henjum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Mahic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Jahnsen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FL,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Aandahl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Bjornbeth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suppress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anti-tumor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activityin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COX-2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dependent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manner.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2008;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57: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813-21.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Zhuo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Xu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Q,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Peng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Higher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FOXP3-TSDR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demethylation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rates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adjacent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normal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tissues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were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associated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worse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survival.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Mol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2014;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13:153.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Salama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Phillips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Grieu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Morris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Zeps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Joseph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show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strong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significance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2009;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27:186-92.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Edin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Wikberg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ML,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Oberg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Palmqvist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intratumoural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subsite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relation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CD8(+)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FOXP3(+)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provide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important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clues.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Bri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2014;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110: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2551-9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Z,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Wang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FoxP3+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Tregs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predict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favorable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outcome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meta-analysis.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Oncotarget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2017;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8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(43):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75361-71.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Correale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Rotundo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Vecchio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MT,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Remondo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Migali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Regulatory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(FoxP3+)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T-cell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infiltration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favorable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factor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advanced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undergoing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chemo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chemoimmunotherapy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2010;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33: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435–41.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Clear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Calaminici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Davies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Jordan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MacDougall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Number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CD4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+</w:t>
      </w:r>
      <w:r w:rsid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location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forkhead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box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protein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lastRenderedPageBreak/>
        <w:t>P3-positive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diagnostic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follicular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lymphoma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tissue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microarrays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correlates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outcome.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24: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5052–9.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Badoual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Hans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Rodriguez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Peyrard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Klein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Agueznay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Nel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value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CD4</w:t>
      </w:r>
      <w:r w:rsidRPr="00120BC7">
        <w:rPr>
          <w:rFonts w:ascii="Times New Roman" w:hAnsi="Times New Roman" w:cs="Times New Roman"/>
          <w:sz w:val="20"/>
          <w:szCs w:val="20"/>
          <w:lang w:bidi="ar-EG"/>
        </w:rPr>
        <w:t>+</w:t>
      </w:r>
      <w:r w:rsidR="00120BC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T-cell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subpopulations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head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neck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cancers.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12: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465–72.</w:t>
      </w:r>
      <w:r w:rsidR="00120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Sinicrope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Shi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Q.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Combining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molecular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markers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TNM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staging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system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improve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stage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III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are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ready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yet?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Natl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Inst.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2012;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104:1616-8.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Broussard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EK,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Disis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TNM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staging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memory.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2011;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29: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601-3.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Pages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Galon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Dieu-Nosjean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Tartour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Sautes</w:t>
      </w:r>
      <w:proofErr w:type="spellEnd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-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Fridman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Fridman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WH.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infiltration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human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tumors: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factor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that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should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ignored.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Oncogene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2010;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29: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1093-102.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Turksma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AW,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Coupe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Shamier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Lam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KL,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Weger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Belien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(2016).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Extent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Location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Tumor-Infiltrating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Microsatellite-Stable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lastRenderedPageBreak/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Predict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Outcome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to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Adjuvant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Active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Specific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Immunotherapy.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22: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346–56.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Markl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Wieberneit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Kretsinger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Mayr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Anthuber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Arnholdt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(2016).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Number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Intratumoral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Associated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Node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Size,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Node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Harvest,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Outcome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Node-Negative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Am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Pathol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145: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826–36.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Galon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Costes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Sanchez-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Cabo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Kirilovsky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Mlecnik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Lagorce-Pagès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Type,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density,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location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immune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human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tumors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predict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clinical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outcome.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Science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2006;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313: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1960–4.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Emile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Julié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Malicot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K,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Lepage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Tabernero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Mini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Prospective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validation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of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lymphocyte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infiltration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prognostic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test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stage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III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patients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treated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with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adjuvant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FOLFOX.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Eur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2017;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82: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16-24.</w:t>
      </w:r>
    </w:p>
    <w:p w:rsidR="005C7FAE" w:rsidRPr="00120BC7" w:rsidRDefault="005C7FAE" w:rsidP="009869B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Pages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Berger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Camus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Sanchez-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Cabo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F,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Costes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Molidor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R,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al.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Effector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memory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T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cells,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early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metastasis,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and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survival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in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colorectal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cancer.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N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Engl</w:t>
      </w:r>
      <w:proofErr w:type="spellEnd"/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J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Med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2005;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353:</w:t>
      </w:r>
      <w:r w:rsidR="00120BC7">
        <w:rPr>
          <w:rFonts w:ascii="Times New Roman" w:eastAsia="EuclidSymbol" w:hAnsi="Times New Roman" w:cs="Times New Roman"/>
          <w:sz w:val="20"/>
          <w:szCs w:val="20"/>
          <w:lang w:bidi="ar-EG"/>
        </w:rPr>
        <w:t xml:space="preserve"> </w:t>
      </w: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2654-66.</w:t>
      </w:r>
    </w:p>
    <w:p w:rsidR="00673D40" w:rsidRDefault="00673D40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  <w:sectPr w:rsidR="00673D40" w:rsidSect="00673D40">
          <w:type w:val="continuous"/>
          <w:pgSz w:w="12240" w:h="15840" w:code="9"/>
          <w:pgMar w:top="1440" w:right="1440" w:bottom="1440" w:left="1440" w:header="720" w:footer="720" w:gutter="0"/>
          <w:cols w:num="2" w:space="550"/>
          <w:noEndnote/>
          <w:docGrid w:linePitch="299"/>
        </w:sectPr>
      </w:pPr>
    </w:p>
    <w:p w:rsidR="00120BC7" w:rsidRDefault="00120BC7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673D40" w:rsidRDefault="00673D40" w:rsidP="009869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673D40" w:rsidRPr="00673D40" w:rsidRDefault="00673D40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 w:bidi="ar-EG"/>
        </w:rPr>
      </w:pPr>
    </w:p>
    <w:p w:rsidR="00802461" w:rsidRPr="00120BC7" w:rsidRDefault="00120BC7" w:rsidP="00673D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EuclidSymbol" w:hAnsi="Times New Roman" w:cs="Times New Roman"/>
          <w:sz w:val="20"/>
          <w:szCs w:val="20"/>
          <w:lang w:bidi="ar-EG"/>
        </w:rPr>
      </w:pPr>
      <w:r w:rsidRPr="00120BC7">
        <w:rPr>
          <w:rFonts w:ascii="Times New Roman" w:eastAsia="EuclidSymbol" w:hAnsi="Times New Roman" w:cs="Times New Roman"/>
          <w:sz w:val="20"/>
          <w:szCs w:val="20"/>
          <w:lang w:bidi="ar-EG"/>
        </w:rPr>
        <w:t>6/10/2019</w:t>
      </w:r>
    </w:p>
    <w:sectPr w:rsidR="00802461" w:rsidRPr="00120BC7" w:rsidSect="00120BC7">
      <w:type w:val="continuous"/>
      <w:pgSz w:w="12240" w:h="15840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D3" w:rsidRDefault="00BA5DD3" w:rsidP="00E55E26">
      <w:pPr>
        <w:spacing w:after="0" w:line="240" w:lineRule="auto"/>
      </w:pPr>
      <w:r>
        <w:separator/>
      </w:r>
    </w:p>
  </w:endnote>
  <w:endnote w:type="continuationSeparator" w:id="0">
    <w:p w:rsidR="00BA5DD3" w:rsidRDefault="00BA5DD3" w:rsidP="00E5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Euclid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2" w:rsidRDefault="00173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40" w:rsidRPr="001731F2" w:rsidRDefault="00AC54EB" w:rsidP="001731F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731F2">
      <w:rPr>
        <w:rFonts w:ascii="Times New Roman" w:hAnsi="Times New Roman" w:cs="Times New Roman"/>
        <w:sz w:val="20"/>
      </w:rPr>
      <w:fldChar w:fldCharType="begin"/>
    </w:r>
    <w:r w:rsidR="001731F2" w:rsidRPr="001731F2">
      <w:rPr>
        <w:rFonts w:ascii="Times New Roman" w:hAnsi="Times New Roman" w:cs="Times New Roman"/>
        <w:sz w:val="20"/>
      </w:rPr>
      <w:instrText xml:space="preserve"> page </w:instrText>
    </w:r>
    <w:r w:rsidRPr="001731F2">
      <w:rPr>
        <w:rFonts w:ascii="Times New Roman" w:hAnsi="Times New Roman" w:cs="Times New Roman"/>
        <w:sz w:val="20"/>
      </w:rPr>
      <w:fldChar w:fldCharType="separate"/>
    </w:r>
    <w:r w:rsidR="00DB2031">
      <w:rPr>
        <w:rFonts w:ascii="Times New Roman" w:hAnsi="Times New Roman" w:cs="Times New Roman"/>
        <w:noProof/>
        <w:sz w:val="20"/>
      </w:rPr>
      <w:t>7</w:t>
    </w:r>
    <w:r w:rsidRPr="001731F2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2" w:rsidRDefault="00173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D3" w:rsidRDefault="00BA5DD3" w:rsidP="00E55E26">
      <w:pPr>
        <w:spacing w:after="0" w:line="240" w:lineRule="auto"/>
      </w:pPr>
      <w:r>
        <w:separator/>
      </w:r>
    </w:p>
  </w:footnote>
  <w:footnote w:type="continuationSeparator" w:id="0">
    <w:p w:rsidR="00BA5DD3" w:rsidRDefault="00BA5DD3" w:rsidP="00E5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2" w:rsidRDefault="00173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2" w:rsidRPr="001731F2" w:rsidRDefault="001731F2" w:rsidP="001731F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1731F2">
      <w:rPr>
        <w:rFonts w:ascii="Times New Roman" w:hAnsi="Times New Roman" w:cs="Times New Roman" w:hint="eastAsia"/>
        <w:iCs/>
        <w:color w:val="000000"/>
        <w:sz w:val="20"/>
      </w:rPr>
      <w:tab/>
    </w:r>
    <w:r w:rsidRPr="001731F2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1731F2">
      <w:rPr>
        <w:rFonts w:ascii="Times New Roman" w:hAnsi="Times New Roman" w:cs="Times New Roman"/>
        <w:iCs/>
        <w:sz w:val="20"/>
      </w:rPr>
      <w:t>201</w:t>
    </w:r>
    <w:r w:rsidRPr="001731F2">
      <w:rPr>
        <w:rFonts w:ascii="Times New Roman" w:hAnsi="Times New Roman" w:cs="Times New Roman" w:hint="eastAsia"/>
        <w:iCs/>
        <w:sz w:val="20"/>
      </w:rPr>
      <w:t>9</w:t>
    </w:r>
    <w:r w:rsidRPr="001731F2">
      <w:rPr>
        <w:rFonts w:ascii="Times New Roman" w:hAnsi="Times New Roman" w:cs="Times New Roman"/>
        <w:iCs/>
        <w:sz w:val="20"/>
      </w:rPr>
      <w:t>;</w:t>
    </w:r>
    <w:r w:rsidRPr="001731F2">
      <w:rPr>
        <w:rFonts w:ascii="Times New Roman" w:hAnsi="Times New Roman" w:cs="Times New Roman" w:hint="eastAsia"/>
        <w:iCs/>
        <w:sz w:val="20"/>
      </w:rPr>
      <w:t>9</w:t>
    </w:r>
    <w:r w:rsidRPr="001731F2">
      <w:rPr>
        <w:rFonts w:ascii="Times New Roman" w:hAnsi="Times New Roman" w:cs="Times New Roman"/>
        <w:iCs/>
        <w:sz w:val="20"/>
      </w:rPr>
      <w:t>(</w:t>
    </w:r>
    <w:r w:rsidRPr="001731F2">
      <w:rPr>
        <w:rFonts w:ascii="Times New Roman" w:hAnsi="Times New Roman" w:cs="Times New Roman" w:hint="eastAsia"/>
        <w:iCs/>
        <w:sz w:val="20"/>
      </w:rPr>
      <w:t>3</w:t>
    </w:r>
    <w:r w:rsidRPr="001731F2">
      <w:rPr>
        <w:rFonts w:ascii="Times New Roman" w:hAnsi="Times New Roman" w:cs="Times New Roman"/>
        <w:iCs/>
        <w:sz w:val="20"/>
      </w:rPr>
      <w:t xml:space="preserve">)  </w:t>
    </w:r>
    <w:r w:rsidRPr="001731F2">
      <w:rPr>
        <w:rFonts w:ascii="Times New Roman" w:hAnsi="Times New Roman" w:cs="Times New Roman" w:hint="eastAsia"/>
        <w:iCs/>
        <w:sz w:val="20"/>
      </w:rPr>
      <w:t xml:space="preserve">   </w:t>
    </w:r>
    <w:r w:rsidRPr="001731F2">
      <w:rPr>
        <w:rFonts w:ascii="Times New Roman" w:hAnsi="Times New Roman" w:cs="Times New Roman" w:hint="eastAsia"/>
        <w:iCs/>
        <w:sz w:val="20"/>
      </w:rPr>
      <w:tab/>
      <w:t xml:space="preserve">   </w:t>
    </w:r>
    <w:r w:rsidRPr="001731F2">
      <w:rPr>
        <w:rFonts w:ascii="Times New Roman" w:hAnsi="Times New Roman" w:cs="Times New Roman"/>
        <w:iCs/>
        <w:sz w:val="20"/>
      </w:rPr>
      <w:t xml:space="preserve"> </w:t>
    </w:r>
    <w:r w:rsidRPr="001731F2">
      <w:rPr>
        <w:rFonts w:ascii="Times New Roman" w:hAnsi="Times New Roman" w:cs="Times New Roman"/>
        <w:sz w:val="20"/>
      </w:rPr>
      <w:t xml:space="preserve">  </w:t>
    </w:r>
    <w:hyperlink r:id="rId1" w:history="1">
      <w:r w:rsidRPr="001731F2">
        <w:rPr>
          <w:rStyle w:val="Hyperlink"/>
          <w:rFonts w:ascii="Times New Roman" w:hAnsi="Times New Roman"/>
          <w:sz w:val="20"/>
        </w:rPr>
        <w:t>http://www.cancerbio.net</w:t>
      </w:r>
    </w:hyperlink>
    <w:r w:rsidRPr="001731F2">
      <w:rPr>
        <w:rFonts w:ascii="Times New Roman" w:hAnsi="Times New Roman" w:cs="Times New Roman" w:hint="eastAsia"/>
        <w:sz w:val="20"/>
      </w:rPr>
      <w:t xml:space="preserve">   </w:t>
    </w:r>
    <w:r w:rsidRPr="001731F2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1731F2" w:rsidRPr="001731F2" w:rsidRDefault="001731F2" w:rsidP="001731F2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2" w:rsidRDefault="001731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09A"/>
    <w:multiLevelType w:val="hybridMultilevel"/>
    <w:tmpl w:val="F1281D88"/>
    <w:lvl w:ilvl="0" w:tplc="A6C6A748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D615E"/>
    <w:multiLevelType w:val="hybridMultilevel"/>
    <w:tmpl w:val="171AB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0A1A1D"/>
    <w:multiLevelType w:val="hybridMultilevel"/>
    <w:tmpl w:val="F3DE5788"/>
    <w:lvl w:ilvl="0" w:tplc="174C097A">
      <w:start w:val="1"/>
      <w:numFmt w:val="decimal"/>
      <w:suff w:val="space"/>
      <w:lvlText w:val="Figrue 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065D88"/>
    <w:multiLevelType w:val="hybridMultilevel"/>
    <w:tmpl w:val="90824874"/>
    <w:lvl w:ilvl="0" w:tplc="BC769DD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62837"/>
    <w:multiLevelType w:val="hybridMultilevel"/>
    <w:tmpl w:val="82FC8A0E"/>
    <w:lvl w:ilvl="0" w:tplc="E5347B08">
      <w:start w:val="3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ED1AE1"/>
    <w:multiLevelType w:val="hybridMultilevel"/>
    <w:tmpl w:val="B19AF4B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A603DE4"/>
    <w:multiLevelType w:val="hybridMultilevel"/>
    <w:tmpl w:val="DC58D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ocumentProtection w:edit="readOnly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9C"/>
    <w:rsid w:val="00004955"/>
    <w:rsid w:val="00012E7E"/>
    <w:rsid w:val="00024CEC"/>
    <w:rsid w:val="0004274C"/>
    <w:rsid w:val="00047840"/>
    <w:rsid w:val="00070EA3"/>
    <w:rsid w:val="00083A05"/>
    <w:rsid w:val="00096048"/>
    <w:rsid w:val="000A2536"/>
    <w:rsid w:val="000B388F"/>
    <w:rsid w:val="000B627E"/>
    <w:rsid w:val="000C3E8C"/>
    <w:rsid w:val="000D11D5"/>
    <w:rsid w:val="000E33B1"/>
    <w:rsid w:val="00102028"/>
    <w:rsid w:val="001037B9"/>
    <w:rsid w:val="00106D65"/>
    <w:rsid w:val="00120BC7"/>
    <w:rsid w:val="00126104"/>
    <w:rsid w:val="00132DB4"/>
    <w:rsid w:val="0013479F"/>
    <w:rsid w:val="001365BB"/>
    <w:rsid w:val="001731F2"/>
    <w:rsid w:val="0018314B"/>
    <w:rsid w:val="001A75A1"/>
    <w:rsid w:val="001B5E77"/>
    <w:rsid w:val="001D2178"/>
    <w:rsid w:val="001E514D"/>
    <w:rsid w:val="001F5B83"/>
    <w:rsid w:val="00211B74"/>
    <w:rsid w:val="00222BCD"/>
    <w:rsid w:val="00225B56"/>
    <w:rsid w:val="00240F1E"/>
    <w:rsid w:val="00241E20"/>
    <w:rsid w:val="002439DF"/>
    <w:rsid w:val="0026186B"/>
    <w:rsid w:val="002816DF"/>
    <w:rsid w:val="002C2983"/>
    <w:rsid w:val="002F4B91"/>
    <w:rsid w:val="00332518"/>
    <w:rsid w:val="00332E18"/>
    <w:rsid w:val="00343F57"/>
    <w:rsid w:val="0035509C"/>
    <w:rsid w:val="003618E9"/>
    <w:rsid w:val="0038129B"/>
    <w:rsid w:val="00386664"/>
    <w:rsid w:val="00394632"/>
    <w:rsid w:val="003949BB"/>
    <w:rsid w:val="003962AB"/>
    <w:rsid w:val="003A173D"/>
    <w:rsid w:val="003B1093"/>
    <w:rsid w:val="003B5950"/>
    <w:rsid w:val="003C62D3"/>
    <w:rsid w:val="003C6AA9"/>
    <w:rsid w:val="003C70C7"/>
    <w:rsid w:val="003F05AA"/>
    <w:rsid w:val="003F248E"/>
    <w:rsid w:val="003F6606"/>
    <w:rsid w:val="00400503"/>
    <w:rsid w:val="00400E29"/>
    <w:rsid w:val="004461A0"/>
    <w:rsid w:val="0046719D"/>
    <w:rsid w:val="004865D1"/>
    <w:rsid w:val="004B52C5"/>
    <w:rsid w:val="004C3F56"/>
    <w:rsid w:val="004C40CC"/>
    <w:rsid w:val="004C796E"/>
    <w:rsid w:val="004D5B7D"/>
    <w:rsid w:val="004E3DB3"/>
    <w:rsid w:val="004F0F09"/>
    <w:rsid w:val="004F1853"/>
    <w:rsid w:val="00505C4A"/>
    <w:rsid w:val="00531D91"/>
    <w:rsid w:val="00534B19"/>
    <w:rsid w:val="005355D0"/>
    <w:rsid w:val="0053599A"/>
    <w:rsid w:val="005711A9"/>
    <w:rsid w:val="00586F99"/>
    <w:rsid w:val="005A0262"/>
    <w:rsid w:val="005C292A"/>
    <w:rsid w:val="005C7FAE"/>
    <w:rsid w:val="005D226D"/>
    <w:rsid w:val="005E4B99"/>
    <w:rsid w:val="0063507A"/>
    <w:rsid w:val="00673D40"/>
    <w:rsid w:val="00690137"/>
    <w:rsid w:val="00690939"/>
    <w:rsid w:val="006A2C74"/>
    <w:rsid w:val="006A6C7C"/>
    <w:rsid w:val="006C0E2F"/>
    <w:rsid w:val="006D2078"/>
    <w:rsid w:val="007318D4"/>
    <w:rsid w:val="00735F6F"/>
    <w:rsid w:val="00742541"/>
    <w:rsid w:val="00755213"/>
    <w:rsid w:val="00760AD8"/>
    <w:rsid w:val="00781B57"/>
    <w:rsid w:val="007A07BD"/>
    <w:rsid w:val="007A617C"/>
    <w:rsid w:val="007F1ECE"/>
    <w:rsid w:val="00802461"/>
    <w:rsid w:val="008025FA"/>
    <w:rsid w:val="00802F4A"/>
    <w:rsid w:val="00806916"/>
    <w:rsid w:val="008131FB"/>
    <w:rsid w:val="00836CB2"/>
    <w:rsid w:val="008410DD"/>
    <w:rsid w:val="008421D9"/>
    <w:rsid w:val="008545C1"/>
    <w:rsid w:val="00864F00"/>
    <w:rsid w:val="00871EFD"/>
    <w:rsid w:val="00872CBD"/>
    <w:rsid w:val="008A3014"/>
    <w:rsid w:val="008C1935"/>
    <w:rsid w:val="008C3D0D"/>
    <w:rsid w:val="008F1AE9"/>
    <w:rsid w:val="009065D2"/>
    <w:rsid w:val="00906798"/>
    <w:rsid w:val="00933CF0"/>
    <w:rsid w:val="00941CC4"/>
    <w:rsid w:val="00976793"/>
    <w:rsid w:val="009869B8"/>
    <w:rsid w:val="009A0DAC"/>
    <w:rsid w:val="009A6C76"/>
    <w:rsid w:val="009D69B5"/>
    <w:rsid w:val="00A00AB6"/>
    <w:rsid w:val="00A101A7"/>
    <w:rsid w:val="00A17543"/>
    <w:rsid w:val="00A22AEC"/>
    <w:rsid w:val="00A37D92"/>
    <w:rsid w:val="00A7356E"/>
    <w:rsid w:val="00A8573C"/>
    <w:rsid w:val="00A96435"/>
    <w:rsid w:val="00AA0187"/>
    <w:rsid w:val="00AA646F"/>
    <w:rsid w:val="00AC1F99"/>
    <w:rsid w:val="00AC54EB"/>
    <w:rsid w:val="00AD554F"/>
    <w:rsid w:val="00AD6F7C"/>
    <w:rsid w:val="00AE2FFA"/>
    <w:rsid w:val="00AE46F7"/>
    <w:rsid w:val="00AF4D97"/>
    <w:rsid w:val="00B052BF"/>
    <w:rsid w:val="00B12B04"/>
    <w:rsid w:val="00B30562"/>
    <w:rsid w:val="00B4501F"/>
    <w:rsid w:val="00B51837"/>
    <w:rsid w:val="00B670AA"/>
    <w:rsid w:val="00B707A1"/>
    <w:rsid w:val="00B74B2B"/>
    <w:rsid w:val="00B801D9"/>
    <w:rsid w:val="00B93522"/>
    <w:rsid w:val="00B947F2"/>
    <w:rsid w:val="00BA39AE"/>
    <w:rsid w:val="00BA5DD3"/>
    <w:rsid w:val="00BB5CED"/>
    <w:rsid w:val="00BD1538"/>
    <w:rsid w:val="00BE1C6A"/>
    <w:rsid w:val="00BF7B24"/>
    <w:rsid w:val="00C04352"/>
    <w:rsid w:val="00C52540"/>
    <w:rsid w:val="00C66949"/>
    <w:rsid w:val="00C70EEA"/>
    <w:rsid w:val="00C96A32"/>
    <w:rsid w:val="00CB7738"/>
    <w:rsid w:val="00CC6B75"/>
    <w:rsid w:val="00CF108B"/>
    <w:rsid w:val="00CF425D"/>
    <w:rsid w:val="00D46110"/>
    <w:rsid w:val="00D51A12"/>
    <w:rsid w:val="00D62026"/>
    <w:rsid w:val="00D65CA2"/>
    <w:rsid w:val="00DA55B2"/>
    <w:rsid w:val="00DB2031"/>
    <w:rsid w:val="00DB2CAD"/>
    <w:rsid w:val="00DB3F00"/>
    <w:rsid w:val="00DC605B"/>
    <w:rsid w:val="00E1002E"/>
    <w:rsid w:val="00E20B1E"/>
    <w:rsid w:val="00E27C8F"/>
    <w:rsid w:val="00E476CB"/>
    <w:rsid w:val="00E55E26"/>
    <w:rsid w:val="00E6258D"/>
    <w:rsid w:val="00E653A9"/>
    <w:rsid w:val="00E801EC"/>
    <w:rsid w:val="00E840DD"/>
    <w:rsid w:val="00EC150C"/>
    <w:rsid w:val="00EC6E1D"/>
    <w:rsid w:val="00ED50A8"/>
    <w:rsid w:val="00EE5A52"/>
    <w:rsid w:val="00F2611D"/>
    <w:rsid w:val="00F33394"/>
    <w:rsid w:val="00F36EE2"/>
    <w:rsid w:val="00F72B9B"/>
    <w:rsid w:val="00FA0EB0"/>
    <w:rsid w:val="00FA4875"/>
    <w:rsid w:val="00FD7CAC"/>
    <w:rsid w:val="00F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57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20B1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20B1E"/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customStyle="1" w:styleId="Default">
    <w:name w:val="Default"/>
    <w:rsid w:val="004B5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13">
    <w:name w:val="A13"/>
    <w:uiPriority w:val="99"/>
    <w:rsid w:val="004B52C5"/>
    <w:rPr>
      <w:color w:val="000000"/>
      <w:sz w:val="18"/>
    </w:rPr>
  </w:style>
  <w:style w:type="character" w:customStyle="1" w:styleId="A9">
    <w:name w:val="A9"/>
    <w:uiPriority w:val="99"/>
    <w:rsid w:val="004B52C5"/>
    <w:rPr>
      <w:color w:val="000000"/>
      <w:sz w:val="10"/>
    </w:rPr>
  </w:style>
  <w:style w:type="paragraph" w:styleId="ListParagraph">
    <w:name w:val="List Paragraph"/>
    <w:basedOn w:val="Normal"/>
    <w:uiPriority w:val="34"/>
    <w:qFormat/>
    <w:rsid w:val="001365B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E26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E5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E26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A7356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2611D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2611D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2611D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qFormat/>
    <w:rsid w:val="00673D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673D40"/>
    <w:rPr>
      <w:rFonts w:ascii="Times New Roman" w:eastAsia="宋体" w:hAnsi="Times New Roman"/>
      <w:sz w:val="24"/>
      <w:szCs w:val="24"/>
    </w:rPr>
  </w:style>
  <w:style w:type="character" w:customStyle="1" w:styleId="msonormal0">
    <w:name w:val="msonormal0"/>
    <w:basedOn w:val="DefaultParagraphFont"/>
    <w:rsid w:val="0067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zadarwish2005@yahoo.co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7537/marscbj090319.01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footer" Target="footer2.xml"/><Relationship Id="rId2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CD14-EA3C-46F8-BE1C-DD9EE16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3189</Words>
  <Characters>18179</Characters>
  <Application>Microsoft Office Word</Application>
  <DocSecurity>0</DocSecurity>
  <Lines>151</Lines>
  <Paragraphs>42</Paragraphs>
  <ScaleCrop>false</ScaleCrop>
  <Company>Wld-Otiba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cp:lastPrinted>2019-06-13T22:58:00Z</cp:lastPrinted>
  <dcterms:created xsi:type="dcterms:W3CDTF">2019-06-13T04:21:00Z</dcterms:created>
  <dcterms:modified xsi:type="dcterms:W3CDTF">2019-06-13T22:58:00Z</dcterms:modified>
</cp:coreProperties>
</file>