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77" w:rsidRPr="007245F9" w:rsidRDefault="00E24DD0" w:rsidP="00185ADB">
      <w:pPr>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Role of Radiological Surveillance as a Mode of Detecting Recurrence in Children with Hodgkin Lymphoma</w:t>
      </w:r>
    </w:p>
    <w:p w:rsidR="00C16177" w:rsidRPr="007245F9" w:rsidRDefault="00C16177" w:rsidP="00185ADB">
      <w:pPr>
        <w:snapToGrid w:val="0"/>
        <w:spacing w:after="0" w:line="240" w:lineRule="auto"/>
        <w:jc w:val="center"/>
        <w:rPr>
          <w:rFonts w:ascii="Times New Roman" w:hAnsi="Times New Roman" w:cs="Times New Roman"/>
          <w:b/>
          <w:bCs/>
          <w:sz w:val="20"/>
          <w:szCs w:val="20"/>
        </w:rPr>
      </w:pPr>
    </w:p>
    <w:p w:rsidR="00C16177" w:rsidRPr="007245F9" w:rsidRDefault="00E24DD0" w:rsidP="00185ADB">
      <w:pPr>
        <w:snapToGrid w:val="0"/>
        <w:spacing w:after="0" w:line="240" w:lineRule="auto"/>
        <w:jc w:val="center"/>
        <w:rPr>
          <w:rFonts w:ascii="Times New Roman" w:hAnsi="Times New Roman" w:cs="Times New Roman"/>
          <w:sz w:val="20"/>
          <w:szCs w:val="20"/>
          <w:lang w:eastAsia="zh-CN"/>
        </w:rPr>
      </w:pPr>
      <w:proofErr w:type="spellStart"/>
      <w:r w:rsidRPr="007245F9">
        <w:rPr>
          <w:rFonts w:ascii="Times New Roman" w:hAnsi="Times New Roman" w:cs="Times New Roman"/>
          <w:sz w:val="20"/>
          <w:szCs w:val="20"/>
        </w:rPr>
        <w:t>Nesreen</w:t>
      </w:r>
      <w:proofErr w:type="spellEnd"/>
      <w:r w:rsidRPr="007245F9">
        <w:rPr>
          <w:rFonts w:ascii="Times New Roman" w:hAnsi="Times New Roman" w:cs="Times New Roman"/>
          <w:sz w:val="20"/>
          <w:szCs w:val="20"/>
        </w:rPr>
        <w:t xml:space="preserve"> Ali</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Amr</w:t>
      </w:r>
      <w:proofErr w:type="spellEnd"/>
      <w:r w:rsidRPr="007245F9">
        <w:rPr>
          <w:rFonts w:ascii="Times New Roman" w:hAnsi="Times New Roman" w:cs="Times New Roman"/>
          <w:sz w:val="20"/>
          <w:szCs w:val="20"/>
        </w:rPr>
        <w:t xml:space="preserve"> Abdalla</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Marwa</w:t>
      </w:r>
      <w:proofErr w:type="spellEnd"/>
      <w:r w:rsidRPr="007245F9">
        <w:rPr>
          <w:rFonts w:ascii="Times New Roman" w:hAnsi="Times New Roman" w:cs="Times New Roman"/>
          <w:sz w:val="20"/>
          <w:szCs w:val="20"/>
        </w:rPr>
        <w:t xml:space="preserve"> Romeih</w:t>
      </w:r>
      <w:r w:rsidRPr="007245F9">
        <w:rPr>
          <w:rFonts w:ascii="Times New Roman" w:hAnsi="Times New Roman" w:cs="Times New Roman"/>
          <w:sz w:val="20"/>
          <w:szCs w:val="20"/>
          <w:vertAlign w:val="superscript"/>
        </w:rPr>
        <w:t>2</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Engy</w:t>
      </w:r>
      <w:proofErr w:type="spellEnd"/>
      <w:r w:rsidRPr="007245F9">
        <w:rPr>
          <w:rFonts w:ascii="Times New Roman" w:hAnsi="Times New Roman" w:cs="Times New Roman"/>
          <w:sz w:val="20"/>
          <w:szCs w:val="20"/>
        </w:rPr>
        <w:t xml:space="preserve"> Mohamed</w:t>
      </w:r>
      <w:r w:rsidRPr="007245F9">
        <w:rPr>
          <w:rFonts w:ascii="Times New Roman" w:hAnsi="Times New Roman" w:cs="Times New Roman"/>
          <w:sz w:val="20"/>
          <w:szCs w:val="20"/>
          <w:vertAlign w:val="superscript"/>
        </w:rPr>
        <w:t>3</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Emad</w:t>
      </w:r>
      <w:proofErr w:type="spellEnd"/>
      <w:r w:rsidRPr="007245F9">
        <w:rPr>
          <w:rFonts w:ascii="Times New Roman" w:hAnsi="Times New Roman" w:cs="Times New Roman"/>
          <w:sz w:val="20"/>
          <w:szCs w:val="20"/>
        </w:rPr>
        <w:t xml:space="preserve"> Moussa</w:t>
      </w:r>
      <w:r w:rsidRPr="007245F9">
        <w:rPr>
          <w:rFonts w:ascii="Times New Roman" w:hAnsi="Times New Roman" w:cs="Times New Roman"/>
          <w:sz w:val="20"/>
          <w:szCs w:val="20"/>
          <w:vertAlign w:val="superscript"/>
        </w:rPr>
        <w:t>4</w:t>
      </w:r>
      <w:r w:rsidRPr="007245F9">
        <w:rPr>
          <w:rFonts w:ascii="Times New Roman" w:hAnsi="Times New Roman" w:cs="Times New Roman"/>
          <w:sz w:val="20"/>
          <w:szCs w:val="20"/>
        </w:rPr>
        <w:t>.</w:t>
      </w:r>
    </w:p>
    <w:p w:rsidR="00C16177" w:rsidRPr="007245F9" w:rsidRDefault="00C16177" w:rsidP="00185ADB">
      <w:pPr>
        <w:snapToGrid w:val="0"/>
        <w:spacing w:after="0" w:line="240" w:lineRule="auto"/>
        <w:jc w:val="center"/>
        <w:rPr>
          <w:rFonts w:ascii="Times New Roman" w:hAnsi="Times New Roman" w:cs="Times New Roman"/>
          <w:sz w:val="20"/>
          <w:szCs w:val="20"/>
          <w:lang w:eastAsia="zh-CN"/>
        </w:rPr>
      </w:pP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1</w:t>
      </w:r>
      <w:r w:rsidRPr="007245F9">
        <w:rPr>
          <w:rFonts w:ascii="Times New Roman" w:hAnsi="Times New Roman" w:cs="Times New Roman"/>
          <w:sz w:val="20"/>
          <w:szCs w:val="20"/>
        </w:rPr>
        <w:t>Pediatric Oncology and Hematology Department, National Cancer Institute, Cairo University, Egypt</w:t>
      </w:r>
      <w:r w:rsidRPr="007245F9">
        <w:rPr>
          <w:rFonts w:ascii="Times New Roman" w:hAnsi="Times New Roman" w:cs="Times New Roman"/>
          <w:b/>
          <w:bCs/>
          <w:sz w:val="20"/>
          <w:szCs w:val="20"/>
        </w:rPr>
        <w:t>,</w:t>
      </w:r>
      <w:r w:rsidRPr="007245F9">
        <w:rPr>
          <w:rFonts w:ascii="Times New Roman" w:hAnsi="Times New Roman" w:cs="Times New Roman"/>
          <w:sz w:val="20"/>
          <w:szCs w:val="20"/>
        </w:rPr>
        <w:t xml:space="preserve"> Children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2</w:t>
      </w:r>
      <w:r w:rsidRPr="007245F9">
        <w:rPr>
          <w:rFonts w:ascii="Times New Roman" w:hAnsi="Times New Roman" w:cs="Times New Roman"/>
          <w:sz w:val="20"/>
          <w:szCs w:val="20"/>
        </w:rPr>
        <w:t>Radiodiagnosis Department, Children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3</w:t>
      </w:r>
      <w:r w:rsidRPr="007245F9">
        <w:rPr>
          <w:rFonts w:ascii="Times New Roman" w:hAnsi="Times New Roman" w:cs="Times New Roman"/>
          <w:sz w:val="20"/>
          <w:szCs w:val="20"/>
        </w:rPr>
        <w:t>Clinical Researc</w:t>
      </w:r>
      <w:r w:rsidR="00185ADB" w:rsidRPr="007245F9">
        <w:rPr>
          <w:rFonts w:ascii="Times New Roman" w:hAnsi="Times New Roman" w:cs="Times New Roman"/>
          <w:sz w:val="20"/>
          <w:szCs w:val="20"/>
        </w:rPr>
        <w:t>h D</w:t>
      </w:r>
      <w:r w:rsidRPr="007245F9">
        <w:rPr>
          <w:rFonts w:ascii="Times New Roman" w:hAnsi="Times New Roman" w:cs="Times New Roman"/>
          <w:sz w:val="20"/>
          <w:szCs w:val="20"/>
        </w:rPr>
        <w:t>epartment</w:t>
      </w:r>
      <w:r w:rsidR="00185ADB" w:rsidRPr="007245F9">
        <w:rPr>
          <w:rFonts w:ascii="Times New Roman" w:hAnsi="Times New Roman" w:cs="Times New Roman"/>
          <w:sz w:val="20"/>
          <w:szCs w:val="20"/>
        </w:rPr>
        <w:t>, C</w:t>
      </w:r>
      <w:r w:rsidRPr="007245F9">
        <w:rPr>
          <w:rFonts w:ascii="Times New Roman" w:hAnsi="Times New Roman" w:cs="Times New Roman"/>
          <w:sz w:val="20"/>
          <w:szCs w:val="20"/>
        </w:rPr>
        <w:t>hildren Cancer Hospital, Egypt.</w:t>
      </w:r>
    </w:p>
    <w:p w:rsidR="00E24DD0" w:rsidRPr="007245F9" w:rsidRDefault="00E24DD0" w:rsidP="00185ADB">
      <w:pPr>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b/>
          <w:bCs/>
          <w:sz w:val="20"/>
          <w:szCs w:val="20"/>
          <w:vertAlign w:val="superscript"/>
        </w:rPr>
        <w:t>4</w:t>
      </w:r>
      <w:r w:rsidRPr="007245F9">
        <w:rPr>
          <w:rFonts w:ascii="Times New Roman" w:hAnsi="Times New Roman" w:cs="Times New Roman"/>
          <w:sz w:val="20"/>
          <w:szCs w:val="20"/>
        </w:rPr>
        <w:t>Clinica</w:t>
      </w:r>
      <w:r w:rsidR="00185ADB" w:rsidRPr="007245F9">
        <w:rPr>
          <w:rFonts w:ascii="Times New Roman" w:hAnsi="Times New Roman" w:cs="Times New Roman"/>
          <w:sz w:val="20"/>
          <w:szCs w:val="20"/>
        </w:rPr>
        <w:t>l O</w:t>
      </w:r>
      <w:r w:rsidRPr="007245F9">
        <w:rPr>
          <w:rFonts w:ascii="Times New Roman" w:hAnsi="Times New Roman" w:cs="Times New Roman"/>
          <w:sz w:val="20"/>
          <w:szCs w:val="20"/>
        </w:rPr>
        <w:t>ncolog</w:t>
      </w:r>
      <w:r w:rsidR="00185ADB" w:rsidRPr="007245F9">
        <w:rPr>
          <w:rFonts w:ascii="Times New Roman" w:hAnsi="Times New Roman" w:cs="Times New Roman"/>
          <w:sz w:val="20"/>
          <w:szCs w:val="20"/>
        </w:rPr>
        <w:t>y D</w:t>
      </w:r>
      <w:r w:rsidRPr="007245F9">
        <w:rPr>
          <w:rFonts w:ascii="Times New Roman" w:hAnsi="Times New Roman" w:cs="Times New Roman"/>
          <w:sz w:val="20"/>
          <w:szCs w:val="20"/>
        </w:rPr>
        <w:t xml:space="preserve">epartment, </w:t>
      </w:r>
      <w:proofErr w:type="spellStart"/>
      <w:r w:rsidRPr="007245F9">
        <w:rPr>
          <w:rFonts w:ascii="Times New Roman" w:hAnsi="Times New Roman" w:cs="Times New Roman"/>
          <w:sz w:val="20"/>
          <w:szCs w:val="20"/>
        </w:rPr>
        <w:t>Menofy</w:t>
      </w:r>
      <w:r w:rsidR="00185ADB" w:rsidRPr="007245F9">
        <w:rPr>
          <w:rFonts w:ascii="Times New Roman" w:hAnsi="Times New Roman" w:cs="Times New Roman"/>
          <w:sz w:val="20"/>
          <w:szCs w:val="20"/>
        </w:rPr>
        <w:t>a</w:t>
      </w:r>
      <w:proofErr w:type="spellEnd"/>
      <w:r w:rsidR="00185ADB" w:rsidRPr="007245F9">
        <w:rPr>
          <w:rFonts w:ascii="Times New Roman" w:hAnsi="Times New Roman" w:cs="Times New Roman"/>
          <w:sz w:val="20"/>
          <w:szCs w:val="20"/>
        </w:rPr>
        <w:t xml:space="preserve"> U</w:t>
      </w:r>
      <w:r w:rsidRPr="007245F9">
        <w:rPr>
          <w:rFonts w:ascii="Times New Roman" w:hAnsi="Times New Roman" w:cs="Times New Roman"/>
          <w:sz w:val="20"/>
          <w:szCs w:val="20"/>
        </w:rPr>
        <w:t>niversity, Egypt, Children Cancer Hospital, Egypt.</w:t>
      </w:r>
    </w:p>
    <w:p w:rsidR="00C16177" w:rsidRPr="007245F9" w:rsidRDefault="00DE4987" w:rsidP="00185ADB">
      <w:pPr>
        <w:pStyle w:val="NormalWeb"/>
        <w:snapToGrid w:val="0"/>
        <w:spacing w:before="0" w:beforeAutospacing="0" w:after="0" w:afterAutospacing="0"/>
        <w:jc w:val="center"/>
        <w:rPr>
          <w:sz w:val="20"/>
          <w:szCs w:val="20"/>
        </w:rPr>
      </w:pPr>
      <w:hyperlink r:id="rId8" w:history="1">
        <w:r w:rsidR="00C70401" w:rsidRPr="007245F9">
          <w:rPr>
            <w:rStyle w:val="Hyperlink"/>
            <w:sz w:val="20"/>
            <w:szCs w:val="20"/>
          </w:rPr>
          <w:t>nesreenalinci@hotmail.com</w:t>
        </w:r>
      </w:hyperlink>
    </w:p>
    <w:p w:rsidR="00C16177" w:rsidRPr="007245F9" w:rsidRDefault="00C16177" w:rsidP="00185ADB">
      <w:pPr>
        <w:pStyle w:val="NormalWeb"/>
        <w:snapToGrid w:val="0"/>
        <w:spacing w:before="0" w:beforeAutospacing="0" w:after="0" w:afterAutospacing="0"/>
        <w:jc w:val="center"/>
        <w:rPr>
          <w:sz w:val="20"/>
          <w:szCs w:val="20"/>
        </w:rPr>
      </w:pPr>
    </w:p>
    <w:p w:rsidR="00E24DD0" w:rsidRPr="007245F9" w:rsidRDefault="00E24DD0" w:rsidP="00185ADB">
      <w:pPr>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Abstract: Background</w:t>
      </w:r>
      <w:r w:rsidRPr="007245F9">
        <w:rPr>
          <w:rFonts w:ascii="Times New Roman" w:hAnsi="Times New Roman" w:cs="Times New Roman"/>
          <w:sz w:val="20"/>
          <w:szCs w:val="20"/>
        </w:rPr>
        <w:t>: The treatment outcome for pediatric patients with Hodgkin lymphoma (HL) is</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 xml:space="preserve">excellent with combined modality therapy. Although post-therapy imaging is justified to manage patients with early disease recurrence using salvage therapy, there are concerns regarding cumulative radiation exposure and the potential risks. Our aim was to study the value of </w:t>
      </w:r>
      <w:proofErr w:type="spellStart"/>
      <w:r w:rsidRPr="007245F9">
        <w:rPr>
          <w:rFonts w:ascii="Times New Roman" w:hAnsi="Times New Roman" w:cs="Times New Roman"/>
          <w:sz w:val="20"/>
          <w:szCs w:val="20"/>
        </w:rPr>
        <w:t>periodicradiologic</w:t>
      </w:r>
      <w:proofErr w:type="spellEnd"/>
      <w:r w:rsidRPr="007245F9">
        <w:rPr>
          <w:rFonts w:ascii="Times New Roman" w:hAnsi="Times New Roman" w:cs="Times New Roman"/>
          <w:sz w:val="20"/>
          <w:szCs w:val="20"/>
        </w:rPr>
        <w:t xml:space="preserve"> surveillance in the detection of relapse in pediatric patients with HL.</w:t>
      </w:r>
      <w:r w:rsidRPr="007245F9">
        <w:rPr>
          <w:rFonts w:ascii="Times New Roman" w:hAnsi="Times New Roman" w:cs="Times New Roman"/>
          <w:b/>
          <w:bCs/>
          <w:sz w:val="20"/>
          <w:szCs w:val="20"/>
        </w:rPr>
        <w:t xml:space="preserve"> Patients and method</w:t>
      </w:r>
      <w:r w:rsidRPr="007245F9">
        <w:rPr>
          <w:rFonts w:ascii="Times New Roman" w:hAnsi="Times New Roman" w:cs="Times New Roman"/>
          <w:sz w:val="20"/>
          <w:szCs w:val="20"/>
        </w:rPr>
        <w:t>: This retrospective study included all patients under age of 18 years initially, diagnosed as HL, treated at children cancer hospital Egypt from July 2007 to July 2017 with a unified multidisciplinary approach and who developed relapse at any time point during follow up period.</w:t>
      </w:r>
      <w:r w:rsidRPr="007245F9">
        <w:rPr>
          <w:rFonts w:ascii="Times New Roman" w:hAnsi="Times New Roman" w:cs="Times New Roman"/>
          <w:b/>
          <w:bCs/>
          <w:sz w:val="20"/>
          <w:szCs w:val="20"/>
        </w:rPr>
        <w:t xml:space="preserve"> Results</w:t>
      </w:r>
      <w:r w:rsidRPr="007245F9">
        <w:rPr>
          <w:rFonts w:ascii="Times New Roman" w:hAnsi="Times New Roman" w:cs="Times New Roman"/>
          <w:sz w:val="20"/>
          <w:szCs w:val="20"/>
        </w:rPr>
        <w:t>: Among 1197 patients who were treated with combined modality treatment and were evaluated for disease recurrence, 131 patients developed relapse. Thirteen patients were excluded, 8 patients were excluded due to refractory or progressive disease, 3 due to second malignancy and 2 patients due to missing data. The median age was 11 years (1.2-17.9 years)</w:t>
      </w:r>
      <w:r w:rsidR="00185ADB" w:rsidRPr="007245F9">
        <w:rPr>
          <w:rFonts w:ascii="Times New Roman" w:hAnsi="Times New Roman" w:cs="Times New Roman"/>
          <w:sz w:val="20"/>
          <w:szCs w:val="20"/>
        </w:rPr>
        <w:t>. R</w:t>
      </w:r>
      <w:r w:rsidRPr="007245F9">
        <w:rPr>
          <w:rFonts w:ascii="Times New Roman" w:hAnsi="Times New Roman" w:cs="Times New Roman"/>
          <w:sz w:val="20"/>
          <w:szCs w:val="20"/>
        </w:rPr>
        <w:t>elapse was detected by radiological surveillance in 42(35%) patients and detected clinically in 76 (65%) patients.</w:t>
      </w:r>
      <w:r w:rsidR="008078BF"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 xml:space="preserve">The most common clinical presentation at time of relapse was enlarged LN in 49 patients (64%), fever in 10 patients (13%), uncommon complains in 10 patients (13%) in the form of </w:t>
      </w:r>
      <w:proofErr w:type="spellStart"/>
      <w:r w:rsidRPr="007245F9">
        <w:rPr>
          <w:rFonts w:ascii="Times New Roman" w:hAnsi="Times New Roman" w:cs="Times New Roman"/>
          <w:sz w:val="20"/>
          <w:szCs w:val="20"/>
        </w:rPr>
        <w:t>stridor</w:t>
      </w:r>
      <w:proofErr w:type="spellEnd"/>
      <w:r w:rsidRPr="007245F9">
        <w:rPr>
          <w:rFonts w:ascii="Times New Roman" w:hAnsi="Times New Roman" w:cs="Times New Roman"/>
          <w:sz w:val="20"/>
          <w:szCs w:val="20"/>
        </w:rPr>
        <w:t xml:space="preserve">, anemia, disseminated rash, itching, cough and pain and multiple complains in 7 patients (10%). Most of our relapses occurred in the first two years after end of therapy (65%) 76 /118. Routine periodic surveillance imaging performed beyond two years after the end of therapy detected relapses in only 11patients. The early stage of disease at relapse was detected with surveillance imaging </w:t>
      </w:r>
      <w:r w:rsidRPr="007245F9">
        <w:rPr>
          <w:rStyle w:val="A3"/>
          <w:rFonts w:ascii="Times New Roman" w:hAnsi="Times New Roman" w:cs="Times New Roman"/>
          <w:color w:val="auto"/>
          <w:sz w:val="20"/>
          <w:szCs w:val="20"/>
        </w:rPr>
        <w:t>in</w:t>
      </w:r>
      <w:r w:rsidRPr="007245F9">
        <w:rPr>
          <w:rFonts w:ascii="Times New Roman" w:hAnsi="Times New Roman" w:cs="Times New Roman"/>
          <w:sz w:val="20"/>
          <w:szCs w:val="20"/>
        </w:rPr>
        <w:t xml:space="preserve"> 11/42patients (26%) and detected clinically in 24/76patients (31%). The 5 year overall survival (OS) for relapsed patients diagnosed by radiological surveillance and clinically was 75.4%, and 85% respectively with P = 0.011%.</w:t>
      </w:r>
      <w:r w:rsidRPr="007245F9">
        <w:rPr>
          <w:rFonts w:ascii="Times New Roman" w:hAnsi="Times New Roman" w:cs="Times New Roman"/>
          <w:b/>
          <w:bCs/>
          <w:sz w:val="20"/>
          <w:szCs w:val="20"/>
        </w:rPr>
        <w:t xml:space="preserve"> Conclusion</w:t>
      </w:r>
      <w:r w:rsidRPr="007245F9">
        <w:rPr>
          <w:rFonts w:ascii="Times New Roman" w:hAnsi="Times New Roman" w:cs="Times New Roman"/>
          <w:sz w:val="20"/>
          <w:szCs w:val="20"/>
        </w:rPr>
        <w:t>: Most of relapses in pediatric patients with HL are detected clinically by history and physical examination. No survival advantage was associated with routine surveillance imaging for pediatric patients with HL. The combination of history taking and physical examination gave the highest rate of relapse detection and decreased the hazard of radiation exposure and the risk of developing second malignancies, Patients with high-risk criteria and slow responder may benefit from routine surveillance especially in the first two years off-treatment.</w:t>
      </w:r>
    </w:p>
    <w:p w:rsidR="00185ADB" w:rsidRPr="007245F9" w:rsidRDefault="00185ADB" w:rsidP="00185ADB">
      <w:pPr>
        <w:snapToGrid w:val="0"/>
        <w:spacing w:after="0" w:line="240" w:lineRule="auto"/>
        <w:jc w:val="both"/>
        <w:rPr>
          <w:rFonts w:ascii="Times New Roman" w:hAnsi="Times New Roman" w:cs="Times New Roman"/>
          <w:sz w:val="20"/>
          <w:szCs w:val="20"/>
          <w:lang w:eastAsia="zh-CN"/>
        </w:rPr>
      </w:pPr>
      <w:r w:rsidRPr="007245F9">
        <w:rPr>
          <w:rFonts w:ascii="Times New Roman" w:hAnsi="Times New Roman" w:cs="Times New Roman" w:hint="eastAsia"/>
          <w:b/>
          <w:sz w:val="20"/>
          <w:szCs w:val="20"/>
          <w:lang w:val="en-GB"/>
        </w:rPr>
        <w:t>[</w:t>
      </w:r>
      <w:proofErr w:type="spellStart"/>
      <w:r w:rsidRPr="007245F9">
        <w:rPr>
          <w:rFonts w:ascii="Times New Roman" w:hAnsi="Times New Roman" w:cs="Times New Roman"/>
          <w:sz w:val="20"/>
          <w:szCs w:val="20"/>
        </w:rPr>
        <w:t>Nesreen</w:t>
      </w:r>
      <w:proofErr w:type="spellEnd"/>
      <w:r w:rsidRPr="007245F9">
        <w:rPr>
          <w:rFonts w:ascii="Times New Roman" w:hAnsi="Times New Roman" w:cs="Times New Roman"/>
          <w:sz w:val="20"/>
          <w:szCs w:val="20"/>
        </w:rPr>
        <w:t xml:space="preserve"> Ali, </w:t>
      </w:r>
      <w:proofErr w:type="spellStart"/>
      <w:r w:rsidRPr="007245F9">
        <w:rPr>
          <w:rFonts w:ascii="Times New Roman" w:hAnsi="Times New Roman" w:cs="Times New Roman"/>
          <w:sz w:val="20"/>
          <w:szCs w:val="20"/>
        </w:rPr>
        <w:t>Amr</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Abdalla</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Marwa</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Romeih</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Engy</w:t>
      </w:r>
      <w:proofErr w:type="spellEnd"/>
      <w:r w:rsidRPr="007245F9">
        <w:rPr>
          <w:rFonts w:ascii="Times New Roman" w:hAnsi="Times New Roman" w:cs="Times New Roman"/>
          <w:sz w:val="20"/>
          <w:szCs w:val="20"/>
        </w:rPr>
        <w:t xml:space="preserve"> Mohamed, </w:t>
      </w:r>
      <w:proofErr w:type="spellStart"/>
      <w:r w:rsidRPr="007245F9">
        <w:rPr>
          <w:rFonts w:ascii="Times New Roman" w:hAnsi="Times New Roman" w:cs="Times New Roman"/>
          <w:sz w:val="20"/>
          <w:szCs w:val="20"/>
        </w:rPr>
        <w:t>Emad</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Moussa</w:t>
      </w:r>
      <w:proofErr w:type="spellEnd"/>
      <w:r w:rsidRPr="007245F9">
        <w:rPr>
          <w:rFonts w:ascii="Times New Roman" w:hAnsi="Times New Roman" w:cs="Times New Roman"/>
          <w:sz w:val="20"/>
          <w:szCs w:val="20"/>
        </w:rPr>
        <w:t xml:space="preserve">. </w:t>
      </w:r>
      <w:r w:rsidRPr="007245F9">
        <w:rPr>
          <w:rFonts w:ascii="Times New Roman" w:hAnsi="Times New Roman" w:cs="Times New Roman"/>
          <w:b/>
          <w:bCs/>
          <w:sz w:val="20"/>
          <w:szCs w:val="20"/>
        </w:rPr>
        <w:t>Role of Radiological Surveillance as a Mode of Detecting Recurrence in Children with Hodgkin Lymphoma</w:t>
      </w:r>
      <w:r w:rsidRPr="007245F9">
        <w:rPr>
          <w:rFonts w:ascii="Times New Roman" w:eastAsia="Times New Roman" w:hAnsi="Times New Roman" w:cs="Times New Roman"/>
          <w:b/>
          <w:bCs/>
          <w:sz w:val="20"/>
          <w:szCs w:val="20"/>
          <w:lang w:bidi="fa-IR"/>
        </w:rPr>
        <w:t>.</w:t>
      </w:r>
      <w:r w:rsidRPr="007245F9">
        <w:rPr>
          <w:rFonts w:ascii="Times New Roman" w:hAnsi="Times New Roman" w:cs="Times New Roman"/>
          <w:i/>
          <w:sz w:val="20"/>
          <w:szCs w:val="20"/>
        </w:rPr>
        <w:t xml:space="preserve"> Cancer Biology</w:t>
      </w:r>
      <w:r w:rsidRPr="007245F9">
        <w:rPr>
          <w:rFonts w:ascii="Times New Roman" w:hAnsi="Times New Roman" w:cs="Times New Roman"/>
          <w:sz w:val="20"/>
          <w:szCs w:val="20"/>
        </w:rPr>
        <w:t xml:space="preserve"> 201</w:t>
      </w:r>
      <w:r w:rsidRPr="007245F9">
        <w:rPr>
          <w:rFonts w:ascii="Times New Roman" w:hAnsi="Times New Roman" w:cs="Times New Roman" w:hint="eastAsia"/>
          <w:sz w:val="20"/>
          <w:szCs w:val="20"/>
        </w:rPr>
        <w:t>9</w:t>
      </w:r>
      <w:r w:rsidRPr="007245F9">
        <w:rPr>
          <w:rFonts w:ascii="Times New Roman" w:hAnsi="Times New Roman" w:cs="Times New Roman"/>
          <w:sz w:val="20"/>
          <w:szCs w:val="20"/>
        </w:rPr>
        <w:t>;</w:t>
      </w:r>
      <w:r w:rsidRPr="007245F9">
        <w:rPr>
          <w:rFonts w:ascii="Times New Roman" w:hAnsi="Times New Roman" w:cs="Times New Roman" w:hint="eastAsia"/>
          <w:sz w:val="20"/>
          <w:szCs w:val="20"/>
        </w:rPr>
        <w:t>9</w:t>
      </w:r>
      <w:r w:rsidRPr="007245F9">
        <w:rPr>
          <w:rFonts w:ascii="Times New Roman" w:hAnsi="Times New Roman" w:cs="Times New Roman"/>
          <w:sz w:val="20"/>
          <w:szCs w:val="20"/>
        </w:rPr>
        <w:t>(</w:t>
      </w:r>
      <w:r w:rsidRPr="007245F9">
        <w:rPr>
          <w:rFonts w:ascii="Times New Roman" w:hAnsi="Times New Roman" w:cs="Times New Roman" w:hint="eastAsia"/>
          <w:sz w:val="20"/>
          <w:szCs w:val="20"/>
        </w:rPr>
        <w:t>2</w:t>
      </w:r>
      <w:r w:rsidRPr="007245F9">
        <w:rPr>
          <w:rFonts w:ascii="Times New Roman" w:hAnsi="Times New Roman" w:cs="Times New Roman"/>
          <w:sz w:val="20"/>
          <w:szCs w:val="20"/>
        </w:rPr>
        <w:t>):</w:t>
      </w:r>
      <w:r w:rsidR="00DB47FE">
        <w:rPr>
          <w:rFonts w:ascii="Times New Roman" w:hAnsi="Times New Roman" w:cs="Times New Roman" w:hint="eastAsia"/>
          <w:sz w:val="20"/>
          <w:szCs w:val="20"/>
          <w:lang w:eastAsia="zh-CN"/>
        </w:rPr>
        <w:t>100</w:t>
      </w:r>
      <w:r w:rsidR="00677DCF" w:rsidRPr="007245F9">
        <w:rPr>
          <w:rFonts w:ascii="Times New Roman" w:hAnsi="Times New Roman" w:cs="Times New Roman"/>
          <w:noProof/>
          <w:color w:val="000000"/>
          <w:sz w:val="20"/>
          <w:szCs w:val="20"/>
        </w:rPr>
        <w:t>-</w:t>
      </w:r>
      <w:r w:rsidR="00DB47FE">
        <w:rPr>
          <w:rFonts w:ascii="Times New Roman" w:hAnsi="Times New Roman" w:cs="Times New Roman" w:hint="eastAsia"/>
          <w:noProof/>
          <w:color w:val="000000"/>
          <w:sz w:val="20"/>
          <w:szCs w:val="20"/>
          <w:lang w:eastAsia="zh-CN"/>
        </w:rPr>
        <w:t>107</w:t>
      </w:r>
      <w:r w:rsidRPr="007245F9">
        <w:rPr>
          <w:rFonts w:ascii="Times New Roman" w:hAnsi="Times New Roman" w:cs="Times New Roman"/>
          <w:sz w:val="20"/>
          <w:szCs w:val="20"/>
        </w:rPr>
        <w:t xml:space="preserve">]. </w:t>
      </w:r>
      <w:r w:rsidRPr="007245F9">
        <w:rPr>
          <w:rStyle w:val="msonormal0"/>
          <w:rFonts w:ascii="Times New Roman" w:eastAsia="宋" w:hAnsi="Times New Roman" w:cs="Times New Roman"/>
          <w:sz w:val="20"/>
          <w:szCs w:val="20"/>
        </w:rPr>
        <w:t>ISSN: 2150-1041 (print); ISSN: 2150-105X (online)</w:t>
      </w:r>
      <w:r w:rsidRPr="007245F9">
        <w:rPr>
          <w:rFonts w:ascii="Times New Roman" w:hAnsi="Times New Roman" w:cs="Times New Roman"/>
          <w:sz w:val="20"/>
          <w:szCs w:val="20"/>
        </w:rPr>
        <w:t xml:space="preserve">. </w:t>
      </w:r>
      <w:hyperlink r:id="rId9" w:history="1">
        <w:r w:rsidRPr="007245F9">
          <w:rPr>
            <w:rStyle w:val="Hyperlink"/>
            <w:rFonts w:ascii="Times New Roman" w:hAnsi="Times New Roman" w:cs="Times New Roman"/>
            <w:sz w:val="20"/>
            <w:szCs w:val="20"/>
          </w:rPr>
          <w:t>http://www.cancerbio.net</w:t>
        </w:r>
      </w:hyperlink>
      <w:r w:rsidRPr="007245F9">
        <w:rPr>
          <w:rFonts w:ascii="Times New Roman" w:hAnsi="Times New Roman" w:cs="Times New Roman"/>
          <w:sz w:val="20"/>
          <w:szCs w:val="20"/>
        </w:rPr>
        <w:t>.</w:t>
      </w:r>
      <w:r w:rsidRPr="007245F9">
        <w:rPr>
          <w:rFonts w:ascii="Times New Roman" w:hAnsi="Times New Roman" w:cs="Times New Roman" w:hint="eastAsia"/>
          <w:sz w:val="20"/>
          <w:szCs w:val="20"/>
        </w:rPr>
        <w:t xml:space="preserve"> </w:t>
      </w:r>
      <w:r w:rsidR="00DB47FE">
        <w:rPr>
          <w:rFonts w:ascii="Times New Roman" w:hAnsi="Times New Roman" w:cs="Times New Roman" w:hint="eastAsia"/>
          <w:sz w:val="20"/>
          <w:szCs w:val="20"/>
          <w:lang w:eastAsia="zh-CN"/>
        </w:rPr>
        <w:t>13</w:t>
      </w:r>
      <w:r w:rsidRPr="007245F9">
        <w:rPr>
          <w:rFonts w:ascii="Times New Roman" w:hAnsi="Times New Roman" w:cs="Times New Roman" w:hint="eastAsia"/>
          <w:sz w:val="20"/>
          <w:szCs w:val="20"/>
        </w:rPr>
        <w:t xml:space="preserve">. </w:t>
      </w:r>
      <w:r w:rsidRPr="007245F9">
        <w:rPr>
          <w:rFonts w:ascii="Times New Roman" w:hAnsi="Times New Roman" w:cs="Times New Roman"/>
          <w:color w:val="000000"/>
          <w:sz w:val="20"/>
          <w:szCs w:val="20"/>
          <w:shd w:val="clear" w:color="auto" w:fill="FFFFFF"/>
        </w:rPr>
        <w:t>doi:</w:t>
      </w:r>
      <w:hyperlink r:id="rId10" w:history="1">
        <w:r w:rsidRPr="007245F9">
          <w:rPr>
            <w:rStyle w:val="Hyperlink"/>
            <w:rFonts w:ascii="Times New Roman" w:hAnsi="Times New Roman" w:cs="Times New Roman"/>
            <w:sz w:val="20"/>
            <w:szCs w:val="20"/>
            <w:shd w:val="clear" w:color="auto" w:fill="FFFFFF"/>
          </w:rPr>
          <w:t>10.7537/mars</w:t>
        </w:r>
        <w:r w:rsidRPr="007245F9">
          <w:rPr>
            <w:rStyle w:val="Hyperlink"/>
            <w:rFonts w:ascii="Times New Roman" w:hAnsi="Times New Roman" w:cs="Times New Roman" w:hint="eastAsia"/>
            <w:sz w:val="20"/>
            <w:szCs w:val="20"/>
            <w:shd w:val="clear" w:color="auto" w:fill="FFFFFF"/>
          </w:rPr>
          <w:t>cbj090</w:t>
        </w:r>
        <w:r w:rsidR="00DB47FE">
          <w:rPr>
            <w:rStyle w:val="Hyperlink"/>
            <w:rFonts w:ascii="Times New Roman" w:hAnsi="Times New Roman" w:cs="Times New Roman" w:hint="eastAsia"/>
            <w:sz w:val="20"/>
            <w:szCs w:val="20"/>
            <w:shd w:val="clear" w:color="auto" w:fill="FFFFFF"/>
            <w:lang w:eastAsia="zh-CN"/>
          </w:rPr>
          <w:t>1</w:t>
        </w:r>
        <w:r w:rsidRPr="007245F9">
          <w:rPr>
            <w:rStyle w:val="Hyperlink"/>
            <w:rFonts w:ascii="Times New Roman" w:hAnsi="Times New Roman" w:cs="Times New Roman"/>
            <w:sz w:val="20"/>
            <w:szCs w:val="20"/>
            <w:shd w:val="clear" w:color="auto" w:fill="FFFFFF"/>
          </w:rPr>
          <w:t>1</w:t>
        </w:r>
        <w:r w:rsidRPr="007245F9">
          <w:rPr>
            <w:rStyle w:val="Hyperlink"/>
            <w:rFonts w:ascii="Times New Roman" w:hAnsi="Times New Roman" w:cs="Times New Roman" w:hint="eastAsia"/>
            <w:sz w:val="20"/>
            <w:szCs w:val="20"/>
            <w:shd w:val="clear" w:color="auto" w:fill="FFFFFF"/>
          </w:rPr>
          <w:t>9.</w:t>
        </w:r>
        <w:r w:rsidR="00DB47FE">
          <w:rPr>
            <w:rStyle w:val="Hyperlink"/>
            <w:rFonts w:ascii="Times New Roman" w:hAnsi="Times New Roman" w:cs="Times New Roman" w:hint="eastAsia"/>
            <w:sz w:val="20"/>
            <w:szCs w:val="20"/>
            <w:shd w:val="clear" w:color="auto" w:fill="FFFFFF"/>
            <w:lang w:eastAsia="zh-CN"/>
          </w:rPr>
          <w:t>13</w:t>
        </w:r>
      </w:hyperlink>
      <w:r w:rsidRPr="007245F9">
        <w:rPr>
          <w:rFonts w:ascii="Times New Roman" w:hAnsi="Times New Roman" w:cs="Times New Roman"/>
          <w:color w:val="000000"/>
          <w:sz w:val="20"/>
          <w:szCs w:val="20"/>
          <w:shd w:val="clear" w:color="auto" w:fill="FFFFFF"/>
        </w:rPr>
        <w:t>.</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C70401"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Keywords:</w:t>
      </w:r>
      <w:r w:rsidRPr="007245F9">
        <w:rPr>
          <w:rFonts w:ascii="Times New Roman" w:hAnsi="Times New Roman" w:cs="Times New Roman"/>
          <w:sz w:val="20"/>
          <w:szCs w:val="20"/>
        </w:rPr>
        <w:t xml:space="preserve"> Hodgkin lymphoma, pediatric, follow up, radiologic surveillance</w:t>
      </w:r>
    </w:p>
    <w:p w:rsidR="00185ADB" w:rsidRPr="007245F9" w:rsidRDefault="00C16177" w:rsidP="00185ADB">
      <w:pPr>
        <w:autoSpaceDE w:val="0"/>
        <w:autoSpaceDN w:val="0"/>
        <w:adjustRightInd w:val="0"/>
        <w:snapToGrid w:val="0"/>
        <w:spacing w:after="0" w:line="240" w:lineRule="auto"/>
        <w:jc w:val="both"/>
        <w:rPr>
          <w:rFonts w:ascii="Times New Roman" w:hAnsi="Times New Roman" w:cs="Times New Roman"/>
          <w:b/>
          <w:bCs/>
          <w:sz w:val="20"/>
          <w:szCs w:val="20"/>
        </w:rPr>
        <w:sectPr w:rsidR="00185ADB" w:rsidRPr="007245F9" w:rsidSect="00DB47FE">
          <w:headerReference w:type="default" r:id="rId11"/>
          <w:footerReference w:type="default" r:id="rId12"/>
          <w:type w:val="continuous"/>
          <w:pgSz w:w="12240" w:h="15840"/>
          <w:pgMar w:top="1440" w:right="1440" w:bottom="1440" w:left="1440" w:header="720" w:footer="720" w:gutter="0"/>
          <w:pgNumType w:start="100"/>
          <w:cols w:space="720"/>
          <w:docGrid w:linePitch="360"/>
        </w:sectPr>
      </w:pPr>
      <w:r w:rsidRPr="007245F9">
        <w:rPr>
          <w:rFonts w:ascii="Times New Roman" w:hAnsi="Times New Roman" w:cs="Times New Roman"/>
          <w:b/>
          <w:bCs/>
          <w:sz w:val="20"/>
          <w:szCs w:val="20"/>
        </w:rPr>
        <w:cr/>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lastRenderedPageBreak/>
        <w:t>1. Introduction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Children with Hodgkin lymphoma (HL) have excellent overall survival (OS) rates, exceeding</w:t>
      </w:r>
      <w:r w:rsidR="00185ADB"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90%.</w:t>
      </w:r>
      <w:r w:rsidRPr="007245F9">
        <w:rPr>
          <w:rFonts w:ascii="Times New Roman" w:hAnsi="Times New Roman" w:cs="Times New Roman"/>
          <w:sz w:val="20"/>
          <w:szCs w:val="20"/>
          <w:vertAlign w:val="superscript"/>
        </w:rPr>
        <w:t>1</w:t>
      </w:r>
      <w:r w:rsidRPr="007245F9">
        <w:rPr>
          <w:rFonts w:ascii="Times New Roman" w:hAnsi="Times New Roman" w:cs="Times New Roman"/>
          <w:sz w:val="20"/>
          <w:szCs w:val="20"/>
        </w:rPr>
        <w:t xml:space="preserve">Relapses after treatment are uncommon, and there is a reasonable survival rate for those patients who do experience a relapse. Patients frequently undergo routine surveillance imaging </w:t>
      </w:r>
      <w:proofErr w:type="spellStart"/>
      <w:r w:rsidRPr="007245F9">
        <w:rPr>
          <w:rFonts w:ascii="Times New Roman" w:hAnsi="Times New Roman" w:cs="Times New Roman"/>
          <w:sz w:val="20"/>
          <w:szCs w:val="20"/>
        </w:rPr>
        <w:t>forup</w:t>
      </w:r>
      <w:proofErr w:type="spellEnd"/>
      <w:r w:rsidRPr="007245F9">
        <w:rPr>
          <w:rFonts w:ascii="Times New Roman" w:hAnsi="Times New Roman" w:cs="Times New Roman"/>
          <w:sz w:val="20"/>
          <w:szCs w:val="20"/>
        </w:rPr>
        <w:t xml:space="preserve"> to 5 years after the end of therapy. Most patients with Hodgkin lymphoma who developed relapse do so within the first two years after the end of therapy.</w:t>
      </w:r>
      <w:r w:rsidRPr="007245F9">
        <w:rPr>
          <w:rFonts w:ascii="Times New Roman" w:hAnsi="Times New Roman" w:cs="Times New Roman"/>
          <w:sz w:val="20"/>
          <w:szCs w:val="20"/>
          <w:vertAlign w:val="superscript"/>
        </w:rPr>
        <w:t>2-3</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 xml:space="preserve">The optimal radiological surveillance for detection of relapse after the end of therapy has not been well defined; concurrently, there has been increasing concern that off-treatment routine surveillance imaging exposes a large number of </w:t>
      </w:r>
      <w:r w:rsidRPr="007245F9">
        <w:rPr>
          <w:rFonts w:ascii="Times New Roman" w:hAnsi="Times New Roman" w:cs="Times New Roman"/>
          <w:sz w:val="20"/>
          <w:szCs w:val="20"/>
        </w:rPr>
        <w:lastRenderedPageBreak/>
        <w:t>patients to unnecessary, harmful radiation to detect a small number of relapses.</w:t>
      </w:r>
      <w:r w:rsidRPr="007245F9">
        <w:rPr>
          <w:rFonts w:ascii="Times New Roman" w:hAnsi="Times New Roman" w:cs="Times New Roman"/>
          <w:sz w:val="20"/>
          <w:szCs w:val="20"/>
          <w:vertAlign w:val="superscript"/>
        </w:rPr>
        <w:t>4</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vertAlign w:val="superscript"/>
        </w:rPr>
      </w:pPr>
      <w:r w:rsidRPr="007245F9">
        <w:rPr>
          <w:rFonts w:ascii="Times New Roman" w:hAnsi="Times New Roman" w:cs="Times New Roman"/>
          <w:sz w:val="20"/>
          <w:szCs w:val="20"/>
        </w:rPr>
        <w:t>The 2009 guidelines from the National Comprehensive Cancer Network (NCCN) recommend routine regular surveillance imaging for patients in the remission after the first line of treatment.</w:t>
      </w:r>
      <w:r w:rsidRPr="007245F9">
        <w:rPr>
          <w:rFonts w:ascii="Times New Roman" w:hAnsi="Times New Roman" w:cs="Times New Roman"/>
          <w:sz w:val="20"/>
          <w:szCs w:val="20"/>
          <w:vertAlign w:val="superscript"/>
        </w:rPr>
        <w:t>5</w:t>
      </w:r>
      <w:r w:rsidRPr="007245F9">
        <w:rPr>
          <w:rFonts w:ascii="Times New Roman" w:hAnsi="Times New Roman" w:cs="Times New Roman"/>
          <w:sz w:val="20"/>
          <w:szCs w:val="20"/>
        </w:rPr>
        <w:t>However, three retrospective analyses study argue against surveillance imaging in the absence of symptoms. The risks of excessive surveillance radiography include an increased risk of developing a second malignancy later in life that could be related to multiple CT scans, high costs and radiation exposures, in addition to unnecessary invasive procedures from equivocal lesions, and patient anxiety.</w:t>
      </w:r>
      <w:r w:rsidRPr="007245F9">
        <w:rPr>
          <w:rFonts w:ascii="Times New Roman" w:hAnsi="Times New Roman" w:cs="Times New Roman"/>
          <w:b/>
          <w:bCs/>
          <w:sz w:val="20"/>
          <w:szCs w:val="20"/>
          <w:vertAlign w:val="superscript"/>
        </w:rPr>
        <w:t>6</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lastRenderedPageBreak/>
        <w:t>Reports about adult patients with HL have suggested that most relapses are clinically detected and that routine CT images, has poor specificity, being expensive and provides minimal OS benefit.</w:t>
      </w:r>
      <w:r w:rsidRPr="007245F9">
        <w:rPr>
          <w:rFonts w:ascii="Times New Roman" w:hAnsi="Times New Roman" w:cs="Times New Roman"/>
          <w:b/>
          <w:bCs/>
          <w:sz w:val="20"/>
          <w:szCs w:val="20"/>
          <w:vertAlign w:val="superscript"/>
        </w:rPr>
        <w:t>7</w:t>
      </w:r>
      <w:r w:rsidRPr="007245F9">
        <w:rPr>
          <w:rFonts w:ascii="Times New Roman" w:hAnsi="Times New Roman" w:cs="Times New Roman"/>
          <w:sz w:val="20"/>
          <w:szCs w:val="20"/>
        </w:rPr>
        <w:t xml:space="preserve"> There have been no studies for pediatric HL in developing countries investigating the role of routine surveillance imaging for detection of relapse, and there were only two articles published for pediatrics with a low number of relapsed patients.</w:t>
      </w:r>
    </w:p>
    <w:p w:rsidR="00E24DD0" w:rsidRPr="007245F9" w:rsidRDefault="00E24DD0" w:rsidP="00185ADB">
      <w:pPr>
        <w:snapToGrid w:val="0"/>
        <w:spacing w:after="0" w:line="240" w:lineRule="auto"/>
        <w:ind w:firstLine="425"/>
        <w:contextualSpacing/>
        <w:jc w:val="both"/>
        <w:rPr>
          <w:rFonts w:ascii="Times New Roman" w:hAnsi="Times New Roman" w:cs="Times New Roman"/>
          <w:sz w:val="20"/>
          <w:szCs w:val="20"/>
        </w:rPr>
      </w:pPr>
      <w:r w:rsidRPr="007245F9">
        <w:rPr>
          <w:rFonts w:ascii="Times New Roman" w:hAnsi="Times New Roman" w:cs="Times New Roman"/>
          <w:sz w:val="20"/>
          <w:szCs w:val="20"/>
        </w:rPr>
        <w:t>The aim of this study is to investigate the role of routine radiologic surveillance in detecting relapse in asymptomatic pediatric patients with HL treated with ABV</w:t>
      </w:r>
      <w:r w:rsidR="00C16177" w:rsidRPr="007245F9">
        <w:rPr>
          <w:rFonts w:ascii="Times New Roman" w:hAnsi="Times New Roman" w:cs="Times New Roman"/>
          <w:sz w:val="20"/>
          <w:szCs w:val="20"/>
        </w:rPr>
        <w:t>D (</w:t>
      </w:r>
      <w:r w:rsidRPr="007245F9">
        <w:rPr>
          <w:rFonts w:ascii="Times New Roman" w:hAnsi="Times New Roman" w:cs="Times New Roman"/>
          <w:sz w:val="20"/>
          <w:szCs w:val="20"/>
        </w:rPr>
        <w:t xml:space="preserve">Doxorubicin, </w:t>
      </w:r>
      <w:proofErr w:type="spellStart"/>
      <w:r w:rsidRPr="007245F9">
        <w:rPr>
          <w:rFonts w:ascii="Times New Roman" w:hAnsi="Times New Roman" w:cs="Times New Roman"/>
          <w:sz w:val="20"/>
          <w:szCs w:val="20"/>
        </w:rPr>
        <w:t>Bleomycin</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Vinblastine</w:t>
      </w:r>
      <w:proofErr w:type="spellEnd"/>
      <w:r w:rsidRPr="007245F9">
        <w:rPr>
          <w:rFonts w:ascii="Times New Roman" w:hAnsi="Times New Roman" w:cs="Times New Roman"/>
          <w:sz w:val="20"/>
          <w:szCs w:val="20"/>
        </w:rPr>
        <w:t xml:space="preserve">, and </w:t>
      </w:r>
      <w:proofErr w:type="spellStart"/>
      <w:r w:rsidRPr="007245F9">
        <w:rPr>
          <w:rFonts w:ascii="Times New Roman" w:hAnsi="Times New Roman" w:cs="Times New Roman"/>
          <w:sz w:val="20"/>
          <w:szCs w:val="20"/>
        </w:rPr>
        <w:t>Dacarbazine</w:t>
      </w:r>
      <w:proofErr w:type="spellEnd"/>
      <w:r w:rsidRPr="007245F9">
        <w:rPr>
          <w:rFonts w:ascii="Times New Roman" w:hAnsi="Times New Roman" w:cs="Times New Roman"/>
          <w:sz w:val="20"/>
          <w:szCs w:val="20"/>
        </w:rPr>
        <w:t>) ± radiotherapy in first complete remission and their impact on survival after relapse aiming to reduce cumulative radiation exposure, health care costs and risk of secondary malignancies in a predominantly young patient population and to decrease morbidity related to radiation exposure from diagnostic imaging.</w:t>
      </w:r>
    </w:p>
    <w:p w:rsidR="00E24DD0" w:rsidRPr="007245F9" w:rsidRDefault="00E24DD0" w:rsidP="00185ADB">
      <w:pPr>
        <w:snapToGrid w:val="0"/>
        <w:spacing w:after="0" w:line="240" w:lineRule="auto"/>
        <w:ind w:firstLine="425"/>
        <w:contextualSpacing/>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2. Patients and method</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This is a retrospective study including all patients under age of 18 years initially diagnosed as Hodgkin lymphoma and treated at children cancer hospital Egypt from July 2007 to July 2017who developed relapse at any time point during follow up period. All patients were treated with ABVD which was approved by the ethics committee from4-8 cycles ± involved field radiotherapy (RT) based on their risk stratification and having achieved complete remission (CR). All patients underwent a staging PET scan before treatment and interim PET (post two cycles of chemotherapy)± post-treatment PET. Patients were classified into three risk stratifications, and staging was defined according to Ann Arbor staging </w:t>
      </w:r>
      <w:r w:rsidRPr="007245F9">
        <w:rPr>
          <w:rFonts w:ascii="Times New Roman" w:hAnsi="Times New Roman" w:cs="Times New Roman"/>
          <w:b/>
          <w:bCs/>
          <w:sz w:val="20"/>
          <w:szCs w:val="20"/>
          <w:vertAlign w:val="superscript"/>
        </w:rPr>
        <w:t>8</w:t>
      </w:r>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low risk (LR) included stages IA</w:t>
      </w:r>
      <w:r w:rsidR="00185ADB" w:rsidRPr="007245F9">
        <w:rPr>
          <w:rFonts w:ascii="Times New Roman" w:hAnsi="Times New Roman" w:cs="Times New Roman"/>
          <w:sz w:val="20"/>
          <w:szCs w:val="20"/>
        </w:rPr>
        <w:t>, I</w:t>
      </w:r>
      <w:r w:rsidRPr="007245F9">
        <w:rPr>
          <w:rFonts w:ascii="Times New Roman" w:hAnsi="Times New Roman" w:cs="Times New Roman"/>
          <w:sz w:val="20"/>
          <w:szCs w:val="20"/>
        </w:rPr>
        <w:t>IA without bulky disease, intermediate risk (IR) included stages IA, IIA with bulky disease or stages IB, IIB IIIA and high ris</w:t>
      </w:r>
      <w:r w:rsidR="00C16177" w:rsidRPr="007245F9">
        <w:rPr>
          <w:rFonts w:ascii="Times New Roman" w:hAnsi="Times New Roman" w:cs="Times New Roman"/>
          <w:sz w:val="20"/>
          <w:szCs w:val="20"/>
        </w:rPr>
        <w:t>k (</w:t>
      </w:r>
      <w:r w:rsidRPr="007245F9">
        <w:rPr>
          <w:rFonts w:ascii="Times New Roman" w:hAnsi="Times New Roman" w:cs="Times New Roman"/>
          <w:sz w:val="20"/>
          <w:szCs w:val="20"/>
        </w:rPr>
        <w:t>HR)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included stages IIIB and IV.</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B symptoms (B) considered positive if the patient had at least one of the following, (1) unexplained fever above 38.0°C orally, (2) unexplained weight loss of 10% within the last six months preceding diagnosis, (3) drenching night sweats, (A) means no B symptoms. The bulky </w:t>
      </w:r>
      <w:proofErr w:type="spellStart"/>
      <w:r w:rsidRPr="007245F9">
        <w:rPr>
          <w:rFonts w:ascii="Times New Roman" w:hAnsi="Times New Roman" w:cs="Times New Roman"/>
          <w:sz w:val="20"/>
          <w:szCs w:val="20"/>
        </w:rPr>
        <w:t>mediastinal</w:t>
      </w:r>
      <w:proofErr w:type="spellEnd"/>
      <w:r w:rsidRPr="007245F9">
        <w:rPr>
          <w:rFonts w:ascii="Times New Roman" w:hAnsi="Times New Roman" w:cs="Times New Roman"/>
          <w:sz w:val="20"/>
          <w:szCs w:val="20"/>
        </w:rPr>
        <w:t xml:space="preserve"> disease was defined when the maximum diameter of the </w:t>
      </w:r>
      <w:proofErr w:type="spellStart"/>
      <w:r w:rsidRPr="007245F9">
        <w:rPr>
          <w:rFonts w:ascii="Times New Roman" w:hAnsi="Times New Roman" w:cs="Times New Roman"/>
          <w:sz w:val="20"/>
          <w:szCs w:val="20"/>
        </w:rPr>
        <w:t>mediastinal</w:t>
      </w:r>
      <w:proofErr w:type="spellEnd"/>
      <w:r w:rsidRPr="007245F9">
        <w:rPr>
          <w:rFonts w:ascii="Times New Roman" w:hAnsi="Times New Roman" w:cs="Times New Roman"/>
          <w:sz w:val="20"/>
          <w:szCs w:val="20"/>
        </w:rPr>
        <w:t xml:space="preserve"> lymph node to the maximal transverse diameter of the rib cage on an upright chest radiograph higher than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33%, and bulky peripheral Lymph node defined as greater than 6 cm, with aggregates measured transversely. An informed consent was taken from all patients or guardians before starting treatment. After the end of t</w:t>
      </w:r>
      <w:r w:rsidRPr="007245F9">
        <w:rPr>
          <w:rFonts w:ascii="Times New Roman" w:eastAsia="Calibri" w:hAnsi="Times New Roman" w:cs="Times New Roman"/>
          <w:sz w:val="20"/>
          <w:szCs w:val="20"/>
        </w:rPr>
        <w:t xml:space="preserve">reatment, patients were followed regularly according to a recommended protocol schedule every 3months for the first year, every 4 months for the next 2 years, </w:t>
      </w:r>
      <w:r w:rsidRPr="007245F9">
        <w:rPr>
          <w:rFonts w:ascii="Times New Roman" w:eastAsia="Calibri" w:hAnsi="Times New Roman" w:cs="Times New Roman"/>
          <w:sz w:val="20"/>
          <w:szCs w:val="20"/>
        </w:rPr>
        <w:lastRenderedPageBreak/>
        <w:t xml:space="preserve">every 6 months for the 4th and 5th years. Follow-up included physical examination, plain X-ray chest, and abdominal ultrasound alternating with CT scan of the initially involved sites and routine laboratory studies (complete blood count, erythrocyte sedimentation rate, and lactate </w:t>
      </w:r>
      <w:proofErr w:type="spellStart"/>
      <w:r w:rsidRPr="007245F9">
        <w:rPr>
          <w:rFonts w:ascii="Times New Roman" w:eastAsia="Calibri" w:hAnsi="Times New Roman" w:cs="Times New Roman"/>
          <w:sz w:val="20"/>
          <w:szCs w:val="20"/>
        </w:rPr>
        <w:t>dehydrogenase</w:t>
      </w:r>
      <w:proofErr w:type="spellEnd"/>
      <w:r w:rsidRPr="007245F9">
        <w:rPr>
          <w:rFonts w:ascii="Times New Roman" w:eastAsia="Calibri" w:hAnsi="Times New Roman" w:cs="Times New Roman"/>
          <w:sz w:val="20"/>
          <w:szCs w:val="20"/>
        </w:rPr>
        <w:t>). Routine surveillance strategy did</w:t>
      </w:r>
      <w:r w:rsidRPr="007245F9">
        <w:rPr>
          <w:rFonts w:ascii="Times New Roman" w:hAnsi="Times New Roman" w:cs="Times New Roman"/>
          <w:sz w:val="20"/>
          <w:szCs w:val="20"/>
        </w:rPr>
        <w:t xml:space="preserve"> not differ according to patient risk group or stage and was done even when patients show no clinical signs of relapse, and the imaging is being performed purely based on protocol requirement. Clinically indicated surveillance, in contrast, refers to imaging that is undertaken after the patient has completed therapy in order to investigate further new symptoms or signs that have raised concern for disease relapse.</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All patients who developed a relapse were included in this study. The records were reviewed to determine details of initial disease (date of diagnosis, stage, risk stratification, treatment received chemotherapy and RT), time to relapse, presentation at time of relapse, method of diagnosis of relapse (routine images or clinically detected), symptoms and signs at time relapse and site of relapse. Patients who were either refractory or who experienced progressive disease on treatment were excluded. Also patients who had relapse with other histology and those with incomplete data were excluded from the study.</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Statistical analysis</w:t>
      </w:r>
    </w:p>
    <w:p w:rsidR="00E24DD0" w:rsidRPr="007245F9" w:rsidRDefault="00E24DD0" w:rsidP="00185ADB">
      <w:pPr>
        <w:pStyle w:val="NormalWeb"/>
        <w:snapToGrid w:val="0"/>
        <w:spacing w:before="0" w:beforeAutospacing="0" w:after="0" w:afterAutospacing="0"/>
        <w:ind w:firstLine="425"/>
        <w:jc w:val="both"/>
        <w:rPr>
          <w:sz w:val="20"/>
          <w:szCs w:val="20"/>
        </w:rPr>
      </w:pPr>
      <w:r w:rsidRPr="007245F9">
        <w:rPr>
          <w:sz w:val="20"/>
          <w:szCs w:val="20"/>
        </w:rPr>
        <w:t xml:space="preserve">Statistical analysis was done using IBM© SPSS© Statistics, version 22 (IBM© Corp., Armonk, NY, USA). Numerical data were expressed as a mean and standard deviation or median and range as appropriate. Qualitative data were expressed as frequency and percentage. Chi-square test or Fisher's exact test was used to examine the relationship between categorical variables. For non-normal distributed quantitative data, the comparison between the means of two groups was made using the Mann-Whitney test (non-parametric t-test). Survival analysis was done by using the Kaplan-Meier method. Log-rank test is used to compare two survival curves. </w:t>
      </w:r>
    </w:p>
    <w:p w:rsidR="00E24DD0" w:rsidRPr="007245F9" w:rsidRDefault="00E24DD0" w:rsidP="00185ADB">
      <w:pPr>
        <w:snapToGrid w:val="0"/>
        <w:spacing w:after="0" w:line="240" w:lineRule="auto"/>
        <w:ind w:firstLine="425"/>
        <w:jc w:val="both"/>
        <w:rPr>
          <w:rFonts w:ascii="Times New Roman" w:hAnsi="Times New Roman" w:cs="Times New Roman"/>
          <w:sz w:val="20"/>
          <w:szCs w:val="20"/>
          <w:lang w:bidi="ar-EG"/>
        </w:rPr>
      </w:pPr>
      <w:r w:rsidRPr="007245F9">
        <w:rPr>
          <w:rFonts w:ascii="Times New Roman" w:hAnsi="Times New Roman" w:cs="Times New Roman"/>
          <w:sz w:val="20"/>
          <w:szCs w:val="20"/>
        </w:rPr>
        <w:t>Overall survival rates calculated from the date of diagnosis to date death from any cause, living patients or patients lost to follow-up were considered to be censored on last known alive date. All p-values are two-sided. P-values &lt; 0.05 will be considered significant.</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3. Results</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Outcome and characteristic of relapsed patients</w:t>
      </w:r>
    </w:p>
    <w:p w:rsidR="00185ADB"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From July 2007 to July 2017, 1197 patients were diagnosed as Hodgkin lymphoma and were treated with combined modality treatment and evaluated for disease recurrence, One hundred thirty-one patients developed relapse. Thirteen patients were excluded, 8 patients were excluded as they did not achieve </w:t>
      </w:r>
      <w:r w:rsidRPr="007245F9">
        <w:rPr>
          <w:rFonts w:ascii="Times New Roman" w:hAnsi="Times New Roman" w:cs="Times New Roman"/>
          <w:sz w:val="20"/>
          <w:szCs w:val="20"/>
        </w:rPr>
        <w:lastRenderedPageBreak/>
        <w:t>remission with first-line therapy, 3 patients developed second malignancy (Thyroid carcinoma, Non-Hodgkin lymphoma and Acute Myeloid leukemia) and 2 patients had incomplete data. The remaining 118 patients were amenable for analysis (Figure 1)</w:t>
      </w:r>
      <w:r w:rsidR="00185ADB" w:rsidRPr="007245F9">
        <w:rPr>
          <w:rFonts w:ascii="Times New Roman" w:hAnsi="Times New Roman" w:cs="Times New Roman"/>
          <w:sz w:val="20"/>
          <w:szCs w:val="20"/>
        </w:rPr>
        <w:t>. T</w:t>
      </w:r>
      <w:r w:rsidRPr="007245F9">
        <w:rPr>
          <w:rFonts w:ascii="Times New Roman" w:hAnsi="Times New Roman" w:cs="Times New Roman"/>
          <w:sz w:val="20"/>
          <w:szCs w:val="20"/>
        </w:rPr>
        <w:t>he characteristics of those patients as compared to total patients are depicted in the (Table 1</w:t>
      </w:r>
      <w:r w:rsidR="00185ADB" w:rsidRPr="007245F9">
        <w:rPr>
          <w:rFonts w:ascii="Times New Roman" w:hAnsi="Times New Roman" w:cs="Times New Roman"/>
          <w:sz w:val="20"/>
          <w:szCs w:val="20"/>
        </w:rPr>
        <w:t>).</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One hundred patients underwent biopsy and confirmed relapse, the remaining patients, received salvage chemotherapy without biopsy as their relapses were inaccessible for biopsy and they had bad general condition due to disease progression. Relapses occurred across all of the </w:t>
      </w:r>
      <w:proofErr w:type="spellStart"/>
      <w:r w:rsidRPr="007245F9">
        <w:rPr>
          <w:rFonts w:ascii="Times New Roman" w:hAnsi="Times New Roman" w:cs="Times New Roman"/>
          <w:sz w:val="20"/>
          <w:szCs w:val="20"/>
        </w:rPr>
        <w:t>histologic</w:t>
      </w:r>
      <w:proofErr w:type="spellEnd"/>
      <w:r w:rsidRPr="007245F9">
        <w:rPr>
          <w:rFonts w:ascii="Times New Roman" w:hAnsi="Times New Roman" w:cs="Times New Roman"/>
          <w:sz w:val="20"/>
          <w:szCs w:val="20"/>
        </w:rPr>
        <w:t xml:space="preserve"> Hodgkin lymphoma subtypes, with the same frequency represented by the initial presentation and in the same percentage of gender and age distribution in the study population. However we found that there is an increase in the percentage of relapsed patients among those who did not receive radiotherapy at upfront treatment, Out of 234 patients who didn’t receive upfront RT, 53 patients (22.5%) developed relapse as compared to only 63 relapsed patients (6.5%) out of 961 patients who received upfront RT. Relapse occurred in 63% of the patients with high-risk criteria at initial presentation and in 19 % of low-risk criteria. Most patients who developed a relapse received </w:t>
      </w:r>
      <w:r w:rsidRPr="007245F9">
        <w:rPr>
          <w:rFonts w:ascii="Times New Roman" w:hAnsi="Times New Roman" w:cs="Times New Roman"/>
          <w:sz w:val="20"/>
          <w:szCs w:val="20"/>
        </w:rPr>
        <w:lastRenderedPageBreak/>
        <w:t>salvage therapy. Median follow-up time was 4.451 years (53.41 in months). While the median time to relapse for the whole cohort was18.66 months (0.6-105 months), the median time to relapse was 33.0 months for LR patients, 17.76 months for IR patients and 10.025 months for HR patients. At the time of relapse 35 patients developed early stage HL (stage I and II) while 83 developed advanced stage (III and IV).</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All relapsed patients received salvage treatment, 98 patients received 2</w:t>
      </w:r>
      <w:r w:rsidRPr="007245F9">
        <w:rPr>
          <w:rFonts w:ascii="Times New Roman" w:hAnsi="Times New Roman" w:cs="Times New Roman"/>
          <w:sz w:val="20"/>
          <w:szCs w:val="20"/>
          <w:vertAlign w:val="superscript"/>
        </w:rPr>
        <w:t>nd</w:t>
      </w:r>
      <w:r w:rsidRPr="007245F9">
        <w:rPr>
          <w:rFonts w:ascii="Times New Roman" w:hAnsi="Times New Roman" w:cs="Times New Roman"/>
          <w:sz w:val="20"/>
          <w:szCs w:val="20"/>
        </w:rPr>
        <w:t xml:space="preserve"> line as ICE (</w:t>
      </w:r>
      <w:proofErr w:type="spellStart"/>
      <w:r w:rsidRPr="007245F9">
        <w:rPr>
          <w:rFonts w:ascii="Times New Roman" w:hAnsi="Times New Roman" w:cs="Times New Roman"/>
          <w:sz w:val="20"/>
          <w:szCs w:val="20"/>
        </w:rPr>
        <w:t>Ifosfamide</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Carboplatin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and </w:t>
      </w:r>
      <w:proofErr w:type="spellStart"/>
      <w:r w:rsidRPr="007245F9">
        <w:rPr>
          <w:rFonts w:ascii="Times New Roman" w:hAnsi="Times New Roman" w:cs="Times New Roman"/>
          <w:sz w:val="20"/>
          <w:szCs w:val="20"/>
        </w:rPr>
        <w:t>Etoposide</w:t>
      </w:r>
      <w:proofErr w:type="spellEnd"/>
      <w:r w:rsidRPr="007245F9">
        <w:rPr>
          <w:rFonts w:ascii="Times New Roman" w:hAnsi="Times New Roman" w:cs="Times New Roman"/>
          <w:sz w:val="20"/>
          <w:szCs w:val="20"/>
        </w:rPr>
        <w:t xml:space="preserve">), 17 patients received </w:t>
      </w:r>
      <w:proofErr w:type="spellStart"/>
      <w:r w:rsidRPr="007245F9">
        <w:rPr>
          <w:rFonts w:ascii="Times New Roman" w:hAnsi="Times New Roman" w:cs="Times New Roman"/>
          <w:sz w:val="20"/>
          <w:szCs w:val="20"/>
        </w:rPr>
        <w:t>gemcitabine</w:t>
      </w:r>
      <w:proofErr w:type="spellEnd"/>
      <w:r w:rsidRPr="007245F9">
        <w:rPr>
          <w:rFonts w:ascii="Times New Roman" w:hAnsi="Times New Roman" w:cs="Times New Roman"/>
          <w:sz w:val="20"/>
          <w:szCs w:val="20"/>
        </w:rPr>
        <w:t xml:space="preserve"> and </w:t>
      </w:r>
      <w:proofErr w:type="spellStart"/>
      <w:r w:rsidRPr="007245F9">
        <w:rPr>
          <w:rFonts w:ascii="Times New Roman" w:hAnsi="Times New Roman" w:cs="Times New Roman"/>
          <w:sz w:val="20"/>
          <w:szCs w:val="20"/>
        </w:rPr>
        <w:t>vinorelbine</w:t>
      </w:r>
      <w:proofErr w:type="spellEnd"/>
      <w:r w:rsidRPr="007245F9">
        <w:rPr>
          <w:rFonts w:ascii="Times New Roman" w:hAnsi="Times New Roman" w:cs="Times New Roman"/>
          <w:sz w:val="20"/>
          <w:szCs w:val="20"/>
        </w:rPr>
        <w:t>, one patient relapsed by nodular lymphocyte predominant HL (NLPHL) and received R-CHOP (</w:t>
      </w:r>
      <w:proofErr w:type="spellStart"/>
      <w:r w:rsidRPr="007245F9">
        <w:rPr>
          <w:rFonts w:ascii="Times New Roman" w:hAnsi="Times New Roman" w:cs="Times New Roman"/>
          <w:sz w:val="20"/>
          <w:szCs w:val="20"/>
        </w:rPr>
        <w:t>Rituximab</w:t>
      </w:r>
      <w:proofErr w:type="spellEnd"/>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cyclophosphamide</w:t>
      </w:r>
      <w:proofErr w:type="spellEnd"/>
      <w:r w:rsidRPr="007245F9">
        <w:rPr>
          <w:rFonts w:ascii="Times New Roman" w:hAnsi="Times New Roman" w:cs="Times New Roman"/>
          <w:sz w:val="20"/>
          <w:szCs w:val="20"/>
        </w:rPr>
        <w:t xml:space="preserve">, doxorubicin, </w:t>
      </w:r>
      <w:proofErr w:type="spellStart"/>
      <w:r w:rsidRPr="007245F9">
        <w:rPr>
          <w:rFonts w:ascii="Times New Roman" w:hAnsi="Times New Roman" w:cs="Times New Roman"/>
          <w:sz w:val="20"/>
          <w:szCs w:val="20"/>
        </w:rPr>
        <w:t>vincristine</w:t>
      </w:r>
      <w:proofErr w:type="spellEnd"/>
      <w:r w:rsidRPr="007245F9">
        <w:rPr>
          <w:rFonts w:ascii="Times New Roman" w:hAnsi="Times New Roman" w:cs="Times New Roman"/>
          <w:sz w:val="20"/>
          <w:szCs w:val="20"/>
        </w:rPr>
        <w:t>, and prednisone)</w:t>
      </w:r>
      <w:r w:rsidR="00185ADB" w:rsidRPr="007245F9">
        <w:rPr>
          <w:rFonts w:ascii="Times New Roman" w:hAnsi="Times New Roman" w:cs="Times New Roman"/>
          <w:sz w:val="20"/>
          <w:szCs w:val="20"/>
        </w:rPr>
        <w:t>, o</w:t>
      </w:r>
      <w:r w:rsidRPr="007245F9">
        <w:rPr>
          <w:rFonts w:ascii="Times New Roman" w:hAnsi="Times New Roman" w:cs="Times New Roman"/>
          <w:sz w:val="20"/>
          <w:szCs w:val="20"/>
        </w:rPr>
        <w:t xml:space="preserve">ne patient received RT only due to relapse with localized disease, and one patient did not receive salvage due to </w:t>
      </w:r>
      <w:proofErr w:type="spellStart"/>
      <w:r w:rsidRPr="007245F9">
        <w:rPr>
          <w:rFonts w:ascii="Times New Roman" w:hAnsi="Times New Roman" w:cs="Times New Roman"/>
          <w:sz w:val="20"/>
          <w:szCs w:val="20"/>
        </w:rPr>
        <w:t>leuco</w:t>
      </w:r>
      <w:proofErr w:type="spellEnd"/>
      <w:r w:rsidRPr="007245F9">
        <w:rPr>
          <w:rFonts w:ascii="Times New Roman" w:hAnsi="Times New Roman" w:cs="Times New Roman"/>
          <w:sz w:val="20"/>
          <w:szCs w:val="20"/>
        </w:rPr>
        <w:t xml:space="preserve">-encephalopathy as a complication post first line ABVD. Sixty-eight patients underwent </w:t>
      </w:r>
      <w:proofErr w:type="spellStart"/>
      <w:r w:rsidRPr="007245F9">
        <w:rPr>
          <w:rFonts w:ascii="Times New Roman" w:hAnsi="Times New Roman" w:cs="Times New Roman"/>
          <w:sz w:val="20"/>
          <w:szCs w:val="20"/>
        </w:rPr>
        <w:t>autologous</w:t>
      </w:r>
      <w:proofErr w:type="spellEnd"/>
      <w:r w:rsidRPr="007245F9">
        <w:rPr>
          <w:rFonts w:ascii="Times New Roman" w:hAnsi="Times New Roman" w:cs="Times New Roman"/>
          <w:sz w:val="20"/>
          <w:szCs w:val="20"/>
        </w:rPr>
        <w:t xml:space="preserve"> hematopoietic stem cell transplantation.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By the end of this study, 78 patients were alive, 37 patients died (31 died out of disease progression, and 6 patients died in complete remission secondary to infection and toxicity) and 3 patients were lost to follow up.</w:t>
      </w:r>
    </w:p>
    <w:p w:rsidR="00185ADB" w:rsidRPr="007245F9" w:rsidRDefault="00185ADB" w:rsidP="00185ADB">
      <w:pPr>
        <w:autoSpaceDE w:val="0"/>
        <w:autoSpaceDN w:val="0"/>
        <w:adjustRightInd w:val="0"/>
        <w:snapToGrid w:val="0"/>
        <w:spacing w:after="0" w:line="240" w:lineRule="auto"/>
        <w:ind w:firstLine="425"/>
        <w:jc w:val="both"/>
        <w:rPr>
          <w:rFonts w:ascii="Times New Roman" w:hAnsi="Times New Roman" w:cs="Times New Roman"/>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16177" w:rsidRPr="007245F9" w:rsidRDefault="00C16177"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70401" w:rsidRPr="007245F9" w:rsidRDefault="00C70401" w:rsidP="00185ADB">
      <w:pPr>
        <w:autoSpaceDE w:val="0"/>
        <w:autoSpaceDN w:val="0"/>
        <w:adjustRightInd w:val="0"/>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noProof/>
          <w:sz w:val="20"/>
          <w:szCs w:val="20"/>
          <w:lang w:eastAsia="zh-CN"/>
        </w:rPr>
        <w:drawing>
          <wp:inline distT="0" distB="0" distL="0" distR="0">
            <wp:extent cx="4768273" cy="33554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70814" cy="3357239"/>
                    </a:xfrm>
                    <a:prstGeom prst="rect">
                      <a:avLst/>
                    </a:prstGeom>
                  </pic:spPr>
                </pic:pic>
              </a:graphicData>
            </a:graphic>
          </wp:inline>
        </w:drawing>
      </w:r>
    </w:p>
    <w:p w:rsidR="00E607C0" w:rsidRPr="007245F9" w:rsidRDefault="00907ED3" w:rsidP="00185ADB">
      <w:pPr>
        <w:autoSpaceDE w:val="0"/>
        <w:autoSpaceDN w:val="0"/>
        <w:adjustRightInd w:val="0"/>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Figure 1 Consort diagram of patients in the study</w:t>
      </w:r>
    </w:p>
    <w:p w:rsidR="00C70401" w:rsidRPr="007245F9" w:rsidRDefault="00C70401"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185ADB" w:rsidRPr="007245F9" w:rsidRDefault="00185ADB" w:rsidP="00185ADB">
      <w:pPr>
        <w:autoSpaceDE w:val="0"/>
        <w:autoSpaceDN w:val="0"/>
        <w:adjustRightInd w:val="0"/>
        <w:snapToGrid w:val="0"/>
        <w:spacing w:after="0" w:line="240" w:lineRule="auto"/>
        <w:jc w:val="both"/>
        <w:rPr>
          <w:rFonts w:ascii="Times New Roman" w:hAnsi="Times New Roman" w:cs="Times New Roman"/>
          <w:b/>
          <w:bCs/>
          <w:sz w:val="20"/>
          <w:szCs w:val="20"/>
        </w:rPr>
        <w:sectPr w:rsidR="00185ADB" w:rsidRPr="007245F9" w:rsidSect="00C16177">
          <w:type w:val="continuous"/>
          <w:pgSz w:w="12240" w:h="15840"/>
          <w:pgMar w:top="1440" w:right="1440" w:bottom="1440" w:left="1440" w:header="720" w:footer="720" w:gutter="0"/>
          <w:cols w:space="720"/>
          <w:docGrid w:linePitch="360"/>
        </w:sect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lastRenderedPageBreak/>
        <w:t>Characteristic of patients and their outcome according to the method of relapse detection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7245F9">
        <w:rPr>
          <w:rFonts w:ascii="Times New Roman" w:hAnsi="Times New Roman" w:cs="Times New Roman"/>
          <w:sz w:val="20"/>
          <w:szCs w:val="20"/>
        </w:rPr>
        <w:t xml:space="preserve">Seventy six out of the 118 relapsed patients (65%) had disease recurrence detected by changes in </w:t>
      </w:r>
      <w:r w:rsidRPr="007245F9">
        <w:rPr>
          <w:rFonts w:ascii="Times New Roman" w:hAnsi="Times New Roman" w:cs="Times New Roman"/>
          <w:sz w:val="20"/>
          <w:szCs w:val="20"/>
        </w:rPr>
        <w:lastRenderedPageBreak/>
        <w:t xml:space="preserve">clinical symptoms and physical findings which included palpable </w:t>
      </w:r>
      <w:proofErr w:type="spellStart"/>
      <w:r w:rsidRPr="007245F9">
        <w:rPr>
          <w:rFonts w:ascii="Times New Roman" w:hAnsi="Times New Roman" w:cs="Times New Roman"/>
          <w:sz w:val="20"/>
          <w:szCs w:val="20"/>
        </w:rPr>
        <w:t>lymphadenopathy</w:t>
      </w:r>
      <w:proofErr w:type="spellEnd"/>
      <w:r w:rsidRPr="007245F9">
        <w:rPr>
          <w:rFonts w:ascii="Times New Roman" w:hAnsi="Times New Roman" w:cs="Times New Roman"/>
          <w:sz w:val="20"/>
          <w:szCs w:val="20"/>
        </w:rPr>
        <w:t xml:space="preserve"> in 49 patients (64%), B symptoms in 10 patients (13%), uncommon complain in 10 patients (13%) in the form of </w:t>
      </w:r>
      <w:proofErr w:type="spellStart"/>
      <w:r w:rsidRPr="007245F9">
        <w:rPr>
          <w:rFonts w:ascii="Times New Roman" w:hAnsi="Times New Roman" w:cs="Times New Roman"/>
          <w:sz w:val="20"/>
          <w:szCs w:val="20"/>
        </w:rPr>
        <w:t>stridor</w:t>
      </w:r>
      <w:proofErr w:type="spellEnd"/>
      <w:r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anemia, disseminated rash, itching, cough, bony pains and multiple complains in 7 patients (10%)</w:t>
      </w:r>
      <w:r w:rsidR="00185ADB" w:rsidRPr="007245F9">
        <w:rPr>
          <w:rFonts w:ascii="Times New Roman" w:hAnsi="Times New Roman" w:cs="Times New Roman"/>
          <w:sz w:val="20"/>
          <w:szCs w:val="20"/>
        </w:rPr>
        <w:t>. W</w:t>
      </w:r>
      <w:r w:rsidRPr="007245F9">
        <w:rPr>
          <w:rFonts w:ascii="Times New Roman" w:hAnsi="Times New Roman" w:cs="Times New Roman"/>
          <w:sz w:val="20"/>
          <w:szCs w:val="20"/>
        </w:rPr>
        <w:t>e had42asymptomatic patient</w:t>
      </w:r>
      <w:r w:rsidR="00C16177" w:rsidRPr="007245F9">
        <w:rPr>
          <w:rFonts w:ascii="Times New Roman" w:hAnsi="Times New Roman" w:cs="Times New Roman"/>
          <w:sz w:val="20"/>
          <w:szCs w:val="20"/>
        </w:rPr>
        <w:t xml:space="preserve">s </w:t>
      </w:r>
      <w:r w:rsidR="00C16177" w:rsidRPr="007245F9">
        <w:rPr>
          <w:rFonts w:ascii="Times New Roman" w:hAnsi="Times New Roman" w:cs="Times New Roman"/>
          <w:b/>
          <w:bCs/>
          <w:sz w:val="20"/>
          <w:szCs w:val="20"/>
        </w:rPr>
        <w:t>(</w:t>
      </w:r>
      <w:r w:rsidRPr="007245F9">
        <w:rPr>
          <w:rFonts w:ascii="Times New Roman" w:hAnsi="Times New Roman" w:cs="Times New Roman"/>
          <w:sz w:val="20"/>
          <w:szCs w:val="20"/>
        </w:rPr>
        <w:t>35%</w:t>
      </w:r>
      <w:r w:rsidR="00185ADB" w:rsidRPr="007245F9">
        <w:rPr>
          <w:rFonts w:ascii="Times New Roman" w:hAnsi="Times New Roman" w:cs="Times New Roman"/>
          <w:sz w:val="20"/>
          <w:szCs w:val="20"/>
        </w:rPr>
        <w:t>) a</w:t>
      </w:r>
      <w:r w:rsidRPr="007245F9">
        <w:rPr>
          <w:rFonts w:ascii="Times New Roman" w:hAnsi="Times New Roman" w:cs="Times New Roman"/>
          <w:sz w:val="20"/>
          <w:szCs w:val="20"/>
        </w:rPr>
        <w:t>t the time of recurrence and had their disease detected based on routine imaging. The median time to relapse for patients detected by radiologic surveillance was 10 months and for patients who had recurrence based on changes in clinical symptoms was 20 months. Characteristics of patients whose relapse were detected by radiological surveillance and those relapsed clinically are shown in the (Table 2). The stage of disease at the time of relapse did not differ for patients whose relapse were detected clinically versus by imaging (for early stage 31 % versus 26% respectively) and (for advanced stage 69% disease versus 74% respectively).</w:t>
      </w:r>
    </w:p>
    <w:p w:rsidR="00C70401" w:rsidRPr="007245F9" w:rsidRDefault="00E24DD0" w:rsidP="00185ADB">
      <w:pPr>
        <w:snapToGrid w:val="0"/>
        <w:spacing w:after="0" w:line="240" w:lineRule="auto"/>
        <w:ind w:firstLine="425"/>
        <w:jc w:val="both"/>
        <w:rPr>
          <w:rFonts w:ascii="Times New Roman" w:hAnsi="Times New Roman" w:cs="Times New Roman"/>
          <w:b/>
          <w:bCs/>
          <w:sz w:val="20"/>
          <w:szCs w:val="20"/>
        </w:rPr>
      </w:pPr>
      <w:r w:rsidRPr="007245F9">
        <w:rPr>
          <w:rFonts w:ascii="Times New Roman" w:hAnsi="Times New Roman" w:cs="Times New Roman"/>
          <w:sz w:val="20"/>
          <w:szCs w:val="20"/>
        </w:rPr>
        <w:t xml:space="preserve">Most of our relapses76 /118 (65%) occurred in the first 2 years, 52 patients developed relapse in the </w:t>
      </w:r>
      <w:r w:rsidRPr="007245F9">
        <w:rPr>
          <w:rFonts w:ascii="Times New Roman" w:hAnsi="Times New Roman" w:cs="Times New Roman"/>
          <w:sz w:val="20"/>
          <w:szCs w:val="20"/>
        </w:rPr>
        <w:lastRenderedPageBreak/>
        <w:t>first year and 24 patients in the second year. Routine surveillance imaging performed within the first year after the end of therapy detected relapses in only 19 patients and beyond two years detected relapses in only11 patients who did not have clinical symptoms or physical findings to give rise suspicion for relapse. The 5 year OS for relapsed patients detected by radiological surveillance and those detected clinically was 75.4%, and 85% respectively with P =0.011% (Figure 2). It was better for patients who relapsed by clinical symptoms which reflected no impact for radiological surveillance on the outcome of relapsed patients. Deaths as a result of the recurrent disease occurred in 20 patients whose relapse detected by surveillance imaging and in 17 patients whose relapse detected clinically.</w:t>
      </w:r>
    </w:p>
    <w:p w:rsidR="00185ADB" w:rsidRPr="007245F9" w:rsidRDefault="00185ADB" w:rsidP="00185ADB">
      <w:pPr>
        <w:snapToGrid w:val="0"/>
        <w:spacing w:after="0" w:line="240" w:lineRule="auto"/>
        <w:jc w:val="both"/>
        <w:rPr>
          <w:rFonts w:ascii="Times New Roman" w:hAnsi="Times New Roman" w:cs="Times New Roman"/>
          <w:b/>
          <w:bCs/>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70401" w:rsidRPr="007245F9" w:rsidRDefault="00C70401" w:rsidP="00185ADB">
      <w:pPr>
        <w:snapToGrid w:val="0"/>
        <w:spacing w:after="0" w:line="240" w:lineRule="auto"/>
        <w:jc w:val="center"/>
        <w:rPr>
          <w:rFonts w:ascii="Times New Roman" w:hAnsi="Times New Roman" w:cs="Times New Roman"/>
          <w:b/>
          <w:bCs/>
          <w:sz w:val="20"/>
          <w:szCs w:val="20"/>
        </w:rPr>
      </w:pPr>
    </w:p>
    <w:p w:rsidR="00E24DD0" w:rsidRPr="007245F9" w:rsidRDefault="00E24DD0" w:rsidP="00185ADB">
      <w:pPr>
        <w:snapToGrid w:val="0"/>
        <w:spacing w:after="0" w:line="240" w:lineRule="auto"/>
        <w:jc w:val="center"/>
        <w:rPr>
          <w:rFonts w:ascii="Times New Roman" w:hAnsi="Times New Roman" w:cs="Times New Roman"/>
          <w:b/>
          <w:bCs/>
          <w:sz w:val="20"/>
          <w:szCs w:val="20"/>
        </w:rPr>
      </w:pPr>
      <w:r w:rsidRPr="007245F9">
        <w:rPr>
          <w:rFonts w:ascii="Times New Roman" w:hAnsi="Times New Roman" w:cs="Times New Roman"/>
          <w:b/>
          <w:bCs/>
          <w:sz w:val="20"/>
          <w:szCs w:val="20"/>
        </w:rPr>
        <w:t>Tabl</w:t>
      </w:r>
      <w:r w:rsidR="00C16177" w:rsidRPr="007245F9">
        <w:rPr>
          <w:rFonts w:ascii="Times New Roman" w:hAnsi="Times New Roman" w:cs="Times New Roman"/>
          <w:b/>
          <w:bCs/>
          <w:sz w:val="20"/>
          <w:szCs w:val="20"/>
        </w:rPr>
        <w:t>e (</w:t>
      </w:r>
      <w:r w:rsidRPr="007245F9">
        <w:rPr>
          <w:rFonts w:ascii="Times New Roman" w:hAnsi="Times New Roman" w:cs="Times New Roman"/>
          <w:b/>
          <w:bCs/>
          <w:sz w:val="20"/>
          <w:szCs w:val="20"/>
        </w:rPr>
        <w:t xml:space="preserve">1): Comparison of </w:t>
      </w:r>
      <w:proofErr w:type="spellStart"/>
      <w:r w:rsidRPr="007245F9">
        <w:rPr>
          <w:rFonts w:ascii="Times New Roman" w:hAnsi="Times New Roman" w:cs="Times New Roman"/>
          <w:b/>
          <w:bCs/>
          <w:sz w:val="20"/>
          <w:szCs w:val="20"/>
        </w:rPr>
        <w:t>characteristicsof</w:t>
      </w:r>
      <w:proofErr w:type="spellEnd"/>
      <w:r w:rsidRPr="007245F9">
        <w:rPr>
          <w:rFonts w:ascii="Times New Roman" w:hAnsi="Times New Roman" w:cs="Times New Roman"/>
          <w:b/>
          <w:bCs/>
          <w:sz w:val="20"/>
          <w:szCs w:val="20"/>
        </w:rPr>
        <w:t xml:space="preserve"> Relapsed patients </w:t>
      </w:r>
      <w:proofErr w:type="spellStart"/>
      <w:r w:rsidRPr="007245F9">
        <w:rPr>
          <w:rFonts w:ascii="Times New Roman" w:hAnsi="Times New Roman" w:cs="Times New Roman"/>
          <w:b/>
          <w:bCs/>
          <w:sz w:val="20"/>
          <w:szCs w:val="20"/>
        </w:rPr>
        <w:t>withtotal</w:t>
      </w:r>
      <w:proofErr w:type="spellEnd"/>
      <w:r w:rsidRPr="007245F9">
        <w:rPr>
          <w:rFonts w:ascii="Times New Roman" w:hAnsi="Times New Roman" w:cs="Times New Roman"/>
          <w:b/>
          <w:bCs/>
          <w:sz w:val="20"/>
          <w:szCs w:val="20"/>
        </w:rPr>
        <w:t xml:space="preserve"> patients</w:t>
      </w:r>
    </w:p>
    <w:tbl>
      <w:tblPr>
        <w:tblStyle w:val="TableGrid1"/>
        <w:tblW w:w="5000" w:type="pct"/>
        <w:jc w:val="center"/>
        <w:tblCellMar>
          <w:left w:w="57" w:type="dxa"/>
          <w:right w:w="57" w:type="dxa"/>
        </w:tblCellMar>
        <w:tblLook w:val="04A0"/>
      </w:tblPr>
      <w:tblGrid>
        <w:gridCol w:w="4607"/>
        <w:gridCol w:w="2106"/>
        <w:gridCol w:w="2761"/>
      </w:tblGrid>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p>
        </w:tc>
        <w:tc>
          <w:tcPr>
            <w:tcW w:w="111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All patients N (%)</w:t>
            </w:r>
          </w:p>
        </w:tc>
        <w:tc>
          <w:tcPr>
            <w:tcW w:w="1457"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Relapsed patients N (%)</w:t>
            </w:r>
          </w:p>
        </w:tc>
      </w:tr>
      <w:tr w:rsidR="00E24DD0" w:rsidRPr="007245F9" w:rsidTr="00C16177">
        <w:trPr>
          <w:jc w:val="center"/>
        </w:trPr>
        <w:tc>
          <w:tcPr>
            <w:tcW w:w="2431" w:type="pct"/>
            <w:tcBorders>
              <w:top w:val="single" w:sz="4" w:space="0" w:color="auto"/>
              <w:left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Number</w:t>
            </w:r>
          </w:p>
        </w:tc>
        <w:tc>
          <w:tcPr>
            <w:tcW w:w="111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1197</w:t>
            </w:r>
          </w:p>
        </w:tc>
        <w:tc>
          <w:tcPr>
            <w:tcW w:w="1457"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118</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Sex</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Male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Female</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870 (72.7)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327 (27.3)</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80 (68)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38 (32)</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Age (years)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Median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Range</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1.2 – 19 </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1.2 – 17.9</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Risk and stage at diagnosis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Low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IA</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IIA</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Intermediate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IIIA</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High risk</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IIIB</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IVA</w:t>
            </w:r>
          </w:p>
          <w:p w:rsidR="00E24DD0" w:rsidRPr="007245F9" w:rsidRDefault="00E24DD0" w:rsidP="00185ADB">
            <w:pPr>
              <w:numPr>
                <w:ilvl w:val="0"/>
                <w:numId w:val="6"/>
              </w:numPr>
              <w:autoSpaceDE w:val="0"/>
              <w:autoSpaceDN w:val="0"/>
              <w:adjustRightInd w:val="0"/>
              <w:snapToGrid w:val="0"/>
              <w:ind w:left="0" w:firstLine="0"/>
              <w:contextualSpacing/>
              <w:jc w:val="both"/>
              <w:rPr>
                <w:rFonts w:ascii="Times New Roman" w:eastAsia="Calibri" w:hAnsi="Times New Roman" w:cs="Times New Roman"/>
                <w:b/>
                <w:bCs/>
                <w:sz w:val="20"/>
                <w:szCs w:val="20"/>
              </w:rPr>
            </w:pPr>
            <w:r w:rsidRPr="007245F9">
              <w:rPr>
                <w:rFonts w:ascii="Times New Roman" w:eastAsia="Calibri" w:hAnsi="Times New Roman" w:cs="Times New Roman"/>
                <w:sz w:val="20"/>
                <w:szCs w:val="20"/>
              </w:rPr>
              <w:t>IVB</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180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388 (32.4)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sz w:val="20"/>
                <w:szCs w:val="20"/>
              </w:rPr>
              <w:t>18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105 (8.8)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151 (12.6)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146 (12.2)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92 (7.7)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117 (9.8)</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 (5)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17 (14.5)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 (0.8)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7 (6)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13 (11)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26 (22)</w:t>
            </w:r>
          </w:p>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sz w:val="20"/>
                <w:szCs w:val="20"/>
              </w:rPr>
              <w:t>18 (15.2)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30 (25.5)</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Radiation therapy</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Unknown </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961 (80.3)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234 (19.6)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(0.1)</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63 (53.5)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53 (45)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(1.5)</w:t>
            </w:r>
          </w:p>
        </w:tc>
      </w:tr>
      <w:tr w:rsidR="00E24DD0" w:rsidRPr="007245F9" w:rsidTr="00C16177">
        <w:trPr>
          <w:jc w:val="center"/>
        </w:trPr>
        <w:tc>
          <w:tcPr>
            <w:tcW w:w="243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Histology</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Nodular sclerosis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Mixed </w:t>
            </w:r>
            <w:proofErr w:type="spellStart"/>
            <w:r w:rsidRPr="007245F9">
              <w:rPr>
                <w:rFonts w:ascii="Times New Roman" w:eastAsia="Calibri" w:hAnsi="Times New Roman" w:cs="Times New Roman"/>
                <w:sz w:val="20"/>
                <w:szCs w:val="20"/>
              </w:rPr>
              <w:t>cellularity</w:t>
            </w:r>
            <w:proofErr w:type="spellEnd"/>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Lymphocyte rich</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Lymphocyte depletion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Nodular lymphocyte predominance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proofErr w:type="spellStart"/>
            <w:r w:rsidRPr="007245F9">
              <w:rPr>
                <w:rFonts w:ascii="Times New Roman" w:eastAsia="Calibri" w:hAnsi="Times New Roman" w:cs="Times New Roman" w:hint="cs"/>
                <w:sz w:val="20"/>
                <w:szCs w:val="20"/>
              </w:rPr>
              <w:t>Interfollicular</w:t>
            </w:r>
            <w:proofErr w:type="spellEnd"/>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hint="cs"/>
                <w:sz w:val="20"/>
                <w:szCs w:val="20"/>
              </w:rPr>
              <w:t>NOS</w:t>
            </w:r>
          </w:p>
        </w:tc>
        <w:tc>
          <w:tcPr>
            <w:tcW w:w="1111"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632 (52)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446 (37)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28 (2.3)</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 (1)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48 (4)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 (1.2)</w:t>
            </w:r>
          </w:p>
        </w:tc>
        <w:tc>
          <w:tcPr>
            <w:tcW w:w="1457"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58 (50)</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33 (28)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 (4)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 (2.5)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14 (11.5)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 (1.5)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 (2.5)</w:t>
            </w:r>
          </w:p>
        </w:tc>
      </w:tr>
    </w:tbl>
    <w:p w:rsidR="00C16177" w:rsidRPr="007245F9" w:rsidRDefault="00C16177" w:rsidP="00185ADB">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7245F9" w:rsidRDefault="007245F9" w:rsidP="00185AD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7245F9" w:rsidRDefault="007245F9" w:rsidP="00185AD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b/>
          <w:bCs/>
          <w:sz w:val="20"/>
          <w:szCs w:val="20"/>
        </w:rPr>
        <w:t>Table (2): Comparison of characteristics of patients whose relapse were detected by radiological surveillance and those relapsed clinically</w:t>
      </w:r>
    </w:p>
    <w:tbl>
      <w:tblPr>
        <w:tblStyle w:val="TableGrid2"/>
        <w:tblW w:w="5000" w:type="pct"/>
        <w:jc w:val="center"/>
        <w:tblCellMar>
          <w:left w:w="57" w:type="dxa"/>
          <w:right w:w="57" w:type="dxa"/>
        </w:tblCellMar>
        <w:tblLook w:val="04A0"/>
      </w:tblPr>
      <w:tblGrid>
        <w:gridCol w:w="3951"/>
        <w:gridCol w:w="2558"/>
        <w:gridCol w:w="1944"/>
        <w:gridCol w:w="1021"/>
      </w:tblGrid>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p>
        </w:tc>
        <w:tc>
          <w:tcPr>
            <w:tcW w:w="1350"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Radiological Relapse</w:t>
            </w:r>
          </w:p>
        </w:tc>
        <w:tc>
          <w:tcPr>
            <w:tcW w:w="1026" w:type="pct"/>
            <w:tcBorders>
              <w:top w:val="single" w:sz="4" w:space="0" w:color="auto"/>
              <w:left w:val="single" w:sz="4" w:space="0" w:color="auto"/>
              <w:bottom w:val="single" w:sz="4" w:space="0" w:color="auto"/>
              <w:right w:val="single" w:sz="4" w:space="0" w:color="auto"/>
            </w:tcBorders>
            <w:vAlign w:val="center"/>
            <w:hideMark/>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Clinical relapse</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P-value</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Number</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42</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76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Sex</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Male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Female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15</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0.69</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Age (years)</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Median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Range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4.6 – 17.4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1.2 – 17.9 </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0.841</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Initial risk stratification</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Low</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Intermediate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High </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33</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19</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17</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0.026</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Radiation therapy before relapse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Given</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given</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46</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30</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0.126</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PET-CT at time of relapse</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Positive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 xml:space="preserve">Negative </w:t>
            </w:r>
          </w:p>
          <w:p w:rsidR="00E24DD0" w:rsidRPr="007245F9" w:rsidRDefault="00E24DD0" w:rsidP="00185ADB">
            <w:pPr>
              <w:numPr>
                <w:ilvl w:val="0"/>
                <w:numId w:val="5"/>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Not done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10</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68</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6</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0.09</w:t>
            </w:r>
          </w:p>
        </w:tc>
      </w:tr>
      <w:tr w:rsidR="00E24DD0" w:rsidRPr="007245F9" w:rsidTr="00C16177">
        <w:trPr>
          <w:jc w:val="center"/>
        </w:trPr>
        <w:tc>
          <w:tcPr>
            <w:tcW w:w="2085"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Stage at relapse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Early stage</w:t>
            </w:r>
          </w:p>
          <w:p w:rsidR="00E24DD0" w:rsidRPr="007245F9" w:rsidRDefault="00E24DD0" w:rsidP="00185ADB">
            <w:pPr>
              <w:numPr>
                <w:ilvl w:val="0"/>
                <w:numId w:val="7"/>
              </w:numPr>
              <w:autoSpaceDE w:val="0"/>
              <w:autoSpaceDN w:val="0"/>
              <w:adjustRightInd w:val="0"/>
              <w:snapToGrid w:val="0"/>
              <w:ind w:left="0" w:firstLine="0"/>
              <w:contextualSpacing/>
              <w:jc w:val="both"/>
              <w:rPr>
                <w:rFonts w:ascii="Times New Roman" w:eastAsia="Calibri" w:hAnsi="Times New Roman" w:cs="Times New Roman"/>
                <w:sz w:val="20"/>
                <w:szCs w:val="20"/>
              </w:rPr>
            </w:pPr>
            <w:r w:rsidRPr="007245F9">
              <w:rPr>
                <w:rFonts w:ascii="Times New Roman" w:eastAsia="Calibri" w:hAnsi="Times New Roman" w:cs="Times New Roman"/>
                <w:sz w:val="20"/>
                <w:szCs w:val="20"/>
              </w:rPr>
              <w:t>Advanced stage</w:t>
            </w:r>
          </w:p>
        </w:tc>
        <w:tc>
          <w:tcPr>
            <w:tcW w:w="135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11</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31</w:t>
            </w:r>
          </w:p>
        </w:tc>
        <w:tc>
          <w:tcPr>
            <w:tcW w:w="1026"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24</w:t>
            </w:r>
          </w:p>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52</w:t>
            </w:r>
          </w:p>
        </w:tc>
        <w:tc>
          <w:tcPr>
            <w:tcW w:w="540" w:type="pct"/>
            <w:tcBorders>
              <w:top w:val="single" w:sz="4" w:space="0" w:color="auto"/>
              <w:left w:val="single" w:sz="4" w:space="0" w:color="auto"/>
              <w:bottom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0.677</w:t>
            </w:r>
          </w:p>
        </w:tc>
      </w:tr>
      <w:tr w:rsidR="00E24DD0" w:rsidRPr="007245F9" w:rsidTr="00C16177">
        <w:trPr>
          <w:jc w:val="center"/>
        </w:trPr>
        <w:tc>
          <w:tcPr>
            <w:tcW w:w="2085"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b/>
                <w:bCs/>
                <w:sz w:val="20"/>
                <w:szCs w:val="20"/>
              </w:rPr>
            </w:pPr>
            <w:r w:rsidRPr="007245F9">
              <w:rPr>
                <w:rFonts w:ascii="Times New Roman" w:hAnsi="Times New Roman" w:cs="Times New Roman"/>
                <w:b/>
                <w:bCs/>
                <w:sz w:val="20"/>
                <w:szCs w:val="20"/>
              </w:rPr>
              <w:t>5-year OS (%)</w:t>
            </w:r>
          </w:p>
        </w:tc>
        <w:tc>
          <w:tcPr>
            <w:tcW w:w="1350"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 xml:space="preserve">75.4 </w:t>
            </w:r>
          </w:p>
        </w:tc>
        <w:tc>
          <w:tcPr>
            <w:tcW w:w="1026"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85</w:t>
            </w:r>
          </w:p>
        </w:tc>
        <w:tc>
          <w:tcPr>
            <w:tcW w:w="540" w:type="pct"/>
            <w:tcBorders>
              <w:top w:val="single" w:sz="4" w:space="0" w:color="auto"/>
              <w:left w:val="single" w:sz="4" w:space="0" w:color="auto"/>
              <w:right w:val="single" w:sz="4" w:space="0" w:color="auto"/>
            </w:tcBorders>
            <w:vAlign w:val="center"/>
          </w:tcPr>
          <w:p w:rsidR="00E24DD0" w:rsidRPr="007245F9" w:rsidRDefault="00E24DD0" w:rsidP="00185ADB">
            <w:pPr>
              <w:autoSpaceDE w:val="0"/>
              <w:autoSpaceDN w:val="0"/>
              <w:adjustRightInd w:val="0"/>
              <w:snapToGrid w:val="0"/>
              <w:jc w:val="both"/>
              <w:rPr>
                <w:rFonts w:ascii="Times New Roman" w:hAnsi="Times New Roman" w:cs="Times New Roman"/>
                <w:sz w:val="20"/>
                <w:szCs w:val="20"/>
              </w:rPr>
            </w:pPr>
            <w:r w:rsidRPr="007245F9">
              <w:rPr>
                <w:rFonts w:ascii="Times New Roman" w:hAnsi="Times New Roman" w:cs="Times New Roman"/>
                <w:sz w:val="20"/>
                <w:szCs w:val="20"/>
              </w:rPr>
              <w:t>0.011</w:t>
            </w:r>
          </w:p>
        </w:tc>
      </w:tr>
    </w:tbl>
    <w:p w:rsidR="00A04578" w:rsidRDefault="00A04578" w:rsidP="00185AD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7245F9" w:rsidRPr="007245F9" w:rsidRDefault="007245F9" w:rsidP="00185ADB">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185ADB" w:rsidRPr="007245F9" w:rsidRDefault="00185ADB" w:rsidP="00185ADB">
      <w:pPr>
        <w:autoSpaceDE w:val="0"/>
        <w:autoSpaceDN w:val="0"/>
        <w:adjustRightInd w:val="0"/>
        <w:snapToGrid w:val="0"/>
        <w:spacing w:after="0" w:line="240" w:lineRule="auto"/>
        <w:jc w:val="center"/>
        <w:rPr>
          <w:rFonts w:ascii="Times New Roman" w:hAnsi="Times New Roman" w:cs="Times New Roman"/>
          <w:sz w:val="20"/>
          <w:szCs w:val="20"/>
        </w:rPr>
        <w:sectPr w:rsidR="00185ADB" w:rsidRPr="007245F9" w:rsidSect="00C16177">
          <w:type w:val="continuous"/>
          <w:pgSz w:w="12240" w:h="15840"/>
          <w:pgMar w:top="1440" w:right="1440" w:bottom="1440" w:left="1440" w:header="720" w:footer="720" w:gutter="0"/>
          <w:cols w:space="720"/>
          <w:docGrid w:linePitch="360"/>
        </w:sectPr>
      </w:pPr>
    </w:p>
    <w:p w:rsidR="00E24DD0" w:rsidRPr="007245F9" w:rsidRDefault="00E24DD0" w:rsidP="00185ADB">
      <w:pPr>
        <w:autoSpaceDE w:val="0"/>
        <w:autoSpaceDN w:val="0"/>
        <w:adjustRightInd w:val="0"/>
        <w:snapToGrid w:val="0"/>
        <w:spacing w:after="0" w:line="240" w:lineRule="auto"/>
        <w:jc w:val="center"/>
        <w:rPr>
          <w:rFonts w:ascii="Times New Roman" w:hAnsi="Times New Roman" w:cs="Times New Roman"/>
          <w:sz w:val="20"/>
          <w:szCs w:val="20"/>
        </w:rPr>
      </w:pPr>
      <w:r w:rsidRPr="007245F9">
        <w:rPr>
          <w:rFonts w:ascii="Times New Roman" w:hAnsi="Times New Roman" w:cs="Times New Roman"/>
          <w:noProof/>
          <w:sz w:val="20"/>
          <w:szCs w:val="20"/>
          <w:lang w:eastAsia="zh-CN"/>
        </w:rPr>
        <w:lastRenderedPageBreak/>
        <w:drawing>
          <wp:inline distT="0" distB="0" distL="0" distR="0">
            <wp:extent cx="2753023" cy="2204113"/>
            <wp:effectExtent l="19050" t="0" r="922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508" cy="2205302"/>
                    </a:xfrm>
                    <a:prstGeom prst="rect">
                      <a:avLst/>
                    </a:prstGeom>
                    <a:noFill/>
                  </pic:spPr>
                </pic:pic>
              </a:graphicData>
            </a:graphic>
          </wp:inline>
        </w:drawing>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sz w:val="20"/>
          <w:szCs w:val="20"/>
        </w:rPr>
      </w:pPr>
      <w:r w:rsidRPr="007245F9">
        <w:rPr>
          <w:rFonts w:ascii="Times New Roman" w:hAnsi="Times New Roman" w:cs="Times New Roman"/>
          <w:sz w:val="20"/>
          <w:szCs w:val="20"/>
        </w:rPr>
        <w:t>Figure (2): 5 year OS for relapse detected by radiological surveillance versus clinical findings</w:t>
      </w:r>
    </w:p>
    <w:p w:rsidR="00E24DD0" w:rsidRPr="007245F9" w:rsidRDefault="00E24DD0" w:rsidP="00185ADB">
      <w:pPr>
        <w:snapToGrid w:val="0"/>
        <w:spacing w:after="0" w:line="240" w:lineRule="auto"/>
        <w:jc w:val="both"/>
        <w:rPr>
          <w:rFonts w:ascii="Times New Roman" w:hAnsi="Times New Roman" w:cs="Times New Roman"/>
          <w:b/>
          <w:bCs/>
          <w:sz w:val="20"/>
          <w:szCs w:val="20"/>
        </w:rPr>
      </w:pPr>
    </w:p>
    <w:p w:rsidR="00E24DD0" w:rsidRPr="007245F9" w:rsidRDefault="00E24DD0" w:rsidP="00185ADB">
      <w:pPr>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4. Discussion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 xml:space="preserve">Our study focused specifically on the relapse of pediatric patients with HL treated with combined modality treatment ABVD ± involved field radiotherapy (RT) and we investigated the role of routine surveillance imaging in early detection of relapse. Our aim was to explore the feasibility of reducing or eliminating the toxicity of radiation </w:t>
      </w:r>
      <w:r w:rsidRPr="007245F9">
        <w:rPr>
          <w:rFonts w:ascii="Times New Roman" w:hAnsi="Times New Roman" w:cs="Times New Roman"/>
          <w:sz w:val="20"/>
          <w:szCs w:val="20"/>
        </w:rPr>
        <w:lastRenderedPageBreak/>
        <w:t>exposure form frequent routine imaging studies, In addition, to reduce the costs from unnecessary images. The latest National Comprehensive Cancer Network (NCCN) guidance recommends that follow-up imaging should focus on sites of initial involvement in addition to general surveillance of the chest and abdomen every 6 months for 2–5 or 2–3 years, respectively</w:t>
      </w:r>
      <w:r w:rsidRPr="007245F9">
        <w:rPr>
          <w:rFonts w:ascii="Times New Roman" w:hAnsi="Times New Roman" w:cs="Times New Roman"/>
          <w:sz w:val="20"/>
          <w:szCs w:val="20"/>
          <w:vertAlign w:val="superscript"/>
        </w:rPr>
        <w:t>5</w:t>
      </w:r>
      <w:r w:rsidRPr="007245F9">
        <w:rPr>
          <w:rFonts w:ascii="Times New Roman" w:hAnsi="Times New Roman" w:cs="Times New Roman"/>
          <w:sz w:val="20"/>
          <w:szCs w:val="20"/>
        </w:rPr>
        <w:t>. This is despite evidence to suggest that surveillance imaging may be of limited value two years after end of treatment, Moreover, if relapse does occur, it is often identified clinically by the patient or physician</w:t>
      </w:r>
      <w:r w:rsidRPr="007245F9">
        <w:rPr>
          <w:rStyle w:val="A3"/>
          <w:rFonts w:ascii="Times New Roman" w:hAnsi="Times New Roman" w:cs="Times New Roman"/>
          <w:color w:val="auto"/>
          <w:sz w:val="20"/>
          <w:szCs w:val="20"/>
        </w:rPr>
        <w:t xml:space="preserve">, </w:t>
      </w:r>
      <w:r w:rsidRPr="007245F9">
        <w:rPr>
          <w:rFonts w:ascii="Times New Roman" w:hAnsi="Times New Roman" w:cs="Times New Roman"/>
          <w:sz w:val="20"/>
          <w:szCs w:val="20"/>
        </w:rPr>
        <w:t xml:space="preserve">rather than imaging, with an argument that there is no benefit of radiological evaluation in asymptomatic patients </w:t>
      </w:r>
      <w:r w:rsidRPr="007245F9">
        <w:rPr>
          <w:rStyle w:val="A3"/>
          <w:rFonts w:ascii="Times New Roman" w:hAnsi="Times New Roman" w:cs="Times New Roman"/>
          <w:color w:val="auto"/>
          <w:sz w:val="20"/>
          <w:szCs w:val="20"/>
          <w:vertAlign w:val="superscript"/>
        </w:rPr>
        <w:t xml:space="preserve">9, </w:t>
      </w:r>
      <w:r w:rsidRPr="007245F9">
        <w:rPr>
          <w:rFonts w:ascii="Times New Roman" w:hAnsi="Times New Roman" w:cs="Times New Roman"/>
          <w:sz w:val="20"/>
          <w:szCs w:val="20"/>
          <w:vertAlign w:val="superscript"/>
        </w:rPr>
        <w:t>10</w:t>
      </w:r>
      <w:r w:rsidRPr="007245F9">
        <w:rPr>
          <w:rFonts w:ascii="Times New Roman" w:hAnsi="Times New Roman" w:cs="Times New Roman"/>
          <w:sz w:val="20"/>
          <w:szCs w:val="20"/>
        </w:rPr>
        <w:t>. This is acknowledged in European guidance that advocates the use of history taking, physical examination and blood work to supplant the use of imaging for routine follow-up unless suspi</w:t>
      </w:r>
      <w:r w:rsidRPr="007245F9">
        <w:rPr>
          <w:rFonts w:ascii="Times New Roman" w:hAnsi="Times New Roman" w:cs="Times New Roman"/>
          <w:sz w:val="20"/>
          <w:szCs w:val="20"/>
        </w:rPr>
        <w:softHyphen/>
        <w:t xml:space="preserve">cious clinical symptoms occur </w:t>
      </w:r>
      <w:r w:rsidRPr="007245F9">
        <w:rPr>
          <w:rFonts w:ascii="Times New Roman" w:hAnsi="Times New Roman" w:cs="Times New Roman"/>
          <w:sz w:val="20"/>
          <w:szCs w:val="20"/>
          <w:vertAlign w:val="superscript"/>
        </w:rPr>
        <w:t>11</w:t>
      </w:r>
      <w:r w:rsidR="00185ADB" w:rsidRPr="007245F9">
        <w:rPr>
          <w:rFonts w:ascii="Times New Roman" w:hAnsi="Times New Roman" w:cs="Times New Roman"/>
          <w:sz w:val="20"/>
          <w:szCs w:val="20"/>
        </w:rPr>
        <w:t>. T</w:t>
      </w:r>
      <w:r w:rsidRPr="007245F9">
        <w:rPr>
          <w:rFonts w:ascii="Times New Roman" w:hAnsi="Times New Roman" w:cs="Times New Roman"/>
          <w:sz w:val="20"/>
          <w:szCs w:val="20"/>
        </w:rPr>
        <w:t xml:space="preserve">his was in agreement with our study as we found that the majority of the patients 76(65%) had recurrence detected clinically due to changes in clinical symptoms or physical findings and 42patients (35%) were asymptomatic at the time of relapse and had their recurrence detected by routine imaging. The 5 year OS for relapsed patients detected by radiological surveillance and by clinical assessment was 75.4%, and 85% respectively with P value0.011%, and deaths </w:t>
      </w:r>
      <w:r w:rsidRPr="007245F9">
        <w:rPr>
          <w:rFonts w:ascii="Times New Roman" w:hAnsi="Times New Roman" w:cs="Times New Roman"/>
          <w:sz w:val="20"/>
          <w:szCs w:val="20"/>
        </w:rPr>
        <w:lastRenderedPageBreak/>
        <w:t xml:space="preserve">as a result of the recurrent disease occurred in 20 patients whose relapse detected </w:t>
      </w:r>
      <w:proofErr w:type="spellStart"/>
      <w:r w:rsidRPr="007245F9">
        <w:rPr>
          <w:rFonts w:ascii="Times New Roman" w:hAnsi="Times New Roman" w:cs="Times New Roman"/>
          <w:sz w:val="20"/>
          <w:szCs w:val="20"/>
        </w:rPr>
        <w:t>radiologically</w:t>
      </w:r>
      <w:proofErr w:type="spellEnd"/>
      <w:r w:rsidRPr="007245F9">
        <w:rPr>
          <w:rFonts w:ascii="Times New Roman" w:hAnsi="Times New Roman" w:cs="Times New Roman"/>
          <w:sz w:val="20"/>
          <w:szCs w:val="20"/>
        </w:rPr>
        <w:t xml:space="preserve"> and in 17 patients whose relapse were detected clinically, there was</w:t>
      </w:r>
      <w:r w:rsid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no impact from radiological surveillance in the outcome of relapsed patients and the survival outcome was not affected by the mode of detection of relapse. Torrey et al., 1997did a study to investigate how relapse was detected in adult patients with HL treated with RT alone and focused on</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the method for detection of relapse in an earlier stage as well as examined the costs of various tests</w:t>
      </w:r>
      <w:r w:rsidRPr="007245F9">
        <w:rPr>
          <w:rFonts w:ascii="Times New Roman" w:hAnsi="Times New Roman" w:cs="Times New Roman"/>
          <w:sz w:val="20"/>
          <w:szCs w:val="20"/>
          <w:vertAlign w:val="superscript"/>
        </w:rPr>
        <w:t>12</w:t>
      </w:r>
      <w:r w:rsidRPr="007245F9">
        <w:rPr>
          <w:rFonts w:ascii="Times New Roman" w:hAnsi="Times New Roman" w:cs="Times New Roman"/>
          <w:sz w:val="20"/>
          <w:szCs w:val="20"/>
        </w:rPr>
        <w:t xml:space="preserve">. </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They reported that good history taking combined with physical examination gave the highest rate for relapse detection and considered more cost-effective than surveillance imaging and labs</w:t>
      </w:r>
      <w:r w:rsidRPr="007245F9">
        <w:rPr>
          <w:rFonts w:ascii="Times New Roman" w:hAnsi="Times New Roman" w:cs="Times New Roman"/>
          <w:sz w:val="20"/>
          <w:szCs w:val="20"/>
          <w:vertAlign w:val="superscript"/>
        </w:rPr>
        <w:t>12</w:t>
      </w:r>
      <w:r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Friedmann</w:t>
      </w:r>
      <w:proofErr w:type="spellEnd"/>
      <w:r w:rsidRPr="007245F9">
        <w:rPr>
          <w:rFonts w:ascii="Times New Roman" w:hAnsi="Times New Roman" w:cs="Times New Roman"/>
          <w:sz w:val="20"/>
          <w:szCs w:val="20"/>
        </w:rPr>
        <w:t xml:space="preserve"> et al., 2013 reported that there is no evidence that earlier relapse detection occurs with surveillance imaging and the percentage of patients with advanced stage at time of relapse (stages III or IV disease) did not differ for patients whose relapse was detected by routine surveillance compared to those detected clinically (55% advanced stage disease for recurrence detected by image versus 48% advanced stage for recurrence detected clinically)</w:t>
      </w:r>
      <w:r w:rsidRPr="007245F9">
        <w:rPr>
          <w:rFonts w:ascii="Times New Roman" w:hAnsi="Times New Roman" w:cs="Times New Roman"/>
          <w:sz w:val="20"/>
          <w:szCs w:val="20"/>
          <w:vertAlign w:val="superscript"/>
        </w:rPr>
        <w:t xml:space="preserve"> 13</w:t>
      </w:r>
      <w:r w:rsidRPr="007245F9">
        <w:rPr>
          <w:rFonts w:ascii="Times New Roman" w:hAnsi="Times New Roman" w:cs="Times New Roman"/>
          <w:sz w:val="20"/>
          <w:szCs w:val="20"/>
        </w:rPr>
        <w:t>. In our study, early disease stage at relapse was observed in 11/42 (26%) patients whose relapses were detected by routine surveillance as compared to 24/76(31%) patients whose relapses were detected based on symptoms. Advanced stage at relapse was observed in (74% versus 69%, respectively), which is considered non-significant percentage. Voss et al., 2012 examined how relapse was detected in 25 pediatric patients with intermediated and advanced-stage HL. Relapse was detected in 76% of the patients due to changes in clinical symptoms, physical examination, or laboratory tests. Relapse was detected by surveillance imaging only in two patients (8%) within the first year after the end of treatment, and four (16%) after the first year off-treatment. The authors recommended that the use of routine surveillance CT scans should be limited to the first year after the end of therapy. Their ability to detect an impact of routine surveillance imaging on overall survival was limited due to the smaller sample size</w:t>
      </w:r>
      <w:r w:rsidRPr="007245F9">
        <w:rPr>
          <w:rFonts w:ascii="Times New Roman" w:hAnsi="Times New Roman" w:cs="Times New Roman"/>
          <w:sz w:val="20"/>
          <w:szCs w:val="20"/>
          <w:vertAlign w:val="superscript"/>
        </w:rPr>
        <w:t>14</w:t>
      </w:r>
      <w:r w:rsidRPr="007245F9">
        <w:rPr>
          <w:rFonts w:ascii="Times New Roman" w:hAnsi="Times New Roman" w:cs="Times New Roman"/>
          <w:sz w:val="20"/>
          <w:szCs w:val="20"/>
        </w:rPr>
        <w:t xml:space="preserve">. This was in agreement with our results as most of our relapses occurred in the first 2 years 65% (76 /118), 52 patients developed relapse in the first year and 24 in the second year. Routine surveillance imaging performed within the first year after the end of treatment detected recurrence in only 19 patients and within two years detected relapses in only 11 patients who did not have any clinical findings lead to suspicion for relapse. This results may give limited value for routine images in the first 1-2 years after of end of treatment which is supported by other studies reported that most relapses occur within the first two years after end of treatment and periodic surveillance </w:t>
      </w:r>
      <w:r w:rsidRPr="007245F9">
        <w:rPr>
          <w:rFonts w:ascii="Times New Roman" w:hAnsi="Times New Roman" w:cs="Times New Roman"/>
          <w:sz w:val="20"/>
          <w:szCs w:val="20"/>
        </w:rPr>
        <w:lastRenderedPageBreak/>
        <w:t>imaging performed after the first year of end of treatment detected relapses in few numbers of the patients</w:t>
      </w:r>
      <w:r w:rsidRPr="007245F9">
        <w:rPr>
          <w:rFonts w:ascii="Times New Roman" w:hAnsi="Times New Roman" w:cs="Times New Roman"/>
          <w:sz w:val="20"/>
          <w:szCs w:val="20"/>
          <w:vertAlign w:val="superscript"/>
        </w:rPr>
        <w:t>15, 16</w:t>
      </w:r>
      <w:r w:rsidR="00185ADB" w:rsidRPr="007245F9">
        <w:rPr>
          <w:rFonts w:ascii="Times New Roman" w:hAnsi="Times New Roman" w:cs="Times New Roman"/>
          <w:sz w:val="20"/>
          <w:szCs w:val="20"/>
        </w:rPr>
        <w:t>. C</w:t>
      </w:r>
      <w:r w:rsidRPr="007245F9">
        <w:rPr>
          <w:rFonts w:ascii="Times New Roman" w:hAnsi="Times New Roman" w:cs="Times New Roman"/>
          <w:sz w:val="20"/>
          <w:szCs w:val="20"/>
        </w:rPr>
        <w:t>urrent protocol of 1196 patients required a total 6-7 off-therapy CT scans and 6-7plain X-</w:t>
      </w:r>
      <w:proofErr w:type="spellStart"/>
      <w:r w:rsidRPr="007245F9">
        <w:rPr>
          <w:rFonts w:ascii="Times New Roman" w:hAnsi="Times New Roman" w:cs="Times New Roman"/>
          <w:sz w:val="20"/>
          <w:szCs w:val="20"/>
        </w:rPr>
        <w:t>rayper</w:t>
      </w:r>
      <w:proofErr w:type="spellEnd"/>
      <w:r w:rsidRPr="007245F9">
        <w:rPr>
          <w:rFonts w:ascii="Times New Roman" w:hAnsi="Times New Roman" w:cs="Times New Roman"/>
          <w:sz w:val="20"/>
          <w:szCs w:val="20"/>
        </w:rPr>
        <w:t xml:space="preserve"> patient with at least five CT scans and five plain X-ray after first year. Therefore, approximately 5,985 CT scans and plain X-ray were obtained to detect 19 asymptomatic relapses after the first year of completing treatment, and approximately 4,788CT scans and plain X-ray were obtained to detect 11 asymptomatic relapses after 2</w:t>
      </w:r>
      <w:r w:rsidRPr="007245F9">
        <w:rPr>
          <w:rFonts w:ascii="Times New Roman" w:hAnsi="Times New Roman" w:cs="Times New Roman"/>
          <w:sz w:val="20"/>
          <w:szCs w:val="20"/>
          <w:vertAlign w:val="superscript"/>
        </w:rPr>
        <w:t>nd</w:t>
      </w:r>
      <w:r w:rsidR="007245F9" w:rsidRPr="007245F9">
        <w:rPr>
          <w:rFonts w:ascii="Times New Roman" w:hAnsi="Times New Roman" w:cs="Times New Roman" w:hint="eastAsia"/>
          <w:sz w:val="20"/>
          <w:szCs w:val="20"/>
          <w:vertAlign w:val="superscript"/>
          <w:lang w:eastAsia="zh-CN"/>
        </w:rPr>
        <w:t xml:space="preserve"> </w:t>
      </w:r>
      <w:r w:rsidRPr="007245F9">
        <w:rPr>
          <w:rFonts w:ascii="Times New Roman" w:hAnsi="Times New Roman" w:cs="Times New Roman"/>
          <w:sz w:val="20"/>
          <w:szCs w:val="20"/>
        </w:rPr>
        <w:t>year of completing treatment. So those huge numbers of CT scans and plain X-ray are being performed after 1 year off-therapy to detect what we anticipate will be a small number of late relapses. Beyond one year off-treatment we found 19 patients whose relapse were detected by routine surveillance in which, deaths occurred in 7 patients (37%) and 47 patients whose relapses detected clinically with deaths occurred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 10 patients (21%), Furthermore, as we showed</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the use of 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 xml:space="preserve">surveillance imaging to detect asymptomatic late relapses did not have any impact on OS. In our opinion, this approach needs reconsideration because most of our patients who developed relapse can be successfully treated with salvage therapy with no survival benefit for patients who experience relapse by radiological surveillance beyond one-year off-treatment. In addition the risk of radiation exposure, increased incidences of second malignancies and other late effects. Modification of surveillance protocols in the pediatric HL population has also been recommended on the back of two recent studies that warned of over-scanning based on routine surveillance and detection rate </w:t>
      </w:r>
      <w:r w:rsidRPr="007245F9">
        <w:rPr>
          <w:rStyle w:val="A3"/>
          <w:rFonts w:ascii="Times New Roman" w:hAnsi="Times New Roman" w:cs="Times New Roman"/>
          <w:color w:val="auto"/>
          <w:sz w:val="20"/>
          <w:szCs w:val="20"/>
          <w:vertAlign w:val="superscript"/>
        </w:rPr>
        <w:t>14,17</w:t>
      </w:r>
      <w:r w:rsidRPr="007245F9">
        <w:rPr>
          <w:rFonts w:ascii="Times New Roman" w:hAnsi="Times New Roman" w:cs="Times New Roman"/>
          <w:sz w:val="20"/>
          <w:szCs w:val="20"/>
        </w:rPr>
        <w:t>. The reassurance of a negative scan can also not be underestimated. However, its value is transient. Conversely, abnor</w:t>
      </w:r>
      <w:r w:rsidRPr="007245F9">
        <w:rPr>
          <w:rFonts w:ascii="Times New Roman" w:hAnsi="Times New Roman" w:cs="Times New Roman"/>
          <w:sz w:val="20"/>
          <w:szCs w:val="20"/>
        </w:rPr>
        <w:softHyphen/>
        <w:t xml:space="preserve">malities identified with CT can also be equivocal and misrepresentative of relapse, thereby providing a radiologic conundrum as some patients may experience reactive </w:t>
      </w:r>
      <w:proofErr w:type="spellStart"/>
      <w:r w:rsidRPr="007245F9">
        <w:rPr>
          <w:rFonts w:ascii="Times New Roman" w:hAnsi="Times New Roman" w:cs="Times New Roman"/>
          <w:sz w:val="20"/>
          <w:szCs w:val="20"/>
        </w:rPr>
        <w:t>lymphadenopathy</w:t>
      </w:r>
      <w:proofErr w:type="spellEnd"/>
      <w:r w:rsidRPr="007245F9">
        <w:rPr>
          <w:rFonts w:ascii="Times New Roman" w:hAnsi="Times New Roman" w:cs="Times New Roman"/>
          <w:sz w:val="20"/>
          <w:szCs w:val="20"/>
        </w:rPr>
        <w:t xml:space="preserve"> with a routine illness, or to develop </w:t>
      </w:r>
      <w:proofErr w:type="spellStart"/>
      <w:r w:rsidRPr="007245F9">
        <w:rPr>
          <w:rFonts w:ascii="Times New Roman" w:hAnsi="Times New Roman" w:cs="Times New Roman"/>
          <w:sz w:val="20"/>
          <w:szCs w:val="20"/>
        </w:rPr>
        <w:t>thymic</w:t>
      </w:r>
      <w:proofErr w:type="spellEnd"/>
      <w:r w:rsidRPr="007245F9">
        <w:rPr>
          <w:rFonts w:ascii="Times New Roman" w:hAnsi="Times New Roman" w:cs="Times New Roman"/>
          <w:sz w:val="20"/>
          <w:szCs w:val="20"/>
        </w:rPr>
        <w:t xml:space="preserve"> rebound or </w:t>
      </w:r>
      <w:proofErr w:type="spellStart"/>
      <w:r w:rsidRPr="007245F9">
        <w:rPr>
          <w:rFonts w:ascii="Times New Roman" w:hAnsi="Times New Roman" w:cs="Times New Roman"/>
          <w:sz w:val="20"/>
          <w:szCs w:val="20"/>
        </w:rPr>
        <w:t>sarcoidosis</w:t>
      </w:r>
      <w:proofErr w:type="spellEnd"/>
      <w:r w:rsidRPr="007245F9">
        <w:rPr>
          <w:rFonts w:ascii="Times New Roman" w:hAnsi="Times New Roman" w:cs="Times New Roman"/>
          <w:sz w:val="20"/>
          <w:szCs w:val="20"/>
        </w:rPr>
        <w:t xml:space="preserve"> after treatment and feel oth</w:t>
      </w:r>
      <w:r w:rsidRPr="007245F9">
        <w:rPr>
          <w:rFonts w:ascii="Times New Roman" w:hAnsi="Times New Roman" w:cs="Times New Roman"/>
          <w:sz w:val="20"/>
          <w:szCs w:val="20"/>
        </w:rPr>
        <w:softHyphen/>
        <w:t xml:space="preserve">erwise well. However, in the context of lymphoma, radiologists and oncologists can be forgiven for sometimes pursuing further, sometimes invasive, tests to definitively rule out relapse. </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The new response based treatment protocols for pediatric patients with HL were designed according to the early response to chemotherapy, as a mean to stratifying or identifying patients with high sensitivity to chemotherapy and low-risk disease in whom treatment could be de-escalated or reduced. Extending this approach to surveillance imaging after the end of treatment, patients with early rapid response, higher sensitivity to chemotherapy and a lower risk for relapse may require much less follow up imaging.</w:t>
      </w:r>
    </w:p>
    <w:p w:rsidR="00E24DD0" w:rsidRPr="007245F9" w:rsidRDefault="00E24DD0" w:rsidP="00185ADB">
      <w:pPr>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lastRenderedPageBreak/>
        <w:t>Slow early responders to therapy or high-risk patients, in contrast, may benefit from more intensive surveillance early on, with a reduction in imaging as the risk of relapse decreases over time</w:t>
      </w:r>
      <w:r w:rsidRPr="007245F9">
        <w:rPr>
          <w:rFonts w:ascii="Times New Roman" w:hAnsi="Times New Roman" w:cs="Times New Roman"/>
          <w:sz w:val="20"/>
          <w:szCs w:val="20"/>
          <w:vertAlign w:val="superscript"/>
        </w:rPr>
        <w:t>18, 19</w:t>
      </w:r>
      <w:r w:rsidRPr="007245F9">
        <w:rPr>
          <w:rFonts w:ascii="Times New Roman" w:hAnsi="Times New Roman" w:cs="Times New Roman"/>
          <w:sz w:val="20"/>
          <w:szCs w:val="20"/>
        </w:rPr>
        <w:t>. Our results support that concept as we found that 74 out of 118 relapsed patients (63%) were high-risk patients at initial presentation with 52% of these relapse occurred at the first year follow 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 70%of the dead patients (26/37) were high risk at initial presentation, Conversely the percentage of low-risk</w:t>
      </w:r>
      <w:r w:rsidR="007245F9" w:rsidRPr="007245F9">
        <w:rPr>
          <w:rFonts w:ascii="Times New Roman" w:hAnsi="Times New Roman" w:cs="Times New Roman" w:hint="eastAsia"/>
          <w:sz w:val="20"/>
          <w:szCs w:val="20"/>
          <w:lang w:eastAsia="zh-CN"/>
        </w:rPr>
        <w:t xml:space="preserve"> </w:t>
      </w:r>
      <w:r w:rsidRPr="007245F9">
        <w:rPr>
          <w:rFonts w:ascii="Times New Roman" w:hAnsi="Times New Roman" w:cs="Times New Roman"/>
          <w:sz w:val="20"/>
          <w:szCs w:val="20"/>
        </w:rPr>
        <w:t>patients who experienced relapse was 19 %(23/118) and only 4 patients (12%) died out 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 so 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 with high risk group and those with slow early responders, they may benefit from surveillance specifically in the first year from end of treatment.</w:t>
      </w:r>
    </w:p>
    <w:p w:rsidR="00E24DD0" w:rsidRPr="007245F9" w:rsidRDefault="00E24DD0" w:rsidP="00185ADB">
      <w:pPr>
        <w:snapToGrid w:val="0"/>
        <w:spacing w:after="0" w:line="240" w:lineRule="auto"/>
        <w:jc w:val="both"/>
        <w:rPr>
          <w:rFonts w:ascii="Times New Roman" w:hAnsi="Times New Roman" w:cs="Times New Roman"/>
          <w:b/>
          <w:bCs/>
          <w:sz w:val="20"/>
          <w:szCs w:val="20"/>
        </w:rPr>
      </w:pPr>
    </w:p>
    <w:p w:rsidR="00E24DD0" w:rsidRPr="007245F9" w:rsidRDefault="00E24DD0" w:rsidP="00185ADB">
      <w:pPr>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Conclusion</w:t>
      </w:r>
    </w:p>
    <w:p w:rsidR="00E24DD0" w:rsidRPr="007245F9" w:rsidRDefault="00E24DD0" w:rsidP="00185AD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245F9">
        <w:rPr>
          <w:rFonts w:ascii="Times New Roman" w:hAnsi="Times New Roman" w:cs="Times New Roman"/>
          <w:sz w:val="20"/>
          <w:szCs w:val="20"/>
        </w:rPr>
        <w:t>Most of the pediatric Hodgkin lymphoma patients relapses are detected clinically by history and physical examination. No survival benefit associated with periodic routine surveillance imaging for pediatric patients with Hodgkin lymphoma. History taking combined with physical examination presented the highest rate of relapse detection and anticipated to decrease the hazard of radiation exposure, the risk of developing a second malignancy later in life, in addition to unnecessary invasive procedures from equivocal lesions, and patient anxiety. Patients with high risk group and those with slow early responders may benefit from routine surveillance, especially in the first 1-2 years off-treatment. However, the choice of imaging modality for disease surveillance can be reasonably debated. For HL patients with low risk of relapse, high sensitivity to chemotherapy and favorable prognosis, where relapse is approached with systemic therapy, we do not currently believe there is a rationale for frequent excessive surveillance radiography, for whom clinical follow-up combined with patients’ education on their symptoms appears to be an adequate surveillance strategy.</w:t>
      </w: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p>
    <w:p w:rsidR="00E24DD0" w:rsidRPr="007245F9" w:rsidRDefault="00E24DD0" w:rsidP="00185ADB">
      <w:pPr>
        <w:autoSpaceDE w:val="0"/>
        <w:autoSpaceDN w:val="0"/>
        <w:adjustRightInd w:val="0"/>
        <w:snapToGrid w:val="0"/>
        <w:spacing w:after="0" w:line="240" w:lineRule="auto"/>
        <w:jc w:val="both"/>
        <w:rPr>
          <w:rFonts w:ascii="Times New Roman" w:hAnsi="Times New Roman" w:cs="Times New Roman"/>
          <w:b/>
          <w:bCs/>
          <w:sz w:val="20"/>
          <w:szCs w:val="20"/>
        </w:rPr>
      </w:pPr>
      <w:r w:rsidRPr="007245F9">
        <w:rPr>
          <w:rFonts w:ascii="Times New Roman" w:hAnsi="Times New Roman" w:cs="Times New Roman"/>
          <w:b/>
          <w:bCs/>
          <w:sz w:val="20"/>
          <w:szCs w:val="20"/>
        </w:rPr>
        <w:t>References</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Freed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Kelly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Current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approaches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management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Paediatr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Drugs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12:85-98,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Dhakal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Biswas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Liesveld</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Patterns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timing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initial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subsequently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undergoing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transplantation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Int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Radia</w:t>
      </w:r>
      <w:r w:rsidR="00185ADB" w:rsidRPr="007245F9">
        <w:rPr>
          <w:rFonts w:ascii="Times New Roman" w:hAnsi="Times New Roman" w:cs="Times New Roman"/>
          <w:sz w:val="20"/>
          <w:szCs w:val="20"/>
        </w:rPr>
        <w:t>t</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O</w:t>
      </w:r>
      <w:r w:rsidRPr="007245F9">
        <w:rPr>
          <w:rFonts w:ascii="Times New Roman" w:hAnsi="Times New Roman" w:cs="Times New Roman"/>
          <w:sz w:val="20"/>
          <w:szCs w:val="20"/>
        </w:rPr>
        <w:t>nco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B</w:t>
      </w:r>
      <w:r w:rsidRPr="007245F9">
        <w:rPr>
          <w:rFonts w:ascii="Times New Roman" w:hAnsi="Times New Roman" w:cs="Times New Roman"/>
          <w:sz w:val="20"/>
          <w:szCs w:val="20"/>
        </w:rPr>
        <w:t>io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P</w:t>
      </w:r>
      <w:r w:rsidRPr="007245F9">
        <w:rPr>
          <w:rFonts w:ascii="Times New Roman" w:hAnsi="Times New Roman" w:cs="Times New Roman"/>
          <w:sz w:val="20"/>
          <w:szCs w:val="20"/>
        </w:rPr>
        <w:t>hys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75:188-192,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2009.</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Ahmed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Connolly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BL,</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Shroff</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Cumulative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effective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doses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from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radiologic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procedures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oncology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126:e851–e858,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El-</w:t>
      </w:r>
      <w:proofErr w:type="spellStart"/>
      <w:r w:rsidRPr="007245F9">
        <w:rPr>
          <w:rFonts w:ascii="Times New Roman" w:hAnsi="Times New Roman" w:cs="Times New Roman"/>
          <w:sz w:val="20"/>
          <w:szCs w:val="20"/>
        </w:rPr>
        <w:t>Galaly</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Mylam</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Brown,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Positron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with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first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low</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positive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predictive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value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high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Haematologica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97,</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931–936,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Wagner–Johnston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Bartlett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Natl</w:t>
      </w:r>
      <w:proofErr w:type="spellEnd"/>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Compr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Netw</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575–584;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quiz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585,</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2011.</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Thompson,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Charlson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M.E.,</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Schenkein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scans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source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anxiety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fear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recurrence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long-term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survivors.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21,</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2262–2266,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Guadagnolo</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Punglia</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Kuntz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Cost-effectiveness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computerized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primary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24:4116-4122,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2006.</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Rosenberg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Validity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Arbor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classification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non-Hodgkin’s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61:1023-1027,</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1977.</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Lee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Zuckerman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Abbeele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185ADB" w:rsidRPr="007245F9">
        <w:rPr>
          <w:rFonts w:ascii="Times New Roman" w:hAnsi="Times New Roman" w:cs="Times New Roman"/>
          <w:sz w:val="20"/>
          <w:szCs w:val="20"/>
        </w:rPr>
        <w:t>: S</w:t>
      </w:r>
      <w:r w:rsidRPr="007245F9">
        <w:rPr>
          <w:rFonts w:ascii="Times New Roman" w:hAnsi="Times New Roman" w:cs="Times New Roman"/>
          <w:sz w:val="20"/>
          <w:szCs w:val="20"/>
        </w:rPr>
        <w:t>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first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clinical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economic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116,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3835–3842,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2010.</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Bestawros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Srour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physicians’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recurrent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complete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1359–1363,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DA,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Engert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Dreyling</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ESMO</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clinical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practice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guidelines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diagnosis,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vi55–vi58,</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2011.</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Torrey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Poen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Hoppe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early-stage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studies.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15:1123–1130,</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1997.</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Alison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Friedmann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Julie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Wolfson</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Melissa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Hudson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Outcome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Therapy,</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Pediatr</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Blood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60:1458–1463,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2013.</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Voss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Lu</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Constine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imaging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detection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intermediate-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advanced-stage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report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from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Children’s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Oncology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Group.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30:2635–2640,</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Dhakal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Biswas</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Liesveld</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Patterns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timing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initial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relapse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subsequently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undergoing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transplantation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Int</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Radia</w:t>
      </w:r>
      <w:r w:rsidR="00185ADB" w:rsidRPr="007245F9">
        <w:rPr>
          <w:rFonts w:ascii="Times New Roman" w:hAnsi="Times New Roman" w:cs="Times New Roman"/>
          <w:sz w:val="20"/>
          <w:szCs w:val="20"/>
        </w:rPr>
        <w:t>t</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O</w:t>
      </w:r>
      <w:r w:rsidRPr="007245F9">
        <w:rPr>
          <w:rFonts w:ascii="Times New Roman" w:hAnsi="Times New Roman" w:cs="Times New Roman"/>
          <w:sz w:val="20"/>
          <w:szCs w:val="20"/>
        </w:rPr>
        <w:t>nco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B</w:t>
      </w:r>
      <w:r w:rsidRPr="007245F9">
        <w:rPr>
          <w:rFonts w:ascii="Times New Roman" w:hAnsi="Times New Roman" w:cs="Times New Roman"/>
          <w:sz w:val="20"/>
          <w:szCs w:val="20"/>
        </w:rPr>
        <w:t>io</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P</w:t>
      </w:r>
      <w:r w:rsidRPr="007245F9">
        <w:rPr>
          <w:rFonts w:ascii="Times New Roman" w:hAnsi="Times New Roman" w:cs="Times New Roman"/>
          <w:sz w:val="20"/>
          <w:szCs w:val="20"/>
        </w:rPr>
        <w:t>hys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75:188-192,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2009.</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r w:rsidRPr="007245F9">
        <w:rPr>
          <w:rFonts w:ascii="Times New Roman" w:hAnsi="Times New Roman" w:cs="Times New Roman"/>
          <w:sz w:val="20"/>
          <w:szCs w:val="20"/>
        </w:rPr>
        <w:t>Das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Constine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ACR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appropriateness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criteria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Favorable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prognosis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II.</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Col</w:t>
      </w:r>
      <w:r w:rsidR="00185ADB" w:rsidRPr="007245F9">
        <w:rPr>
          <w:rFonts w:ascii="Times New Roman" w:hAnsi="Times New Roman" w:cs="Times New Roman"/>
          <w:sz w:val="20"/>
          <w:szCs w:val="20"/>
        </w:rPr>
        <w:t>l</w:t>
      </w:r>
      <w:proofErr w:type="spellEnd"/>
      <w:r w:rsidR="00185ADB" w:rsidRPr="007245F9">
        <w:rPr>
          <w:rFonts w:ascii="Times New Roman" w:hAnsi="Times New Roman" w:cs="Times New Roman"/>
          <w:sz w:val="20"/>
          <w:szCs w:val="20"/>
        </w:rPr>
        <w:t xml:space="preserve"> </w:t>
      </w:r>
      <w:proofErr w:type="spellStart"/>
      <w:r w:rsidR="00185ADB" w:rsidRPr="007245F9">
        <w:rPr>
          <w:rFonts w:ascii="Times New Roman" w:hAnsi="Times New Roman" w:cs="Times New Roman"/>
          <w:sz w:val="20"/>
          <w:szCs w:val="20"/>
        </w:rPr>
        <w:t>R</w:t>
      </w:r>
      <w:r w:rsidRPr="007245F9">
        <w:rPr>
          <w:rFonts w:ascii="Times New Roman" w:hAnsi="Times New Roman" w:cs="Times New Roman"/>
          <w:sz w:val="20"/>
          <w:szCs w:val="20"/>
        </w:rPr>
        <w:t>adiol</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5:1054-1066,</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2008.</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Rathore</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Eissa</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HM,</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Margolin</w:t>
      </w:r>
      <w:proofErr w:type="spellEnd"/>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Pediatric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are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we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over-scanning</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our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Pediatr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Hematol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415–423,</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2012.</w:t>
      </w:r>
      <w:r w:rsidR="00C16177" w:rsidRPr="007245F9">
        <w:rPr>
          <w:rFonts w:ascii="Times New Roman" w:hAnsi="Times New Roman" w:cs="Times New Roman"/>
          <w:sz w:val="20"/>
          <w:szCs w:val="20"/>
        </w:rPr>
        <w:t xml:space="preserve"> </w:t>
      </w:r>
    </w:p>
    <w:p w:rsidR="00E24DD0"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Guadagnolo</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B.A.,</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Punglia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Kuntz,</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K.M.,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Cost-effectiveness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analysis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computerized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tomography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routine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follow-up</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of</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patients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lastRenderedPageBreak/>
        <w:t>after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primary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treatment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disease</w:t>
      </w:r>
      <w:r w:rsidR="00185ADB" w:rsidRPr="007245F9">
        <w:rPr>
          <w:rFonts w:ascii="Times New Roman" w:eastAsiaTheme="minorEastAsia" w:hAnsi="Times New Roman" w:cs="Times New Roman" w:hint="eastAsia"/>
          <w:sz w:val="20"/>
          <w:szCs w:val="20"/>
          <w:lang w:eastAsia="zh-CN"/>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ClinOncol</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24,</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4116–4122,</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2006.</w:t>
      </w:r>
    </w:p>
    <w:p w:rsidR="00C16177" w:rsidRPr="007245F9" w:rsidRDefault="00E24DD0" w:rsidP="00185ADB">
      <w:pPr>
        <w:pStyle w:val="ListParagraph"/>
        <w:numPr>
          <w:ilvl w:val="0"/>
          <w:numId w:val="9"/>
        </w:numPr>
        <w:autoSpaceDE w:val="0"/>
        <w:autoSpaceDN w:val="0"/>
        <w:bidi w:val="0"/>
        <w:adjustRightInd w:val="0"/>
        <w:snapToGrid w:val="0"/>
        <w:ind w:left="425" w:hanging="425"/>
        <w:jc w:val="both"/>
        <w:rPr>
          <w:rFonts w:ascii="Times New Roman" w:hAnsi="Times New Roman" w:cs="Times New Roman"/>
          <w:sz w:val="20"/>
          <w:szCs w:val="20"/>
        </w:rPr>
      </w:pPr>
      <w:proofErr w:type="spellStart"/>
      <w:r w:rsidRPr="007245F9">
        <w:rPr>
          <w:rFonts w:ascii="Times New Roman" w:hAnsi="Times New Roman" w:cs="Times New Roman"/>
          <w:sz w:val="20"/>
          <w:szCs w:val="20"/>
        </w:rPr>
        <w:t>Hartridge</w:t>
      </w:r>
      <w:proofErr w:type="spellEnd"/>
      <w:r w:rsidRPr="007245F9">
        <w:rPr>
          <w:rFonts w:ascii="Times New Roman" w:hAnsi="Times New Roman" w:cs="Times New Roman"/>
          <w:sz w:val="20"/>
          <w:szCs w:val="20"/>
        </w:rPr>
        <w:t>-Lambert,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S.K.,</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Sch€oder</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Lim,</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R.C.,</w:t>
      </w:r>
      <w:r w:rsidR="00C16177" w:rsidRPr="007245F9">
        <w:rPr>
          <w:rFonts w:ascii="Times New Roman" w:hAnsi="Times New Roman" w:cs="Times New Roman"/>
          <w:sz w:val="20"/>
          <w:szCs w:val="20"/>
        </w:rPr>
        <w:t xml:space="preserve"> </w:t>
      </w:r>
      <w:proofErr w:type="spellStart"/>
      <w:r w:rsidRPr="007245F9">
        <w:rPr>
          <w:rFonts w:ascii="Times New Roman" w:hAnsi="Times New Roman" w:cs="Times New Roman"/>
          <w:sz w:val="20"/>
          <w:szCs w:val="20"/>
        </w:rPr>
        <w:t>Maragulia</w:t>
      </w:r>
      <w:proofErr w:type="spellEnd"/>
      <w:r w:rsidRPr="007245F9">
        <w:rPr>
          <w:rFonts w:ascii="Times New Roman" w:hAnsi="Times New Roman" w:cs="Times New Roman"/>
          <w:sz w:val="20"/>
          <w:szCs w:val="20"/>
        </w:rPr>
        <w: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J.C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ABVD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alone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and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PET</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scan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complete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remission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negates</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the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need</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for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radiologic</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surveillance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early-stage,</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non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bulky</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Hodgkin</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lymphoma.</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Cancer</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119,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1203–1209,</w:t>
      </w:r>
      <w:r w:rsidR="00C16177" w:rsidRPr="007245F9">
        <w:rPr>
          <w:rFonts w:ascii="Times New Roman" w:hAnsi="Times New Roman" w:cs="Times New Roman"/>
          <w:sz w:val="20"/>
          <w:szCs w:val="20"/>
        </w:rPr>
        <w:t xml:space="preserve"> </w:t>
      </w:r>
      <w:r w:rsidRPr="007245F9">
        <w:rPr>
          <w:rFonts w:ascii="Times New Roman" w:hAnsi="Times New Roman" w:cs="Times New Roman"/>
          <w:sz w:val="20"/>
          <w:szCs w:val="20"/>
        </w:rPr>
        <w:t>2013.</w:t>
      </w:r>
    </w:p>
    <w:p w:rsidR="00185ADB" w:rsidRPr="007245F9" w:rsidRDefault="00185ADB" w:rsidP="00185ADB">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185ADB" w:rsidRPr="007245F9" w:rsidSect="00185ADB">
          <w:type w:val="continuous"/>
          <w:pgSz w:w="12240" w:h="15840"/>
          <w:pgMar w:top="1440" w:right="1440" w:bottom="1440" w:left="1440" w:header="720" w:footer="720" w:gutter="0"/>
          <w:cols w:num="2" w:space="550"/>
          <w:docGrid w:linePitch="360"/>
        </w:sectPr>
      </w:pPr>
    </w:p>
    <w:p w:rsidR="00C16177" w:rsidRPr="007245F9" w:rsidRDefault="00C16177" w:rsidP="00185ADB">
      <w:pPr>
        <w:autoSpaceDE w:val="0"/>
        <w:autoSpaceDN w:val="0"/>
        <w:adjustRightInd w:val="0"/>
        <w:snapToGrid w:val="0"/>
        <w:spacing w:after="0" w:line="240" w:lineRule="auto"/>
        <w:ind w:left="425" w:hanging="425"/>
        <w:jc w:val="both"/>
        <w:rPr>
          <w:rFonts w:ascii="Times New Roman" w:hAnsi="Times New Roman" w:cs="Times New Roman"/>
          <w:b/>
          <w:bCs/>
          <w:color w:val="C00000"/>
          <w:sz w:val="20"/>
          <w:szCs w:val="20"/>
        </w:rPr>
      </w:pPr>
      <w:r w:rsidRPr="007245F9">
        <w:rPr>
          <w:rFonts w:ascii="Times New Roman" w:hAnsi="Times New Roman" w:cs="Times New Roman"/>
          <w:sz w:val="20"/>
          <w:szCs w:val="20"/>
        </w:rPr>
        <w:lastRenderedPageBreak/>
        <w:cr/>
      </w:r>
      <w:r w:rsidRPr="007245F9">
        <w:rPr>
          <w:rFonts w:ascii="Times New Roman" w:hAnsi="Times New Roman" w:cs="Times New Roman"/>
          <w:b/>
          <w:bCs/>
          <w:color w:val="C00000"/>
          <w:sz w:val="20"/>
          <w:szCs w:val="20"/>
        </w:rPr>
        <w:cr/>
      </w:r>
    </w:p>
    <w:p w:rsidR="00054A2E" w:rsidRPr="007245F9" w:rsidRDefault="00DB47FE" w:rsidP="00185ADB">
      <w:pPr>
        <w:snapToGrid w:val="0"/>
        <w:spacing w:after="0" w:line="240" w:lineRule="auto"/>
        <w:jc w:val="both"/>
        <w:rPr>
          <w:rFonts w:ascii="Times New Roman" w:hAnsi="Times New Roman" w:cs="Times New Roman"/>
          <w:bCs/>
          <w:sz w:val="20"/>
          <w:szCs w:val="20"/>
        </w:rPr>
      </w:pPr>
      <w:r>
        <w:rPr>
          <w:rFonts w:ascii="Times New Roman" w:hAnsi="Times New Roman" w:cs="Times New Roman" w:hint="eastAsia"/>
          <w:bCs/>
          <w:sz w:val="20"/>
          <w:szCs w:val="20"/>
          <w:lang w:eastAsia="zh-CN"/>
        </w:rPr>
        <w:t>3</w:t>
      </w:r>
      <w:r w:rsidR="00C16177" w:rsidRPr="007245F9">
        <w:rPr>
          <w:rFonts w:ascii="Times New Roman" w:hAnsi="Times New Roman" w:cs="Times New Roman"/>
          <w:bCs/>
          <w:sz w:val="20"/>
          <w:szCs w:val="20"/>
        </w:rPr>
        <w:t>/</w:t>
      </w:r>
      <w:r>
        <w:rPr>
          <w:rFonts w:ascii="Times New Roman" w:hAnsi="Times New Roman" w:cs="Times New Roman" w:hint="eastAsia"/>
          <w:bCs/>
          <w:sz w:val="20"/>
          <w:szCs w:val="20"/>
          <w:lang w:eastAsia="zh-CN"/>
        </w:rPr>
        <w:t>25</w:t>
      </w:r>
      <w:r w:rsidR="00C16177" w:rsidRPr="007245F9">
        <w:rPr>
          <w:rFonts w:ascii="Times New Roman" w:hAnsi="Times New Roman" w:cs="Times New Roman"/>
          <w:bCs/>
          <w:sz w:val="20"/>
          <w:szCs w:val="20"/>
        </w:rPr>
        <w:t>/2019</w:t>
      </w:r>
    </w:p>
    <w:sectPr w:rsidR="00054A2E" w:rsidRPr="007245F9" w:rsidSect="00C1617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5B3" w:rsidRDefault="00CE65B3" w:rsidP="00C70401">
      <w:pPr>
        <w:spacing w:after="0" w:line="240" w:lineRule="auto"/>
      </w:pPr>
      <w:r>
        <w:separator/>
      </w:r>
    </w:p>
  </w:endnote>
  <w:endnote w:type="continuationSeparator" w:id="0">
    <w:p w:rsidR="00CE65B3" w:rsidRDefault="00CE65B3" w:rsidP="00C70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DB" w:rsidRPr="008824B3" w:rsidRDefault="00DE4987" w:rsidP="008824B3">
    <w:pPr>
      <w:spacing w:after="0" w:line="240" w:lineRule="auto"/>
      <w:jc w:val="center"/>
      <w:rPr>
        <w:rFonts w:ascii="Times New Roman" w:hAnsi="Times New Roman" w:cs="Times New Roman"/>
        <w:sz w:val="20"/>
      </w:rPr>
    </w:pPr>
    <w:r w:rsidRPr="008824B3">
      <w:rPr>
        <w:rFonts w:ascii="Times New Roman" w:hAnsi="Times New Roman" w:cs="Times New Roman"/>
        <w:sz w:val="20"/>
      </w:rPr>
      <w:fldChar w:fldCharType="begin"/>
    </w:r>
    <w:r w:rsidR="008824B3" w:rsidRPr="008824B3">
      <w:rPr>
        <w:rFonts w:ascii="Times New Roman" w:hAnsi="Times New Roman" w:cs="Times New Roman"/>
        <w:sz w:val="20"/>
      </w:rPr>
      <w:instrText xml:space="preserve"> page </w:instrText>
    </w:r>
    <w:r w:rsidRPr="008824B3">
      <w:rPr>
        <w:rFonts w:ascii="Times New Roman" w:hAnsi="Times New Roman" w:cs="Times New Roman"/>
        <w:sz w:val="20"/>
      </w:rPr>
      <w:fldChar w:fldCharType="separate"/>
    </w:r>
    <w:r w:rsidR="00DB47FE">
      <w:rPr>
        <w:rFonts w:ascii="Times New Roman" w:hAnsi="Times New Roman" w:cs="Times New Roman"/>
        <w:noProof/>
        <w:sz w:val="20"/>
      </w:rPr>
      <w:t>107</w:t>
    </w:r>
    <w:r w:rsidRPr="008824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5B3" w:rsidRDefault="00CE65B3" w:rsidP="00C70401">
      <w:pPr>
        <w:spacing w:after="0" w:line="240" w:lineRule="auto"/>
      </w:pPr>
      <w:r>
        <w:separator/>
      </w:r>
    </w:p>
  </w:footnote>
  <w:footnote w:type="continuationSeparator" w:id="0">
    <w:p w:rsidR="00CE65B3" w:rsidRDefault="00CE65B3" w:rsidP="00C70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B3" w:rsidRPr="008824B3" w:rsidRDefault="008824B3" w:rsidP="008824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8824B3">
      <w:rPr>
        <w:rFonts w:ascii="Times New Roman" w:hAnsi="Times New Roman" w:cs="Times New Roman" w:hint="eastAsia"/>
        <w:iCs/>
        <w:color w:val="000000"/>
        <w:sz w:val="20"/>
      </w:rPr>
      <w:tab/>
    </w:r>
    <w:r w:rsidRPr="008824B3">
      <w:rPr>
        <w:rFonts w:ascii="Times New Roman" w:hAnsi="Times New Roman" w:cs="Times New Roman"/>
        <w:iCs/>
        <w:color w:val="000000"/>
        <w:sz w:val="20"/>
      </w:rPr>
      <w:t xml:space="preserve">Cancer Biology </w:t>
    </w:r>
    <w:r w:rsidRPr="008824B3">
      <w:rPr>
        <w:rFonts w:ascii="Times New Roman" w:hAnsi="Times New Roman" w:cs="Times New Roman"/>
        <w:iCs/>
        <w:sz w:val="20"/>
      </w:rPr>
      <w:t>201</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Pr="008824B3">
      <w:rPr>
        <w:rFonts w:ascii="Times New Roman" w:hAnsi="Times New Roman" w:cs="Times New Roman" w:hint="eastAsia"/>
        <w:iCs/>
        <w:sz w:val="20"/>
      </w:rPr>
      <w:t>9</w:t>
    </w:r>
    <w:r w:rsidRPr="008824B3">
      <w:rPr>
        <w:rFonts w:ascii="Times New Roman" w:hAnsi="Times New Roman" w:cs="Times New Roman"/>
        <w:iCs/>
        <w:sz w:val="20"/>
      </w:rPr>
      <w:t>(</w:t>
    </w:r>
    <w:r w:rsidR="00DB47FE">
      <w:rPr>
        <w:rFonts w:ascii="Times New Roman" w:hAnsi="Times New Roman" w:cs="Times New Roman" w:hint="eastAsia"/>
        <w:iCs/>
        <w:sz w:val="20"/>
        <w:lang w:eastAsia="zh-CN"/>
      </w:rPr>
      <w:t>1</w:t>
    </w:r>
    <w:r w:rsidRPr="008824B3">
      <w:rPr>
        <w:rFonts w:ascii="Times New Roman" w:hAnsi="Times New Roman" w:cs="Times New Roman"/>
        <w:iCs/>
        <w:sz w:val="20"/>
      </w:rPr>
      <w:t xml:space="preserve">)  </w:t>
    </w:r>
    <w:r w:rsidRPr="008824B3">
      <w:rPr>
        <w:rFonts w:ascii="Times New Roman" w:hAnsi="Times New Roman" w:cs="Times New Roman" w:hint="eastAsia"/>
        <w:iCs/>
        <w:sz w:val="20"/>
      </w:rPr>
      <w:t xml:space="preserve">   </w:t>
    </w:r>
    <w:r w:rsidRPr="008824B3">
      <w:rPr>
        <w:rFonts w:ascii="Times New Roman" w:hAnsi="Times New Roman" w:cs="Times New Roman" w:hint="eastAsia"/>
        <w:iCs/>
        <w:sz w:val="20"/>
      </w:rPr>
      <w:tab/>
      <w:t xml:space="preserve">     </w:t>
    </w:r>
    <w:r w:rsidRPr="008824B3">
      <w:rPr>
        <w:rFonts w:ascii="Times New Roman" w:hAnsi="Times New Roman" w:cs="Times New Roman"/>
        <w:iCs/>
        <w:sz w:val="20"/>
      </w:rPr>
      <w:t xml:space="preserve"> </w:t>
    </w:r>
    <w:r w:rsidRPr="008824B3">
      <w:rPr>
        <w:rFonts w:ascii="Times New Roman" w:hAnsi="Times New Roman" w:cs="Times New Roman"/>
        <w:sz w:val="20"/>
      </w:rPr>
      <w:t xml:space="preserve">  </w:t>
    </w:r>
    <w:hyperlink r:id="rId1" w:history="1">
      <w:r w:rsidRPr="008824B3">
        <w:rPr>
          <w:rStyle w:val="Hyperlink"/>
          <w:rFonts w:ascii="Times New Roman" w:hAnsi="Times New Roman" w:cs="Times New Roman"/>
          <w:sz w:val="20"/>
        </w:rPr>
        <w:t>http://www.cancerbio.net</w:t>
      </w:r>
    </w:hyperlink>
  </w:p>
  <w:p w:rsidR="008824B3" w:rsidRPr="008824B3" w:rsidRDefault="008824B3" w:rsidP="008824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2626"/>
    <w:multiLevelType w:val="hybridMultilevel"/>
    <w:tmpl w:val="6708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E90"/>
    <w:multiLevelType w:val="hybridMultilevel"/>
    <w:tmpl w:val="6D64FE5A"/>
    <w:lvl w:ilvl="0" w:tplc="6EE6E990">
      <w:start w:val="1"/>
      <w:numFmt w:val="bullet"/>
      <w:lvlText w:val="•"/>
      <w:lvlJc w:val="left"/>
      <w:pPr>
        <w:tabs>
          <w:tab w:val="num" w:pos="720"/>
        </w:tabs>
        <w:ind w:left="720" w:hanging="360"/>
      </w:pPr>
      <w:rPr>
        <w:rFonts w:ascii="Arial" w:hAnsi="Arial" w:hint="default"/>
      </w:rPr>
    </w:lvl>
    <w:lvl w:ilvl="1" w:tplc="F6D60E34" w:tentative="1">
      <w:start w:val="1"/>
      <w:numFmt w:val="bullet"/>
      <w:lvlText w:val="•"/>
      <w:lvlJc w:val="left"/>
      <w:pPr>
        <w:tabs>
          <w:tab w:val="num" w:pos="1440"/>
        </w:tabs>
        <w:ind w:left="1440" w:hanging="360"/>
      </w:pPr>
      <w:rPr>
        <w:rFonts w:ascii="Arial" w:hAnsi="Arial" w:hint="default"/>
      </w:rPr>
    </w:lvl>
    <w:lvl w:ilvl="2" w:tplc="3C6E9EB4" w:tentative="1">
      <w:start w:val="1"/>
      <w:numFmt w:val="bullet"/>
      <w:lvlText w:val="•"/>
      <w:lvlJc w:val="left"/>
      <w:pPr>
        <w:tabs>
          <w:tab w:val="num" w:pos="2160"/>
        </w:tabs>
        <w:ind w:left="2160" w:hanging="360"/>
      </w:pPr>
      <w:rPr>
        <w:rFonts w:ascii="Arial" w:hAnsi="Arial" w:hint="default"/>
      </w:rPr>
    </w:lvl>
    <w:lvl w:ilvl="3" w:tplc="DB389982" w:tentative="1">
      <w:start w:val="1"/>
      <w:numFmt w:val="bullet"/>
      <w:lvlText w:val="•"/>
      <w:lvlJc w:val="left"/>
      <w:pPr>
        <w:tabs>
          <w:tab w:val="num" w:pos="2880"/>
        </w:tabs>
        <w:ind w:left="2880" w:hanging="360"/>
      </w:pPr>
      <w:rPr>
        <w:rFonts w:ascii="Arial" w:hAnsi="Arial" w:hint="default"/>
      </w:rPr>
    </w:lvl>
    <w:lvl w:ilvl="4" w:tplc="ACA4931E" w:tentative="1">
      <w:start w:val="1"/>
      <w:numFmt w:val="bullet"/>
      <w:lvlText w:val="•"/>
      <w:lvlJc w:val="left"/>
      <w:pPr>
        <w:tabs>
          <w:tab w:val="num" w:pos="3600"/>
        </w:tabs>
        <w:ind w:left="3600" w:hanging="360"/>
      </w:pPr>
      <w:rPr>
        <w:rFonts w:ascii="Arial" w:hAnsi="Arial" w:hint="default"/>
      </w:rPr>
    </w:lvl>
    <w:lvl w:ilvl="5" w:tplc="547A213E" w:tentative="1">
      <w:start w:val="1"/>
      <w:numFmt w:val="bullet"/>
      <w:lvlText w:val="•"/>
      <w:lvlJc w:val="left"/>
      <w:pPr>
        <w:tabs>
          <w:tab w:val="num" w:pos="4320"/>
        </w:tabs>
        <w:ind w:left="4320" w:hanging="360"/>
      </w:pPr>
      <w:rPr>
        <w:rFonts w:ascii="Arial" w:hAnsi="Arial" w:hint="default"/>
      </w:rPr>
    </w:lvl>
    <w:lvl w:ilvl="6" w:tplc="C674C374" w:tentative="1">
      <w:start w:val="1"/>
      <w:numFmt w:val="bullet"/>
      <w:lvlText w:val="•"/>
      <w:lvlJc w:val="left"/>
      <w:pPr>
        <w:tabs>
          <w:tab w:val="num" w:pos="5040"/>
        </w:tabs>
        <w:ind w:left="5040" w:hanging="360"/>
      </w:pPr>
      <w:rPr>
        <w:rFonts w:ascii="Arial" w:hAnsi="Arial" w:hint="default"/>
      </w:rPr>
    </w:lvl>
    <w:lvl w:ilvl="7" w:tplc="E2E29E72" w:tentative="1">
      <w:start w:val="1"/>
      <w:numFmt w:val="bullet"/>
      <w:lvlText w:val="•"/>
      <w:lvlJc w:val="left"/>
      <w:pPr>
        <w:tabs>
          <w:tab w:val="num" w:pos="5760"/>
        </w:tabs>
        <w:ind w:left="5760" w:hanging="360"/>
      </w:pPr>
      <w:rPr>
        <w:rFonts w:ascii="Arial" w:hAnsi="Arial" w:hint="default"/>
      </w:rPr>
    </w:lvl>
    <w:lvl w:ilvl="8" w:tplc="E3C6CAC2" w:tentative="1">
      <w:start w:val="1"/>
      <w:numFmt w:val="bullet"/>
      <w:lvlText w:val="•"/>
      <w:lvlJc w:val="left"/>
      <w:pPr>
        <w:tabs>
          <w:tab w:val="num" w:pos="6480"/>
        </w:tabs>
        <w:ind w:left="6480" w:hanging="360"/>
      </w:pPr>
      <w:rPr>
        <w:rFonts w:ascii="Arial" w:hAnsi="Arial" w:hint="default"/>
      </w:rPr>
    </w:lvl>
  </w:abstractNum>
  <w:abstractNum w:abstractNumId="2">
    <w:nsid w:val="281E2FE1"/>
    <w:multiLevelType w:val="hybridMultilevel"/>
    <w:tmpl w:val="44AE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B5718"/>
    <w:multiLevelType w:val="hybridMultilevel"/>
    <w:tmpl w:val="C91A8876"/>
    <w:lvl w:ilvl="0" w:tplc="DFBE2312">
      <w:start w:val="1"/>
      <w:numFmt w:val="bullet"/>
      <w:lvlText w:val=""/>
      <w:lvlJc w:val="left"/>
      <w:pPr>
        <w:ind w:left="720" w:hanging="360"/>
      </w:pPr>
      <w:rPr>
        <w:rFonts w:ascii="Symbol" w:hAnsi="Symbol" w:hint="default"/>
      </w:rPr>
    </w:lvl>
    <w:lvl w:ilvl="1" w:tplc="AAF623A2" w:tentative="1">
      <w:start w:val="1"/>
      <w:numFmt w:val="bullet"/>
      <w:lvlText w:val="o"/>
      <w:lvlJc w:val="left"/>
      <w:pPr>
        <w:ind w:left="1440" w:hanging="360"/>
      </w:pPr>
      <w:rPr>
        <w:rFonts w:ascii="Courier New" w:hAnsi="Courier New" w:cs="Courier New" w:hint="default"/>
      </w:rPr>
    </w:lvl>
    <w:lvl w:ilvl="2" w:tplc="51AA422A" w:tentative="1">
      <w:start w:val="1"/>
      <w:numFmt w:val="bullet"/>
      <w:lvlText w:val=""/>
      <w:lvlJc w:val="left"/>
      <w:pPr>
        <w:ind w:left="2160" w:hanging="360"/>
      </w:pPr>
      <w:rPr>
        <w:rFonts w:ascii="Wingdings" w:hAnsi="Wingdings" w:hint="default"/>
      </w:rPr>
    </w:lvl>
    <w:lvl w:ilvl="3" w:tplc="CCF097EC" w:tentative="1">
      <w:start w:val="1"/>
      <w:numFmt w:val="bullet"/>
      <w:lvlText w:val=""/>
      <w:lvlJc w:val="left"/>
      <w:pPr>
        <w:ind w:left="2880" w:hanging="360"/>
      </w:pPr>
      <w:rPr>
        <w:rFonts w:ascii="Symbol" w:hAnsi="Symbol" w:hint="default"/>
      </w:rPr>
    </w:lvl>
    <w:lvl w:ilvl="4" w:tplc="BB9CEEB4" w:tentative="1">
      <w:start w:val="1"/>
      <w:numFmt w:val="bullet"/>
      <w:lvlText w:val="o"/>
      <w:lvlJc w:val="left"/>
      <w:pPr>
        <w:ind w:left="3600" w:hanging="360"/>
      </w:pPr>
      <w:rPr>
        <w:rFonts w:ascii="Courier New" w:hAnsi="Courier New" w:cs="Courier New" w:hint="default"/>
      </w:rPr>
    </w:lvl>
    <w:lvl w:ilvl="5" w:tplc="23CC967C" w:tentative="1">
      <w:start w:val="1"/>
      <w:numFmt w:val="bullet"/>
      <w:lvlText w:val=""/>
      <w:lvlJc w:val="left"/>
      <w:pPr>
        <w:ind w:left="4320" w:hanging="360"/>
      </w:pPr>
      <w:rPr>
        <w:rFonts w:ascii="Wingdings" w:hAnsi="Wingdings" w:hint="default"/>
      </w:rPr>
    </w:lvl>
    <w:lvl w:ilvl="6" w:tplc="B654574C" w:tentative="1">
      <w:start w:val="1"/>
      <w:numFmt w:val="bullet"/>
      <w:lvlText w:val=""/>
      <w:lvlJc w:val="left"/>
      <w:pPr>
        <w:ind w:left="5040" w:hanging="360"/>
      </w:pPr>
      <w:rPr>
        <w:rFonts w:ascii="Symbol" w:hAnsi="Symbol" w:hint="default"/>
      </w:rPr>
    </w:lvl>
    <w:lvl w:ilvl="7" w:tplc="82128680" w:tentative="1">
      <w:start w:val="1"/>
      <w:numFmt w:val="bullet"/>
      <w:lvlText w:val="o"/>
      <w:lvlJc w:val="left"/>
      <w:pPr>
        <w:ind w:left="5760" w:hanging="360"/>
      </w:pPr>
      <w:rPr>
        <w:rFonts w:ascii="Courier New" w:hAnsi="Courier New" w:cs="Courier New" w:hint="default"/>
      </w:rPr>
    </w:lvl>
    <w:lvl w:ilvl="8" w:tplc="5A6423C8" w:tentative="1">
      <w:start w:val="1"/>
      <w:numFmt w:val="bullet"/>
      <w:lvlText w:val=""/>
      <w:lvlJc w:val="left"/>
      <w:pPr>
        <w:ind w:left="6480" w:hanging="360"/>
      </w:pPr>
      <w:rPr>
        <w:rFonts w:ascii="Wingdings" w:hAnsi="Wingdings" w:hint="default"/>
      </w:rPr>
    </w:lvl>
  </w:abstractNum>
  <w:abstractNum w:abstractNumId="4">
    <w:nsid w:val="36DD7D11"/>
    <w:multiLevelType w:val="hybridMultilevel"/>
    <w:tmpl w:val="8216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E1615B"/>
    <w:multiLevelType w:val="hybridMultilevel"/>
    <w:tmpl w:val="392CA830"/>
    <w:lvl w:ilvl="0" w:tplc="30A46FEE">
      <w:start w:val="1"/>
      <w:numFmt w:val="bullet"/>
      <w:lvlText w:val="•"/>
      <w:lvlJc w:val="left"/>
      <w:pPr>
        <w:tabs>
          <w:tab w:val="num" w:pos="720"/>
        </w:tabs>
        <w:ind w:left="720" w:hanging="360"/>
      </w:pPr>
      <w:rPr>
        <w:rFonts w:ascii="Arial" w:hAnsi="Arial" w:hint="default"/>
      </w:rPr>
    </w:lvl>
    <w:lvl w:ilvl="1" w:tplc="791A52AC" w:tentative="1">
      <w:start w:val="1"/>
      <w:numFmt w:val="bullet"/>
      <w:lvlText w:val="•"/>
      <w:lvlJc w:val="left"/>
      <w:pPr>
        <w:tabs>
          <w:tab w:val="num" w:pos="1440"/>
        </w:tabs>
        <w:ind w:left="1440" w:hanging="360"/>
      </w:pPr>
      <w:rPr>
        <w:rFonts w:ascii="Arial" w:hAnsi="Arial" w:hint="default"/>
      </w:rPr>
    </w:lvl>
    <w:lvl w:ilvl="2" w:tplc="29A036A4" w:tentative="1">
      <w:start w:val="1"/>
      <w:numFmt w:val="bullet"/>
      <w:lvlText w:val="•"/>
      <w:lvlJc w:val="left"/>
      <w:pPr>
        <w:tabs>
          <w:tab w:val="num" w:pos="2160"/>
        </w:tabs>
        <w:ind w:left="2160" w:hanging="360"/>
      </w:pPr>
      <w:rPr>
        <w:rFonts w:ascii="Arial" w:hAnsi="Arial" w:hint="default"/>
      </w:rPr>
    </w:lvl>
    <w:lvl w:ilvl="3" w:tplc="87C8A7BE" w:tentative="1">
      <w:start w:val="1"/>
      <w:numFmt w:val="bullet"/>
      <w:lvlText w:val="•"/>
      <w:lvlJc w:val="left"/>
      <w:pPr>
        <w:tabs>
          <w:tab w:val="num" w:pos="2880"/>
        </w:tabs>
        <w:ind w:left="2880" w:hanging="360"/>
      </w:pPr>
      <w:rPr>
        <w:rFonts w:ascii="Arial" w:hAnsi="Arial" w:hint="default"/>
      </w:rPr>
    </w:lvl>
    <w:lvl w:ilvl="4" w:tplc="957E8C82" w:tentative="1">
      <w:start w:val="1"/>
      <w:numFmt w:val="bullet"/>
      <w:lvlText w:val="•"/>
      <w:lvlJc w:val="left"/>
      <w:pPr>
        <w:tabs>
          <w:tab w:val="num" w:pos="3600"/>
        </w:tabs>
        <w:ind w:left="3600" w:hanging="360"/>
      </w:pPr>
      <w:rPr>
        <w:rFonts w:ascii="Arial" w:hAnsi="Arial" w:hint="default"/>
      </w:rPr>
    </w:lvl>
    <w:lvl w:ilvl="5" w:tplc="F830F6C2" w:tentative="1">
      <w:start w:val="1"/>
      <w:numFmt w:val="bullet"/>
      <w:lvlText w:val="•"/>
      <w:lvlJc w:val="left"/>
      <w:pPr>
        <w:tabs>
          <w:tab w:val="num" w:pos="4320"/>
        </w:tabs>
        <w:ind w:left="4320" w:hanging="360"/>
      </w:pPr>
      <w:rPr>
        <w:rFonts w:ascii="Arial" w:hAnsi="Arial" w:hint="default"/>
      </w:rPr>
    </w:lvl>
    <w:lvl w:ilvl="6" w:tplc="F498F16E" w:tentative="1">
      <w:start w:val="1"/>
      <w:numFmt w:val="bullet"/>
      <w:lvlText w:val="•"/>
      <w:lvlJc w:val="left"/>
      <w:pPr>
        <w:tabs>
          <w:tab w:val="num" w:pos="5040"/>
        </w:tabs>
        <w:ind w:left="5040" w:hanging="360"/>
      </w:pPr>
      <w:rPr>
        <w:rFonts w:ascii="Arial" w:hAnsi="Arial" w:hint="default"/>
      </w:rPr>
    </w:lvl>
    <w:lvl w:ilvl="7" w:tplc="8D72D0C2" w:tentative="1">
      <w:start w:val="1"/>
      <w:numFmt w:val="bullet"/>
      <w:lvlText w:val="•"/>
      <w:lvlJc w:val="left"/>
      <w:pPr>
        <w:tabs>
          <w:tab w:val="num" w:pos="5760"/>
        </w:tabs>
        <w:ind w:left="5760" w:hanging="360"/>
      </w:pPr>
      <w:rPr>
        <w:rFonts w:ascii="Arial" w:hAnsi="Arial" w:hint="default"/>
      </w:rPr>
    </w:lvl>
    <w:lvl w:ilvl="8" w:tplc="244CCE04" w:tentative="1">
      <w:start w:val="1"/>
      <w:numFmt w:val="bullet"/>
      <w:lvlText w:val="•"/>
      <w:lvlJc w:val="left"/>
      <w:pPr>
        <w:tabs>
          <w:tab w:val="num" w:pos="6480"/>
        </w:tabs>
        <w:ind w:left="6480" w:hanging="360"/>
      </w:pPr>
      <w:rPr>
        <w:rFonts w:ascii="Arial" w:hAnsi="Arial" w:hint="default"/>
      </w:rPr>
    </w:lvl>
  </w:abstractNum>
  <w:abstractNum w:abstractNumId="6">
    <w:nsid w:val="55C94BAC"/>
    <w:multiLevelType w:val="hybridMultilevel"/>
    <w:tmpl w:val="9A543350"/>
    <w:lvl w:ilvl="0" w:tplc="512EE0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045868"/>
    <w:multiLevelType w:val="hybridMultilevel"/>
    <w:tmpl w:val="BBDC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A4FB7"/>
    <w:multiLevelType w:val="hybridMultilevel"/>
    <w:tmpl w:val="F18AE916"/>
    <w:lvl w:ilvl="0" w:tplc="59E632C2">
      <w:start w:val="1"/>
      <w:numFmt w:val="bullet"/>
      <w:lvlText w:val="•"/>
      <w:lvlJc w:val="left"/>
      <w:pPr>
        <w:tabs>
          <w:tab w:val="num" w:pos="720"/>
        </w:tabs>
        <w:ind w:left="720" w:hanging="360"/>
      </w:pPr>
      <w:rPr>
        <w:rFonts w:ascii="Arial" w:hAnsi="Arial" w:hint="default"/>
      </w:rPr>
    </w:lvl>
    <w:lvl w:ilvl="1" w:tplc="9B16440A" w:tentative="1">
      <w:start w:val="1"/>
      <w:numFmt w:val="bullet"/>
      <w:lvlText w:val="•"/>
      <w:lvlJc w:val="left"/>
      <w:pPr>
        <w:tabs>
          <w:tab w:val="num" w:pos="1440"/>
        </w:tabs>
        <w:ind w:left="1440" w:hanging="360"/>
      </w:pPr>
      <w:rPr>
        <w:rFonts w:ascii="Arial" w:hAnsi="Arial" w:hint="default"/>
      </w:rPr>
    </w:lvl>
    <w:lvl w:ilvl="2" w:tplc="BF5E2B54" w:tentative="1">
      <w:start w:val="1"/>
      <w:numFmt w:val="bullet"/>
      <w:lvlText w:val="•"/>
      <w:lvlJc w:val="left"/>
      <w:pPr>
        <w:tabs>
          <w:tab w:val="num" w:pos="2160"/>
        </w:tabs>
        <w:ind w:left="2160" w:hanging="360"/>
      </w:pPr>
      <w:rPr>
        <w:rFonts w:ascii="Arial" w:hAnsi="Arial" w:hint="default"/>
      </w:rPr>
    </w:lvl>
    <w:lvl w:ilvl="3" w:tplc="838C19CE" w:tentative="1">
      <w:start w:val="1"/>
      <w:numFmt w:val="bullet"/>
      <w:lvlText w:val="•"/>
      <w:lvlJc w:val="left"/>
      <w:pPr>
        <w:tabs>
          <w:tab w:val="num" w:pos="2880"/>
        </w:tabs>
        <w:ind w:left="2880" w:hanging="360"/>
      </w:pPr>
      <w:rPr>
        <w:rFonts w:ascii="Arial" w:hAnsi="Arial" w:hint="default"/>
      </w:rPr>
    </w:lvl>
    <w:lvl w:ilvl="4" w:tplc="70C0D1AA" w:tentative="1">
      <w:start w:val="1"/>
      <w:numFmt w:val="bullet"/>
      <w:lvlText w:val="•"/>
      <w:lvlJc w:val="left"/>
      <w:pPr>
        <w:tabs>
          <w:tab w:val="num" w:pos="3600"/>
        </w:tabs>
        <w:ind w:left="3600" w:hanging="360"/>
      </w:pPr>
      <w:rPr>
        <w:rFonts w:ascii="Arial" w:hAnsi="Arial" w:hint="default"/>
      </w:rPr>
    </w:lvl>
    <w:lvl w:ilvl="5" w:tplc="E6EEFEB8" w:tentative="1">
      <w:start w:val="1"/>
      <w:numFmt w:val="bullet"/>
      <w:lvlText w:val="•"/>
      <w:lvlJc w:val="left"/>
      <w:pPr>
        <w:tabs>
          <w:tab w:val="num" w:pos="4320"/>
        </w:tabs>
        <w:ind w:left="4320" w:hanging="360"/>
      </w:pPr>
      <w:rPr>
        <w:rFonts w:ascii="Arial" w:hAnsi="Arial" w:hint="default"/>
      </w:rPr>
    </w:lvl>
    <w:lvl w:ilvl="6" w:tplc="886898C6" w:tentative="1">
      <w:start w:val="1"/>
      <w:numFmt w:val="bullet"/>
      <w:lvlText w:val="•"/>
      <w:lvlJc w:val="left"/>
      <w:pPr>
        <w:tabs>
          <w:tab w:val="num" w:pos="5040"/>
        </w:tabs>
        <w:ind w:left="5040" w:hanging="360"/>
      </w:pPr>
      <w:rPr>
        <w:rFonts w:ascii="Arial" w:hAnsi="Arial" w:hint="default"/>
      </w:rPr>
    </w:lvl>
    <w:lvl w:ilvl="7" w:tplc="7D52526E" w:tentative="1">
      <w:start w:val="1"/>
      <w:numFmt w:val="bullet"/>
      <w:lvlText w:val="•"/>
      <w:lvlJc w:val="left"/>
      <w:pPr>
        <w:tabs>
          <w:tab w:val="num" w:pos="5760"/>
        </w:tabs>
        <w:ind w:left="5760" w:hanging="360"/>
      </w:pPr>
      <w:rPr>
        <w:rFonts w:ascii="Arial" w:hAnsi="Arial" w:hint="default"/>
      </w:rPr>
    </w:lvl>
    <w:lvl w:ilvl="8" w:tplc="B0EE2CD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8"/>
  </w:num>
  <w:num w:numId="4">
    <w:abstractNumId w:val="5"/>
  </w:num>
  <w:num w:numId="5">
    <w:abstractNumId w:val="4"/>
  </w:num>
  <w:num w:numId="6">
    <w:abstractNumId w:val="6"/>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1C6BEC"/>
    <w:rsid w:val="00000B91"/>
    <w:rsid w:val="000026A7"/>
    <w:rsid w:val="000061CA"/>
    <w:rsid w:val="000116C6"/>
    <w:rsid w:val="00015D1B"/>
    <w:rsid w:val="000214EA"/>
    <w:rsid w:val="00023ECD"/>
    <w:rsid w:val="00045C44"/>
    <w:rsid w:val="00046034"/>
    <w:rsid w:val="00054A2E"/>
    <w:rsid w:val="000620C6"/>
    <w:rsid w:val="00065F52"/>
    <w:rsid w:val="00066AA8"/>
    <w:rsid w:val="0006749C"/>
    <w:rsid w:val="00073893"/>
    <w:rsid w:val="0008225E"/>
    <w:rsid w:val="0008300E"/>
    <w:rsid w:val="000943CB"/>
    <w:rsid w:val="0009644E"/>
    <w:rsid w:val="0009776D"/>
    <w:rsid w:val="000A0DA8"/>
    <w:rsid w:val="000B128F"/>
    <w:rsid w:val="000B6AA3"/>
    <w:rsid w:val="000C32DE"/>
    <w:rsid w:val="000C53E6"/>
    <w:rsid w:val="000D3734"/>
    <w:rsid w:val="000D3CD3"/>
    <w:rsid w:val="000E36DD"/>
    <w:rsid w:val="000F071E"/>
    <w:rsid w:val="000F5C48"/>
    <w:rsid w:val="00104459"/>
    <w:rsid w:val="00130744"/>
    <w:rsid w:val="00135D4B"/>
    <w:rsid w:val="00140FA4"/>
    <w:rsid w:val="001427BE"/>
    <w:rsid w:val="001705B5"/>
    <w:rsid w:val="00170E2F"/>
    <w:rsid w:val="00172316"/>
    <w:rsid w:val="00177328"/>
    <w:rsid w:val="00183708"/>
    <w:rsid w:val="00183959"/>
    <w:rsid w:val="00185ADB"/>
    <w:rsid w:val="00187747"/>
    <w:rsid w:val="00191B39"/>
    <w:rsid w:val="001B65FE"/>
    <w:rsid w:val="001C03BB"/>
    <w:rsid w:val="001C6BEC"/>
    <w:rsid w:val="001D1142"/>
    <w:rsid w:val="001E0854"/>
    <w:rsid w:val="001E1FB3"/>
    <w:rsid w:val="001E2F04"/>
    <w:rsid w:val="002002FC"/>
    <w:rsid w:val="00204F20"/>
    <w:rsid w:val="00213E36"/>
    <w:rsid w:val="002276E3"/>
    <w:rsid w:val="00235EC1"/>
    <w:rsid w:val="00236429"/>
    <w:rsid w:val="002465FE"/>
    <w:rsid w:val="00253BFE"/>
    <w:rsid w:val="002540D4"/>
    <w:rsid w:val="00260811"/>
    <w:rsid w:val="00262FC8"/>
    <w:rsid w:val="0027301C"/>
    <w:rsid w:val="002739FE"/>
    <w:rsid w:val="00275759"/>
    <w:rsid w:val="00283E99"/>
    <w:rsid w:val="00284FB8"/>
    <w:rsid w:val="00286487"/>
    <w:rsid w:val="00286871"/>
    <w:rsid w:val="002873B7"/>
    <w:rsid w:val="00287517"/>
    <w:rsid w:val="00293478"/>
    <w:rsid w:val="002978FE"/>
    <w:rsid w:val="00297C4E"/>
    <w:rsid w:val="002A0BF0"/>
    <w:rsid w:val="002A5F22"/>
    <w:rsid w:val="002A6573"/>
    <w:rsid w:val="002A7E54"/>
    <w:rsid w:val="002B07CF"/>
    <w:rsid w:val="002B3728"/>
    <w:rsid w:val="002B45E0"/>
    <w:rsid w:val="002B6E93"/>
    <w:rsid w:val="002B7BBE"/>
    <w:rsid w:val="002C171C"/>
    <w:rsid w:val="002C2B42"/>
    <w:rsid w:val="002D0B62"/>
    <w:rsid w:val="002E1155"/>
    <w:rsid w:val="002E1626"/>
    <w:rsid w:val="002E3C94"/>
    <w:rsid w:val="002E50BF"/>
    <w:rsid w:val="003014F8"/>
    <w:rsid w:val="0030513C"/>
    <w:rsid w:val="00313397"/>
    <w:rsid w:val="00314F41"/>
    <w:rsid w:val="003215D5"/>
    <w:rsid w:val="00322C66"/>
    <w:rsid w:val="00326090"/>
    <w:rsid w:val="00326D8B"/>
    <w:rsid w:val="0032735E"/>
    <w:rsid w:val="0033320C"/>
    <w:rsid w:val="003355FB"/>
    <w:rsid w:val="00336151"/>
    <w:rsid w:val="003366E2"/>
    <w:rsid w:val="00371333"/>
    <w:rsid w:val="00384332"/>
    <w:rsid w:val="003878BD"/>
    <w:rsid w:val="00393653"/>
    <w:rsid w:val="00395DE0"/>
    <w:rsid w:val="003A700F"/>
    <w:rsid w:val="003B0A8A"/>
    <w:rsid w:val="003C4C9E"/>
    <w:rsid w:val="003D15E2"/>
    <w:rsid w:val="003E443D"/>
    <w:rsid w:val="003F5B30"/>
    <w:rsid w:val="003F7AF3"/>
    <w:rsid w:val="00406C0B"/>
    <w:rsid w:val="004168A0"/>
    <w:rsid w:val="00423A08"/>
    <w:rsid w:val="004302FC"/>
    <w:rsid w:val="0043186B"/>
    <w:rsid w:val="00437824"/>
    <w:rsid w:val="00442BC6"/>
    <w:rsid w:val="00446194"/>
    <w:rsid w:val="004473FA"/>
    <w:rsid w:val="00455C87"/>
    <w:rsid w:val="0046166A"/>
    <w:rsid w:val="00465327"/>
    <w:rsid w:val="00475116"/>
    <w:rsid w:val="004759FE"/>
    <w:rsid w:val="00475A78"/>
    <w:rsid w:val="00477784"/>
    <w:rsid w:val="00482722"/>
    <w:rsid w:val="00492EB9"/>
    <w:rsid w:val="00495822"/>
    <w:rsid w:val="004A3FE1"/>
    <w:rsid w:val="004A7E0D"/>
    <w:rsid w:val="004B41D8"/>
    <w:rsid w:val="004B573F"/>
    <w:rsid w:val="004B6D63"/>
    <w:rsid w:val="004D7189"/>
    <w:rsid w:val="004E4685"/>
    <w:rsid w:val="004F3080"/>
    <w:rsid w:val="00505A29"/>
    <w:rsid w:val="00505FEE"/>
    <w:rsid w:val="0050681B"/>
    <w:rsid w:val="00513641"/>
    <w:rsid w:val="005146CA"/>
    <w:rsid w:val="005204A8"/>
    <w:rsid w:val="0052307B"/>
    <w:rsid w:val="00535824"/>
    <w:rsid w:val="0054071C"/>
    <w:rsid w:val="00540DE7"/>
    <w:rsid w:val="005463F0"/>
    <w:rsid w:val="00547992"/>
    <w:rsid w:val="00555FB9"/>
    <w:rsid w:val="00557E15"/>
    <w:rsid w:val="005603C7"/>
    <w:rsid w:val="005627F0"/>
    <w:rsid w:val="00567CBF"/>
    <w:rsid w:val="00586A91"/>
    <w:rsid w:val="00591737"/>
    <w:rsid w:val="00593CAD"/>
    <w:rsid w:val="00596776"/>
    <w:rsid w:val="00596DEA"/>
    <w:rsid w:val="0059731B"/>
    <w:rsid w:val="005A4D27"/>
    <w:rsid w:val="005B25EE"/>
    <w:rsid w:val="005B7DC1"/>
    <w:rsid w:val="005C1842"/>
    <w:rsid w:val="005D65C1"/>
    <w:rsid w:val="005E1BC4"/>
    <w:rsid w:val="005F0A8D"/>
    <w:rsid w:val="005F494C"/>
    <w:rsid w:val="00600161"/>
    <w:rsid w:val="00602AD3"/>
    <w:rsid w:val="00604786"/>
    <w:rsid w:val="00614D3A"/>
    <w:rsid w:val="00616E3D"/>
    <w:rsid w:val="00621979"/>
    <w:rsid w:val="006314CE"/>
    <w:rsid w:val="00631EAF"/>
    <w:rsid w:val="00636536"/>
    <w:rsid w:val="0064121A"/>
    <w:rsid w:val="0064668A"/>
    <w:rsid w:val="00655B0E"/>
    <w:rsid w:val="00657D37"/>
    <w:rsid w:val="006629F5"/>
    <w:rsid w:val="00666B4C"/>
    <w:rsid w:val="00671033"/>
    <w:rsid w:val="00674EF6"/>
    <w:rsid w:val="00677DCF"/>
    <w:rsid w:val="006842CC"/>
    <w:rsid w:val="0068798A"/>
    <w:rsid w:val="006918D8"/>
    <w:rsid w:val="006A0F29"/>
    <w:rsid w:val="006A60EF"/>
    <w:rsid w:val="006B27BD"/>
    <w:rsid w:val="006B4512"/>
    <w:rsid w:val="006C2183"/>
    <w:rsid w:val="006C2F2C"/>
    <w:rsid w:val="006D5399"/>
    <w:rsid w:val="006F0BE1"/>
    <w:rsid w:val="006F6316"/>
    <w:rsid w:val="006F7135"/>
    <w:rsid w:val="0071114C"/>
    <w:rsid w:val="007245F9"/>
    <w:rsid w:val="00724CA7"/>
    <w:rsid w:val="00725722"/>
    <w:rsid w:val="00734DEC"/>
    <w:rsid w:val="007356F0"/>
    <w:rsid w:val="00747188"/>
    <w:rsid w:val="0075008C"/>
    <w:rsid w:val="0075078C"/>
    <w:rsid w:val="00755DF3"/>
    <w:rsid w:val="007566A5"/>
    <w:rsid w:val="0075798C"/>
    <w:rsid w:val="00762C0E"/>
    <w:rsid w:val="00772F35"/>
    <w:rsid w:val="0077562D"/>
    <w:rsid w:val="007820B3"/>
    <w:rsid w:val="007844ED"/>
    <w:rsid w:val="007875A8"/>
    <w:rsid w:val="00792CF6"/>
    <w:rsid w:val="00796095"/>
    <w:rsid w:val="007A4358"/>
    <w:rsid w:val="007B0036"/>
    <w:rsid w:val="007C0291"/>
    <w:rsid w:val="007C2FA0"/>
    <w:rsid w:val="007C40FD"/>
    <w:rsid w:val="007D2B44"/>
    <w:rsid w:val="007D3F55"/>
    <w:rsid w:val="007D5C72"/>
    <w:rsid w:val="007E0DAB"/>
    <w:rsid w:val="007E27A7"/>
    <w:rsid w:val="007E6E29"/>
    <w:rsid w:val="007F3B2A"/>
    <w:rsid w:val="007F7FB2"/>
    <w:rsid w:val="0080233B"/>
    <w:rsid w:val="00802A4D"/>
    <w:rsid w:val="00805FE4"/>
    <w:rsid w:val="008078BF"/>
    <w:rsid w:val="008108F7"/>
    <w:rsid w:val="00810CCC"/>
    <w:rsid w:val="008110C3"/>
    <w:rsid w:val="0081167C"/>
    <w:rsid w:val="008128D8"/>
    <w:rsid w:val="00814A94"/>
    <w:rsid w:val="008314D8"/>
    <w:rsid w:val="008332FE"/>
    <w:rsid w:val="0083654B"/>
    <w:rsid w:val="00836A5C"/>
    <w:rsid w:val="00836E90"/>
    <w:rsid w:val="00842A85"/>
    <w:rsid w:val="00845640"/>
    <w:rsid w:val="00862A7B"/>
    <w:rsid w:val="00862DC5"/>
    <w:rsid w:val="00865CAC"/>
    <w:rsid w:val="00867892"/>
    <w:rsid w:val="00873A3E"/>
    <w:rsid w:val="008742DD"/>
    <w:rsid w:val="00876240"/>
    <w:rsid w:val="008824B3"/>
    <w:rsid w:val="008861E4"/>
    <w:rsid w:val="00892CD7"/>
    <w:rsid w:val="00892F0C"/>
    <w:rsid w:val="008A0BC6"/>
    <w:rsid w:val="008A176D"/>
    <w:rsid w:val="008A3F6F"/>
    <w:rsid w:val="008B0D6F"/>
    <w:rsid w:val="008B3437"/>
    <w:rsid w:val="008B37FC"/>
    <w:rsid w:val="008B5917"/>
    <w:rsid w:val="008B5DF0"/>
    <w:rsid w:val="008C6524"/>
    <w:rsid w:val="008D09E8"/>
    <w:rsid w:val="008D2863"/>
    <w:rsid w:val="008E498E"/>
    <w:rsid w:val="008F4B98"/>
    <w:rsid w:val="00907ED3"/>
    <w:rsid w:val="009125FE"/>
    <w:rsid w:val="00913345"/>
    <w:rsid w:val="0091571D"/>
    <w:rsid w:val="0092094A"/>
    <w:rsid w:val="00920ABE"/>
    <w:rsid w:val="00920FAC"/>
    <w:rsid w:val="00922052"/>
    <w:rsid w:val="00932D6D"/>
    <w:rsid w:val="009443E1"/>
    <w:rsid w:val="00944B4B"/>
    <w:rsid w:val="00966368"/>
    <w:rsid w:val="00977961"/>
    <w:rsid w:val="00980F59"/>
    <w:rsid w:val="00982729"/>
    <w:rsid w:val="0099677F"/>
    <w:rsid w:val="009A1546"/>
    <w:rsid w:val="009A3457"/>
    <w:rsid w:val="009A5873"/>
    <w:rsid w:val="009B2E65"/>
    <w:rsid w:val="009B508D"/>
    <w:rsid w:val="009B533B"/>
    <w:rsid w:val="009B67C7"/>
    <w:rsid w:val="009C0D89"/>
    <w:rsid w:val="009C109F"/>
    <w:rsid w:val="009C14BB"/>
    <w:rsid w:val="009C2B2A"/>
    <w:rsid w:val="009D09D6"/>
    <w:rsid w:val="009D09F4"/>
    <w:rsid w:val="009D7230"/>
    <w:rsid w:val="009D7679"/>
    <w:rsid w:val="009E12B0"/>
    <w:rsid w:val="009E3EC0"/>
    <w:rsid w:val="009F11C1"/>
    <w:rsid w:val="009F4526"/>
    <w:rsid w:val="00A0080D"/>
    <w:rsid w:val="00A00F19"/>
    <w:rsid w:val="00A04578"/>
    <w:rsid w:val="00A04797"/>
    <w:rsid w:val="00A05A37"/>
    <w:rsid w:val="00A10358"/>
    <w:rsid w:val="00A14695"/>
    <w:rsid w:val="00A200FF"/>
    <w:rsid w:val="00A204EE"/>
    <w:rsid w:val="00A207F9"/>
    <w:rsid w:val="00A24251"/>
    <w:rsid w:val="00A33933"/>
    <w:rsid w:val="00A448E0"/>
    <w:rsid w:val="00A52EF3"/>
    <w:rsid w:val="00A60D68"/>
    <w:rsid w:val="00A61379"/>
    <w:rsid w:val="00A71BE5"/>
    <w:rsid w:val="00A75ED2"/>
    <w:rsid w:val="00A76DC0"/>
    <w:rsid w:val="00A807E9"/>
    <w:rsid w:val="00A8468B"/>
    <w:rsid w:val="00A85002"/>
    <w:rsid w:val="00A91725"/>
    <w:rsid w:val="00A9305A"/>
    <w:rsid w:val="00AA572E"/>
    <w:rsid w:val="00AB1EDA"/>
    <w:rsid w:val="00AB2364"/>
    <w:rsid w:val="00AC5039"/>
    <w:rsid w:val="00AC56DD"/>
    <w:rsid w:val="00AC72B9"/>
    <w:rsid w:val="00AD1DE9"/>
    <w:rsid w:val="00AD3116"/>
    <w:rsid w:val="00AD4527"/>
    <w:rsid w:val="00AD693A"/>
    <w:rsid w:val="00AD7993"/>
    <w:rsid w:val="00AD79BD"/>
    <w:rsid w:val="00AE111B"/>
    <w:rsid w:val="00AE677D"/>
    <w:rsid w:val="00AF672A"/>
    <w:rsid w:val="00AF724B"/>
    <w:rsid w:val="00AF7CF3"/>
    <w:rsid w:val="00B01601"/>
    <w:rsid w:val="00B063D3"/>
    <w:rsid w:val="00B0721E"/>
    <w:rsid w:val="00B077DD"/>
    <w:rsid w:val="00B237B7"/>
    <w:rsid w:val="00B523D4"/>
    <w:rsid w:val="00B60328"/>
    <w:rsid w:val="00B61B66"/>
    <w:rsid w:val="00B7151E"/>
    <w:rsid w:val="00B73045"/>
    <w:rsid w:val="00B74282"/>
    <w:rsid w:val="00B754BC"/>
    <w:rsid w:val="00B76D80"/>
    <w:rsid w:val="00B7702C"/>
    <w:rsid w:val="00B84D42"/>
    <w:rsid w:val="00B904AD"/>
    <w:rsid w:val="00B92C4F"/>
    <w:rsid w:val="00B9684D"/>
    <w:rsid w:val="00B96FED"/>
    <w:rsid w:val="00BB5394"/>
    <w:rsid w:val="00BB6B55"/>
    <w:rsid w:val="00BD6821"/>
    <w:rsid w:val="00BD7B29"/>
    <w:rsid w:val="00BE20E0"/>
    <w:rsid w:val="00BE4A9F"/>
    <w:rsid w:val="00BE4B21"/>
    <w:rsid w:val="00BE66FA"/>
    <w:rsid w:val="00BE6C92"/>
    <w:rsid w:val="00BF08DD"/>
    <w:rsid w:val="00BF14A3"/>
    <w:rsid w:val="00BF196A"/>
    <w:rsid w:val="00BF3DEE"/>
    <w:rsid w:val="00BF4794"/>
    <w:rsid w:val="00C00C6C"/>
    <w:rsid w:val="00C11D89"/>
    <w:rsid w:val="00C14C6F"/>
    <w:rsid w:val="00C16177"/>
    <w:rsid w:val="00C240C7"/>
    <w:rsid w:val="00C246CF"/>
    <w:rsid w:val="00C34DC9"/>
    <w:rsid w:val="00C3617E"/>
    <w:rsid w:val="00C37A6A"/>
    <w:rsid w:val="00C44FF3"/>
    <w:rsid w:val="00C47802"/>
    <w:rsid w:val="00C70401"/>
    <w:rsid w:val="00C7091E"/>
    <w:rsid w:val="00C740F8"/>
    <w:rsid w:val="00C80FD6"/>
    <w:rsid w:val="00C84B34"/>
    <w:rsid w:val="00C92918"/>
    <w:rsid w:val="00C93D2B"/>
    <w:rsid w:val="00C95D22"/>
    <w:rsid w:val="00CB4FA4"/>
    <w:rsid w:val="00CB5ADF"/>
    <w:rsid w:val="00CC225C"/>
    <w:rsid w:val="00CC3C5C"/>
    <w:rsid w:val="00CC417E"/>
    <w:rsid w:val="00CC505D"/>
    <w:rsid w:val="00CD0FE6"/>
    <w:rsid w:val="00CD16B6"/>
    <w:rsid w:val="00CD38FD"/>
    <w:rsid w:val="00CE65B3"/>
    <w:rsid w:val="00CE6E41"/>
    <w:rsid w:val="00D0644E"/>
    <w:rsid w:val="00D07802"/>
    <w:rsid w:val="00D15BE6"/>
    <w:rsid w:val="00D21D03"/>
    <w:rsid w:val="00D23529"/>
    <w:rsid w:val="00D30B2F"/>
    <w:rsid w:val="00D44D3E"/>
    <w:rsid w:val="00D44EBA"/>
    <w:rsid w:val="00D5594F"/>
    <w:rsid w:val="00D63539"/>
    <w:rsid w:val="00D639F5"/>
    <w:rsid w:val="00D71228"/>
    <w:rsid w:val="00D73654"/>
    <w:rsid w:val="00D768E9"/>
    <w:rsid w:val="00D80EF2"/>
    <w:rsid w:val="00D81190"/>
    <w:rsid w:val="00D940D9"/>
    <w:rsid w:val="00D94BAB"/>
    <w:rsid w:val="00D97AAE"/>
    <w:rsid w:val="00DA3F48"/>
    <w:rsid w:val="00DA6C74"/>
    <w:rsid w:val="00DB1850"/>
    <w:rsid w:val="00DB47FE"/>
    <w:rsid w:val="00DC0639"/>
    <w:rsid w:val="00DC767A"/>
    <w:rsid w:val="00DD6B31"/>
    <w:rsid w:val="00DE29AB"/>
    <w:rsid w:val="00DE4987"/>
    <w:rsid w:val="00DE552E"/>
    <w:rsid w:val="00DE68B3"/>
    <w:rsid w:val="00DE703B"/>
    <w:rsid w:val="00DF3B76"/>
    <w:rsid w:val="00E16E9C"/>
    <w:rsid w:val="00E17F6D"/>
    <w:rsid w:val="00E24D50"/>
    <w:rsid w:val="00E24DA0"/>
    <w:rsid w:val="00E24DD0"/>
    <w:rsid w:val="00E304E8"/>
    <w:rsid w:val="00E36A33"/>
    <w:rsid w:val="00E41E3D"/>
    <w:rsid w:val="00E4588E"/>
    <w:rsid w:val="00E57775"/>
    <w:rsid w:val="00E57B72"/>
    <w:rsid w:val="00E57D8E"/>
    <w:rsid w:val="00E607C0"/>
    <w:rsid w:val="00E63D32"/>
    <w:rsid w:val="00E727D5"/>
    <w:rsid w:val="00E74F58"/>
    <w:rsid w:val="00E85917"/>
    <w:rsid w:val="00E85B17"/>
    <w:rsid w:val="00E945C1"/>
    <w:rsid w:val="00EA0483"/>
    <w:rsid w:val="00EA0E2E"/>
    <w:rsid w:val="00EA2041"/>
    <w:rsid w:val="00EA6F0D"/>
    <w:rsid w:val="00EB1795"/>
    <w:rsid w:val="00EC2C50"/>
    <w:rsid w:val="00EC6222"/>
    <w:rsid w:val="00EC693C"/>
    <w:rsid w:val="00ED019A"/>
    <w:rsid w:val="00ED0F9F"/>
    <w:rsid w:val="00EE37E7"/>
    <w:rsid w:val="00EE6C13"/>
    <w:rsid w:val="00EE6FFC"/>
    <w:rsid w:val="00EF0121"/>
    <w:rsid w:val="00EF7CAE"/>
    <w:rsid w:val="00EF7FB5"/>
    <w:rsid w:val="00F00192"/>
    <w:rsid w:val="00F10A8E"/>
    <w:rsid w:val="00F11DD8"/>
    <w:rsid w:val="00F13B45"/>
    <w:rsid w:val="00F173B0"/>
    <w:rsid w:val="00F26CA5"/>
    <w:rsid w:val="00F273E6"/>
    <w:rsid w:val="00F324FF"/>
    <w:rsid w:val="00F32702"/>
    <w:rsid w:val="00F334B6"/>
    <w:rsid w:val="00F34725"/>
    <w:rsid w:val="00F34AA8"/>
    <w:rsid w:val="00F352AB"/>
    <w:rsid w:val="00F41478"/>
    <w:rsid w:val="00F47468"/>
    <w:rsid w:val="00F532C7"/>
    <w:rsid w:val="00F64201"/>
    <w:rsid w:val="00F67AEF"/>
    <w:rsid w:val="00F67C87"/>
    <w:rsid w:val="00F7101E"/>
    <w:rsid w:val="00F723F9"/>
    <w:rsid w:val="00F77A9D"/>
    <w:rsid w:val="00F81FBF"/>
    <w:rsid w:val="00F83449"/>
    <w:rsid w:val="00F92091"/>
    <w:rsid w:val="00FA2F36"/>
    <w:rsid w:val="00FA681A"/>
    <w:rsid w:val="00FB047D"/>
    <w:rsid w:val="00FC30CA"/>
    <w:rsid w:val="00FC3B00"/>
    <w:rsid w:val="00FC56A4"/>
    <w:rsid w:val="00FD5DC5"/>
    <w:rsid w:val="00FE0E7A"/>
    <w:rsid w:val="00FE2876"/>
    <w:rsid w:val="00FF4B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B0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 w:type="paragraph" w:styleId="NoSpacing">
    <w:name w:val="No Spacing"/>
    <w:basedOn w:val="Normal"/>
    <w:link w:val="NoSpacingChar"/>
    <w:qFormat/>
    <w:rsid w:val="00185ADB"/>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85ADB"/>
    <w:rPr>
      <w:rFonts w:ascii="Times New Roman" w:eastAsia="宋体" w:hAnsi="Times New Roman" w:cs="Times New Roman"/>
      <w:sz w:val="24"/>
      <w:szCs w:val="24"/>
      <w:lang w:eastAsia="zh-CN"/>
    </w:rPr>
  </w:style>
  <w:style w:type="character" w:customStyle="1" w:styleId="msonormal0">
    <w:name w:val="msonormal0"/>
    <w:basedOn w:val="DefaultParagraphFont"/>
    <w:rsid w:val="00185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71C"/>
    <w:pPr>
      <w:bidi/>
      <w:spacing w:after="0" w:line="240" w:lineRule="auto"/>
      <w:ind w:left="720" w:hanging="720"/>
      <w:contextualSpacing/>
    </w:pPr>
    <w:rPr>
      <w:rFonts w:ascii="Calibri" w:eastAsia="Calibri" w:hAnsi="Calibri" w:cs="Arial"/>
    </w:rPr>
  </w:style>
  <w:style w:type="paragraph" w:styleId="NormalWeb">
    <w:name w:val="Normal (Web)"/>
    <w:basedOn w:val="Normal"/>
    <w:uiPriority w:val="99"/>
    <w:unhideWhenUsed/>
    <w:rsid w:val="002C17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7500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1B65FE"/>
    <w:rPr>
      <w:rFonts w:ascii="Garamond Premr Pro" w:hAnsi="Garamond Premr Pro" w:cs="Garamond Premr Pro"/>
      <w:color w:val="000000"/>
      <w:sz w:val="14"/>
      <w:szCs w:val="14"/>
    </w:rPr>
  </w:style>
  <w:style w:type="paragraph" w:customStyle="1" w:styleId="Pa3">
    <w:name w:val="Pa3"/>
    <w:basedOn w:val="Default"/>
    <w:next w:val="Default"/>
    <w:uiPriority w:val="99"/>
    <w:rsid w:val="001B65FE"/>
    <w:pPr>
      <w:spacing w:line="201" w:lineRule="atLeast"/>
    </w:pPr>
    <w:rPr>
      <w:rFonts w:ascii="AGaramond" w:hAnsi="AGaramond" w:cstheme="minorBidi"/>
      <w:color w:val="auto"/>
    </w:rPr>
  </w:style>
  <w:style w:type="table" w:customStyle="1" w:styleId="TableGrid1">
    <w:name w:val="Table Grid1"/>
    <w:basedOn w:val="TableNormal"/>
    <w:next w:val="TableGrid"/>
    <w:uiPriority w:val="59"/>
    <w:rsid w:val="00604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0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401"/>
    <w:rPr>
      <w:rFonts w:ascii="Tahoma" w:hAnsi="Tahoma" w:cs="Tahoma"/>
      <w:sz w:val="16"/>
      <w:szCs w:val="16"/>
    </w:rPr>
  </w:style>
  <w:style w:type="character" w:styleId="Hyperlink">
    <w:name w:val="Hyperlink"/>
    <w:basedOn w:val="DefaultParagraphFont"/>
    <w:uiPriority w:val="99"/>
    <w:unhideWhenUsed/>
    <w:rsid w:val="00C70401"/>
    <w:rPr>
      <w:color w:val="0000FF"/>
      <w:u w:val="single"/>
    </w:rPr>
  </w:style>
  <w:style w:type="paragraph" w:styleId="Header">
    <w:name w:val="header"/>
    <w:basedOn w:val="Normal"/>
    <w:link w:val="HeaderChar"/>
    <w:uiPriority w:val="99"/>
    <w:unhideWhenUsed/>
    <w:rsid w:val="00C704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0401"/>
  </w:style>
  <w:style w:type="paragraph" w:styleId="Footer">
    <w:name w:val="footer"/>
    <w:basedOn w:val="Normal"/>
    <w:link w:val="FooterChar"/>
    <w:uiPriority w:val="99"/>
    <w:unhideWhenUsed/>
    <w:rsid w:val="00C704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04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sreenalinci@hotmail.com" TargetMode="External"/><Relationship Id="rId13" Type="http://schemas.openxmlformats.org/officeDocument/2006/relationships/image" Target="media/image1.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90119.13"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23F18-B512-408B-8FB5-F7146C1C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Nesreen Ali</dc:creator>
  <cp:lastModifiedBy>Administrator</cp:lastModifiedBy>
  <cp:revision>7</cp:revision>
  <cp:lastPrinted>2019-04-15T06:16:00Z</cp:lastPrinted>
  <dcterms:created xsi:type="dcterms:W3CDTF">2019-04-16T14:52:00Z</dcterms:created>
  <dcterms:modified xsi:type="dcterms:W3CDTF">2019-04-20T01:49:00Z</dcterms:modified>
</cp:coreProperties>
</file>