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BD" w:rsidRPr="000C7426" w:rsidRDefault="006209D5" w:rsidP="000C7426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</w:rPr>
      </w:pPr>
      <w:r w:rsidRPr="000C7426"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Synergistic Interaction of </w:t>
      </w:r>
      <w:proofErr w:type="spellStart"/>
      <w:r w:rsidRPr="000C7426">
        <w:rPr>
          <w:rFonts w:ascii="Times New Roman" w:hAnsi="Times New Roman" w:cs="Times New Roman"/>
          <w:b/>
          <w:bCs/>
          <w:color w:val="000000" w:themeColor="text1"/>
          <w:sz w:val="20"/>
        </w:rPr>
        <w:t>Lapatinib</w:t>
      </w:r>
      <w:proofErr w:type="spellEnd"/>
      <w:r w:rsidRPr="000C7426"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 plus Doxorubicin or 5-Fluorouracil Accelerates Cell Death of Triple Negative Breast Cancer MDA-MB-231 Cell Line</w:t>
      </w:r>
    </w:p>
    <w:p w:rsidR="00013ABD" w:rsidRPr="000C7426" w:rsidRDefault="00013ABD" w:rsidP="000C7426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013ABD" w:rsidRPr="000C7426" w:rsidRDefault="00C87804" w:rsidP="000C7426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C7426">
        <w:rPr>
          <w:rFonts w:ascii="Times New Roman" w:hAnsi="Times New Roman" w:cs="Times New Roman"/>
          <w:bCs/>
          <w:sz w:val="20"/>
        </w:rPr>
        <w:t>Mona A</w:t>
      </w:r>
      <w:r w:rsidR="00333ACC" w:rsidRPr="000C7426">
        <w:rPr>
          <w:rFonts w:ascii="Times New Roman" w:hAnsi="Times New Roman" w:cs="Times New Roman"/>
          <w:bCs/>
          <w:sz w:val="20"/>
        </w:rPr>
        <w:t>.</w:t>
      </w:r>
      <w:r w:rsidR="0089060B" w:rsidRPr="000C7426">
        <w:rPr>
          <w:rFonts w:ascii="Times New Roman" w:hAnsi="Times New Roman" w:cs="Times New Roman"/>
          <w:bCs/>
          <w:sz w:val="20"/>
        </w:rPr>
        <w:t xml:space="preserve"> </w:t>
      </w:r>
      <w:r w:rsidRPr="000C7426">
        <w:rPr>
          <w:rFonts w:ascii="Times New Roman" w:hAnsi="Times New Roman" w:cs="Times New Roman"/>
          <w:bCs/>
          <w:sz w:val="20"/>
        </w:rPr>
        <w:t>M</w:t>
      </w:r>
      <w:r w:rsidR="00333ACC" w:rsidRPr="000C7426">
        <w:rPr>
          <w:rFonts w:ascii="Times New Roman" w:hAnsi="Times New Roman" w:cs="Times New Roman"/>
          <w:bCs/>
          <w:sz w:val="20"/>
        </w:rPr>
        <w:t>.</w:t>
      </w:r>
      <w:r w:rsidRPr="000C7426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0C7426">
        <w:rPr>
          <w:rFonts w:ascii="Times New Roman" w:hAnsi="Times New Roman" w:cs="Times New Roman"/>
          <w:bCs/>
          <w:sz w:val="20"/>
        </w:rPr>
        <w:t>Abo-Zeid</w:t>
      </w:r>
      <w:proofErr w:type="spellEnd"/>
      <w:r w:rsidR="00BB36BE" w:rsidRPr="000C7426">
        <w:rPr>
          <w:rFonts w:ascii="Times New Roman" w:hAnsi="Times New Roman" w:cs="Times New Roman"/>
          <w:bCs/>
          <w:sz w:val="20"/>
          <w:vertAlign w:val="superscript"/>
        </w:rPr>
        <w:t xml:space="preserve"> 1,2</w:t>
      </w:r>
      <w:r w:rsidRPr="000C7426">
        <w:rPr>
          <w:rFonts w:ascii="Times New Roman" w:hAnsi="Times New Roman" w:cs="Times New Roman"/>
          <w:bCs/>
          <w:sz w:val="20"/>
        </w:rPr>
        <w:t xml:space="preserve">, </w:t>
      </w:r>
      <w:proofErr w:type="spellStart"/>
      <w:r w:rsidRPr="000C7426">
        <w:rPr>
          <w:rFonts w:ascii="Times New Roman" w:hAnsi="Times New Roman" w:cs="Times New Roman"/>
          <w:bCs/>
          <w:sz w:val="20"/>
        </w:rPr>
        <w:t>Mahmoud</w:t>
      </w:r>
      <w:proofErr w:type="spellEnd"/>
      <w:r w:rsidRPr="000C7426">
        <w:rPr>
          <w:rFonts w:ascii="Times New Roman" w:hAnsi="Times New Roman" w:cs="Times New Roman"/>
          <w:bCs/>
          <w:sz w:val="20"/>
        </w:rPr>
        <w:t xml:space="preserve"> T</w:t>
      </w:r>
      <w:r w:rsidR="00333ACC" w:rsidRPr="000C7426">
        <w:rPr>
          <w:rFonts w:ascii="Times New Roman" w:hAnsi="Times New Roman" w:cs="Times New Roman"/>
          <w:bCs/>
          <w:sz w:val="20"/>
        </w:rPr>
        <w:t xml:space="preserve">. </w:t>
      </w:r>
      <w:proofErr w:type="spellStart"/>
      <w:r w:rsidRPr="000C7426">
        <w:rPr>
          <w:rFonts w:ascii="Times New Roman" w:hAnsi="Times New Roman" w:cs="Times New Roman"/>
          <w:bCs/>
          <w:sz w:val="20"/>
        </w:rPr>
        <w:t>Abo-Elfadl</w:t>
      </w:r>
      <w:proofErr w:type="spellEnd"/>
      <w:r w:rsidRPr="000C7426">
        <w:rPr>
          <w:rFonts w:ascii="Times New Roman" w:hAnsi="Times New Roman" w:cs="Times New Roman"/>
          <w:bCs/>
          <w:sz w:val="20"/>
          <w:vertAlign w:val="superscript"/>
        </w:rPr>
        <w:t xml:space="preserve"> 2,3</w:t>
      </w:r>
      <w:r w:rsidR="000158D9" w:rsidRPr="000C7426">
        <w:rPr>
          <w:rFonts w:ascii="Times New Roman" w:hAnsi="Times New Roman" w:cs="Times New Roman"/>
          <w:bCs/>
          <w:sz w:val="20"/>
        </w:rPr>
        <w:t xml:space="preserve"> </w:t>
      </w:r>
    </w:p>
    <w:p w:rsidR="00013ABD" w:rsidRPr="000C7426" w:rsidRDefault="00013ABD" w:rsidP="000C7426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97D57" w:rsidRPr="000C7426" w:rsidRDefault="00C87804" w:rsidP="000C742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7426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0C7426">
        <w:rPr>
          <w:rFonts w:ascii="Times New Roman" w:hAnsi="Times New Roman" w:cs="Times New Roman"/>
          <w:sz w:val="20"/>
          <w:szCs w:val="20"/>
        </w:rPr>
        <w:t>Genetics and Cytology Department, Genetic Engineering and Biotechnology Research Division,</w:t>
      </w:r>
    </w:p>
    <w:p w:rsidR="00C87804" w:rsidRPr="000C7426" w:rsidRDefault="00C87804" w:rsidP="000C742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7426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0C7426">
        <w:rPr>
          <w:rFonts w:ascii="Times New Roman" w:hAnsi="Times New Roman" w:cs="Times New Roman"/>
          <w:sz w:val="20"/>
          <w:szCs w:val="20"/>
        </w:rPr>
        <w:t>Cancer Biology and Genetics Laboratory</w:t>
      </w:r>
      <w:r w:rsidR="00676907" w:rsidRPr="000C7426">
        <w:rPr>
          <w:rFonts w:ascii="Times New Roman" w:hAnsi="Times New Roman" w:cs="Times New Roman"/>
          <w:sz w:val="20"/>
          <w:szCs w:val="20"/>
        </w:rPr>
        <w:t xml:space="preserve"> </w:t>
      </w:r>
      <w:r w:rsidRPr="000C7426">
        <w:rPr>
          <w:rFonts w:ascii="Times New Roman" w:hAnsi="Times New Roman" w:cs="Times New Roman"/>
          <w:sz w:val="20"/>
          <w:szCs w:val="20"/>
        </w:rPr>
        <w:t xml:space="preserve">- Centre of Excellence for Advanced Sciences, </w:t>
      </w:r>
      <w:r w:rsidR="00B47274" w:rsidRPr="000C7426">
        <w:rPr>
          <w:rFonts w:ascii="Times New Roman" w:hAnsi="Times New Roman" w:cs="Times New Roman"/>
          <w:sz w:val="20"/>
          <w:szCs w:val="20"/>
        </w:rPr>
        <w:t>and</w:t>
      </w:r>
    </w:p>
    <w:p w:rsidR="00B47274" w:rsidRPr="000C7426" w:rsidRDefault="00C87804" w:rsidP="000C742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7426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0C7426">
        <w:rPr>
          <w:rFonts w:ascii="Times New Roman" w:hAnsi="Times New Roman" w:cs="Times New Roman"/>
          <w:sz w:val="20"/>
          <w:szCs w:val="20"/>
        </w:rPr>
        <w:t xml:space="preserve">Biochemistry Department, Genetic Engineering and Biotechnology Research Division, </w:t>
      </w:r>
    </w:p>
    <w:p w:rsidR="0082388D" w:rsidRPr="000C7426" w:rsidRDefault="00C87804" w:rsidP="000C742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C7426">
        <w:rPr>
          <w:rFonts w:ascii="Times New Roman" w:hAnsi="Times New Roman" w:cs="Times New Roman"/>
          <w:sz w:val="20"/>
          <w:szCs w:val="20"/>
        </w:rPr>
        <w:t xml:space="preserve">National Research Centre, </w:t>
      </w:r>
      <w:proofErr w:type="spellStart"/>
      <w:r w:rsidRPr="000C7426">
        <w:rPr>
          <w:rFonts w:ascii="Times New Roman" w:hAnsi="Times New Roman" w:cs="Times New Roman"/>
          <w:sz w:val="20"/>
          <w:szCs w:val="20"/>
        </w:rPr>
        <w:t>Dokki</w:t>
      </w:r>
      <w:proofErr w:type="spellEnd"/>
      <w:r w:rsidRPr="000C7426">
        <w:rPr>
          <w:rFonts w:ascii="Times New Roman" w:hAnsi="Times New Roman" w:cs="Times New Roman"/>
          <w:sz w:val="20"/>
          <w:szCs w:val="20"/>
        </w:rPr>
        <w:t xml:space="preserve"> 12622, Cairo, Egypt.</w:t>
      </w:r>
      <w:r w:rsidR="0082388D" w:rsidRPr="000C7426">
        <w:rPr>
          <w:rFonts w:ascii="Times New Roman" w:hAnsi="Times New Roman" w:cs="Times New Roman"/>
          <w:sz w:val="20"/>
        </w:rPr>
        <w:t xml:space="preserve"> </w:t>
      </w:r>
    </w:p>
    <w:p w:rsidR="00C87804" w:rsidRDefault="00F0053C" w:rsidP="000C742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lang w:eastAsia="zh-CN"/>
        </w:rPr>
      </w:pPr>
      <w:hyperlink r:id="rId8" w:history="1">
        <w:r w:rsidR="0082388D" w:rsidRPr="000C7426">
          <w:rPr>
            <w:rStyle w:val="Hyperlink"/>
            <w:rFonts w:ascii="Times New Roman" w:hAnsi="Times New Roman" w:cs="Times New Roman"/>
            <w:sz w:val="20"/>
            <w:szCs w:val="20"/>
          </w:rPr>
          <w:t>monaabozeid@yahoo.com</w:t>
        </w:r>
      </w:hyperlink>
    </w:p>
    <w:p w:rsidR="003B23F1" w:rsidRPr="000C7426" w:rsidRDefault="003B23F1" w:rsidP="000C7426">
      <w:pPr>
        <w:snapToGrid w:val="0"/>
        <w:spacing w:after="0" w:line="240" w:lineRule="auto"/>
        <w:jc w:val="center"/>
        <w:rPr>
          <w:rStyle w:val="Hyperlink"/>
          <w:rFonts w:ascii="Times New Roman" w:hAnsi="Times New Roman" w:cs="Times New Roman"/>
          <w:sz w:val="20"/>
          <w:szCs w:val="20"/>
          <w:lang w:eastAsia="zh-CN"/>
        </w:rPr>
      </w:pPr>
    </w:p>
    <w:p w:rsidR="00716978" w:rsidRPr="000C7426" w:rsidRDefault="009146B8" w:rsidP="000C742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C7426">
        <w:rPr>
          <w:rFonts w:ascii="Times New Roman" w:hAnsi="Times New Roman" w:cs="Times New Roman"/>
          <w:b/>
          <w:bCs/>
          <w:sz w:val="20"/>
          <w:szCs w:val="20"/>
        </w:rPr>
        <w:t>Abstract</w:t>
      </w:r>
      <w:r w:rsidR="000C7426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: </w:t>
      </w:r>
      <w:r w:rsidR="005C4BFA" w:rsidRPr="000C7426">
        <w:rPr>
          <w:rFonts w:ascii="Times New Roman" w:hAnsi="Times New Roman" w:cs="Times New Roman"/>
          <w:b/>
          <w:bCs/>
          <w:sz w:val="20"/>
          <w:szCs w:val="20"/>
        </w:rPr>
        <w:t>Background</w:t>
      </w:r>
      <w:r w:rsidR="00063DA3" w:rsidRPr="000C7426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063DA3" w:rsidRPr="000C74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25790" w:rsidRPr="000C7426">
        <w:rPr>
          <w:rFonts w:ascii="Times New Roman" w:hAnsi="Times New Roman" w:cs="Times New Roman"/>
          <w:sz w:val="20"/>
          <w:szCs w:val="20"/>
        </w:rPr>
        <w:t>Lapatinib</w:t>
      </w:r>
      <w:proofErr w:type="spellEnd"/>
      <w:r w:rsidR="003B393F" w:rsidRPr="000C7426">
        <w:rPr>
          <w:rFonts w:ascii="Times New Roman" w:hAnsi="Times New Roman" w:cs="Times New Roman"/>
          <w:sz w:val="20"/>
          <w:szCs w:val="20"/>
        </w:rPr>
        <w:t>,</w:t>
      </w:r>
      <w:r w:rsidR="001A6A7F" w:rsidRPr="000C7426">
        <w:rPr>
          <w:rFonts w:ascii="Times New Roman" w:hAnsi="Times New Roman" w:cs="Times New Roman"/>
          <w:sz w:val="20"/>
          <w:szCs w:val="20"/>
        </w:rPr>
        <w:t xml:space="preserve"> </w:t>
      </w:r>
      <w:r w:rsidR="00F473CF" w:rsidRPr="000C7426">
        <w:rPr>
          <w:rFonts w:ascii="Times New Roman" w:hAnsi="Times New Roman" w:cs="Times New Roman"/>
          <w:sz w:val="20"/>
          <w:szCs w:val="20"/>
        </w:rPr>
        <w:t>one of</w:t>
      </w:r>
      <w:r w:rsidR="00E1544C" w:rsidRPr="000C7426">
        <w:rPr>
          <w:rFonts w:ascii="Times New Roman" w:hAnsi="Times New Roman" w:cs="Times New Roman"/>
          <w:sz w:val="20"/>
          <w:szCs w:val="20"/>
        </w:rPr>
        <w:t xml:space="preserve"> </w:t>
      </w:r>
      <w:r w:rsidR="007F11F3" w:rsidRPr="000C7426">
        <w:rPr>
          <w:rFonts w:ascii="Times New Roman" w:hAnsi="Times New Roman" w:cs="Times New Roman"/>
          <w:sz w:val="20"/>
          <w:szCs w:val="20"/>
        </w:rPr>
        <w:t xml:space="preserve">tyrosine </w:t>
      </w:r>
      <w:proofErr w:type="spellStart"/>
      <w:r w:rsidR="007F11F3" w:rsidRPr="000C7426">
        <w:rPr>
          <w:rFonts w:ascii="Times New Roman" w:hAnsi="Times New Roman" w:cs="Times New Roman"/>
          <w:sz w:val="20"/>
          <w:szCs w:val="20"/>
        </w:rPr>
        <w:t>kinase</w:t>
      </w:r>
      <w:proofErr w:type="spellEnd"/>
      <w:r w:rsidR="007F11F3" w:rsidRPr="000C7426">
        <w:rPr>
          <w:rFonts w:ascii="Times New Roman" w:hAnsi="Times New Roman" w:cs="Times New Roman"/>
          <w:sz w:val="20"/>
          <w:szCs w:val="20"/>
        </w:rPr>
        <w:t xml:space="preserve"> inhibitor</w:t>
      </w:r>
      <w:r w:rsidR="00716978" w:rsidRPr="000C742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716978" w:rsidRPr="000C7426">
        <w:rPr>
          <w:rFonts w:ascii="Times New Roman" w:hAnsi="Times New Roman" w:cs="Times New Roman"/>
          <w:sz w:val="20"/>
          <w:szCs w:val="20"/>
        </w:rPr>
        <w:t>TKI</w:t>
      </w:r>
      <w:r w:rsidR="00F473CF" w:rsidRPr="000C7426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716978" w:rsidRPr="000C7426">
        <w:rPr>
          <w:rFonts w:ascii="Times New Roman" w:hAnsi="Times New Roman" w:cs="Times New Roman"/>
          <w:sz w:val="20"/>
          <w:szCs w:val="20"/>
        </w:rPr>
        <w:t>)</w:t>
      </w:r>
      <w:r w:rsidR="003B393F" w:rsidRPr="000C7426">
        <w:rPr>
          <w:rFonts w:ascii="Times New Roman" w:hAnsi="Times New Roman" w:cs="Times New Roman"/>
          <w:sz w:val="20"/>
          <w:szCs w:val="20"/>
        </w:rPr>
        <w:t>,</w:t>
      </w:r>
      <w:r w:rsidR="00B25790" w:rsidRPr="000C7426">
        <w:rPr>
          <w:rFonts w:ascii="Times New Roman" w:hAnsi="Times New Roman" w:cs="Times New Roman"/>
          <w:sz w:val="20"/>
          <w:szCs w:val="20"/>
        </w:rPr>
        <w:t xml:space="preserve"> is used to treat HER1</w:t>
      </w:r>
      <w:r w:rsidR="00F60C96" w:rsidRPr="000C7426">
        <w:rPr>
          <w:rFonts w:ascii="Times New Roman" w:hAnsi="Times New Roman" w:cs="Times New Roman"/>
          <w:sz w:val="20"/>
          <w:szCs w:val="20"/>
        </w:rPr>
        <w:t>/</w:t>
      </w:r>
      <w:r w:rsidR="00B25790" w:rsidRPr="000C7426">
        <w:rPr>
          <w:rFonts w:ascii="Times New Roman" w:hAnsi="Times New Roman" w:cs="Times New Roman"/>
          <w:sz w:val="20"/>
          <w:szCs w:val="20"/>
        </w:rPr>
        <w:t>2 amplified breast cancer diseases.</w:t>
      </w:r>
      <w:r w:rsidR="00E10AEF" w:rsidRPr="000C7426">
        <w:rPr>
          <w:rFonts w:ascii="Times New Roman" w:hAnsi="Times New Roman" w:cs="Times New Roman"/>
          <w:sz w:val="20"/>
          <w:szCs w:val="20"/>
        </w:rPr>
        <w:t xml:space="preserve"> </w:t>
      </w:r>
      <w:r w:rsidR="00F60C96" w:rsidRPr="000C7426">
        <w:rPr>
          <w:rFonts w:ascii="Times New Roman" w:hAnsi="Times New Roman" w:cs="Times New Roman"/>
          <w:sz w:val="20"/>
          <w:szCs w:val="20"/>
        </w:rPr>
        <w:t>Its combination</w:t>
      </w:r>
      <w:r w:rsidR="00E10AEF" w:rsidRPr="000C7426">
        <w:rPr>
          <w:rFonts w:ascii="Times New Roman" w:hAnsi="Times New Roman" w:cs="Times New Roman"/>
          <w:sz w:val="20"/>
          <w:szCs w:val="20"/>
        </w:rPr>
        <w:t xml:space="preserve"> with other chemotherapeutic agents</w:t>
      </w:r>
      <w:r w:rsidR="00583E6F" w:rsidRPr="000C7426">
        <w:rPr>
          <w:rFonts w:ascii="Times New Roman" w:hAnsi="Times New Roman" w:cs="Times New Roman"/>
          <w:sz w:val="20"/>
          <w:szCs w:val="20"/>
        </w:rPr>
        <w:t xml:space="preserve"> was effective to diminish over-</w:t>
      </w:r>
      <w:r w:rsidR="00E10AEF" w:rsidRPr="000C7426">
        <w:rPr>
          <w:rFonts w:ascii="Times New Roman" w:hAnsi="Times New Roman" w:cs="Times New Roman"/>
          <w:sz w:val="20"/>
          <w:szCs w:val="20"/>
        </w:rPr>
        <w:t xml:space="preserve">expressed-HER2 cell growth. </w:t>
      </w:r>
      <w:r w:rsidR="007F11F3" w:rsidRPr="000C7426">
        <w:rPr>
          <w:rFonts w:ascii="Times New Roman" w:hAnsi="Times New Roman" w:cs="Times New Roman"/>
          <w:sz w:val="20"/>
          <w:szCs w:val="20"/>
        </w:rPr>
        <w:t>This</w:t>
      </w:r>
      <w:r w:rsidR="00E10AEF" w:rsidRPr="000C7426">
        <w:rPr>
          <w:rFonts w:ascii="Times New Roman" w:hAnsi="Times New Roman" w:cs="Times New Roman"/>
          <w:sz w:val="20"/>
          <w:szCs w:val="20"/>
        </w:rPr>
        <w:t xml:space="preserve"> research </w:t>
      </w:r>
      <w:r w:rsidR="007F11F3" w:rsidRPr="000C7426">
        <w:rPr>
          <w:rFonts w:ascii="Times New Roman" w:hAnsi="Times New Roman" w:cs="Times New Roman"/>
          <w:sz w:val="20"/>
          <w:szCs w:val="20"/>
        </w:rPr>
        <w:t xml:space="preserve">aimed </w:t>
      </w:r>
      <w:r w:rsidR="00C44AEF" w:rsidRPr="000C7426">
        <w:rPr>
          <w:rFonts w:ascii="Times New Roman" w:hAnsi="Times New Roman" w:cs="Times New Roman"/>
          <w:sz w:val="20"/>
          <w:szCs w:val="20"/>
        </w:rPr>
        <w:t>to assess</w:t>
      </w:r>
      <w:r w:rsidR="005D2CBE" w:rsidRPr="000C7426">
        <w:rPr>
          <w:rFonts w:ascii="Times New Roman" w:hAnsi="Times New Roman" w:cs="Times New Roman"/>
          <w:sz w:val="20"/>
          <w:szCs w:val="20"/>
        </w:rPr>
        <w:t xml:space="preserve"> </w:t>
      </w:r>
      <w:r w:rsidR="001A6A7F" w:rsidRPr="000C7426">
        <w:rPr>
          <w:rFonts w:ascii="Times New Roman" w:hAnsi="Times New Roman" w:cs="Times New Roman"/>
          <w:sz w:val="20"/>
          <w:szCs w:val="20"/>
        </w:rPr>
        <w:t>its</w:t>
      </w:r>
      <w:r w:rsidR="005D2CBE" w:rsidRPr="000C7426">
        <w:rPr>
          <w:rFonts w:ascii="Times New Roman" w:hAnsi="Times New Roman" w:cs="Times New Roman"/>
          <w:sz w:val="20"/>
          <w:szCs w:val="20"/>
        </w:rPr>
        <w:t xml:space="preserve"> synergistic</w:t>
      </w:r>
      <w:r w:rsidR="00E10AEF" w:rsidRPr="000C7426">
        <w:rPr>
          <w:rFonts w:ascii="Times New Roman" w:hAnsi="Times New Roman" w:cs="Times New Roman"/>
          <w:sz w:val="20"/>
          <w:szCs w:val="20"/>
        </w:rPr>
        <w:t xml:space="preserve"> growth inhibition</w:t>
      </w:r>
      <w:r w:rsidR="001A6A7F" w:rsidRPr="000C7426">
        <w:rPr>
          <w:rFonts w:ascii="Times New Roman" w:hAnsi="Times New Roman" w:cs="Times New Roman"/>
          <w:sz w:val="20"/>
          <w:szCs w:val="20"/>
        </w:rPr>
        <w:t xml:space="preserve"> </w:t>
      </w:r>
      <w:r w:rsidR="005D2CBE" w:rsidRPr="000C7426">
        <w:rPr>
          <w:rFonts w:ascii="Times New Roman" w:hAnsi="Times New Roman" w:cs="Times New Roman"/>
          <w:sz w:val="20"/>
          <w:szCs w:val="20"/>
        </w:rPr>
        <w:t xml:space="preserve">in combination with doxorubicin </w:t>
      </w:r>
      <w:r w:rsidR="00BD0463" w:rsidRPr="000C7426">
        <w:rPr>
          <w:rFonts w:ascii="Times New Roman" w:hAnsi="Times New Roman" w:cs="Times New Roman"/>
          <w:sz w:val="20"/>
          <w:szCs w:val="20"/>
        </w:rPr>
        <w:t>(D</w:t>
      </w:r>
      <w:r w:rsidR="006D244D" w:rsidRPr="000C7426">
        <w:rPr>
          <w:rFonts w:ascii="Times New Roman" w:hAnsi="Times New Roman" w:cs="Times New Roman"/>
          <w:sz w:val="20"/>
          <w:szCs w:val="20"/>
        </w:rPr>
        <w:t>OX</w:t>
      </w:r>
      <w:r w:rsidR="00BD0463" w:rsidRPr="000C7426">
        <w:rPr>
          <w:rFonts w:ascii="Times New Roman" w:hAnsi="Times New Roman" w:cs="Times New Roman"/>
          <w:sz w:val="20"/>
          <w:szCs w:val="20"/>
        </w:rPr>
        <w:t xml:space="preserve">) </w:t>
      </w:r>
      <w:r w:rsidR="005D2CBE" w:rsidRPr="000C7426">
        <w:rPr>
          <w:rFonts w:ascii="Times New Roman" w:hAnsi="Times New Roman" w:cs="Times New Roman"/>
          <w:sz w:val="20"/>
          <w:szCs w:val="20"/>
        </w:rPr>
        <w:t xml:space="preserve">or 5-fluorouracil </w:t>
      </w:r>
      <w:r w:rsidR="00BD0463" w:rsidRPr="000C7426">
        <w:rPr>
          <w:rFonts w:ascii="Times New Roman" w:hAnsi="Times New Roman" w:cs="Times New Roman"/>
          <w:sz w:val="20"/>
          <w:szCs w:val="20"/>
        </w:rPr>
        <w:t>(5-FU)</w:t>
      </w:r>
      <w:r w:rsidR="00CD4FF1" w:rsidRPr="000C7426">
        <w:rPr>
          <w:rFonts w:ascii="Times New Roman" w:hAnsi="Times New Roman" w:cs="Times New Roman"/>
          <w:sz w:val="20"/>
          <w:szCs w:val="20"/>
        </w:rPr>
        <w:t xml:space="preserve"> on</w:t>
      </w:r>
      <w:r w:rsidR="00C44AEF" w:rsidRPr="000C7426">
        <w:rPr>
          <w:rFonts w:ascii="Times New Roman" w:hAnsi="Times New Roman" w:cs="Times New Roman"/>
          <w:sz w:val="20"/>
          <w:szCs w:val="20"/>
        </w:rPr>
        <w:t xml:space="preserve"> </w:t>
      </w:r>
      <w:r w:rsidR="00CD4FF1" w:rsidRPr="000C7426">
        <w:rPr>
          <w:rFonts w:ascii="Times New Roman" w:hAnsi="Times New Roman" w:cs="Times New Roman"/>
          <w:sz w:val="20"/>
          <w:szCs w:val="20"/>
        </w:rPr>
        <w:t xml:space="preserve">MDA-MB-231 as </w:t>
      </w:r>
      <w:r w:rsidR="001A6A7F" w:rsidRPr="000C7426">
        <w:rPr>
          <w:rFonts w:ascii="Times New Roman" w:hAnsi="Times New Roman" w:cs="Times New Roman"/>
          <w:sz w:val="20"/>
          <w:szCs w:val="20"/>
        </w:rPr>
        <w:t>a</w:t>
      </w:r>
      <w:r w:rsidR="00803A55" w:rsidRPr="000C7426">
        <w:rPr>
          <w:rFonts w:ascii="Times New Roman" w:hAnsi="Times New Roman" w:cs="Times New Roman"/>
          <w:sz w:val="20"/>
          <w:szCs w:val="20"/>
        </w:rPr>
        <w:t xml:space="preserve"> model of </w:t>
      </w:r>
      <w:r w:rsidR="001A6A7F" w:rsidRPr="000C7426">
        <w:rPr>
          <w:rFonts w:ascii="Times New Roman" w:hAnsi="Times New Roman" w:cs="Times New Roman"/>
          <w:sz w:val="20"/>
          <w:szCs w:val="20"/>
        </w:rPr>
        <w:t>huma</w:t>
      </w:r>
      <w:r w:rsidR="007F11F3" w:rsidRPr="000C7426">
        <w:rPr>
          <w:rFonts w:ascii="Times New Roman" w:hAnsi="Times New Roman" w:cs="Times New Roman"/>
          <w:sz w:val="20"/>
          <w:szCs w:val="20"/>
        </w:rPr>
        <w:t xml:space="preserve">n triple negative breast cancer </w:t>
      </w:r>
      <w:r w:rsidR="00BD0210" w:rsidRPr="000C7426">
        <w:rPr>
          <w:rFonts w:ascii="Times New Roman" w:hAnsi="Times New Roman" w:cs="Times New Roman"/>
          <w:sz w:val="20"/>
          <w:szCs w:val="20"/>
        </w:rPr>
        <w:t>(TNBC) cell line</w:t>
      </w:r>
      <w:r w:rsidR="00C44AEF" w:rsidRPr="000C7426">
        <w:rPr>
          <w:rFonts w:ascii="Times New Roman" w:hAnsi="Times New Roman" w:cs="Times New Roman"/>
          <w:sz w:val="20"/>
          <w:szCs w:val="20"/>
        </w:rPr>
        <w:t xml:space="preserve">. </w:t>
      </w:r>
      <w:r w:rsidR="00655095" w:rsidRPr="000C7426">
        <w:rPr>
          <w:rFonts w:ascii="Times New Roman" w:hAnsi="Times New Roman" w:cs="Times New Roman"/>
          <w:b/>
          <w:bCs/>
          <w:sz w:val="20"/>
          <w:szCs w:val="20"/>
        </w:rPr>
        <w:t>Methods:</w:t>
      </w:r>
      <w:r w:rsidR="00655095" w:rsidRPr="000C7426">
        <w:rPr>
          <w:rFonts w:ascii="Times New Roman" w:hAnsi="Times New Roman" w:cs="Times New Roman"/>
          <w:sz w:val="20"/>
          <w:szCs w:val="20"/>
        </w:rPr>
        <w:t xml:space="preserve"> </w:t>
      </w:r>
      <w:r w:rsidR="0026302E" w:rsidRPr="000C7426">
        <w:rPr>
          <w:rFonts w:ascii="Times New Roman" w:hAnsi="Times New Roman" w:cs="Times New Roman"/>
          <w:sz w:val="20"/>
          <w:szCs w:val="20"/>
        </w:rPr>
        <w:t xml:space="preserve">2.5%, 5% and </w:t>
      </w:r>
      <w:r w:rsidR="00E42F54" w:rsidRPr="000C7426">
        <w:rPr>
          <w:rFonts w:ascii="Times New Roman" w:hAnsi="Times New Roman" w:cs="Times New Roman"/>
          <w:sz w:val="20"/>
          <w:szCs w:val="20"/>
        </w:rPr>
        <w:t xml:space="preserve">10% of </w:t>
      </w:r>
      <w:proofErr w:type="spellStart"/>
      <w:r w:rsidR="00803A55" w:rsidRPr="000C7426">
        <w:rPr>
          <w:rFonts w:ascii="Times New Roman" w:hAnsi="Times New Roman" w:cs="Times New Roman"/>
          <w:sz w:val="20"/>
          <w:szCs w:val="20"/>
        </w:rPr>
        <w:t>lapatinib</w:t>
      </w:r>
      <w:proofErr w:type="spellEnd"/>
      <w:r w:rsidR="00803A55" w:rsidRPr="000C7426">
        <w:rPr>
          <w:rFonts w:ascii="Times New Roman" w:hAnsi="Times New Roman" w:cs="Times New Roman"/>
          <w:sz w:val="20"/>
          <w:szCs w:val="20"/>
        </w:rPr>
        <w:t xml:space="preserve"> </w:t>
      </w:r>
      <w:r w:rsidR="00E42F54" w:rsidRPr="000C7426">
        <w:rPr>
          <w:rFonts w:ascii="Times New Roman" w:hAnsi="Times New Roman" w:cs="Times New Roman"/>
          <w:sz w:val="20"/>
          <w:szCs w:val="20"/>
        </w:rPr>
        <w:t>IC</w:t>
      </w:r>
      <w:r w:rsidR="00E42F54" w:rsidRPr="000C7426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="00E42F54" w:rsidRPr="000C7426">
        <w:rPr>
          <w:rFonts w:ascii="Times New Roman" w:hAnsi="Times New Roman" w:cs="Times New Roman"/>
          <w:sz w:val="20"/>
          <w:szCs w:val="20"/>
        </w:rPr>
        <w:t xml:space="preserve"> concentrations</w:t>
      </w:r>
      <w:r w:rsidR="0026302E" w:rsidRPr="000C7426">
        <w:rPr>
          <w:rFonts w:ascii="Times New Roman" w:hAnsi="Times New Roman" w:cs="Times New Roman"/>
          <w:sz w:val="20"/>
          <w:szCs w:val="20"/>
        </w:rPr>
        <w:t xml:space="preserve"> were tested in pre- and post-combination</w:t>
      </w:r>
      <w:r w:rsidR="00803A55" w:rsidRPr="000C7426">
        <w:rPr>
          <w:rFonts w:ascii="Times New Roman" w:hAnsi="Times New Roman" w:cs="Times New Roman"/>
          <w:sz w:val="20"/>
          <w:szCs w:val="20"/>
        </w:rPr>
        <w:t>s</w:t>
      </w:r>
      <w:r w:rsidR="0026302E" w:rsidRPr="000C7426">
        <w:rPr>
          <w:rFonts w:ascii="Times New Roman" w:hAnsi="Times New Roman" w:cs="Times New Roman"/>
          <w:sz w:val="20"/>
          <w:szCs w:val="20"/>
        </w:rPr>
        <w:t xml:space="preserve"> with </w:t>
      </w:r>
      <w:r w:rsidR="00803A55" w:rsidRPr="000C7426">
        <w:rPr>
          <w:rFonts w:ascii="Times New Roman" w:hAnsi="Times New Roman" w:cs="Times New Roman"/>
          <w:sz w:val="20"/>
          <w:szCs w:val="20"/>
        </w:rPr>
        <w:t>10% of IC</w:t>
      </w:r>
      <w:r w:rsidR="00803A55" w:rsidRPr="000C7426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="00803A55" w:rsidRPr="000C7426">
        <w:rPr>
          <w:rFonts w:ascii="Times New Roman" w:hAnsi="Times New Roman" w:cs="Times New Roman"/>
          <w:sz w:val="20"/>
          <w:szCs w:val="20"/>
        </w:rPr>
        <w:t xml:space="preserve"> for DOX or</w:t>
      </w:r>
      <w:r w:rsidR="0026302E" w:rsidRPr="000C7426">
        <w:rPr>
          <w:rFonts w:ascii="Times New Roman" w:hAnsi="Times New Roman" w:cs="Times New Roman"/>
          <w:sz w:val="20"/>
          <w:szCs w:val="20"/>
        </w:rPr>
        <w:t xml:space="preserve"> 5-FU</w:t>
      </w:r>
      <w:r w:rsidR="00E42F54" w:rsidRPr="000C742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95ADF" w:rsidRPr="000C7426">
        <w:rPr>
          <w:rFonts w:ascii="Times New Roman" w:hAnsi="Times New Roman" w:cs="Times New Roman"/>
          <w:sz w:val="20"/>
          <w:szCs w:val="20"/>
        </w:rPr>
        <w:t>C</w:t>
      </w:r>
      <w:r w:rsidR="00E10AEF" w:rsidRPr="000C7426">
        <w:rPr>
          <w:rFonts w:ascii="Times New Roman" w:hAnsi="Times New Roman" w:cs="Times New Roman"/>
          <w:sz w:val="20"/>
          <w:szCs w:val="20"/>
        </w:rPr>
        <w:t>ytotoxic</w:t>
      </w:r>
      <w:proofErr w:type="spellEnd"/>
      <w:r w:rsidR="00E10AEF" w:rsidRPr="000C742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E10AEF" w:rsidRPr="000C7426">
        <w:rPr>
          <w:rFonts w:ascii="Times New Roman" w:hAnsi="Times New Roman" w:cs="Times New Roman"/>
          <w:sz w:val="20"/>
          <w:szCs w:val="20"/>
        </w:rPr>
        <w:t>genotoxic</w:t>
      </w:r>
      <w:proofErr w:type="spellEnd"/>
      <w:r w:rsidR="00E10AEF" w:rsidRPr="000C7426">
        <w:rPr>
          <w:rFonts w:ascii="Times New Roman" w:hAnsi="Times New Roman" w:cs="Times New Roman"/>
          <w:sz w:val="20"/>
          <w:szCs w:val="20"/>
        </w:rPr>
        <w:t xml:space="preserve"> effects were</w:t>
      </w:r>
      <w:r w:rsidR="00C44AEF" w:rsidRPr="000C7426">
        <w:rPr>
          <w:rFonts w:ascii="Times New Roman" w:hAnsi="Times New Roman" w:cs="Times New Roman"/>
          <w:sz w:val="20"/>
          <w:szCs w:val="20"/>
        </w:rPr>
        <w:t xml:space="preserve"> </w:t>
      </w:r>
      <w:r w:rsidR="00D43A34" w:rsidRPr="000C7426">
        <w:rPr>
          <w:rFonts w:ascii="Times New Roman" w:hAnsi="Times New Roman" w:cs="Times New Roman"/>
          <w:sz w:val="20"/>
          <w:szCs w:val="20"/>
        </w:rPr>
        <w:t>conducted</w:t>
      </w:r>
      <w:r w:rsidR="00C44AEF" w:rsidRPr="000C7426">
        <w:rPr>
          <w:rFonts w:ascii="Times New Roman" w:hAnsi="Times New Roman" w:cs="Times New Roman"/>
          <w:sz w:val="20"/>
          <w:szCs w:val="20"/>
        </w:rPr>
        <w:t xml:space="preserve"> </w:t>
      </w:r>
      <w:r w:rsidR="00695ADF" w:rsidRPr="000C7426">
        <w:rPr>
          <w:rFonts w:ascii="Times New Roman" w:hAnsi="Times New Roman" w:cs="Times New Roman"/>
          <w:sz w:val="20"/>
          <w:szCs w:val="20"/>
        </w:rPr>
        <w:t>using MTT</w:t>
      </w:r>
      <w:r w:rsidR="00231E96" w:rsidRPr="000C7426">
        <w:rPr>
          <w:rFonts w:ascii="Times New Roman" w:hAnsi="Times New Roman" w:cs="Times New Roman"/>
          <w:sz w:val="20"/>
          <w:szCs w:val="20"/>
        </w:rPr>
        <w:t xml:space="preserve"> assay</w:t>
      </w:r>
      <w:r w:rsidR="00D43A34" w:rsidRPr="000C7426">
        <w:rPr>
          <w:rFonts w:ascii="Times New Roman" w:hAnsi="Times New Roman" w:cs="Times New Roman"/>
          <w:sz w:val="20"/>
          <w:szCs w:val="20"/>
        </w:rPr>
        <w:t>,</w:t>
      </w:r>
      <w:r w:rsidR="00C44AEF" w:rsidRPr="000C7426">
        <w:rPr>
          <w:rFonts w:ascii="Times New Roman" w:hAnsi="Times New Roman" w:cs="Times New Roman"/>
          <w:sz w:val="20"/>
          <w:szCs w:val="20"/>
        </w:rPr>
        <w:t xml:space="preserve"> </w:t>
      </w:r>
      <w:r w:rsidR="00D43A34" w:rsidRPr="000C7426">
        <w:rPr>
          <w:rFonts w:ascii="Times New Roman" w:hAnsi="Times New Roman" w:cs="Times New Roman"/>
          <w:sz w:val="20"/>
          <w:szCs w:val="20"/>
        </w:rPr>
        <w:t>apoptosis-necrosis and micronucleus</w:t>
      </w:r>
      <w:r w:rsidR="00583E6F" w:rsidRPr="000C7426">
        <w:rPr>
          <w:rFonts w:ascii="Times New Roman" w:hAnsi="Times New Roman" w:cs="Times New Roman"/>
          <w:sz w:val="20"/>
          <w:szCs w:val="20"/>
        </w:rPr>
        <w:t xml:space="preserve"> (MN) </w:t>
      </w:r>
      <w:r w:rsidR="00231E96" w:rsidRPr="000C7426">
        <w:rPr>
          <w:rFonts w:ascii="Times New Roman" w:hAnsi="Times New Roman" w:cs="Times New Roman"/>
          <w:sz w:val="20"/>
          <w:szCs w:val="20"/>
        </w:rPr>
        <w:t>tests</w:t>
      </w:r>
      <w:r w:rsidR="00D43A34" w:rsidRPr="000C7426">
        <w:rPr>
          <w:rFonts w:ascii="Times New Roman" w:hAnsi="Times New Roman" w:cs="Times New Roman"/>
          <w:sz w:val="20"/>
          <w:szCs w:val="20"/>
        </w:rPr>
        <w:t xml:space="preserve">. </w:t>
      </w:r>
      <w:r w:rsidR="00C44AEF" w:rsidRPr="000C7426">
        <w:rPr>
          <w:rFonts w:ascii="Times New Roman" w:hAnsi="Times New Roman" w:cs="Times New Roman"/>
          <w:b/>
          <w:bCs/>
          <w:sz w:val="20"/>
          <w:szCs w:val="20"/>
        </w:rPr>
        <w:t>Results:</w:t>
      </w:r>
      <w:r w:rsidR="00C44AEF" w:rsidRPr="000C7426">
        <w:rPr>
          <w:rFonts w:ascii="Times New Roman" w:hAnsi="Times New Roman" w:cs="Times New Roman"/>
          <w:sz w:val="20"/>
          <w:szCs w:val="20"/>
        </w:rPr>
        <w:t xml:space="preserve"> </w:t>
      </w:r>
      <w:r w:rsidR="00E42F54" w:rsidRPr="000C7426">
        <w:rPr>
          <w:rFonts w:ascii="Times New Roman" w:hAnsi="Times New Roman" w:cs="Times New Roman"/>
          <w:sz w:val="20"/>
          <w:szCs w:val="20"/>
        </w:rPr>
        <w:t xml:space="preserve">Pre-treating </w:t>
      </w:r>
      <w:r w:rsidR="00934A86" w:rsidRPr="000C7426">
        <w:rPr>
          <w:rFonts w:ascii="Times New Roman" w:hAnsi="Times New Roman" w:cs="Times New Roman"/>
          <w:sz w:val="20"/>
          <w:szCs w:val="20"/>
        </w:rPr>
        <w:t xml:space="preserve">MDA-MB-231 </w:t>
      </w:r>
      <w:r w:rsidR="00E42F54" w:rsidRPr="000C7426">
        <w:rPr>
          <w:rFonts w:ascii="Times New Roman" w:hAnsi="Times New Roman" w:cs="Times New Roman"/>
          <w:sz w:val="20"/>
          <w:szCs w:val="20"/>
        </w:rPr>
        <w:t xml:space="preserve">cells </w:t>
      </w:r>
      <w:r w:rsidR="001E0C47" w:rsidRPr="000C7426">
        <w:rPr>
          <w:rFonts w:ascii="Times New Roman" w:hAnsi="Times New Roman" w:cs="Times New Roman"/>
          <w:sz w:val="20"/>
          <w:szCs w:val="20"/>
        </w:rPr>
        <w:t xml:space="preserve">with </w:t>
      </w:r>
      <w:r w:rsidR="00040C52" w:rsidRPr="000C7426">
        <w:rPr>
          <w:rFonts w:ascii="Times New Roman" w:hAnsi="Times New Roman" w:cs="Times New Roman"/>
          <w:sz w:val="20"/>
          <w:szCs w:val="20"/>
        </w:rPr>
        <w:t xml:space="preserve">DOX or </w:t>
      </w:r>
      <w:r w:rsidR="00E42F54" w:rsidRPr="000C7426">
        <w:rPr>
          <w:rFonts w:ascii="Times New Roman" w:hAnsi="Times New Roman" w:cs="Times New Roman"/>
          <w:sz w:val="20"/>
          <w:szCs w:val="20"/>
        </w:rPr>
        <w:t>5-FU</w:t>
      </w:r>
      <w:r w:rsidR="00040C52" w:rsidRPr="000C7426">
        <w:rPr>
          <w:rFonts w:ascii="Times New Roman" w:hAnsi="Times New Roman" w:cs="Times New Roman"/>
          <w:sz w:val="20"/>
          <w:szCs w:val="20"/>
        </w:rPr>
        <w:t xml:space="preserve"> for 4h</w:t>
      </w:r>
      <w:r w:rsidR="001A23B0" w:rsidRPr="000C7426">
        <w:rPr>
          <w:rFonts w:ascii="Times New Roman" w:hAnsi="Times New Roman" w:cs="Times New Roman"/>
          <w:sz w:val="20"/>
          <w:szCs w:val="20"/>
        </w:rPr>
        <w:t xml:space="preserve"> </w:t>
      </w:r>
      <w:r w:rsidR="00040C52" w:rsidRPr="000C7426">
        <w:rPr>
          <w:rFonts w:ascii="Times New Roman" w:hAnsi="Times New Roman" w:cs="Times New Roman"/>
          <w:sz w:val="20"/>
          <w:szCs w:val="20"/>
        </w:rPr>
        <w:t xml:space="preserve">followed by </w:t>
      </w:r>
      <w:proofErr w:type="spellStart"/>
      <w:r w:rsidR="00040C52" w:rsidRPr="000C7426">
        <w:rPr>
          <w:rFonts w:ascii="Times New Roman" w:hAnsi="Times New Roman" w:cs="Times New Roman"/>
          <w:sz w:val="20"/>
          <w:szCs w:val="20"/>
        </w:rPr>
        <w:t>lapatinib</w:t>
      </w:r>
      <w:proofErr w:type="spellEnd"/>
      <w:r w:rsidR="00040C52" w:rsidRPr="000C7426">
        <w:rPr>
          <w:rFonts w:ascii="Times New Roman" w:hAnsi="Times New Roman" w:cs="Times New Roman"/>
          <w:sz w:val="20"/>
          <w:szCs w:val="20"/>
        </w:rPr>
        <w:t xml:space="preserve"> f</w:t>
      </w:r>
      <w:r w:rsidR="00ED6C84" w:rsidRPr="000C7426">
        <w:rPr>
          <w:rFonts w:ascii="Times New Roman" w:hAnsi="Times New Roman" w:cs="Times New Roman"/>
          <w:sz w:val="20"/>
          <w:szCs w:val="20"/>
        </w:rPr>
        <w:t xml:space="preserve">or 24h enhanced </w:t>
      </w:r>
      <w:proofErr w:type="spellStart"/>
      <w:r w:rsidR="00ED6C84" w:rsidRPr="000C7426">
        <w:rPr>
          <w:rFonts w:ascii="Times New Roman" w:hAnsi="Times New Roman" w:cs="Times New Roman"/>
          <w:sz w:val="20"/>
          <w:szCs w:val="20"/>
        </w:rPr>
        <w:t>cytotoxicity</w:t>
      </w:r>
      <w:proofErr w:type="spellEnd"/>
      <w:r w:rsidR="00040C52" w:rsidRPr="000C7426">
        <w:rPr>
          <w:rFonts w:ascii="Times New Roman" w:hAnsi="Times New Roman" w:cs="Times New Roman"/>
          <w:sz w:val="20"/>
          <w:szCs w:val="20"/>
        </w:rPr>
        <w:t xml:space="preserve"> (p&lt;0.0</w:t>
      </w:r>
      <w:r w:rsidR="00E42F54" w:rsidRPr="000C7426">
        <w:rPr>
          <w:rFonts w:ascii="Times New Roman" w:hAnsi="Times New Roman" w:cs="Times New Roman"/>
          <w:sz w:val="20"/>
          <w:szCs w:val="20"/>
        </w:rPr>
        <w:t>5</w:t>
      </w:r>
      <w:r w:rsidR="00040C52" w:rsidRPr="000C7426">
        <w:rPr>
          <w:rFonts w:ascii="Times New Roman" w:hAnsi="Times New Roman" w:cs="Times New Roman"/>
          <w:sz w:val="20"/>
          <w:szCs w:val="20"/>
        </w:rPr>
        <w:t xml:space="preserve">) in comparison with </w:t>
      </w:r>
      <w:r w:rsidR="00231E96" w:rsidRPr="000C7426">
        <w:rPr>
          <w:rFonts w:ascii="Times New Roman" w:hAnsi="Times New Roman" w:cs="Times New Roman"/>
          <w:sz w:val="20"/>
          <w:szCs w:val="20"/>
        </w:rPr>
        <w:t xml:space="preserve">that </w:t>
      </w:r>
      <w:r w:rsidR="00040C52" w:rsidRPr="000C7426">
        <w:rPr>
          <w:rFonts w:ascii="Times New Roman" w:hAnsi="Times New Roman" w:cs="Times New Roman"/>
          <w:sz w:val="20"/>
          <w:szCs w:val="20"/>
        </w:rPr>
        <w:t>p</w:t>
      </w:r>
      <w:r w:rsidR="00912387" w:rsidRPr="000C7426">
        <w:rPr>
          <w:rFonts w:ascii="Times New Roman" w:hAnsi="Times New Roman" w:cs="Times New Roman"/>
          <w:sz w:val="20"/>
          <w:szCs w:val="20"/>
        </w:rPr>
        <w:t>re-treat</w:t>
      </w:r>
      <w:r w:rsidR="00231E96" w:rsidRPr="000C7426">
        <w:rPr>
          <w:rFonts w:ascii="Times New Roman" w:hAnsi="Times New Roman" w:cs="Times New Roman"/>
          <w:sz w:val="20"/>
          <w:szCs w:val="20"/>
        </w:rPr>
        <w:t>ed</w:t>
      </w:r>
      <w:r w:rsidR="00912387" w:rsidRPr="000C7426">
        <w:rPr>
          <w:rFonts w:ascii="Times New Roman" w:hAnsi="Times New Roman" w:cs="Times New Roman"/>
          <w:sz w:val="20"/>
          <w:szCs w:val="20"/>
        </w:rPr>
        <w:t xml:space="preserve"> </w:t>
      </w:r>
      <w:r w:rsidR="00231E96" w:rsidRPr="000C7426">
        <w:rPr>
          <w:rFonts w:ascii="Times New Roman" w:hAnsi="Times New Roman" w:cs="Times New Roman"/>
          <w:sz w:val="20"/>
          <w:szCs w:val="20"/>
        </w:rPr>
        <w:t>with</w:t>
      </w:r>
      <w:r w:rsidR="00912387" w:rsidRPr="000C74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2387" w:rsidRPr="000C7426">
        <w:rPr>
          <w:rFonts w:ascii="Times New Roman" w:hAnsi="Times New Roman" w:cs="Times New Roman"/>
          <w:sz w:val="20"/>
          <w:szCs w:val="20"/>
        </w:rPr>
        <w:t>lapatinib</w:t>
      </w:r>
      <w:proofErr w:type="spellEnd"/>
      <w:r w:rsidR="00912387" w:rsidRPr="000C7426">
        <w:rPr>
          <w:rFonts w:ascii="Times New Roman" w:hAnsi="Times New Roman" w:cs="Times New Roman"/>
          <w:sz w:val="20"/>
          <w:szCs w:val="20"/>
        </w:rPr>
        <w:t xml:space="preserve"> for </w:t>
      </w:r>
      <w:r w:rsidR="00040C52" w:rsidRPr="000C7426">
        <w:rPr>
          <w:rFonts w:ascii="Times New Roman" w:hAnsi="Times New Roman" w:cs="Times New Roman"/>
          <w:sz w:val="20"/>
          <w:szCs w:val="20"/>
        </w:rPr>
        <w:t>the same time interval</w:t>
      </w:r>
      <w:r w:rsidR="004260B2" w:rsidRPr="000C7426">
        <w:rPr>
          <w:rFonts w:ascii="Times New Roman" w:hAnsi="Times New Roman" w:cs="Times New Roman"/>
          <w:sz w:val="20"/>
          <w:szCs w:val="20"/>
        </w:rPr>
        <w:t>s</w:t>
      </w:r>
      <w:r w:rsidR="00040C52" w:rsidRPr="000C7426">
        <w:rPr>
          <w:rFonts w:ascii="Times New Roman" w:hAnsi="Times New Roman" w:cs="Times New Roman"/>
          <w:sz w:val="20"/>
          <w:szCs w:val="20"/>
        </w:rPr>
        <w:t>.</w:t>
      </w:r>
      <w:r w:rsidR="00912387" w:rsidRPr="000C7426">
        <w:rPr>
          <w:rFonts w:ascii="Times New Roman" w:hAnsi="Times New Roman" w:cs="Times New Roman"/>
          <w:sz w:val="20"/>
          <w:szCs w:val="20"/>
        </w:rPr>
        <w:t xml:space="preserve"> </w:t>
      </w:r>
      <w:r w:rsidR="001A613E" w:rsidRPr="000C7426">
        <w:rPr>
          <w:rFonts w:ascii="Times New Roman" w:hAnsi="Times New Roman" w:cs="Times New Roman"/>
          <w:sz w:val="20"/>
          <w:szCs w:val="20"/>
        </w:rPr>
        <w:t>Both pre- and post-treat</w:t>
      </w:r>
      <w:r w:rsidR="006D4628" w:rsidRPr="000C7426">
        <w:rPr>
          <w:rFonts w:ascii="Times New Roman" w:hAnsi="Times New Roman" w:cs="Times New Roman"/>
          <w:sz w:val="20"/>
          <w:szCs w:val="20"/>
        </w:rPr>
        <w:t>ed</w:t>
      </w:r>
      <w:r w:rsidR="001A613E" w:rsidRPr="000C7426">
        <w:rPr>
          <w:rFonts w:ascii="Times New Roman" w:hAnsi="Times New Roman" w:cs="Times New Roman"/>
          <w:sz w:val="20"/>
          <w:szCs w:val="20"/>
        </w:rPr>
        <w:t xml:space="preserve"> MDA-MB-231 cells with </w:t>
      </w:r>
      <w:proofErr w:type="spellStart"/>
      <w:r w:rsidR="001A613E" w:rsidRPr="000C7426">
        <w:rPr>
          <w:rFonts w:ascii="Times New Roman" w:hAnsi="Times New Roman" w:cs="Times New Roman"/>
          <w:sz w:val="20"/>
          <w:szCs w:val="20"/>
        </w:rPr>
        <w:t>lapatinib</w:t>
      </w:r>
      <w:proofErr w:type="spellEnd"/>
      <w:r w:rsidR="001A613E" w:rsidRPr="000C7426">
        <w:rPr>
          <w:rFonts w:ascii="Times New Roman" w:hAnsi="Times New Roman" w:cs="Times New Roman"/>
          <w:sz w:val="20"/>
          <w:szCs w:val="20"/>
        </w:rPr>
        <w:t xml:space="preserve"> enhanced i</w:t>
      </w:r>
      <w:r w:rsidR="008C0D25" w:rsidRPr="000C7426">
        <w:rPr>
          <w:rFonts w:ascii="Times New Roman" w:hAnsi="Times New Roman" w:cs="Times New Roman"/>
          <w:sz w:val="20"/>
          <w:szCs w:val="20"/>
        </w:rPr>
        <w:t>nduction of apoptosis and DNA damage.</w:t>
      </w:r>
      <w:r w:rsidR="00231E96" w:rsidRPr="000C7426">
        <w:rPr>
          <w:rFonts w:ascii="Times New Roman" w:hAnsi="Times New Roman" w:cs="Times New Roman"/>
          <w:sz w:val="20"/>
          <w:szCs w:val="20"/>
        </w:rPr>
        <w:t xml:space="preserve"> </w:t>
      </w:r>
      <w:r w:rsidR="008C0D25" w:rsidRPr="000C7426">
        <w:rPr>
          <w:rFonts w:ascii="Times New Roman" w:hAnsi="Times New Roman" w:cs="Times New Roman"/>
          <w:sz w:val="20"/>
          <w:szCs w:val="20"/>
        </w:rPr>
        <w:t xml:space="preserve">The mean percentages of apoptotic cells and </w:t>
      </w:r>
      <w:proofErr w:type="spellStart"/>
      <w:r w:rsidR="008C0D25" w:rsidRPr="000C7426">
        <w:rPr>
          <w:rFonts w:ascii="Times New Roman" w:hAnsi="Times New Roman" w:cs="Times New Roman"/>
          <w:sz w:val="20"/>
          <w:szCs w:val="20"/>
        </w:rPr>
        <w:t>binucleated</w:t>
      </w:r>
      <w:proofErr w:type="spellEnd"/>
      <w:r w:rsidR="008C0D25" w:rsidRPr="000C7426">
        <w:rPr>
          <w:rFonts w:ascii="Times New Roman" w:hAnsi="Times New Roman" w:cs="Times New Roman"/>
          <w:sz w:val="20"/>
          <w:szCs w:val="20"/>
        </w:rPr>
        <w:t xml:space="preserve"> cells containing </w:t>
      </w:r>
      <w:r w:rsidR="00ED6C84" w:rsidRPr="000C7426">
        <w:rPr>
          <w:rFonts w:ascii="Times New Roman" w:hAnsi="Times New Roman" w:cs="Times New Roman"/>
          <w:sz w:val="20"/>
          <w:szCs w:val="20"/>
        </w:rPr>
        <w:t>micronuclei</w:t>
      </w:r>
      <w:r w:rsidR="008C0D25" w:rsidRPr="000C7426">
        <w:rPr>
          <w:rFonts w:ascii="Times New Roman" w:hAnsi="Times New Roman" w:cs="Times New Roman"/>
          <w:sz w:val="20"/>
          <w:szCs w:val="20"/>
        </w:rPr>
        <w:t xml:space="preserve"> were elevated remarkably (p&lt;0.05) in cells pre-treated with DOX or 5-FU rather than that pre-treated with </w:t>
      </w:r>
      <w:proofErr w:type="spellStart"/>
      <w:r w:rsidR="008C0D25" w:rsidRPr="000C7426">
        <w:rPr>
          <w:rFonts w:ascii="Times New Roman" w:hAnsi="Times New Roman" w:cs="Times New Roman"/>
          <w:sz w:val="20"/>
          <w:szCs w:val="20"/>
        </w:rPr>
        <w:t>lapatinib</w:t>
      </w:r>
      <w:proofErr w:type="spellEnd"/>
      <w:r w:rsidR="001B575A" w:rsidRPr="000C7426">
        <w:rPr>
          <w:rFonts w:ascii="Times New Roman" w:hAnsi="Times New Roman" w:cs="Times New Roman"/>
          <w:sz w:val="20"/>
          <w:szCs w:val="20"/>
        </w:rPr>
        <w:t xml:space="preserve">. </w:t>
      </w:r>
      <w:r w:rsidR="007D32A3" w:rsidRPr="000C7426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BD0463" w:rsidRPr="000C7426">
        <w:rPr>
          <w:rFonts w:ascii="Times New Roman" w:hAnsi="Times New Roman" w:cs="Times New Roman"/>
          <w:b/>
          <w:bCs/>
          <w:sz w:val="20"/>
          <w:szCs w:val="20"/>
        </w:rPr>
        <w:t>onclusion</w:t>
      </w:r>
      <w:r w:rsidR="009D5BF1" w:rsidRPr="000C7426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BD0463" w:rsidRPr="000C7426">
        <w:rPr>
          <w:rFonts w:ascii="Times New Roman" w:hAnsi="Times New Roman" w:cs="Times New Roman"/>
          <w:sz w:val="20"/>
          <w:szCs w:val="20"/>
        </w:rPr>
        <w:t xml:space="preserve"> </w:t>
      </w:r>
      <w:r w:rsidR="0054603A" w:rsidRPr="000C7426">
        <w:rPr>
          <w:rFonts w:ascii="Times New Roman" w:hAnsi="Times New Roman" w:cs="Times New Roman"/>
          <w:sz w:val="20"/>
          <w:szCs w:val="20"/>
        </w:rPr>
        <w:t xml:space="preserve">Synergistic interaction of </w:t>
      </w:r>
      <w:proofErr w:type="spellStart"/>
      <w:r w:rsidR="0054603A" w:rsidRPr="000C7426">
        <w:rPr>
          <w:rFonts w:ascii="Times New Roman" w:hAnsi="Times New Roman" w:cs="Times New Roman"/>
          <w:sz w:val="20"/>
          <w:szCs w:val="20"/>
        </w:rPr>
        <w:t>lapatinib</w:t>
      </w:r>
      <w:proofErr w:type="spellEnd"/>
      <w:r w:rsidR="0054603A" w:rsidRPr="000C7426">
        <w:rPr>
          <w:rFonts w:ascii="Times New Roman" w:hAnsi="Times New Roman" w:cs="Times New Roman"/>
          <w:sz w:val="20"/>
          <w:szCs w:val="20"/>
        </w:rPr>
        <w:t xml:space="preserve"> in combination with DOX or 5-FU augmented cell growth inhibition, apoptotic mode of cell death and DNA damage effectively</w:t>
      </w:r>
      <w:r w:rsidR="00716978" w:rsidRPr="000C7426">
        <w:rPr>
          <w:rFonts w:ascii="Times New Roman" w:hAnsi="Times New Roman" w:cs="Times New Roman"/>
          <w:sz w:val="20"/>
          <w:szCs w:val="20"/>
        </w:rPr>
        <w:t>. Additionally, th</w:t>
      </w:r>
      <w:r w:rsidR="00F473CF" w:rsidRPr="000C7426">
        <w:rPr>
          <w:rFonts w:ascii="Times New Roman" w:hAnsi="Times New Roman" w:cs="Times New Roman"/>
          <w:sz w:val="20"/>
          <w:szCs w:val="20"/>
        </w:rPr>
        <w:t>e</w:t>
      </w:r>
      <w:r w:rsidR="00716978" w:rsidRPr="000C7426">
        <w:rPr>
          <w:rFonts w:ascii="Times New Roman" w:hAnsi="Times New Roman" w:cs="Times New Roman"/>
          <w:sz w:val="20"/>
          <w:szCs w:val="20"/>
        </w:rPr>
        <w:t xml:space="preserve"> synergistic effect between chemotherapeutics and </w:t>
      </w:r>
      <w:proofErr w:type="spellStart"/>
      <w:r w:rsidR="00716978" w:rsidRPr="000C7426">
        <w:rPr>
          <w:rFonts w:ascii="Times New Roman" w:hAnsi="Times New Roman" w:cs="Times New Roman"/>
          <w:sz w:val="20"/>
          <w:szCs w:val="20"/>
        </w:rPr>
        <w:t>TKI</w:t>
      </w:r>
      <w:r w:rsidR="00F473CF" w:rsidRPr="000C7426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716978" w:rsidRPr="000C7426">
        <w:rPr>
          <w:rFonts w:ascii="Times New Roman" w:hAnsi="Times New Roman" w:cs="Times New Roman"/>
          <w:sz w:val="20"/>
          <w:szCs w:val="20"/>
        </w:rPr>
        <w:t xml:space="preserve"> </w:t>
      </w:r>
      <w:r w:rsidR="00555C51" w:rsidRPr="000C7426">
        <w:rPr>
          <w:rFonts w:ascii="Times New Roman" w:hAnsi="Times New Roman" w:cs="Times New Roman"/>
          <w:sz w:val="20"/>
          <w:szCs w:val="20"/>
        </w:rPr>
        <w:t>possibly will allow</w:t>
      </w:r>
      <w:r w:rsidR="00716978" w:rsidRPr="000C7426">
        <w:rPr>
          <w:rFonts w:ascii="Times New Roman" w:hAnsi="Times New Roman" w:cs="Times New Roman"/>
          <w:sz w:val="20"/>
          <w:szCs w:val="20"/>
        </w:rPr>
        <w:t xml:space="preserve"> using lower concentrations to achieve remarkable cell death. </w:t>
      </w:r>
    </w:p>
    <w:p w:rsidR="000C7426" w:rsidRPr="000C7426" w:rsidRDefault="000C7426" w:rsidP="000C7426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C7426">
        <w:rPr>
          <w:rFonts w:ascii="Times New Roman" w:hAnsi="Times New Roman" w:cs="Times New Roman" w:hint="eastAsia"/>
          <w:b/>
          <w:sz w:val="20"/>
          <w:szCs w:val="20"/>
          <w:lang w:val="en-GB"/>
        </w:rPr>
        <w:t>[</w:t>
      </w:r>
      <w:r w:rsidRPr="000C7426">
        <w:rPr>
          <w:rFonts w:ascii="Times New Roman" w:hAnsi="Times New Roman" w:cs="Times New Roman"/>
          <w:bCs/>
          <w:sz w:val="20"/>
        </w:rPr>
        <w:t xml:space="preserve">Mona A. M. </w:t>
      </w:r>
      <w:proofErr w:type="spellStart"/>
      <w:r w:rsidRPr="000C7426">
        <w:rPr>
          <w:rFonts w:ascii="Times New Roman" w:hAnsi="Times New Roman" w:cs="Times New Roman"/>
          <w:bCs/>
          <w:sz w:val="20"/>
        </w:rPr>
        <w:t>Abo-Zeid</w:t>
      </w:r>
      <w:proofErr w:type="spellEnd"/>
      <w:r w:rsidRPr="000C7426">
        <w:rPr>
          <w:rFonts w:ascii="Times New Roman" w:hAnsi="Times New Roman" w:cs="Times New Roman"/>
          <w:bCs/>
          <w:sz w:val="20"/>
        </w:rPr>
        <w:t xml:space="preserve">, </w:t>
      </w:r>
      <w:proofErr w:type="spellStart"/>
      <w:r w:rsidRPr="000C7426">
        <w:rPr>
          <w:rFonts w:ascii="Times New Roman" w:hAnsi="Times New Roman" w:cs="Times New Roman"/>
          <w:bCs/>
          <w:sz w:val="20"/>
        </w:rPr>
        <w:t>Mahmoud</w:t>
      </w:r>
      <w:proofErr w:type="spellEnd"/>
      <w:r w:rsidRPr="000C7426">
        <w:rPr>
          <w:rFonts w:ascii="Times New Roman" w:hAnsi="Times New Roman" w:cs="Times New Roman"/>
          <w:bCs/>
          <w:sz w:val="20"/>
        </w:rPr>
        <w:t xml:space="preserve"> T. </w:t>
      </w:r>
      <w:proofErr w:type="spellStart"/>
      <w:r w:rsidRPr="000C7426">
        <w:rPr>
          <w:rFonts w:ascii="Times New Roman" w:hAnsi="Times New Roman" w:cs="Times New Roman"/>
          <w:bCs/>
          <w:sz w:val="20"/>
        </w:rPr>
        <w:t>Abo-Elfadl</w:t>
      </w:r>
      <w:proofErr w:type="spellEnd"/>
      <w:r w:rsidRPr="000C7426">
        <w:rPr>
          <w:rFonts w:ascii="Times New Roman" w:hAnsi="Times New Roman" w:cs="Times New Roman"/>
          <w:sz w:val="20"/>
          <w:szCs w:val="20"/>
        </w:rPr>
        <w:t xml:space="preserve">. </w:t>
      </w:r>
      <w:r w:rsidRPr="000C7426"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Synergistic Interaction of </w:t>
      </w:r>
      <w:proofErr w:type="spellStart"/>
      <w:r w:rsidRPr="000C7426">
        <w:rPr>
          <w:rFonts w:ascii="Times New Roman" w:hAnsi="Times New Roman" w:cs="Times New Roman"/>
          <w:b/>
          <w:bCs/>
          <w:color w:val="000000" w:themeColor="text1"/>
          <w:sz w:val="20"/>
        </w:rPr>
        <w:t>Lapatinib</w:t>
      </w:r>
      <w:proofErr w:type="spellEnd"/>
      <w:r w:rsidRPr="000C7426"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 plus Doxorubicin or 5-Fluorouracil Accelerates Cell Death of Triple Negative Breast Cancer MDA-MB-231 Cell Line</w:t>
      </w:r>
      <w:r w:rsidRPr="000C7426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0C7426">
        <w:rPr>
          <w:rFonts w:ascii="Times New Roman" w:hAnsi="Times New Roman" w:cs="Times New Roman"/>
          <w:i/>
          <w:sz w:val="20"/>
          <w:szCs w:val="20"/>
        </w:rPr>
        <w:t xml:space="preserve"> Cancer Biology</w:t>
      </w:r>
      <w:r w:rsidRPr="000C7426">
        <w:rPr>
          <w:rFonts w:ascii="Times New Roman" w:hAnsi="Times New Roman" w:cs="Times New Roman"/>
          <w:sz w:val="20"/>
          <w:szCs w:val="20"/>
        </w:rPr>
        <w:t xml:space="preserve"> 201</w:t>
      </w:r>
      <w:r w:rsidRPr="000C7426">
        <w:rPr>
          <w:rFonts w:ascii="Times New Roman" w:hAnsi="Times New Roman" w:cs="Times New Roman" w:hint="eastAsia"/>
          <w:sz w:val="20"/>
          <w:szCs w:val="20"/>
        </w:rPr>
        <w:t>9</w:t>
      </w:r>
      <w:r w:rsidRPr="000C7426">
        <w:rPr>
          <w:rFonts w:ascii="Times New Roman" w:hAnsi="Times New Roman" w:cs="Times New Roman"/>
          <w:sz w:val="20"/>
          <w:szCs w:val="20"/>
        </w:rPr>
        <w:t>;</w:t>
      </w:r>
      <w:r w:rsidRPr="000C7426">
        <w:rPr>
          <w:rFonts w:ascii="Times New Roman" w:hAnsi="Times New Roman" w:cs="Times New Roman" w:hint="eastAsia"/>
          <w:sz w:val="20"/>
          <w:szCs w:val="20"/>
        </w:rPr>
        <w:t>9</w:t>
      </w:r>
      <w:r w:rsidRPr="000C7426">
        <w:rPr>
          <w:rFonts w:ascii="Times New Roman" w:hAnsi="Times New Roman" w:cs="Times New Roman"/>
          <w:sz w:val="20"/>
          <w:szCs w:val="20"/>
        </w:rPr>
        <w:t>(</w:t>
      </w:r>
      <w:r w:rsidRPr="000C7426">
        <w:rPr>
          <w:rFonts w:ascii="Times New Roman" w:hAnsi="Times New Roman" w:cs="Times New Roman" w:hint="eastAsia"/>
          <w:sz w:val="20"/>
          <w:szCs w:val="20"/>
        </w:rPr>
        <w:t>1</w:t>
      </w:r>
      <w:r w:rsidRPr="000C7426">
        <w:rPr>
          <w:rFonts w:ascii="Times New Roman" w:hAnsi="Times New Roman" w:cs="Times New Roman"/>
          <w:sz w:val="20"/>
          <w:szCs w:val="20"/>
        </w:rPr>
        <w:t>):</w:t>
      </w:r>
      <w:r w:rsidR="00FE1E31">
        <w:rPr>
          <w:rFonts w:ascii="Times New Roman" w:hAnsi="Times New Roman" w:cs="Times New Roman"/>
          <w:noProof/>
          <w:color w:val="000000"/>
          <w:sz w:val="20"/>
          <w:szCs w:val="20"/>
        </w:rPr>
        <w:t>9</w:t>
      </w:r>
      <w:r w:rsidR="00724980">
        <w:rPr>
          <w:rFonts w:ascii="Times New Roman" w:hAnsi="Times New Roman" w:cs="Times New Roman" w:hint="eastAsia"/>
          <w:noProof/>
          <w:color w:val="000000"/>
          <w:sz w:val="20"/>
          <w:szCs w:val="20"/>
          <w:lang w:eastAsia="zh-CN"/>
        </w:rPr>
        <w:t>3</w:t>
      </w:r>
      <w:r w:rsidR="00FE1E31">
        <w:rPr>
          <w:rFonts w:ascii="Times New Roman" w:hAnsi="Times New Roman" w:cs="Times New Roman"/>
          <w:noProof/>
          <w:color w:val="000000"/>
          <w:sz w:val="20"/>
          <w:szCs w:val="20"/>
        </w:rPr>
        <w:t>-9</w:t>
      </w:r>
      <w:r w:rsidR="00724980">
        <w:rPr>
          <w:rFonts w:ascii="Times New Roman" w:hAnsi="Times New Roman" w:cs="Times New Roman" w:hint="eastAsia"/>
          <w:noProof/>
          <w:color w:val="000000"/>
          <w:sz w:val="20"/>
          <w:szCs w:val="20"/>
          <w:lang w:eastAsia="zh-CN"/>
        </w:rPr>
        <w:t>9</w:t>
      </w:r>
      <w:r w:rsidRPr="000C7426">
        <w:rPr>
          <w:rFonts w:ascii="Times New Roman" w:hAnsi="Times New Roman" w:cs="Times New Roman"/>
          <w:sz w:val="20"/>
          <w:szCs w:val="20"/>
        </w:rPr>
        <w:t xml:space="preserve">]. </w:t>
      </w:r>
      <w:r w:rsidRPr="000C7426">
        <w:rPr>
          <w:rStyle w:val="msonormal0"/>
          <w:rFonts w:ascii="Times New Roman" w:eastAsia="宋" w:hAnsi="Times New Roman" w:cs="Times New Roman"/>
          <w:sz w:val="20"/>
          <w:szCs w:val="20"/>
        </w:rPr>
        <w:t>ISSN: 2150-1041 (print); ISSN: 2150-105X (online)</w:t>
      </w:r>
      <w:r w:rsidRPr="000C7426">
        <w:rPr>
          <w:rFonts w:ascii="Times New Roman" w:hAnsi="Times New Roman" w:cs="Times New Roman"/>
          <w:sz w:val="20"/>
          <w:szCs w:val="20"/>
        </w:rPr>
        <w:t xml:space="preserve">. </w:t>
      </w:r>
      <w:hyperlink r:id="rId9" w:history="1">
        <w:r w:rsidRPr="000C7426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http://www.cancerbio.net</w:t>
        </w:r>
      </w:hyperlink>
      <w:r w:rsidRPr="000C7426">
        <w:rPr>
          <w:rFonts w:ascii="Times New Roman" w:hAnsi="Times New Roman" w:cs="Times New Roman"/>
          <w:sz w:val="20"/>
          <w:szCs w:val="20"/>
        </w:rPr>
        <w:t>.</w:t>
      </w:r>
      <w:r w:rsidRPr="000C742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B23F1">
        <w:rPr>
          <w:rFonts w:ascii="Times New Roman" w:hAnsi="Times New Roman" w:cs="Times New Roman" w:hint="eastAsia"/>
          <w:sz w:val="20"/>
          <w:szCs w:val="20"/>
          <w:lang w:eastAsia="zh-CN"/>
        </w:rPr>
        <w:t>12</w:t>
      </w:r>
      <w:r w:rsidRPr="000C7426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0C742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10" w:history="1">
        <w:r w:rsidRPr="000C7426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0C7426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cbj0901</w:t>
        </w:r>
        <w:r w:rsidRPr="000C7426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</w:t>
        </w:r>
        <w:r w:rsidRPr="000C7426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9.</w:t>
        </w:r>
        <w:r w:rsidR="003B23F1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12</w:t>
        </w:r>
      </w:hyperlink>
      <w:r w:rsidRPr="000C742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C037C2" w:rsidRPr="00013ABD" w:rsidRDefault="003B23F1" w:rsidP="000C742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</w:p>
    <w:p w:rsidR="0082388D" w:rsidRPr="00013ABD" w:rsidRDefault="009146B8" w:rsidP="000C742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ABD">
        <w:rPr>
          <w:rFonts w:ascii="Times New Roman" w:hAnsi="Times New Roman" w:cs="Times New Roman"/>
          <w:b/>
          <w:bCs/>
          <w:sz w:val="20"/>
          <w:szCs w:val="20"/>
        </w:rPr>
        <w:t>Key</w:t>
      </w:r>
      <w:r w:rsidR="005F05FE" w:rsidRPr="00013AB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13ABD">
        <w:rPr>
          <w:rFonts w:ascii="Times New Roman" w:hAnsi="Times New Roman" w:cs="Times New Roman"/>
          <w:b/>
          <w:bCs/>
          <w:sz w:val="20"/>
          <w:szCs w:val="20"/>
        </w:rPr>
        <w:t>words</w:t>
      </w:r>
      <w:r w:rsidR="005F05FE" w:rsidRPr="00013AB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BB5988" w:rsidRPr="00013AB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4A128A" w:rsidRPr="00013ABD">
        <w:rPr>
          <w:rFonts w:ascii="Times New Roman" w:hAnsi="Times New Roman" w:cs="Times New Roman"/>
          <w:sz w:val="20"/>
          <w:szCs w:val="20"/>
        </w:rPr>
        <w:t>Lapatinib</w:t>
      </w:r>
      <w:proofErr w:type="spellEnd"/>
      <w:r w:rsidR="004A128A" w:rsidRPr="00013ABD">
        <w:rPr>
          <w:rFonts w:ascii="Times New Roman" w:hAnsi="Times New Roman" w:cs="Times New Roman"/>
          <w:sz w:val="20"/>
          <w:szCs w:val="20"/>
        </w:rPr>
        <w:t>; Doxorubicin; 5-</w:t>
      </w:r>
      <w:r w:rsidR="00487D01" w:rsidRPr="00013ABD">
        <w:rPr>
          <w:rFonts w:ascii="Times New Roman" w:hAnsi="Times New Roman" w:cs="Times New Roman"/>
          <w:sz w:val="20"/>
          <w:szCs w:val="20"/>
        </w:rPr>
        <w:t>Fluorouracil</w:t>
      </w:r>
      <w:r w:rsidR="004A128A" w:rsidRPr="00013ABD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B25790" w:rsidRPr="00013ABD">
        <w:rPr>
          <w:rFonts w:ascii="Times New Roman" w:hAnsi="Times New Roman" w:cs="Times New Roman"/>
          <w:sz w:val="20"/>
          <w:szCs w:val="20"/>
        </w:rPr>
        <w:t>Cytotoxicity</w:t>
      </w:r>
      <w:proofErr w:type="spellEnd"/>
      <w:r w:rsidR="00B25790" w:rsidRPr="00013ABD">
        <w:rPr>
          <w:rFonts w:ascii="Times New Roman" w:hAnsi="Times New Roman" w:cs="Times New Roman"/>
          <w:sz w:val="20"/>
          <w:szCs w:val="20"/>
        </w:rPr>
        <w:t xml:space="preserve">; </w:t>
      </w:r>
      <w:r w:rsidR="00E075C5" w:rsidRPr="00013ABD">
        <w:rPr>
          <w:rFonts w:ascii="Times New Roman" w:hAnsi="Times New Roman" w:cs="Times New Roman"/>
          <w:sz w:val="20"/>
          <w:szCs w:val="20"/>
        </w:rPr>
        <w:t>M</w:t>
      </w:r>
      <w:r w:rsidR="005F05FE" w:rsidRPr="00013ABD">
        <w:rPr>
          <w:rFonts w:ascii="Times New Roman" w:hAnsi="Times New Roman" w:cs="Times New Roman"/>
          <w:sz w:val="20"/>
          <w:szCs w:val="20"/>
        </w:rPr>
        <w:t>icronucl</w:t>
      </w:r>
      <w:r w:rsidR="00AD18C3" w:rsidRPr="00013ABD">
        <w:rPr>
          <w:rFonts w:ascii="Times New Roman" w:hAnsi="Times New Roman" w:cs="Times New Roman"/>
          <w:sz w:val="20"/>
          <w:szCs w:val="20"/>
        </w:rPr>
        <w:t>eus test</w:t>
      </w:r>
      <w:r w:rsidR="004A128A" w:rsidRPr="00013ABD">
        <w:rPr>
          <w:rFonts w:ascii="Times New Roman" w:hAnsi="Times New Roman" w:cs="Times New Roman"/>
          <w:sz w:val="20"/>
          <w:szCs w:val="20"/>
        </w:rPr>
        <w:t>;</w:t>
      </w:r>
      <w:r w:rsidR="00AD18C3" w:rsidRPr="00013ABD">
        <w:rPr>
          <w:rFonts w:ascii="Times New Roman" w:hAnsi="Times New Roman" w:cs="Times New Roman"/>
          <w:sz w:val="20"/>
          <w:szCs w:val="20"/>
        </w:rPr>
        <w:t xml:space="preserve"> </w:t>
      </w:r>
      <w:r w:rsidR="00654F0C" w:rsidRPr="00013ABD">
        <w:rPr>
          <w:rFonts w:ascii="Times New Roman" w:hAnsi="Times New Roman" w:cs="Times New Roman"/>
          <w:sz w:val="20"/>
          <w:szCs w:val="20"/>
        </w:rPr>
        <w:t>A</w:t>
      </w:r>
      <w:r w:rsidR="00AD18C3" w:rsidRPr="00013ABD">
        <w:rPr>
          <w:rFonts w:ascii="Times New Roman" w:hAnsi="Times New Roman" w:cs="Times New Roman"/>
          <w:sz w:val="20"/>
          <w:szCs w:val="20"/>
        </w:rPr>
        <w:t>poptosis</w:t>
      </w:r>
      <w:r w:rsidR="00B25790" w:rsidRPr="00013ABD">
        <w:rPr>
          <w:rFonts w:ascii="Times New Roman" w:hAnsi="Times New Roman" w:cs="Times New Roman"/>
          <w:sz w:val="20"/>
          <w:szCs w:val="20"/>
        </w:rPr>
        <w:t>-</w:t>
      </w:r>
      <w:r w:rsidR="00487D01" w:rsidRPr="00013ABD">
        <w:rPr>
          <w:rFonts w:ascii="Times New Roman" w:hAnsi="Times New Roman" w:cs="Times New Roman"/>
          <w:sz w:val="20"/>
          <w:szCs w:val="20"/>
        </w:rPr>
        <w:t>necrosis</w:t>
      </w:r>
      <w:r w:rsidR="00201322" w:rsidRPr="00013ABD">
        <w:rPr>
          <w:rFonts w:ascii="Times New Roman" w:hAnsi="Times New Roman" w:cs="Times New Roman"/>
          <w:sz w:val="20"/>
          <w:szCs w:val="20"/>
        </w:rPr>
        <w:t>.</w:t>
      </w:r>
      <w:r w:rsidR="00471460" w:rsidRPr="00013A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2458" w:rsidRPr="00013ABD" w:rsidRDefault="00A12458" w:rsidP="000C742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B23F1" w:rsidRDefault="003B23F1" w:rsidP="000C7426">
      <w:pPr>
        <w:pStyle w:val="ListParagraph"/>
        <w:numPr>
          <w:ilvl w:val="0"/>
          <w:numId w:val="29"/>
        </w:numPr>
        <w:bidi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sectPr w:rsidR="003B23F1" w:rsidSect="00724980">
          <w:headerReference w:type="default" r:id="rId11"/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pgNumType w:start="93"/>
          <w:cols w:space="720"/>
          <w:docGrid w:linePitch="360"/>
        </w:sectPr>
      </w:pPr>
    </w:p>
    <w:p w:rsidR="00851786" w:rsidRPr="00013ABD" w:rsidRDefault="00851786" w:rsidP="000C7426">
      <w:pPr>
        <w:pStyle w:val="ListParagraph"/>
        <w:numPr>
          <w:ilvl w:val="0"/>
          <w:numId w:val="29"/>
        </w:numPr>
        <w:bidi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13A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>Introduction</w:t>
      </w:r>
    </w:p>
    <w:p w:rsidR="00CC3BB1" w:rsidRPr="00013ABD" w:rsidRDefault="002E0639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Triple-negative breast c</w:t>
      </w:r>
      <w:r w:rsidR="00E01625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ancers (</w:t>
      </w:r>
      <w:proofErr w:type="spellStart"/>
      <w:r w:rsidR="004039B8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TNBC</w:t>
      </w:r>
      <w:r w:rsidR="004217D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proofErr w:type="spellEnd"/>
      <w:r w:rsidR="00355049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are </w:t>
      </w:r>
      <w:r w:rsidR="00FE6F4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varieties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of tumors that lack </w:t>
      </w:r>
      <w:r w:rsidR="00D1699C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expression of estrogen (ER),</w:t>
      </w:r>
      <w:r w:rsidR="004039B8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progesterone (PR) </w:t>
      </w:r>
      <w:r w:rsidR="004E2B08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receptors </w:t>
      </w:r>
      <w:r w:rsidR="00D1699C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770FE5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E2B08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human epidermal growth factor receptor-2</w:t>
      </w:r>
      <w:r w:rsidR="0069572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770FE5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tyrosine </w:t>
      </w:r>
      <w:proofErr w:type="spellStart"/>
      <w:r w:rsidR="00770FE5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kinase</w:t>
      </w:r>
      <w:proofErr w:type="spellEnd"/>
      <w:r w:rsidR="00770FE5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HER2 receptor</w:t>
      </w:r>
      <w:r w:rsidR="0069572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6B61B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[</w:t>
      </w:r>
      <w:r w:rsidR="00E235F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1,2</w:t>
      </w:r>
      <w:r w:rsidR="006B61B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]</w:t>
      </w:r>
      <w:r w:rsidR="004039B8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="0069572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TNBCs</w:t>
      </w:r>
      <w:proofErr w:type="spellEnd"/>
      <w:r w:rsidR="0069572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are aggressive cancer </w:t>
      </w:r>
      <w:r w:rsidR="0016426A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sub</w:t>
      </w:r>
      <w:r w:rsidR="006A2FF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types that lack prognosis</w:t>
      </w:r>
      <w:r w:rsidR="006B61B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[</w:t>
      </w:r>
      <w:r w:rsidR="00E235F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6B61B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]</w:t>
      </w:r>
      <w:r w:rsidR="00E235F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6426A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and gain resistance to different chemotherapeutic drugs such as </w:t>
      </w:r>
      <w:proofErr w:type="spellStart"/>
      <w:r w:rsidR="0016426A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paclitaxel</w:t>
      </w:r>
      <w:proofErr w:type="spellEnd"/>
      <w:r w:rsidR="0016426A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16426A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vinorelbine</w:t>
      </w:r>
      <w:proofErr w:type="spellEnd"/>
      <w:r w:rsidR="0016426A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16426A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gemcitabine</w:t>
      </w:r>
      <w:proofErr w:type="spellEnd"/>
      <w:r w:rsidR="0016426A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, doxorubicin or 5-fluorouac</w:t>
      </w:r>
      <w:r w:rsidR="006A2FF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il after a series of treatments</w:t>
      </w:r>
      <w:r w:rsidR="002B4D5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B61B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[</w:t>
      </w:r>
      <w:r w:rsidR="00E235F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4,5</w:t>
      </w:r>
      <w:r w:rsidR="006B61B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]</w:t>
      </w:r>
      <w:r w:rsidR="0016426A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F3D5C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039B8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One</w:t>
      </w:r>
      <w:r w:rsidR="00C00BB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of </w:t>
      </w:r>
      <w:proofErr w:type="spellStart"/>
      <w:r w:rsidR="004039B8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TNBC</w:t>
      </w:r>
      <w:r w:rsidR="00C00BB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proofErr w:type="spellEnd"/>
      <w:r w:rsidR="004039B8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is </w:t>
      </w:r>
      <w:r w:rsidR="002D7645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MDA-MB-231</w:t>
      </w:r>
      <w:r w:rsidR="00020FDC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cell line</w:t>
      </w:r>
      <w:r w:rsidR="0016426A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, which</w:t>
      </w:r>
      <w:r w:rsidR="002D7645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is mainly correlated to poor outcomes, showing the worst overall and dise</w:t>
      </w:r>
      <w:r w:rsidR="00D1699C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ase-free survival rates due to</w:t>
      </w:r>
      <w:r w:rsidR="002D7645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lack of effective targeted therapies</w:t>
      </w:r>
      <w:r w:rsidR="006B61B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[</w:t>
      </w:r>
      <w:r w:rsidR="00F53EA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6,7</w:t>
      </w:r>
      <w:r w:rsidR="006B61B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]</w:t>
      </w:r>
      <w:r w:rsidR="0016426A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413506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CC3BB1" w:rsidRPr="00013ABD" w:rsidRDefault="004200F0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Doxorubicin (DOX), one of the most effective </w:t>
      </w:r>
      <w:proofErr w:type="spellStart"/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anthracycline</w:t>
      </w:r>
      <w:proofErr w:type="spellEnd"/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components, is</w:t>
      </w:r>
      <w:r w:rsidR="00173F2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use</w:t>
      </w:r>
      <w:r w:rsidR="006A2FF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d in breast cancer regimens</w:t>
      </w:r>
      <w:r w:rsidR="006B61B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[</w:t>
      </w:r>
      <w:r w:rsidR="00F53EA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6B61B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]</w:t>
      </w:r>
      <w:r w:rsidR="00CC3BB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173F2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activity of </w:t>
      </w:r>
      <w:r w:rsidR="00CC3BB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DOX </w:t>
      </w:r>
      <w:r w:rsidR="00173F2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returns back to its intercal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ation with the nitric bases of DNA </w:t>
      </w:r>
      <w:r w:rsidR="00173F2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double 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helix</w:t>
      </w:r>
      <w:r w:rsidR="00173F2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generating free radicals that rupture DNA strands, inhibiting the respiratory chain enzymes in mitochondria, causing membrane lipid oxidation</w:t>
      </w:r>
      <w:r w:rsidR="00CC3BB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, interference</w:t>
      </w:r>
      <w:r w:rsidR="00C572DC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1494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with</w:t>
      </w:r>
      <w:r w:rsidR="00C572DC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3BB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DNA</w:t>
      </w:r>
      <w:r w:rsidR="00C572DC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00C58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unwinding</w:t>
      </w:r>
      <w:r w:rsidR="00C572DC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00C58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and </w:t>
      </w:r>
      <w:proofErr w:type="spellStart"/>
      <w:r w:rsidR="00D00C58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helicase</w:t>
      </w:r>
      <w:proofErr w:type="spellEnd"/>
      <w:r w:rsidR="00441494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00C58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activity</w:t>
      </w:r>
      <w:r w:rsidR="00CC3BB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induction of apoptosis in response</w:t>
      </w:r>
      <w:r w:rsidR="006A2FF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to </w:t>
      </w:r>
      <w:proofErr w:type="spellStart"/>
      <w:r w:rsidR="006A2FF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topoisomerase</w:t>
      </w:r>
      <w:proofErr w:type="spellEnd"/>
      <w:r w:rsidR="006A2FF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II inhibition</w:t>
      </w:r>
      <w:r w:rsidR="006B61B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[</w:t>
      </w:r>
      <w:r w:rsidR="00F53EA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6B61B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]</w:t>
      </w:r>
      <w:r w:rsidR="00CC3BB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61B1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B6FE3" w:rsidRPr="00013ABD" w:rsidRDefault="00CC3BB1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5-Fluorouracil (5-FU) is </w:t>
      </w:r>
      <w:proofErr w:type="spellStart"/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fluoropyrimidine</w:t>
      </w:r>
      <w:r w:rsidR="00104CB6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proofErr w:type="spellEnd"/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which </w:t>
      </w:r>
      <w:r w:rsidR="004E149D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104CB6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used as the first-line in </w:t>
      </w:r>
      <w:r w:rsidR="004E149D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different </w:t>
      </w:r>
      <w:r w:rsidR="00197DF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cancer </w:t>
      </w:r>
      <w:r w:rsidR="004E149D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regimens</w:t>
      </w:r>
      <w:r w:rsidR="00197DF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including </w:t>
      </w:r>
      <w:r w:rsidR="006A2FF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breast cancer</w:t>
      </w:r>
      <w:r w:rsidR="006B61B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[</w:t>
      </w:r>
      <w:r w:rsidR="00F53EA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6B61B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]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5-FU is similar to </w:t>
      </w:r>
      <w:proofErr w:type="spellStart"/>
      <w:r w:rsidR="00104CB6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pyrimidines</w:t>
      </w:r>
      <w:proofErr w:type="spellEnd"/>
      <w:r w:rsidR="00104CB6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1699C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incorporate</w:t>
      </w:r>
      <w:r w:rsidR="00355049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="00D1699C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into DNA and RNA</w:t>
      </w:r>
      <w:r w:rsidR="003540F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, t</w:t>
      </w:r>
      <w:r w:rsidR="00D777FE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hus, i</w:t>
      </w:r>
      <w:r w:rsidR="00D1699C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t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4CB6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interferes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with nucleoside metabolism</w:t>
      </w:r>
      <w:r w:rsidR="00104CB6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causing</w:t>
      </w:r>
      <w:r w:rsidR="006A2FF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A2FF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cytotoxicity</w:t>
      </w:r>
      <w:proofErr w:type="spellEnd"/>
      <w:r w:rsidR="006B61B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[</w:t>
      </w:r>
      <w:r w:rsidR="00F53EA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11,12</w:t>
      </w:r>
      <w:r w:rsidR="006B61B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]</w:t>
      </w:r>
      <w:r w:rsidR="00DE417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4E149D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Also</w:t>
      </w:r>
      <w:r w:rsidR="00DE417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97DF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E417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it </w:t>
      </w:r>
      <w:r w:rsidR="00197DF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affects cell cycle regulation and </w:t>
      </w:r>
      <w:r w:rsidR="004E149D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causes </w:t>
      </w:r>
      <w:r w:rsidR="00D7688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cell </w:t>
      </w:r>
      <w:r w:rsidR="004E149D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cycle </w:t>
      </w:r>
      <w:r w:rsidR="006A2FF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arrest through G1/S phase</w:t>
      </w:r>
      <w:r w:rsidR="006B61B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[</w:t>
      </w:r>
      <w:r w:rsidR="00530F48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13,14</w:t>
      </w:r>
      <w:r w:rsidR="006B61B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]</w:t>
      </w:r>
      <w:r w:rsidR="004E149D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. It</w:t>
      </w:r>
      <w:r w:rsidR="00DE417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E149D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generates</w:t>
      </w:r>
      <w:r w:rsidR="00197DF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mitochondrial </w:t>
      </w:r>
      <w:r w:rsidR="00DE417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reactive oxygen species (ROS), which </w:t>
      </w:r>
      <w:r w:rsidR="004E149D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might </w:t>
      </w:r>
      <w:r w:rsidR="00DE417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activate caspase-6 and </w:t>
      </w:r>
      <w:r w:rsidR="00197DF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p53-dependent apoptotic pathway</w:t>
      </w:r>
      <w:r w:rsidR="006A2FF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6B61B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[</w:t>
      </w:r>
      <w:r w:rsidR="00BC7A5D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15,16</w:t>
      </w:r>
      <w:r w:rsidR="006B61B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]</w:t>
      </w:r>
      <w:r w:rsidR="00DE417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B1036C" w:rsidRPr="00013ABD" w:rsidRDefault="00B1036C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Lapatinib</w:t>
      </w:r>
      <w:proofErr w:type="spellEnd"/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(Lap)</w:t>
      </w:r>
      <w:r w:rsidR="00D1699C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AB14BF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reversible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dual </w:t>
      </w:r>
      <w:r w:rsidR="00D1699C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of </w:t>
      </w:r>
      <w:r w:rsidR="00AB14BF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tyrosine </w:t>
      </w:r>
      <w:proofErr w:type="spellStart"/>
      <w:r w:rsidR="00AB14BF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kinase</w:t>
      </w:r>
      <w:proofErr w:type="spellEnd"/>
      <w:r w:rsidR="00AB14BF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inhibitor</w:t>
      </w:r>
      <w:r w:rsidR="00D1699C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AB14BF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proofErr w:type="spellStart"/>
      <w:r w:rsidR="00AB14BF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TKI</w:t>
      </w:r>
      <w:r w:rsidR="00D1699C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proofErr w:type="spellEnd"/>
      <w:r w:rsidR="00AB14BF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D1699C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AB14BF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1699C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is </w:t>
      </w:r>
      <w:r w:rsidR="00AB14BF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homologous to the adenosine </w:t>
      </w:r>
      <w:proofErr w:type="spellStart"/>
      <w:r w:rsidR="00AB14BF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triphosphate</w:t>
      </w:r>
      <w:proofErr w:type="spellEnd"/>
      <w:r w:rsidR="00AB14BF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(ATP). </w:t>
      </w:r>
      <w:r w:rsidR="007B6FE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This inhibitor </w:t>
      </w:r>
      <w:r w:rsidR="00AB14BF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targets and inhibits</w:t>
      </w:r>
      <w:r w:rsidR="003940F2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selectively </w:t>
      </w:r>
      <w:r w:rsidR="008240A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two receptors of </w:t>
      </w:r>
      <w:r w:rsidR="0028464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human epidermal growth factor </w:t>
      </w:r>
      <w:r w:rsidR="008240A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family</w:t>
      </w:r>
      <w:r w:rsidR="0028464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240A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954075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EGFR/</w:t>
      </w:r>
      <w:r w:rsidR="0028464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="00954075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rbB1 and HER2/ErbB</w:t>
      </w:r>
      <w:r w:rsidR="0028464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8240A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14BF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by preventing </w:t>
      </w:r>
      <w:proofErr w:type="spellStart"/>
      <w:r w:rsidR="00AB14BF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phosphorylation</w:t>
      </w:r>
      <w:proofErr w:type="spellEnd"/>
      <w:r w:rsidR="003634B9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AB14BF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activat</w:t>
      </w:r>
      <w:r w:rsidR="003634B9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ing</w:t>
      </w:r>
      <w:r w:rsidR="00AB14BF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signal transduction pathways</w:t>
      </w:r>
      <w:r w:rsidR="003634B9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AB14BF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634B9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triggering</w:t>
      </w:r>
      <w:r w:rsidR="00AB14BF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apoptosis and decreasing cellular proliferation</w:t>
      </w:r>
      <w:r w:rsidR="006B61B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[</w:t>
      </w:r>
      <w:r w:rsidR="005323B6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17</w:t>
      </w:r>
      <w:r w:rsidR="006B61B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]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="007B6FE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Lapatinib</w:t>
      </w:r>
      <w:proofErr w:type="spellEnd"/>
      <w:r w:rsidR="007B6FE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has been approved for metastatic HER2-positive breast cancer treatment</w:t>
      </w:r>
      <w:r w:rsidR="007B6FE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3E4FB6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. I</w:t>
      </w:r>
      <w:r w:rsidR="007B6FE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t was</w:t>
      </w:r>
      <w:r w:rsidR="00A01B5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used in combination with </w:t>
      </w:r>
      <w:proofErr w:type="spellStart"/>
      <w:r w:rsidR="00A01B5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letrozole</w:t>
      </w:r>
      <w:proofErr w:type="spellEnd"/>
      <w:r w:rsidR="00A01B5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an </w:t>
      </w:r>
      <w:proofErr w:type="spellStart"/>
      <w:r w:rsidR="00A01B5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aromatase</w:t>
      </w:r>
      <w:proofErr w:type="spellEnd"/>
      <w:r w:rsidR="00A01B5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inhibitor, as a first-line treatment to metastatic breast cancers with HE</w:t>
      </w:r>
      <w:r w:rsidR="006A2FF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R2 and hormonal over-expression</w:t>
      </w:r>
      <w:r w:rsidR="006B61B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[</w:t>
      </w:r>
      <w:r w:rsidR="005323B6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18</w:t>
      </w:r>
      <w:r w:rsidR="006B61B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]</w:t>
      </w:r>
      <w:r w:rsidR="003E4FB6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. Also,</w:t>
      </w:r>
      <w:r w:rsidR="00A01B5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B6FE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it was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used in combination with </w:t>
      </w:r>
      <w:r w:rsidR="00A01B5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different 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chemotherap</w:t>
      </w:r>
      <w:r w:rsidR="00A01B5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ies as a second-line for breast cancer patients </w:t>
      </w:r>
      <w:r w:rsidR="003E4FB6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primarily</w:t>
      </w:r>
      <w:r w:rsidR="00A01B5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treated </w:t>
      </w:r>
      <w:r w:rsidR="00D7688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with </w:t>
      </w:r>
      <w:r w:rsidR="006A2FF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different chemotherapeutics</w:t>
      </w:r>
      <w:r w:rsidR="006B61B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[</w:t>
      </w:r>
      <w:r w:rsidR="005323B6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19-21</w:t>
      </w:r>
      <w:r w:rsidR="006B61B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]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173F2B" w:rsidRPr="00013ABD" w:rsidRDefault="002B4D57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Therefore</w:t>
      </w:r>
      <w:r w:rsidR="003D7238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37BA9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it </w:t>
      </w:r>
      <w:r w:rsidR="003D7238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was</w:t>
      </w:r>
      <w:r w:rsidR="00137BA9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important to seek for the suitable strategies enhancing </w:t>
      </w:r>
      <w:proofErr w:type="spellStart"/>
      <w:r w:rsidR="00137BA9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cytotoxicity</w:t>
      </w:r>
      <w:proofErr w:type="spellEnd"/>
      <w:r w:rsidR="00137BA9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of </w:t>
      </w:r>
      <w:proofErr w:type="spellStart"/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TKIs</w:t>
      </w:r>
      <w:proofErr w:type="spellEnd"/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</w:t>
      </w:r>
      <w:r w:rsidR="00D7688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chemotherapeutics on </w:t>
      </w:r>
      <w:r w:rsidR="002C067D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MDA-MB-231 cells as one of the </w:t>
      </w:r>
      <w:proofErr w:type="spellStart"/>
      <w:r w:rsidR="00137BA9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TNBC</w:t>
      </w:r>
      <w:r w:rsidR="00855839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proofErr w:type="spellEnd"/>
      <w:r w:rsidR="00137BA9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cells. </w:t>
      </w:r>
      <w:r w:rsidR="003D7238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Hence, </w:t>
      </w:r>
      <w:r w:rsidR="00855839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we</w:t>
      </w:r>
      <w:r w:rsidR="00AD05DC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5280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assessed</w:t>
      </w:r>
      <w:r w:rsidR="00C00BB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</w:t>
      </w:r>
      <w:r w:rsidR="00CC721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synergistic therapeutic effects</w:t>
      </w:r>
      <w:r w:rsidR="00C00BB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of</w:t>
      </w:r>
      <w:r w:rsidR="002C067D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55839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l</w:t>
      </w:r>
      <w:r w:rsidR="0005280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ap</w:t>
      </w:r>
      <w:r w:rsidR="00B417CE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atinib</w:t>
      </w:r>
      <w:proofErr w:type="spellEnd"/>
      <w:r w:rsidR="00C00BB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721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in combination</w:t>
      </w:r>
      <w:r w:rsidR="00C25BE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with </w:t>
      </w:r>
      <w:r w:rsidR="00990C2C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DOX</w:t>
      </w:r>
      <w:r w:rsidR="005F11C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25BE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or </w:t>
      </w:r>
      <w:r w:rsidR="005F11C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5-FU</w:t>
      </w:r>
      <w:r w:rsidR="00CC721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on MDA-MB-231</w:t>
      </w:r>
      <w:r w:rsidR="00137BA9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721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cell line using </w:t>
      </w:r>
      <w:proofErr w:type="spellStart"/>
      <w:r w:rsidR="0005280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cytotoxic</w:t>
      </w:r>
      <w:proofErr w:type="spellEnd"/>
      <w:r w:rsidR="0005280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assay</w:t>
      </w:r>
      <w:r w:rsidR="00CC721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, apoptosis</w:t>
      </w:r>
      <w:r w:rsidR="00017426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CC721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necrosis</w:t>
      </w:r>
      <w:r w:rsidR="0005280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17426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CC721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5280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micronucleus </w:t>
      </w:r>
      <w:r w:rsidR="00855839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tests</w:t>
      </w:r>
      <w:r w:rsidR="002C067D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as</w:t>
      </w:r>
      <w:r w:rsidR="00017426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0620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DNA damage cytogenetic </w:t>
      </w:r>
      <w:r w:rsidR="0005280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monitor</w:t>
      </w:r>
      <w:r w:rsidR="00A0620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05280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61B1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C037C2" w:rsidRPr="00013ABD" w:rsidRDefault="00C037C2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146B8" w:rsidRPr="00013ABD" w:rsidRDefault="009146B8" w:rsidP="000C7426">
      <w:pPr>
        <w:pStyle w:val="ListParagraph"/>
        <w:numPr>
          <w:ilvl w:val="0"/>
          <w:numId w:val="29"/>
        </w:numPr>
        <w:bidi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013ABD">
        <w:rPr>
          <w:rFonts w:ascii="Times New Roman" w:hAnsi="Times New Roman" w:cs="Times New Roman"/>
          <w:b/>
          <w:bCs/>
          <w:sz w:val="20"/>
          <w:szCs w:val="20"/>
          <w:lang w:bidi="ar-EG"/>
        </w:rPr>
        <w:t>Materials and Methods</w:t>
      </w:r>
      <w:r w:rsidR="00BB5988" w:rsidRPr="00013ABD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</w:p>
    <w:p w:rsidR="007C63AB" w:rsidRPr="00013ABD" w:rsidRDefault="007C63AB" w:rsidP="000C7426">
      <w:pPr>
        <w:pStyle w:val="ListParagraph"/>
        <w:numPr>
          <w:ilvl w:val="1"/>
          <w:numId w:val="1"/>
        </w:numPr>
        <w:bidi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13A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Chemicals and reagents</w:t>
      </w:r>
      <w:r w:rsidR="00BB5988" w:rsidRPr="00013A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7C63AB" w:rsidRPr="00013ABD" w:rsidRDefault="001A1BFA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013ABD">
        <w:rPr>
          <w:rFonts w:ascii="Times New Roman" w:hAnsi="Times New Roman" w:cs="Times New Roman"/>
          <w:color w:val="000000"/>
          <w:sz w:val="20"/>
          <w:szCs w:val="20"/>
        </w:rPr>
        <w:t>Lapatinib</w:t>
      </w:r>
      <w:proofErr w:type="spellEnd"/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(CDS022971; </w:t>
      </w:r>
      <w:r w:rsidR="007C63AB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Sigma Aldrich, </w:t>
      </w:r>
      <w:r w:rsidR="007C63A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USA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36058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13ADC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and 5-Fluorouracil (F6627, Sigma, </w:t>
      </w:r>
      <w:proofErr w:type="spellStart"/>
      <w:r w:rsidR="00013ADC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Schnelldorf</w:t>
      </w:r>
      <w:proofErr w:type="spellEnd"/>
      <w:r w:rsidR="00013ADC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="00BA281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327714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ere </w:t>
      </w:r>
      <w:proofErr w:type="spellStart"/>
      <w:r w:rsidR="0036058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solubilized</w:t>
      </w:r>
      <w:proofErr w:type="spellEnd"/>
      <w:r w:rsidR="0036058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 DMSO then diluted in </w:t>
      </w:r>
      <w:proofErr w:type="spellStart"/>
      <w:r w:rsidR="0036058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deionized</w:t>
      </w:r>
      <w:proofErr w:type="spellEnd"/>
      <w:r w:rsidR="0036058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6058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distilled water</w:t>
      </w:r>
      <w:r w:rsidR="00327714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82012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 final </w:t>
      </w:r>
      <w:r w:rsidR="0086528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DMSO save concentration </w:t>
      </w:r>
      <w:r w:rsidR="00082012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≤</w:t>
      </w:r>
      <w:r w:rsidR="0086528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0.1%. 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Doxorubicin </w:t>
      </w:r>
      <w:r w:rsidR="00BA281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AF442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D1515</w:t>
      </w:r>
      <w:r w:rsidR="00BA281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AF442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Sigma, </w:t>
      </w:r>
      <w:proofErr w:type="spellStart"/>
      <w:r w:rsidR="00AF442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Schnelldorf</w:t>
      </w:r>
      <w:proofErr w:type="spellEnd"/>
      <w:r w:rsidR="00AF442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BA281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327714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BA281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dissolved in </w:t>
      </w:r>
      <w:proofErr w:type="spellStart"/>
      <w:r w:rsidR="00BA281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deionized</w:t>
      </w:r>
      <w:proofErr w:type="spellEnd"/>
      <w:r w:rsidR="00BA281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distilled water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7C63AB" w:rsidRPr="00013ABD">
        <w:rPr>
          <w:rFonts w:ascii="Times New Roman" w:hAnsi="Times New Roman" w:cs="Times New Roman"/>
          <w:color w:val="000000"/>
          <w:sz w:val="20"/>
          <w:szCs w:val="20"/>
        </w:rPr>
        <w:t>Other buffers and reagents were obtained as ana</w:t>
      </w:r>
      <w:r w:rsidR="00C21E9A" w:rsidRPr="00013ABD">
        <w:rPr>
          <w:rFonts w:ascii="Times New Roman" w:hAnsi="Times New Roman" w:cs="Times New Roman"/>
          <w:color w:val="000000"/>
          <w:sz w:val="20"/>
          <w:szCs w:val="20"/>
        </w:rPr>
        <w:t>lytical grades</w:t>
      </w:r>
      <w:r w:rsidR="00741F91" w:rsidRPr="00013AB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="00C21E9A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unless mentioned</w:t>
      </w:r>
      <w:r w:rsidR="007C63AB" w:rsidRPr="00013AB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861B1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C63AB" w:rsidRPr="00013ABD" w:rsidRDefault="007C63AB" w:rsidP="000C7426">
      <w:pPr>
        <w:pStyle w:val="ListParagraph"/>
        <w:numPr>
          <w:ilvl w:val="1"/>
          <w:numId w:val="1"/>
        </w:numPr>
        <w:bidi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13A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Cell culture</w:t>
      </w:r>
      <w:r w:rsidR="00BB5988" w:rsidRPr="00013A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984BE6" w:rsidRPr="00013ABD" w:rsidRDefault="007C63AB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human breast cancer cell </w:t>
      </w:r>
      <w:r w:rsidR="00984BE6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line 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MDA-MB-231</w:t>
      </w:r>
      <w:r w:rsidR="00C73C1A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(American type culture collection; ATCC, VA, USA)</w:t>
      </w:r>
      <w:r w:rsidR="00610286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73C1A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was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routinely cultured in Dulbecco’s modified Eagles medium (DMEM) containing 10% fetal bovine serum (</w:t>
      </w:r>
      <w:proofErr w:type="spellStart"/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Biowest</w:t>
      </w:r>
      <w:proofErr w:type="spellEnd"/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) and antibiotic/</w:t>
      </w:r>
      <w:proofErr w:type="spellStart"/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ant</w:t>
      </w:r>
      <w:r w:rsidR="00984BE6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imycotic</w:t>
      </w:r>
      <w:proofErr w:type="spellEnd"/>
      <w:r w:rsidR="00984BE6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proofErr w:type="spellStart"/>
      <w:r w:rsidR="00984BE6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Biowest</w:t>
      </w:r>
      <w:proofErr w:type="spellEnd"/>
      <w:r w:rsidR="00984BE6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84BE6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at 37</w:t>
      </w:r>
      <w:r w:rsidR="004D6364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°</w:t>
      </w:r>
      <w:r w:rsidR="00984BE6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C in humidified air chamber containing 5% CO</w:t>
      </w:r>
      <w:r w:rsidR="00984BE6" w:rsidRPr="00013ABD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2</w:t>
      </w:r>
      <w:r w:rsidR="00984BE6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Monolayer cells were harvested by </w:t>
      </w:r>
      <w:proofErr w:type="spellStart"/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trypsin</w:t>
      </w:r>
      <w:proofErr w:type="spellEnd"/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D713C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EDTA (</w:t>
      </w:r>
      <w:proofErr w:type="spellStart"/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Biowest</w:t>
      </w:r>
      <w:proofErr w:type="spellEnd"/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D713C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re-cultured in </w:t>
      </w:r>
      <w:proofErr w:type="spellStart"/>
      <w:r w:rsidR="00D713C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microplates</w:t>
      </w:r>
      <w:proofErr w:type="spellEnd"/>
      <w:r w:rsidR="00D713C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to assess </w:t>
      </w:r>
      <w:proofErr w:type="spellStart"/>
      <w:r w:rsidR="00D713C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cytotoxic</w:t>
      </w:r>
      <w:proofErr w:type="spellEnd"/>
      <w:r w:rsidR="00D713C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</w:t>
      </w:r>
      <w:proofErr w:type="spellStart"/>
      <w:r w:rsidR="00D713C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genotoxic</w:t>
      </w:r>
      <w:proofErr w:type="spellEnd"/>
      <w:r w:rsidR="00D713C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assays</w:t>
      </w:r>
      <w:r w:rsidR="00984BE6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61B1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71B70" w:rsidRPr="00013ABD" w:rsidRDefault="00771B70" w:rsidP="000C7426">
      <w:pPr>
        <w:pStyle w:val="ListParagraph"/>
        <w:numPr>
          <w:ilvl w:val="1"/>
          <w:numId w:val="23"/>
        </w:numPr>
        <w:bidi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13A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Design of combined treatments</w:t>
      </w:r>
      <w:r w:rsidR="00BB5988" w:rsidRPr="00013A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3B23F1" w:rsidRDefault="003B23F1" w:rsidP="000C7426">
      <w:pPr>
        <w:snapToGrid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  <w:sectPr w:rsidR="003B23F1" w:rsidSect="003B23F1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9474"/>
      </w:tblGrid>
      <w:tr w:rsidR="00170CB2" w:rsidRPr="00013ABD" w:rsidTr="00013A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CB2" w:rsidRPr="00013ABD" w:rsidRDefault="00170CB2" w:rsidP="003B23F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3ABD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zh-CN"/>
              </w:rPr>
              <w:lastRenderedPageBreak/>
              <w:drawing>
                <wp:inline distT="0" distB="0" distL="0" distR="0">
                  <wp:extent cx="3164619" cy="4919484"/>
                  <wp:effectExtent l="19050" t="0" r="0" b="0"/>
                  <wp:docPr id="2" name="Picture 2" descr="E:\Dell desktop 2016\NRC Projects 2016-2019\11010187_Proj2016_collected data\1st paper lapatinib\Combined therapy\JAS\JAS_R1\Fig. 1_Cytotoxicity_Com.Ther._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ll desktop 2016\NRC Projects 2016-2019\11010187_Proj2016_collected data\1st paper lapatinib\Combined therapy\JAS\JAS_R1\Fig. 1_Cytotoxicity_Com.Ther._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430" cy="4922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CB2" w:rsidRPr="00013ABD" w:rsidTr="00013A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7C2" w:rsidRPr="00013ABD" w:rsidRDefault="00170CB2" w:rsidP="0072498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Figure 1: (a) </w:t>
            </w:r>
            <w:proofErr w:type="spellStart"/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Cytotoxicity</w:t>
            </w:r>
            <w:proofErr w:type="spellEnd"/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of Doxorubicin (DOX) or 5-fluorouracil (5-FU) on MDA-MB-231 cells at variable concentrations with IC</w:t>
            </w:r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vertAlign w:val="subscript"/>
              </w:rPr>
              <w:t>50</w:t>
            </w:r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 (b) The combined treatments of 10% of IC</w:t>
            </w:r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vertAlign w:val="subscript"/>
              </w:rPr>
              <w:t>50</w:t>
            </w:r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of </w:t>
            </w:r>
            <w:proofErr w:type="spellStart"/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lapatinib</w:t>
            </w:r>
            <w:proofErr w:type="spellEnd"/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(Lap), DOX and/or 5-FU on MDA</w:t>
            </w:r>
            <w:r w:rsidR="007A161C" w:rsidRPr="00013AB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</w:t>
            </w:r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MB-231 cells after 24h using MTT assay. </w:t>
            </w:r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vertAlign w:val="superscript"/>
              </w:rPr>
              <w:t xml:space="preserve">a </w:t>
            </w:r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p&lt;0.05 significance in comparison to non-treated cells (NC); </w:t>
            </w:r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vertAlign w:val="superscript"/>
              </w:rPr>
              <w:t>b</w:t>
            </w:r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p&lt;0.05 significance in comparison to DOX; </w:t>
            </w:r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vertAlign w:val="superscript"/>
              </w:rPr>
              <w:t>c</w:t>
            </w:r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p&lt;0.05 significance in comparison to 5-FU. Data presented mean (%) ± SE; n=3.</w:t>
            </w:r>
          </w:p>
        </w:tc>
      </w:tr>
    </w:tbl>
    <w:p w:rsidR="003B23F1" w:rsidRDefault="003B23F1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</w:pPr>
    </w:p>
    <w:p w:rsidR="003B23F1" w:rsidRDefault="003B23F1" w:rsidP="003B23F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3B23F1" w:rsidSect="00013ABD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3B23F1" w:rsidRDefault="003B23F1" w:rsidP="003B23F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Samples were collected 24h after the last treatments. Experiments were repeated three times independently and values of mean (%) ± SE were recorded. </w:t>
      </w:r>
    </w:p>
    <w:p w:rsidR="003B23F1" w:rsidRPr="00013ABD" w:rsidRDefault="003B23F1" w:rsidP="003B23F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</w:t>
      </w:r>
      <w:proofErr w:type="spellStart"/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cytotoxic</w:t>
      </w:r>
      <w:proofErr w:type="spellEnd"/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effects of DOX and 5-FU separately were evaluated on MDA-MB-231 cells after 24h to assess their IC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50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concentrations. Together with our previous recorded </w:t>
      </w:r>
      <w:proofErr w:type="spellStart"/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lapatinib</w:t>
      </w:r>
      <w:proofErr w:type="spellEnd"/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IC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50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concentration on MDA-MB-231 cells for 24h (32.5µM- data not shown), cells were treated with combined chemotherapeutics at 10% of IC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50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to conduct the </w:t>
      </w:r>
      <w:proofErr w:type="spellStart"/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cytotoxicity</w:t>
      </w:r>
      <w:proofErr w:type="spellEnd"/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</w:t>
      </w:r>
      <w:proofErr w:type="spellStart"/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genotoxicity</w:t>
      </w:r>
      <w:proofErr w:type="spellEnd"/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as follows:</w:t>
      </w:r>
    </w:p>
    <w:p w:rsidR="003B23F1" w:rsidRPr="00013ABD" w:rsidRDefault="003B23F1" w:rsidP="003B23F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st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experiment: cells were treated with vehicle as negative control. </w:t>
      </w:r>
    </w:p>
    <w:p w:rsidR="003B23F1" w:rsidRPr="00013ABD" w:rsidRDefault="003B23F1" w:rsidP="003B23F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nd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, 3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rd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4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th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experiments: cells were treated with </w:t>
      </w:r>
      <w:proofErr w:type="spellStart"/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lapatinib</w:t>
      </w:r>
      <w:proofErr w:type="spellEnd"/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, D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>OX or 5-FU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respectively. </w:t>
      </w:r>
    </w:p>
    <w:p w:rsidR="003B23F1" w:rsidRPr="00013ABD" w:rsidRDefault="003B23F1" w:rsidP="003B23F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5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th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6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th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experiments: MDA-MB-231 cells were treated with </w:t>
      </w:r>
      <w:proofErr w:type="spellStart"/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lapatinib</w:t>
      </w:r>
      <w:proofErr w:type="spellEnd"/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 4h, then, they were treated with DOX or 5-FU separately. </w:t>
      </w:r>
    </w:p>
    <w:p w:rsidR="003B23F1" w:rsidRPr="00013ABD" w:rsidRDefault="003B23F1" w:rsidP="003B23F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th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8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th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experiments: cells were treated with DOX or 5-FU for 4h, then, they were treated with </w:t>
      </w:r>
      <w:proofErr w:type="spellStart"/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lapatinib</w:t>
      </w:r>
      <w:proofErr w:type="spellEnd"/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7C63AB" w:rsidRPr="00013ABD" w:rsidRDefault="004C701D" w:rsidP="000C7426">
      <w:pPr>
        <w:pStyle w:val="ListParagraph"/>
        <w:numPr>
          <w:ilvl w:val="1"/>
          <w:numId w:val="23"/>
        </w:numPr>
        <w:bidi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013A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Cytotoxicity</w:t>
      </w:r>
      <w:proofErr w:type="spellEnd"/>
      <w:r w:rsidR="00BB5988" w:rsidRPr="00013A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513720" w:rsidRDefault="00FE17CE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r w:rsidRPr="00013A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013ABD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B65CD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MDA-MB-231 cells 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were incubated </w:t>
      </w:r>
      <w:r w:rsidR="003B65CD" w:rsidRPr="00013ABD">
        <w:rPr>
          <w:rFonts w:ascii="Times New Roman" w:hAnsi="Times New Roman" w:cs="Times New Roman"/>
          <w:color w:val="000000"/>
          <w:sz w:val="20"/>
          <w:szCs w:val="20"/>
        </w:rPr>
        <w:t>in 96 well plates (5x10</w:t>
      </w:r>
      <w:r w:rsidR="003B65CD" w:rsidRPr="00013ABD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="003B65CD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cells/ well) at variable concentrations of </w:t>
      </w:r>
      <w:proofErr w:type="spellStart"/>
      <w:r w:rsidR="003B65CD" w:rsidRPr="00013ABD">
        <w:rPr>
          <w:rFonts w:ascii="Times New Roman" w:hAnsi="Times New Roman" w:cs="Times New Roman"/>
          <w:color w:val="000000"/>
          <w:sz w:val="20"/>
          <w:szCs w:val="20"/>
        </w:rPr>
        <w:t>lapatinib</w:t>
      </w:r>
      <w:proofErr w:type="spellEnd"/>
      <w:r w:rsidR="003B65CD" w:rsidRPr="00013ABD">
        <w:rPr>
          <w:rFonts w:ascii="Times New Roman" w:hAnsi="Times New Roman" w:cs="Times New Roman"/>
          <w:color w:val="000000"/>
          <w:sz w:val="20"/>
          <w:szCs w:val="20"/>
        </w:rPr>
        <w:t>, DOX or 5-FU, separately,</w:t>
      </w:r>
      <w:r w:rsidR="004D607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or in combination before submitting them to 3-[4,5-dimethyl-2-thiazolyl)-2,5-diphenyl-2H-</w:t>
      </w:r>
      <w:r w:rsidR="007626E8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tetrazolium bromide (MTT). </w:t>
      </w:r>
      <w:proofErr w:type="spellStart"/>
      <w:r w:rsidR="007626E8" w:rsidRPr="00013ABD">
        <w:rPr>
          <w:rFonts w:ascii="Times New Roman" w:hAnsi="Times New Roman" w:cs="Times New Roman"/>
          <w:color w:val="000000"/>
          <w:sz w:val="20"/>
          <w:szCs w:val="20"/>
        </w:rPr>
        <w:t>Cytotoxic</w:t>
      </w:r>
      <w:proofErr w:type="spellEnd"/>
      <w:r w:rsidR="007626E8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effect was estimated using MTT assay, which depends on cleavage of </w:t>
      </w:r>
      <w:proofErr w:type="spellStart"/>
      <w:r w:rsidR="00313B8C" w:rsidRPr="00013ABD">
        <w:rPr>
          <w:rFonts w:ascii="Times New Roman" w:hAnsi="Times New Roman" w:cs="Times New Roman"/>
          <w:color w:val="000000"/>
          <w:sz w:val="20"/>
          <w:szCs w:val="20"/>
        </w:rPr>
        <w:t>tetrazolium</w:t>
      </w:r>
      <w:proofErr w:type="spellEnd"/>
      <w:r w:rsidR="00313B8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salt</w:t>
      </w:r>
      <w:r w:rsidR="00CC3EE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3B8C" w:rsidRPr="00013ABD">
        <w:rPr>
          <w:rFonts w:ascii="Times New Roman" w:hAnsi="Times New Roman" w:cs="Times New Roman"/>
          <w:color w:val="000000"/>
          <w:sz w:val="20"/>
          <w:szCs w:val="20"/>
        </w:rPr>
        <w:t>in the presence of mitochondrial</w:t>
      </w:r>
      <w:r w:rsidR="007626E8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313B8C" w:rsidRPr="00013ABD">
        <w:rPr>
          <w:rFonts w:ascii="Times New Roman" w:hAnsi="Times New Roman" w:cs="Times New Roman"/>
          <w:color w:val="000000"/>
          <w:sz w:val="20"/>
          <w:szCs w:val="20"/>
        </w:rPr>
        <w:t>dehydrogenase</w:t>
      </w:r>
      <w:proofErr w:type="spellEnd"/>
      <w:r w:rsidR="00313B8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enzymes in vital cells [22]. The relative cell viability was expressed as the mean percentages of viable cells compared with non- treated cells.</w:t>
      </w:r>
    </w:p>
    <w:p w:rsidR="003B23F1" w:rsidRDefault="003B23F1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  <w:sectPr w:rsidR="003B23F1" w:rsidSect="003B23F1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3B23F1" w:rsidRPr="00013ABD" w:rsidRDefault="003B23F1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tbl>
      <w:tblPr>
        <w:tblStyle w:val="LightShading-Accent3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783"/>
        <w:gridCol w:w="1206"/>
        <w:gridCol w:w="1679"/>
        <w:gridCol w:w="1679"/>
        <w:gridCol w:w="1679"/>
        <w:gridCol w:w="1448"/>
      </w:tblGrid>
      <w:tr w:rsidR="00F800B9" w:rsidRPr="00013ABD" w:rsidTr="00013ABD">
        <w:trPr>
          <w:cnfStyle w:val="100000000000"/>
          <w:jc w:val="center"/>
        </w:trPr>
        <w:tc>
          <w:tcPr>
            <w:cnfStyle w:val="001000000000"/>
            <w:tcW w:w="5000" w:type="pct"/>
            <w:gridSpan w:val="6"/>
            <w:tcBorders>
              <w:top w:val="nil"/>
              <w:bottom w:val="single" w:sz="8" w:space="0" w:color="17365D" w:themeColor="text2" w:themeShade="BF"/>
            </w:tcBorders>
            <w:noWrap/>
            <w:vAlign w:val="center"/>
          </w:tcPr>
          <w:p w:rsidR="00F800B9" w:rsidRPr="00013ABD" w:rsidRDefault="00F800B9" w:rsidP="000C7426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 xml:space="preserve">Table 1: Mean percentages of live, apoptotic or necrotic MDA-MB-231 cells plus </w:t>
            </w:r>
            <w:proofErr w:type="spellStart"/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binucleated</w:t>
            </w:r>
            <w:proofErr w:type="spellEnd"/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 xml:space="preserve"> cells containing micronuclei (MN) after treatment with </w:t>
            </w:r>
            <w:proofErr w:type="spellStart"/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lapatinib</w:t>
            </w:r>
            <w:proofErr w:type="spellEnd"/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 xml:space="preserve"> (Lap), doxorubicin (DOX) and/or 5-fluorouracil (5-FU) for 24h. </w:t>
            </w:r>
          </w:p>
        </w:tc>
      </w:tr>
      <w:tr w:rsidR="00013ABD" w:rsidRPr="00013ABD" w:rsidTr="003B23F1">
        <w:trPr>
          <w:cnfStyle w:val="000000100000"/>
          <w:jc w:val="center"/>
        </w:trPr>
        <w:tc>
          <w:tcPr>
            <w:cnfStyle w:val="001000000000"/>
            <w:tcW w:w="946" w:type="pct"/>
            <w:tcBorders>
              <w:top w:val="single" w:sz="8" w:space="0" w:color="17365D" w:themeColor="text2" w:themeShade="BF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Treatments</w:t>
            </w:r>
          </w:p>
        </w:tc>
        <w:tc>
          <w:tcPr>
            <w:tcW w:w="626" w:type="pct"/>
            <w:tcBorders>
              <w:top w:val="single" w:sz="8" w:space="0" w:color="17365D" w:themeColor="text2" w:themeShade="BF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µM</w:t>
            </w:r>
          </w:p>
        </w:tc>
        <w:tc>
          <w:tcPr>
            <w:tcW w:w="889" w:type="pct"/>
            <w:tcBorders>
              <w:top w:val="single" w:sz="8" w:space="0" w:color="17365D" w:themeColor="text2" w:themeShade="BF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Live cells</w:t>
            </w:r>
          </w:p>
        </w:tc>
        <w:tc>
          <w:tcPr>
            <w:tcW w:w="889" w:type="pct"/>
            <w:tcBorders>
              <w:top w:val="single" w:sz="8" w:space="0" w:color="17365D" w:themeColor="text2" w:themeShade="BF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Apoptosis</w:t>
            </w:r>
          </w:p>
        </w:tc>
        <w:tc>
          <w:tcPr>
            <w:tcW w:w="889" w:type="pct"/>
            <w:tcBorders>
              <w:top w:val="single" w:sz="8" w:space="0" w:color="17365D" w:themeColor="text2" w:themeShade="BF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Necrosis</w:t>
            </w:r>
          </w:p>
        </w:tc>
        <w:tc>
          <w:tcPr>
            <w:tcW w:w="759" w:type="pct"/>
            <w:tcBorders>
              <w:top w:val="single" w:sz="8" w:space="0" w:color="17365D" w:themeColor="text2" w:themeShade="BF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00B9" w:rsidRPr="00013ABD" w:rsidRDefault="00F800B9" w:rsidP="000C7426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MN</w:t>
            </w:r>
          </w:p>
        </w:tc>
      </w:tr>
      <w:tr w:rsidR="00013ABD" w:rsidRPr="00013ABD" w:rsidTr="003B23F1">
        <w:trPr>
          <w:jc w:val="center"/>
        </w:trPr>
        <w:tc>
          <w:tcPr>
            <w:cnfStyle w:val="001000000000"/>
            <w:tcW w:w="94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NC</w:t>
            </w:r>
          </w:p>
        </w:tc>
        <w:tc>
          <w:tcPr>
            <w:tcW w:w="62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0</w:t>
            </w:r>
          </w:p>
        </w:tc>
        <w:tc>
          <w:tcPr>
            <w:tcW w:w="889" w:type="pct"/>
            <w:tcBorders>
              <w:top w:val="single" w:sz="4" w:space="0" w:color="auto"/>
            </w:tcBorders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89.67±2.68</w:t>
            </w:r>
          </w:p>
        </w:tc>
        <w:tc>
          <w:tcPr>
            <w:tcW w:w="889" w:type="pct"/>
            <w:tcBorders>
              <w:top w:val="single" w:sz="4" w:space="0" w:color="auto"/>
            </w:tcBorders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4.18±0.88</w:t>
            </w:r>
          </w:p>
        </w:tc>
        <w:tc>
          <w:tcPr>
            <w:tcW w:w="889" w:type="pct"/>
            <w:tcBorders>
              <w:top w:val="single" w:sz="4" w:space="0" w:color="auto"/>
            </w:tcBorders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6.15±0.67</w:t>
            </w:r>
          </w:p>
        </w:tc>
        <w:tc>
          <w:tcPr>
            <w:tcW w:w="759" w:type="pct"/>
            <w:tcBorders>
              <w:top w:val="single" w:sz="4" w:space="0" w:color="auto"/>
            </w:tcBorders>
            <w:vAlign w:val="center"/>
          </w:tcPr>
          <w:p w:rsidR="00F800B9" w:rsidRPr="00013ABD" w:rsidRDefault="00F800B9" w:rsidP="000C7426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0.53±0.09</w:t>
            </w:r>
          </w:p>
        </w:tc>
      </w:tr>
      <w:tr w:rsidR="00013ABD" w:rsidRPr="00013ABD" w:rsidTr="003B23F1">
        <w:trPr>
          <w:cnfStyle w:val="000000100000"/>
          <w:jc w:val="center"/>
        </w:trPr>
        <w:tc>
          <w:tcPr>
            <w:cnfStyle w:val="001000000000"/>
            <w:tcW w:w="946" w:type="pct"/>
            <w:shd w:val="clear" w:color="auto" w:fill="F2F2F2" w:themeFill="background1" w:themeFillShade="F2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Lap</w:t>
            </w:r>
          </w:p>
        </w:tc>
        <w:tc>
          <w:tcPr>
            <w:tcW w:w="626" w:type="pct"/>
            <w:shd w:val="clear" w:color="auto" w:fill="F2F2F2" w:themeFill="background1" w:themeFillShade="F2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3.25</w:t>
            </w:r>
          </w:p>
        </w:tc>
        <w:tc>
          <w:tcPr>
            <w:tcW w:w="889" w:type="pct"/>
            <w:shd w:val="clear" w:color="auto" w:fill="F2F2F2" w:themeFill="background1" w:themeFillShade="F2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83.67±3.49</w:t>
            </w:r>
          </w:p>
        </w:tc>
        <w:tc>
          <w:tcPr>
            <w:tcW w:w="889" w:type="pct"/>
            <w:shd w:val="clear" w:color="auto" w:fill="F2F2F2" w:themeFill="background1" w:themeFillShade="F2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9.39±1.45</w:t>
            </w:r>
          </w:p>
        </w:tc>
        <w:tc>
          <w:tcPr>
            <w:tcW w:w="889" w:type="pct"/>
            <w:shd w:val="clear" w:color="auto" w:fill="F2F2F2" w:themeFill="background1" w:themeFillShade="F2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6.95±0.88</w:t>
            </w:r>
          </w:p>
        </w:tc>
        <w:tc>
          <w:tcPr>
            <w:tcW w:w="759" w:type="pct"/>
            <w:shd w:val="clear" w:color="auto" w:fill="F2F2F2" w:themeFill="background1" w:themeFillShade="F2"/>
            <w:vAlign w:val="center"/>
          </w:tcPr>
          <w:p w:rsidR="00F800B9" w:rsidRPr="00013ABD" w:rsidRDefault="00F800B9" w:rsidP="000C7426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1.50±0.12</w:t>
            </w:r>
          </w:p>
        </w:tc>
      </w:tr>
      <w:tr w:rsidR="00013ABD" w:rsidRPr="00013ABD" w:rsidTr="003B23F1">
        <w:trPr>
          <w:jc w:val="center"/>
        </w:trPr>
        <w:tc>
          <w:tcPr>
            <w:cnfStyle w:val="001000000000"/>
            <w:tcW w:w="946" w:type="pct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proofErr w:type="spellStart"/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Dox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5</w:t>
            </w:r>
          </w:p>
        </w:tc>
        <w:tc>
          <w:tcPr>
            <w:tcW w:w="889" w:type="pct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72.67±2.03 </w:t>
            </w: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bidi="ar-EG"/>
              </w:rPr>
              <w:t>a</w:t>
            </w:r>
          </w:p>
        </w:tc>
        <w:tc>
          <w:tcPr>
            <w:tcW w:w="889" w:type="pct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18.71±2.03</w:t>
            </w:r>
          </w:p>
        </w:tc>
        <w:tc>
          <w:tcPr>
            <w:tcW w:w="889" w:type="pct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8.63±0.91</w:t>
            </w:r>
          </w:p>
        </w:tc>
        <w:tc>
          <w:tcPr>
            <w:tcW w:w="759" w:type="pct"/>
            <w:vAlign w:val="center"/>
          </w:tcPr>
          <w:p w:rsidR="00F800B9" w:rsidRPr="00013ABD" w:rsidRDefault="00F800B9" w:rsidP="000C7426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2.23±0.22 </w:t>
            </w: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bidi="ar-EG"/>
              </w:rPr>
              <w:t>a</w:t>
            </w:r>
          </w:p>
        </w:tc>
      </w:tr>
      <w:tr w:rsidR="00013ABD" w:rsidRPr="00013ABD" w:rsidTr="003B23F1">
        <w:trPr>
          <w:cnfStyle w:val="000000100000"/>
          <w:jc w:val="center"/>
        </w:trPr>
        <w:tc>
          <w:tcPr>
            <w:cnfStyle w:val="001000000000"/>
            <w:tcW w:w="946" w:type="pct"/>
            <w:shd w:val="clear" w:color="auto" w:fill="F2F2F2" w:themeFill="background1" w:themeFillShade="F2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 xml:space="preserve">Lap / </w:t>
            </w:r>
            <w:proofErr w:type="spellStart"/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Dox</w:t>
            </w:r>
            <w:proofErr w:type="spellEnd"/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 xml:space="preserve"> *</w:t>
            </w:r>
          </w:p>
        </w:tc>
        <w:tc>
          <w:tcPr>
            <w:tcW w:w="626" w:type="pct"/>
            <w:shd w:val="clear" w:color="auto" w:fill="F2F2F2" w:themeFill="background1" w:themeFillShade="F2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3.25 / 5</w:t>
            </w:r>
          </w:p>
        </w:tc>
        <w:tc>
          <w:tcPr>
            <w:tcW w:w="889" w:type="pct"/>
            <w:shd w:val="clear" w:color="auto" w:fill="F2F2F2" w:themeFill="background1" w:themeFillShade="F2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51.33±2.61 </w:t>
            </w:r>
            <w:proofErr w:type="spellStart"/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bidi="ar-EG"/>
              </w:rPr>
              <w:t>ab</w:t>
            </w:r>
            <w:proofErr w:type="spellEnd"/>
          </w:p>
        </w:tc>
        <w:tc>
          <w:tcPr>
            <w:tcW w:w="889" w:type="pct"/>
            <w:shd w:val="clear" w:color="auto" w:fill="F2F2F2" w:themeFill="background1" w:themeFillShade="F2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35.33±5.16 </w:t>
            </w:r>
            <w:proofErr w:type="spellStart"/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bidi="ar-EG"/>
              </w:rPr>
              <w:t>ab</w:t>
            </w:r>
            <w:proofErr w:type="spellEnd"/>
          </w:p>
        </w:tc>
        <w:tc>
          <w:tcPr>
            <w:tcW w:w="889" w:type="pct"/>
            <w:shd w:val="clear" w:color="auto" w:fill="F2F2F2" w:themeFill="background1" w:themeFillShade="F2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13.33±2.04</w:t>
            </w:r>
          </w:p>
        </w:tc>
        <w:tc>
          <w:tcPr>
            <w:tcW w:w="759" w:type="pct"/>
            <w:shd w:val="clear" w:color="auto" w:fill="F2F2F2" w:themeFill="background1" w:themeFillShade="F2"/>
            <w:vAlign w:val="center"/>
          </w:tcPr>
          <w:p w:rsidR="00F800B9" w:rsidRPr="00013ABD" w:rsidRDefault="00F800B9" w:rsidP="000C7426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3.37±0.24 </w:t>
            </w:r>
            <w:proofErr w:type="spellStart"/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bidi="ar-EG"/>
              </w:rPr>
              <w:t>ab</w:t>
            </w:r>
            <w:proofErr w:type="spellEnd"/>
          </w:p>
        </w:tc>
      </w:tr>
      <w:tr w:rsidR="00013ABD" w:rsidRPr="00013ABD" w:rsidTr="003B23F1">
        <w:trPr>
          <w:jc w:val="center"/>
        </w:trPr>
        <w:tc>
          <w:tcPr>
            <w:cnfStyle w:val="001000000000"/>
            <w:tcW w:w="946" w:type="pct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proofErr w:type="spellStart"/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Dox</w:t>
            </w:r>
            <w:proofErr w:type="spellEnd"/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 xml:space="preserve"> / Lap **</w:t>
            </w:r>
          </w:p>
        </w:tc>
        <w:tc>
          <w:tcPr>
            <w:tcW w:w="626" w:type="pct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5 / 3.25</w:t>
            </w:r>
          </w:p>
        </w:tc>
        <w:tc>
          <w:tcPr>
            <w:tcW w:w="889" w:type="pct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31.33±3.19 </w:t>
            </w:r>
            <w:proofErr w:type="spellStart"/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bidi="ar-EG"/>
              </w:rPr>
              <w:t>ab</w:t>
            </w:r>
            <w:proofErr w:type="spellEnd"/>
          </w:p>
        </w:tc>
        <w:tc>
          <w:tcPr>
            <w:tcW w:w="889" w:type="pct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38.98±4.16 </w:t>
            </w:r>
            <w:proofErr w:type="spellStart"/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bidi="ar-EG"/>
              </w:rPr>
              <w:t>ab</w:t>
            </w:r>
            <w:proofErr w:type="spellEnd"/>
          </w:p>
        </w:tc>
        <w:tc>
          <w:tcPr>
            <w:tcW w:w="889" w:type="pct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29.68±2.19 </w:t>
            </w:r>
            <w:proofErr w:type="spellStart"/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bidi="ar-EG"/>
              </w:rPr>
              <w:t>ab</w:t>
            </w:r>
            <w:proofErr w:type="spellEnd"/>
          </w:p>
        </w:tc>
        <w:tc>
          <w:tcPr>
            <w:tcW w:w="759" w:type="pct"/>
            <w:vAlign w:val="center"/>
          </w:tcPr>
          <w:p w:rsidR="00F800B9" w:rsidRPr="00013ABD" w:rsidRDefault="00F800B9" w:rsidP="000C7426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4.37±0.26 </w:t>
            </w:r>
            <w:proofErr w:type="spellStart"/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bidi="ar-EG"/>
              </w:rPr>
              <w:t>ab</w:t>
            </w:r>
            <w:proofErr w:type="spellEnd"/>
          </w:p>
        </w:tc>
      </w:tr>
      <w:tr w:rsidR="00013ABD" w:rsidRPr="00013ABD" w:rsidTr="003B23F1">
        <w:trPr>
          <w:cnfStyle w:val="000000100000"/>
          <w:jc w:val="center"/>
        </w:trPr>
        <w:tc>
          <w:tcPr>
            <w:cnfStyle w:val="001000000000"/>
            <w:tcW w:w="946" w:type="pct"/>
            <w:shd w:val="clear" w:color="auto" w:fill="F2F2F2" w:themeFill="background1" w:themeFillShade="F2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5</w:t>
            </w:r>
            <w:r w:rsidR="007A161C" w:rsidRPr="00013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-</w:t>
            </w:r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FU</w:t>
            </w:r>
          </w:p>
        </w:tc>
        <w:tc>
          <w:tcPr>
            <w:tcW w:w="626" w:type="pct"/>
            <w:shd w:val="clear" w:color="auto" w:fill="F2F2F2" w:themeFill="background1" w:themeFillShade="F2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10</w:t>
            </w:r>
          </w:p>
        </w:tc>
        <w:tc>
          <w:tcPr>
            <w:tcW w:w="889" w:type="pct"/>
            <w:shd w:val="clear" w:color="auto" w:fill="F2F2F2" w:themeFill="background1" w:themeFillShade="F2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77.33±3.01</w:t>
            </w:r>
          </w:p>
        </w:tc>
        <w:tc>
          <w:tcPr>
            <w:tcW w:w="889" w:type="pct"/>
            <w:shd w:val="clear" w:color="auto" w:fill="F2F2F2" w:themeFill="background1" w:themeFillShade="F2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13.36±1.20</w:t>
            </w:r>
          </w:p>
        </w:tc>
        <w:tc>
          <w:tcPr>
            <w:tcW w:w="889" w:type="pct"/>
            <w:shd w:val="clear" w:color="auto" w:fill="F2F2F2" w:themeFill="background1" w:themeFillShade="F2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9.30±1.46</w:t>
            </w:r>
          </w:p>
        </w:tc>
        <w:tc>
          <w:tcPr>
            <w:tcW w:w="759" w:type="pct"/>
            <w:shd w:val="clear" w:color="auto" w:fill="F2F2F2" w:themeFill="background1" w:themeFillShade="F2"/>
            <w:vAlign w:val="center"/>
          </w:tcPr>
          <w:p w:rsidR="00F800B9" w:rsidRPr="00013ABD" w:rsidRDefault="00F800B9" w:rsidP="000C7426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1.77±0.32 </w:t>
            </w: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bidi="ar-EG"/>
              </w:rPr>
              <w:t>a</w:t>
            </w:r>
          </w:p>
        </w:tc>
      </w:tr>
      <w:tr w:rsidR="00013ABD" w:rsidRPr="00013ABD" w:rsidTr="003B23F1">
        <w:trPr>
          <w:jc w:val="center"/>
        </w:trPr>
        <w:tc>
          <w:tcPr>
            <w:cnfStyle w:val="001000000000"/>
            <w:tcW w:w="946" w:type="pct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Lap / 5</w:t>
            </w:r>
            <w:r w:rsidR="007A161C" w:rsidRPr="00013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-</w:t>
            </w:r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FU *</w:t>
            </w:r>
          </w:p>
        </w:tc>
        <w:tc>
          <w:tcPr>
            <w:tcW w:w="626" w:type="pct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3.25 / 10</w:t>
            </w:r>
          </w:p>
        </w:tc>
        <w:tc>
          <w:tcPr>
            <w:tcW w:w="889" w:type="pct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59.33±3.76 </w:t>
            </w: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bidi="ar-EG"/>
              </w:rPr>
              <w:t>ac</w:t>
            </w:r>
          </w:p>
        </w:tc>
        <w:tc>
          <w:tcPr>
            <w:tcW w:w="889" w:type="pct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24.93±4.41 </w:t>
            </w: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bidi="ar-EG"/>
              </w:rPr>
              <w:t>a</w:t>
            </w:r>
          </w:p>
        </w:tc>
        <w:tc>
          <w:tcPr>
            <w:tcW w:w="889" w:type="pct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15.73±0.88 </w:t>
            </w: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bidi="ar-EG"/>
              </w:rPr>
              <w:t>a</w:t>
            </w:r>
          </w:p>
        </w:tc>
        <w:tc>
          <w:tcPr>
            <w:tcW w:w="759" w:type="pct"/>
            <w:vAlign w:val="center"/>
          </w:tcPr>
          <w:p w:rsidR="00F800B9" w:rsidRPr="00013ABD" w:rsidRDefault="00F800B9" w:rsidP="000C7426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2.57±0.18 </w:t>
            </w: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bidi="ar-EG"/>
              </w:rPr>
              <w:t>a</w:t>
            </w:r>
          </w:p>
        </w:tc>
      </w:tr>
      <w:tr w:rsidR="00013ABD" w:rsidRPr="00013ABD" w:rsidTr="003B23F1">
        <w:trPr>
          <w:cnfStyle w:val="000000100000"/>
          <w:jc w:val="center"/>
        </w:trPr>
        <w:tc>
          <w:tcPr>
            <w:cnfStyle w:val="001000000000"/>
            <w:tcW w:w="946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5</w:t>
            </w:r>
            <w:r w:rsidR="007A161C" w:rsidRPr="00013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-</w:t>
            </w:r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FU / Lap **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10 / 3.25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46.67±2.49 </w:t>
            </w: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bidi="ar-EG"/>
              </w:rPr>
              <w:t>ac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36.08±4.35 </w:t>
            </w: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bidi="ar-EG"/>
              </w:rPr>
              <w:t>ac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00B9" w:rsidRPr="00013ABD" w:rsidRDefault="00F800B9" w:rsidP="000C7426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17.25±2.48 </w:t>
            </w: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bidi="ar-EG"/>
              </w:rPr>
              <w:t>ac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00B9" w:rsidRPr="00013ABD" w:rsidRDefault="00F800B9" w:rsidP="000C7426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4.03±0.24 </w:t>
            </w:r>
            <w:r w:rsidRPr="00013A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bidi="ar-EG"/>
              </w:rPr>
              <w:t>ac</w:t>
            </w:r>
          </w:p>
        </w:tc>
      </w:tr>
      <w:tr w:rsidR="00F800B9" w:rsidRPr="00013ABD" w:rsidTr="00013ABD">
        <w:trPr>
          <w:jc w:val="center"/>
        </w:trPr>
        <w:tc>
          <w:tcPr>
            <w:cnfStyle w:val="001000000000"/>
            <w:tcW w:w="5000" w:type="pct"/>
            <w:gridSpan w:val="6"/>
            <w:tcBorders>
              <w:top w:val="single" w:sz="4" w:space="0" w:color="auto"/>
              <w:bottom w:val="nil"/>
            </w:tcBorders>
            <w:noWrap/>
            <w:vAlign w:val="center"/>
          </w:tcPr>
          <w:p w:rsidR="00FE4727" w:rsidRPr="00013ABD" w:rsidRDefault="00F800B9" w:rsidP="003B23F1">
            <w:pPr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18"/>
                <w:vertAlign w:val="superscript"/>
                <w:lang w:bidi="ar-EG"/>
              </w:rPr>
              <w:t>a</w:t>
            </w:r>
            <w:r w:rsidRPr="00013AB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18"/>
                <w:lang w:bidi="ar-EG"/>
              </w:rPr>
              <w:t xml:space="preserve"> p&lt;0.05 significance in comparison to non-treated cells (NC); </w:t>
            </w:r>
            <w:r w:rsidRPr="00013AB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18"/>
                <w:vertAlign w:val="superscript"/>
                <w:lang w:bidi="ar-EG"/>
              </w:rPr>
              <w:t>b</w:t>
            </w:r>
            <w:r w:rsidRPr="00013AB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18"/>
                <w:lang w:bidi="ar-EG"/>
              </w:rPr>
              <w:t xml:space="preserve"> p&lt;0.05 significance in comparison to DOX; </w:t>
            </w:r>
            <w:r w:rsidRPr="00013AB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18"/>
                <w:vertAlign w:val="superscript"/>
                <w:lang w:bidi="ar-EG"/>
              </w:rPr>
              <w:t>c</w:t>
            </w:r>
            <w:r w:rsidRPr="00013AB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18"/>
                <w:lang w:bidi="ar-EG"/>
              </w:rPr>
              <w:t xml:space="preserve"> p&lt;0.05 significance in comparison to 5-FU; * Cells were pre-treated with </w:t>
            </w:r>
            <w:proofErr w:type="spellStart"/>
            <w:r w:rsidRPr="00013AB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18"/>
                <w:lang w:bidi="ar-EG"/>
              </w:rPr>
              <w:t>lapatinib</w:t>
            </w:r>
            <w:proofErr w:type="spellEnd"/>
            <w:r w:rsidRPr="00013AB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18"/>
                <w:lang w:bidi="ar-EG"/>
              </w:rPr>
              <w:t xml:space="preserve"> for 4h followed by DOX or 5-FU. ** Cells were pre-treated with DOX or 5-FU for 4h followed by </w:t>
            </w:r>
            <w:proofErr w:type="spellStart"/>
            <w:r w:rsidRPr="00013AB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18"/>
                <w:lang w:bidi="ar-EG"/>
              </w:rPr>
              <w:t>lapatinib</w:t>
            </w:r>
            <w:proofErr w:type="spellEnd"/>
            <w:r w:rsidRPr="00013AB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18"/>
                <w:lang w:bidi="ar-EG"/>
              </w:rPr>
              <w:t>. Data presented mean (%)</w:t>
            </w:r>
            <w:r w:rsidR="00F5713C" w:rsidRPr="00013AB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18"/>
                <w:lang w:bidi="ar-EG"/>
              </w:rPr>
              <w:t xml:space="preserve"> </w:t>
            </w:r>
            <w:r w:rsidRPr="00013AB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18"/>
                <w:lang w:bidi="ar-EG"/>
              </w:rPr>
              <w:t>±</w:t>
            </w:r>
            <w:r w:rsidR="00F5713C" w:rsidRPr="00013AB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18"/>
                <w:lang w:bidi="ar-EG"/>
              </w:rPr>
              <w:t xml:space="preserve"> </w:t>
            </w:r>
            <w:r w:rsidRPr="00013AB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18"/>
                <w:lang w:bidi="ar-EG"/>
              </w:rPr>
              <w:t xml:space="preserve">SE; n=3. </w:t>
            </w:r>
          </w:p>
        </w:tc>
      </w:tr>
    </w:tbl>
    <w:p w:rsidR="00013ABD" w:rsidRPr="00013ABD" w:rsidRDefault="00013ABD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23F1" w:rsidRDefault="003B23F1" w:rsidP="000C7426">
      <w:pPr>
        <w:pStyle w:val="ListParagraph"/>
        <w:numPr>
          <w:ilvl w:val="1"/>
          <w:numId w:val="23"/>
        </w:numPr>
        <w:bidi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  <w:sectPr w:rsidR="003B23F1" w:rsidSect="00013ABD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7C63AB" w:rsidRPr="00013ABD" w:rsidRDefault="007C63AB" w:rsidP="000C7426">
      <w:pPr>
        <w:pStyle w:val="ListParagraph"/>
        <w:numPr>
          <w:ilvl w:val="1"/>
          <w:numId w:val="23"/>
        </w:numPr>
        <w:bidi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13ABD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Apo</w:t>
      </w:r>
      <w:r w:rsidR="00BB11C8" w:rsidRPr="00013A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ptosis</w:t>
      </w:r>
      <w:r w:rsidR="00F55279" w:rsidRPr="00013A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r w:rsidR="00BB11C8" w:rsidRPr="00013A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  <w:r w:rsidRPr="00013A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ecrosis </w:t>
      </w:r>
      <w:r w:rsidR="001F09BD" w:rsidRPr="00013A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assay</w:t>
      </w:r>
      <w:r w:rsidR="00BB5988" w:rsidRPr="00013A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7C63AB" w:rsidRPr="00013ABD" w:rsidRDefault="007C63AB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11713D" w:rsidRPr="00013ABD">
        <w:rPr>
          <w:rFonts w:ascii="Times New Roman" w:hAnsi="Times New Roman" w:cs="Times New Roman"/>
          <w:color w:val="000000"/>
          <w:sz w:val="20"/>
          <w:szCs w:val="20"/>
        </w:rPr>
        <w:t>mode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of</w:t>
      </w:r>
      <w:r w:rsidR="0011713D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the cell death 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was investigated in </w:t>
      </w:r>
      <w:r w:rsidR="0011713D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non-treated and 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>treated cell</w:t>
      </w:r>
      <w:r w:rsidR="0011713D" w:rsidRPr="00013AB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1713D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after </w:t>
      </w:r>
      <w:r w:rsidR="00AB73DA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culturing them </w:t>
      </w:r>
      <w:r w:rsidR="00E01625" w:rsidRPr="00013ABD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AB73DA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n cell culture slides (8 chambers/ slide- 30108 SPL, South Korea) and </w:t>
      </w:r>
      <w:r w:rsidR="0011713D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staining them with </w:t>
      </w:r>
      <w:proofErr w:type="spellStart"/>
      <w:r w:rsidR="004D4028" w:rsidRPr="00013ABD">
        <w:rPr>
          <w:rFonts w:ascii="Times New Roman" w:hAnsi="Times New Roman" w:cs="Times New Roman"/>
          <w:color w:val="000000"/>
          <w:sz w:val="20"/>
          <w:szCs w:val="20"/>
        </w:rPr>
        <w:t>acridine</w:t>
      </w:r>
      <w:proofErr w:type="spellEnd"/>
      <w:r w:rsidR="004D4028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orange</w:t>
      </w:r>
      <w:r w:rsidR="00390744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/ </w:t>
      </w:r>
      <w:proofErr w:type="spellStart"/>
      <w:r w:rsidR="0011713D" w:rsidRPr="00013ABD">
        <w:rPr>
          <w:rFonts w:ascii="Times New Roman" w:hAnsi="Times New Roman" w:cs="Times New Roman"/>
          <w:color w:val="000000"/>
          <w:sz w:val="20"/>
          <w:szCs w:val="20"/>
        </w:rPr>
        <w:t>ethidium</w:t>
      </w:r>
      <w:proofErr w:type="spellEnd"/>
      <w:r w:rsidR="0011713D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bromide </w:t>
      </w:r>
      <w:r w:rsidR="00E12A32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(AO/EB- </w:t>
      </w:r>
      <w:r w:rsidR="00390744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100 µg/ml; V/V) </w:t>
      </w:r>
      <w:r w:rsidR="0011713D" w:rsidRPr="00013ABD">
        <w:rPr>
          <w:rFonts w:ascii="Times New Roman" w:hAnsi="Times New Roman" w:cs="Times New Roman"/>
          <w:color w:val="000000"/>
          <w:sz w:val="20"/>
          <w:szCs w:val="20"/>
        </w:rPr>
        <w:t>dissolved in phosphate buffer saline (PBS)</w:t>
      </w:r>
      <w:r w:rsidR="007E0B70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[</w:t>
      </w:r>
      <w:r w:rsidR="003D0695" w:rsidRPr="00013ABD">
        <w:rPr>
          <w:rFonts w:ascii="Times New Roman" w:hAnsi="Times New Roman" w:cs="Times New Roman"/>
          <w:color w:val="000000"/>
          <w:sz w:val="20"/>
          <w:szCs w:val="20"/>
        </w:rPr>
        <w:t>23</w:t>
      </w:r>
      <w:r w:rsidR="007E0B70" w:rsidRPr="00013ABD">
        <w:rPr>
          <w:rFonts w:ascii="Times New Roman" w:hAnsi="Times New Roman" w:cs="Times New Roman"/>
          <w:color w:val="000000"/>
          <w:sz w:val="20"/>
          <w:szCs w:val="20"/>
        </w:rPr>
        <w:t>]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The cell uptake of the stain was monitored under a</w:t>
      </w:r>
      <w:r w:rsidR="00BF25F8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fluorescence microscope (</w:t>
      </w:r>
      <w:proofErr w:type="spellStart"/>
      <w:r w:rsidR="00BF25F8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Zeiss</w:t>
      </w:r>
      <w:proofErr w:type="spellEnd"/>
      <w:r w:rsidR="00BF25F8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Germany) with magnification power 20X. Cells with green fluorescence </w:t>
      </w:r>
      <w:r w:rsidR="00D00C58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light were scored as live cells</w:t>
      </w:r>
      <w:r w:rsidR="00BF25F8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F25F8" w:rsidRPr="00013ABD">
        <w:rPr>
          <w:rFonts w:ascii="Times New Roman" w:hAnsi="Times New Roman" w:cs="Times New Roman"/>
          <w:color w:val="000000"/>
          <w:sz w:val="20"/>
          <w:szCs w:val="20"/>
        </w:rPr>
        <w:t>and those with yellow or orange colors were recorded as apoptotic or necrotic cells respectively.</w:t>
      </w:r>
      <w:r w:rsidR="00861B1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C63AB" w:rsidRPr="00013ABD" w:rsidRDefault="0066244D" w:rsidP="000C7426">
      <w:pPr>
        <w:pStyle w:val="ListParagraph"/>
        <w:numPr>
          <w:ilvl w:val="1"/>
          <w:numId w:val="23"/>
        </w:numPr>
        <w:bidi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13A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M</w:t>
      </w:r>
      <w:r w:rsidR="007C63AB" w:rsidRPr="00013A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icronucleus </w:t>
      </w:r>
      <w:r w:rsidR="00F55279" w:rsidRPr="00013A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(MN) </w:t>
      </w:r>
      <w:r w:rsidR="007C63AB" w:rsidRPr="00013A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test</w:t>
      </w:r>
      <w:r w:rsidR="00BB5988" w:rsidRPr="00013A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C23901" w:rsidRPr="00013ABD" w:rsidRDefault="00DB5EF4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MDA-MB-231 cells were cultured </w:t>
      </w:r>
      <w:r w:rsidR="000017D7" w:rsidRPr="00013ABD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>n 8</w:t>
      </w:r>
      <w:r w:rsidR="00F95921" w:rsidRPr="00013ABD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well spread chamber </w:t>
      </w:r>
      <w:r w:rsidR="00F95921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cell culture 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slides </w:t>
      </w:r>
      <w:r w:rsidR="00301F34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(30108 SPL, South Korea) 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and treated with </w:t>
      </w:r>
      <w:proofErr w:type="spellStart"/>
      <w:r w:rsidR="00BD680D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cytochalasin</w:t>
      </w:r>
      <w:proofErr w:type="spellEnd"/>
      <w:r w:rsidR="00BD680D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76F5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B</w:t>
      </w:r>
      <w:r w:rsidR="007C63A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A58B6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(C6762, Sigma, </w:t>
      </w:r>
      <w:proofErr w:type="spellStart"/>
      <w:r w:rsidR="000A58B6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Schnelldorf</w:t>
      </w:r>
      <w:proofErr w:type="spellEnd"/>
      <w:r w:rsidR="000A58B6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="00D16B6A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for </w:t>
      </w:r>
      <w:r w:rsidR="007C63A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44h </w:t>
      </w:r>
      <w:r w:rsidR="00D16B6A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before </w:t>
      </w:r>
      <w:r w:rsidR="000A58B6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end of the experiments </w:t>
      </w:r>
      <w:r w:rsidR="007C63A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according to </w:t>
      </w:r>
      <w:proofErr w:type="spellStart"/>
      <w:r w:rsidR="007C63A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D’Souza</w:t>
      </w:r>
      <w:proofErr w:type="spellEnd"/>
      <w:r w:rsidR="007C63A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 al.</w:t>
      </w:r>
      <w:r w:rsidR="007E0B7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[</w:t>
      </w:r>
      <w:r w:rsidR="003D0695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24</w:t>
      </w:r>
      <w:r w:rsidR="007E0B7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]</w:t>
      </w:r>
      <w:r w:rsidR="00093802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C63A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with some modifications. </w:t>
      </w:r>
      <w:r w:rsidR="001608F9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MDA-MB-231 cells were treated </w:t>
      </w:r>
      <w:r w:rsidR="001608F9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with </w:t>
      </w:r>
      <w:proofErr w:type="spellStart"/>
      <w:r w:rsidR="000A5739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l</w:t>
      </w:r>
      <w:r w:rsidR="001608F9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apatinib</w:t>
      </w:r>
      <w:proofErr w:type="spellEnd"/>
      <w:r w:rsidR="000A5739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608F9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90C2C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DOX</w:t>
      </w:r>
      <w:r w:rsidR="001608F9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A5739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and/or </w:t>
      </w:r>
      <w:r w:rsidR="001608F9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5-FU according to the experimental design</w:t>
      </w:r>
      <w:r w:rsidR="005C3612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, then, they</w:t>
      </w:r>
      <w:r w:rsidR="007C63A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were fi</w:t>
      </w:r>
      <w:r w:rsidR="0061254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xed in absolute methanol for 10</w:t>
      </w:r>
      <w:r w:rsidR="007C63A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min and stained w</w:t>
      </w:r>
      <w:r w:rsidR="002E74A9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ith </w:t>
      </w:r>
      <w:r w:rsidR="00FC553D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2E74A9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µg/ml </w:t>
      </w:r>
      <w:r w:rsidR="00D23579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DAPI (D9542, Sigma, </w:t>
      </w:r>
      <w:proofErr w:type="spellStart"/>
      <w:r w:rsidR="00D23579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Schnelldorf</w:t>
      </w:r>
      <w:proofErr w:type="spellEnd"/>
      <w:r w:rsidR="00D23579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BD680D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C63A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Scoring </w:t>
      </w:r>
      <w:r w:rsidR="008F5B4F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7C63A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A7D64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r w:rsidR="008F5B4F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thousand </w:t>
      </w:r>
      <w:proofErr w:type="spellStart"/>
      <w:r w:rsidR="007C63A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binucleated</w:t>
      </w:r>
      <w:proofErr w:type="spellEnd"/>
      <w:r w:rsidR="007C63A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cells with</w:t>
      </w:r>
      <w:r w:rsidR="005C3612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 </w:t>
      </w:r>
      <w:r w:rsidR="008F5B4F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without</w:t>
      </w:r>
      <w:r w:rsidR="007C63A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2149E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micronuclei for each sample was recorded using a fluorescence microscope (</w:t>
      </w:r>
      <w:proofErr w:type="spellStart"/>
      <w:r w:rsidR="00A2149E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Zeiss</w:t>
      </w:r>
      <w:proofErr w:type="spellEnd"/>
      <w:r w:rsidR="00A2149E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Germany) with </w:t>
      </w:r>
      <w:r w:rsidR="008F5B4F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magnification power 40X</w:t>
      </w:r>
      <w:r w:rsidR="00E57CD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002C92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Finally, t</w:t>
      </w:r>
      <w:r w:rsidR="00E57CD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he</w:t>
      </w:r>
      <w:r w:rsidR="007C63A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F5B4F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average </w:t>
      </w:r>
      <w:r w:rsidR="00E57CD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percentages of micronuclei per experiment were</w:t>
      </w:r>
      <w:r w:rsidR="008F5B4F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recorded.</w:t>
      </w:r>
      <w:r w:rsidR="00861B1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C63AB" w:rsidRPr="00013ABD" w:rsidRDefault="000D2072" w:rsidP="000C742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13A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Statistical</w:t>
      </w:r>
      <w:r w:rsidR="007C63AB" w:rsidRPr="00013A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analysis</w:t>
      </w:r>
      <w:r w:rsidR="00BB5988" w:rsidRPr="00013A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E4727" w:rsidRDefault="00263F34" w:rsidP="000C7426">
      <w:pPr>
        <w:shd w:val="clear" w:color="auto" w:fill="FFFFFF" w:themeFill="background1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proofErr w:type="spellStart"/>
      <w:r w:rsidRPr="00013ABD">
        <w:rPr>
          <w:rFonts w:ascii="Times New Roman" w:hAnsi="Times New Roman" w:cs="Times New Roman"/>
          <w:color w:val="000000"/>
          <w:sz w:val="20"/>
          <w:szCs w:val="20"/>
        </w:rPr>
        <w:t>GraphPad</w:t>
      </w:r>
      <w:proofErr w:type="spellEnd"/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Prism software-V6 </w:t>
      </w:r>
      <w:r w:rsidR="00FE17CE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was used 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1C3196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assess </w:t>
      </w:r>
      <w:r w:rsidR="00FB3333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9A2129" w:rsidRPr="00013ABD">
        <w:rPr>
          <w:rFonts w:ascii="Times New Roman" w:hAnsi="Times New Roman" w:cs="Times New Roman"/>
          <w:color w:val="000000"/>
          <w:sz w:val="20"/>
          <w:szCs w:val="20"/>
        </w:rPr>
        <w:t>significance</w:t>
      </w:r>
      <w:r w:rsidR="001C3196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>different bioassays by one-way ANOVA-</w:t>
      </w:r>
      <w:proofErr w:type="spellStart"/>
      <w:r w:rsidRPr="00013ABD">
        <w:rPr>
          <w:rFonts w:ascii="Times New Roman" w:hAnsi="Times New Roman" w:cs="Times New Roman"/>
          <w:color w:val="000000"/>
          <w:sz w:val="20"/>
          <w:szCs w:val="20"/>
        </w:rPr>
        <w:t>Tukey’s</w:t>
      </w:r>
      <w:proofErr w:type="spellEnd"/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multiple comparisons test</w:t>
      </w:r>
      <w:r w:rsidR="009A2129" w:rsidRPr="00013ABD">
        <w:rPr>
          <w:rFonts w:ascii="Times New Roman" w:hAnsi="Times New Roman" w:cs="Times New Roman"/>
          <w:color w:val="000000"/>
          <w:sz w:val="20"/>
          <w:szCs w:val="20"/>
        </w:rPr>
        <w:t>. Data were considered significant when p&lt;0.05.</w:t>
      </w:r>
      <w:r w:rsidR="00861B1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B23F1" w:rsidRPr="00013ABD" w:rsidRDefault="003B23F1" w:rsidP="000C7426">
      <w:pPr>
        <w:shd w:val="clear" w:color="auto" w:fill="FFFFFF" w:themeFill="background1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p w:rsidR="0038609B" w:rsidRPr="00013ABD" w:rsidRDefault="007C63AB" w:rsidP="000C7426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013ABD">
        <w:rPr>
          <w:rFonts w:ascii="Times New Roman" w:hAnsi="Times New Roman" w:cs="Times New Roman"/>
          <w:b/>
          <w:bCs/>
          <w:sz w:val="20"/>
          <w:szCs w:val="20"/>
          <w:lang w:bidi="ar-EG"/>
        </w:rPr>
        <w:t>R</w:t>
      </w:r>
      <w:r w:rsidRPr="00013A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esults</w:t>
      </w:r>
      <w:r w:rsidRPr="00013ABD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</w:p>
    <w:p w:rsidR="002827F1" w:rsidRPr="00013ABD" w:rsidRDefault="002827F1" w:rsidP="000C7426">
      <w:pPr>
        <w:pStyle w:val="ListParagraph"/>
        <w:numPr>
          <w:ilvl w:val="1"/>
          <w:numId w:val="16"/>
        </w:numPr>
        <w:bidi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013A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Cytotoxicity</w:t>
      </w:r>
      <w:proofErr w:type="spellEnd"/>
      <w:r w:rsidR="00BB5988" w:rsidRPr="00013A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B2752C" w:rsidRPr="00013ABD" w:rsidRDefault="00FE17CE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3A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41257B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TNBC cells “MDA-MB-231” 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were treated </w:t>
      </w:r>
      <w:r w:rsidR="0041257B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with variable concentrations of </w:t>
      </w:r>
      <w:r w:rsidR="00853775" w:rsidRPr="00013ABD">
        <w:rPr>
          <w:rFonts w:ascii="Times New Roman" w:hAnsi="Times New Roman" w:cs="Times New Roman"/>
          <w:color w:val="000000"/>
          <w:sz w:val="20"/>
          <w:szCs w:val="20"/>
        </w:rPr>
        <w:t>DOX</w:t>
      </w:r>
      <w:r w:rsidR="0041257B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D05A0" w:rsidRPr="00013A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853775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5-FU </w:t>
      </w:r>
      <w:r w:rsidR="00D00C58" w:rsidRPr="00013ABD">
        <w:rPr>
          <w:rFonts w:ascii="Times New Roman" w:hAnsi="Times New Roman" w:cs="Times New Roman"/>
          <w:color w:val="000000"/>
          <w:sz w:val="20"/>
          <w:szCs w:val="20"/>
        </w:rPr>
        <w:t>for 24h</w:t>
      </w:r>
      <w:r w:rsidR="00F051E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and calculated their IC</w:t>
      </w:r>
      <w:r w:rsidR="00F051E7" w:rsidRPr="00013ABD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50</w:t>
      </w:r>
      <w:r w:rsidR="00F051E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values </w:t>
      </w:r>
      <w:r w:rsidR="007D0532" w:rsidRPr="00013ABD">
        <w:rPr>
          <w:rFonts w:ascii="Times New Roman" w:hAnsi="Times New Roman" w:cs="Times New Roman"/>
          <w:color w:val="000000"/>
          <w:sz w:val="20"/>
          <w:szCs w:val="20"/>
        </w:rPr>
        <w:t>through</w:t>
      </w:r>
      <w:r w:rsidR="00F051E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linear </w:t>
      </w:r>
      <w:r w:rsidR="00F051E7" w:rsidRPr="00013ABD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extrapolation. 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F051E7" w:rsidRPr="00013ABD">
        <w:rPr>
          <w:rFonts w:ascii="Times New Roman" w:hAnsi="Times New Roman" w:cs="Times New Roman"/>
          <w:color w:val="000000"/>
          <w:sz w:val="20"/>
          <w:szCs w:val="20"/>
        </w:rPr>
        <w:t>he IC</w:t>
      </w:r>
      <w:r w:rsidR="00F051E7" w:rsidRPr="00013ABD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50</w:t>
      </w:r>
      <w:r w:rsidR="00F051E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concentrations of </w:t>
      </w:r>
      <w:r w:rsidR="007D0532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DOX </w:t>
      </w:r>
      <w:r w:rsidR="000D05A0" w:rsidRPr="00013A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7D0532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5-FU 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were </w:t>
      </w:r>
      <w:r w:rsidR="00F051E7" w:rsidRPr="00013ABD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345CFD" w:rsidRPr="00013ABD">
        <w:rPr>
          <w:rFonts w:ascii="Times New Roman" w:hAnsi="Times New Roman" w:cs="Times New Roman"/>
          <w:color w:val="000000"/>
          <w:sz w:val="20"/>
          <w:szCs w:val="20"/>
        </w:rPr>
        <w:t>0.17</w:t>
      </w:r>
      <w:r w:rsidR="007D0532" w:rsidRPr="00013ABD">
        <w:rPr>
          <w:rFonts w:ascii="Times New Roman" w:hAnsi="Times New Roman" w:cs="Times New Roman"/>
          <w:color w:val="000000"/>
          <w:sz w:val="20"/>
          <w:szCs w:val="20"/>
        </w:rPr>
        <w:t>µ</w:t>
      </w:r>
      <w:r w:rsidR="00F051E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M </w:t>
      </w:r>
      <w:r w:rsidR="00FF4E29" w:rsidRPr="00013A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F051E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10</w:t>
      </w:r>
      <w:r w:rsidR="00345CFD" w:rsidRPr="00013ABD">
        <w:rPr>
          <w:rFonts w:ascii="Times New Roman" w:hAnsi="Times New Roman" w:cs="Times New Roman"/>
          <w:color w:val="000000"/>
          <w:sz w:val="20"/>
          <w:szCs w:val="20"/>
        </w:rPr>
        <w:t>0.27</w:t>
      </w:r>
      <w:r w:rsidR="007D0532" w:rsidRPr="00013ABD">
        <w:rPr>
          <w:rFonts w:ascii="Times New Roman" w:hAnsi="Times New Roman" w:cs="Times New Roman"/>
          <w:color w:val="000000"/>
          <w:sz w:val="20"/>
          <w:szCs w:val="20"/>
        </w:rPr>
        <w:t>µ</w:t>
      </w:r>
      <w:r w:rsidR="00F051E7" w:rsidRPr="00013ABD">
        <w:rPr>
          <w:rFonts w:ascii="Times New Roman" w:hAnsi="Times New Roman" w:cs="Times New Roman"/>
          <w:color w:val="000000"/>
          <w:sz w:val="20"/>
          <w:szCs w:val="20"/>
        </w:rPr>
        <w:t>M</w:t>
      </w:r>
      <w:r w:rsidR="007D0532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respectively </w:t>
      </w:r>
      <w:r w:rsidR="000B1756" w:rsidRPr="00013ABD">
        <w:rPr>
          <w:rFonts w:ascii="Times New Roman" w:hAnsi="Times New Roman" w:cs="Times New Roman"/>
          <w:color w:val="000000"/>
          <w:sz w:val="20"/>
          <w:szCs w:val="20"/>
        </w:rPr>
        <w:t>(Fig</w:t>
      </w:r>
      <w:r w:rsidR="005D1ABC" w:rsidRPr="00013ABD">
        <w:rPr>
          <w:rFonts w:ascii="Times New Roman" w:hAnsi="Times New Roman" w:cs="Times New Roman"/>
          <w:color w:val="000000"/>
          <w:sz w:val="20"/>
          <w:szCs w:val="20"/>
        </w:rPr>
        <w:t>ure</w:t>
      </w:r>
      <w:r w:rsidR="00A1635B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1a).</w:t>
      </w:r>
      <w:r w:rsidR="00861B1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827F1" w:rsidRPr="00013ABD" w:rsidRDefault="006041E5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When </w:t>
      </w:r>
      <w:r w:rsidR="002827F1" w:rsidRPr="00013ABD">
        <w:rPr>
          <w:rFonts w:ascii="Times New Roman" w:hAnsi="Times New Roman" w:cs="Times New Roman"/>
          <w:color w:val="000000"/>
          <w:sz w:val="20"/>
          <w:szCs w:val="20"/>
        </w:rPr>
        <w:t>MDA-MB-231 cell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>s were</w:t>
      </w:r>
      <w:r w:rsidR="002827F1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treated with </w:t>
      </w:r>
      <w:r w:rsidR="00A475E1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2.5%, 5% and </w:t>
      </w:r>
      <w:r w:rsidR="00BA6B74" w:rsidRPr="00013ABD"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="00937460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% of </w:t>
      </w:r>
      <w:proofErr w:type="spellStart"/>
      <w:r w:rsidR="00937460" w:rsidRPr="00013ABD">
        <w:rPr>
          <w:rFonts w:ascii="Times New Roman" w:hAnsi="Times New Roman" w:cs="Times New Roman"/>
          <w:color w:val="000000"/>
          <w:sz w:val="20"/>
          <w:szCs w:val="20"/>
        </w:rPr>
        <w:t>lapatinib</w:t>
      </w:r>
      <w:proofErr w:type="spellEnd"/>
      <w:r w:rsidR="00937460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IC</w:t>
      </w:r>
      <w:r w:rsidR="00937460" w:rsidRPr="00013ABD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50</w:t>
      </w:r>
      <w:r w:rsidR="002827F1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A7D64" w:rsidRPr="00013ABD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937460" w:rsidRPr="00013ABD">
        <w:rPr>
          <w:rFonts w:ascii="Times New Roman" w:hAnsi="Times New Roman" w:cs="Times New Roman"/>
          <w:color w:val="000000"/>
          <w:sz w:val="20"/>
          <w:szCs w:val="20"/>
        </w:rPr>
        <w:t>equivalent to</w:t>
      </w:r>
      <w:r w:rsidR="0093746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17194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0.8</w:t>
      </w:r>
      <w:r w:rsidR="000D05A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125</w:t>
      </w:r>
      <w:r w:rsidR="00F17194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, 1.6</w:t>
      </w:r>
      <w:r w:rsidR="000D05A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25</w:t>
      </w:r>
      <w:r w:rsidR="00F17194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</w:t>
      </w:r>
      <w:r w:rsidR="000D05A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3.25</w:t>
      </w:r>
      <w:r w:rsidR="002827F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µM</w:t>
      </w:r>
      <w:r w:rsidR="008A7D64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respectively)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>, t</w:t>
      </w:r>
      <w:r w:rsidR="002827F1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he mean percentages of </w:t>
      </w:r>
      <w:r w:rsidR="00E40D99" w:rsidRPr="00013ABD">
        <w:rPr>
          <w:rFonts w:ascii="Times New Roman" w:hAnsi="Times New Roman" w:cs="Times New Roman"/>
          <w:color w:val="000000"/>
          <w:sz w:val="20"/>
          <w:szCs w:val="20"/>
        </w:rPr>
        <w:t>viable cells were</w:t>
      </w:r>
      <w:r w:rsidR="002827F1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reduced non-significantly</w:t>
      </w:r>
      <w:r w:rsidR="00850F9B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in comparison to non-treated cells</w:t>
      </w:r>
      <w:r w:rsidR="002827F1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A475E1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This applied also to the 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>10% of</w:t>
      </w:r>
      <w:r w:rsidR="00BA6B74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5-FU </w:t>
      </w:r>
      <w:r w:rsidR="00BA6B74" w:rsidRPr="00013ABD">
        <w:rPr>
          <w:rFonts w:ascii="Times New Roman" w:hAnsi="Times New Roman" w:cs="Times New Roman"/>
          <w:color w:val="000000"/>
          <w:sz w:val="20"/>
          <w:szCs w:val="20"/>
        </w:rPr>
        <w:t>IC</w:t>
      </w:r>
      <w:r w:rsidR="00BA6B74" w:rsidRPr="00013ABD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50</w:t>
      </w:r>
      <w:r w:rsidR="00BA6B74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475E1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(10µM), but the 10% of </w:t>
      </w:r>
      <w:r w:rsidR="00C1611A" w:rsidRPr="00013ABD">
        <w:rPr>
          <w:rFonts w:ascii="Times New Roman" w:hAnsi="Times New Roman" w:cs="Times New Roman"/>
          <w:color w:val="000000"/>
          <w:sz w:val="20"/>
          <w:szCs w:val="20"/>
        </w:rPr>
        <w:t>DOX (</w:t>
      </w:r>
      <w:r w:rsidR="007B5211" w:rsidRPr="00013ABD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µM) </w:t>
      </w:r>
      <w:r w:rsidR="002827F1" w:rsidRPr="00013ABD">
        <w:rPr>
          <w:rFonts w:ascii="Times New Roman" w:hAnsi="Times New Roman" w:cs="Times New Roman"/>
          <w:color w:val="000000"/>
          <w:sz w:val="20"/>
          <w:szCs w:val="20"/>
        </w:rPr>
        <w:t>reduced cell viability significant</w:t>
      </w:r>
      <w:r w:rsidR="009832EB" w:rsidRPr="00013ABD">
        <w:rPr>
          <w:rFonts w:ascii="Times New Roman" w:hAnsi="Times New Roman" w:cs="Times New Roman"/>
          <w:color w:val="000000"/>
          <w:sz w:val="20"/>
          <w:szCs w:val="20"/>
        </w:rPr>
        <w:t>ly</w:t>
      </w:r>
      <w:r w:rsidR="002827F1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57AC4" w:rsidRPr="00013ABD">
        <w:rPr>
          <w:rFonts w:ascii="Times New Roman" w:hAnsi="Times New Roman" w:cs="Times New Roman"/>
          <w:color w:val="000000"/>
          <w:sz w:val="20"/>
          <w:szCs w:val="20"/>
        </w:rPr>
        <w:t>at p&lt;0.05</w:t>
      </w:r>
      <w:r w:rsidR="000B1756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(Fig</w:t>
      </w:r>
      <w:r w:rsidR="005D1ABC" w:rsidRPr="00013ABD">
        <w:rPr>
          <w:rFonts w:ascii="Times New Roman" w:hAnsi="Times New Roman" w:cs="Times New Roman"/>
          <w:color w:val="000000"/>
          <w:sz w:val="20"/>
          <w:szCs w:val="20"/>
        </w:rPr>
        <w:t>ure</w:t>
      </w:r>
      <w:r w:rsidR="00850F9B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1b)</w:t>
      </w:r>
      <w:r w:rsidR="002827F1" w:rsidRPr="00013AB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861B1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20C36" w:rsidRPr="00013ABD" w:rsidRDefault="00D261AF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3ABD">
        <w:rPr>
          <w:rFonts w:ascii="Times New Roman" w:hAnsi="Times New Roman" w:cs="Times New Roman"/>
          <w:color w:val="000000"/>
          <w:sz w:val="20"/>
          <w:szCs w:val="20"/>
        </w:rPr>
        <w:t>In the combination treatments, w</w:t>
      </w:r>
      <w:r w:rsidR="002827F1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hen </w:t>
      </w:r>
      <w:r w:rsidR="00092706" w:rsidRPr="00013ABD">
        <w:rPr>
          <w:rFonts w:ascii="Times New Roman" w:hAnsi="Times New Roman" w:cs="Times New Roman"/>
          <w:color w:val="000000"/>
          <w:sz w:val="20"/>
          <w:szCs w:val="20"/>
        </w:rPr>
        <w:t>breast cancer</w:t>
      </w:r>
      <w:r w:rsidR="002827F1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008D3" w:rsidRPr="00013ABD">
        <w:rPr>
          <w:rFonts w:ascii="Times New Roman" w:hAnsi="Times New Roman" w:cs="Times New Roman"/>
          <w:color w:val="000000"/>
          <w:sz w:val="20"/>
          <w:szCs w:val="20"/>
        </w:rPr>
        <w:t>cells were treated</w:t>
      </w:r>
      <w:r w:rsidR="002827F1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with </w:t>
      </w:r>
      <w:proofErr w:type="spellStart"/>
      <w:r w:rsidR="002827F1" w:rsidRPr="00013ABD">
        <w:rPr>
          <w:rFonts w:ascii="Times New Roman" w:hAnsi="Times New Roman" w:cs="Times New Roman"/>
          <w:color w:val="000000"/>
          <w:sz w:val="20"/>
          <w:szCs w:val="20"/>
        </w:rPr>
        <w:t>lapatinib</w:t>
      </w:r>
      <w:proofErr w:type="spellEnd"/>
      <w:r w:rsidR="002827F1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for 4h then treated with DOX</w:t>
      </w:r>
      <w:r w:rsidR="007F506D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or 5-FU</w:t>
      </w:r>
      <w:r w:rsidR="002827F1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, the mean percentages of cell viability </w:t>
      </w:r>
      <w:r w:rsidR="0057160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were </w:t>
      </w:r>
      <w:r w:rsidR="002827F1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reduced by increasing the concentration of </w:t>
      </w:r>
      <w:proofErr w:type="spellStart"/>
      <w:r w:rsidR="002827F1" w:rsidRPr="00013ABD">
        <w:rPr>
          <w:rFonts w:ascii="Times New Roman" w:hAnsi="Times New Roman" w:cs="Times New Roman"/>
          <w:color w:val="000000"/>
          <w:sz w:val="20"/>
          <w:szCs w:val="20"/>
        </w:rPr>
        <w:t>lapatinib</w:t>
      </w:r>
      <w:proofErr w:type="spellEnd"/>
      <w:r w:rsidR="002827F1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regarding </w:t>
      </w:r>
      <w:r w:rsidR="00092706" w:rsidRPr="00013ABD">
        <w:rPr>
          <w:rFonts w:ascii="Times New Roman" w:hAnsi="Times New Roman" w:cs="Times New Roman"/>
          <w:color w:val="000000"/>
          <w:sz w:val="20"/>
          <w:szCs w:val="20"/>
        </w:rPr>
        <w:t>non-treated cells</w:t>
      </w:r>
      <w:r w:rsidR="00514501" w:rsidRPr="00013AB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A2149E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2149E" w:rsidRPr="00013ABD">
        <w:rPr>
          <w:rFonts w:ascii="Times New Roman" w:hAnsi="Times New Roman" w:cs="Times New Roman"/>
          <w:color w:val="000000"/>
          <w:sz w:val="20"/>
          <w:szCs w:val="20"/>
        </w:rPr>
        <w:lastRenderedPageBreak/>
        <w:t>The remarkable reduction of cell viability was recorded when MDA</w:t>
      </w:r>
      <w:r w:rsidR="00B01D56" w:rsidRPr="00013ABD">
        <w:rPr>
          <w:rFonts w:ascii="Times New Roman" w:hAnsi="Times New Roman" w:cs="Times New Roman"/>
          <w:color w:val="000000"/>
          <w:sz w:val="20"/>
          <w:szCs w:val="20"/>
        </w:rPr>
        <w:t>-MB-231 cells were treated with</w:t>
      </w:r>
      <w:r w:rsidR="002237D4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DOX</w:t>
      </w:r>
      <w:r w:rsidR="00013ABD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237D4" w:rsidRPr="00013ABD">
        <w:rPr>
          <w:rFonts w:ascii="Times New Roman" w:hAnsi="Times New Roman" w:cs="Times New Roman"/>
          <w:color w:val="000000"/>
          <w:sz w:val="20"/>
          <w:szCs w:val="20"/>
        </w:rPr>
        <w:t>or 5-FU for</w:t>
      </w:r>
      <w:r w:rsidR="00013ABD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237D4" w:rsidRPr="00013ABD">
        <w:rPr>
          <w:rFonts w:ascii="Times New Roman" w:hAnsi="Times New Roman" w:cs="Times New Roman"/>
          <w:color w:val="000000"/>
          <w:sz w:val="20"/>
          <w:szCs w:val="20"/>
        </w:rPr>
        <w:t>4h, then treated with 5% and 10%</w:t>
      </w:r>
      <w:r w:rsidR="00A97D2B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="00A97D2B" w:rsidRPr="00013ABD">
        <w:rPr>
          <w:rFonts w:ascii="Times New Roman" w:hAnsi="Times New Roman" w:cs="Times New Roman"/>
          <w:color w:val="000000"/>
          <w:sz w:val="20"/>
          <w:szCs w:val="20"/>
        </w:rPr>
        <w:t>lapatinib</w:t>
      </w:r>
      <w:proofErr w:type="spellEnd"/>
      <w:r w:rsidR="00A97D2B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IC</w:t>
      </w:r>
      <w:r w:rsidR="00A97D2B" w:rsidRPr="00013ABD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50</w:t>
      </w:r>
      <w:r w:rsidR="00A97D2B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for extra 24h that </w:t>
      </w:r>
      <w:proofErr w:type="spellStart"/>
      <w:r w:rsidR="00A97D2B" w:rsidRPr="00013ABD">
        <w:rPr>
          <w:rFonts w:ascii="Times New Roman" w:hAnsi="Times New Roman" w:cs="Times New Roman"/>
          <w:color w:val="000000"/>
          <w:sz w:val="20"/>
          <w:szCs w:val="20"/>
        </w:rPr>
        <w:t>cytotox</w:t>
      </w:r>
      <w:r w:rsidR="00420C36" w:rsidRPr="00013ABD">
        <w:rPr>
          <w:rFonts w:ascii="Times New Roman" w:hAnsi="Times New Roman" w:cs="Times New Roman"/>
          <w:color w:val="000000"/>
          <w:sz w:val="20"/>
          <w:szCs w:val="20"/>
        </w:rPr>
        <w:t>icity</w:t>
      </w:r>
      <w:proofErr w:type="spellEnd"/>
      <w:r w:rsidR="00420C36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was elevated highly </w:t>
      </w:r>
      <w:r w:rsidR="00A97D2B" w:rsidRPr="00013ABD">
        <w:rPr>
          <w:rFonts w:ascii="Times New Roman" w:hAnsi="Times New Roman" w:cs="Times New Roman"/>
          <w:color w:val="000000"/>
          <w:sz w:val="20"/>
          <w:szCs w:val="20"/>
        </w:rPr>
        <w:t>significant (p &lt; 0.05) in comparison</w:t>
      </w:r>
      <w:r w:rsidR="00420C36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to non-treated cells, DOX or 5-FU separately (Figure 1b).</w:t>
      </w:r>
    </w:p>
    <w:p w:rsidR="00420C36" w:rsidRPr="00013ABD" w:rsidRDefault="00420C36" w:rsidP="000C7426">
      <w:pPr>
        <w:pStyle w:val="ListParagraph"/>
        <w:numPr>
          <w:ilvl w:val="1"/>
          <w:numId w:val="22"/>
        </w:numPr>
        <w:bidi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13A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Apoptosis-necrosis assay </w:t>
      </w:r>
    </w:p>
    <w:p w:rsidR="00BB79E9" w:rsidRDefault="00420C36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Establishing mode of cell death induced by synergistic interaction of </w:t>
      </w:r>
      <w:proofErr w:type="spellStart"/>
      <w:r w:rsidRPr="00013ABD">
        <w:rPr>
          <w:rFonts w:ascii="Times New Roman" w:hAnsi="Times New Roman" w:cs="Times New Roman"/>
          <w:color w:val="000000"/>
          <w:sz w:val="20"/>
          <w:szCs w:val="20"/>
        </w:rPr>
        <w:t>lapatinib</w:t>
      </w:r>
      <w:proofErr w:type="spellEnd"/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plus DOX or 5-FU</w:t>
      </w:r>
      <w:r w:rsidR="00B01CF2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at 10% of IC</w:t>
      </w:r>
      <w:r w:rsidR="00B01CF2" w:rsidRPr="00013ABD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50</w:t>
      </w:r>
      <w:r w:rsidR="00B01CF2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concentrations was illustrated using apoptosis-necrosis assay</w:t>
      </w:r>
      <w:r w:rsidR="00B2752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(Table 1)</w:t>
      </w:r>
      <w:r w:rsidR="00B01CF2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. The combined treatments </w:t>
      </w:r>
      <w:r w:rsidR="00B2752C" w:rsidRPr="00013ABD">
        <w:rPr>
          <w:rFonts w:ascii="Times New Roman" w:hAnsi="Times New Roman" w:cs="Times New Roman"/>
          <w:color w:val="000000"/>
          <w:sz w:val="20"/>
          <w:szCs w:val="20"/>
        </w:rPr>
        <w:t>elevated cell death extremely significant regarding</w:t>
      </w:r>
      <w:r w:rsidR="00B01CF2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2752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non-treated cells or that treated with </w:t>
      </w:r>
      <w:proofErr w:type="spellStart"/>
      <w:r w:rsidR="00B2752C" w:rsidRPr="00013ABD">
        <w:rPr>
          <w:rFonts w:ascii="Times New Roman" w:hAnsi="Times New Roman" w:cs="Times New Roman"/>
          <w:color w:val="000000"/>
          <w:sz w:val="20"/>
          <w:szCs w:val="20"/>
        </w:rPr>
        <w:t>lapatinib</w:t>
      </w:r>
      <w:proofErr w:type="spellEnd"/>
      <w:r w:rsidR="00B2752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(3.25µM), DOX (5µM) or 5-FU (10µM).</w:t>
      </w:r>
    </w:p>
    <w:p w:rsidR="003B23F1" w:rsidRDefault="003B23F1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  <w:sectPr w:rsidR="003B23F1" w:rsidSect="003B23F1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3B23F1" w:rsidRPr="00013ABD" w:rsidRDefault="003B23F1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9474"/>
      </w:tblGrid>
      <w:tr w:rsidR="00BB79E9" w:rsidRPr="00013ABD" w:rsidTr="00013A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9E9" w:rsidRPr="00013ABD" w:rsidRDefault="00BB79E9" w:rsidP="000C742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AB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5936776" cy="1705970"/>
                  <wp:effectExtent l="0" t="0" r="6985" b="8890"/>
                  <wp:docPr id="4" name="Picture 4" descr="E:\Dell desktop 2016\NRC Projects 2016-2019\11010187_Proj2016_collected data\1st paper lapatinib\Combined therapy\JAS\JAS_R1\Fig. 2_Apoptosis-Necrosis_Com.Ther._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Dell desktop 2016\NRC Projects 2016-2019\11010187_Proj2016_collected data\1st paper lapatinib\Combined therapy\JAS\JAS_R1\Fig. 2_Apoptosis-Necrosis_Com.Ther._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103" cy="1705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9E9" w:rsidRPr="00013ABD" w:rsidTr="00013A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7BB" w:rsidRPr="00013ABD" w:rsidRDefault="00C42E61" w:rsidP="003B23F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AB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Figure</w:t>
            </w:r>
            <w:r w:rsidR="00BB79E9" w:rsidRPr="00013AB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2: Photomicrographs for MD-MB-231 cells after combined treatments of </w:t>
            </w:r>
            <w:proofErr w:type="spellStart"/>
            <w:r w:rsidR="00BB79E9" w:rsidRPr="00013AB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lapatinib</w:t>
            </w:r>
            <w:proofErr w:type="spellEnd"/>
            <w:r w:rsidR="00BB79E9" w:rsidRPr="00013AB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 doxorubicin and/or 5-fluorouracil illustrating mode of cell death through (a) live, (b) apoptotic and (c) necrotic cells.</w:t>
            </w:r>
          </w:p>
        </w:tc>
      </w:tr>
    </w:tbl>
    <w:p w:rsidR="003B23F1" w:rsidRDefault="003B23F1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p w:rsidR="003B23F1" w:rsidRDefault="003B23F1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  <w:sectPr w:rsidR="003B23F1" w:rsidSect="00013ABD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2D5895" w:rsidRPr="00013ABD" w:rsidRDefault="002153D6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3ABD">
        <w:rPr>
          <w:rFonts w:ascii="Times New Roman" w:hAnsi="Times New Roman" w:cs="Times New Roman"/>
          <w:color w:val="000000"/>
          <w:sz w:val="20"/>
          <w:szCs w:val="20"/>
        </w:rPr>
        <w:lastRenderedPageBreak/>
        <w:t>Pre-treating</w:t>
      </w:r>
      <w:r w:rsidR="00D31A09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cells with </w:t>
      </w:r>
      <w:proofErr w:type="spellStart"/>
      <w:r w:rsidRPr="00013ABD">
        <w:rPr>
          <w:rFonts w:ascii="Times New Roman" w:hAnsi="Times New Roman" w:cs="Times New Roman"/>
          <w:color w:val="000000"/>
          <w:sz w:val="20"/>
          <w:szCs w:val="20"/>
        </w:rPr>
        <w:t>lapatinib</w:t>
      </w:r>
      <w:proofErr w:type="spellEnd"/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for 4h followed by DOX</w:t>
      </w:r>
      <w:r w:rsidR="002D5895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or 5-FU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enhanced cell death </w:t>
      </w:r>
      <w:r w:rsidR="002D5895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significantly 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>through apoptosis (3</w:t>
      </w:r>
      <w:r w:rsidR="002D5895" w:rsidRPr="00013ABD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2D5895" w:rsidRPr="00013ABD">
        <w:rPr>
          <w:rFonts w:ascii="Times New Roman" w:hAnsi="Times New Roman" w:cs="Times New Roman"/>
          <w:color w:val="000000"/>
          <w:sz w:val="20"/>
          <w:szCs w:val="20"/>
        </w:rPr>
        <w:t>33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>%</w:t>
      </w:r>
      <w:r w:rsidR="002D5895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and 24.93%; p&lt;0.05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>) rather than that d</w:t>
      </w:r>
      <w:r w:rsidR="00DC06F7" w:rsidRPr="00013ABD">
        <w:rPr>
          <w:rFonts w:ascii="Times New Roman" w:hAnsi="Times New Roman" w:cs="Times New Roman"/>
          <w:color w:val="000000"/>
          <w:sz w:val="20"/>
          <w:szCs w:val="20"/>
        </w:rPr>
        <w:t>ie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>d through necrosis (13.3</w:t>
      </w:r>
      <w:r w:rsidR="002D5895" w:rsidRPr="00013ABD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>%</w:t>
      </w:r>
      <w:r w:rsidR="002D5895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and 15.73%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226BB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respectively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2D5895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The remarkable cell death was recorded when MDA-MB-231 cells were treated with DOX or 5-FU for 4h then treated with </w:t>
      </w:r>
      <w:proofErr w:type="spellStart"/>
      <w:r w:rsidR="002D5895" w:rsidRPr="00013ABD">
        <w:rPr>
          <w:rFonts w:ascii="Times New Roman" w:hAnsi="Times New Roman" w:cs="Times New Roman"/>
          <w:color w:val="000000"/>
          <w:sz w:val="20"/>
          <w:szCs w:val="20"/>
        </w:rPr>
        <w:t>lapatinib</w:t>
      </w:r>
      <w:proofErr w:type="spellEnd"/>
      <w:r w:rsidR="002D5895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that the apoptotic cel</w:t>
      </w:r>
      <w:r w:rsidR="00D00C58" w:rsidRPr="00013ABD">
        <w:rPr>
          <w:rFonts w:ascii="Times New Roman" w:hAnsi="Times New Roman" w:cs="Times New Roman"/>
          <w:color w:val="000000"/>
          <w:sz w:val="20"/>
          <w:szCs w:val="20"/>
        </w:rPr>
        <w:t>ls reached to 38.98% and 36.08%</w:t>
      </w:r>
      <w:r w:rsidR="002D5895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and that of necrosis were 29.68% and 17.25% respectively.</w:t>
      </w:r>
      <w:r w:rsidR="00EF31E6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Evaluating treated cells stained with AO/EB revealed that vital cells </w:t>
      </w:r>
      <w:r w:rsidR="005C34ED" w:rsidRPr="00013ABD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EF31E6" w:rsidRPr="00013ABD">
        <w:rPr>
          <w:rFonts w:ascii="Times New Roman" w:hAnsi="Times New Roman" w:cs="Times New Roman"/>
          <w:color w:val="000000"/>
          <w:sz w:val="20"/>
          <w:szCs w:val="20"/>
        </w:rPr>
        <w:t>green</w:t>
      </w:r>
      <w:r w:rsidR="005C34ED" w:rsidRPr="00013ABD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EF31E6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, apoptotic cells </w:t>
      </w:r>
      <w:r w:rsidR="005C34ED" w:rsidRPr="00013ABD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EF31E6" w:rsidRPr="00013ABD">
        <w:rPr>
          <w:rFonts w:ascii="Times New Roman" w:hAnsi="Times New Roman" w:cs="Times New Roman"/>
          <w:color w:val="000000"/>
          <w:sz w:val="20"/>
          <w:szCs w:val="20"/>
        </w:rPr>
        <w:t>yellow</w:t>
      </w:r>
      <w:r w:rsidR="005C34ED" w:rsidRPr="00013ABD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EF31E6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and necrotic cells </w:t>
      </w:r>
      <w:r w:rsidR="005C34ED" w:rsidRPr="00013ABD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EF31E6" w:rsidRPr="00013ABD">
        <w:rPr>
          <w:rFonts w:ascii="Times New Roman" w:hAnsi="Times New Roman" w:cs="Times New Roman"/>
          <w:color w:val="000000"/>
          <w:sz w:val="20"/>
          <w:szCs w:val="20"/>
        </w:rPr>
        <w:t>orange</w:t>
      </w:r>
      <w:r w:rsidR="005C34ED" w:rsidRPr="00013ABD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EF31E6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as investigated under fluorescent microscope</w:t>
      </w:r>
      <w:r w:rsidR="005C34ED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(Figure 2a</w:t>
      </w:r>
      <w:r w:rsidR="00937BF4" w:rsidRPr="00013ABD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BA7189" w:rsidRPr="00013AB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5C34ED" w:rsidRPr="00013ABD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EF31E6" w:rsidRPr="00013AB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861B1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8609B" w:rsidRPr="00013ABD" w:rsidRDefault="0038609B" w:rsidP="000C7426">
      <w:pPr>
        <w:pStyle w:val="ListParagraph"/>
        <w:numPr>
          <w:ilvl w:val="1"/>
          <w:numId w:val="22"/>
        </w:numPr>
        <w:bidi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13A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Micronucleus </w:t>
      </w:r>
      <w:r w:rsidR="00AD1AAC" w:rsidRPr="00013A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(MN) </w:t>
      </w:r>
      <w:r w:rsidRPr="00013A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test</w:t>
      </w:r>
      <w:r w:rsidR="00BB5988" w:rsidRPr="00013A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9A68E5" w:rsidRPr="00013ABD" w:rsidRDefault="008719E2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3ABD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1E5F8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he 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mean </w:t>
      </w:r>
      <w:r w:rsidR="001E5F8C" w:rsidRPr="00013ABD">
        <w:rPr>
          <w:rFonts w:ascii="Times New Roman" w:hAnsi="Times New Roman" w:cs="Times New Roman"/>
          <w:color w:val="000000"/>
          <w:sz w:val="20"/>
          <w:szCs w:val="20"/>
        </w:rPr>
        <w:t>percentages of DNA damage using micronucleus test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w</w:t>
      </w:r>
      <w:r w:rsidR="000C0448" w:rsidRPr="00013ABD">
        <w:rPr>
          <w:rFonts w:ascii="Times New Roman" w:hAnsi="Times New Roman" w:cs="Times New Roman"/>
          <w:color w:val="000000"/>
          <w:sz w:val="20"/>
          <w:szCs w:val="20"/>
        </w:rPr>
        <w:t>ere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investigated after treating cancer cells with single o</w:t>
      </w:r>
      <w:r w:rsidR="00074E9F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r combined </w:t>
      </w:r>
      <w:r w:rsidR="009A68E5" w:rsidRPr="00013ABD">
        <w:rPr>
          <w:rFonts w:ascii="Times New Roman" w:hAnsi="Times New Roman" w:cs="Times New Roman"/>
          <w:color w:val="000000"/>
          <w:sz w:val="20"/>
          <w:szCs w:val="20"/>
        </w:rPr>
        <w:t>therapeutics of</w:t>
      </w:r>
      <w:r w:rsidR="00074E9F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74E9F" w:rsidRPr="00013ABD">
        <w:rPr>
          <w:rFonts w:ascii="Times New Roman" w:hAnsi="Times New Roman" w:cs="Times New Roman"/>
          <w:color w:val="000000"/>
          <w:sz w:val="20"/>
          <w:szCs w:val="20"/>
        </w:rPr>
        <w:t>lapatinib</w:t>
      </w:r>
      <w:proofErr w:type="spellEnd"/>
      <w:r w:rsidR="00074E9F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A68E5" w:rsidRPr="00013ABD">
        <w:rPr>
          <w:rFonts w:ascii="Times New Roman" w:hAnsi="Times New Roman" w:cs="Times New Roman"/>
          <w:color w:val="000000"/>
          <w:sz w:val="20"/>
          <w:szCs w:val="20"/>
        </w:rPr>
        <w:t>DOX or 5-FU. Figure (3) rep</w:t>
      </w:r>
      <w:r w:rsidR="004F01CB" w:rsidRPr="00013ABD">
        <w:rPr>
          <w:rFonts w:ascii="Times New Roman" w:hAnsi="Times New Roman" w:cs="Times New Roman"/>
          <w:color w:val="000000"/>
          <w:sz w:val="20"/>
          <w:szCs w:val="20"/>
        </w:rPr>
        <w:t>resents</w:t>
      </w:r>
      <w:r w:rsidR="009A68E5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example</w:t>
      </w:r>
      <w:r w:rsidR="004F01CB" w:rsidRPr="00013AB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9A68E5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of</w:t>
      </w:r>
      <w:r w:rsidR="003B36E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scored </w:t>
      </w:r>
      <w:proofErr w:type="spellStart"/>
      <w:r w:rsidR="003B36EC" w:rsidRPr="00013ABD">
        <w:rPr>
          <w:rFonts w:ascii="Times New Roman" w:hAnsi="Times New Roman" w:cs="Times New Roman"/>
          <w:color w:val="000000"/>
          <w:sz w:val="20"/>
          <w:szCs w:val="20"/>
        </w:rPr>
        <w:t>binucleated</w:t>
      </w:r>
      <w:proofErr w:type="spellEnd"/>
      <w:r w:rsidR="003B36E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MDA-MB-231 cells with or without micronuclei</w:t>
      </w:r>
      <w:r w:rsidR="009F5E94" w:rsidRPr="00013AB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3B36E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D5B47" w:rsidRPr="00013ABD" w:rsidRDefault="004020FC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3ABD">
        <w:rPr>
          <w:rFonts w:ascii="Times New Roman" w:hAnsi="Times New Roman" w:cs="Times New Roman"/>
          <w:color w:val="000000"/>
          <w:sz w:val="20"/>
          <w:szCs w:val="20"/>
        </w:rPr>
        <w:t>When MDA-M</w:t>
      </w:r>
      <w:r w:rsidR="008719E2" w:rsidRPr="00013ABD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>-231 cell</w:t>
      </w:r>
      <w:r w:rsidR="008719E2" w:rsidRPr="00013AB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719E2" w:rsidRPr="00013ABD">
        <w:rPr>
          <w:rFonts w:ascii="Times New Roman" w:hAnsi="Times New Roman" w:cs="Times New Roman"/>
          <w:color w:val="000000"/>
          <w:sz w:val="20"/>
          <w:szCs w:val="20"/>
        </w:rPr>
        <w:t>w</w:t>
      </w:r>
      <w:r w:rsidR="009F5E94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ere </w:t>
      </w:r>
      <w:r w:rsidR="008719E2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treated with </w:t>
      </w:r>
      <w:proofErr w:type="spellStart"/>
      <w:r w:rsidRPr="00013ABD">
        <w:rPr>
          <w:rFonts w:ascii="Times New Roman" w:hAnsi="Times New Roman" w:cs="Times New Roman"/>
          <w:color w:val="000000"/>
          <w:sz w:val="20"/>
          <w:szCs w:val="20"/>
        </w:rPr>
        <w:t>lapatinib</w:t>
      </w:r>
      <w:proofErr w:type="spellEnd"/>
      <w:r w:rsidR="007E330E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(3.25µM)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9F5E94" w:rsidRPr="00013ABD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56600B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he mean percentage of </w:t>
      </w:r>
      <w:proofErr w:type="spellStart"/>
      <w:r w:rsidR="009A68E5" w:rsidRPr="00013ABD">
        <w:rPr>
          <w:rFonts w:ascii="Times New Roman" w:hAnsi="Times New Roman" w:cs="Times New Roman"/>
          <w:color w:val="000000"/>
          <w:sz w:val="20"/>
          <w:szCs w:val="20"/>
        </w:rPr>
        <w:t>binucleated</w:t>
      </w:r>
      <w:proofErr w:type="spellEnd"/>
      <w:r w:rsidR="009A68E5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cells with </w:t>
      </w:r>
      <w:r w:rsidR="0056600B" w:rsidRPr="00013ABD">
        <w:rPr>
          <w:rFonts w:ascii="Times New Roman" w:hAnsi="Times New Roman" w:cs="Times New Roman"/>
          <w:color w:val="000000"/>
          <w:sz w:val="20"/>
          <w:szCs w:val="20"/>
        </w:rPr>
        <w:t>micronuclei was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increased </w:t>
      </w:r>
      <w:r w:rsidR="008719E2" w:rsidRPr="00013ABD">
        <w:rPr>
          <w:rFonts w:ascii="Times New Roman" w:hAnsi="Times New Roman" w:cs="Times New Roman"/>
          <w:color w:val="000000"/>
          <w:sz w:val="20"/>
          <w:szCs w:val="20"/>
        </w:rPr>
        <w:t>non-</w:t>
      </w:r>
      <w:r w:rsidR="008719E2" w:rsidRPr="00013ABD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significantly 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to 1.5% in comparison </w:t>
      </w:r>
      <w:r w:rsidR="008719E2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to 0.53% 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>f</w:t>
      </w:r>
      <w:r w:rsidR="008719E2" w:rsidRPr="00013ABD">
        <w:rPr>
          <w:rFonts w:ascii="Times New Roman" w:hAnsi="Times New Roman" w:cs="Times New Roman"/>
          <w:color w:val="000000"/>
          <w:sz w:val="20"/>
          <w:szCs w:val="20"/>
        </w:rPr>
        <w:t>or non-treated cells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8F0FD4" w:rsidRPr="00013ABD" w:rsidRDefault="001D5B47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r w:rsidRPr="00013ABD">
        <w:rPr>
          <w:rFonts w:ascii="Times New Roman" w:hAnsi="Times New Roman" w:cs="Times New Roman"/>
          <w:color w:val="000000"/>
          <w:sz w:val="20"/>
          <w:szCs w:val="20"/>
        </w:rPr>
        <w:t>In combined treatment</w:t>
      </w:r>
      <w:r w:rsidR="009C0F72" w:rsidRPr="00013ABD">
        <w:rPr>
          <w:rFonts w:ascii="Times New Roman" w:hAnsi="Times New Roman" w:cs="Times New Roman"/>
          <w:color w:val="000000"/>
          <w:sz w:val="20"/>
          <w:szCs w:val="20"/>
        </w:rPr>
        <w:t>, p</w:t>
      </w:r>
      <w:r w:rsidR="004020F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re-treating MDA-MB-231 cells with </w:t>
      </w:r>
      <w:proofErr w:type="spellStart"/>
      <w:r w:rsidR="004020FC" w:rsidRPr="00013ABD">
        <w:rPr>
          <w:rFonts w:ascii="Times New Roman" w:hAnsi="Times New Roman" w:cs="Times New Roman"/>
          <w:color w:val="000000"/>
          <w:sz w:val="20"/>
          <w:szCs w:val="20"/>
        </w:rPr>
        <w:t>lapatinib</w:t>
      </w:r>
      <w:proofErr w:type="spellEnd"/>
      <w:r w:rsidR="004020F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for </w:t>
      </w:r>
      <w:r w:rsidR="004020F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4h prior to </w:t>
      </w:r>
      <w:r w:rsidR="007E330E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DOX (5µM) or 5-FU (10µM) </w:t>
      </w:r>
      <w:r w:rsidR="004020F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increased the mean percentages of </w:t>
      </w:r>
      <w:proofErr w:type="spellStart"/>
      <w:r w:rsidR="009A68E5" w:rsidRPr="00013ABD">
        <w:rPr>
          <w:rFonts w:ascii="Times New Roman" w:hAnsi="Times New Roman" w:cs="Times New Roman"/>
          <w:color w:val="000000"/>
          <w:sz w:val="20"/>
          <w:szCs w:val="20"/>
        </w:rPr>
        <w:t>binucleated</w:t>
      </w:r>
      <w:proofErr w:type="spellEnd"/>
      <w:r w:rsidR="009A68E5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cells with </w:t>
      </w:r>
      <w:r w:rsidR="004020FC" w:rsidRPr="00013ABD">
        <w:rPr>
          <w:rFonts w:ascii="Times New Roman" w:hAnsi="Times New Roman" w:cs="Times New Roman"/>
          <w:color w:val="000000"/>
          <w:sz w:val="20"/>
          <w:szCs w:val="20"/>
        </w:rPr>
        <w:t>micronuclei to 3.37% or 2.57% respectively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DC12E7" w:rsidRPr="00013ABD">
        <w:rPr>
          <w:rFonts w:ascii="Times New Roman" w:hAnsi="Times New Roman" w:cs="Times New Roman"/>
          <w:color w:val="000000"/>
          <w:sz w:val="20"/>
          <w:szCs w:val="20"/>
        </w:rPr>
        <w:t>Moreover, t</w:t>
      </w:r>
      <w:r w:rsidR="004020F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he highest DNA damage percentages were observed when cells were treated with </w:t>
      </w:r>
      <w:r w:rsidR="00990C2C" w:rsidRPr="00013ABD">
        <w:rPr>
          <w:rFonts w:ascii="Times New Roman" w:hAnsi="Times New Roman" w:cs="Times New Roman"/>
          <w:color w:val="000000"/>
          <w:sz w:val="20"/>
          <w:szCs w:val="20"/>
        </w:rPr>
        <w:t>DOX</w:t>
      </w:r>
      <w:r w:rsidR="00D00C58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or 5-FU </w:t>
      </w:r>
      <w:r w:rsidR="00EA05F1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for </w:t>
      </w:r>
      <w:r w:rsidR="00D00C58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4h prior to </w:t>
      </w:r>
      <w:proofErr w:type="spellStart"/>
      <w:r w:rsidR="00D00C58" w:rsidRPr="00013ABD">
        <w:rPr>
          <w:rFonts w:ascii="Times New Roman" w:hAnsi="Times New Roman" w:cs="Times New Roman"/>
          <w:color w:val="000000"/>
          <w:sz w:val="20"/>
          <w:szCs w:val="20"/>
        </w:rPr>
        <w:t>lapatinib</w:t>
      </w:r>
      <w:proofErr w:type="spellEnd"/>
      <w:r w:rsidR="00C94046" w:rsidRPr="00013AB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4020F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94046" w:rsidRPr="00013AB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4020F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mean percentages of </w:t>
      </w:r>
      <w:proofErr w:type="spellStart"/>
      <w:r w:rsidR="009A68E5" w:rsidRPr="00013ABD">
        <w:rPr>
          <w:rFonts w:ascii="Times New Roman" w:hAnsi="Times New Roman" w:cs="Times New Roman"/>
          <w:color w:val="000000"/>
          <w:sz w:val="20"/>
          <w:szCs w:val="20"/>
        </w:rPr>
        <w:t>binucleated</w:t>
      </w:r>
      <w:proofErr w:type="spellEnd"/>
      <w:r w:rsidR="009A68E5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cells with </w:t>
      </w:r>
      <w:r w:rsidR="004020F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micronuclei were reached to 4.37% or 4.03% in comparison </w:t>
      </w:r>
      <w:r w:rsidR="009A68E5" w:rsidRPr="00013A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4020F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90C2C" w:rsidRPr="00013ABD">
        <w:rPr>
          <w:rFonts w:ascii="Times New Roman" w:hAnsi="Times New Roman" w:cs="Times New Roman"/>
          <w:color w:val="000000"/>
          <w:sz w:val="20"/>
          <w:szCs w:val="20"/>
        </w:rPr>
        <w:t>DOX</w:t>
      </w:r>
      <w:r w:rsidR="004020F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(2.23%) or 5-FU (1.77</w:t>
      </w:r>
      <w:r w:rsidR="004606D7" w:rsidRPr="00013ABD">
        <w:rPr>
          <w:rFonts w:ascii="Times New Roman" w:hAnsi="Times New Roman" w:cs="Times New Roman"/>
          <w:color w:val="000000"/>
          <w:sz w:val="20"/>
          <w:szCs w:val="20"/>
        </w:rPr>
        <w:t>%</w:t>
      </w:r>
      <w:r w:rsidR="004020FC" w:rsidRPr="00013ABD">
        <w:rPr>
          <w:rFonts w:ascii="Times New Roman" w:hAnsi="Times New Roman" w:cs="Times New Roman"/>
          <w:color w:val="000000"/>
          <w:sz w:val="20"/>
          <w:szCs w:val="20"/>
        </w:rPr>
        <w:t>) respectively</w:t>
      </w:r>
      <w:r w:rsidR="0061021A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(Table 1)</w:t>
      </w:r>
      <w:r w:rsidR="007314FC" w:rsidRPr="00013AB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F933E0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Therefore</w:t>
      </w:r>
      <w:r w:rsidR="0034401D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, combined treatments increased </w:t>
      </w:r>
      <w:r w:rsidR="00F933E0" w:rsidRPr="00013ABD">
        <w:rPr>
          <w:rFonts w:ascii="Times New Roman" w:hAnsi="Times New Roman" w:cs="Times New Roman"/>
          <w:color w:val="000000"/>
          <w:sz w:val="20"/>
          <w:szCs w:val="20"/>
        </w:rPr>
        <w:t>the mean percentages of DNA</w:t>
      </w:r>
      <w:r w:rsidR="00490146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damage highly significant (p&lt;0.05)</w:t>
      </w:r>
      <w:r w:rsidR="001E21E0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in comparison with that of </w:t>
      </w:r>
      <w:r w:rsidR="00490146" w:rsidRPr="00013ABD">
        <w:rPr>
          <w:rFonts w:ascii="Times New Roman" w:hAnsi="Times New Roman" w:cs="Times New Roman"/>
          <w:color w:val="000000"/>
          <w:sz w:val="20"/>
          <w:szCs w:val="20"/>
        </w:rPr>
        <w:t>single treatments.</w:t>
      </w:r>
      <w:r w:rsidR="00F933E0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13ABD" w:rsidRPr="00013ABD" w:rsidRDefault="00013ABD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p w:rsidR="007C63AB" w:rsidRPr="00013ABD" w:rsidRDefault="007C63AB" w:rsidP="000C7426">
      <w:pPr>
        <w:pStyle w:val="ListParagraph"/>
        <w:numPr>
          <w:ilvl w:val="0"/>
          <w:numId w:val="22"/>
        </w:numPr>
        <w:bidi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013ABD">
        <w:rPr>
          <w:rFonts w:ascii="Times New Roman" w:hAnsi="Times New Roman" w:cs="Times New Roman"/>
          <w:b/>
          <w:bCs/>
          <w:sz w:val="20"/>
          <w:szCs w:val="20"/>
          <w:lang w:bidi="ar-EG"/>
        </w:rPr>
        <w:t>Discussion</w:t>
      </w:r>
      <w:r w:rsidR="00BB5988" w:rsidRPr="00013ABD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</w:p>
    <w:p w:rsidR="009711D8" w:rsidRPr="00013ABD" w:rsidRDefault="003956B3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13ABD">
        <w:rPr>
          <w:rFonts w:ascii="Times New Roman" w:hAnsi="Times New Roman" w:cs="Times New Roman"/>
          <w:sz w:val="20"/>
          <w:szCs w:val="20"/>
        </w:rPr>
        <w:t>Lapatinib</w:t>
      </w:r>
      <w:proofErr w:type="spellEnd"/>
      <w:r w:rsidRPr="00013ABD">
        <w:rPr>
          <w:rFonts w:ascii="Times New Roman" w:hAnsi="Times New Roman" w:cs="Times New Roman"/>
          <w:sz w:val="20"/>
          <w:szCs w:val="20"/>
        </w:rPr>
        <w:t xml:space="preserve"> is a dual alterable </w:t>
      </w:r>
      <w:r w:rsidR="003D0695" w:rsidRPr="00013ABD">
        <w:rPr>
          <w:rFonts w:ascii="Times New Roman" w:hAnsi="Times New Roman" w:cs="Times New Roman"/>
          <w:sz w:val="20"/>
          <w:szCs w:val="20"/>
        </w:rPr>
        <w:t>TKI for EGFR and HER2 receptors</w:t>
      </w:r>
      <w:r w:rsidR="007E0B70" w:rsidRPr="00013ABD">
        <w:rPr>
          <w:rFonts w:ascii="Times New Roman" w:hAnsi="Times New Roman" w:cs="Times New Roman"/>
          <w:sz w:val="20"/>
          <w:szCs w:val="20"/>
        </w:rPr>
        <w:t xml:space="preserve"> [</w:t>
      </w:r>
      <w:r w:rsidR="00C42CFB" w:rsidRPr="00013ABD">
        <w:rPr>
          <w:rFonts w:ascii="Times New Roman" w:hAnsi="Times New Roman" w:cs="Times New Roman"/>
          <w:sz w:val="20"/>
          <w:szCs w:val="20"/>
        </w:rPr>
        <w:t>17,</w:t>
      </w:r>
      <w:r w:rsidR="005A1AB5" w:rsidRPr="00013ABD">
        <w:rPr>
          <w:rFonts w:ascii="Times New Roman" w:hAnsi="Times New Roman" w:cs="Times New Roman"/>
          <w:sz w:val="20"/>
          <w:szCs w:val="20"/>
        </w:rPr>
        <w:t>25,26</w:t>
      </w:r>
      <w:r w:rsidR="007E0B70" w:rsidRPr="00013ABD">
        <w:rPr>
          <w:rFonts w:ascii="Times New Roman" w:hAnsi="Times New Roman" w:cs="Times New Roman"/>
          <w:sz w:val="20"/>
          <w:szCs w:val="20"/>
        </w:rPr>
        <w:t>]</w:t>
      </w:r>
      <w:r w:rsidR="00D37E27" w:rsidRPr="00013ABD">
        <w:rPr>
          <w:rFonts w:ascii="Times New Roman" w:hAnsi="Times New Roman" w:cs="Times New Roman"/>
          <w:sz w:val="20"/>
          <w:szCs w:val="20"/>
        </w:rPr>
        <w:t xml:space="preserve">. </w:t>
      </w:r>
      <w:r w:rsidR="002D5B8C" w:rsidRPr="00013ABD">
        <w:rPr>
          <w:rFonts w:ascii="Times New Roman" w:hAnsi="Times New Roman" w:cs="Times New Roman"/>
          <w:sz w:val="20"/>
          <w:szCs w:val="20"/>
        </w:rPr>
        <w:t>In</w:t>
      </w:r>
      <w:r w:rsidRPr="00013ABD">
        <w:rPr>
          <w:rFonts w:ascii="Times New Roman" w:hAnsi="Times New Roman" w:cs="Times New Roman"/>
          <w:sz w:val="20"/>
          <w:szCs w:val="20"/>
        </w:rPr>
        <w:t xml:space="preserve"> </w:t>
      </w:r>
      <w:r w:rsidR="00F972E4" w:rsidRPr="00013ABD">
        <w:rPr>
          <w:rFonts w:ascii="Times New Roman" w:hAnsi="Times New Roman" w:cs="Times New Roman"/>
          <w:sz w:val="20"/>
          <w:szCs w:val="20"/>
        </w:rPr>
        <w:t>MDA-MB-231</w:t>
      </w:r>
      <w:r w:rsidRPr="00013ABD">
        <w:rPr>
          <w:rFonts w:ascii="Times New Roman" w:hAnsi="Times New Roman" w:cs="Times New Roman"/>
          <w:sz w:val="20"/>
          <w:szCs w:val="20"/>
        </w:rPr>
        <w:t xml:space="preserve"> cell line, </w:t>
      </w:r>
      <w:proofErr w:type="spellStart"/>
      <w:r w:rsidRPr="00013ABD">
        <w:rPr>
          <w:rFonts w:ascii="Times New Roman" w:hAnsi="Times New Roman" w:cs="Times New Roman"/>
          <w:sz w:val="20"/>
          <w:szCs w:val="20"/>
        </w:rPr>
        <w:t>lapatinib</w:t>
      </w:r>
      <w:proofErr w:type="spellEnd"/>
      <w:r w:rsidRPr="00013ABD">
        <w:rPr>
          <w:rFonts w:ascii="Times New Roman" w:hAnsi="Times New Roman" w:cs="Times New Roman"/>
          <w:sz w:val="20"/>
          <w:szCs w:val="20"/>
        </w:rPr>
        <w:t xml:space="preserve"> performance reduce</w:t>
      </w:r>
      <w:r w:rsidR="00705EAF" w:rsidRPr="00013ABD">
        <w:rPr>
          <w:rFonts w:ascii="Times New Roman" w:hAnsi="Times New Roman" w:cs="Times New Roman"/>
          <w:sz w:val="20"/>
          <w:szCs w:val="20"/>
        </w:rPr>
        <w:t>d</w:t>
      </w:r>
      <w:r w:rsidRPr="00013ABD">
        <w:rPr>
          <w:rFonts w:ascii="Times New Roman" w:hAnsi="Times New Roman" w:cs="Times New Roman"/>
          <w:sz w:val="20"/>
          <w:szCs w:val="20"/>
        </w:rPr>
        <w:t xml:space="preserve"> to half its power due to the low</w:t>
      </w:r>
      <w:r w:rsidR="00705EAF" w:rsidRPr="00013ABD">
        <w:rPr>
          <w:rFonts w:ascii="Times New Roman" w:hAnsi="Times New Roman" w:cs="Times New Roman"/>
          <w:sz w:val="20"/>
          <w:szCs w:val="20"/>
        </w:rPr>
        <w:t>-</w:t>
      </w:r>
      <w:r w:rsidRPr="00013ABD">
        <w:rPr>
          <w:rFonts w:ascii="Times New Roman" w:hAnsi="Times New Roman" w:cs="Times New Roman"/>
          <w:sz w:val="20"/>
          <w:szCs w:val="20"/>
        </w:rPr>
        <w:t>expression of HER2</w:t>
      </w:r>
      <w:r w:rsidR="007E0B70" w:rsidRPr="00013ABD">
        <w:rPr>
          <w:rFonts w:ascii="Times New Roman" w:hAnsi="Times New Roman" w:cs="Times New Roman"/>
          <w:sz w:val="20"/>
          <w:szCs w:val="20"/>
        </w:rPr>
        <w:t xml:space="preserve"> [</w:t>
      </w:r>
      <w:r w:rsidR="00C23166" w:rsidRPr="00013ABD">
        <w:rPr>
          <w:rFonts w:ascii="Times New Roman" w:hAnsi="Times New Roman" w:cs="Times New Roman"/>
          <w:sz w:val="20"/>
          <w:szCs w:val="20"/>
        </w:rPr>
        <w:t>2,</w:t>
      </w:r>
      <w:r w:rsidR="00093802" w:rsidRPr="00013ABD">
        <w:rPr>
          <w:rFonts w:ascii="Times New Roman" w:hAnsi="Times New Roman" w:cs="Times New Roman"/>
          <w:sz w:val="20"/>
          <w:szCs w:val="20"/>
        </w:rPr>
        <w:t>2</w:t>
      </w:r>
      <w:r w:rsidR="005A1AB5" w:rsidRPr="00013ABD">
        <w:rPr>
          <w:rFonts w:ascii="Times New Roman" w:hAnsi="Times New Roman" w:cs="Times New Roman"/>
          <w:sz w:val="20"/>
          <w:szCs w:val="20"/>
        </w:rPr>
        <w:t>7</w:t>
      </w:r>
      <w:r w:rsidR="00E235F3" w:rsidRPr="00013ABD">
        <w:rPr>
          <w:rFonts w:ascii="Times New Roman" w:hAnsi="Times New Roman" w:cs="Times New Roman"/>
          <w:sz w:val="20"/>
          <w:szCs w:val="20"/>
        </w:rPr>
        <w:t>,</w:t>
      </w:r>
      <w:r w:rsidR="00093802" w:rsidRPr="00013ABD">
        <w:rPr>
          <w:rFonts w:ascii="Times New Roman" w:hAnsi="Times New Roman" w:cs="Times New Roman"/>
          <w:sz w:val="20"/>
          <w:szCs w:val="20"/>
        </w:rPr>
        <w:t>2</w:t>
      </w:r>
      <w:r w:rsidR="005A1AB5" w:rsidRPr="00013ABD">
        <w:rPr>
          <w:rFonts w:ascii="Times New Roman" w:hAnsi="Times New Roman" w:cs="Times New Roman"/>
          <w:sz w:val="20"/>
          <w:szCs w:val="20"/>
        </w:rPr>
        <w:t>8</w:t>
      </w:r>
      <w:r w:rsidR="007E0B70" w:rsidRPr="00013ABD">
        <w:rPr>
          <w:rFonts w:ascii="Times New Roman" w:hAnsi="Times New Roman" w:cs="Times New Roman"/>
          <w:sz w:val="20"/>
          <w:szCs w:val="20"/>
        </w:rPr>
        <w:t>]</w:t>
      </w:r>
      <w:r w:rsidR="002D5B8C" w:rsidRPr="00013ABD">
        <w:rPr>
          <w:rFonts w:ascii="Times New Roman" w:hAnsi="Times New Roman" w:cs="Times New Roman"/>
          <w:sz w:val="20"/>
          <w:szCs w:val="20"/>
        </w:rPr>
        <w:t xml:space="preserve">. </w:t>
      </w:r>
      <w:r w:rsidR="005F7972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Therefore, </w:t>
      </w:r>
      <w:r w:rsidR="00535CE1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this research study </w:t>
      </w:r>
      <w:r w:rsidR="00FE17CE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aimed </w:t>
      </w:r>
      <w:r w:rsidR="00535CE1" w:rsidRPr="00013A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C73951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47C37" w:rsidRPr="00013ABD">
        <w:rPr>
          <w:rFonts w:ascii="Times New Roman" w:hAnsi="Times New Roman" w:cs="Times New Roman"/>
          <w:color w:val="000000"/>
          <w:sz w:val="20"/>
          <w:szCs w:val="20"/>
        </w:rPr>
        <w:t>disrupt</w:t>
      </w:r>
      <w:r w:rsidR="00427C8B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C077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MDA-MB-231 cells </w:t>
      </w:r>
      <w:r w:rsidR="000B5197" w:rsidRPr="00013ABD">
        <w:rPr>
          <w:rFonts w:ascii="Times New Roman" w:hAnsi="Times New Roman" w:cs="Times New Roman"/>
          <w:color w:val="000000"/>
          <w:sz w:val="20"/>
          <w:szCs w:val="20"/>
        </w:rPr>
        <w:t>with</w:t>
      </w:r>
      <w:r w:rsidR="00C73951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F2542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535CE1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combined </w:t>
      </w:r>
      <w:r w:rsidR="00A0517B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synergistic interaction of </w:t>
      </w:r>
      <w:proofErr w:type="spellStart"/>
      <w:r w:rsidR="000B5197" w:rsidRPr="00013ABD">
        <w:rPr>
          <w:rFonts w:ascii="Times New Roman" w:hAnsi="Times New Roman" w:cs="Times New Roman"/>
          <w:color w:val="000000"/>
          <w:sz w:val="20"/>
          <w:szCs w:val="20"/>
        </w:rPr>
        <w:t>lapatinib</w:t>
      </w:r>
      <w:proofErr w:type="spellEnd"/>
      <w:r w:rsidR="000B519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with </w:t>
      </w:r>
      <w:r w:rsidR="00990C2C" w:rsidRPr="00013ABD">
        <w:rPr>
          <w:rFonts w:ascii="Times New Roman" w:hAnsi="Times New Roman" w:cs="Times New Roman"/>
          <w:color w:val="000000"/>
          <w:sz w:val="20"/>
          <w:szCs w:val="20"/>
        </w:rPr>
        <w:t>DOX</w:t>
      </w:r>
      <w:r w:rsidR="00A0517B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466F" w:rsidRPr="00013ABD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="00A0517B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5-FU</w:t>
      </w:r>
      <w:r w:rsidR="00535CE1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as two </w:t>
      </w:r>
      <w:r w:rsidR="00535CE1" w:rsidRPr="00013ABD">
        <w:rPr>
          <w:rFonts w:ascii="Times New Roman" w:hAnsi="Times New Roman" w:cs="Times New Roman"/>
          <w:color w:val="000000"/>
          <w:sz w:val="20"/>
          <w:szCs w:val="20"/>
        </w:rPr>
        <w:lastRenderedPageBreak/>
        <w:t>different types of chemotherapeutic agents</w:t>
      </w:r>
      <w:r w:rsidR="00463D61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10239B" w:rsidRPr="00013ABD">
        <w:rPr>
          <w:rFonts w:ascii="Times New Roman" w:hAnsi="Times New Roman" w:cs="Times New Roman"/>
          <w:sz w:val="20"/>
          <w:szCs w:val="20"/>
          <w:lang w:bidi="ar-EG"/>
        </w:rPr>
        <w:t xml:space="preserve">When </w:t>
      </w:r>
      <w:r w:rsidR="00AD05D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MDA-MB-231 cells were </w:t>
      </w:r>
      <w:r w:rsidR="009F39F1" w:rsidRPr="00013ABD">
        <w:rPr>
          <w:rFonts w:ascii="Times New Roman" w:hAnsi="Times New Roman" w:cs="Times New Roman"/>
          <w:sz w:val="20"/>
          <w:szCs w:val="20"/>
          <w:lang w:bidi="ar-EG"/>
        </w:rPr>
        <w:t xml:space="preserve">treated </w:t>
      </w:r>
      <w:r w:rsidR="009F39F1" w:rsidRPr="00013ABD">
        <w:rPr>
          <w:rFonts w:ascii="Times New Roman" w:hAnsi="Times New Roman" w:cs="Times New Roman"/>
          <w:color w:val="000000"/>
          <w:sz w:val="20"/>
          <w:szCs w:val="20"/>
        </w:rPr>
        <w:t>with</w:t>
      </w:r>
      <w:r w:rsidR="00F52333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C3577" w:rsidRPr="00013ABD">
        <w:rPr>
          <w:rFonts w:ascii="Times New Roman" w:hAnsi="Times New Roman" w:cs="Times New Roman"/>
          <w:color w:val="000000"/>
          <w:sz w:val="20"/>
          <w:szCs w:val="20"/>
        </w:rPr>
        <w:t>lapatinib</w:t>
      </w:r>
      <w:proofErr w:type="spellEnd"/>
      <w:r w:rsidR="00DC357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for 4h </w:t>
      </w:r>
      <w:r w:rsidR="00447090" w:rsidRPr="00013ABD">
        <w:rPr>
          <w:rFonts w:ascii="Times New Roman" w:hAnsi="Times New Roman" w:cs="Times New Roman"/>
          <w:color w:val="000000"/>
          <w:sz w:val="20"/>
          <w:szCs w:val="20"/>
        </w:rPr>
        <w:t>prior to</w:t>
      </w:r>
      <w:r w:rsidR="009F39F1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90C2C" w:rsidRPr="00013ABD">
        <w:rPr>
          <w:rFonts w:ascii="Times New Roman" w:hAnsi="Times New Roman" w:cs="Times New Roman"/>
          <w:color w:val="000000"/>
          <w:sz w:val="20"/>
          <w:szCs w:val="20"/>
        </w:rPr>
        <w:t>DOX</w:t>
      </w:r>
      <w:r w:rsidR="00DC357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or 5-FU</w:t>
      </w:r>
      <w:r w:rsidR="00447090" w:rsidRPr="00013AB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DC357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0239B" w:rsidRPr="00013ABD">
        <w:rPr>
          <w:rFonts w:ascii="Times New Roman" w:hAnsi="Times New Roman" w:cs="Times New Roman"/>
          <w:color w:val="000000"/>
          <w:sz w:val="20"/>
          <w:szCs w:val="20"/>
        </w:rPr>
        <w:t>cytotoxicity</w:t>
      </w:r>
      <w:proofErr w:type="spellEnd"/>
      <w:r w:rsidR="00E17E94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0239B" w:rsidRPr="00013ABD">
        <w:rPr>
          <w:rFonts w:ascii="Times New Roman" w:hAnsi="Times New Roman" w:cs="Times New Roman"/>
          <w:color w:val="000000"/>
          <w:sz w:val="20"/>
          <w:szCs w:val="20"/>
        </w:rPr>
        <w:t>was</w:t>
      </w:r>
      <w:r w:rsidR="00E17E94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elevated</w:t>
      </w:r>
      <w:r w:rsidR="00DC357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significant</w:t>
      </w:r>
      <w:r w:rsidR="005F7972" w:rsidRPr="00013ABD">
        <w:rPr>
          <w:rFonts w:ascii="Times New Roman" w:hAnsi="Times New Roman" w:cs="Times New Roman"/>
          <w:color w:val="000000"/>
          <w:sz w:val="20"/>
          <w:szCs w:val="20"/>
        </w:rPr>
        <w:t>ly</w:t>
      </w:r>
      <w:r w:rsidR="00DC357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1171E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at </w:t>
      </w:r>
      <w:r w:rsidR="005F7972" w:rsidRPr="00013ABD">
        <w:rPr>
          <w:rFonts w:ascii="Times New Roman" w:hAnsi="Times New Roman" w:cs="Times New Roman"/>
          <w:color w:val="000000"/>
          <w:sz w:val="20"/>
          <w:szCs w:val="20"/>
        </w:rPr>
        <w:t>3.25µM</w:t>
      </w:r>
      <w:r w:rsidR="00DC357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="00DC3577" w:rsidRPr="00013ABD">
        <w:rPr>
          <w:rFonts w:ascii="Times New Roman" w:hAnsi="Times New Roman" w:cs="Times New Roman"/>
          <w:color w:val="000000"/>
          <w:sz w:val="20"/>
          <w:szCs w:val="20"/>
        </w:rPr>
        <w:t>lapatinib</w:t>
      </w:r>
      <w:proofErr w:type="spellEnd"/>
      <w:r w:rsidR="00DC357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regarding cells treated with </w:t>
      </w:r>
      <w:r w:rsidR="00990C2C" w:rsidRPr="00013ABD">
        <w:rPr>
          <w:rFonts w:ascii="Times New Roman" w:hAnsi="Times New Roman" w:cs="Times New Roman"/>
          <w:color w:val="000000"/>
          <w:sz w:val="20"/>
          <w:szCs w:val="20"/>
        </w:rPr>
        <w:t>DOX</w:t>
      </w:r>
      <w:r w:rsidR="00DC357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1171E" w:rsidRPr="00013ABD">
        <w:rPr>
          <w:rFonts w:ascii="Times New Roman" w:hAnsi="Times New Roman" w:cs="Times New Roman"/>
          <w:color w:val="000000"/>
          <w:sz w:val="20"/>
          <w:szCs w:val="20"/>
        </w:rPr>
        <w:t>or 5-FU</w:t>
      </w:r>
      <w:r w:rsidR="00447090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alone</w:t>
      </w:r>
      <w:r w:rsidR="00DC357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447090" w:rsidRPr="00013ABD">
        <w:rPr>
          <w:rFonts w:ascii="Times New Roman" w:hAnsi="Times New Roman" w:cs="Times New Roman"/>
          <w:color w:val="000000"/>
          <w:sz w:val="20"/>
          <w:szCs w:val="20"/>
        </w:rPr>
        <w:t>However, t</w:t>
      </w:r>
      <w:r w:rsidR="00DC357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he </w:t>
      </w:r>
      <w:r w:rsidR="006309DC" w:rsidRPr="00013ABD">
        <w:rPr>
          <w:rFonts w:ascii="Times New Roman" w:hAnsi="Times New Roman" w:cs="Times New Roman"/>
          <w:color w:val="000000"/>
          <w:sz w:val="20"/>
          <w:szCs w:val="20"/>
        </w:rPr>
        <w:t>significant</w:t>
      </w:r>
      <w:r w:rsidR="00DC357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47090" w:rsidRPr="00013ABD">
        <w:rPr>
          <w:rFonts w:ascii="Times New Roman" w:hAnsi="Times New Roman" w:cs="Times New Roman"/>
          <w:color w:val="000000"/>
          <w:sz w:val="20"/>
          <w:szCs w:val="20"/>
        </w:rPr>
        <w:t>cell growth inhibition was demonstrate</w:t>
      </w:r>
      <w:r w:rsidR="00DC3577" w:rsidRPr="00013ABD">
        <w:rPr>
          <w:rFonts w:ascii="Times New Roman" w:hAnsi="Times New Roman" w:cs="Times New Roman"/>
          <w:color w:val="000000"/>
          <w:sz w:val="20"/>
          <w:szCs w:val="20"/>
        </w:rPr>
        <w:t>d when MDA-MB-231 cell</w:t>
      </w:r>
      <w:r w:rsidR="00447090" w:rsidRPr="00013AB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DC357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47090" w:rsidRPr="00013ABD">
        <w:rPr>
          <w:rFonts w:ascii="Times New Roman" w:hAnsi="Times New Roman" w:cs="Times New Roman"/>
          <w:color w:val="000000"/>
          <w:sz w:val="20"/>
          <w:szCs w:val="20"/>
        </w:rPr>
        <w:t>were</w:t>
      </w:r>
      <w:r w:rsidR="0011171E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00385" w:rsidRPr="00013ABD">
        <w:rPr>
          <w:rFonts w:ascii="Times New Roman" w:hAnsi="Times New Roman" w:cs="Times New Roman"/>
          <w:color w:val="000000"/>
          <w:sz w:val="20"/>
          <w:szCs w:val="20"/>
        </w:rPr>
        <w:t>pre-</w:t>
      </w:r>
      <w:r w:rsidR="00DC357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treated with </w:t>
      </w:r>
      <w:r w:rsidR="00F52333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the chemotherapeutics </w:t>
      </w:r>
      <w:r w:rsidR="00990C2C" w:rsidRPr="00013ABD">
        <w:rPr>
          <w:rFonts w:ascii="Times New Roman" w:hAnsi="Times New Roman" w:cs="Times New Roman"/>
          <w:color w:val="000000"/>
          <w:sz w:val="20"/>
          <w:szCs w:val="20"/>
        </w:rPr>
        <w:t>DOX</w:t>
      </w:r>
      <w:r w:rsidR="006309D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or 5-FU.</w:t>
      </w:r>
      <w:r w:rsidR="00400385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A316B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Many studies </w:t>
      </w:r>
      <w:r w:rsidR="0023002A" w:rsidRPr="00013ABD">
        <w:rPr>
          <w:rFonts w:ascii="Times New Roman" w:hAnsi="Times New Roman" w:cs="Times New Roman"/>
          <w:color w:val="000000"/>
          <w:sz w:val="20"/>
          <w:szCs w:val="20"/>
        </w:rPr>
        <w:t>approved t</w:t>
      </w:r>
      <w:r w:rsidR="001C60CF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he efficacy of combined therapy of </w:t>
      </w:r>
      <w:proofErr w:type="spellStart"/>
      <w:r w:rsidR="001C60CF" w:rsidRPr="00013ABD">
        <w:rPr>
          <w:rFonts w:ascii="Times New Roman" w:hAnsi="Times New Roman" w:cs="Times New Roman"/>
          <w:color w:val="000000"/>
          <w:sz w:val="20"/>
          <w:szCs w:val="20"/>
        </w:rPr>
        <w:t>lap</w:t>
      </w:r>
      <w:r w:rsidR="003278EE" w:rsidRPr="00013ABD">
        <w:rPr>
          <w:rFonts w:ascii="Times New Roman" w:hAnsi="Times New Roman" w:cs="Times New Roman"/>
          <w:color w:val="000000"/>
          <w:sz w:val="20"/>
          <w:szCs w:val="20"/>
        </w:rPr>
        <w:t>atinib</w:t>
      </w:r>
      <w:proofErr w:type="spellEnd"/>
      <w:r w:rsidR="003278EE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with </w:t>
      </w:r>
      <w:r w:rsidR="004A316B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other chemotherapies or </w:t>
      </w:r>
      <w:proofErr w:type="spellStart"/>
      <w:r w:rsidR="004A316B" w:rsidRPr="00013ABD">
        <w:rPr>
          <w:rFonts w:ascii="Times New Roman" w:hAnsi="Times New Roman" w:cs="Times New Roman"/>
          <w:color w:val="000000"/>
          <w:sz w:val="20"/>
          <w:szCs w:val="20"/>
        </w:rPr>
        <w:t>TKIs</w:t>
      </w:r>
      <w:proofErr w:type="spellEnd"/>
      <w:r w:rsidR="004A316B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such as </w:t>
      </w:r>
      <w:proofErr w:type="spellStart"/>
      <w:r w:rsidR="006E0579" w:rsidRPr="00013ABD">
        <w:rPr>
          <w:rFonts w:ascii="Times New Roman" w:hAnsi="Times New Roman" w:cs="Times New Roman"/>
          <w:color w:val="000000"/>
          <w:sz w:val="20"/>
          <w:szCs w:val="20"/>
        </w:rPr>
        <w:t>letrozole</w:t>
      </w:r>
      <w:proofErr w:type="spellEnd"/>
      <w:r w:rsidR="009711D8" w:rsidRPr="00013ABD">
        <w:rPr>
          <w:rFonts w:ascii="Times New Roman" w:hAnsi="Times New Roman" w:cs="Times New Roman"/>
          <w:sz w:val="20"/>
          <w:szCs w:val="20"/>
        </w:rPr>
        <w:t xml:space="preserve"> or </w:t>
      </w:r>
      <w:proofErr w:type="spellStart"/>
      <w:r w:rsidR="009711D8" w:rsidRPr="00013ABD">
        <w:rPr>
          <w:rFonts w:ascii="Times New Roman" w:hAnsi="Times New Roman" w:cs="Times New Roman"/>
          <w:sz w:val="20"/>
          <w:szCs w:val="20"/>
        </w:rPr>
        <w:t>trastuzumab</w:t>
      </w:r>
      <w:proofErr w:type="spellEnd"/>
      <w:r w:rsidR="009711D8" w:rsidRPr="00013ABD">
        <w:rPr>
          <w:rFonts w:ascii="Times New Roman" w:hAnsi="Times New Roman" w:cs="Times New Roman"/>
          <w:sz w:val="20"/>
          <w:szCs w:val="20"/>
        </w:rPr>
        <w:t xml:space="preserve"> resistant patients with over</w:t>
      </w:r>
      <w:r w:rsidR="00F972E4" w:rsidRPr="00013ABD">
        <w:rPr>
          <w:rFonts w:ascii="Times New Roman" w:hAnsi="Times New Roman" w:cs="Times New Roman"/>
          <w:sz w:val="20"/>
          <w:szCs w:val="20"/>
        </w:rPr>
        <w:t>-</w:t>
      </w:r>
      <w:r w:rsidR="009711D8" w:rsidRPr="00013ABD">
        <w:rPr>
          <w:rFonts w:ascii="Times New Roman" w:hAnsi="Times New Roman" w:cs="Times New Roman"/>
          <w:sz w:val="20"/>
          <w:szCs w:val="20"/>
        </w:rPr>
        <w:t xml:space="preserve">expressed HER2 </w:t>
      </w:r>
      <w:r w:rsidR="009711D8" w:rsidRPr="00013ABD">
        <w:rPr>
          <w:rFonts w:ascii="Times New Roman" w:hAnsi="Times New Roman" w:cs="Times New Roman"/>
          <w:color w:val="000000"/>
          <w:sz w:val="20"/>
          <w:szCs w:val="20"/>
        </w:rPr>
        <w:t>[18,21,29]</w:t>
      </w:r>
      <w:r w:rsidR="009711D8" w:rsidRPr="00013ABD">
        <w:rPr>
          <w:rFonts w:ascii="Times New Roman" w:hAnsi="Times New Roman" w:cs="Times New Roman"/>
          <w:sz w:val="20"/>
          <w:szCs w:val="20"/>
        </w:rPr>
        <w:t>.</w:t>
      </w:r>
    </w:p>
    <w:p w:rsidR="00023432" w:rsidRPr="00013ABD" w:rsidRDefault="00835DEC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5B76C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mode of cell death with 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>combined therap</w:t>
      </w:r>
      <w:r w:rsidR="00320303" w:rsidRPr="00013ABD">
        <w:rPr>
          <w:rFonts w:ascii="Times New Roman" w:hAnsi="Times New Roman" w:cs="Times New Roman"/>
          <w:color w:val="000000"/>
          <w:sz w:val="20"/>
          <w:szCs w:val="20"/>
        </w:rPr>
        <w:t>eutics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was </w:t>
      </w:r>
      <w:r w:rsidR="00320303" w:rsidRPr="00013ABD">
        <w:rPr>
          <w:rFonts w:ascii="Times New Roman" w:hAnsi="Times New Roman" w:cs="Times New Roman"/>
          <w:color w:val="000000"/>
          <w:sz w:val="20"/>
          <w:szCs w:val="20"/>
        </w:rPr>
        <w:t>observed</w:t>
      </w:r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E7E79" w:rsidRPr="00013ABD">
        <w:rPr>
          <w:rFonts w:ascii="Times New Roman" w:hAnsi="Times New Roman" w:cs="Times New Roman"/>
          <w:color w:val="000000"/>
          <w:sz w:val="20"/>
          <w:szCs w:val="20"/>
        </w:rPr>
        <w:t>w</w:t>
      </w:r>
      <w:r w:rsidR="00320303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hen MDA-MB-231 cells were pre-treated with DOX or 5-FU prior to </w:t>
      </w:r>
      <w:proofErr w:type="spellStart"/>
      <w:r w:rsidR="00320303" w:rsidRPr="00013ABD">
        <w:rPr>
          <w:rFonts w:ascii="Times New Roman" w:hAnsi="Times New Roman" w:cs="Times New Roman"/>
          <w:color w:val="000000"/>
          <w:sz w:val="20"/>
          <w:szCs w:val="20"/>
        </w:rPr>
        <w:t>lapatinib</w:t>
      </w:r>
      <w:proofErr w:type="spellEnd"/>
      <w:r w:rsidR="00AE7E79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that</w:t>
      </w:r>
      <w:r w:rsidR="00320303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apoptotic ratio</w:t>
      </w:r>
      <w:r w:rsidR="00F972E4" w:rsidRPr="00013ABD">
        <w:rPr>
          <w:rFonts w:ascii="Times New Roman" w:hAnsi="Times New Roman" w:cs="Times New Roman"/>
          <w:color w:val="000000"/>
          <w:sz w:val="20"/>
          <w:szCs w:val="20"/>
        </w:rPr>
        <w:t>s were</w:t>
      </w:r>
      <w:r w:rsidR="00320303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elevated remarkably to 9.3 and 8.6 folds respectively from control, in comparison </w:t>
      </w:r>
      <w:r w:rsidR="00AE7E79" w:rsidRPr="00013A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320303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that of </w:t>
      </w:r>
      <w:r w:rsidR="00AE7E79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single treatments of </w:t>
      </w:r>
      <w:proofErr w:type="spellStart"/>
      <w:r w:rsidR="00AE7E79" w:rsidRPr="00013ABD">
        <w:rPr>
          <w:rFonts w:ascii="Times New Roman" w:hAnsi="Times New Roman" w:cs="Times New Roman"/>
          <w:color w:val="000000"/>
          <w:sz w:val="20"/>
          <w:szCs w:val="20"/>
        </w:rPr>
        <w:t>lapatinib</w:t>
      </w:r>
      <w:proofErr w:type="spellEnd"/>
      <w:r w:rsidR="00AE7E79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, DOX or 5-FU (2.2, 4.5 and 3.2 folds) respectively. But, </w:t>
      </w:r>
      <w:r w:rsidR="00320303" w:rsidRPr="00013ABD">
        <w:rPr>
          <w:rFonts w:ascii="Times New Roman" w:hAnsi="Times New Roman" w:cs="Times New Roman"/>
          <w:color w:val="000000"/>
          <w:sz w:val="20"/>
          <w:szCs w:val="20"/>
        </w:rPr>
        <w:t>when</w:t>
      </w:r>
      <w:r w:rsidR="00DC357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MDA-MB-231 </w:t>
      </w:r>
      <w:r w:rsidR="00181852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cells </w:t>
      </w:r>
      <w:r w:rsidR="00320303" w:rsidRPr="00013ABD">
        <w:rPr>
          <w:rFonts w:ascii="Times New Roman" w:hAnsi="Times New Roman" w:cs="Times New Roman"/>
          <w:color w:val="000000"/>
          <w:sz w:val="20"/>
          <w:szCs w:val="20"/>
        </w:rPr>
        <w:t>were pre-treated with</w:t>
      </w:r>
      <w:r w:rsidR="00DC357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C3577" w:rsidRPr="00013ABD">
        <w:rPr>
          <w:rFonts w:ascii="Times New Roman" w:hAnsi="Times New Roman" w:cs="Times New Roman"/>
          <w:color w:val="000000"/>
          <w:sz w:val="20"/>
          <w:szCs w:val="20"/>
        </w:rPr>
        <w:t>lapatinib</w:t>
      </w:r>
      <w:proofErr w:type="spellEnd"/>
      <w:r w:rsidR="00DC357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followed by </w:t>
      </w:r>
      <w:r w:rsidR="00990C2C" w:rsidRPr="00013ABD">
        <w:rPr>
          <w:rFonts w:ascii="Times New Roman" w:hAnsi="Times New Roman" w:cs="Times New Roman"/>
          <w:color w:val="000000"/>
          <w:sz w:val="20"/>
          <w:szCs w:val="20"/>
        </w:rPr>
        <w:t>DOX</w:t>
      </w:r>
      <w:r w:rsidR="00181852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C2C25" w:rsidRPr="00013ABD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="00BC5A66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C2C25" w:rsidRPr="00013ABD">
        <w:rPr>
          <w:rFonts w:ascii="Times New Roman" w:hAnsi="Times New Roman" w:cs="Times New Roman"/>
          <w:color w:val="000000"/>
          <w:sz w:val="20"/>
          <w:szCs w:val="20"/>
        </w:rPr>
        <w:t>5-FU</w:t>
      </w:r>
      <w:r w:rsidR="00AE7E79" w:rsidRPr="00013ABD">
        <w:rPr>
          <w:rFonts w:ascii="Times New Roman" w:hAnsi="Times New Roman" w:cs="Times New Roman"/>
          <w:color w:val="000000"/>
          <w:sz w:val="20"/>
          <w:szCs w:val="20"/>
        </w:rPr>
        <w:t>, apoptotic</w:t>
      </w:r>
      <w:r w:rsidR="006C2C25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cells</w:t>
      </w:r>
      <w:r w:rsidR="00FE3B41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94B08" w:rsidRPr="00013ABD">
        <w:rPr>
          <w:rFonts w:ascii="Times New Roman" w:hAnsi="Times New Roman" w:cs="Times New Roman"/>
          <w:color w:val="000000"/>
          <w:sz w:val="20"/>
          <w:szCs w:val="20"/>
        </w:rPr>
        <w:t>w</w:t>
      </w:r>
      <w:r w:rsidR="00AE7E79" w:rsidRPr="00013ABD">
        <w:rPr>
          <w:rFonts w:ascii="Times New Roman" w:hAnsi="Times New Roman" w:cs="Times New Roman"/>
          <w:color w:val="000000"/>
          <w:sz w:val="20"/>
          <w:szCs w:val="20"/>
        </w:rPr>
        <w:t>ere</w:t>
      </w:r>
      <w:r w:rsidR="00D94B08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C2C25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increased by 8 and 6 folds respectively. </w:t>
      </w:r>
      <w:r w:rsidR="00FE5B4A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On the other hand, the proportion of necrotic cells in combined treatments reached to 4.6 and 2.8 folds for cells pre-treated with DOX or 5-FU prior to </w:t>
      </w:r>
      <w:proofErr w:type="spellStart"/>
      <w:r w:rsidR="00FE5B4A" w:rsidRPr="00013ABD">
        <w:rPr>
          <w:rFonts w:ascii="Times New Roman" w:hAnsi="Times New Roman" w:cs="Times New Roman"/>
          <w:color w:val="000000"/>
          <w:sz w:val="20"/>
          <w:szCs w:val="20"/>
        </w:rPr>
        <w:t>lapatinib</w:t>
      </w:r>
      <w:proofErr w:type="spellEnd"/>
      <w:r w:rsidR="00FE5B4A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comparing to those pre-treated with </w:t>
      </w:r>
      <w:proofErr w:type="spellStart"/>
      <w:r w:rsidR="00FE5B4A" w:rsidRPr="00013ABD">
        <w:rPr>
          <w:rFonts w:ascii="Times New Roman" w:hAnsi="Times New Roman" w:cs="Times New Roman"/>
          <w:color w:val="000000"/>
          <w:sz w:val="20"/>
          <w:szCs w:val="20"/>
        </w:rPr>
        <w:t>lapatinib</w:t>
      </w:r>
      <w:proofErr w:type="spellEnd"/>
      <w:r w:rsidR="00FE5B4A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(2.2 and 2.6 </w:t>
      </w:r>
      <w:r w:rsidR="005056F9" w:rsidRPr="00013ABD">
        <w:rPr>
          <w:rFonts w:ascii="Times New Roman" w:hAnsi="Times New Roman" w:cs="Times New Roman"/>
          <w:color w:val="000000"/>
          <w:sz w:val="20"/>
          <w:szCs w:val="20"/>
        </w:rPr>
        <w:t>folds respectively</w:t>
      </w:r>
      <w:r w:rsidR="00507377" w:rsidRPr="00013ABD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FE5B4A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5056F9" w:rsidRPr="00013ABD">
        <w:rPr>
          <w:rFonts w:ascii="Times New Roman" w:hAnsi="Times New Roman" w:cs="Times New Roman"/>
          <w:color w:val="000000"/>
          <w:sz w:val="20"/>
          <w:szCs w:val="20"/>
        </w:rPr>
        <w:t>This elevated proportion of</w:t>
      </w:r>
      <w:r w:rsidR="00EA2DE2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23432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apoptosis might be returned back </w:t>
      </w:r>
      <w:r w:rsidR="004045A4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to the synergistic interaction of</w:t>
      </w:r>
      <w:r w:rsidR="00023432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A2DE2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chemotherapeutics</w:t>
      </w:r>
      <w:r w:rsidR="004045A4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together with </w:t>
      </w:r>
      <w:proofErr w:type="spellStart"/>
      <w:r w:rsidR="004045A4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lapatinib</w:t>
      </w:r>
      <w:proofErr w:type="spellEnd"/>
      <w:r w:rsidR="00C118EF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that </w:t>
      </w:r>
      <w:r w:rsidR="00023432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DOX </w:t>
      </w:r>
      <w:r w:rsidR="00146EB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could enhance</w:t>
      </w:r>
      <w:r w:rsidR="00023432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apoptosis by activating p53- mediated </w:t>
      </w:r>
      <w:proofErr w:type="spellStart"/>
      <w:r w:rsidR="00023432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upregulation</w:t>
      </w:r>
      <w:proofErr w:type="spellEnd"/>
      <w:r w:rsidR="00023432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of </w:t>
      </w:r>
      <w:proofErr w:type="spellStart"/>
      <w:r w:rsidR="00023432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Noxa</w:t>
      </w:r>
      <w:proofErr w:type="spellEnd"/>
      <w:r w:rsidR="00023432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Puma pathways </w:t>
      </w:r>
      <w:r w:rsidR="00D00C58" w:rsidRPr="00013ABD">
        <w:rPr>
          <w:rFonts w:ascii="Times New Roman" w:hAnsi="Times New Roman" w:cs="Times New Roman"/>
          <w:color w:val="000000"/>
          <w:sz w:val="20"/>
          <w:szCs w:val="20"/>
        </w:rPr>
        <w:t>tha</w:t>
      </w:r>
      <w:r w:rsidR="00146EB0" w:rsidRPr="00013ABD">
        <w:rPr>
          <w:rFonts w:ascii="Times New Roman" w:hAnsi="Times New Roman" w:cs="Times New Roman"/>
          <w:color w:val="000000"/>
          <w:sz w:val="20"/>
          <w:szCs w:val="20"/>
        </w:rPr>
        <w:t>t mediate</w:t>
      </w:r>
      <w:r w:rsidR="00D00C58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caspase-9</w:t>
      </w:r>
      <w:r w:rsidR="00023432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and in consequence stimula</w:t>
      </w:r>
      <w:r w:rsidR="00146EB0" w:rsidRPr="00013ABD">
        <w:rPr>
          <w:rFonts w:ascii="Times New Roman" w:hAnsi="Times New Roman" w:cs="Times New Roman"/>
          <w:color w:val="000000"/>
          <w:sz w:val="20"/>
          <w:szCs w:val="20"/>
        </w:rPr>
        <w:t>te</w:t>
      </w:r>
      <w:r w:rsidR="003D0695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intrinsic apoptotic pathway</w:t>
      </w:r>
      <w:r w:rsidR="007E0B70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[</w:t>
      </w:r>
      <w:r w:rsidR="00093802" w:rsidRPr="00013ABD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F7972" w:rsidRPr="00013ABD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="007E0B70" w:rsidRPr="00013ABD">
        <w:rPr>
          <w:rFonts w:ascii="Times New Roman" w:hAnsi="Times New Roman" w:cs="Times New Roman"/>
          <w:color w:val="000000"/>
          <w:sz w:val="20"/>
          <w:szCs w:val="20"/>
        </w:rPr>
        <w:t>]</w:t>
      </w:r>
      <w:r w:rsidR="00023432" w:rsidRPr="00013ABD">
        <w:rPr>
          <w:rFonts w:ascii="Times New Roman" w:hAnsi="Times New Roman" w:cs="Times New Roman"/>
          <w:color w:val="000000"/>
          <w:sz w:val="20"/>
          <w:szCs w:val="20"/>
        </w:rPr>
        <w:t>. Likewise</w:t>
      </w:r>
      <w:r w:rsidR="00023432" w:rsidRPr="00013ABD">
        <w:rPr>
          <w:rFonts w:ascii="Times New Roman" w:hAnsi="Times New Roman" w:cs="Times New Roman"/>
          <w:sz w:val="20"/>
          <w:szCs w:val="20"/>
          <w:lang w:bidi="ar-EG"/>
        </w:rPr>
        <w:t>, it might activate p53 and/or TNF sig</w:t>
      </w:r>
      <w:r w:rsidR="00146EB0" w:rsidRPr="00013ABD">
        <w:rPr>
          <w:rFonts w:ascii="Times New Roman" w:hAnsi="Times New Roman" w:cs="Times New Roman"/>
          <w:sz w:val="20"/>
          <w:szCs w:val="20"/>
          <w:lang w:bidi="ar-EG"/>
        </w:rPr>
        <w:t>naling that activate</w:t>
      </w:r>
      <w:r w:rsidR="00D00C58" w:rsidRPr="00013ABD">
        <w:rPr>
          <w:rFonts w:ascii="Times New Roman" w:hAnsi="Times New Roman" w:cs="Times New Roman"/>
          <w:sz w:val="20"/>
          <w:szCs w:val="20"/>
          <w:lang w:bidi="ar-EG"/>
        </w:rPr>
        <w:t xml:space="preserve"> caspase-3</w:t>
      </w:r>
      <w:r w:rsidR="00023432" w:rsidRPr="00013ABD">
        <w:rPr>
          <w:rFonts w:ascii="Times New Roman" w:hAnsi="Times New Roman" w:cs="Times New Roman"/>
          <w:sz w:val="20"/>
          <w:szCs w:val="20"/>
          <w:lang w:bidi="ar-EG"/>
        </w:rPr>
        <w:t xml:space="preserve"> and according</w:t>
      </w:r>
      <w:r w:rsidR="00146EB0" w:rsidRPr="00013ABD">
        <w:rPr>
          <w:rFonts w:ascii="Times New Roman" w:hAnsi="Times New Roman" w:cs="Times New Roman"/>
          <w:sz w:val="20"/>
          <w:szCs w:val="20"/>
          <w:lang w:bidi="ar-EG"/>
        </w:rPr>
        <w:t>ly activate</w:t>
      </w:r>
      <w:r w:rsidR="003D0695" w:rsidRPr="00013ABD">
        <w:rPr>
          <w:rFonts w:ascii="Times New Roman" w:hAnsi="Times New Roman" w:cs="Times New Roman"/>
          <w:sz w:val="20"/>
          <w:szCs w:val="20"/>
          <w:lang w:bidi="ar-EG"/>
        </w:rPr>
        <w:t xml:space="preserve"> apoptotic pathways</w:t>
      </w:r>
      <w:r w:rsidR="007E0B70" w:rsidRPr="00013ABD">
        <w:rPr>
          <w:rFonts w:ascii="Times New Roman" w:hAnsi="Times New Roman" w:cs="Times New Roman"/>
          <w:sz w:val="20"/>
          <w:szCs w:val="20"/>
          <w:lang w:bidi="ar-EG"/>
        </w:rPr>
        <w:t xml:space="preserve"> [</w:t>
      </w:r>
      <w:r w:rsidR="00267B42" w:rsidRPr="00013ABD">
        <w:rPr>
          <w:rFonts w:ascii="Times New Roman" w:hAnsi="Times New Roman" w:cs="Times New Roman"/>
          <w:sz w:val="20"/>
          <w:szCs w:val="20"/>
          <w:lang w:bidi="ar-EG"/>
        </w:rPr>
        <w:t>3</w:t>
      </w:r>
      <w:r w:rsidR="005F7972" w:rsidRPr="00013ABD">
        <w:rPr>
          <w:rFonts w:ascii="Times New Roman" w:hAnsi="Times New Roman" w:cs="Times New Roman"/>
          <w:sz w:val="20"/>
          <w:szCs w:val="20"/>
          <w:lang w:bidi="ar-EG"/>
        </w:rPr>
        <w:t>1</w:t>
      </w:r>
      <w:r w:rsidR="007E0B70" w:rsidRPr="00013ABD">
        <w:rPr>
          <w:rFonts w:ascii="Times New Roman" w:hAnsi="Times New Roman" w:cs="Times New Roman"/>
          <w:sz w:val="20"/>
          <w:szCs w:val="20"/>
          <w:lang w:bidi="ar-EG"/>
        </w:rPr>
        <w:t>]</w:t>
      </w:r>
      <w:r w:rsidR="00146EB0" w:rsidRPr="00013ABD">
        <w:rPr>
          <w:rFonts w:ascii="Times New Roman" w:hAnsi="Times New Roman" w:cs="Times New Roman"/>
          <w:sz w:val="20"/>
          <w:szCs w:val="20"/>
          <w:lang w:bidi="ar-EG"/>
        </w:rPr>
        <w:t xml:space="preserve"> and enhance</w:t>
      </w:r>
      <w:r w:rsidR="003D0695" w:rsidRPr="00013ABD">
        <w:rPr>
          <w:rFonts w:ascii="Times New Roman" w:hAnsi="Times New Roman" w:cs="Times New Roman"/>
          <w:sz w:val="20"/>
          <w:szCs w:val="20"/>
          <w:lang w:bidi="ar-EG"/>
        </w:rPr>
        <w:t xml:space="preserve"> DNA damage</w:t>
      </w:r>
      <w:r w:rsidR="007E0B70" w:rsidRPr="00013ABD">
        <w:rPr>
          <w:rFonts w:ascii="Times New Roman" w:hAnsi="Times New Roman" w:cs="Times New Roman"/>
          <w:sz w:val="20"/>
          <w:szCs w:val="20"/>
          <w:lang w:bidi="ar-EG"/>
        </w:rPr>
        <w:t xml:space="preserve"> [</w:t>
      </w:r>
      <w:r w:rsidR="00267B42" w:rsidRPr="00013ABD">
        <w:rPr>
          <w:rFonts w:ascii="Times New Roman" w:hAnsi="Times New Roman" w:cs="Times New Roman"/>
          <w:sz w:val="20"/>
          <w:szCs w:val="20"/>
          <w:lang w:bidi="ar-EG"/>
        </w:rPr>
        <w:t>3</w:t>
      </w:r>
      <w:r w:rsidR="005F7972" w:rsidRPr="00013ABD">
        <w:rPr>
          <w:rFonts w:ascii="Times New Roman" w:hAnsi="Times New Roman" w:cs="Times New Roman"/>
          <w:sz w:val="20"/>
          <w:szCs w:val="20"/>
          <w:lang w:bidi="ar-EG"/>
        </w:rPr>
        <w:t>2</w:t>
      </w:r>
      <w:r w:rsidR="007E0B70" w:rsidRPr="00013ABD">
        <w:rPr>
          <w:rFonts w:ascii="Times New Roman" w:hAnsi="Times New Roman" w:cs="Times New Roman"/>
          <w:sz w:val="20"/>
          <w:szCs w:val="20"/>
          <w:lang w:bidi="ar-EG"/>
        </w:rPr>
        <w:t>]</w:t>
      </w:r>
      <w:r w:rsidR="00023432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23432" w:rsidRPr="00013ABD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="00023432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Furthermore, the potential of DOX to intercalate th</w:t>
      </w:r>
      <w:r w:rsidR="003D0695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rough DNA helix and release ROS</w:t>
      </w:r>
      <w:r w:rsidR="007E0B7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[</w:t>
      </w:r>
      <w:r w:rsidR="003D0695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7E0B7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]</w:t>
      </w:r>
      <w:r w:rsidR="00F53EA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46EB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might activate</w:t>
      </w:r>
      <w:r w:rsidR="00023432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its potential to induce apoptotic cell death remarkably. </w:t>
      </w:r>
      <w:r w:rsidR="00146EB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Similarly</w:t>
      </w:r>
      <w:r w:rsidR="00023432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interfering of 5-FU with </w:t>
      </w:r>
      <w:proofErr w:type="spellStart"/>
      <w:r w:rsidR="00023432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pyrimidines</w:t>
      </w:r>
      <w:proofErr w:type="spellEnd"/>
      <w:r w:rsidR="00023432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46EB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could activate</w:t>
      </w:r>
      <w:r w:rsidR="00023432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its incorporation inside DNA or RNA</w:t>
      </w:r>
      <w:r w:rsidR="00146EB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</w:t>
      </w:r>
      <w:r w:rsidR="00023432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consequently activa</w:t>
      </w:r>
      <w:r w:rsidR="00146EB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te</w:t>
      </w:r>
      <w:r w:rsidR="00023432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146EB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caspase</w:t>
      </w:r>
      <w:proofErr w:type="spellEnd"/>
      <w:r w:rsidR="00146EB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 which might trigger </w:t>
      </w:r>
      <w:r w:rsidR="00023432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apoptotic cell d</w:t>
      </w:r>
      <w:r w:rsidR="003D0695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eath </w:t>
      </w:r>
      <w:r w:rsidR="007E0B7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[</w:t>
      </w:r>
      <w:r w:rsidR="003D0695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16</w:t>
      </w:r>
      <w:r w:rsidR="007E0B7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]</w:t>
      </w:r>
      <w:r w:rsidR="00BC7A5D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23432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and arrest cell </w:t>
      </w:r>
      <w:r w:rsidR="003D0695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cycle at G1/S phase effectively</w:t>
      </w:r>
      <w:r w:rsidR="007E0B7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[</w:t>
      </w:r>
      <w:r w:rsidR="00F53EA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13,</w:t>
      </w:r>
      <w:r w:rsidR="00BC7A5D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="007E0B70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]</w:t>
      </w:r>
      <w:r w:rsidR="00023432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61B17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85267E" w:rsidRPr="00013ABD" w:rsidRDefault="0085267E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 the other hand, </w:t>
      </w:r>
      <w:r w:rsidR="00773FE2" w:rsidRPr="00013ABD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efficacy of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lapatinib</w:t>
      </w:r>
      <w:proofErr w:type="spellEnd"/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71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originates from its potential </w:t>
      </w: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 </w:t>
      </w:r>
      <w:r w:rsidR="0095771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bind to adenosine </w:t>
      </w:r>
      <w:proofErr w:type="spellStart"/>
      <w:r w:rsidR="0095771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triphosphate</w:t>
      </w:r>
      <w:proofErr w:type="spellEnd"/>
      <w:r w:rsidR="0095771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(ATP) of epidermal growth family domains and prevent </w:t>
      </w:r>
      <w:proofErr w:type="spellStart"/>
      <w:r w:rsidR="0095771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phosphorylation</w:t>
      </w:r>
      <w:proofErr w:type="spellEnd"/>
      <w:r w:rsidR="0095771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by blocking activated receptors</w:t>
      </w:r>
      <w:r w:rsidR="0045159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[25]</w:t>
      </w:r>
      <w:r w:rsidR="0095771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45159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which </w:t>
      </w:r>
      <w:proofErr w:type="spellStart"/>
      <w:r w:rsidR="0045159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downregulates</w:t>
      </w:r>
      <w:proofErr w:type="spellEnd"/>
      <w:r w:rsidR="0045159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protein </w:t>
      </w:r>
      <w:proofErr w:type="spellStart"/>
      <w:r w:rsidR="0045159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kinase</w:t>
      </w:r>
      <w:proofErr w:type="spellEnd"/>
      <w:r w:rsidR="0045159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MAPK and PI3K/Akt pathways [33-35], and actively enhance</w:t>
      </w:r>
      <w:r w:rsidR="0093296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45159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BIM activation and </w:t>
      </w:r>
      <w:proofErr w:type="spellStart"/>
      <w:r w:rsidR="0045159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survivin</w:t>
      </w:r>
      <w:proofErr w:type="spellEnd"/>
      <w:r w:rsidR="0045159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down regulation [36], </w:t>
      </w:r>
      <w:r w:rsidR="0095771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which consequently inhibit</w:t>
      </w:r>
      <w:r w:rsidR="0093296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95771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cell proliferation and </w:t>
      </w:r>
      <w:r w:rsidR="00023432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diminish</w:t>
      </w:r>
      <w:r w:rsidR="00932963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es</w:t>
      </w:r>
      <w:r w:rsidR="0045159B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tumor growth.</w:t>
      </w:r>
      <w:r w:rsidR="00C118EF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Furthermore, the synergistic interaction was observed in combined </w:t>
      </w:r>
      <w:r w:rsidR="00C118EF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study of DOX together with </w:t>
      </w:r>
      <w:proofErr w:type="spellStart"/>
      <w:r w:rsidR="00C118EF" w:rsidRPr="00013ABD">
        <w:rPr>
          <w:rFonts w:ascii="Times New Roman" w:hAnsi="Times New Roman" w:cs="Times New Roman"/>
          <w:color w:val="000000"/>
          <w:sz w:val="20"/>
          <w:szCs w:val="20"/>
        </w:rPr>
        <w:t>TKIs</w:t>
      </w:r>
      <w:proofErr w:type="spellEnd"/>
      <w:r w:rsidR="00C118EF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with normal or overexpressed-HER2 (MCF-7 and MDA-</w:t>
      </w:r>
      <w:r w:rsidR="00C118EF" w:rsidRPr="00013ABD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MB-468 cell lines) that </w:t>
      </w:r>
      <w:proofErr w:type="spellStart"/>
      <w:r w:rsidR="00C118EF" w:rsidRPr="00013ABD">
        <w:rPr>
          <w:rFonts w:ascii="Times New Roman" w:hAnsi="Times New Roman" w:cs="Times New Roman"/>
          <w:color w:val="000000"/>
          <w:sz w:val="20"/>
          <w:szCs w:val="20"/>
        </w:rPr>
        <w:t>pretreating</w:t>
      </w:r>
      <w:proofErr w:type="spellEnd"/>
      <w:r w:rsidR="00C118EF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these cells with </w:t>
      </w:r>
      <w:proofErr w:type="spellStart"/>
      <w:r w:rsidR="00C118EF" w:rsidRPr="00013ABD">
        <w:rPr>
          <w:rFonts w:ascii="Times New Roman" w:hAnsi="Times New Roman" w:cs="Times New Roman"/>
          <w:color w:val="000000"/>
          <w:sz w:val="20"/>
          <w:szCs w:val="20"/>
        </w:rPr>
        <w:t>erlotinib</w:t>
      </w:r>
      <w:proofErr w:type="spellEnd"/>
      <w:r w:rsidR="00C118EF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or </w:t>
      </w:r>
      <w:proofErr w:type="spellStart"/>
      <w:r w:rsidR="00C118EF" w:rsidRPr="00013ABD">
        <w:rPr>
          <w:rFonts w:ascii="Times New Roman" w:hAnsi="Times New Roman" w:cs="Times New Roman"/>
          <w:color w:val="000000"/>
          <w:sz w:val="20"/>
          <w:szCs w:val="20"/>
        </w:rPr>
        <w:t>lapatinib</w:t>
      </w:r>
      <w:proofErr w:type="spellEnd"/>
      <w:r w:rsidR="00C118EF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prior to DOX activated caspase-8 and autocatalytic cleavage, which stimulated induction of cell death through extrinsic apoptotic pathway via death receptors [37].</w:t>
      </w:r>
      <w:r w:rsidR="00013ABD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3B23F1" w:rsidRPr="00013ABD" w:rsidRDefault="001E7049" w:rsidP="003B23F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This was obvious </w:t>
      </w:r>
      <w:r w:rsidR="00940A6D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when </w:t>
      </w:r>
      <w:r w:rsidR="009E7C1D" w:rsidRPr="00013ABD">
        <w:rPr>
          <w:rFonts w:ascii="Times New Roman" w:hAnsi="Times New Roman" w:cs="Times New Roman"/>
          <w:color w:val="000000"/>
          <w:sz w:val="20"/>
          <w:szCs w:val="20"/>
        </w:rPr>
        <w:t>induction of apoptosis le</w:t>
      </w:r>
      <w:r w:rsidR="005056DA" w:rsidRPr="00013ABD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9E7C1D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to orientation</w:t>
      </w:r>
      <w:r w:rsidR="00FF03A0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of DNA damage </w:t>
      </w:r>
      <w:r w:rsidR="00726B4B" w:rsidRPr="00013ABD">
        <w:rPr>
          <w:rFonts w:ascii="Times New Roman" w:hAnsi="Times New Roman" w:cs="Times New Roman"/>
          <w:color w:val="000000"/>
          <w:sz w:val="20"/>
          <w:szCs w:val="20"/>
        </w:rPr>
        <w:t>as recorded by</w:t>
      </w:r>
      <w:r w:rsidR="00786F3E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micronucleus test</w:t>
      </w:r>
      <w:r w:rsidR="00DC357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B60BEC" w:rsidRPr="00013ABD">
        <w:rPr>
          <w:rFonts w:ascii="Times New Roman" w:hAnsi="Times New Roman" w:cs="Times New Roman"/>
          <w:color w:val="000000"/>
          <w:sz w:val="20"/>
          <w:szCs w:val="20"/>
        </w:rPr>
        <w:t>The percentages of p</w:t>
      </w:r>
      <w:r w:rsidR="0085267E" w:rsidRPr="00013ABD">
        <w:rPr>
          <w:rFonts w:ascii="Times New Roman" w:hAnsi="Times New Roman" w:cs="Times New Roman"/>
          <w:color w:val="000000"/>
          <w:sz w:val="20"/>
          <w:szCs w:val="20"/>
        </w:rPr>
        <w:t>re-treated</w:t>
      </w:r>
      <w:r w:rsidR="00835EF2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60BE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MDA-MB-231 cells </w:t>
      </w:r>
      <w:r w:rsidR="00DC357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with </w:t>
      </w:r>
      <w:proofErr w:type="spellStart"/>
      <w:r w:rsidR="00DC3577" w:rsidRPr="00013ABD">
        <w:rPr>
          <w:rFonts w:ascii="Times New Roman" w:hAnsi="Times New Roman" w:cs="Times New Roman"/>
          <w:color w:val="000000"/>
          <w:sz w:val="20"/>
          <w:szCs w:val="20"/>
        </w:rPr>
        <w:t>lapatinib</w:t>
      </w:r>
      <w:proofErr w:type="spellEnd"/>
      <w:r w:rsidR="00DC357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60BE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former to </w:t>
      </w:r>
      <w:r w:rsidR="00990C2C" w:rsidRPr="00013ABD">
        <w:rPr>
          <w:rFonts w:ascii="Times New Roman" w:hAnsi="Times New Roman" w:cs="Times New Roman"/>
          <w:color w:val="000000"/>
          <w:sz w:val="20"/>
          <w:szCs w:val="20"/>
        </w:rPr>
        <w:t>DOX</w:t>
      </w:r>
      <w:r w:rsidR="007B1035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or 5-FU</w:t>
      </w:r>
      <w:r w:rsidR="0085267E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F4AF4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raised </w:t>
      </w:r>
      <w:r w:rsidR="00B60BE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MN (%) </w:t>
      </w:r>
      <w:r w:rsidR="0085267E" w:rsidRPr="00013ABD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="00EF4AF4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6.3 and </w:t>
      </w:r>
      <w:r w:rsidR="00A04AED" w:rsidRPr="00013ABD">
        <w:rPr>
          <w:rFonts w:ascii="Times New Roman" w:hAnsi="Times New Roman" w:cs="Times New Roman"/>
          <w:color w:val="000000"/>
          <w:sz w:val="20"/>
          <w:szCs w:val="20"/>
        </w:rPr>
        <w:t>4.8 folds respectively. The promising DNA damage ratio</w:t>
      </w:r>
      <w:r w:rsidR="009E7C1D" w:rsidRPr="00013AB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A04AED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w</w:t>
      </w:r>
      <w:r w:rsidR="009E7C1D" w:rsidRPr="00013ABD">
        <w:rPr>
          <w:rFonts w:ascii="Times New Roman" w:hAnsi="Times New Roman" w:cs="Times New Roman"/>
          <w:color w:val="000000"/>
          <w:sz w:val="20"/>
          <w:szCs w:val="20"/>
        </w:rPr>
        <w:t>ere</w:t>
      </w:r>
      <w:r w:rsidR="00A04AED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achieved when </w:t>
      </w:r>
      <w:r w:rsidR="00BE268B" w:rsidRPr="00013ABD">
        <w:rPr>
          <w:rFonts w:ascii="Times New Roman" w:hAnsi="Times New Roman" w:cs="Times New Roman"/>
          <w:color w:val="000000"/>
          <w:sz w:val="20"/>
          <w:szCs w:val="20"/>
        </w:rPr>
        <w:t>cancer</w:t>
      </w:r>
      <w:r w:rsidR="00A04AED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cells were pre-treated with </w:t>
      </w:r>
      <w:r w:rsidR="00990C2C" w:rsidRPr="00013ABD">
        <w:rPr>
          <w:rFonts w:ascii="Times New Roman" w:hAnsi="Times New Roman" w:cs="Times New Roman"/>
          <w:color w:val="000000"/>
          <w:sz w:val="20"/>
          <w:szCs w:val="20"/>
        </w:rPr>
        <w:t>DOX</w:t>
      </w:r>
      <w:r w:rsidR="00A04AED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or 5-FU</w:t>
      </w:r>
      <w:r w:rsidR="0085267E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E7C1D" w:rsidRPr="00013ABD">
        <w:rPr>
          <w:rFonts w:ascii="Times New Roman" w:hAnsi="Times New Roman" w:cs="Times New Roman"/>
          <w:color w:val="000000"/>
          <w:sz w:val="20"/>
          <w:szCs w:val="20"/>
        </w:rPr>
        <w:t>prior to</w:t>
      </w:r>
      <w:r w:rsidR="0085267E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5267E" w:rsidRPr="00013ABD">
        <w:rPr>
          <w:rFonts w:ascii="Times New Roman" w:hAnsi="Times New Roman" w:cs="Times New Roman"/>
          <w:color w:val="000000"/>
          <w:sz w:val="20"/>
          <w:szCs w:val="20"/>
        </w:rPr>
        <w:t>lapatinib</w:t>
      </w:r>
      <w:proofErr w:type="spellEnd"/>
      <w:r w:rsidR="0085267E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that MN (%) </w:t>
      </w:r>
      <w:r w:rsidR="00A04AED" w:rsidRPr="00013ABD">
        <w:rPr>
          <w:rFonts w:ascii="Times New Roman" w:hAnsi="Times New Roman" w:cs="Times New Roman"/>
          <w:color w:val="000000"/>
          <w:sz w:val="20"/>
          <w:szCs w:val="20"/>
        </w:rPr>
        <w:t>elevated with 8.2 and 7.6 folds respectively.</w:t>
      </w:r>
      <w:r w:rsidR="005517E3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44103" w:rsidRPr="00013ABD">
        <w:rPr>
          <w:rFonts w:ascii="Times New Roman" w:hAnsi="Times New Roman" w:cs="Times New Roman"/>
          <w:color w:val="000000"/>
          <w:sz w:val="20"/>
          <w:szCs w:val="20"/>
        </w:rPr>
        <w:t>Therefore</w:t>
      </w:r>
      <w:r w:rsidR="005517E3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044103" w:rsidRPr="00013ABD">
        <w:rPr>
          <w:rFonts w:ascii="Times New Roman" w:hAnsi="Times New Roman" w:cs="Times New Roman"/>
          <w:color w:val="000000"/>
          <w:sz w:val="20"/>
          <w:szCs w:val="20"/>
        </w:rPr>
        <w:t>we could assume that treating</w:t>
      </w:r>
      <w:r w:rsidR="005517E3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TNBC</w:t>
      </w:r>
      <w:r w:rsidR="00044103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cell lines</w:t>
      </w:r>
      <w:r w:rsidR="005517E3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with </w:t>
      </w:r>
      <w:r w:rsidR="0035769E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the suitable chemotherapeutic </w:t>
      </w:r>
      <w:r w:rsidR="005517E3" w:rsidRPr="00013ABD">
        <w:rPr>
          <w:rFonts w:ascii="Times New Roman" w:hAnsi="Times New Roman" w:cs="Times New Roman"/>
          <w:color w:val="000000"/>
          <w:sz w:val="20"/>
          <w:szCs w:val="20"/>
        </w:rPr>
        <w:t>regimen</w:t>
      </w:r>
      <w:r w:rsidR="0035769E" w:rsidRPr="00013AB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5517E3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could activate cel</w:t>
      </w:r>
      <w:r w:rsidR="003B6C9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l suicide and trigger apoptosis. </w:t>
      </w:r>
      <w:r w:rsidR="004F3609" w:rsidRPr="00013ABD">
        <w:rPr>
          <w:rFonts w:ascii="Times New Roman" w:hAnsi="Times New Roman" w:cs="Times New Roman"/>
          <w:color w:val="000000"/>
          <w:sz w:val="20"/>
          <w:szCs w:val="20"/>
        </w:rPr>
        <w:t>Recent</w:t>
      </w:r>
      <w:r w:rsidR="00F96E5E" w:rsidRPr="00013ABD">
        <w:rPr>
          <w:rFonts w:ascii="Times New Roman" w:hAnsi="Times New Roman" w:cs="Times New Roman"/>
          <w:color w:val="000000"/>
          <w:sz w:val="20"/>
          <w:szCs w:val="20"/>
        </w:rPr>
        <w:t>ly</w:t>
      </w:r>
      <w:r w:rsidR="004F3609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3B6C97" w:rsidRPr="00013ABD">
        <w:rPr>
          <w:rFonts w:ascii="Times New Roman" w:hAnsi="Times New Roman" w:cs="Times New Roman"/>
          <w:color w:val="000000"/>
          <w:sz w:val="20"/>
          <w:szCs w:val="20"/>
        </w:rPr>
        <w:t>many</w:t>
      </w:r>
      <w:r w:rsidR="0035769E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63725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research </w:t>
      </w:r>
      <w:r w:rsidR="0035769E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studies </w:t>
      </w:r>
      <w:r w:rsidR="004F3609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were </w:t>
      </w:r>
      <w:r w:rsidR="00263725" w:rsidRPr="00013ABD">
        <w:rPr>
          <w:rFonts w:ascii="Times New Roman" w:hAnsi="Times New Roman" w:cs="Times New Roman"/>
          <w:color w:val="000000"/>
          <w:sz w:val="20"/>
          <w:szCs w:val="20"/>
        </w:rPr>
        <w:t>done on MDA-MB-231</w:t>
      </w:r>
      <w:r w:rsidR="004F3609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cells as a TNBC subtype </w:t>
      </w:r>
      <w:r w:rsidR="004F3609" w:rsidRPr="00013A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in vitro</w:t>
      </w:r>
      <w:r w:rsidR="004F3609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at low concentrations to assess</w:t>
      </w:r>
      <w:r w:rsidR="0035769E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the potential of combined chemotherapeutic</w:t>
      </w:r>
      <w:r w:rsidR="00FD031E" w:rsidRPr="00013AB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35769E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B6C97" w:rsidRPr="00013AB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35769E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F3609" w:rsidRPr="00013ABD">
        <w:rPr>
          <w:rFonts w:ascii="Times New Roman" w:hAnsi="Times New Roman" w:cs="Times New Roman"/>
          <w:color w:val="000000"/>
          <w:sz w:val="20"/>
          <w:szCs w:val="20"/>
        </w:rPr>
        <w:t>reduce proliferation,</w:t>
      </w:r>
      <w:r w:rsidR="003B6C9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5769E" w:rsidRPr="00013ABD">
        <w:rPr>
          <w:rFonts w:ascii="Times New Roman" w:hAnsi="Times New Roman" w:cs="Times New Roman"/>
          <w:color w:val="000000"/>
          <w:sz w:val="20"/>
          <w:szCs w:val="20"/>
        </w:rPr>
        <w:t>inhibit resistance</w:t>
      </w:r>
      <w:r w:rsidR="004F3609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35769E" w:rsidRPr="00013ABD">
        <w:rPr>
          <w:rFonts w:ascii="Times New Roman" w:hAnsi="Times New Roman" w:cs="Times New Roman"/>
          <w:color w:val="000000"/>
          <w:sz w:val="20"/>
          <w:szCs w:val="20"/>
        </w:rPr>
        <w:t>invasion</w:t>
      </w:r>
      <w:r w:rsidR="004F3609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B6C97" w:rsidRPr="00013ABD">
        <w:rPr>
          <w:rFonts w:ascii="Times New Roman" w:hAnsi="Times New Roman" w:cs="Times New Roman"/>
          <w:color w:val="000000"/>
          <w:sz w:val="20"/>
          <w:szCs w:val="20"/>
        </w:rPr>
        <w:t>and migration</w:t>
      </w:r>
      <w:r w:rsidR="00B83706" w:rsidRPr="00013AB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3B6C9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83706" w:rsidRPr="00013ABD">
        <w:rPr>
          <w:rFonts w:ascii="Times New Roman" w:hAnsi="Times New Roman" w:cs="Times New Roman"/>
          <w:color w:val="000000"/>
          <w:sz w:val="20"/>
          <w:szCs w:val="20"/>
        </w:rPr>
        <w:t>The combinational</w:t>
      </w:r>
      <w:r w:rsidR="00B44F7F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treatments </w:t>
      </w:r>
      <w:r w:rsidR="003B6C97" w:rsidRPr="00013AB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44F7F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B44F7F" w:rsidRPr="00013ABD">
        <w:rPr>
          <w:rFonts w:ascii="Times New Roman" w:hAnsi="Times New Roman" w:cs="Times New Roman"/>
          <w:color w:val="000000"/>
          <w:sz w:val="20"/>
          <w:szCs w:val="20"/>
        </w:rPr>
        <w:t>furanodiene</w:t>
      </w:r>
      <w:proofErr w:type="spellEnd"/>
      <w:r w:rsidR="00B44F7F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and DOX chemotherapies</w:t>
      </w:r>
      <w:r w:rsidR="003B6C9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83706" w:rsidRPr="00013ABD">
        <w:rPr>
          <w:rFonts w:ascii="Times New Roman" w:hAnsi="Times New Roman" w:cs="Times New Roman"/>
          <w:color w:val="000000"/>
          <w:sz w:val="20"/>
          <w:szCs w:val="20"/>
        </w:rPr>
        <w:t>reduced invasion</w:t>
      </w:r>
      <w:r w:rsidR="00523359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83706" w:rsidRPr="00013AB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950FFB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83706" w:rsidRPr="00013ABD">
        <w:rPr>
          <w:rFonts w:ascii="Times New Roman" w:hAnsi="Times New Roman" w:cs="Times New Roman"/>
          <w:color w:val="000000"/>
          <w:sz w:val="20"/>
          <w:szCs w:val="20"/>
        </w:rPr>
        <w:t>migration</w:t>
      </w:r>
      <w:r w:rsidR="00950FFB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50FFB" w:rsidRPr="00013A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in vitro</w:t>
      </w:r>
      <w:r w:rsidR="00950FFB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[38].</w:t>
      </w:r>
      <w:r w:rsidR="00B83706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D0B4A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Also, combined treatments of </w:t>
      </w:r>
      <w:proofErr w:type="spellStart"/>
      <w:r w:rsidR="000D0B4A" w:rsidRPr="00013ABD">
        <w:rPr>
          <w:rFonts w:ascii="Times New Roman" w:hAnsi="Times New Roman" w:cs="Times New Roman"/>
          <w:color w:val="000000"/>
          <w:sz w:val="20"/>
          <w:szCs w:val="20"/>
        </w:rPr>
        <w:t>proanthocyanidins</w:t>
      </w:r>
      <w:proofErr w:type="spellEnd"/>
      <w:r w:rsidR="000D0B4A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, isolated from </w:t>
      </w:r>
      <w:proofErr w:type="spellStart"/>
      <w:r w:rsidR="000D0B4A" w:rsidRPr="00013A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Uncaria</w:t>
      </w:r>
      <w:proofErr w:type="spellEnd"/>
      <w:r w:rsidR="000D0B4A" w:rsidRPr="00013AB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0D0B4A" w:rsidRPr="00013ABD">
        <w:rPr>
          <w:rFonts w:ascii="Times New Roman" w:hAnsi="Times New Roman" w:cs="Times New Roman"/>
          <w:i/>
          <w:iCs/>
          <w:color w:val="000000"/>
          <w:sz w:val="20"/>
          <w:szCs w:val="20"/>
        </w:rPr>
        <w:t>rhynchophylla</w:t>
      </w:r>
      <w:proofErr w:type="spellEnd"/>
      <w:r w:rsidR="000D0B4A" w:rsidRPr="00013AB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12095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D0B4A" w:rsidRPr="00013ABD">
        <w:rPr>
          <w:rFonts w:ascii="Times New Roman" w:hAnsi="Times New Roman" w:cs="Times New Roman"/>
          <w:color w:val="000000"/>
          <w:sz w:val="20"/>
          <w:szCs w:val="20"/>
        </w:rPr>
        <w:t>together with</w:t>
      </w:r>
      <w:r w:rsidR="00B12095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D0B4A" w:rsidRPr="00013ABD">
        <w:rPr>
          <w:rFonts w:ascii="Times New Roman" w:hAnsi="Times New Roman" w:cs="Times New Roman"/>
          <w:color w:val="000000"/>
          <w:sz w:val="20"/>
          <w:szCs w:val="20"/>
        </w:rPr>
        <w:t>5-FU</w:t>
      </w:r>
      <w:r w:rsidR="00B12095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D0B4A" w:rsidRPr="00013ABD">
        <w:rPr>
          <w:rFonts w:ascii="Times New Roman" w:hAnsi="Times New Roman" w:cs="Times New Roman"/>
          <w:color w:val="000000"/>
          <w:sz w:val="20"/>
          <w:szCs w:val="20"/>
        </w:rPr>
        <w:t>activated</w:t>
      </w:r>
      <w:r w:rsidR="00B12095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B12095" w:rsidRPr="00013ABD">
        <w:rPr>
          <w:rFonts w:ascii="Times New Roman" w:hAnsi="Times New Roman" w:cs="Times New Roman"/>
          <w:color w:val="000000"/>
          <w:sz w:val="20"/>
          <w:szCs w:val="20"/>
        </w:rPr>
        <w:t>cytotoxicity</w:t>
      </w:r>
      <w:proofErr w:type="spellEnd"/>
      <w:r w:rsidR="00B12095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by releasing ROS and accelerating MDA-MB-231 apoptotic cell death [39]. The synergistic interaction between </w:t>
      </w:r>
      <w:proofErr w:type="spellStart"/>
      <w:r w:rsidR="00B12095" w:rsidRPr="00013ABD">
        <w:rPr>
          <w:rFonts w:ascii="Times New Roman" w:hAnsi="Times New Roman" w:cs="Times New Roman"/>
          <w:color w:val="000000"/>
          <w:sz w:val="20"/>
          <w:szCs w:val="20"/>
        </w:rPr>
        <w:t>sulforaphane</w:t>
      </w:r>
      <w:proofErr w:type="spellEnd"/>
      <w:r w:rsidR="00B12095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and 5-FU augmented MDA-MB-231 </w:t>
      </w:r>
      <w:proofErr w:type="spellStart"/>
      <w:r w:rsidR="00B12095" w:rsidRPr="00013ABD">
        <w:rPr>
          <w:rFonts w:ascii="Times New Roman" w:hAnsi="Times New Roman" w:cs="Times New Roman"/>
          <w:color w:val="000000"/>
          <w:sz w:val="20"/>
          <w:szCs w:val="20"/>
        </w:rPr>
        <w:t>autophagy</w:t>
      </w:r>
      <w:proofErr w:type="spellEnd"/>
      <w:r w:rsidR="00B12095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cell death after</w:t>
      </w:r>
      <w:r w:rsidR="00013ABD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095" w:rsidRPr="00013ABD">
        <w:rPr>
          <w:rFonts w:ascii="Times New Roman" w:hAnsi="Times New Roman" w:cs="Times New Roman"/>
          <w:color w:val="000000"/>
          <w:sz w:val="20"/>
          <w:szCs w:val="20"/>
        </w:rPr>
        <w:t>inhibiting</w:t>
      </w:r>
      <w:r w:rsidR="00013ABD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2095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cell growth effectively [40]. Besides, </w:t>
      </w:r>
      <w:r w:rsidR="003B23F1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3B23F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efficiency of combined regimens between </w:t>
      </w:r>
      <w:proofErr w:type="spellStart"/>
      <w:r w:rsidR="003B23F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TKIs</w:t>
      </w:r>
      <w:proofErr w:type="spellEnd"/>
      <w:r w:rsidR="003B23F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members was observed when </w:t>
      </w:r>
      <w:proofErr w:type="spellStart"/>
      <w:r w:rsidR="003B23F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lapatinib</w:t>
      </w:r>
      <w:proofErr w:type="spellEnd"/>
      <w:r w:rsidR="003B23F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</w:t>
      </w:r>
      <w:proofErr w:type="spellStart"/>
      <w:r w:rsidR="003B23F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foretinib</w:t>
      </w:r>
      <w:proofErr w:type="spellEnd"/>
      <w:r w:rsidR="003B23F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affected EGFR and </w:t>
      </w:r>
      <w:proofErr w:type="spellStart"/>
      <w:r w:rsidR="003B23F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hepatocyte</w:t>
      </w:r>
      <w:proofErr w:type="spellEnd"/>
      <w:r w:rsidR="003B23F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growth factor receptors (MET), respectively by reducing cell growth at G2/M phase, declining </w:t>
      </w:r>
      <w:proofErr w:type="spellStart"/>
      <w:r w:rsidR="003B23F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pAKT</w:t>
      </w:r>
      <w:proofErr w:type="spellEnd"/>
      <w:r w:rsidR="003B23F1"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inhibiting migration of TNBC cell lines [41]. </w:t>
      </w:r>
    </w:p>
    <w:p w:rsidR="003B23F1" w:rsidRPr="00013ABD" w:rsidRDefault="003B23F1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zh-CN"/>
        </w:rPr>
      </w:pP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4519"/>
      </w:tblGrid>
      <w:tr w:rsidR="005056F9" w:rsidRPr="00013ABD" w:rsidTr="00013A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6F9" w:rsidRPr="00013ABD" w:rsidRDefault="005056F9" w:rsidP="000C742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AB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2743200" cy="1187948"/>
                  <wp:effectExtent l="0" t="0" r="0" b="0"/>
                  <wp:docPr id="1" name="Picture 1" descr="E:\Dell desktop 2016\NRC Projects 2016-2019\11010187_Proj2016_collected data\1st paper lapatinib\Combined therapy\JAS\JAS_R1\Fig. 3_MN_Com.Ther._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ll desktop 2016\NRC Projects 2016-2019\11010187_Proj2016_collected data\1st paper lapatinib\Combined therapy\JAS\JAS_R1\Fig. 3_MN_Com.Ther._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187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6F9" w:rsidRPr="00013ABD" w:rsidTr="00013ABD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6F9" w:rsidRPr="00013ABD" w:rsidRDefault="005056F9" w:rsidP="000C7426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bidi="ar-EG"/>
              </w:rPr>
              <w:t xml:space="preserve">Figure 3: Photomicrographs for </w:t>
            </w:r>
            <w:proofErr w:type="spellStart"/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bidi="ar-EG"/>
              </w:rPr>
              <w:t>binucleated</w:t>
            </w:r>
            <w:proofErr w:type="spellEnd"/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bidi="ar-EG"/>
              </w:rPr>
              <w:t xml:space="preserve"> MDA-MB-231 cells after treating them with </w:t>
            </w:r>
            <w:proofErr w:type="spellStart"/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bidi="ar-EG"/>
              </w:rPr>
              <w:t>lapatinib</w:t>
            </w:r>
            <w:proofErr w:type="spellEnd"/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bidi="ar-EG"/>
              </w:rPr>
              <w:t xml:space="preserve">, doxorubicin and/or 5-fluorouracil and recording (a) normal </w:t>
            </w:r>
            <w:proofErr w:type="spellStart"/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bidi="ar-EG"/>
              </w:rPr>
              <w:t>binucleated</w:t>
            </w:r>
            <w:proofErr w:type="spellEnd"/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bidi="ar-EG"/>
              </w:rPr>
              <w:t xml:space="preserve"> cells, and (b) </w:t>
            </w:r>
            <w:proofErr w:type="spellStart"/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bidi="ar-EG"/>
              </w:rPr>
              <w:t>binucleated</w:t>
            </w:r>
            <w:proofErr w:type="spellEnd"/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bidi="ar-EG"/>
              </w:rPr>
              <w:t xml:space="preserve"> cells with micronuclei.</w:t>
            </w:r>
            <w:r w:rsidRPr="00013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 xml:space="preserve"> </w:t>
            </w:r>
          </w:p>
          <w:p w:rsidR="00BD770D" w:rsidRPr="00013ABD" w:rsidRDefault="00BD770D" w:rsidP="000C7426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</w:p>
        </w:tc>
      </w:tr>
    </w:tbl>
    <w:p w:rsidR="001970C2" w:rsidRPr="00013ABD" w:rsidRDefault="001970C2" w:rsidP="000C7426">
      <w:pPr>
        <w:pStyle w:val="ListParagraph"/>
        <w:numPr>
          <w:ilvl w:val="0"/>
          <w:numId w:val="22"/>
        </w:numPr>
        <w:bidi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013ABD">
        <w:rPr>
          <w:rFonts w:ascii="Times New Roman" w:hAnsi="Times New Roman" w:cs="Times New Roman"/>
          <w:b/>
          <w:bCs/>
          <w:sz w:val="20"/>
          <w:szCs w:val="20"/>
          <w:lang w:bidi="ar-EG"/>
        </w:rPr>
        <w:t>Conclusion</w:t>
      </w:r>
    </w:p>
    <w:p w:rsidR="00F95C43" w:rsidRPr="00013ABD" w:rsidRDefault="00F13C67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3ABD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EF4AF4" w:rsidRPr="00013ABD">
        <w:rPr>
          <w:rFonts w:ascii="Times New Roman" w:hAnsi="Times New Roman" w:cs="Times New Roman"/>
          <w:color w:val="000000"/>
          <w:sz w:val="20"/>
          <w:szCs w:val="20"/>
        </w:rPr>
        <w:t>he combination</w:t>
      </w:r>
      <w:r w:rsidR="00D64F0C" w:rsidRPr="00013ABD">
        <w:rPr>
          <w:rFonts w:ascii="Times New Roman" w:hAnsi="Times New Roman" w:cs="Times New Roman"/>
          <w:color w:val="000000"/>
          <w:sz w:val="20"/>
          <w:szCs w:val="20"/>
        </w:rPr>
        <w:t>al</w:t>
      </w:r>
      <w:r w:rsidR="00EF4AF4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regimen</w:t>
      </w:r>
      <w:r w:rsidR="00D64F0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s between DOX or 5-FU chemotherapeutics </w:t>
      </w:r>
      <w:r w:rsidR="000200E2" w:rsidRPr="00013ABD">
        <w:rPr>
          <w:rFonts w:ascii="Times New Roman" w:hAnsi="Times New Roman" w:cs="Times New Roman"/>
          <w:color w:val="000000"/>
          <w:sz w:val="20"/>
          <w:szCs w:val="20"/>
        </w:rPr>
        <w:t>followed by</w:t>
      </w:r>
      <w:r w:rsidR="00D64F0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64F0C" w:rsidRPr="00013ABD">
        <w:rPr>
          <w:rFonts w:ascii="Times New Roman" w:hAnsi="Times New Roman" w:cs="Times New Roman"/>
          <w:color w:val="000000"/>
          <w:sz w:val="20"/>
          <w:szCs w:val="20"/>
        </w:rPr>
        <w:t>TKIs</w:t>
      </w:r>
      <w:proofErr w:type="spellEnd"/>
      <w:r w:rsidR="00CD510A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8629D2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particularly </w:t>
      </w:r>
      <w:proofErr w:type="spellStart"/>
      <w:r w:rsidR="00D64F0C" w:rsidRPr="00013ABD">
        <w:rPr>
          <w:rFonts w:ascii="Times New Roman" w:hAnsi="Times New Roman" w:cs="Times New Roman"/>
          <w:color w:val="000000"/>
          <w:sz w:val="20"/>
          <w:szCs w:val="20"/>
        </w:rPr>
        <w:t>lapatinib</w:t>
      </w:r>
      <w:proofErr w:type="spellEnd"/>
      <w:r w:rsidR="00CD510A" w:rsidRPr="00013AB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D64F0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augmented </w:t>
      </w:r>
      <w:proofErr w:type="spellStart"/>
      <w:r w:rsidR="00D64F0C" w:rsidRPr="00013ABD">
        <w:rPr>
          <w:rFonts w:ascii="Times New Roman" w:hAnsi="Times New Roman" w:cs="Times New Roman"/>
          <w:color w:val="000000"/>
          <w:sz w:val="20"/>
          <w:szCs w:val="20"/>
        </w:rPr>
        <w:t>cytotoxicity</w:t>
      </w:r>
      <w:proofErr w:type="spellEnd"/>
      <w:r w:rsidR="008629D2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r w:rsidR="00EF4AF4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MDA-MB-231 </w:t>
      </w:r>
      <w:r w:rsidR="00EF4AF4" w:rsidRPr="00013ABD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cells </w:t>
      </w:r>
      <w:r w:rsidR="00D64F0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and accelerated apoptotic cell death and DNA damage </w:t>
      </w:r>
      <w:r w:rsidR="00932963" w:rsidRPr="00013ABD">
        <w:rPr>
          <w:rFonts w:ascii="Times New Roman" w:hAnsi="Times New Roman" w:cs="Times New Roman"/>
          <w:color w:val="000000"/>
          <w:sz w:val="20"/>
          <w:szCs w:val="20"/>
        </w:rPr>
        <w:t>at low concentrations</w:t>
      </w:r>
      <w:r w:rsidR="00085CE5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efficiently</w:t>
      </w:r>
      <w:r w:rsidR="00932963" w:rsidRPr="00013AB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D64F0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F4AF4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Further investigations are required to reach to the </w:t>
      </w:r>
      <w:r w:rsidR="00DB7474" w:rsidRPr="00013ABD">
        <w:rPr>
          <w:rFonts w:ascii="Times New Roman" w:hAnsi="Times New Roman" w:cs="Times New Roman"/>
          <w:color w:val="000000"/>
          <w:sz w:val="20"/>
          <w:szCs w:val="20"/>
        </w:rPr>
        <w:t>optimum</w:t>
      </w:r>
      <w:r w:rsidR="00EF4AF4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synergistic schedules between tyrosine </w:t>
      </w:r>
      <w:proofErr w:type="spellStart"/>
      <w:r w:rsidR="00EF4AF4" w:rsidRPr="00013ABD">
        <w:rPr>
          <w:rFonts w:ascii="Times New Roman" w:hAnsi="Times New Roman" w:cs="Times New Roman"/>
          <w:color w:val="000000"/>
          <w:sz w:val="20"/>
          <w:szCs w:val="20"/>
        </w:rPr>
        <w:t>kinase</w:t>
      </w:r>
      <w:proofErr w:type="spellEnd"/>
      <w:r w:rsidR="00EF4AF4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inhibitors and chemotherap</w:t>
      </w:r>
      <w:r w:rsidR="00287852" w:rsidRPr="00013ABD">
        <w:rPr>
          <w:rFonts w:ascii="Times New Roman" w:hAnsi="Times New Roman" w:cs="Times New Roman"/>
          <w:color w:val="000000"/>
          <w:sz w:val="20"/>
          <w:szCs w:val="20"/>
        </w:rPr>
        <w:t>eutic</w:t>
      </w:r>
      <w:r w:rsidR="00EF4AF4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30D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that </w:t>
      </w:r>
      <w:r w:rsidR="00EF4AF4" w:rsidRPr="00013ABD">
        <w:rPr>
          <w:rFonts w:ascii="Times New Roman" w:hAnsi="Times New Roman" w:cs="Times New Roman"/>
          <w:color w:val="000000"/>
          <w:sz w:val="20"/>
          <w:szCs w:val="20"/>
        </w:rPr>
        <w:t>could trigg</w:t>
      </w:r>
      <w:r w:rsidR="00427C8B" w:rsidRPr="00013ABD">
        <w:rPr>
          <w:rFonts w:ascii="Times New Roman" w:hAnsi="Times New Roman" w:cs="Times New Roman"/>
          <w:color w:val="000000"/>
          <w:sz w:val="20"/>
          <w:szCs w:val="20"/>
        </w:rPr>
        <w:t>er triple-</w:t>
      </w:r>
      <w:r w:rsidR="00B34D9C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negative </w:t>
      </w:r>
      <w:r w:rsidR="00897FAF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breast cancer </w:t>
      </w:r>
      <w:r w:rsidR="00B34D9C" w:rsidRPr="00013ABD">
        <w:rPr>
          <w:rFonts w:ascii="Times New Roman" w:hAnsi="Times New Roman" w:cs="Times New Roman"/>
          <w:color w:val="000000"/>
          <w:sz w:val="20"/>
          <w:szCs w:val="20"/>
        </w:rPr>
        <w:t>cell death.</w:t>
      </w:r>
      <w:r w:rsidR="00861B17" w:rsidRPr="00013A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D2C6F" w:rsidRPr="00013ABD" w:rsidRDefault="007D2C6F" w:rsidP="000C742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A22A4" w:rsidRPr="00013ABD" w:rsidRDefault="000A22A4" w:rsidP="000C7426">
      <w:pPr>
        <w:snapToGrid w:val="0"/>
        <w:spacing w:after="0" w:line="240" w:lineRule="auto"/>
        <w:jc w:val="both"/>
        <w:rPr>
          <w:rStyle w:val="Hyperlink"/>
          <w:rFonts w:ascii="Times New Roman" w:hAnsi="Times New Roman" w:cs="Times New Roman"/>
          <w:b/>
          <w:bCs/>
          <w:color w:val="000000" w:themeColor="text1"/>
          <w:sz w:val="20"/>
          <w:szCs w:val="20"/>
          <w:u w:val="none"/>
        </w:rPr>
      </w:pPr>
      <w:r w:rsidRPr="00013ABD">
        <w:rPr>
          <w:rStyle w:val="Hyperlink"/>
          <w:rFonts w:ascii="Times New Roman" w:hAnsi="Times New Roman" w:cs="Times New Roman"/>
          <w:b/>
          <w:bCs/>
          <w:color w:val="000000" w:themeColor="text1"/>
          <w:sz w:val="20"/>
          <w:szCs w:val="20"/>
          <w:u w:val="none"/>
        </w:rPr>
        <w:t>Acknowledgements</w:t>
      </w:r>
      <w:r w:rsidR="00BB5988" w:rsidRPr="00013ABD">
        <w:rPr>
          <w:rStyle w:val="Hyperlink"/>
          <w:rFonts w:ascii="Times New Roman" w:hAnsi="Times New Roman" w:cs="Times New Roman"/>
          <w:b/>
          <w:bCs/>
          <w:color w:val="000000" w:themeColor="text1"/>
          <w:sz w:val="20"/>
          <w:szCs w:val="20"/>
          <w:u w:val="none"/>
        </w:rPr>
        <w:t xml:space="preserve"> </w:t>
      </w:r>
    </w:p>
    <w:p w:rsidR="009A4A80" w:rsidRDefault="004373D0" w:rsidP="000C7426">
      <w:pPr>
        <w:snapToGrid w:val="0"/>
        <w:spacing w:after="0" w:line="240" w:lineRule="auto"/>
        <w:ind w:firstLine="425"/>
        <w:jc w:val="both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  <w:lang w:eastAsia="zh-CN"/>
        </w:rPr>
      </w:pPr>
      <w:r w:rsidRPr="00013ABD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The work was funde</w:t>
      </w:r>
      <w:r w:rsidR="00A51012" w:rsidRPr="00013ABD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d through the </w:t>
      </w:r>
      <w:r w:rsidR="00B82F40" w:rsidRPr="00013ABD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project</w:t>
      </w:r>
      <w:r w:rsidRPr="00013ABD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 number 11010187 from the </w:t>
      </w:r>
      <w:r w:rsidR="00A51012" w:rsidRPr="00013ABD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National Research Centre, Cairo, Egypt.</w:t>
      </w:r>
      <w:r w:rsidR="00861B17" w:rsidRPr="00013ABD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 </w:t>
      </w:r>
    </w:p>
    <w:p w:rsidR="003B23F1" w:rsidRPr="00013ABD" w:rsidRDefault="003B23F1" w:rsidP="000C7426">
      <w:pPr>
        <w:snapToGrid w:val="0"/>
        <w:spacing w:after="0" w:line="240" w:lineRule="auto"/>
        <w:ind w:firstLine="425"/>
        <w:jc w:val="both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  <w:lang w:eastAsia="zh-CN"/>
        </w:rPr>
      </w:pPr>
    </w:p>
    <w:p w:rsidR="007D2C6F" w:rsidRPr="00013ABD" w:rsidRDefault="00DF71D8" w:rsidP="003B23F1">
      <w:pPr>
        <w:snapToGrid w:val="0"/>
        <w:spacing w:after="0" w:line="240" w:lineRule="auto"/>
        <w:jc w:val="both"/>
        <w:rPr>
          <w:rStyle w:val="Hyperlink"/>
          <w:rFonts w:ascii="Times New Roman" w:hAnsi="Times New Roman" w:cs="Times New Roman"/>
          <w:b/>
          <w:bCs/>
          <w:color w:val="000000" w:themeColor="text1"/>
          <w:sz w:val="20"/>
          <w:szCs w:val="20"/>
          <w:u w:val="none"/>
        </w:rPr>
      </w:pPr>
      <w:r w:rsidRPr="00013ABD">
        <w:rPr>
          <w:rStyle w:val="Hyperlink"/>
          <w:rFonts w:ascii="Times New Roman" w:hAnsi="Times New Roman" w:cs="Times New Roman"/>
          <w:b/>
          <w:bCs/>
          <w:color w:val="000000" w:themeColor="text1"/>
          <w:sz w:val="20"/>
          <w:szCs w:val="20"/>
          <w:u w:val="none"/>
        </w:rPr>
        <w:t>Corresponding Author</w:t>
      </w:r>
    </w:p>
    <w:p w:rsidR="007D2C6F" w:rsidRPr="00013ABD" w:rsidRDefault="00DF71D8" w:rsidP="003B23F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ABD">
        <w:rPr>
          <w:rFonts w:ascii="Times New Roman" w:hAnsi="Times New Roman" w:cs="Times New Roman"/>
          <w:sz w:val="20"/>
          <w:szCs w:val="20"/>
        </w:rPr>
        <w:t>Dr. Mona A.</w:t>
      </w:r>
      <w:r w:rsidR="00950FFB" w:rsidRPr="00013ABD">
        <w:rPr>
          <w:rFonts w:ascii="Times New Roman" w:hAnsi="Times New Roman" w:cs="Times New Roman"/>
          <w:sz w:val="20"/>
          <w:szCs w:val="20"/>
        </w:rPr>
        <w:t xml:space="preserve"> </w:t>
      </w:r>
      <w:r w:rsidRPr="00013ABD">
        <w:rPr>
          <w:rFonts w:ascii="Times New Roman" w:hAnsi="Times New Roman" w:cs="Times New Roman"/>
          <w:sz w:val="20"/>
          <w:szCs w:val="20"/>
        </w:rPr>
        <w:t xml:space="preserve">M. </w:t>
      </w:r>
      <w:proofErr w:type="spellStart"/>
      <w:r w:rsidRPr="00013ABD">
        <w:rPr>
          <w:rFonts w:ascii="Times New Roman" w:hAnsi="Times New Roman" w:cs="Times New Roman"/>
          <w:sz w:val="20"/>
          <w:szCs w:val="20"/>
        </w:rPr>
        <w:t>Abo-Zeid</w:t>
      </w:r>
      <w:proofErr w:type="spellEnd"/>
      <w:r w:rsidRPr="00013ABD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7D2C6F" w:rsidRPr="00013ABD" w:rsidRDefault="00DF71D8" w:rsidP="003B23F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ABD">
        <w:rPr>
          <w:rFonts w:ascii="Times New Roman" w:hAnsi="Times New Roman" w:cs="Times New Roman"/>
          <w:sz w:val="20"/>
          <w:szCs w:val="20"/>
        </w:rPr>
        <w:t xml:space="preserve">Genetics and Cytology Department, </w:t>
      </w:r>
    </w:p>
    <w:p w:rsidR="007D2C6F" w:rsidRPr="00013ABD" w:rsidRDefault="00DF71D8" w:rsidP="003B23F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ABD">
        <w:rPr>
          <w:rFonts w:ascii="Times New Roman" w:hAnsi="Times New Roman" w:cs="Times New Roman"/>
          <w:sz w:val="20"/>
          <w:szCs w:val="20"/>
        </w:rPr>
        <w:t xml:space="preserve">Genetic Engineering and Biotechnology Research Division, </w:t>
      </w:r>
    </w:p>
    <w:p w:rsidR="007D2C6F" w:rsidRPr="00013ABD" w:rsidRDefault="00DF71D8" w:rsidP="003B23F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ABD">
        <w:rPr>
          <w:rFonts w:ascii="Times New Roman" w:hAnsi="Times New Roman" w:cs="Times New Roman"/>
          <w:sz w:val="20"/>
          <w:szCs w:val="20"/>
        </w:rPr>
        <w:t xml:space="preserve">National Research Centre, </w:t>
      </w:r>
    </w:p>
    <w:p w:rsidR="007D2C6F" w:rsidRPr="00013ABD" w:rsidRDefault="00DF71D8" w:rsidP="003B23F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13ABD">
        <w:rPr>
          <w:rFonts w:ascii="Times New Roman" w:hAnsi="Times New Roman" w:cs="Times New Roman"/>
          <w:sz w:val="20"/>
          <w:szCs w:val="20"/>
        </w:rPr>
        <w:t>Dokki</w:t>
      </w:r>
      <w:proofErr w:type="spellEnd"/>
      <w:r w:rsidRPr="00013ABD">
        <w:rPr>
          <w:rFonts w:ascii="Times New Roman" w:hAnsi="Times New Roman" w:cs="Times New Roman"/>
          <w:sz w:val="20"/>
          <w:szCs w:val="20"/>
        </w:rPr>
        <w:t xml:space="preserve"> 12622, Cairo, Egypt. </w:t>
      </w:r>
    </w:p>
    <w:p w:rsidR="00B837E2" w:rsidRPr="00013ABD" w:rsidRDefault="00B837E2" w:rsidP="003B23F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13ABD">
        <w:rPr>
          <w:rFonts w:ascii="Times New Roman" w:hAnsi="Times New Roman" w:cs="Times New Roman"/>
          <w:sz w:val="20"/>
          <w:szCs w:val="20"/>
        </w:rPr>
        <w:t>E.mail</w:t>
      </w:r>
      <w:proofErr w:type="spellEnd"/>
      <w:r w:rsidRPr="00013ABD">
        <w:rPr>
          <w:rFonts w:ascii="Times New Roman" w:hAnsi="Times New Roman" w:cs="Times New Roman"/>
          <w:sz w:val="20"/>
          <w:szCs w:val="20"/>
        </w:rPr>
        <w:t xml:space="preserve">: </w:t>
      </w:r>
      <w:hyperlink r:id="rId16" w:history="1">
        <w:r w:rsidRPr="00013ABD">
          <w:rPr>
            <w:rStyle w:val="Hyperlink"/>
            <w:rFonts w:ascii="Times New Roman" w:hAnsi="Times New Roman" w:cs="Times New Roman"/>
            <w:sz w:val="20"/>
            <w:szCs w:val="20"/>
          </w:rPr>
          <w:t>monaabozeid@yahoo.com</w:t>
        </w:r>
      </w:hyperlink>
    </w:p>
    <w:p w:rsidR="007D2C6F" w:rsidRPr="00013ABD" w:rsidRDefault="007D2C6F" w:rsidP="000C7426">
      <w:pPr>
        <w:snapToGrid w:val="0"/>
        <w:spacing w:after="0" w:line="240" w:lineRule="auto"/>
        <w:ind w:firstLine="425"/>
        <w:jc w:val="both"/>
        <w:rPr>
          <w:rStyle w:val="Hyperlink"/>
          <w:rFonts w:ascii="Times New Roman" w:hAnsi="Times New Roman" w:cs="Times New Roman"/>
          <w:color w:val="000000" w:themeColor="text1"/>
          <w:sz w:val="20"/>
          <w:szCs w:val="18"/>
          <w:u w:val="none"/>
        </w:rPr>
      </w:pPr>
    </w:p>
    <w:p w:rsidR="008C6C97" w:rsidRPr="00013ABD" w:rsidRDefault="000A22A4" w:rsidP="000C7426">
      <w:pPr>
        <w:snapToGrid w:val="0"/>
        <w:spacing w:after="0" w:line="240" w:lineRule="auto"/>
        <w:jc w:val="both"/>
        <w:rPr>
          <w:rStyle w:val="Hyperlink"/>
          <w:rFonts w:ascii="Times New Roman" w:hAnsi="Times New Roman" w:cs="Times New Roman"/>
          <w:b/>
          <w:bCs/>
          <w:color w:val="000000" w:themeColor="text1"/>
          <w:sz w:val="20"/>
          <w:szCs w:val="20"/>
          <w:u w:val="none"/>
        </w:rPr>
      </w:pPr>
      <w:r w:rsidRPr="00013ABD">
        <w:rPr>
          <w:rStyle w:val="Hyperlink"/>
          <w:rFonts w:ascii="Times New Roman" w:hAnsi="Times New Roman" w:cs="Times New Roman"/>
          <w:b/>
          <w:bCs/>
          <w:color w:val="000000" w:themeColor="text1"/>
          <w:sz w:val="20"/>
          <w:szCs w:val="20"/>
          <w:u w:val="none"/>
        </w:rPr>
        <w:t>References</w:t>
      </w:r>
      <w:r w:rsidR="00BB5988" w:rsidRPr="00013ABD">
        <w:rPr>
          <w:rStyle w:val="Hyperlink"/>
          <w:rFonts w:ascii="Times New Roman" w:hAnsi="Times New Roman" w:cs="Times New Roman"/>
          <w:b/>
          <w:bCs/>
          <w:color w:val="000000" w:themeColor="text1"/>
          <w:sz w:val="20"/>
          <w:szCs w:val="20"/>
          <w:u w:val="none"/>
        </w:rPr>
        <w:t xml:space="preserve"> </w:t>
      </w:r>
    </w:p>
    <w:p w:rsidR="00A06C94" w:rsidRPr="003B23F1" w:rsidRDefault="00A06C94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</w:pPr>
      <w:proofErr w:type="spellStart"/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Foulkes</w:t>
      </w:r>
      <w:proofErr w:type="spellEnd"/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WD,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Smith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1E1C27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IE,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Reis-</w:t>
      </w:r>
      <w:proofErr w:type="spellStart"/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Filho</w:t>
      </w:r>
      <w:proofErr w:type="spellEnd"/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1E1C27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JS.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Triple-negative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breast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cancer.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N</w:t>
      </w:r>
      <w:r w:rsidR="00013ABD"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Engl</w:t>
      </w:r>
      <w:proofErr w:type="spellEnd"/>
      <w:r w:rsidR="00013ABD"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J</w:t>
      </w:r>
      <w:r w:rsidR="00013ABD"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Med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E35C09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2010;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363:1938-1948.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</w:p>
    <w:p w:rsidR="00A06C94" w:rsidRPr="003B23F1" w:rsidRDefault="00A06C94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Prat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="00505BD3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Perou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5BD3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CM.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Deconstructing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the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molecular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portraits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of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breast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cancer.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Mol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Oncol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35C09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2011;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5:5-23.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A06C94" w:rsidRPr="003B23F1" w:rsidRDefault="00A06C94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</w:pP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Dent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R,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Trudeau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1E1C27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M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Pritchard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1E1C27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KI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Hanna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1E1C27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WM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Kahn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1E1C27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HK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Sawka</w:t>
      </w:r>
      <w:proofErr w:type="spellEnd"/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1E1C27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CA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et</w:t>
      </w:r>
      <w:r w:rsidR="00013ABD"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al.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Triple-negative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breast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cancer: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clinical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features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and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patterns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of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recurrence.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Clin</w:t>
      </w:r>
      <w:proofErr w:type="spellEnd"/>
      <w:r w:rsidR="00013ABD"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Cancer</w:t>
      </w:r>
      <w:r w:rsidR="00013ABD"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Res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E35C09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2007;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13:4429-4434.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</w:p>
    <w:p w:rsidR="00A06C94" w:rsidRPr="003B23F1" w:rsidRDefault="00A06C94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</w:pPr>
      <w:proofErr w:type="spellStart"/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Isakoff</w:t>
      </w:r>
      <w:proofErr w:type="spellEnd"/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S</w:t>
      </w:r>
      <w:r w:rsidR="001E1C27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J.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Triple-negative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breast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cancer: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role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of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specific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chemotherapy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agents.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Cancer</w:t>
      </w:r>
      <w:r w:rsidR="00013ABD"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J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E35C09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2010;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16:53-61.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</w:p>
    <w:p w:rsidR="00A06C94" w:rsidRPr="003B23F1" w:rsidRDefault="00A06C94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</w:pP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Marquette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C</w:t>
      </w:r>
      <w:r w:rsidR="001E1C27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Nabell</w:t>
      </w:r>
      <w:proofErr w:type="spellEnd"/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1E1C27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L.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Chemotherapy-resistant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metastatic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breast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cancer.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Curr</w:t>
      </w:r>
      <w:proofErr w:type="spellEnd"/>
      <w:r w:rsidR="00013ABD"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Treat</w:t>
      </w:r>
      <w:r w:rsidR="00013ABD"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Options</w:t>
      </w:r>
      <w:r w:rsidR="00013ABD"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Oncol</w:t>
      </w:r>
      <w:proofErr w:type="spellEnd"/>
      <w:r w:rsidR="00013ABD"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 xml:space="preserve"> </w:t>
      </w:r>
      <w:r w:rsidR="00E35C09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2012;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13:263-275.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</w:p>
    <w:p w:rsidR="00197E43" w:rsidRPr="003B23F1" w:rsidRDefault="00197E43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Sorlie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Tibshirani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E1C27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DA5598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Parker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E1C27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J</w:t>
      </w:r>
      <w:r w:rsidR="00DA5598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Hastie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E1C27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</w:t>
      </w:r>
      <w:r w:rsidR="00DA5598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Marron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E1C27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JS</w:t>
      </w:r>
      <w:r w:rsidR="00DA5598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Nobel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E1C27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="00DA5598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et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al.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Repeated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observation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of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breast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tumor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subtypes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in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independent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gene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expression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data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sets.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Proc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Natl</w:t>
      </w:r>
      <w:proofErr w:type="spellEnd"/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Acad</w:t>
      </w:r>
      <w:proofErr w:type="spellEnd"/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Sci</w:t>
      </w:r>
      <w:proofErr w:type="spellEnd"/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USA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35C09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2003;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100: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8418-8423.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A06C94" w:rsidRPr="003B23F1" w:rsidRDefault="00A06C94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Lund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MJ,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Trivers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E1C27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KF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Porter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E1C27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PL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Coates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E1C27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RJ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Leyland-Jones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E1C27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B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Brawley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E1C27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OW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et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al.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Race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triple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negative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threats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to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breast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cancer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survival: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population-based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study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in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Atlanta,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GA.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Breast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Cancer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Res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Treat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35C09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2009;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113:357-370.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197E43" w:rsidRPr="003B23F1" w:rsidRDefault="00197E43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Sinha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BK,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Mimnaugh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E1C27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EG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="001E1C27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Rajagopalan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E1C27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S,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E1C27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Myers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E1C27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CE.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Adriamycin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activation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oxygen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free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radical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formation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in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human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breast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tumor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cells: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Protective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role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of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glutathione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peroxidase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in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adriamycin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resistance.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Cancer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Res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35C09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1989;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49:3844-3848.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A06C94" w:rsidRPr="003B23F1" w:rsidRDefault="00A06C94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Minotti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G,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="009E1F3E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Menna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E1C27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P</w:t>
      </w:r>
      <w:r w:rsidR="009E1F3E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="009E1F3E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Salvatorelli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E1C27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E</w:t>
      </w:r>
      <w:r w:rsidR="009E1F3E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D00C58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Cairo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E1C27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G,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E1C27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Gianni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E1C27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L.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Anthracyclines</w:t>
      </w:r>
      <w:proofErr w:type="spellEnd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Molecular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advances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pharmacologic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developments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in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antitumor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activity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cardiotoxicity</w:t>
      </w:r>
      <w:proofErr w:type="spellEnd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Pharmacol</w:t>
      </w:r>
      <w:proofErr w:type="spellEnd"/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Rev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35C09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2004;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56:185-229.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197E43" w:rsidRPr="003B23F1" w:rsidRDefault="00197E43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Zheng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G,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Peng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E1C27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F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Ding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E1C27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Yu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E1C27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Ouyang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E1C27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Chen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E1C27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Z,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et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al.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Identification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of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proteins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responsible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for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lastRenderedPageBreak/>
        <w:t>the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multiple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drug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resistance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in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5-fluorouracilinduced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breast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cancer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cell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using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proteomics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analysis.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J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Cancer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Res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Clin</w:t>
      </w:r>
      <w:proofErr w:type="spellEnd"/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Oncol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35C09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2010;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136:1477-1488.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197E43" w:rsidRPr="003B23F1" w:rsidRDefault="00197E43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</w:pP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Thomas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DM</w:t>
      </w:r>
      <w:r w:rsidR="009B57B2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Zalcberg</w:t>
      </w:r>
      <w:proofErr w:type="spellEnd"/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9B57B2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JR.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9B57B2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5-F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luorouracil: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a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pharmacological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paradigm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in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the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use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of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cytotoxics</w:t>
      </w:r>
      <w:proofErr w:type="spellEnd"/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Clin</w:t>
      </w:r>
      <w:proofErr w:type="spellEnd"/>
      <w:r w:rsidR="00013ABD"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Exp</w:t>
      </w:r>
      <w:r w:rsidR="00013ABD"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Pharmacol</w:t>
      </w:r>
      <w:proofErr w:type="spellEnd"/>
      <w:r w:rsidR="00013ABD"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Physiol</w:t>
      </w:r>
      <w:proofErr w:type="spellEnd"/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E35C09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1998;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25:887-895.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</w:p>
    <w:p w:rsidR="00A06C94" w:rsidRPr="003B23F1" w:rsidRDefault="00A06C94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</w:pPr>
      <w:proofErr w:type="spellStart"/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Noordhuis</w:t>
      </w:r>
      <w:proofErr w:type="spellEnd"/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P,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Holwerda</w:t>
      </w:r>
      <w:proofErr w:type="spellEnd"/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9B57B2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U</w:t>
      </w:r>
      <w:r w:rsidR="003643F0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Van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der</w:t>
      </w:r>
      <w:proofErr w:type="spellEnd"/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Wilt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9B57B2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CL</w:t>
      </w:r>
      <w:r w:rsidR="003643F0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Van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Groeningen</w:t>
      </w:r>
      <w:proofErr w:type="spellEnd"/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9B57B2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CJ</w:t>
      </w:r>
      <w:r w:rsidR="003643F0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Smid</w:t>
      </w:r>
      <w:proofErr w:type="spellEnd"/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9B57B2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K</w:t>
      </w:r>
      <w:r w:rsidR="003643F0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Meijer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9B57B2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S</w:t>
      </w:r>
      <w:r w:rsidR="003643F0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et</w:t>
      </w:r>
      <w:r w:rsidR="00013ABD"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al.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5-Fluorouracil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incorporation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into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RNA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and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DNA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in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relation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to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thymidylate</w:t>
      </w:r>
      <w:proofErr w:type="spellEnd"/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synthase</w:t>
      </w:r>
      <w:proofErr w:type="spellEnd"/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inhibition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of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human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colorectal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cancers.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Ann</w:t>
      </w:r>
      <w:r w:rsidR="00013ABD"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Oncol</w:t>
      </w:r>
      <w:proofErr w:type="spellEnd"/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E35C09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2004;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15:1025-1032.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</w:p>
    <w:p w:rsidR="00A06C94" w:rsidRPr="003B23F1" w:rsidRDefault="00A06C94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</w:pP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Li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MH,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Ito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9B57B2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D</w:t>
      </w:r>
      <w:r w:rsidR="003643F0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Sanada</w:t>
      </w:r>
      <w:proofErr w:type="spellEnd"/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9B57B2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M</w:t>
      </w:r>
      <w:r w:rsidR="003643F0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Odani</w:t>
      </w:r>
      <w:proofErr w:type="spellEnd"/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9B57B2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T</w:t>
      </w:r>
      <w:r w:rsidR="003643F0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Hatori</w:t>
      </w:r>
      <w:proofErr w:type="spellEnd"/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9B57B2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M</w:t>
      </w:r>
      <w:r w:rsidR="003643F0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Iwase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9B57B2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M</w:t>
      </w:r>
      <w:r w:rsidR="003643F0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et</w:t>
      </w:r>
      <w:r w:rsidR="00013ABD"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al.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Effect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of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5-fluorouracil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on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G1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phase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cell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cycle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regulation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in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oral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cancer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cell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lines.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Oral</w:t>
      </w:r>
      <w:r w:rsidR="00013ABD"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Oncol</w:t>
      </w:r>
      <w:proofErr w:type="spellEnd"/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E35C09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2004;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40:63-70.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</w:p>
    <w:p w:rsidR="00A06C94" w:rsidRPr="003B23F1" w:rsidRDefault="00A06C94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</w:pP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Qin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L,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Zhang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142B9A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X</w:t>
      </w:r>
      <w:r w:rsidR="003643F0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Zhang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142B9A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L</w:t>
      </w:r>
      <w:r w:rsidR="003643F0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Feng</w:t>
      </w:r>
      <w:proofErr w:type="spellEnd"/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142B9A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Y</w:t>
      </w:r>
      <w:r w:rsidR="003643F0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Weng</w:t>
      </w:r>
      <w:proofErr w:type="spellEnd"/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142B9A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GX</w:t>
      </w:r>
      <w:r w:rsidR="003643F0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Li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142B9A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MZ</w:t>
      </w:r>
      <w:r w:rsidR="003643F0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et</w:t>
      </w:r>
      <w:r w:rsidR="00013ABD"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al.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Downregulation</w:t>
      </w:r>
      <w:proofErr w:type="spellEnd"/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of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BMI-1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enhances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5-fluorouracilinduced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apoptosis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in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nasopharyngeal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carcinoma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cells.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Biochem</w:t>
      </w:r>
      <w:proofErr w:type="spellEnd"/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Biophys</w:t>
      </w:r>
      <w:proofErr w:type="spellEnd"/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Res</w:t>
      </w:r>
      <w:r w:rsidR="00013ABD"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Commun</w:t>
      </w:r>
      <w:proofErr w:type="spellEnd"/>
      <w:r w:rsidR="00013ABD"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 xml:space="preserve"> </w:t>
      </w:r>
      <w:r w:rsidR="00E35C09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2008;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371:531-535.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</w:p>
    <w:p w:rsidR="00A06C94" w:rsidRPr="003B23F1" w:rsidRDefault="00A06C94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</w:pP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Hwang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PM,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Bunz</w:t>
      </w:r>
      <w:proofErr w:type="spellEnd"/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142B9A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F</w:t>
      </w:r>
      <w:r w:rsidR="003643F0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Yu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142B9A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J</w:t>
      </w:r>
      <w:r w:rsidR="003643F0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Rago</w:t>
      </w:r>
      <w:proofErr w:type="spellEnd"/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142B9A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C</w:t>
      </w:r>
      <w:r w:rsidR="003643F0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Chan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142B9A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TA</w:t>
      </w:r>
      <w:r w:rsidR="003643F0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Murphy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142B9A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MP</w:t>
      </w:r>
      <w:r w:rsidR="003643F0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et</w:t>
      </w:r>
      <w:r w:rsidR="00013ABD"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al.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Ferredoxin</w:t>
      </w:r>
      <w:proofErr w:type="spellEnd"/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reductase</w:t>
      </w:r>
      <w:proofErr w:type="spellEnd"/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affects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p53-dependent,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5-fluorouracil-induced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apoptosis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in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colorectal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cancer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cells.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Nat.</w:t>
      </w:r>
      <w:r w:rsidR="00013ABD"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Med.</w:t>
      </w:r>
      <w:r w:rsidR="00013ABD"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 xml:space="preserve"> </w:t>
      </w:r>
      <w:r w:rsidR="00E35C09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2001;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7:1111-1117.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</w:p>
    <w:p w:rsidR="00A06C94" w:rsidRPr="003B23F1" w:rsidRDefault="00A06C94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</w:pP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Chan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JY,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Phoo</w:t>
      </w:r>
      <w:proofErr w:type="spellEnd"/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142B9A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MS</w:t>
      </w:r>
      <w:r w:rsidR="003643F0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Clement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142B9A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MV</w:t>
      </w:r>
      <w:r w:rsidR="003643F0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Pervaiz</w:t>
      </w:r>
      <w:proofErr w:type="spellEnd"/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142B9A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S,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Lee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142B9A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SC.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Resveratrol</w:t>
      </w:r>
      <w:proofErr w:type="spellEnd"/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displays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converse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dose-related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effects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on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5-fluorouracil-evoked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colon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cancer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cell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apoptosis: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the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roles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of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caspase-6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and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p53.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Cancer</w:t>
      </w:r>
      <w:r w:rsidR="00013ABD"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Biol.</w:t>
      </w:r>
      <w:r w:rsidR="00013ABD"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 xml:space="preserve"> </w:t>
      </w:r>
      <w:proofErr w:type="spellStart"/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Ther</w:t>
      </w:r>
      <w:proofErr w:type="spellEnd"/>
      <w:r w:rsidRPr="003B23F1">
        <w:rPr>
          <w:rStyle w:val="Hyperlink"/>
          <w:rFonts w:ascii="Times New Roman" w:hAnsi="Times New Roman" w:cs="Times New Roman"/>
          <w:i/>
          <w:iCs/>
          <w:color w:val="000000" w:themeColor="text1"/>
          <w:sz w:val="19"/>
          <w:szCs w:val="19"/>
          <w:u w:val="none"/>
        </w:rPr>
        <w:t>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="00E35C09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2008;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7: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  <w:r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>1305-1312.</w:t>
      </w:r>
      <w:r w:rsidR="00013ABD" w:rsidRPr="003B23F1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  <w:t xml:space="preserve"> </w:t>
      </w:r>
    </w:p>
    <w:p w:rsidR="00197E43" w:rsidRPr="003B23F1" w:rsidRDefault="00197E43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Traxler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42B9A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P.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Tyrosine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kinases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targets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in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cancer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therapy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-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successes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failures.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Expert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Opin</w:t>
      </w:r>
      <w:proofErr w:type="spellEnd"/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Ther</w:t>
      </w:r>
      <w:proofErr w:type="spellEnd"/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Targets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35C09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2003;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7:215-234.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A06C94" w:rsidRPr="003B23F1" w:rsidRDefault="00A06C94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Johnston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S,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Pippen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="00142B9A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JJr</w:t>
      </w:r>
      <w:proofErr w:type="spellEnd"/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Pivot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42B9A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X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Lichinitser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42B9A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Sadeghi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42B9A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S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Dieras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42B9A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V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et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al.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Lapatinib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combined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with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letrozole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versus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letrozole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placebo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first-line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therapy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for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postmenopausal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hormone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receptor-positive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metastatic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breast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cancer.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J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Clin</w:t>
      </w:r>
      <w:proofErr w:type="spellEnd"/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Oncol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35C09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2009;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27:5538-5546.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A06C94" w:rsidRPr="003B23F1" w:rsidRDefault="00A06C94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Geyer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CE,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Forster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142B9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J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Lindquist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142B9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D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Chan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142B9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S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Romieu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142B9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CG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Pienkowski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142B9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T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et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al.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Lapatinib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plus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capecitabine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for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HER2-positive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advanced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breast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cancer.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N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Engl</w:t>
      </w:r>
      <w:proofErr w:type="spellEnd"/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J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Med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E35C09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2006;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355:2733-2743.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</w:p>
    <w:p w:rsidR="00197E43" w:rsidRPr="003B23F1" w:rsidRDefault="00197E43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Tevaarwerk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AJ</w:t>
      </w:r>
      <w:r w:rsidR="00142B9A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Kolesar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42B9A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JM.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Lapatinib</w:t>
      </w:r>
      <w:proofErr w:type="spellEnd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small-molecule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inhibitor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of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epidermal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growth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factor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receptor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human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epidermal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growth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factor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receptor-2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tyrosine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kinases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used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in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the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treatment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of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breast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cancer.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Clin</w:t>
      </w:r>
      <w:proofErr w:type="spellEnd"/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Ther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35C09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2009;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31(Pt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2):2332-2348.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A06C94" w:rsidRPr="003B23F1" w:rsidRDefault="007023FF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</w:rPr>
      </w:pP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Blackwell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KL,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Burstein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42B9A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HJ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Storniolo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42B9A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AM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Rugo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42B9A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H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Sledge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42B9A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G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Koehler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42B9A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0D321A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et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="000D321A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al.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Randomized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study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of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Lapatinib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alone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in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combination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with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trastuzumab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in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women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with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ErbB2-positive,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trastuzumab</w:t>
      </w:r>
      <w:proofErr w:type="spellEnd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-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refractory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metastatic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breast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cancer.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J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Clin</w:t>
      </w:r>
      <w:proofErr w:type="spellEnd"/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Oncol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8261E9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2010;</w:t>
      </w:r>
      <w:r w:rsidR="000D321A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28: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1124-1130.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A06C94" w:rsidRPr="003B23F1" w:rsidRDefault="00A06C94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Hansen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MB,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Nielsen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42B9A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SE,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Berg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42B9A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K.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Re-examination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further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development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of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precise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rapid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dye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lastRenderedPageBreak/>
        <w:t>method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for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measuring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cell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growth/cell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kill.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J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Immunol</w:t>
      </w:r>
      <w:proofErr w:type="spellEnd"/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Methods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8261E9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1989;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119:203-210.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A06C94" w:rsidRPr="003B23F1" w:rsidRDefault="00A06C94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>Giuliano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>M,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>Lauricella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 xml:space="preserve"> </w:t>
      </w:r>
      <w:r w:rsidR="00142B9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>M,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>Tesoriere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 xml:space="preserve"> </w:t>
      </w:r>
      <w:r w:rsidR="00142B9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>EG.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>Induction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>of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>apoptosis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>in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>human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>retinoblastoma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>cells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>by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>topoisomerase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>inhibitors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>invest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>ophthalmol</w:t>
      </w:r>
      <w:proofErr w:type="spellEnd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>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he-IL"/>
        </w:rPr>
        <w:t>Vis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he-IL"/>
        </w:rPr>
        <w:t xml:space="preserve"> </w:t>
      </w:r>
      <w:proofErr w:type="spellStart"/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he-IL"/>
        </w:rPr>
        <w:t>Sci</w:t>
      </w:r>
      <w:proofErr w:type="spellEnd"/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he-IL"/>
        </w:rPr>
        <w:t xml:space="preserve"> </w:t>
      </w:r>
      <w:r w:rsidR="008261E9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>1998;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he-IL"/>
        </w:rPr>
        <w:t>39:1300-1311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A06C94" w:rsidRPr="003B23F1" w:rsidRDefault="00A06C94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</w:pP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D’Souza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UJA,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Zain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142B9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A,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Raju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142B9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S.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Genotoxic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and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cytotoxic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effects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bone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marrow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of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rats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exposed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to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low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dose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of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paquat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via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the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dermal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route.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Mutat</w:t>
      </w:r>
      <w:proofErr w:type="spellEnd"/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.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Res.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8261E9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2002;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581:187-190.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</w:p>
    <w:p w:rsidR="00197E43" w:rsidRPr="003B23F1" w:rsidRDefault="00197E43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Wood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ER,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Truesdale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AT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McDonald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OB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Yuan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D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Hassell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Dickerson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SH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et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al.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unique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structure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for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epidermal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growth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factor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receptor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bound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to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GW572016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Lapatinib</w:t>
      </w:r>
      <w:proofErr w:type="spellEnd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):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relationships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among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protein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conformation,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inhibitor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off-rate,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receptor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activity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in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tumor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cells.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Cancer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Res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8261E9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2004;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64(18):6652-6659.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8E64DA" w:rsidRPr="003B23F1" w:rsidRDefault="002A06BF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Burris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HA,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Hurwitz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HI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Dees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EC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="00B34D9C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Dowlati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B34D9C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Blackwell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KL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B34D9C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O'Neil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B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et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al.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Phase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I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safety,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pharmacokinetics,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clinical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activity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study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of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lapatinib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(GW572016),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reversible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dual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inhibitor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of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epidermal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growth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factor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receptor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tyrosine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kinases</w:t>
      </w:r>
      <w:proofErr w:type="spellEnd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in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heavily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pretreated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patients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with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metastatic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carcinomas.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Journal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of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clinical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="003B4EE2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oncology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8261E9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2005;</w:t>
      </w:r>
      <w:r w:rsidR="008E64DA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23(23):5305</w:t>
      </w:r>
      <w:r w:rsidR="000D321A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-</w:t>
      </w:r>
      <w:r w:rsidR="003B4EE2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53</w:t>
      </w:r>
      <w:r w:rsidR="008E64DA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13.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197E43" w:rsidRPr="003B23F1" w:rsidRDefault="00197E43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</w:pP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Subik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K,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Lee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J-F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Baxter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L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Strzepek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T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Costello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D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Crowley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P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et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al.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The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Expression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Patterns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of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ER,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PR,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HER2,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CK5/6,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EGFR,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Ki-67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and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AR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by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Immunohistochemical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Analysis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in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Breast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Cancer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Cell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Lines.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Breast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Cancer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(</w:t>
      </w:r>
      <w:proofErr w:type="spellStart"/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Auckl</w:t>
      </w:r>
      <w:proofErr w:type="spellEnd"/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)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8261E9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2010;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4:35-41.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</w:p>
    <w:p w:rsidR="008D6C2A" w:rsidRPr="003B23F1" w:rsidRDefault="008D6C2A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</w:pP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Diessner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J,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Bruttel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V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Stein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RG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Horn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E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Häusler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SFM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Dietl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J</w:t>
      </w:r>
      <w:r w:rsidR="003643F0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et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al.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Targeting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of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preexisting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and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induced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breast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cancer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stem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cells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with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trastuzumab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and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trastuzumab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emtansine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(T-DM1).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Cell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Death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and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Disease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 xml:space="preserve"> </w:t>
      </w:r>
      <w:r w:rsidR="008261E9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2014;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5,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e1149;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doi:10.1038/cddis.2014.115.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</w:p>
    <w:p w:rsidR="00C97258" w:rsidRPr="003B23F1" w:rsidRDefault="00201261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Riemsma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Forbes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CA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Amonkar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MM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Lykopoulos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K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Diaz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JR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Kleijnen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J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et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al.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Systematic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review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of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lapatinib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in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combination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with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letrozole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compared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with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other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first-line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treatments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for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hormone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receptor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positive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(HR+)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HER2+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advanced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metastatic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breast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cancer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(MBC).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Current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Medical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Research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and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Opinion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8261E9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2012;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28(8):1263-1279.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C97258" w:rsidRPr="003B23F1" w:rsidRDefault="00C97258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Villunger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Michalak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EM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Coultas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L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Mullauer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F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Bock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G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Ausserlechner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MJ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D40BA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et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 xml:space="preserve"> </w:t>
      </w:r>
      <w:r w:rsidR="00AD40BA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al.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p53-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drug-induced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apoptotic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responses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mediated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by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BH3-only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proteins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puma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noxa</w:t>
      </w:r>
      <w:proofErr w:type="spellEnd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Science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8261E9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2003;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302:1036-1038.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201261" w:rsidRPr="003B23F1" w:rsidRDefault="00201261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Thorburn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Frankel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AE.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Apoptosis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anthracycline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cardiotoxicity</w:t>
      </w:r>
      <w:proofErr w:type="spellEnd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Mol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Cancer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Ther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8261E9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2006;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5:197-199.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201261" w:rsidRPr="003B23F1" w:rsidRDefault="00201261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Norbury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CJ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Zhivotovsky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B.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DNA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damage-induced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apoptosis.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Oncogene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052FB2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2004;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23:2797-2808.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</w:p>
    <w:p w:rsidR="00201261" w:rsidRPr="003B23F1" w:rsidRDefault="00201261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lastRenderedPageBreak/>
        <w:t>Rusnak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DW,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Lackey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K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Affleck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K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Wood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ER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Alligood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KJ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Rhodes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N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et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al.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The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effects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of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the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novel,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reversible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epidermal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growth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factor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receptor/ErbB-2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tyrosine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kinase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inhibitor,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GW2016,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the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growth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of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human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normal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tumor-derived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cell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lines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in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vitro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in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vivo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Molecular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cancer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therapeutics.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052FB2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2001;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1(2):85-94.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201261" w:rsidRPr="003B23F1" w:rsidRDefault="00201261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Xia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W,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Mullin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RJ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Keith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BR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Liu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LH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Ma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H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Rusnak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DW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et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al.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Anti-tumor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activity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of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GW572016: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dual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tyrosine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kinase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inhibitor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blocks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EGF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activation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of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EGFR/erbB2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downstream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Erk1/2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AKT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pathways.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Oncogene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052FB2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2002;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21(41):6255-6263.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197E43" w:rsidRPr="003B23F1" w:rsidRDefault="00197E43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Yun-Tian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L,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Xiao-Jun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Q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Yan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Y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Zhen-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Hua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L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Rui</w:t>
      </w:r>
      <w:proofErr w:type="spellEnd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-Yan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W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Jiao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J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et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al.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EGFR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tyrosine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kinase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inhibitors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promote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pro-caspase-8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dimerization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that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sensitizes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cancer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cells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to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DNA-damaging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therapy.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Oncotarget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052FB2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2015;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6(19):17491-17500.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</w:p>
    <w:p w:rsidR="0052116A" w:rsidRPr="003B23F1" w:rsidRDefault="00462EAB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Tanizaki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J,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Ok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amoto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I,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Fumita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S,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Okamoto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W,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="00D00C58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Nishio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K,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Nakagawa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K.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Roles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of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BIM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induction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and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survivin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downregulation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in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lapatinib</w:t>
      </w:r>
      <w:proofErr w:type="spellEnd"/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-induced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apoptosis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in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breast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cancer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cells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with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HER2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amplification.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="0052116A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Oncogene</w:t>
      </w:r>
      <w:proofErr w:type="spellEnd"/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 xml:space="preserve"> </w:t>
      </w:r>
      <w:r w:rsidR="00052FB2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2011;</w:t>
      </w:r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30:4097-4106.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</w:p>
    <w:p w:rsidR="0052116A" w:rsidRPr="003B23F1" w:rsidRDefault="00462EAB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</w:pP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Konecny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GE,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Pegram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MD,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Venkatesa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n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N,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Finn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R,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Yang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G,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Rahmeh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M</w:t>
      </w:r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52116A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et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 xml:space="preserve"> </w:t>
      </w:r>
      <w:r w:rsidR="0052116A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al.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Activity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of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the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dual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kinase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inhibitor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lapatinib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(GW572016)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against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HER-2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overexpressing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and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trastuzumab</w:t>
      </w:r>
      <w:proofErr w:type="spellEnd"/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-treated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breast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cancer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cells.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52116A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Cancer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 xml:space="preserve"> </w:t>
      </w:r>
      <w:r w:rsidR="0052116A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Res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r w:rsidR="00052FB2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2006;</w:t>
      </w:r>
      <w:r w:rsidR="0052116A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66:1630-1639.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</w:p>
    <w:p w:rsidR="00DF3FC4" w:rsidRPr="003B23F1" w:rsidRDefault="00DF3FC4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Zhong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Z-F,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Tan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W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Ti</w:t>
      </w:r>
      <w:r w:rsidR="008E7267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K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8E7267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Yu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H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Qiang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W-A,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8E7267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Wang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Y-T.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Combined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effects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of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furanodiene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doxorubicin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the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migration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invasion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of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MDA-MB-231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breast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cancer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cells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in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vitro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Oncology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Reports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052FB2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2017;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7:2016-2024</w:t>
      </w:r>
      <w:r w:rsidR="008E7267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DF3FC4" w:rsidRPr="003B23F1" w:rsidRDefault="00DF3FC4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Chen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X-X,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Leung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GP-H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Zhang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Z-J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Xiao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J-B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Lao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L-X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Feng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F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E1A04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et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 xml:space="preserve"> </w:t>
      </w:r>
      <w:r w:rsidR="005E1A04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al.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Proanthocyanidins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from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Uncaria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rhynchophylla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induced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apoptosis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in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MDA-MB-231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breast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cancer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cells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while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enhancing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cytotoxic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effects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of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5-fluorouracil.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Food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Chemic</w:t>
      </w:r>
      <w:r w:rsidR="005E1A04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al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E1A04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Toxicology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052FB2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2017;</w:t>
      </w:r>
      <w:r w:rsidR="005E1A04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107A:248-260.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DF3FC4" w:rsidRPr="003B23F1" w:rsidRDefault="00DF3FC4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Milczarek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Wiktorska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K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Mielczarek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L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Koronkiewicz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Dąbrowska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Lubelska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K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E1A04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et</w:t>
      </w:r>
      <w:r w:rsidR="00013ABD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 xml:space="preserve"> </w:t>
      </w:r>
      <w:r w:rsidR="005E1A04" w:rsidRPr="003B23F1">
        <w:rPr>
          <w:rFonts w:ascii="Times New Roman" w:hAnsi="Times New Roman" w:cs="Times New Roman"/>
          <w:i/>
          <w:iCs/>
          <w:color w:val="000000" w:themeColor="text1"/>
          <w:sz w:val="19"/>
          <w:szCs w:val="19"/>
          <w:lang w:bidi="ar-EG"/>
        </w:rPr>
        <w:t>al.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Autophagic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cell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death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premature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senescence: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New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mechanism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of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5-fluorouracil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sulforaphane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synergistic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anticancer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effect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in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MDA-MB-231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triple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negative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breast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cancer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cell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line.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Food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Chemical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Toxi</w:t>
      </w:r>
      <w:r w:rsidR="005E1A04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cology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052FB2" w:rsidRPr="003B23F1">
        <w:rPr>
          <w:rFonts w:ascii="Times New Roman" w:hAnsi="Times New Roman" w:cs="Times New Roman"/>
          <w:color w:val="000000" w:themeColor="text1"/>
          <w:sz w:val="19"/>
          <w:szCs w:val="19"/>
          <w:lang w:bidi="ar-EG"/>
        </w:rPr>
        <w:t>2018;</w:t>
      </w:r>
      <w:r w:rsidR="005E1A04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111:1-8.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013ABD" w:rsidRPr="003B23F1" w:rsidRDefault="00DF3FC4" w:rsidP="003B23F1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Simiczyjew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Dratkiewicz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E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Troys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MV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Ampe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</w:t>
      </w:r>
      <w:r w:rsidR="00FE62D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Stycze</w:t>
      </w:r>
      <w:r w:rsidR="004F044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ń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I,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Nowak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2EAB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D.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Combination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of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EGFR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Inhibitor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Lapatinib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and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MET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Inhibitor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Foretinib</w:t>
      </w:r>
      <w:proofErr w:type="spellEnd"/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Inhibits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Migration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of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Triple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Negative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Breast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Cancer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Cell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Lines.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Cancers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052FB2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2018;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10:335.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>doi:10.3390/cancers10090335.</w:t>
      </w:r>
      <w:r w:rsidR="00013ABD"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3B23F1" w:rsidRPr="003B23F1" w:rsidRDefault="003B23F1" w:rsidP="003B23F1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  <w:sectPr w:rsidR="003B23F1" w:rsidRPr="003B23F1" w:rsidSect="003B23F1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013ABD" w:rsidRPr="00013ABD" w:rsidRDefault="00013ABD" w:rsidP="003B23F1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23F1">
        <w:rPr>
          <w:rFonts w:ascii="Times New Roman" w:hAnsi="Times New Roman" w:cs="Times New Roman"/>
          <w:color w:val="000000" w:themeColor="text1"/>
          <w:sz w:val="19"/>
          <w:szCs w:val="19"/>
        </w:rPr>
        <w:lastRenderedPageBreak/>
        <w:cr/>
      </w:r>
      <w:bookmarkStart w:id="0" w:name="_GoBack"/>
      <w:bookmarkEnd w:id="0"/>
    </w:p>
    <w:p w:rsidR="00A544E7" w:rsidRPr="00013ABD" w:rsidRDefault="00013ABD" w:rsidP="003B23F1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3ABD">
        <w:rPr>
          <w:rFonts w:ascii="Times New Roman" w:hAnsi="Times New Roman" w:cs="Times New Roman"/>
          <w:color w:val="000000" w:themeColor="text1"/>
          <w:sz w:val="20"/>
          <w:szCs w:val="20"/>
        </w:rPr>
        <w:t>2/25/2019</w:t>
      </w:r>
    </w:p>
    <w:sectPr w:rsidR="00A544E7" w:rsidRPr="00013ABD" w:rsidSect="00013ABD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519" w:rsidRDefault="00F12519" w:rsidP="005456EE">
      <w:pPr>
        <w:spacing w:after="0" w:line="240" w:lineRule="auto"/>
      </w:pPr>
      <w:r>
        <w:separator/>
      </w:r>
    </w:p>
  </w:endnote>
  <w:endnote w:type="continuationSeparator" w:id="0">
    <w:p w:rsidR="00F12519" w:rsidRDefault="00F12519" w:rsidP="0054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宋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C27" w:rsidRPr="0060104B" w:rsidRDefault="00F0053C" w:rsidP="0060104B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0104B">
      <w:rPr>
        <w:rFonts w:ascii="Times New Roman" w:hAnsi="Times New Roman" w:cs="Times New Roman"/>
        <w:sz w:val="20"/>
      </w:rPr>
      <w:fldChar w:fldCharType="begin"/>
    </w:r>
    <w:r w:rsidR="0060104B" w:rsidRPr="0060104B">
      <w:rPr>
        <w:rFonts w:ascii="Times New Roman" w:hAnsi="Times New Roman" w:cs="Times New Roman"/>
        <w:sz w:val="20"/>
      </w:rPr>
      <w:instrText xml:space="preserve"> page </w:instrText>
    </w:r>
    <w:r w:rsidRPr="0060104B">
      <w:rPr>
        <w:rFonts w:ascii="Times New Roman" w:hAnsi="Times New Roman" w:cs="Times New Roman"/>
        <w:sz w:val="20"/>
      </w:rPr>
      <w:fldChar w:fldCharType="separate"/>
    </w:r>
    <w:r w:rsidR="00724980">
      <w:rPr>
        <w:rFonts w:ascii="Times New Roman" w:hAnsi="Times New Roman" w:cs="Times New Roman"/>
        <w:noProof/>
        <w:sz w:val="20"/>
      </w:rPr>
      <w:t>93</w:t>
    </w:r>
    <w:r w:rsidRPr="0060104B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519" w:rsidRDefault="00F12519" w:rsidP="005456EE">
      <w:pPr>
        <w:spacing w:after="0" w:line="240" w:lineRule="auto"/>
      </w:pPr>
      <w:r>
        <w:separator/>
      </w:r>
    </w:p>
  </w:footnote>
  <w:footnote w:type="continuationSeparator" w:id="0">
    <w:p w:rsidR="00F12519" w:rsidRDefault="00F12519" w:rsidP="00545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4B" w:rsidRPr="0060104B" w:rsidRDefault="0060104B" w:rsidP="0060104B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color w:val="0000FF"/>
        <w:sz w:val="20"/>
      </w:rPr>
    </w:pPr>
    <w:r w:rsidRPr="0060104B">
      <w:rPr>
        <w:rFonts w:ascii="Times New Roman" w:hAnsi="Times New Roman" w:cs="Times New Roman" w:hint="eastAsia"/>
        <w:iCs/>
        <w:color w:val="000000"/>
        <w:sz w:val="20"/>
      </w:rPr>
      <w:tab/>
    </w:r>
    <w:r w:rsidRPr="0060104B">
      <w:rPr>
        <w:rFonts w:ascii="Times New Roman" w:hAnsi="Times New Roman" w:cs="Times New Roman"/>
        <w:iCs/>
        <w:color w:val="000000"/>
        <w:sz w:val="20"/>
      </w:rPr>
      <w:t xml:space="preserve">Cancer Biology </w:t>
    </w:r>
    <w:r w:rsidRPr="0060104B">
      <w:rPr>
        <w:rFonts w:ascii="Times New Roman" w:hAnsi="Times New Roman" w:cs="Times New Roman"/>
        <w:iCs/>
        <w:sz w:val="20"/>
      </w:rPr>
      <w:t>201</w:t>
    </w:r>
    <w:r w:rsidRPr="0060104B">
      <w:rPr>
        <w:rFonts w:ascii="Times New Roman" w:hAnsi="Times New Roman" w:cs="Times New Roman" w:hint="eastAsia"/>
        <w:iCs/>
        <w:sz w:val="20"/>
      </w:rPr>
      <w:t>9</w:t>
    </w:r>
    <w:r w:rsidRPr="0060104B">
      <w:rPr>
        <w:rFonts w:ascii="Times New Roman" w:hAnsi="Times New Roman" w:cs="Times New Roman"/>
        <w:iCs/>
        <w:sz w:val="20"/>
      </w:rPr>
      <w:t>;</w:t>
    </w:r>
    <w:r w:rsidRPr="0060104B">
      <w:rPr>
        <w:rFonts w:ascii="Times New Roman" w:hAnsi="Times New Roman" w:cs="Times New Roman" w:hint="eastAsia"/>
        <w:iCs/>
        <w:sz w:val="20"/>
      </w:rPr>
      <w:t>9</w:t>
    </w:r>
    <w:r w:rsidRPr="0060104B">
      <w:rPr>
        <w:rFonts w:ascii="Times New Roman" w:hAnsi="Times New Roman" w:cs="Times New Roman"/>
        <w:iCs/>
        <w:sz w:val="20"/>
      </w:rPr>
      <w:t>(</w:t>
    </w:r>
    <w:r w:rsidRPr="0060104B">
      <w:rPr>
        <w:rFonts w:ascii="Times New Roman" w:hAnsi="Times New Roman" w:cs="Times New Roman" w:hint="eastAsia"/>
        <w:iCs/>
        <w:sz w:val="20"/>
      </w:rPr>
      <w:t>1</w:t>
    </w:r>
    <w:r w:rsidRPr="0060104B">
      <w:rPr>
        <w:rFonts w:ascii="Times New Roman" w:hAnsi="Times New Roman" w:cs="Times New Roman"/>
        <w:iCs/>
        <w:sz w:val="20"/>
      </w:rPr>
      <w:t xml:space="preserve">)  </w:t>
    </w:r>
    <w:r w:rsidRPr="0060104B">
      <w:rPr>
        <w:rFonts w:ascii="Times New Roman" w:hAnsi="Times New Roman" w:cs="Times New Roman" w:hint="eastAsia"/>
        <w:iCs/>
        <w:sz w:val="20"/>
      </w:rPr>
      <w:t xml:space="preserve">   </w:t>
    </w:r>
    <w:r w:rsidRPr="0060104B">
      <w:rPr>
        <w:rFonts w:ascii="Times New Roman" w:hAnsi="Times New Roman" w:cs="Times New Roman" w:hint="eastAsia"/>
        <w:iCs/>
        <w:sz w:val="20"/>
      </w:rPr>
      <w:tab/>
      <w:t xml:space="preserve">     </w:t>
    </w:r>
    <w:r w:rsidRPr="0060104B">
      <w:rPr>
        <w:rFonts w:ascii="Times New Roman" w:hAnsi="Times New Roman" w:cs="Times New Roman"/>
        <w:iCs/>
        <w:sz w:val="20"/>
      </w:rPr>
      <w:t xml:space="preserve"> </w:t>
    </w:r>
    <w:r w:rsidRPr="0060104B">
      <w:rPr>
        <w:rFonts w:ascii="Times New Roman" w:hAnsi="Times New Roman" w:cs="Times New Roman"/>
        <w:sz w:val="20"/>
      </w:rPr>
      <w:t xml:space="preserve">  </w:t>
    </w:r>
    <w:hyperlink r:id="rId1" w:history="1">
      <w:r w:rsidRPr="0060104B">
        <w:rPr>
          <w:rStyle w:val="Hyperlink"/>
          <w:rFonts w:ascii="Times New Roman" w:hAnsi="Times New Roman" w:cs="Times New Roman"/>
          <w:color w:val="0000FF"/>
          <w:sz w:val="20"/>
        </w:rPr>
        <w:t>http://www.cancerbio.net</w:t>
      </w:r>
    </w:hyperlink>
  </w:p>
  <w:p w:rsidR="0060104B" w:rsidRPr="0060104B" w:rsidRDefault="0060104B" w:rsidP="0060104B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2DC2"/>
    <w:multiLevelType w:val="hybridMultilevel"/>
    <w:tmpl w:val="29700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43E8B"/>
    <w:multiLevelType w:val="hybridMultilevel"/>
    <w:tmpl w:val="849E1F8A"/>
    <w:lvl w:ilvl="0" w:tplc="3998F90C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76589"/>
    <w:multiLevelType w:val="hybridMultilevel"/>
    <w:tmpl w:val="A992C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C7905"/>
    <w:multiLevelType w:val="hybridMultilevel"/>
    <w:tmpl w:val="7CCC29B4"/>
    <w:lvl w:ilvl="0" w:tplc="8946E8E4">
      <w:start w:val="1"/>
      <w:numFmt w:val="decimal"/>
      <w:lvlText w:val="%1."/>
      <w:lvlJc w:val="left"/>
      <w:pPr>
        <w:ind w:left="108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4A67A4"/>
    <w:multiLevelType w:val="multilevel"/>
    <w:tmpl w:val="A1082B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C60A10"/>
    <w:multiLevelType w:val="multilevel"/>
    <w:tmpl w:val="EEAE2F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3.4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EB0E9E"/>
    <w:multiLevelType w:val="hybridMultilevel"/>
    <w:tmpl w:val="663C8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B0F89"/>
    <w:multiLevelType w:val="multilevel"/>
    <w:tmpl w:val="230497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4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7B92FD6"/>
    <w:multiLevelType w:val="hybridMultilevel"/>
    <w:tmpl w:val="AFA044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07940E9"/>
    <w:multiLevelType w:val="multilevel"/>
    <w:tmpl w:val="9020A00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2.3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136242E"/>
    <w:multiLevelType w:val="hybridMultilevel"/>
    <w:tmpl w:val="C42A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276F1"/>
    <w:multiLevelType w:val="hybridMultilevel"/>
    <w:tmpl w:val="D9B0C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67264"/>
    <w:multiLevelType w:val="hybridMultilevel"/>
    <w:tmpl w:val="883CD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03330"/>
    <w:multiLevelType w:val="hybridMultilevel"/>
    <w:tmpl w:val="C20CD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324EC"/>
    <w:multiLevelType w:val="multilevel"/>
    <w:tmpl w:val="657E23A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>
    <w:nsid w:val="3FAC6458"/>
    <w:multiLevelType w:val="hybridMultilevel"/>
    <w:tmpl w:val="25A0E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51962"/>
    <w:multiLevelType w:val="hybridMultilevel"/>
    <w:tmpl w:val="EB9A1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B0C9A"/>
    <w:multiLevelType w:val="hybridMultilevel"/>
    <w:tmpl w:val="A5960410"/>
    <w:lvl w:ilvl="0" w:tplc="FC8E569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A11AC"/>
    <w:multiLevelType w:val="hybridMultilevel"/>
    <w:tmpl w:val="29700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460C4"/>
    <w:multiLevelType w:val="multilevel"/>
    <w:tmpl w:val="FB00D3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9D953B4"/>
    <w:multiLevelType w:val="multilevel"/>
    <w:tmpl w:val="159456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D197975"/>
    <w:multiLevelType w:val="multilevel"/>
    <w:tmpl w:val="8F04FF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55C0399"/>
    <w:multiLevelType w:val="hybridMultilevel"/>
    <w:tmpl w:val="C42A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D56A6"/>
    <w:multiLevelType w:val="multilevel"/>
    <w:tmpl w:val="8D56C9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1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CF917F0"/>
    <w:multiLevelType w:val="multilevel"/>
    <w:tmpl w:val="F6EEB4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E5C26F4"/>
    <w:multiLevelType w:val="multilevel"/>
    <w:tmpl w:val="136A1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5F8B1E77"/>
    <w:multiLevelType w:val="multilevel"/>
    <w:tmpl w:val="0526C64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2495F1A"/>
    <w:multiLevelType w:val="hybridMultilevel"/>
    <w:tmpl w:val="F5BE1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4B2860"/>
    <w:multiLevelType w:val="hybridMultilevel"/>
    <w:tmpl w:val="25DCE9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D6103A"/>
    <w:multiLevelType w:val="hybridMultilevel"/>
    <w:tmpl w:val="51DA85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"/>
  </w:num>
  <w:num w:numId="4">
    <w:abstractNumId w:val="3"/>
  </w:num>
  <w:num w:numId="5">
    <w:abstractNumId w:val="29"/>
  </w:num>
  <w:num w:numId="6">
    <w:abstractNumId w:val="8"/>
  </w:num>
  <w:num w:numId="7">
    <w:abstractNumId w:val="13"/>
  </w:num>
  <w:num w:numId="8">
    <w:abstractNumId w:val="11"/>
  </w:num>
  <w:num w:numId="9">
    <w:abstractNumId w:val="2"/>
  </w:num>
  <w:num w:numId="10">
    <w:abstractNumId w:val="27"/>
  </w:num>
  <w:num w:numId="11">
    <w:abstractNumId w:val="16"/>
  </w:num>
  <w:num w:numId="12">
    <w:abstractNumId w:val="6"/>
  </w:num>
  <w:num w:numId="13">
    <w:abstractNumId w:val="12"/>
  </w:num>
  <w:num w:numId="14">
    <w:abstractNumId w:val="26"/>
  </w:num>
  <w:num w:numId="15">
    <w:abstractNumId w:val="14"/>
  </w:num>
  <w:num w:numId="16">
    <w:abstractNumId w:val="23"/>
  </w:num>
  <w:num w:numId="17">
    <w:abstractNumId w:val="10"/>
  </w:num>
  <w:num w:numId="18">
    <w:abstractNumId w:val="7"/>
  </w:num>
  <w:num w:numId="19">
    <w:abstractNumId w:val="21"/>
  </w:num>
  <w:num w:numId="20">
    <w:abstractNumId w:val="20"/>
  </w:num>
  <w:num w:numId="21">
    <w:abstractNumId w:val="5"/>
  </w:num>
  <w:num w:numId="22">
    <w:abstractNumId w:val="19"/>
  </w:num>
  <w:num w:numId="23">
    <w:abstractNumId w:val="4"/>
  </w:num>
  <w:num w:numId="24">
    <w:abstractNumId w:val="18"/>
  </w:num>
  <w:num w:numId="25">
    <w:abstractNumId w:val="0"/>
  </w:num>
  <w:num w:numId="26">
    <w:abstractNumId w:val="15"/>
  </w:num>
  <w:num w:numId="27">
    <w:abstractNumId w:val="17"/>
  </w:num>
  <w:num w:numId="28">
    <w:abstractNumId w:val="22"/>
  </w:num>
  <w:num w:numId="29">
    <w:abstractNumId w:val="25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12F8"/>
    <w:rsid w:val="00000EC2"/>
    <w:rsid w:val="000017D7"/>
    <w:rsid w:val="00002C92"/>
    <w:rsid w:val="00003FC2"/>
    <w:rsid w:val="0000483F"/>
    <w:rsid w:val="0000554C"/>
    <w:rsid w:val="00005C76"/>
    <w:rsid w:val="000079B8"/>
    <w:rsid w:val="0001026E"/>
    <w:rsid w:val="00010666"/>
    <w:rsid w:val="00010D3A"/>
    <w:rsid w:val="0001153E"/>
    <w:rsid w:val="00012B5B"/>
    <w:rsid w:val="00013396"/>
    <w:rsid w:val="00013ABD"/>
    <w:rsid w:val="00013ADC"/>
    <w:rsid w:val="000140D3"/>
    <w:rsid w:val="000158D9"/>
    <w:rsid w:val="00017426"/>
    <w:rsid w:val="000200E2"/>
    <w:rsid w:val="00020173"/>
    <w:rsid w:val="00020FDC"/>
    <w:rsid w:val="0002101F"/>
    <w:rsid w:val="00021EFE"/>
    <w:rsid w:val="0002220D"/>
    <w:rsid w:val="000225A8"/>
    <w:rsid w:val="00023432"/>
    <w:rsid w:val="00026BB8"/>
    <w:rsid w:val="00026C1A"/>
    <w:rsid w:val="0003017B"/>
    <w:rsid w:val="000306EA"/>
    <w:rsid w:val="0003141D"/>
    <w:rsid w:val="00031CC4"/>
    <w:rsid w:val="00034BB8"/>
    <w:rsid w:val="000360A0"/>
    <w:rsid w:val="00037060"/>
    <w:rsid w:val="000402BE"/>
    <w:rsid w:val="00040C52"/>
    <w:rsid w:val="0004234A"/>
    <w:rsid w:val="00043387"/>
    <w:rsid w:val="00044103"/>
    <w:rsid w:val="000453DD"/>
    <w:rsid w:val="000459EA"/>
    <w:rsid w:val="00047576"/>
    <w:rsid w:val="000516A4"/>
    <w:rsid w:val="00052807"/>
    <w:rsid w:val="00052815"/>
    <w:rsid w:val="00052FB2"/>
    <w:rsid w:val="00054412"/>
    <w:rsid w:val="000560FC"/>
    <w:rsid w:val="00057AC4"/>
    <w:rsid w:val="00060D3F"/>
    <w:rsid w:val="000612EB"/>
    <w:rsid w:val="00061C05"/>
    <w:rsid w:val="00061CE6"/>
    <w:rsid w:val="00062AF2"/>
    <w:rsid w:val="00063DA3"/>
    <w:rsid w:val="00064AEE"/>
    <w:rsid w:val="00066702"/>
    <w:rsid w:val="00067CFC"/>
    <w:rsid w:val="00071562"/>
    <w:rsid w:val="000738E8"/>
    <w:rsid w:val="00073D5A"/>
    <w:rsid w:val="00073DA9"/>
    <w:rsid w:val="000747FB"/>
    <w:rsid w:val="00074E9F"/>
    <w:rsid w:val="00074F80"/>
    <w:rsid w:val="00075AE7"/>
    <w:rsid w:val="00076596"/>
    <w:rsid w:val="000775DC"/>
    <w:rsid w:val="00077726"/>
    <w:rsid w:val="00080344"/>
    <w:rsid w:val="000814CE"/>
    <w:rsid w:val="00081FFB"/>
    <w:rsid w:val="00082012"/>
    <w:rsid w:val="00082779"/>
    <w:rsid w:val="000849B2"/>
    <w:rsid w:val="00085CE5"/>
    <w:rsid w:val="00086FE7"/>
    <w:rsid w:val="00090FC1"/>
    <w:rsid w:val="00092706"/>
    <w:rsid w:val="00093331"/>
    <w:rsid w:val="00093802"/>
    <w:rsid w:val="00093E00"/>
    <w:rsid w:val="00094E35"/>
    <w:rsid w:val="000A02D7"/>
    <w:rsid w:val="000A1372"/>
    <w:rsid w:val="000A1C8E"/>
    <w:rsid w:val="000A22A4"/>
    <w:rsid w:val="000A281C"/>
    <w:rsid w:val="000A2907"/>
    <w:rsid w:val="000A4BC7"/>
    <w:rsid w:val="000A53BF"/>
    <w:rsid w:val="000A5739"/>
    <w:rsid w:val="000A58B6"/>
    <w:rsid w:val="000A5AF7"/>
    <w:rsid w:val="000A70BE"/>
    <w:rsid w:val="000B1756"/>
    <w:rsid w:val="000B2368"/>
    <w:rsid w:val="000B359F"/>
    <w:rsid w:val="000B38D8"/>
    <w:rsid w:val="000B5197"/>
    <w:rsid w:val="000B5928"/>
    <w:rsid w:val="000B6CE2"/>
    <w:rsid w:val="000C0412"/>
    <w:rsid w:val="000C0448"/>
    <w:rsid w:val="000C0544"/>
    <w:rsid w:val="000C0CC1"/>
    <w:rsid w:val="000C16ED"/>
    <w:rsid w:val="000C2077"/>
    <w:rsid w:val="000C4CE1"/>
    <w:rsid w:val="000C4D90"/>
    <w:rsid w:val="000C4E16"/>
    <w:rsid w:val="000C51D1"/>
    <w:rsid w:val="000C724E"/>
    <w:rsid w:val="000C7426"/>
    <w:rsid w:val="000D0192"/>
    <w:rsid w:val="000D05A0"/>
    <w:rsid w:val="000D0B4A"/>
    <w:rsid w:val="000D0EC3"/>
    <w:rsid w:val="000D2072"/>
    <w:rsid w:val="000D321A"/>
    <w:rsid w:val="000D35CD"/>
    <w:rsid w:val="000D64D8"/>
    <w:rsid w:val="000D6ECC"/>
    <w:rsid w:val="000E159A"/>
    <w:rsid w:val="000E33C6"/>
    <w:rsid w:val="000E43E1"/>
    <w:rsid w:val="000E53D4"/>
    <w:rsid w:val="000E5E85"/>
    <w:rsid w:val="000F13D7"/>
    <w:rsid w:val="000F1409"/>
    <w:rsid w:val="000F29F1"/>
    <w:rsid w:val="000F2C79"/>
    <w:rsid w:val="000F41E9"/>
    <w:rsid w:val="001001CF"/>
    <w:rsid w:val="0010239B"/>
    <w:rsid w:val="00102CBD"/>
    <w:rsid w:val="00103A80"/>
    <w:rsid w:val="00104CB6"/>
    <w:rsid w:val="001060FB"/>
    <w:rsid w:val="00106150"/>
    <w:rsid w:val="0010708A"/>
    <w:rsid w:val="0011068B"/>
    <w:rsid w:val="0011171E"/>
    <w:rsid w:val="00113436"/>
    <w:rsid w:val="0011381C"/>
    <w:rsid w:val="00113A64"/>
    <w:rsid w:val="001143E6"/>
    <w:rsid w:val="00114663"/>
    <w:rsid w:val="001160AE"/>
    <w:rsid w:val="00116848"/>
    <w:rsid w:val="0011713D"/>
    <w:rsid w:val="0011784E"/>
    <w:rsid w:val="00121F67"/>
    <w:rsid w:val="001226B7"/>
    <w:rsid w:val="00123B26"/>
    <w:rsid w:val="001247BE"/>
    <w:rsid w:val="00125E03"/>
    <w:rsid w:val="001273B3"/>
    <w:rsid w:val="001279F4"/>
    <w:rsid w:val="001335C2"/>
    <w:rsid w:val="00133A1D"/>
    <w:rsid w:val="00134C99"/>
    <w:rsid w:val="00134F5E"/>
    <w:rsid w:val="00135BF2"/>
    <w:rsid w:val="00136FF5"/>
    <w:rsid w:val="0013727B"/>
    <w:rsid w:val="00137BA9"/>
    <w:rsid w:val="00140082"/>
    <w:rsid w:val="001408C6"/>
    <w:rsid w:val="00142847"/>
    <w:rsid w:val="00142B9A"/>
    <w:rsid w:val="00142F0D"/>
    <w:rsid w:val="00143220"/>
    <w:rsid w:val="001436FA"/>
    <w:rsid w:val="001439C4"/>
    <w:rsid w:val="00146AF0"/>
    <w:rsid w:val="00146EB0"/>
    <w:rsid w:val="00147513"/>
    <w:rsid w:val="001502D7"/>
    <w:rsid w:val="001517DD"/>
    <w:rsid w:val="00153798"/>
    <w:rsid w:val="00153F63"/>
    <w:rsid w:val="00154C29"/>
    <w:rsid w:val="00154DB8"/>
    <w:rsid w:val="001608F9"/>
    <w:rsid w:val="00161764"/>
    <w:rsid w:val="00163090"/>
    <w:rsid w:val="00163386"/>
    <w:rsid w:val="0016426A"/>
    <w:rsid w:val="00165FA0"/>
    <w:rsid w:val="0016610C"/>
    <w:rsid w:val="001666EB"/>
    <w:rsid w:val="00167279"/>
    <w:rsid w:val="001674B7"/>
    <w:rsid w:val="00170400"/>
    <w:rsid w:val="00170CB2"/>
    <w:rsid w:val="00170E9B"/>
    <w:rsid w:val="00170FB0"/>
    <w:rsid w:val="00172C40"/>
    <w:rsid w:val="00173F2B"/>
    <w:rsid w:val="00175F45"/>
    <w:rsid w:val="00175F7B"/>
    <w:rsid w:val="0017762E"/>
    <w:rsid w:val="00177B08"/>
    <w:rsid w:val="00177DBE"/>
    <w:rsid w:val="00180B2B"/>
    <w:rsid w:val="00181351"/>
    <w:rsid w:val="00181852"/>
    <w:rsid w:val="00182109"/>
    <w:rsid w:val="0018262F"/>
    <w:rsid w:val="00182D2A"/>
    <w:rsid w:val="00183923"/>
    <w:rsid w:val="00184C87"/>
    <w:rsid w:val="001856D9"/>
    <w:rsid w:val="00186100"/>
    <w:rsid w:val="00186C95"/>
    <w:rsid w:val="00191CFA"/>
    <w:rsid w:val="00196C54"/>
    <w:rsid w:val="001970C2"/>
    <w:rsid w:val="00197DF0"/>
    <w:rsid w:val="00197E43"/>
    <w:rsid w:val="001A1B5D"/>
    <w:rsid w:val="001A1BFA"/>
    <w:rsid w:val="001A1C2A"/>
    <w:rsid w:val="001A1FD9"/>
    <w:rsid w:val="001A22F9"/>
    <w:rsid w:val="001A23B0"/>
    <w:rsid w:val="001A2B23"/>
    <w:rsid w:val="001A3E21"/>
    <w:rsid w:val="001A46A6"/>
    <w:rsid w:val="001A613E"/>
    <w:rsid w:val="001A6A7F"/>
    <w:rsid w:val="001A7DD8"/>
    <w:rsid w:val="001B057D"/>
    <w:rsid w:val="001B0D99"/>
    <w:rsid w:val="001B10D8"/>
    <w:rsid w:val="001B282B"/>
    <w:rsid w:val="001B45B9"/>
    <w:rsid w:val="001B4985"/>
    <w:rsid w:val="001B575A"/>
    <w:rsid w:val="001B6510"/>
    <w:rsid w:val="001B744E"/>
    <w:rsid w:val="001C2A31"/>
    <w:rsid w:val="001C3196"/>
    <w:rsid w:val="001C50A8"/>
    <w:rsid w:val="001C5712"/>
    <w:rsid w:val="001C60CF"/>
    <w:rsid w:val="001C78BF"/>
    <w:rsid w:val="001D255F"/>
    <w:rsid w:val="001D348A"/>
    <w:rsid w:val="001D5B47"/>
    <w:rsid w:val="001D6126"/>
    <w:rsid w:val="001D6A67"/>
    <w:rsid w:val="001E0475"/>
    <w:rsid w:val="001E0C47"/>
    <w:rsid w:val="001E0DAF"/>
    <w:rsid w:val="001E1C27"/>
    <w:rsid w:val="001E21E0"/>
    <w:rsid w:val="001E5F8C"/>
    <w:rsid w:val="001E60F3"/>
    <w:rsid w:val="001E7049"/>
    <w:rsid w:val="001E7B6E"/>
    <w:rsid w:val="001F09BD"/>
    <w:rsid w:val="001F21CA"/>
    <w:rsid w:val="001F2C3E"/>
    <w:rsid w:val="001F2C9B"/>
    <w:rsid w:val="001F3C95"/>
    <w:rsid w:val="001F46D8"/>
    <w:rsid w:val="001F6070"/>
    <w:rsid w:val="001F673F"/>
    <w:rsid w:val="001F6B22"/>
    <w:rsid w:val="001F778E"/>
    <w:rsid w:val="00201261"/>
    <w:rsid w:val="00201322"/>
    <w:rsid w:val="00201E97"/>
    <w:rsid w:val="002029CE"/>
    <w:rsid w:val="00202C96"/>
    <w:rsid w:val="00202F30"/>
    <w:rsid w:val="00205435"/>
    <w:rsid w:val="002074E5"/>
    <w:rsid w:val="00207D55"/>
    <w:rsid w:val="00210C5E"/>
    <w:rsid w:val="00211E68"/>
    <w:rsid w:val="00212F0E"/>
    <w:rsid w:val="002153D6"/>
    <w:rsid w:val="0021692D"/>
    <w:rsid w:val="00223274"/>
    <w:rsid w:val="002232AD"/>
    <w:rsid w:val="002237D4"/>
    <w:rsid w:val="002249FC"/>
    <w:rsid w:val="00226762"/>
    <w:rsid w:val="00226BB7"/>
    <w:rsid w:val="002277DA"/>
    <w:rsid w:val="0023002A"/>
    <w:rsid w:val="00231E96"/>
    <w:rsid w:val="002331F9"/>
    <w:rsid w:val="00233AA4"/>
    <w:rsid w:val="0023577A"/>
    <w:rsid w:val="00235856"/>
    <w:rsid w:val="002417EC"/>
    <w:rsid w:val="00241973"/>
    <w:rsid w:val="00241998"/>
    <w:rsid w:val="0024683C"/>
    <w:rsid w:val="00251AE5"/>
    <w:rsid w:val="00252961"/>
    <w:rsid w:val="0025702E"/>
    <w:rsid w:val="0025723D"/>
    <w:rsid w:val="00257FD2"/>
    <w:rsid w:val="0026302E"/>
    <w:rsid w:val="00263725"/>
    <w:rsid w:val="00263F34"/>
    <w:rsid w:val="00264283"/>
    <w:rsid w:val="00264C38"/>
    <w:rsid w:val="00267AB0"/>
    <w:rsid w:val="00267B42"/>
    <w:rsid w:val="00267C74"/>
    <w:rsid w:val="00271433"/>
    <w:rsid w:val="00272421"/>
    <w:rsid w:val="00272B4E"/>
    <w:rsid w:val="00274B6A"/>
    <w:rsid w:val="00275D27"/>
    <w:rsid w:val="00275DC5"/>
    <w:rsid w:val="00277755"/>
    <w:rsid w:val="00277B6A"/>
    <w:rsid w:val="0028018C"/>
    <w:rsid w:val="002809D9"/>
    <w:rsid w:val="002827F1"/>
    <w:rsid w:val="00283286"/>
    <w:rsid w:val="00283B12"/>
    <w:rsid w:val="00284289"/>
    <w:rsid w:val="00284647"/>
    <w:rsid w:val="002858A0"/>
    <w:rsid w:val="00286484"/>
    <w:rsid w:val="002870B6"/>
    <w:rsid w:val="00287852"/>
    <w:rsid w:val="00291E3E"/>
    <w:rsid w:val="002921D9"/>
    <w:rsid w:val="00292477"/>
    <w:rsid w:val="0029292C"/>
    <w:rsid w:val="00295031"/>
    <w:rsid w:val="00295765"/>
    <w:rsid w:val="002A06BF"/>
    <w:rsid w:val="002A1FFC"/>
    <w:rsid w:val="002A2AB3"/>
    <w:rsid w:val="002A30C4"/>
    <w:rsid w:val="002A3AB9"/>
    <w:rsid w:val="002A5D28"/>
    <w:rsid w:val="002A5E98"/>
    <w:rsid w:val="002B0785"/>
    <w:rsid w:val="002B2BE2"/>
    <w:rsid w:val="002B3DEA"/>
    <w:rsid w:val="002B498D"/>
    <w:rsid w:val="002B4D57"/>
    <w:rsid w:val="002B5290"/>
    <w:rsid w:val="002C067D"/>
    <w:rsid w:val="002C0A8F"/>
    <w:rsid w:val="002C3A74"/>
    <w:rsid w:val="002C448E"/>
    <w:rsid w:val="002C58FF"/>
    <w:rsid w:val="002C5A91"/>
    <w:rsid w:val="002C7CA4"/>
    <w:rsid w:val="002D227B"/>
    <w:rsid w:val="002D3F0A"/>
    <w:rsid w:val="002D4B66"/>
    <w:rsid w:val="002D50AF"/>
    <w:rsid w:val="002D5895"/>
    <w:rsid w:val="002D58A8"/>
    <w:rsid w:val="002D5B8C"/>
    <w:rsid w:val="002D65E2"/>
    <w:rsid w:val="002D7645"/>
    <w:rsid w:val="002E0639"/>
    <w:rsid w:val="002E1142"/>
    <w:rsid w:val="002E1212"/>
    <w:rsid w:val="002E156D"/>
    <w:rsid w:val="002E193D"/>
    <w:rsid w:val="002E2402"/>
    <w:rsid w:val="002E3E8D"/>
    <w:rsid w:val="002E5A9B"/>
    <w:rsid w:val="002E74A9"/>
    <w:rsid w:val="002F0C49"/>
    <w:rsid w:val="002F202C"/>
    <w:rsid w:val="002F2C31"/>
    <w:rsid w:val="002F464F"/>
    <w:rsid w:val="002F54E5"/>
    <w:rsid w:val="002F7E45"/>
    <w:rsid w:val="003008A7"/>
    <w:rsid w:val="00301F34"/>
    <w:rsid w:val="00301F95"/>
    <w:rsid w:val="00302325"/>
    <w:rsid w:val="00302FCA"/>
    <w:rsid w:val="00304284"/>
    <w:rsid w:val="00307D78"/>
    <w:rsid w:val="00311636"/>
    <w:rsid w:val="0031262C"/>
    <w:rsid w:val="00313244"/>
    <w:rsid w:val="00313285"/>
    <w:rsid w:val="00313B8C"/>
    <w:rsid w:val="00314E3B"/>
    <w:rsid w:val="00315357"/>
    <w:rsid w:val="00315607"/>
    <w:rsid w:val="00317931"/>
    <w:rsid w:val="00320303"/>
    <w:rsid w:val="003204F6"/>
    <w:rsid w:val="00321B13"/>
    <w:rsid w:val="003270BE"/>
    <w:rsid w:val="00327714"/>
    <w:rsid w:val="003278EE"/>
    <w:rsid w:val="00332017"/>
    <w:rsid w:val="0033260A"/>
    <w:rsid w:val="00333ACC"/>
    <w:rsid w:val="003349EA"/>
    <w:rsid w:val="003375FB"/>
    <w:rsid w:val="00340A42"/>
    <w:rsid w:val="00340F49"/>
    <w:rsid w:val="003417D0"/>
    <w:rsid w:val="00341BEF"/>
    <w:rsid w:val="00343601"/>
    <w:rsid w:val="0034401D"/>
    <w:rsid w:val="003459E7"/>
    <w:rsid w:val="00345CFD"/>
    <w:rsid w:val="00347A35"/>
    <w:rsid w:val="00350D84"/>
    <w:rsid w:val="00352423"/>
    <w:rsid w:val="00354028"/>
    <w:rsid w:val="003540F1"/>
    <w:rsid w:val="00354DA3"/>
    <w:rsid w:val="00355049"/>
    <w:rsid w:val="00355C43"/>
    <w:rsid w:val="003561B8"/>
    <w:rsid w:val="003569A6"/>
    <w:rsid w:val="00356BC2"/>
    <w:rsid w:val="0035769E"/>
    <w:rsid w:val="0036058B"/>
    <w:rsid w:val="00361A16"/>
    <w:rsid w:val="0036254B"/>
    <w:rsid w:val="003634B9"/>
    <w:rsid w:val="003643F0"/>
    <w:rsid w:val="0036561E"/>
    <w:rsid w:val="00372413"/>
    <w:rsid w:val="00372E00"/>
    <w:rsid w:val="00375B31"/>
    <w:rsid w:val="003763B2"/>
    <w:rsid w:val="00377A4D"/>
    <w:rsid w:val="00380E34"/>
    <w:rsid w:val="003810C2"/>
    <w:rsid w:val="003832AB"/>
    <w:rsid w:val="003844DC"/>
    <w:rsid w:val="0038609B"/>
    <w:rsid w:val="00390073"/>
    <w:rsid w:val="00390744"/>
    <w:rsid w:val="00393407"/>
    <w:rsid w:val="003940F2"/>
    <w:rsid w:val="0039486A"/>
    <w:rsid w:val="003956B3"/>
    <w:rsid w:val="003A0D0D"/>
    <w:rsid w:val="003A15C1"/>
    <w:rsid w:val="003A1808"/>
    <w:rsid w:val="003A29B2"/>
    <w:rsid w:val="003A390D"/>
    <w:rsid w:val="003A67E8"/>
    <w:rsid w:val="003B13BA"/>
    <w:rsid w:val="003B23F1"/>
    <w:rsid w:val="003B36EC"/>
    <w:rsid w:val="003B393F"/>
    <w:rsid w:val="003B46B1"/>
    <w:rsid w:val="003B4B95"/>
    <w:rsid w:val="003B4EE2"/>
    <w:rsid w:val="003B56D1"/>
    <w:rsid w:val="003B5791"/>
    <w:rsid w:val="003B64CE"/>
    <w:rsid w:val="003B65CD"/>
    <w:rsid w:val="003B6C97"/>
    <w:rsid w:val="003C15F9"/>
    <w:rsid w:val="003C2E46"/>
    <w:rsid w:val="003D0695"/>
    <w:rsid w:val="003D1BC3"/>
    <w:rsid w:val="003D31F7"/>
    <w:rsid w:val="003D3ED6"/>
    <w:rsid w:val="003D6884"/>
    <w:rsid w:val="003D7238"/>
    <w:rsid w:val="003E2602"/>
    <w:rsid w:val="003E4FB6"/>
    <w:rsid w:val="003E51C0"/>
    <w:rsid w:val="003E622A"/>
    <w:rsid w:val="003E7E8E"/>
    <w:rsid w:val="003F1860"/>
    <w:rsid w:val="003F3278"/>
    <w:rsid w:val="003F4635"/>
    <w:rsid w:val="003F67D2"/>
    <w:rsid w:val="003F7038"/>
    <w:rsid w:val="003F7A8A"/>
    <w:rsid w:val="00400385"/>
    <w:rsid w:val="004008CE"/>
    <w:rsid w:val="00401833"/>
    <w:rsid w:val="004020FC"/>
    <w:rsid w:val="004039B8"/>
    <w:rsid w:val="004045A4"/>
    <w:rsid w:val="00405445"/>
    <w:rsid w:val="00410B81"/>
    <w:rsid w:val="00410B90"/>
    <w:rsid w:val="004119A7"/>
    <w:rsid w:val="0041217B"/>
    <w:rsid w:val="0041257B"/>
    <w:rsid w:val="00412A81"/>
    <w:rsid w:val="00413506"/>
    <w:rsid w:val="004159CE"/>
    <w:rsid w:val="00416306"/>
    <w:rsid w:val="004170BA"/>
    <w:rsid w:val="00417BD9"/>
    <w:rsid w:val="004200F0"/>
    <w:rsid w:val="00420472"/>
    <w:rsid w:val="00420C36"/>
    <w:rsid w:val="00420E2C"/>
    <w:rsid w:val="004217DB"/>
    <w:rsid w:val="004230F9"/>
    <w:rsid w:val="00423712"/>
    <w:rsid w:val="004260B2"/>
    <w:rsid w:val="0042659F"/>
    <w:rsid w:val="00427C8B"/>
    <w:rsid w:val="00427D8E"/>
    <w:rsid w:val="0043341E"/>
    <w:rsid w:val="00435683"/>
    <w:rsid w:val="00436203"/>
    <w:rsid w:val="00436538"/>
    <w:rsid w:val="004373D0"/>
    <w:rsid w:val="0044029B"/>
    <w:rsid w:val="00441494"/>
    <w:rsid w:val="00441916"/>
    <w:rsid w:val="00442995"/>
    <w:rsid w:val="0044643C"/>
    <w:rsid w:val="00447090"/>
    <w:rsid w:val="00450700"/>
    <w:rsid w:val="00451227"/>
    <w:rsid w:val="0045159B"/>
    <w:rsid w:val="00452426"/>
    <w:rsid w:val="00453653"/>
    <w:rsid w:val="00453B1F"/>
    <w:rsid w:val="00456D7E"/>
    <w:rsid w:val="004606D7"/>
    <w:rsid w:val="004613A5"/>
    <w:rsid w:val="00461C6E"/>
    <w:rsid w:val="00461E6E"/>
    <w:rsid w:val="004627F3"/>
    <w:rsid w:val="00462EAB"/>
    <w:rsid w:val="00463076"/>
    <w:rsid w:val="00463C0F"/>
    <w:rsid w:val="00463C49"/>
    <w:rsid w:val="00463D61"/>
    <w:rsid w:val="004644BA"/>
    <w:rsid w:val="0046578B"/>
    <w:rsid w:val="00466A7C"/>
    <w:rsid w:val="00467813"/>
    <w:rsid w:val="00470EE6"/>
    <w:rsid w:val="00471460"/>
    <w:rsid w:val="004719A6"/>
    <w:rsid w:val="00471A9B"/>
    <w:rsid w:val="00472543"/>
    <w:rsid w:val="00473310"/>
    <w:rsid w:val="00475569"/>
    <w:rsid w:val="00475C08"/>
    <w:rsid w:val="00475F2A"/>
    <w:rsid w:val="00476D8F"/>
    <w:rsid w:val="00477A14"/>
    <w:rsid w:val="00477A70"/>
    <w:rsid w:val="00482489"/>
    <w:rsid w:val="004835B0"/>
    <w:rsid w:val="00483A8A"/>
    <w:rsid w:val="0048430E"/>
    <w:rsid w:val="00485EF6"/>
    <w:rsid w:val="00486724"/>
    <w:rsid w:val="00486C4B"/>
    <w:rsid w:val="00487D01"/>
    <w:rsid w:val="00490146"/>
    <w:rsid w:val="004912B2"/>
    <w:rsid w:val="004946C5"/>
    <w:rsid w:val="00497E2F"/>
    <w:rsid w:val="004A06C0"/>
    <w:rsid w:val="004A128A"/>
    <w:rsid w:val="004A15B4"/>
    <w:rsid w:val="004A20E1"/>
    <w:rsid w:val="004A2788"/>
    <w:rsid w:val="004A316B"/>
    <w:rsid w:val="004A4ECA"/>
    <w:rsid w:val="004B4CB1"/>
    <w:rsid w:val="004C0E32"/>
    <w:rsid w:val="004C1560"/>
    <w:rsid w:val="004C1767"/>
    <w:rsid w:val="004C1C97"/>
    <w:rsid w:val="004C22E9"/>
    <w:rsid w:val="004C37AC"/>
    <w:rsid w:val="004C4798"/>
    <w:rsid w:val="004C701D"/>
    <w:rsid w:val="004D0CAF"/>
    <w:rsid w:val="004D0E5A"/>
    <w:rsid w:val="004D38F9"/>
    <w:rsid w:val="004D3994"/>
    <w:rsid w:val="004D4028"/>
    <w:rsid w:val="004D4C3A"/>
    <w:rsid w:val="004D4D45"/>
    <w:rsid w:val="004D607C"/>
    <w:rsid w:val="004D6364"/>
    <w:rsid w:val="004D6BBA"/>
    <w:rsid w:val="004D73F5"/>
    <w:rsid w:val="004E149D"/>
    <w:rsid w:val="004E2966"/>
    <w:rsid w:val="004E2B08"/>
    <w:rsid w:val="004E36B1"/>
    <w:rsid w:val="004F01CB"/>
    <w:rsid w:val="004F044D"/>
    <w:rsid w:val="004F12F4"/>
    <w:rsid w:val="004F3609"/>
    <w:rsid w:val="004F7E80"/>
    <w:rsid w:val="00500084"/>
    <w:rsid w:val="005006AD"/>
    <w:rsid w:val="005027C9"/>
    <w:rsid w:val="00502A1A"/>
    <w:rsid w:val="005056DA"/>
    <w:rsid w:val="005056F9"/>
    <w:rsid w:val="00505BD3"/>
    <w:rsid w:val="00505F88"/>
    <w:rsid w:val="005066E5"/>
    <w:rsid w:val="00507377"/>
    <w:rsid w:val="00507B41"/>
    <w:rsid w:val="0051075F"/>
    <w:rsid w:val="0051148D"/>
    <w:rsid w:val="00512761"/>
    <w:rsid w:val="00513720"/>
    <w:rsid w:val="005139A5"/>
    <w:rsid w:val="00514501"/>
    <w:rsid w:val="00514822"/>
    <w:rsid w:val="00516610"/>
    <w:rsid w:val="0052086B"/>
    <w:rsid w:val="0052116A"/>
    <w:rsid w:val="00522533"/>
    <w:rsid w:val="00523359"/>
    <w:rsid w:val="00524BCC"/>
    <w:rsid w:val="0052650C"/>
    <w:rsid w:val="00530F48"/>
    <w:rsid w:val="005323B6"/>
    <w:rsid w:val="00535780"/>
    <w:rsid w:val="00535CE1"/>
    <w:rsid w:val="005376FA"/>
    <w:rsid w:val="00541379"/>
    <w:rsid w:val="005433CE"/>
    <w:rsid w:val="00545250"/>
    <w:rsid w:val="005456EE"/>
    <w:rsid w:val="005456F3"/>
    <w:rsid w:val="0054603A"/>
    <w:rsid w:val="00551040"/>
    <w:rsid w:val="00551568"/>
    <w:rsid w:val="005517E3"/>
    <w:rsid w:val="005552FD"/>
    <w:rsid w:val="00555A6D"/>
    <w:rsid w:val="00555A85"/>
    <w:rsid w:val="00555C51"/>
    <w:rsid w:val="00555C86"/>
    <w:rsid w:val="00555EC1"/>
    <w:rsid w:val="00556E91"/>
    <w:rsid w:val="00561428"/>
    <w:rsid w:val="00561A32"/>
    <w:rsid w:val="005629A5"/>
    <w:rsid w:val="00565C38"/>
    <w:rsid w:val="0056600B"/>
    <w:rsid w:val="00566F67"/>
    <w:rsid w:val="00571607"/>
    <w:rsid w:val="00572879"/>
    <w:rsid w:val="005728DE"/>
    <w:rsid w:val="00572FF7"/>
    <w:rsid w:val="005737A6"/>
    <w:rsid w:val="005742EF"/>
    <w:rsid w:val="00576F57"/>
    <w:rsid w:val="00582E29"/>
    <w:rsid w:val="00583E6F"/>
    <w:rsid w:val="005849C2"/>
    <w:rsid w:val="00587102"/>
    <w:rsid w:val="00590718"/>
    <w:rsid w:val="005911C5"/>
    <w:rsid w:val="00591AF2"/>
    <w:rsid w:val="0059387F"/>
    <w:rsid w:val="005944B2"/>
    <w:rsid w:val="00595671"/>
    <w:rsid w:val="00595BA3"/>
    <w:rsid w:val="0059692C"/>
    <w:rsid w:val="005979EB"/>
    <w:rsid w:val="005A0417"/>
    <w:rsid w:val="005A04E9"/>
    <w:rsid w:val="005A1445"/>
    <w:rsid w:val="005A194F"/>
    <w:rsid w:val="005A1AB5"/>
    <w:rsid w:val="005A28F0"/>
    <w:rsid w:val="005A331C"/>
    <w:rsid w:val="005A4568"/>
    <w:rsid w:val="005A49CB"/>
    <w:rsid w:val="005A69F2"/>
    <w:rsid w:val="005A6A65"/>
    <w:rsid w:val="005B0105"/>
    <w:rsid w:val="005B0417"/>
    <w:rsid w:val="005B0705"/>
    <w:rsid w:val="005B0FB7"/>
    <w:rsid w:val="005B3BD4"/>
    <w:rsid w:val="005B5E98"/>
    <w:rsid w:val="005B5F21"/>
    <w:rsid w:val="005B7028"/>
    <w:rsid w:val="005B716C"/>
    <w:rsid w:val="005B76CC"/>
    <w:rsid w:val="005C0308"/>
    <w:rsid w:val="005C05D9"/>
    <w:rsid w:val="005C34ED"/>
    <w:rsid w:val="005C3612"/>
    <w:rsid w:val="005C3BCB"/>
    <w:rsid w:val="005C43C7"/>
    <w:rsid w:val="005C4BFA"/>
    <w:rsid w:val="005D11F4"/>
    <w:rsid w:val="005D1ABC"/>
    <w:rsid w:val="005D1B7C"/>
    <w:rsid w:val="005D2142"/>
    <w:rsid w:val="005D2CBE"/>
    <w:rsid w:val="005D36B1"/>
    <w:rsid w:val="005D60EE"/>
    <w:rsid w:val="005D7F89"/>
    <w:rsid w:val="005E0B56"/>
    <w:rsid w:val="005E1A04"/>
    <w:rsid w:val="005E2128"/>
    <w:rsid w:val="005E6F38"/>
    <w:rsid w:val="005F05FE"/>
    <w:rsid w:val="005F11C7"/>
    <w:rsid w:val="005F2E16"/>
    <w:rsid w:val="005F3061"/>
    <w:rsid w:val="005F3C71"/>
    <w:rsid w:val="005F42B6"/>
    <w:rsid w:val="005F4C78"/>
    <w:rsid w:val="005F6E61"/>
    <w:rsid w:val="005F7972"/>
    <w:rsid w:val="00600847"/>
    <w:rsid w:val="0060104B"/>
    <w:rsid w:val="00602908"/>
    <w:rsid w:val="006041E5"/>
    <w:rsid w:val="00604458"/>
    <w:rsid w:val="006044A1"/>
    <w:rsid w:val="00604C8B"/>
    <w:rsid w:val="00604C98"/>
    <w:rsid w:val="00605368"/>
    <w:rsid w:val="006060DE"/>
    <w:rsid w:val="00606D31"/>
    <w:rsid w:val="00606D43"/>
    <w:rsid w:val="0061021A"/>
    <w:rsid w:val="00610286"/>
    <w:rsid w:val="006109F5"/>
    <w:rsid w:val="00612547"/>
    <w:rsid w:val="006130DB"/>
    <w:rsid w:val="00613FB0"/>
    <w:rsid w:val="0062009E"/>
    <w:rsid w:val="006209D5"/>
    <w:rsid w:val="00621959"/>
    <w:rsid w:val="00622707"/>
    <w:rsid w:val="006234BD"/>
    <w:rsid w:val="0062461F"/>
    <w:rsid w:val="00625D0E"/>
    <w:rsid w:val="00627206"/>
    <w:rsid w:val="0062796B"/>
    <w:rsid w:val="006309DC"/>
    <w:rsid w:val="00633AD8"/>
    <w:rsid w:val="006365A9"/>
    <w:rsid w:val="006373C2"/>
    <w:rsid w:val="006402D7"/>
    <w:rsid w:val="00641BE2"/>
    <w:rsid w:val="00642285"/>
    <w:rsid w:val="006423CA"/>
    <w:rsid w:val="00645D9F"/>
    <w:rsid w:val="0064697D"/>
    <w:rsid w:val="006474FF"/>
    <w:rsid w:val="00647C37"/>
    <w:rsid w:val="00651BB7"/>
    <w:rsid w:val="00652635"/>
    <w:rsid w:val="00654F0C"/>
    <w:rsid w:val="00655095"/>
    <w:rsid w:val="006553E9"/>
    <w:rsid w:val="0065582A"/>
    <w:rsid w:val="00660824"/>
    <w:rsid w:val="0066244D"/>
    <w:rsid w:val="006650BA"/>
    <w:rsid w:val="0067012A"/>
    <w:rsid w:val="00671113"/>
    <w:rsid w:val="00671507"/>
    <w:rsid w:val="0067174A"/>
    <w:rsid w:val="006729F1"/>
    <w:rsid w:val="0067319B"/>
    <w:rsid w:val="006741CA"/>
    <w:rsid w:val="006754DA"/>
    <w:rsid w:val="00675F61"/>
    <w:rsid w:val="006764DC"/>
    <w:rsid w:val="00676907"/>
    <w:rsid w:val="00676CD6"/>
    <w:rsid w:val="00676D58"/>
    <w:rsid w:val="0067767C"/>
    <w:rsid w:val="00683A0D"/>
    <w:rsid w:val="00684134"/>
    <w:rsid w:val="0068430B"/>
    <w:rsid w:val="0068538C"/>
    <w:rsid w:val="00685566"/>
    <w:rsid w:val="0069137D"/>
    <w:rsid w:val="00695723"/>
    <w:rsid w:val="00695ADF"/>
    <w:rsid w:val="00695C7D"/>
    <w:rsid w:val="006A2FF0"/>
    <w:rsid w:val="006A385C"/>
    <w:rsid w:val="006B18C6"/>
    <w:rsid w:val="006B1B9F"/>
    <w:rsid w:val="006B459D"/>
    <w:rsid w:val="006B61B3"/>
    <w:rsid w:val="006B7D6E"/>
    <w:rsid w:val="006B7F9F"/>
    <w:rsid w:val="006C16A8"/>
    <w:rsid w:val="006C181A"/>
    <w:rsid w:val="006C2C25"/>
    <w:rsid w:val="006C46E7"/>
    <w:rsid w:val="006D0AD6"/>
    <w:rsid w:val="006D22AC"/>
    <w:rsid w:val="006D244D"/>
    <w:rsid w:val="006D2A4F"/>
    <w:rsid w:val="006D4628"/>
    <w:rsid w:val="006D4836"/>
    <w:rsid w:val="006D519E"/>
    <w:rsid w:val="006E0579"/>
    <w:rsid w:val="006E2C6D"/>
    <w:rsid w:val="006E4E16"/>
    <w:rsid w:val="006E6557"/>
    <w:rsid w:val="006F018C"/>
    <w:rsid w:val="006F01F9"/>
    <w:rsid w:val="006F1718"/>
    <w:rsid w:val="006F563B"/>
    <w:rsid w:val="006F71F7"/>
    <w:rsid w:val="007008D3"/>
    <w:rsid w:val="007023FF"/>
    <w:rsid w:val="00705052"/>
    <w:rsid w:val="00705A30"/>
    <w:rsid w:val="00705EAF"/>
    <w:rsid w:val="0070612E"/>
    <w:rsid w:val="0070630D"/>
    <w:rsid w:val="00706DA6"/>
    <w:rsid w:val="00711339"/>
    <w:rsid w:val="0071201D"/>
    <w:rsid w:val="0071269E"/>
    <w:rsid w:val="007126B2"/>
    <w:rsid w:val="00713B29"/>
    <w:rsid w:val="00713D40"/>
    <w:rsid w:val="007148CF"/>
    <w:rsid w:val="00715419"/>
    <w:rsid w:val="007167E0"/>
    <w:rsid w:val="00716978"/>
    <w:rsid w:val="00717E97"/>
    <w:rsid w:val="00720633"/>
    <w:rsid w:val="00721435"/>
    <w:rsid w:val="0072302E"/>
    <w:rsid w:val="00724111"/>
    <w:rsid w:val="00724592"/>
    <w:rsid w:val="00724980"/>
    <w:rsid w:val="0072569A"/>
    <w:rsid w:val="00726162"/>
    <w:rsid w:val="007268BE"/>
    <w:rsid w:val="00726B4B"/>
    <w:rsid w:val="00727E6E"/>
    <w:rsid w:val="007305DA"/>
    <w:rsid w:val="00730F79"/>
    <w:rsid w:val="007314FC"/>
    <w:rsid w:val="0073276C"/>
    <w:rsid w:val="007337F2"/>
    <w:rsid w:val="00737198"/>
    <w:rsid w:val="00741F91"/>
    <w:rsid w:val="00743A1C"/>
    <w:rsid w:val="00745B65"/>
    <w:rsid w:val="00751CA4"/>
    <w:rsid w:val="007530A9"/>
    <w:rsid w:val="00753AD0"/>
    <w:rsid w:val="00754509"/>
    <w:rsid w:val="00761CA0"/>
    <w:rsid w:val="007626E8"/>
    <w:rsid w:val="00764E92"/>
    <w:rsid w:val="00765901"/>
    <w:rsid w:val="007659D0"/>
    <w:rsid w:val="00766088"/>
    <w:rsid w:val="007661BE"/>
    <w:rsid w:val="00766C20"/>
    <w:rsid w:val="007673AA"/>
    <w:rsid w:val="00770F3E"/>
    <w:rsid w:val="00770FE5"/>
    <w:rsid w:val="007713EF"/>
    <w:rsid w:val="00771B70"/>
    <w:rsid w:val="00771F35"/>
    <w:rsid w:val="0077306E"/>
    <w:rsid w:val="007736A4"/>
    <w:rsid w:val="00773FE2"/>
    <w:rsid w:val="00774926"/>
    <w:rsid w:val="00775624"/>
    <w:rsid w:val="00775636"/>
    <w:rsid w:val="00780863"/>
    <w:rsid w:val="00781A19"/>
    <w:rsid w:val="007851DA"/>
    <w:rsid w:val="007867CD"/>
    <w:rsid w:val="00786F3E"/>
    <w:rsid w:val="007873C4"/>
    <w:rsid w:val="00793678"/>
    <w:rsid w:val="00796FAE"/>
    <w:rsid w:val="007A0877"/>
    <w:rsid w:val="007A08CD"/>
    <w:rsid w:val="007A161C"/>
    <w:rsid w:val="007A2A9F"/>
    <w:rsid w:val="007A3336"/>
    <w:rsid w:val="007A4810"/>
    <w:rsid w:val="007A61BB"/>
    <w:rsid w:val="007A6AAD"/>
    <w:rsid w:val="007A6CCA"/>
    <w:rsid w:val="007A7F26"/>
    <w:rsid w:val="007B1035"/>
    <w:rsid w:val="007B2633"/>
    <w:rsid w:val="007B2EBF"/>
    <w:rsid w:val="007B4576"/>
    <w:rsid w:val="007B5211"/>
    <w:rsid w:val="007B6FE3"/>
    <w:rsid w:val="007B7BA5"/>
    <w:rsid w:val="007C077C"/>
    <w:rsid w:val="007C1CCD"/>
    <w:rsid w:val="007C3005"/>
    <w:rsid w:val="007C63AB"/>
    <w:rsid w:val="007C644D"/>
    <w:rsid w:val="007C6A13"/>
    <w:rsid w:val="007C795B"/>
    <w:rsid w:val="007C7D7B"/>
    <w:rsid w:val="007D0532"/>
    <w:rsid w:val="007D1BA1"/>
    <w:rsid w:val="007D21D4"/>
    <w:rsid w:val="007D2C6F"/>
    <w:rsid w:val="007D32A3"/>
    <w:rsid w:val="007D3EA3"/>
    <w:rsid w:val="007D6BAE"/>
    <w:rsid w:val="007D7A00"/>
    <w:rsid w:val="007E0A91"/>
    <w:rsid w:val="007E0B70"/>
    <w:rsid w:val="007E2E6E"/>
    <w:rsid w:val="007E2E9D"/>
    <w:rsid w:val="007E2EA0"/>
    <w:rsid w:val="007E330E"/>
    <w:rsid w:val="007E5A05"/>
    <w:rsid w:val="007E6A48"/>
    <w:rsid w:val="007E7DAA"/>
    <w:rsid w:val="007F07C9"/>
    <w:rsid w:val="007F11F3"/>
    <w:rsid w:val="007F1A03"/>
    <w:rsid w:val="007F2542"/>
    <w:rsid w:val="007F2AAC"/>
    <w:rsid w:val="007F356C"/>
    <w:rsid w:val="007F4AF0"/>
    <w:rsid w:val="007F506D"/>
    <w:rsid w:val="00803A55"/>
    <w:rsid w:val="00803F33"/>
    <w:rsid w:val="0080578A"/>
    <w:rsid w:val="00807B2A"/>
    <w:rsid w:val="008107EB"/>
    <w:rsid w:val="00810A6E"/>
    <w:rsid w:val="00812CF6"/>
    <w:rsid w:val="00813409"/>
    <w:rsid w:val="00815092"/>
    <w:rsid w:val="008160FC"/>
    <w:rsid w:val="008206D6"/>
    <w:rsid w:val="00821BF6"/>
    <w:rsid w:val="00822F77"/>
    <w:rsid w:val="0082388D"/>
    <w:rsid w:val="008240A3"/>
    <w:rsid w:val="0082419C"/>
    <w:rsid w:val="00824558"/>
    <w:rsid w:val="008261E9"/>
    <w:rsid w:val="00826A0B"/>
    <w:rsid w:val="00827DE6"/>
    <w:rsid w:val="008304EA"/>
    <w:rsid w:val="008310A7"/>
    <w:rsid w:val="00833742"/>
    <w:rsid w:val="00834DAF"/>
    <w:rsid w:val="008358AD"/>
    <w:rsid w:val="00835DEC"/>
    <w:rsid w:val="00835EF2"/>
    <w:rsid w:val="0083673F"/>
    <w:rsid w:val="00836D0B"/>
    <w:rsid w:val="008406D1"/>
    <w:rsid w:val="008417BB"/>
    <w:rsid w:val="008432A8"/>
    <w:rsid w:val="00843F19"/>
    <w:rsid w:val="00845A6E"/>
    <w:rsid w:val="008464D8"/>
    <w:rsid w:val="008470B2"/>
    <w:rsid w:val="00847174"/>
    <w:rsid w:val="00850F9B"/>
    <w:rsid w:val="00851786"/>
    <w:rsid w:val="0085267E"/>
    <w:rsid w:val="00853083"/>
    <w:rsid w:val="00853775"/>
    <w:rsid w:val="00853E45"/>
    <w:rsid w:val="00855839"/>
    <w:rsid w:val="00855D77"/>
    <w:rsid w:val="00856284"/>
    <w:rsid w:val="00856615"/>
    <w:rsid w:val="00856B6D"/>
    <w:rsid w:val="0085719E"/>
    <w:rsid w:val="008572A2"/>
    <w:rsid w:val="008602EF"/>
    <w:rsid w:val="00861B17"/>
    <w:rsid w:val="008629D2"/>
    <w:rsid w:val="00863F05"/>
    <w:rsid w:val="008641FA"/>
    <w:rsid w:val="00864904"/>
    <w:rsid w:val="00865287"/>
    <w:rsid w:val="008660FB"/>
    <w:rsid w:val="00866114"/>
    <w:rsid w:val="00866F19"/>
    <w:rsid w:val="0087118A"/>
    <w:rsid w:val="008719E2"/>
    <w:rsid w:val="008724B8"/>
    <w:rsid w:val="008765B3"/>
    <w:rsid w:val="008768E5"/>
    <w:rsid w:val="00881001"/>
    <w:rsid w:val="00881E34"/>
    <w:rsid w:val="00882078"/>
    <w:rsid w:val="0088246D"/>
    <w:rsid w:val="00887146"/>
    <w:rsid w:val="00887195"/>
    <w:rsid w:val="008871F4"/>
    <w:rsid w:val="00890054"/>
    <w:rsid w:val="00890063"/>
    <w:rsid w:val="0089060B"/>
    <w:rsid w:val="008932BA"/>
    <w:rsid w:val="00893498"/>
    <w:rsid w:val="00897FAF"/>
    <w:rsid w:val="008A1F08"/>
    <w:rsid w:val="008A3255"/>
    <w:rsid w:val="008A3703"/>
    <w:rsid w:val="008A3CF5"/>
    <w:rsid w:val="008A423D"/>
    <w:rsid w:val="008A4D69"/>
    <w:rsid w:val="008A51ED"/>
    <w:rsid w:val="008A52AF"/>
    <w:rsid w:val="008A5FA5"/>
    <w:rsid w:val="008A6274"/>
    <w:rsid w:val="008A698F"/>
    <w:rsid w:val="008A7180"/>
    <w:rsid w:val="008A7609"/>
    <w:rsid w:val="008A7D64"/>
    <w:rsid w:val="008B0C75"/>
    <w:rsid w:val="008B39B0"/>
    <w:rsid w:val="008B3B36"/>
    <w:rsid w:val="008B3E80"/>
    <w:rsid w:val="008B41A1"/>
    <w:rsid w:val="008B6BC7"/>
    <w:rsid w:val="008B7473"/>
    <w:rsid w:val="008C0D25"/>
    <w:rsid w:val="008C1DB1"/>
    <w:rsid w:val="008C24C8"/>
    <w:rsid w:val="008C24CB"/>
    <w:rsid w:val="008C2679"/>
    <w:rsid w:val="008C338B"/>
    <w:rsid w:val="008C3DD8"/>
    <w:rsid w:val="008C3E27"/>
    <w:rsid w:val="008C5AAC"/>
    <w:rsid w:val="008C6239"/>
    <w:rsid w:val="008C6C97"/>
    <w:rsid w:val="008D04FC"/>
    <w:rsid w:val="008D0FA7"/>
    <w:rsid w:val="008D1535"/>
    <w:rsid w:val="008D154E"/>
    <w:rsid w:val="008D167E"/>
    <w:rsid w:val="008D1F93"/>
    <w:rsid w:val="008D21A7"/>
    <w:rsid w:val="008D2715"/>
    <w:rsid w:val="008D2D7D"/>
    <w:rsid w:val="008D424E"/>
    <w:rsid w:val="008D5459"/>
    <w:rsid w:val="008D592C"/>
    <w:rsid w:val="008D67A8"/>
    <w:rsid w:val="008D6C2A"/>
    <w:rsid w:val="008D727C"/>
    <w:rsid w:val="008E42A6"/>
    <w:rsid w:val="008E4C91"/>
    <w:rsid w:val="008E59D3"/>
    <w:rsid w:val="008E64DA"/>
    <w:rsid w:val="008E6F96"/>
    <w:rsid w:val="008E7267"/>
    <w:rsid w:val="008F0127"/>
    <w:rsid w:val="008F0FD4"/>
    <w:rsid w:val="008F1722"/>
    <w:rsid w:val="008F2348"/>
    <w:rsid w:val="008F57B6"/>
    <w:rsid w:val="008F5B4F"/>
    <w:rsid w:val="008F5BA3"/>
    <w:rsid w:val="008F5F92"/>
    <w:rsid w:val="008F6289"/>
    <w:rsid w:val="00906C48"/>
    <w:rsid w:val="00910B8C"/>
    <w:rsid w:val="00912387"/>
    <w:rsid w:val="00912894"/>
    <w:rsid w:val="00913B5A"/>
    <w:rsid w:val="0091451A"/>
    <w:rsid w:val="009146B8"/>
    <w:rsid w:val="00921879"/>
    <w:rsid w:val="00922DB9"/>
    <w:rsid w:val="009235B3"/>
    <w:rsid w:val="0092447F"/>
    <w:rsid w:val="00924A2A"/>
    <w:rsid w:val="00924F42"/>
    <w:rsid w:val="00926A73"/>
    <w:rsid w:val="009272AC"/>
    <w:rsid w:val="00931943"/>
    <w:rsid w:val="00931BBE"/>
    <w:rsid w:val="00932963"/>
    <w:rsid w:val="00934A86"/>
    <w:rsid w:val="00937460"/>
    <w:rsid w:val="00937BF4"/>
    <w:rsid w:val="00940A6D"/>
    <w:rsid w:val="009429A6"/>
    <w:rsid w:val="00943E60"/>
    <w:rsid w:val="00943E9F"/>
    <w:rsid w:val="0094575C"/>
    <w:rsid w:val="00945931"/>
    <w:rsid w:val="00946308"/>
    <w:rsid w:val="0094751F"/>
    <w:rsid w:val="00950FFB"/>
    <w:rsid w:val="00952DB9"/>
    <w:rsid w:val="0095343B"/>
    <w:rsid w:val="00954075"/>
    <w:rsid w:val="00955B11"/>
    <w:rsid w:val="00957713"/>
    <w:rsid w:val="009614EA"/>
    <w:rsid w:val="00961AA0"/>
    <w:rsid w:val="00964D52"/>
    <w:rsid w:val="00966073"/>
    <w:rsid w:val="00967FB8"/>
    <w:rsid w:val="009701AF"/>
    <w:rsid w:val="009711D8"/>
    <w:rsid w:val="00971D3D"/>
    <w:rsid w:val="0097420D"/>
    <w:rsid w:val="00975F9E"/>
    <w:rsid w:val="00976717"/>
    <w:rsid w:val="009772D9"/>
    <w:rsid w:val="0097782C"/>
    <w:rsid w:val="00977921"/>
    <w:rsid w:val="009812D5"/>
    <w:rsid w:val="009832EB"/>
    <w:rsid w:val="0098409F"/>
    <w:rsid w:val="00984BE6"/>
    <w:rsid w:val="0098544F"/>
    <w:rsid w:val="009862D4"/>
    <w:rsid w:val="00986C99"/>
    <w:rsid w:val="00990642"/>
    <w:rsid w:val="00990C2C"/>
    <w:rsid w:val="009919C3"/>
    <w:rsid w:val="00993E2A"/>
    <w:rsid w:val="009949F2"/>
    <w:rsid w:val="009A1E5C"/>
    <w:rsid w:val="009A2129"/>
    <w:rsid w:val="009A405D"/>
    <w:rsid w:val="009A4A80"/>
    <w:rsid w:val="009A4FEA"/>
    <w:rsid w:val="009A5DBD"/>
    <w:rsid w:val="009A67AF"/>
    <w:rsid w:val="009A67D4"/>
    <w:rsid w:val="009A68E5"/>
    <w:rsid w:val="009A724C"/>
    <w:rsid w:val="009A73EB"/>
    <w:rsid w:val="009A7894"/>
    <w:rsid w:val="009B57B2"/>
    <w:rsid w:val="009B6531"/>
    <w:rsid w:val="009B7400"/>
    <w:rsid w:val="009B7639"/>
    <w:rsid w:val="009C0F72"/>
    <w:rsid w:val="009C16D4"/>
    <w:rsid w:val="009C36A7"/>
    <w:rsid w:val="009C5BC4"/>
    <w:rsid w:val="009C6BEE"/>
    <w:rsid w:val="009C71FD"/>
    <w:rsid w:val="009C75B5"/>
    <w:rsid w:val="009C7D00"/>
    <w:rsid w:val="009D31AA"/>
    <w:rsid w:val="009D32A9"/>
    <w:rsid w:val="009D47FF"/>
    <w:rsid w:val="009D593E"/>
    <w:rsid w:val="009D5BF1"/>
    <w:rsid w:val="009D7ABC"/>
    <w:rsid w:val="009E1D2A"/>
    <w:rsid w:val="009E1F3E"/>
    <w:rsid w:val="009E2640"/>
    <w:rsid w:val="009E2D6E"/>
    <w:rsid w:val="009E38CD"/>
    <w:rsid w:val="009E3FC2"/>
    <w:rsid w:val="009E42E6"/>
    <w:rsid w:val="009E4E0F"/>
    <w:rsid w:val="009E50AA"/>
    <w:rsid w:val="009E5700"/>
    <w:rsid w:val="009E7C1D"/>
    <w:rsid w:val="009F1442"/>
    <w:rsid w:val="009F1843"/>
    <w:rsid w:val="009F29C4"/>
    <w:rsid w:val="009F2D72"/>
    <w:rsid w:val="009F39F1"/>
    <w:rsid w:val="009F5E94"/>
    <w:rsid w:val="009F5EE0"/>
    <w:rsid w:val="009F641A"/>
    <w:rsid w:val="00A012EE"/>
    <w:rsid w:val="00A01B5B"/>
    <w:rsid w:val="00A0287D"/>
    <w:rsid w:val="00A02D21"/>
    <w:rsid w:val="00A03DEB"/>
    <w:rsid w:val="00A04126"/>
    <w:rsid w:val="00A04AED"/>
    <w:rsid w:val="00A0517B"/>
    <w:rsid w:val="00A05574"/>
    <w:rsid w:val="00A0620B"/>
    <w:rsid w:val="00A06C94"/>
    <w:rsid w:val="00A06DA0"/>
    <w:rsid w:val="00A10BCF"/>
    <w:rsid w:val="00A11472"/>
    <w:rsid w:val="00A117B4"/>
    <w:rsid w:val="00A12084"/>
    <w:rsid w:val="00A12458"/>
    <w:rsid w:val="00A15A42"/>
    <w:rsid w:val="00A1635B"/>
    <w:rsid w:val="00A16666"/>
    <w:rsid w:val="00A16E93"/>
    <w:rsid w:val="00A16F72"/>
    <w:rsid w:val="00A17C48"/>
    <w:rsid w:val="00A2149E"/>
    <w:rsid w:val="00A22BF1"/>
    <w:rsid w:val="00A24566"/>
    <w:rsid w:val="00A24985"/>
    <w:rsid w:val="00A262C5"/>
    <w:rsid w:val="00A278E2"/>
    <w:rsid w:val="00A30671"/>
    <w:rsid w:val="00A30EEB"/>
    <w:rsid w:val="00A32AF7"/>
    <w:rsid w:val="00A36850"/>
    <w:rsid w:val="00A37B6A"/>
    <w:rsid w:val="00A40AB4"/>
    <w:rsid w:val="00A42247"/>
    <w:rsid w:val="00A435F4"/>
    <w:rsid w:val="00A43A08"/>
    <w:rsid w:val="00A45698"/>
    <w:rsid w:val="00A472C4"/>
    <w:rsid w:val="00A4751B"/>
    <w:rsid w:val="00A475E1"/>
    <w:rsid w:val="00A507E6"/>
    <w:rsid w:val="00A51012"/>
    <w:rsid w:val="00A52470"/>
    <w:rsid w:val="00A53970"/>
    <w:rsid w:val="00A544E7"/>
    <w:rsid w:val="00A551CA"/>
    <w:rsid w:val="00A55483"/>
    <w:rsid w:val="00A5685E"/>
    <w:rsid w:val="00A60979"/>
    <w:rsid w:val="00A60A4F"/>
    <w:rsid w:val="00A60AAF"/>
    <w:rsid w:val="00A60E12"/>
    <w:rsid w:val="00A61116"/>
    <w:rsid w:val="00A62347"/>
    <w:rsid w:val="00A6620C"/>
    <w:rsid w:val="00A66937"/>
    <w:rsid w:val="00A67B5C"/>
    <w:rsid w:val="00A70827"/>
    <w:rsid w:val="00A71E07"/>
    <w:rsid w:val="00A72BFA"/>
    <w:rsid w:val="00A74893"/>
    <w:rsid w:val="00A74A79"/>
    <w:rsid w:val="00A76EE0"/>
    <w:rsid w:val="00A806F8"/>
    <w:rsid w:val="00A815A4"/>
    <w:rsid w:val="00A81BE5"/>
    <w:rsid w:val="00A83B3F"/>
    <w:rsid w:val="00A8561F"/>
    <w:rsid w:val="00A87100"/>
    <w:rsid w:val="00A926DB"/>
    <w:rsid w:val="00A94C63"/>
    <w:rsid w:val="00A97D2B"/>
    <w:rsid w:val="00AA2DD8"/>
    <w:rsid w:val="00AA2DF6"/>
    <w:rsid w:val="00AA4A03"/>
    <w:rsid w:val="00AB10DC"/>
    <w:rsid w:val="00AB14BF"/>
    <w:rsid w:val="00AB358C"/>
    <w:rsid w:val="00AB49FB"/>
    <w:rsid w:val="00AB56C5"/>
    <w:rsid w:val="00AB64E4"/>
    <w:rsid w:val="00AB69DC"/>
    <w:rsid w:val="00AB6A89"/>
    <w:rsid w:val="00AB6B7E"/>
    <w:rsid w:val="00AB73DA"/>
    <w:rsid w:val="00AB78AD"/>
    <w:rsid w:val="00AB7C96"/>
    <w:rsid w:val="00AC10A3"/>
    <w:rsid w:val="00AC2613"/>
    <w:rsid w:val="00AC2B25"/>
    <w:rsid w:val="00AC55F1"/>
    <w:rsid w:val="00AD00BD"/>
    <w:rsid w:val="00AD05DC"/>
    <w:rsid w:val="00AD080E"/>
    <w:rsid w:val="00AD18C3"/>
    <w:rsid w:val="00AD1AAC"/>
    <w:rsid w:val="00AD25F6"/>
    <w:rsid w:val="00AD3B71"/>
    <w:rsid w:val="00AD40BA"/>
    <w:rsid w:val="00AD49FC"/>
    <w:rsid w:val="00AD4F8D"/>
    <w:rsid w:val="00AD51D8"/>
    <w:rsid w:val="00AD77B3"/>
    <w:rsid w:val="00AD7AB2"/>
    <w:rsid w:val="00AE0268"/>
    <w:rsid w:val="00AE04F5"/>
    <w:rsid w:val="00AE3664"/>
    <w:rsid w:val="00AE3AC7"/>
    <w:rsid w:val="00AE4792"/>
    <w:rsid w:val="00AE688A"/>
    <w:rsid w:val="00AE7E79"/>
    <w:rsid w:val="00AF0166"/>
    <w:rsid w:val="00AF01B4"/>
    <w:rsid w:val="00AF0BAA"/>
    <w:rsid w:val="00AF3BBD"/>
    <w:rsid w:val="00AF4427"/>
    <w:rsid w:val="00AF46B0"/>
    <w:rsid w:val="00AF4D62"/>
    <w:rsid w:val="00AF53D3"/>
    <w:rsid w:val="00AF63A5"/>
    <w:rsid w:val="00AF77EA"/>
    <w:rsid w:val="00B019F9"/>
    <w:rsid w:val="00B01CF2"/>
    <w:rsid w:val="00B01D56"/>
    <w:rsid w:val="00B02BBF"/>
    <w:rsid w:val="00B03C02"/>
    <w:rsid w:val="00B050C4"/>
    <w:rsid w:val="00B05D2A"/>
    <w:rsid w:val="00B07F34"/>
    <w:rsid w:val="00B1036C"/>
    <w:rsid w:val="00B11BC3"/>
    <w:rsid w:val="00B12095"/>
    <w:rsid w:val="00B130A0"/>
    <w:rsid w:val="00B169A7"/>
    <w:rsid w:val="00B20112"/>
    <w:rsid w:val="00B2039F"/>
    <w:rsid w:val="00B2095E"/>
    <w:rsid w:val="00B2281E"/>
    <w:rsid w:val="00B23A9F"/>
    <w:rsid w:val="00B23C61"/>
    <w:rsid w:val="00B243DF"/>
    <w:rsid w:val="00B25790"/>
    <w:rsid w:val="00B25F0E"/>
    <w:rsid w:val="00B2752C"/>
    <w:rsid w:val="00B306CB"/>
    <w:rsid w:val="00B31DE7"/>
    <w:rsid w:val="00B34D9C"/>
    <w:rsid w:val="00B35CEC"/>
    <w:rsid w:val="00B36224"/>
    <w:rsid w:val="00B36271"/>
    <w:rsid w:val="00B40EF9"/>
    <w:rsid w:val="00B417CE"/>
    <w:rsid w:val="00B433CD"/>
    <w:rsid w:val="00B443CA"/>
    <w:rsid w:val="00B44534"/>
    <w:rsid w:val="00B44F7F"/>
    <w:rsid w:val="00B46FBE"/>
    <w:rsid w:val="00B47274"/>
    <w:rsid w:val="00B47EF9"/>
    <w:rsid w:val="00B51455"/>
    <w:rsid w:val="00B51789"/>
    <w:rsid w:val="00B54ABB"/>
    <w:rsid w:val="00B55D96"/>
    <w:rsid w:val="00B56CC0"/>
    <w:rsid w:val="00B57F1F"/>
    <w:rsid w:val="00B57FD6"/>
    <w:rsid w:val="00B60B5D"/>
    <w:rsid w:val="00B60BEC"/>
    <w:rsid w:val="00B6222C"/>
    <w:rsid w:val="00B6263A"/>
    <w:rsid w:val="00B64BBA"/>
    <w:rsid w:val="00B650C1"/>
    <w:rsid w:val="00B65481"/>
    <w:rsid w:val="00B65B35"/>
    <w:rsid w:val="00B66070"/>
    <w:rsid w:val="00B67A0A"/>
    <w:rsid w:val="00B71122"/>
    <w:rsid w:val="00B72E28"/>
    <w:rsid w:val="00B74143"/>
    <w:rsid w:val="00B74ABA"/>
    <w:rsid w:val="00B75538"/>
    <w:rsid w:val="00B76D73"/>
    <w:rsid w:val="00B82F40"/>
    <w:rsid w:val="00B83706"/>
    <w:rsid w:val="00B837E2"/>
    <w:rsid w:val="00B83D6D"/>
    <w:rsid w:val="00B83EBB"/>
    <w:rsid w:val="00B85019"/>
    <w:rsid w:val="00B872BE"/>
    <w:rsid w:val="00B909C8"/>
    <w:rsid w:val="00B90F83"/>
    <w:rsid w:val="00B91684"/>
    <w:rsid w:val="00B9261F"/>
    <w:rsid w:val="00B93895"/>
    <w:rsid w:val="00B95668"/>
    <w:rsid w:val="00B96361"/>
    <w:rsid w:val="00B9665D"/>
    <w:rsid w:val="00B96FDF"/>
    <w:rsid w:val="00B9774D"/>
    <w:rsid w:val="00BA1979"/>
    <w:rsid w:val="00BA1F8B"/>
    <w:rsid w:val="00BA2813"/>
    <w:rsid w:val="00BA32A2"/>
    <w:rsid w:val="00BA503F"/>
    <w:rsid w:val="00BA6B74"/>
    <w:rsid w:val="00BA7189"/>
    <w:rsid w:val="00BA750D"/>
    <w:rsid w:val="00BB0DF7"/>
    <w:rsid w:val="00BB11C8"/>
    <w:rsid w:val="00BB20B9"/>
    <w:rsid w:val="00BB2FD2"/>
    <w:rsid w:val="00BB36BE"/>
    <w:rsid w:val="00BB44D6"/>
    <w:rsid w:val="00BB4874"/>
    <w:rsid w:val="00BB5988"/>
    <w:rsid w:val="00BB5AAD"/>
    <w:rsid w:val="00BB643E"/>
    <w:rsid w:val="00BB659C"/>
    <w:rsid w:val="00BB6E50"/>
    <w:rsid w:val="00BB709B"/>
    <w:rsid w:val="00BB78DF"/>
    <w:rsid w:val="00BB79E9"/>
    <w:rsid w:val="00BC0624"/>
    <w:rsid w:val="00BC0699"/>
    <w:rsid w:val="00BC08E5"/>
    <w:rsid w:val="00BC1A45"/>
    <w:rsid w:val="00BC2258"/>
    <w:rsid w:val="00BC2C87"/>
    <w:rsid w:val="00BC5A66"/>
    <w:rsid w:val="00BC5B66"/>
    <w:rsid w:val="00BC7A5D"/>
    <w:rsid w:val="00BC7B79"/>
    <w:rsid w:val="00BC7C72"/>
    <w:rsid w:val="00BD0210"/>
    <w:rsid w:val="00BD0463"/>
    <w:rsid w:val="00BD0DC8"/>
    <w:rsid w:val="00BD18B0"/>
    <w:rsid w:val="00BD3909"/>
    <w:rsid w:val="00BD3E11"/>
    <w:rsid w:val="00BD680D"/>
    <w:rsid w:val="00BD7232"/>
    <w:rsid w:val="00BD770D"/>
    <w:rsid w:val="00BE043B"/>
    <w:rsid w:val="00BE0DE1"/>
    <w:rsid w:val="00BE1520"/>
    <w:rsid w:val="00BE20DB"/>
    <w:rsid w:val="00BE23E0"/>
    <w:rsid w:val="00BE268B"/>
    <w:rsid w:val="00BE48E8"/>
    <w:rsid w:val="00BE5E3E"/>
    <w:rsid w:val="00BE679E"/>
    <w:rsid w:val="00BE6BCD"/>
    <w:rsid w:val="00BE71FF"/>
    <w:rsid w:val="00BF03C0"/>
    <w:rsid w:val="00BF25F8"/>
    <w:rsid w:val="00BF2BDC"/>
    <w:rsid w:val="00BF3D5C"/>
    <w:rsid w:val="00BF75C7"/>
    <w:rsid w:val="00C007E6"/>
    <w:rsid w:val="00C00B5E"/>
    <w:rsid w:val="00C00BBB"/>
    <w:rsid w:val="00C012F6"/>
    <w:rsid w:val="00C037C2"/>
    <w:rsid w:val="00C03A38"/>
    <w:rsid w:val="00C075A1"/>
    <w:rsid w:val="00C07BCE"/>
    <w:rsid w:val="00C118EF"/>
    <w:rsid w:val="00C119EE"/>
    <w:rsid w:val="00C11E65"/>
    <w:rsid w:val="00C121F6"/>
    <w:rsid w:val="00C1324D"/>
    <w:rsid w:val="00C159E1"/>
    <w:rsid w:val="00C1611A"/>
    <w:rsid w:val="00C206B0"/>
    <w:rsid w:val="00C21A6D"/>
    <w:rsid w:val="00C21D06"/>
    <w:rsid w:val="00C21E9A"/>
    <w:rsid w:val="00C22424"/>
    <w:rsid w:val="00C23166"/>
    <w:rsid w:val="00C23901"/>
    <w:rsid w:val="00C23F6D"/>
    <w:rsid w:val="00C25BE3"/>
    <w:rsid w:val="00C267A4"/>
    <w:rsid w:val="00C27945"/>
    <w:rsid w:val="00C27DE4"/>
    <w:rsid w:val="00C27F7B"/>
    <w:rsid w:val="00C30BAD"/>
    <w:rsid w:val="00C31F15"/>
    <w:rsid w:val="00C32E47"/>
    <w:rsid w:val="00C33A75"/>
    <w:rsid w:val="00C34379"/>
    <w:rsid w:val="00C345E7"/>
    <w:rsid w:val="00C3476A"/>
    <w:rsid w:val="00C34EAD"/>
    <w:rsid w:val="00C35EA9"/>
    <w:rsid w:val="00C366E5"/>
    <w:rsid w:val="00C376C2"/>
    <w:rsid w:val="00C40010"/>
    <w:rsid w:val="00C40D55"/>
    <w:rsid w:val="00C42CFB"/>
    <w:rsid w:val="00C42E61"/>
    <w:rsid w:val="00C430C5"/>
    <w:rsid w:val="00C43120"/>
    <w:rsid w:val="00C439F9"/>
    <w:rsid w:val="00C43B91"/>
    <w:rsid w:val="00C443FA"/>
    <w:rsid w:val="00C44AEF"/>
    <w:rsid w:val="00C450E1"/>
    <w:rsid w:val="00C45EF6"/>
    <w:rsid w:val="00C467FF"/>
    <w:rsid w:val="00C53492"/>
    <w:rsid w:val="00C55347"/>
    <w:rsid w:val="00C55698"/>
    <w:rsid w:val="00C55736"/>
    <w:rsid w:val="00C56E55"/>
    <w:rsid w:val="00C572DC"/>
    <w:rsid w:val="00C576B3"/>
    <w:rsid w:val="00C57AA6"/>
    <w:rsid w:val="00C6053B"/>
    <w:rsid w:val="00C608BD"/>
    <w:rsid w:val="00C61E6E"/>
    <w:rsid w:val="00C6316F"/>
    <w:rsid w:val="00C636D9"/>
    <w:rsid w:val="00C64771"/>
    <w:rsid w:val="00C65EBB"/>
    <w:rsid w:val="00C70A06"/>
    <w:rsid w:val="00C714DC"/>
    <w:rsid w:val="00C73951"/>
    <w:rsid w:val="00C73C1A"/>
    <w:rsid w:val="00C74668"/>
    <w:rsid w:val="00C775FA"/>
    <w:rsid w:val="00C82667"/>
    <w:rsid w:val="00C83333"/>
    <w:rsid w:val="00C8404E"/>
    <w:rsid w:val="00C8530B"/>
    <w:rsid w:val="00C860C9"/>
    <w:rsid w:val="00C86932"/>
    <w:rsid w:val="00C87804"/>
    <w:rsid w:val="00C87D0B"/>
    <w:rsid w:val="00C9032D"/>
    <w:rsid w:val="00C93F8F"/>
    <w:rsid w:val="00C94046"/>
    <w:rsid w:val="00C94204"/>
    <w:rsid w:val="00C95D82"/>
    <w:rsid w:val="00C95FDC"/>
    <w:rsid w:val="00C97258"/>
    <w:rsid w:val="00CA16EE"/>
    <w:rsid w:val="00CA47EC"/>
    <w:rsid w:val="00CA4ED4"/>
    <w:rsid w:val="00CA53AE"/>
    <w:rsid w:val="00CA53B3"/>
    <w:rsid w:val="00CB13B7"/>
    <w:rsid w:val="00CB1FDF"/>
    <w:rsid w:val="00CB4A86"/>
    <w:rsid w:val="00CB4B8A"/>
    <w:rsid w:val="00CC048C"/>
    <w:rsid w:val="00CC0DAE"/>
    <w:rsid w:val="00CC2E2F"/>
    <w:rsid w:val="00CC3BB1"/>
    <w:rsid w:val="00CC3EEC"/>
    <w:rsid w:val="00CC404B"/>
    <w:rsid w:val="00CC4FF3"/>
    <w:rsid w:val="00CC5694"/>
    <w:rsid w:val="00CC5797"/>
    <w:rsid w:val="00CC6546"/>
    <w:rsid w:val="00CC66CD"/>
    <w:rsid w:val="00CC7211"/>
    <w:rsid w:val="00CD10A2"/>
    <w:rsid w:val="00CD1417"/>
    <w:rsid w:val="00CD141E"/>
    <w:rsid w:val="00CD27DC"/>
    <w:rsid w:val="00CD4FE0"/>
    <w:rsid w:val="00CD4FF1"/>
    <w:rsid w:val="00CD510A"/>
    <w:rsid w:val="00CD666E"/>
    <w:rsid w:val="00CD7369"/>
    <w:rsid w:val="00CD763F"/>
    <w:rsid w:val="00CE0A42"/>
    <w:rsid w:val="00CE11BA"/>
    <w:rsid w:val="00CE3169"/>
    <w:rsid w:val="00CE40F8"/>
    <w:rsid w:val="00CE4318"/>
    <w:rsid w:val="00CF04BB"/>
    <w:rsid w:val="00CF0A6A"/>
    <w:rsid w:val="00CF1F2C"/>
    <w:rsid w:val="00CF5133"/>
    <w:rsid w:val="00CF5CC7"/>
    <w:rsid w:val="00CF5F21"/>
    <w:rsid w:val="00D00C58"/>
    <w:rsid w:val="00D01426"/>
    <w:rsid w:val="00D0164A"/>
    <w:rsid w:val="00D022B6"/>
    <w:rsid w:val="00D02B8D"/>
    <w:rsid w:val="00D048A7"/>
    <w:rsid w:val="00D06AEA"/>
    <w:rsid w:val="00D07360"/>
    <w:rsid w:val="00D07E2D"/>
    <w:rsid w:val="00D07FCB"/>
    <w:rsid w:val="00D10C07"/>
    <w:rsid w:val="00D13CEF"/>
    <w:rsid w:val="00D1454C"/>
    <w:rsid w:val="00D1466F"/>
    <w:rsid w:val="00D1472E"/>
    <w:rsid w:val="00D14E08"/>
    <w:rsid w:val="00D1699C"/>
    <w:rsid w:val="00D16AE3"/>
    <w:rsid w:val="00D16B6A"/>
    <w:rsid w:val="00D17D8D"/>
    <w:rsid w:val="00D23579"/>
    <w:rsid w:val="00D2565B"/>
    <w:rsid w:val="00D261AF"/>
    <w:rsid w:val="00D2705A"/>
    <w:rsid w:val="00D31A09"/>
    <w:rsid w:val="00D3207A"/>
    <w:rsid w:val="00D338DC"/>
    <w:rsid w:val="00D352B2"/>
    <w:rsid w:val="00D359A2"/>
    <w:rsid w:val="00D361B3"/>
    <w:rsid w:val="00D36693"/>
    <w:rsid w:val="00D37257"/>
    <w:rsid w:val="00D37AB8"/>
    <w:rsid w:val="00D37E27"/>
    <w:rsid w:val="00D40443"/>
    <w:rsid w:val="00D40D2D"/>
    <w:rsid w:val="00D40F96"/>
    <w:rsid w:val="00D422B8"/>
    <w:rsid w:val="00D43A34"/>
    <w:rsid w:val="00D46E16"/>
    <w:rsid w:val="00D46E7B"/>
    <w:rsid w:val="00D52D0D"/>
    <w:rsid w:val="00D52D22"/>
    <w:rsid w:val="00D551DB"/>
    <w:rsid w:val="00D55227"/>
    <w:rsid w:val="00D55A2B"/>
    <w:rsid w:val="00D55CA6"/>
    <w:rsid w:val="00D606AB"/>
    <w:rsid w:val="00D60AA1"/>
    <w:rsid w:val="00D64288"/>
    <w:rsid w:val="00D64F0C"/>
    <w:rsid w:val="00D672F9"/>
    <w:rsid w:val="00D713C7"/>
    <w:rsid w:val="00D76887"/>
    <w:rsid w:val="00D777FE"/>
    <w:rsid w:val="00D817A7"/>
    <w:rsid w:val="00D8278A"/>
    <w:rsid w:val="00D82B15"/>
    <w:rsid w:val="00D83864"/>
    <w:rsid w:val="00D83F18"/>
    <w:rsid w:val="00D8587F"/>
    <w:rsid w:val="00D85BA6"/>
    <w:rsid w:val="00D8704F"/>
    <w:rsid w:val="00D87081"/>
    <w:rsid w:val="00D878C5"/>
    <w:rsid w:val="00D87B8A"/>
    <w:rsid w:val="00D87E4F"/>
    <w:rsid w:val="00D90D9B"/>
    <w:rsid w:val="00D926CD"/>
    <w:rsid w:val="00D935D5"/>
    <w:rsid w:val="00D947D1"/>
    <w:rsid w:val="00D94B08"/>
    <w:rsid w:val="00D96909"/>
    <w:rsid w:val="00D96C33"/>
    <w:rsid w:val="00D97DA5"/>
    <w:rsid w:val="00D97F35"/>
    <w:rsid w:val="00DA1C29"/>
    <w:rsid w:val="00DA1CA8"/>
    <w:rsid w:val="00DA2D67"/>
    <w:rsid w:val="00DA5323"/>
    <w:rsid w:val="00DA5598"/>
    <w:rsid w:val="00DA5A7D"/>
    <w:rsid w:val="00DB0679"/>
    <w:rsid w:val="00DB08AD"/>
    <w:rsid w:val="00DB096D"/>
    <w:rsid w:val="00DB0C85"/>
    <w:rsid w:val="00DB1C2D"/>
    <w:rsid w:val="00DB2EB3"/>
    <w:rsid w:val="00DB39DB"/>
    <w:rsid w:val="00DB3DAD"/>
    <w:rsid w:val="00DB46EA"/>
    <w:rsid w:val="00DB5EF4"/>
    <w:rsid w:val="00DB710F"/>
    <w:rsid w:val="00DB7474"/>
    <w:rsid w:val="00DB7AC1"/>
    <w:rsid w:val="00DC06F7"/>
    <w:rsid w:val="00DC0BEE"/>
    <w:rsid w:val="00DC0E8F"/>
    <w:rsid w:val="00DC12E7"/>
    <w:rsid w:val="00DC1BD3"/>
    <w:rsid w:val="00DC1EAF"/>
    <w:rsid w:val="00DC3577"/>
    <w:rsid w:val="00DC50B8"/>
    <w:rsid w:val="00DC513A"/>
    <w:rsid w:val="00DC54E9"/>
    <w:rsid w:val="00DC5999"/>
    <w:rsid w:val="00DC6EFD"/>
    <w:rsid w:val="00DC7FA1"/>
    <w:rsid w:val="00DD11FA"/>
    <w:rsid w:val="00DD1A9A"/>
    <w:rsid w:val="00DD1BB6"/>
    <w:rsid w:val="00DD1F26"/>
    <w:rsid w:val="00DD3FED"/>
    <w:rsid w:val="00DD41E6"/>
    <w:rsid w:val="00DD690A"/>
    <w:rsid w:val="00DD6C87"/>
    <w:rsid w:val="00DE1561"/>
    <w:rsid w:val="00DE25A7"/>
    <w:rsid w:val="00DE4171"/>
    <w:rsid w:val="00DE7696"/>
    <w:rsid w:val="00DF3FC4"/>
    <w:rsid w:val="00DF4FD1"/>
    <w:rsid w:val="00DF5FD9"/>
    <w:rsid w:val="00DF71D8"/>
    <w:rsid w:val="00E012D7"/>
    <w:rsid w:val="00E01625"/>
    <w:rsid w:val="00E0170C"/>
    <w:rsid w:val="00E01E09"/>
    <w:rsid w:val="00E030DC"/>
    <w:rsid w:val="00E0445C"/>
    <w:rsid w:val="00E05B1F"/>
    <w:rsid w:val="00E05E16"/>
    <w:rsid w:val="00E071FF"/>
    <w:rsid w:val="00E075C5"/>
    <w:rsid w:val="00E1044A"/>
    <w:rsid w:val="00E10AEF"/>
    <w:rsid w:val="00E10E08"/>
    <w:rsid w:val="00E12A32"/>
    <w:rsid w:val="00E1544C"/>
    <w:rsid w:val="00E1660F"/>
    <w:rsid w:val="00E179A4"/>
    <w:rsid w:val="00E17CD4"/>
    <w:rsid w:val="00E17E94"/>
    <w:rsid w:val="00E20012"/>
    <w:rsid w:val="00E212F8"/>
    <w:rsid w:val="00E21BDA"/>
    <w:rsid w:val="00E21CAA"/>
    <w:rsid w:val="00E22B40"/>
    <w:rsid w:val="00E235F3"/>
    <w:rsid w:val="00E24C66"/>
    <w:rsid w:val="00E31930"/>
    <w:rsid w:val="00E319FB"/>
    <w:rsid w:val="00E32A37"/>
    <w:rsid w:val="00E33A51"/>
    <w:rsid w:val="00E34542"/>
    <w:rsid w:val="00E3532C"/>
    <w:rsid w:val="00E35C09"/>
    <w:rsid w:val="00E40D99"/>
    <w:rsid w:val="00E419FF"/>
    <w:rsid w:val="00E427FE"/>
    <w:rsid w:val="00E42F54"/>
    <w:rsid w:val="00E5089F"/>
    <w:rsid w:val="00E5135A"/>
    <w:rsid w:val="00E51A71"/>
    <w:rsid w:val="00E53433"/>
    <w:rsid w:val="00E53E2C"/>
    <w:rsid w:val="00E552E3"/>
    <w:rsid w:val="00E55A16"/>
    <w:rsid w:val="00E57710"/>
    <w:rsid w:val="00E57CD3"/>
    <w:rsid w:val="00E60B99"/>
    <w:rsid w:val="00E61EDE"/>
    <w:rsid w:val="00E62239"/>
    <w:rsid w:val="00E63978"/>
    <w:rsid w:val="00E64CD8"/>
    <w:rsid w:val="00E65F1B"/>
    <w:rsid w:val="00E66AC6"/>
    <w:rsid w:val="00E677EF"/>
    <w:rsid w:val="00E67BCA"/>
    <w:rsid w:val="00E709C8"/>
    <w:rsid w:val="00E72A7A"/>
    <w:rsid w:val="00E731D7"/>
    <w:rsid w:val="00E7421E"/>
    <w:rsid w:val="00E74C83"/>
    <w:rsid w:val="00E7533D"/>
    <w:rsid w:val="00E766FD"/>
    <w:rsid w:val="00E811EA"/>
    <w:rsid w:val="00E847FF"/>
    <w:rsid w:val="00E86E8F"/>
    <w:rsid w:val="00E87516"/>
    <w:rsid w:val="00E87ADC"/>
    <w:rsid w:val="00E903FA"/>
    <w:rsid w:val="00E91BBC"/>
    <w:rsid w:val="00E93715"/>
    <w:rsid w:val="00EA0025"/>
    <w:rsid w:val="00EA05F1"/>
    <w:rsid w:val="00EA060E"/>
    <w:rsid w:val="00EA080A"/>
    <w:rsid w:val="00EA1922"/>
    <w:rsid w:val="00EA2DE2"/>
    <w:rsid w:val="00EA6957"/>
    <w:rsid w:val="00EB002E"/>
    <w:rsid w:val="00EC000E"/>
    <w:rsid w:val="00EC0AA9"/>
    <w:rsid w:val="00EC1BBF"/>
    <w:rsid w:val="00EC2F4D"/>
    <w:rsid w:val="00EC303C"/>
    <w:rsid w:val="00EC34A3"/>
    <w:rsid w:val="00EC5F1A"/>
    <w:rsid w:val="00EC6181"/>
    <w:rsid w:val="00EC6534"/>
    <w:rsid w:val="00ED00D8"/>
    <w:rsid w:val="00ED09D3"/>
    <w:rsid w:val="00ED0F1B"/>
    <w:rsid w:val="00ED14EB"/>
    <w:rsid w:val="00ED2745"/>
    <w:rsid w:val="00ED33A5"/>
    <w:rsid w:val="00ED56B5"/>
    <w:rsid w:val="00ED6C84"/>
    <w:rsid w:val="00ED75E2"/>
    <w:rsid w:val="00EE096F"/>
    <w:rsid w:val="00EE0AF2"/>
    <w:rsid w:val="00EE0C79"/>
    <w:rsid w:val="00EE0F57"/>
    <w:rsid w:val="00EE2E99"/>
    <w:rsid w:val="00EE3846"/>
    <w:rsid w:val="00EE4389"/>
    <w:rsid w:val="00EE446E"/>
    <w:rsid w:val="00EE44DD"/>
    <w:rsid w:val="00EE73CB"/>
    <w:rsid w:val="00EE74AF"/>
    <w:rsid w:val="00EF105D"/>
    <w:rsid w:val="00EF124F"/>
    <w:rsid w:val="00EF31E6"/>
    <w:rsid w:val="00EF484E"/>
    <w:rsid w:val="00EF4AF4"/>
    <w:rsid w:val="00EF5713"/>
    <w:rsid w:val="00EF6277"/>
    <w:rsid w:val="00EF668F"/>
    <w:rsid w:val="00EF7074"/>
    <w:rsid w:val="00EF7F5F"/>
    <w:rsid w:val="00F0053C"/>
    <w:rsid w:val="00F00A29"/>
    <w:rsid w:val="00F03D30"/>
    <w:rsid w:val="00F04F57"/>
    <w:rsid w:val="00F051E7"/>
    <w:rsid w:val="00F073AB"/>
    <w:rsid w:val="00F12519"/>
    <w:rsid w:val="00F13C67"/>
    <w:rsid w:val="00F140B3"/>
    <w:rsid w:val="00F15D88"/>
    <w:rsid w:val="00F17194"/>
    <w:rsid w:val="00F21771"/>
    <w:rsid w:val="00F31B54"/>
    <w:rsid w:val="00F33386"/>
    <w:rsid w:val="00F37C59"/>
    <w:rsid w:val="00F4001A"/>
    <w:rsid w:val="00F43651"/>
    <w:rsid w:val="00F44F54"/>
    <w:rsid w:val="00F473CF"/>
    <w:rsid w:val="00F52333"/>
    <w:rsid w:val="00F5395B"/>
    <w:rsid w:val="00F53EA3"/>
    <w:rsid w:val="00F55279"/>
    <w:rsid w:val="00F559A3"/>
    <w:rsid w:val="00F55EB4"/>
    <w:rsid w:val="00F57084"/>
    <w:rsid w:val="00F5713C"/>
    <w:rsid w:val="00F600FE"/>
    <w:rsid w:val="00F60C96"/>
    <w:rsid w:val="00F61B54"/>
    <w:rsid w:val="00F6293D"/>
    <w:rsid w:val="00F62F21"/>
    <w:rsid w:val="00F63354"/>
    <w:rsid w:val="00F63D6C"/>
    <w:rsid w:val="00F65E53"/>
    <w:rsid w:val="00F67CAB"/>
    <w:rsid w:val="00F71F89"/>
    <w:rsid w:val="00F800B9"/>
    <w:rsid w:val="00F82FFA"/>
    <w:rsid w:val="00F90037"/>
    <w:rsid w:val="00F900B8"/>
    <w:rsid w:val="00F90FAA"/>
    <w:rsid w:val="00F912C9"/>
    <w:rsid w:val="00F933E0"/>
    <w:rsid w:val="00F946DF"/>
    <w:rsid w:val="00F95921"/>
    <w:rsid w:val="00F95C43"/>
    <w:rsid w:val="00F96E5E"/>
    <w:rsid w:val="00F971F8"/>
    <w:rsid w:val="00F972E4"/>
    <w:rsid w:val="00F97D57"/>
    <w:rsid w:val="00FA652D"/>
    <w:rsid w:val="00FB22B7"/>
    <w:rsid w:val="00FB2F18"/>
    <w:rsid w:val="00FB3333"/>
    <w:rsid w:val="00FB5AB3"/>
    <w:rsid w:val="00FC078D"/>
    <w:rsid w:val="00FC10B1"/>
    <w:rsid w:val="00FC1D33"/>
    <w:rsid w:val="00FC217D"/>
    <w:rsid w:val="00FC2F4D"/>
    <w:rsid w:val="00FC553D"/>
    <w:rsid w:val="00FC57D2"/>
    <w:rsid w:val="00FC7E69"/>
    <w:rsid w:val="00FD031E"/>
    <w:rsid w:val="00FD1252"/>
    <w:rsid w:val="00FD5863"/>
    <w:rsid w:val="00FD5B66"/>
    <w:rsid w:val="00FD6BBC"/>
    <w:rsid w:val="00FE0B94"/>
    <w:rsid w:val="00FE1539"/>
    <w:rsid w:val="00FE17CE"/>
    <w:rsid w:val="00FE1E31"/>
    <w:rsid w:val="00FE28F6"/>
    <w:rsid w:val="00FE3B41"/>
    <w:rsid w:val="00FE3C7F"/>
    <w:rsid w:val="00FE3DEB"/>
    <w:rsid w:val="00FE44EA"/>
    <w:rsid w:val="00FE4727"/>
    <w:rsid w:val="00FE5B4A"/>
    <w:rsid w:val="00FE5DD4"/>
    <w:rsid w:val="00FE62DB"/>
    <w:rsid w:val="00FE64E9"/>
    <w:rsid w:val="00FE69DA"/>
    <w:rsid w:val="00FE6F38"/>
    <w:rsid w:val="00FE6F40"/>
    <w:rsid w:val="00FF03A0"/>
    <w:rsid w:val="00FF0840"/>
    <w:rsid w:val="00FF0FD7"/>
    <w:rsid w:val="00FF4E29"/>
    <w:rsid w:val="00FF5095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1DB"/>
  </w:style>
  <w:style w:type="paragraph" w:styleId="Heading1">
    <w:name w:val="heading 1"/>
    <w:basedOn w:val="Normal"/>
    <w:next w:val="Normal"/>
    <w:link w:val="Heading1Char"/>
    <w:uiPriority w:val="99"/>
    <w:qFormat/>
    <w:rsid w:val="007C63AB"/>
    <w:pPr>
      <w:keepNext/>
      <w:autoSpaceDE w:val="0"/>
      <w:autoSpaceDN w:val="0"/>
      <w:bidi/>
      <w:spacing w:after="0" w:line="240" w:lineRule="auto"/>
      <w:jc w:val="center"/>
      <w:outlineLvl w:val="0"/>
    </w:pPr>
    <w:rPr>
      <w:rFonts w:ascii="Arial" w:eastAsia="Times New Roman" w:hAnsi="Arial" w:cs="Traditional Arabic"/>
      <w:b/>
      <w:bCs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7C63AB"/>
    <w:rPr>
      <w:rFonts w:ascii="Arial" w:eastAsia="Times New Roman" w:hAnsi="Arial" w:cs="Traditional Arabic"/>
      <w:b/>
      <w:bCs/>
      <w:sz w:val="28"/>
      <w:szCs w:val="28"/>
      <w:lang w:bidi="ar-EG"/>
    </w:rPr>
  </w:style>
  <w:style w:type="paragraph" w:styleId="ListParagraph">
    <w:name w:val="List Paragraph"/>
    <w:basedOn w:val="Normal"/>
    <w:uiPriority w:val="34"/>
    <w:qFormat/>
    <w:rsid w:val="007C63AB"/>
    <w:pPr>
      <w:bidi/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C63AB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7C6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36058B"/>
    <w:rPr>
      <w:i/>
      <w:iCs/>
    </w:rPr>
  </w:style>
  <w:style w:type="character" w:styleId="Hyperlink">
    <w:name w:val="Hyperlink"/>
    <w:basedOn w:val="DefaultParagraphFont"/>
    <w:uiPriority w:val="99"/>
    <w:unhideWhenUsed/>
    <w:rsid w:val="00125E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29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ghtShading">
    <w:name w:val="Light Shading"/>
    <w:basedOn w:val="TableNormal"/>
    <w:uiPriority w:val="60"/>
    <w:rsid w:val="002C7CA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0D0EC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nhideWhenUsed/>
    <w:rsid w:val="00545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56EE"/>
  </w:style>
  <w:style w:type="paragraph" w:styleId="Footer">
    <w:name w:val="footer"/>
    <w:basedOn w:val="Normal"/>
    <w:link w:val="FooterChar"/>
    <w:uiPriority w:val="99"/>
    <w:unhideWhenUsed/>
    <w:rsid w:val="00545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6EE"/>
  </w:style>
  <w:style w:type="paragraph" w:styleId="NoSpacing">
    <w:name w:val="No Spacing"/>
    <w:basedOn w:val="Normal"/>
    <w:link w:val="NoSpacingChar"/>
    <w:qFormat/>
    <w:rsid w:val="000C7426"/>
    <w:pPr>
      <w:spacing w:before="100" w:beforeAutospacing="1" w:after="100" w:afterAutospacing="1" w:line="240" w:lineRule="auto"/>
    </w:pPr>
    <w:rPr>
      <w:rFonts w:ascii="Times New Roman" w:eastAsia="宋体" w:hAnsi="Times New Roman" w:cs="Times New Roman"/>
      <w:sz w:val="24"/>
      <w:szCs w:val="24"/>
      <w:lang w:eastAsia="zh-CN"/>
    </w:rPr>
  </w:style>
  <w:style w:type="character" w:customStyle="1" w:styleId="NoSpacingChar">
    <w:name w:val="No Spacing Char"/>
    <w:basedOn w:val="DefaultParagraphFont"/>
    <w:link w:val="NoSpacing"/>
    <w:locked/>
    <w:rsid w:val="000C7426"/>
    <w:rPr>
      <w:rFonts w:ascii="Times New Roman" w:eastAsia="宋体" w:hAnsi="Times New Roman" w:cs="Times New Roman"/>
      <w:sz w:val="24"/>
      <w:szCs w:val="24"/>
      <w:lang w:eastAsia="zh-CN"/>
    </w:rPr>
  </w:style>
  <w:style w:type="character" w:customStyle="1" w:styleId="msonormal0">
    <w:name w:val="msonormal0"/>
    <w:basedOn w:val="DefaultParagraphFont"/>
    <w:rsid w:val="000C7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C63AB"/>
    <w:pPr>
      <w:keepNext/>
      <w:autoSpaceDE w:val="0"/>
      <w:autoSpaceDN w:val="0"/>
      <w:bidi/>
      <w:spacing w:after="0" w:line="240" w:lineRule="auto"/>
      <w:jc w:val="center"/>
      <w:outlineLvl w:val="0"/>
    </w:pPr>
    <w:rPr>
      <w:rFonts w:ascii="Arial" w:eastAsia="Times New Roman" w:hAnsi="Arial" w:cs="Traditional Arabic"/>
      <w:b/>
      <w:bCs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7C63AB"/>
    <w:rPr>
      <w:rFonts w:ascii="Arial" w:eastAsia="Times New Roman" w:hAnsi="Arial" w:cs="Traditional Arabic"/>
      <w:b/>
      <w:bCs/>
      <w:sz w:val="28"/>
      <w:szCs w:val="28"/>
      <w:lang w:bidi="ar-EG"/>
    </w:rPr>
  </w:style>
  <w:style w:type="paragraph" w:styleId="ListParagraph">
    <w:name w:val="List Paragraph"/>
    <w:basedOn w:val="Normal"/>
    <w:uiPriority w:val="34"/>
    <w:qFormat/>
    <w:rsid w:val="007C63AB"/>
    <w:pPr>
      <w:bidi/>
      <w:ind w:left="720"/>
      <w:contextualSpacing/>
    </w:pPr>
    <w:rPr>
      <w:rFonts w:eastAsiaTheme="minorEastAsia"/>
    </w:rPr>
  </w:style>
  <w:style w:type="paragraph" w:styleId="Caption">
    <w:name w:val="caption"/>
    <w:basedOn w:val="Normal"/>
    <w:next w:val="Normal"/>
    <w:uiPriority w:val="35"/>
    <w:unhideWhenUsed/>
    <w:qFormat/>
    <w:rsid w:val="007C63AB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7C63A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36058B"/>
    <w:rPr>
      <w:i/>
      <w:iCs/>
    </w:rPr>
  </w:style>
  <w:style w:type="character" w:styleId="Hyperlink">
    <w:name w:val="Hyperlink"/>
    <w:basedOn w:val="DefaultParagraphFont"/>
    <w:uiPriority w:val="99"/>
    <w:unhideWhenUsed/>
    <w:rsid w:val="00125E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29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LightShading">
    <w:name w:val="Light Shading"/>
    <w:basedOn w:val="TableNormal"/>
    <w:uiPriority w:val="60"/>
    <w:rsid w:val="002C7CA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0D0EC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nhideWhenUsed/>
    <w:rsid w:val="00545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56EE"/>
  </w:style>
  <w:style w:type="paragraph" w:styleId="Footer">
    <w:name w:val="footer"/>
    <w:basedOn w:val="Normal"/>
    <w:link w:val="FooterChar"/>
    <w:uiPriority w:val="99"/>
    <w:unhideWhenUsed/>
    <w:rsid w:val="00545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aabozeid@yahoo.com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onaabozeid@yaho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microsoft.com/office/2007/relationships/stylesWithEffects" Target="stylesWithEffects.xml"/><Relationship Id="rId10" Type="http://schemas.openxmlformats.org/officeDocument/2006/relationships/hyperlink" Target="http://www.dx.doi.org/10.7537/marscbj090119.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cerbio.net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8326E-07FF-442F-909E-21B17254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4352</Words>
  <Characters>24807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Mona Abozeid</dc:creator>
  <cp:lastModifiedBy>Administrator</cp:lastModifiedBy>
  <cp:revision>3</cp:revision>
  <cp:lastPrinted>2019-02-12T15:42:00Z</cp:lastPrinted>
  <dcterms:created xsi:type="dcterms:W3CDTF">2019-02-27T14:04:00Z</dcterms:created>
  <dcterms:modified xsi:type="dcterms:W3CDTF">2019-02-28T13:26:00Z</dcterms:modified>
</cp:coreProperties>
</file>