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B90" w:rsidRPr="002375ED" w:rsidRDefault="000D40C9" w:rsidP="00DA7763">
      <w:pPr>
        <w:pStyle w:val="Heading2"/>
        <w:keepNext w:val="0"/>
        <w:bidi w:val="0"/>
        <w:snapToGrid w:val="0"/>
        <w:spacing w:before="0" w:after="0" w:line="240" w:lineRule="auto"/>
        <w:jc w:val="center"/>
        <w:rPr>
          <w:rFonts w:ascii="Times New Roman" w:hAnsi="Times New Roman" w:cs="Times New Roman"/>
          <w:i w:val="0"/>
          <w:iCs w:val="0"/>
          <w:sz w:val="20"/>
          <w:szCs w:val="20"/>
        </w:rPr>
      </w:pPr>
      <w:r w:rsidRPr="002375ED">
        <w:rPr>
          <w:rFonts w:ascii="Times New Roman" w:hAnsi="Times New Roman" w:cs="Times New Roman"/>
          <w:i w:val="0"/>
          <w:iCs w:val="0"/>
          <w:sz w:val="20"/>
          <w:szCs w:val="20"/>
          <w:lang w:bidi="ar-EG"/>
        </w:rPr>
        <w:t>Primary lymphoma of bone</w:t>
      </w:r>
      <w:r w:rsidR="00C07502" w:rsidRPr="002375ED">
        <w:rPr>
          <w:rFonts w:ascii="Times New Roman" w:hAnsi="Times New Roman" w:cs="Times New Roman"/>
          <w:i w:val="0"/>
          <w:iCs w:val="0"/>
          <w:sz w:val="20"/>
          <w:szCs w:val="20"/>
          <w:lang w:bidi="ar-EG"/>
        </w:rPr>
        <w:t xml:space="preserve"> in Egyptian population</w:t>
      </w:r>
      <w:r w:rsidRPr="002375ED">
        <w:rPr>
          <w:rFonts w:ascii="Times New Roman" w:hAnsi="Times New Roman" w:cs="Times New Roman"/>
          <w:i w:val="0"/>
          <w:iCs w:val="0"/>
          <w:sz w:val="20"/>
          <w:szCs w:val="20"/>
        </w:rPr>
        <w:t>: a retrospective study with emphasis on prognostic factors and treatment outcome</w:t>
      </w:r>
    </w:p>
    <w:p w:rsidR="00DE7B90" w:rsidRPr="002375ED" w:rsidRDefault="00DE7B90" w:rsidP="00DA7763">
      <w:pPr>
        <w:pStyle w:val="Heading2"/>
        <w:keepNext w:val="0"/>
        <w:bidi w:val="0"/>
        <w:snapToGrid w:val="0"/>
        <w:spacing w:before="0" w:after="0" w:line="240" w:lineRule="auto"/>
        <w:jc w:val="center"/>
        <w:rPr>
          <w:rFonts w:ascii="Times New Roman" w:hAnsi="Times New Roman" w:cs="Times New Roman"/>
          <w:i w:val="0"/>
          <w:iCs w:val="0"/>
          <w:sz w:val="20"/>
          <w:szCs w:val="20"/>
        </w:rPr>
      </w:pPr>
    </w:p>
    <w:p w:rsidR="00DE7B90" w:rsidRPr="002375ED" w:rsidRDefault="000A74E4" w:rsidP="00DA7763">
      <w:pPr>
        <w:bidi w:val="0"/>
        <w:snapToGrid w:val="0"/>
        <w:spacing w:after="0" w:line="240" w:lineRule="auto"/>
        <w:jc w:val="center"/>
        <w:rPr>
          <w:rFonts w:ascii="Times New Roman" w:eastAsia="Times New Roman" w:hAnsi="Times New Roman" w:cs="Times New Roman"/>
          <w:sz w:val="20"/>
          <w:szCs w:val="20"/>
          <w:vertAlign w:val="superscript"/>
          <w:lang w:bidi="ar-EG"/>
        </w:rPr>
      </w:pPr>
      <w:proofErr w:type="spellStart"/>
      <w:r w:rsidRPr="002375ED">
        <w:rPr>
          <w:rFonts w:ascii="Times New Roman" w:eastAsia="Times New Roman" w:hAnsi="Times New Roman" w:cs="Times New Roman"/>
          <w:sz w:val="20"/>
          <w:szCs w:val="20"/>
          <w:lang w:bidi="ar-EG"/>
        </w:rPr>
        <w:t>Wael</w:t>
      </w:r>
      <w:proofErr w:type="spellEnd"/>
      <w:r w:rsidR="00F16895" w:rsidRPr="002375ED">
        <w:rPr>
          <w:rFonts w:ascii="Times New Roman" w:eastAsia="Times New Roman" w:hAnsi="Times New Roman" w:cs="Times New Roman"/>
          <w:sz w:val="20"/>
          <w:szCs w:val="20"/>
          <w:lang w:bidi="ar-EG"/>
        </w:rPr>
        <w:t xml:space="preserve"> S.</w:t>
      </w:r>
      <w:r w:rsidRPr="002375ED">
        <w:rPr>
          <w:rFonts w:ascii="Times New Roman" w:eastAsia="Times New Roman" w:hAnsi="Times New Roman" w:cs="Times New Roman"/>
          <w:sz w:val="20"/>
          <w:szCs w:val="20"/>
          <w:lang w:bidi="ar-EG"/>
        </w:rPr>
        <w:t xml:space="preserve"> </w:t>
      </w:r>
      <w:proofErr w:type="spellStart"/>
      <w:r w:rsidRPr="002375ED">
        <w:rPr>
          <w:rFonts w:ascii="Times New Roman" w:eastAsia="Times New Roman" w:hAnsi="Times New Roman" w:cs="Times New Roman"/>
          <w:sz w:val="20"/>
          <w:szCs w:val="20"/>
          <w:lang w:bidi="ar-EG"/>
        </w:rPr>
        <w:t>Mansour</w:t>
      </w:r>
      <w:proofErr w:type="spellEnd"/>
      <w:r w:rsidRPr="002375ED">
        <w:rPr>
          <w:rFonts w:ascii="Times New Roman" w:eastAsia="Times New Roman" w:hAnsi="Times New Roman" w:cs="Times New Roman"/>
          <w:sz w:val="20"/>
          <w:szCs w:val="20"/>
          <w:lang w:bidi="ar-EG"/>
        </w:rPr>
        <w:t xml:space="preserve"> M.D.</w:t>
      </w:r>
      <w:r w:rsidR="00DE7B90" w:rsidRPr="002375ED">
        <w:rPr>
          <w:rFonts w:ascii="Times New Roman" w:eastAsia="Times New Roman" w:hAnsi="Times New Roman" w:cs="Times New Roman" w:hint="cs"/>
          <w:sz w:val="20"/>
          <w:szCs w:val="20"/>
          <w:lang w:bidi="ar-EG"/>
        </w:rPr>
        <w:t xml:space="preserve"> </w:t>
      </w:r>
      <w:r w:rsidR="005671D9" w:rsidRPr="002375ED">
        <w:rPr>
          <w:rFonts w:ascii="Times New Roman" w:eastAsia="Times New Roman" w:hAnsi="Times New Roman" w:cs="Times New Roman"/>
          <w:sz w:val="20"/>
          <w:szCs w:val="20"/>
          <w:lang w:bidi="ar-EG"/>
        </w:rPr>
        <w:t xml:space="preserve">and </w:t>
      </w:r>
      <w:r w:rsidRPr="002375ED">
        <w:rPr>
          <w:rFonts w:ascii="Times New Roman" w:eastAsia="Times New Roman" w:hAnsi="Times New Roman" w:cs="Times New Roman"/>
          <w:sz w:val="20"/>
          <w:szCs w:val="20"/>
          <w:lang w:bidi="ar-EG"/>
        </w:rPr>
        <w:t>Mohamed A</w:t>
      </w:r>
      <w:r w:rsidR="00F16895" w:rsidRPr="002375ED">
        <w:rPr>
          <w:rFonts w:ascii="Times New Roman" w:eastAsia="Times New Roman" w:hAnsi="Times New Roman" w:cs="Times New Roman"/>
          <w:sz w:val="20"/>
          <w:szCs w:val="20"/>
          <w:lang w:bidi="ar-EG"/>
        </w:rPr>
        <w:t>.</w:t>
      </w:r>
      <w:r w:rsidRPr="002375ED">
        <w:rPr>
          <w:rFonts w:ascii="Times New Roman" w:eastAsia="Times New Roman" w:hAnsi="Times New Roman" w:cs="Times New Roman"/>
          <w:sz w:val="20"/>
          <w:szCs w:val="20"/>
          <w:lang w:bidi="ar-EG"/>
        </w:rPr>
        <w:t xml:space="preserve"> </w:t>
      </w:r>
      <w:proofErr w:type="spellStart"/>
      <w:r w:rsidRPr="002375ED">
        <w:rPr>
          <w:rFonts w:ascii="Times New Roman" w:eastAsia="Times New Roman" w:hAnsi="Times New Roman" w:cs="Times New Roman"/>
          <w:sz w:val="20"/>
          <w:szCs w:val="20"/>
          <w:lang w:bidi="ar-EG"/>
        </w:rPr>
        <w:t>Alm</w:t>
      </w:r>
      <w:proofErr w:type="spellEnd"/>
      <w:r w:rsidRPr="002375ED">
        <w:rPr>
          <w:rFonts w:ascii="Times New Roman" w:eastAsia="Times New Roman" w:hAnsi="Times New Roman" w:cs="Times New Roman"/>
          <w:sz w:val="20"/>
          <w:szCs w:val="20"/>
          <w:lang w:bidi="ar-EG"/>
        </w:rPr>
        <w:t xml:space="preserve"> El-Din M.D.</w:t>
      </w:r>
      <w:r w:rsidRPr="002375ED">
        <w:rPr>
          <w:rFonts w:ascii="Times New Roman" w:eastAsia="Times New Roman" w:hAnsi="Times New Roman" w:cs="Times New Roman"/>
          <w:sz w:val="20"/>
          <w:szCs w:val="20"/>
          <w:vertAlign w:val="superscript"/>
          <w:lang w:bidi="ar-EG"/>
        </w:rPr>
        <w:t xml:space="preserve"> </w:t>
      </w:r>
    </w:p>
    <w:p w:rsidR="00DE7B90" w:rsidRPr="002375ED" w:rsidRDefault="00DE7B90" w:rsidP="00DA7763">
      <w:pPr>
        <w:bidi w:val="0"/>
        <w:snapToGrid w:val="0"/>
        <w:spacing w:after="0" w:line="240" w:lineRule="auto"/>
        <w:jc w:val="center"/>
        <w:rPr>
          <w:rFonts w:ascii="Times New Roman" w:eastAsia="Times New Roman" w:hAnsi="Times New Roman" w:cs="Times New Roman"/>
          <w:sz w:val="20"/>
          <w:szCs w:val="20"/>
          <w:vertAlign w:val="superscript"/>
          <w:lang w:bidi="ar-EG"/>
        </w:rPr>
      </w:pPr>
    </w:p>
    <w:p w:rsidR="000A74E4" w:rsidRPr="002375ED" w:rsidRDefault="000A74E4" w:rsidP="00DA7763">
      <w:pPr>
        <w:bidi w:val="0"/>
        <w:snapToGrid w:val="0"/>
        <w:spacing w:after="0" w:line="240" w:lineRule="auto"/>
        <w:jc w:val="center"/>
        <w:rPr>
          <w:rFonts w:ascii="Times New Roman" w:eastAsia="Times New Roman" w:hAnsi="Times New Roman" w:cs="Times New Roman"/>
          <w:sz w:val="20"/>
          <w:szCs w:val="20"/>
          <w:lang w:bidi="ar-EG"/>
        </w:rPr>
      </w:pPr>
      <w:r w:rsidRPr="002375ED">
        <w:rPr>
          <w:rFonts w:ascii="Times New Roman" w:eastAsia="Times New Roman" w:hAnsi="Times New Roman" w:cs="Times New Roman"/>
          <w:sz w:val="20"/>
          <w:szCs w:val="20"/>
          <w:lang w:bidi="ar-EG"/>
        </w:rPr>
        <w:t>Department of Clinical Oncology, Faculty of Medicine, Tanta University, Egypt</w:t>
      </w:r>
    </w:p>
    <w:p w:rsidR="00DE7B90" w:rsidRPr="002375ED" w:rsidRDefault="00C124F0" w:rsidP="00DA7763">
      <w:pPr>
        <w:bidi w:val="0"/>
        <w:snapToGrid w:val="0"/>
        <w:spacing w:after="0" w:line="240" w:lineRule="auto"/>
        <w:jc w:val="center"/>
        <w:rPr>
          <w:rFonts w:ascii="Times New Roman" w:hAnsi="Times New Roman" w:cs="Times New Roman"/>
          <w:sz w:val="20"/>
          <w:szCs w:val="20"/>
        </w:rPr>
      </w:pPr>
      <w:hyperlink r:id="rId8" w:history="1">
        <w:r w:rsidR="005671D9" w:rsidRPr="002375ED">
          <w:rPr>
            <w:rStyle w:val="Hyperlink"/>
            <w:rFonts w:ascii="Times New Roman" w:hAnsi="Times New Roman"/>
            <w:sz w:val="20"/>
            <w:szCs w:val="20"/>
          </w:rPr>
          <w:t>almeldin@gmail.com</w:t>
        </w:r>
      </w:hyperlink>
    </w:p>
    <w:p w:rsidR="00DE7B90" w:rsidRPr="002375ED" w:rsidRDefault="00DE7B90" w:rsidP="00DA7763">
      <w:pPr>
        <w:bidi w:val="0"/>
        <w:snapToGrid w:val="0"/>
        <w:spacing w:after="0" w:line="240" w:lineRule="auto"/>
        <w:jc w:val="center"/>
        <w:rPr>
          <w:rFonts w:ascii="Times New Roman" w:hAnsi="Times New Roman" w:cs="Times New Roman"/>
          <w:sz w:val="20"/>
          <w:szCs w:val="20"/>
        </w:rPr>
      </w:pPr>
    </w:p>
    <w:p w:rsidR="008D43B0" w:rsidRPr="002375ED" w:rsidRDefault="005671D9" w:rsidP="00DA7763">
      <w:pPr>
        <w:bidi w:val="0"/>
        <w:snapToGrid w:val="0"/>
        <w:spacing w:after="0" w:line="240" w:lineRule="auto"/>
        <w:jc w:val="both"/>
        <w:rPr>
          <w:rFonts w:ascii="Times New Roman" w:hAnsi="Times New Roman" w:cs="Times New Roman"/>
          <w:sz w:val="20"/>
          <w:szCs w:val="20"/>
          <w:lang w:bidi="ar-EG"/>
        </w:rPr>
      </w:pPr>
      <w:r w:rsidRPr="002375ED">
        <w:rPr>
          <w:rFonts w:ascii="Times New Roman" w:hAnsi="Times New Roman" w:cs="Times New Roman"/>
          <w:b/>
          <w:bCs/>
          <w:sz w:val="20"/>
          <w:szCs w:val="20"/>
          <w:lang w:bidi="ar-EG"/>
        </w:rPr>
        <w:t xml:space="preserve">Abstract: </w:t>
      </w:r>
      <w:r w:rsidR="009471BA" w:rsidRPr="002375ED">
        <w:rPr>
          <w:rFonts w:ascii="Times New Roman" w:hAnsi="Times New Roman" w:cs="Times New Roman"/>
          <w:b/>
          <w:bCs/>
          <w:sz w:val="20"/>
          <w:szCs w:val="20"/>
          <w:lang w:bidi="ar-EG"/>
        </w:rPr>
        <w:t xml:space="preserve">Background: </w:t>
      </w:r>
      <w:r w:rsidR="009471BA" w:rsidRPr="002375ED">
        <w:rPr>
          <w:rFonts w:ascii="Times New Roman" w:hAnsi="Times New Roman" w:cs="Times New Roman"/>
          <w:sz w:val="20"/>
          <w:szCs w:val="20"/>
          <w:lang w:bidi="ar-EG"/>
        </w:rPr>
        <w:t>Primary bone lymphoma (PBL) is a rare disease with lackin</w:t>
      </w:r>
      <w:r w:rsidR="005657E1" w:rsidRPr="002375ED">
        <w:rPr>
          <w:rFonts w:ascii="Times New Roman" w:hAnsi="Times New Roman" w:cs="Times New Roman"/>
          <w:sz w:val="20"/>
          <w:szCs w:val="20"/>
          <w:lang w:bidi="ar-EG"/>
        </w:rPr>
        <w:t>g data on the prognostic factors</w:t>
      </w:r>
      <w:r w:rsidR="009471BA" w:rsidRPr="002375ED">
        <w:rPr>
          <w:rFonts w:ascii="Times New Roman" w:hAnsi="Times New Roman" w:cs="Times New Roman"/>
          <w:sz w:val="20"/>
          <w:szCs w:val="20"/>
          <w:lang w:bidi="ar-EG"/>
        </w:rPr>
        <w:t xml:space="preserve"> or the treatment outcome.</w:t>
      </w:r>
      <w:r w:rsidRPr="002375ED">
        <w:rPr>
          <w:rFonts w:ascii="Times New Roman" w:hAnsi="Times New Roman" w:cs="Times New Roman"/>
          <w:sz w:val="20"/>
          <w:szCs w:val="20"/>
          <w:lang w:bidi="ar-EG"/>
        </w:rPr>
        <w:t xml:space="preserve"> </w:t>
      </w:r>
      <w:r w:rsidR="00826BBC" w:rsidRPr="002375ED">
        <w:rPr>
          <w:rFonts w:ascii="Times New Roman" w:hAnsi="Times New Roman" w:cs="Times New Roman"/>
          <w:b/>
          <w:bCs/>
          <w:sz w:val="20"/>
          <w:szCs w:val="20"/>
          <w:lang w:bidi="ar-EG"/>
        </w:rPr>
        <w:t>Patients and M</w:t>
      </w:r>
      <w:r w:rsidR="009471BA" w:rsidRPr="002375ED">
        <w:rPr>
          <w:rFonts w:ascii="Times New Roman" w:hAnsi="Times New Roman" w:cs="Times New Roman"/>
          <w:b/>
          <w:bCs/>
          <w:sz w:val="20"/>
          <w:szCs w:val="20"/>
          <w:lang w:bidi="ar-EG"/>
        </w:rPr>
        <w:t>ethods</w:t>
      </w:r>
      <w:r w:rsidR="009471BA" w:rsidRPr="002375ED">
        <w:rPr>
          <w:rFonts w:ascii="Times New Roman" w:hAnsi="Times New Roman" w:cs="Times New Roman"/>
          <w:sz w:val="20"/>
          <w:szCs w:val="20"/>
          <w:lang w:bidi="ar-EG"/>
        </w:rPr>
        <w:t xml:space="preserve">: </w:t>
      </w:r>
      <w:r w:rsidR="009471BA" w:rsidRPr="002375ED">
        <w:rPr>
          <w:rFonts w:ascii="Times New Roman" w:hAnsi="Times New Roman" w:cs="Times New Roman"/>
          <w:sz w:val="20"/>
          <w:szCs w:val="20"/>
        </w:rPr>
        <w:t xml:space="preserve">We retrospectively collected data from </w:t>
      </w:r>
      <w:r w:rsidR="00EA7C9B" w:rsidRPr="002375ED">
        <w:rPr>
          <w:rFonts w:ascii="Times New Roman" w:hAnsi="Times New Roman" w:cs="Times New Roman"/>
          <w:sz w:val="20"/>
          <w:szCs w:val="20"/>
        </w:rPr>
        <w:t>twenty three</w:t>
      </w:r>
      <w:r w:rsidR="009471BA" w:rsidRPr="002375ED">
        <w:rPr>
          <w:rFonts w:ascii="Times New Roman" w:hAnsi="Times New Roman" w:cs="Times New Roman"/>
          <w:sz w:val="20"/>
          <w:szCs w:val="20"/>
        </w:rPr>
        <w:t xml:space="preserve"> patients with PBL referred to the department of Clinical</w:t>
      </w:r>
      <w:r w:rsidR="009471BA" w:rsidRPr="002375ED">
        <w:rPr>
          <w:rFonts w:ascii="Times New Roman" w:hAnsi="Times New Roman" w:cs="Times New Roman"/>
          <w:sz w:val="20"/>
          <w:szCs w:val="20"/>
          <w:lang w:bidi="ar-EG"/>
        </w:rPr>
        <w:t xml:space="preserve"> Oncology</w:t>
      </w:r>
      <w:r w:rsidR="002B134D" w:rsidRPr="002375ED">
        <w:rPr>
          <w:rFonts w:ascii="Times New Roman" w:hAnsi="Times New Roman" w:cs="Times New Roman"/>
          <w:sz w:val="20"/>
          <w:szCs w:val="20"/>
          <w:lang w:bidi="ar-EG"/>
        </w:rPr>
        <w:t xml:space="preserve">, </w:t>
      </w:r>
      <w:r w:rsidR="009471BA" w:rsidRPr="002375ED">
        <w:rPr>
          <w:rFonts w:ascii="Times New Roman" w:hAnsi="Times New Roman" w:cs="Times New Roman"/>
          <w:sz w:val="20"/>
          <w:szCs w:val="20"/>
          <w:lang w:bidi="ar-EG"/>
        </w:rPr>
        <w:t xml:space="preserve">Tanta University Hospitals from </w:t>
      </w:r>
      <w:r w:rsidR="009471BA" w:rsidRPr="002375ED">
        <w:rPr>
          <w:rFonts w:ascii="Times New Roman" w:hAnsi="Times New Roman" w:cs="Times New Roman"/>
          <w:sz w:val="20"/>
          <w:szCs w:val="20"/>
        </w:rPr>
        <w:t xml:space="preserve">2000 </w:t>
      </w:r>
      <w:r w:rsidR="009471BA" w:rsidRPr="002375ED">
        <w:rPr>
          <w:rFonts w:ascii="Times New Roman" w:hAnsi="Times New Roman" w:cs="Times New Roman"/>
          <w:sz w:val="20"/>
          <w:szCs w:val="20"/>
          <w:lang w:bidi="ar-EG"/>
        </w:rPr>
        <w:t>to</w:t>
      </w:r>
      <w:r w:rsidR="009471BA" w:rsidRPr="002375ED">
        <w:rPr>
          <w:rFonts w:ascii="Times New Roman" w:hAnsi="Times New Roman" w:cs="Times New Roman"/>
          <w:sz w:val="20"/>
          <w:szCs w:val="20"/>
        </w:rPr>
        <w:t xml:space="preserve"> </w:t>
      </w:r>
      <w:r w:rsidR="002B134D" w:rsidRPr="002375ED">
        <w:rPr>
          <w:rFonts w:ascii="Times New Roman" w:hAnsi="Times New Roman" w:cs="Times New Roman"/>
          <w:sz w:val="20"/>
          <w:szCs w:val="20"/>
        </w:rPr>
        <w:t xml:space="preserve">2013 to better understand the </w:t>
      </w:r>
      <w:r w:rsidR="009471BA" w:rsidRPr="002375ED">
        <w:rPr>
          <w:rFonts w:ascii="Times New Roman" w:hAnsi="Times New Roman" w:cs="Times New Roman"/>
          <w:sz w:val="20"/>
          <w:szCs w:val="20"/>
        </w:rPr>
        <w:t>outcome of this disease in Egyptian population.</w:t>
      </w:r>
      <w:r w:rsidRPr="002375ED">
        <w:rPr>
          <w:rFonts w:ascii="Times New Roman" w:hAnsi="Times New Roman" w:cs="Times New Roman"/>
          <w:sz w:val="20"/>
          <w:szCs w:val="20"/>
          <w:lang w:bidi="ar-EG"/>
        </w:rPr>
        <w:t xml:space="preserve"> </w:t>
      </w:r>
      <w:r w:rsidR="009471BA" w:rsidRPr="002375ED">
        <w:rPr>
          <w:rFonts w:ascii="Times New Roman" w:hAnsi="Times New Roman" w:cs="Times New Roman"/>
          <w:b/>
          <w:bCs/>
          <w:sz w:val="20"/>
          <w:szCs w:val="20"/>
        </w:rPr>
        <w:t xml:space="preserve">Results: </w:t>
      </w:r>
      <w:r w:rsidR="009471BA" w:rsidRPr="002375ED">
        <w:rPr>
          <w:rFonts w:ascii="Times New Roman" w:hAnsi="Times New Roman" w:cs="Times New Roman"/>
          <w:sz w:val="20"/>
          <w:szCs w:val="20"/>
          <w:lang w:bidi="ar-EG"/>
        </w:rPr>
        <w:t xml:space="preserve">Median age was 48 years (range, 26–68) with male predominance </w:t>
      </w:r>
      <w:r w:rsidR="009471BA" w:rsidRPr="002375ED">
        <w:rPr>
          <w:rFonts w:ascii="Times New Roman" w:hAnsi="Times New Roman" w:cs="Times New Roman"/>
          <w:sz w:val="20"/>
          <w:szCs w:val="20"/>
        </w:rPr>
        <w:t xml:space="preserve">(52.2%). The most frequent location was the </w:t>
      </w:r>
      <w:r w:rsidR="009471BA" w:rsidRPr="002375ED">
        <w:rPr>
          <w:rFonts w:ascii="Times New Roman" w:hAnsi="Times New Roman" w:cs="Times New Roman"/>
          <w:sz w:val="20"/>
          <w:szCs w:val="20"/>
          <w:lang w:bidi="ar-EG"/>
        </w:rPr>
        <w:t>femur</w:t>
      </w:r>
      <w:r w:rsidR="002B134D" w:rsidRPr="002375ED">
        <w:rPr>
          <w:rFonts w:ascii="Times New Roman" w:hAnsi="Times New Roman" w:cs="Times New Roman"/>
          <w:sz w:val="20"/>
          <w:szCs w:val="20"/>
          <w:lang w:bidi="ar-EG"/>
        </w:rPr>
        <w:t xml:space="preserve"> and pelvis (</w:t>
      </w:r>
      <w:r w:rsidR="002B134D" w:rsidRPr="002375ED">
        <w:rPr>
          <w:rFonts w:ascii="Times New Roman" w:hAnsi="Times New Roman" w:cs="Times New Roman"/>
          <w:sz w:val="20"/>
          <w:szCs w:val="20"/>
        </w:rPr>
        <w:t>26.1% and 17.4%, respectively)</w:t>
      </w:r>
      <w:r w:rsidR="009471BA" w:rsidRPr="002375ED">
        <w:rPr>
          <w:rFonts w:ascii="Times New Roman" w:hAnsi="Times New Roman" w:cs="Times New Roman"/>
          <w:sz w:val="20"/>
          <w:szCs w:val="20"/>
        </w:rPr>
        <w:t>.</w:t>
      </w:r>
      <w:r w:rsidR="005D2C29" w:rsidRPr="002375ED">
        <w:rPr>
          <w:rFonts w:ascii="Times New Roman" w:hAnsi="Times New Roman" w:cs="Times New Roman"/>
          <w:sz w:val="20"/>
          <w:szCs w:val="20"/>
        </w:rPr>
        <w:t xml:space="preserve"> 17 patients (73.9%) were treated with radiotherapy either alone or in combination with chemotherapy </w:t>
      </w:r>
      <w:r w:rsidR="008D43B0" w:rsidRPr="002375ED">
        <w:rPr>
          <w:rFonts w:ascii="Times New Roman" w:hAnsi="Times New Roman" w:cs="Times New Roman"/>
          <w:sz w:val="20"/>
          <w:szCs w:val="20"/>
        </w:rPr>
        <w:t xml:space="preserve">while 6 patients </w:t>
      </w:r>
      <w:r w:rsidR="005D2C29" w:rsidRPr="002375ED">
        <w:rPr>
          <w:rFonts w:ascii="Times New Roman" w:hAnsi="Times New Roman" w:cs="Times New Roman"/>
          <w:sz w:val="20"/>
          <w:szCs w:val="20"/>
        </w:rPr>
        <w:t>were treated with chemotherapy alone</w:t>
      </w:r>
      <w:r w:rsidR="005D2C29" w:rsidRPr="002375ED">
        <w:rPr>
          <w:rFonts w:ascii="Times New Roman" w:hAnsi="Times New Roman" w:cs="Times New Roman"/>
          <w:b/>
          <w:bCs/>
          <w:sz w:val="20"/>
          <w:szCs w:val="20"/>
        </w:rPr>
        <w:t xml:space="preserve">. </w:t>
      </w:r>
      <w:r w:rsidR="005D2C29" w:rsidRPr="002375ED">
        <w:rPr>
          <w:rFonts w:ascii="Times New Roman" w:hAnsi="Times New Roman" w:cs="Times New Roman"/>
          <w:sz w:val="20"/>
          <w:szCs w:val="20"/>
        </w:rPr>
        <w:t>The overall response rate was 82.6%</w:t>
      </w:r>
      <w:r w:rsidR="005D2C29" w:rsidRPr="002375ED">
        <w:rPr>
          <w:rFonts w:ascii="Times New Roman" w:hAnsi="Times New Roman" w:cs="Times New Roman"/>
          <w:b/>
          <w:bCs/>
          <w:sz w:val="20"/>
          <w:szCs w:val="20"/>
        </w:rPr>
        <w:t xml:space="preserve">. </w:t>
      </w:r>
      <w:r w:rsidR="005D2C29" w:rsidRPr="002375ED">
        <w:rPr>
          <w:rFonts w:ascii="Times New Roman" w:hAnsi="Times New Roman" w:cs="Times New Roman"/>
          <w:sz w:val="20"/>
          <w:szCs w:val="20"/>
        </w:rPr>
        <w:t>The 5-year and 15-year overall survival</w:t>
      </w:r>
      <w:r w:rsidR="0027398A" w:rsidRPr="002375ED">
        <w:rPr>
          <w:rFonts w:ascii="Times New Roman" w:hAnsi="Times New Roman" w:cs="Times New Roman"/>
          <w:sz w:val="20"/>
          <w:szCs w:val="20"/>
        </w:rPr>
        <w:t xml:space="preserve"> (OS)</w:t>
      </w:r>
      <w:r w:rsidR="005D2C29" w:rsidRPr="002375ED">
        <w:rPr>
          <w:rFonts w:ascii="Times New Roman" w:hAnsi="Times New Roman" w:cs="Times New Roman"/>
          <w:sz w:val="20"/>
          <w:szCs w:val="20"/>
        </w:rPr>
        <w:t xml:space="preserve"> was 82.6% and 69.6%, respectively.</w:t>
      </w:r>
      <w:r w:rsidR="0027398A" w:rsidRPr="002375ED">
        <w:rPr>
          <w:rFonts w:ascii="Times New Roman" w:hAnsi="Times New Roman" w:cs="Times New Roman"/>
          <w:sz w:val="20"/>
          <w:szCs w:val="20"/>
        </w:rPr>
        <w:t xml:space="preserve"> Freedom-from treatment failure (FFTF) was significantly higher with normal LDH level (P = 0.001), female </w:t>
      </w:r>
      <w:r w:rsidR="008D43B0" w:rsidRPr="002375ED">
        <w:rPr>
          <w:rFonts w:ascii="Times New Roman" w:hAnsi="Times New Roman" w:cs="Times New Roman"/>
          <w:sz w:val="20"/>
          <w:szCs w:val="20"/>
        </w:rPr>
        <w:t>gender</w:t>
      </w:r>
      <w:r w:rsidR="0027398A" w:rsidRPr="002375ED">
        <w:rPr>
          <w:rFonts w:ascii="Times New Roman" w:hAnsi="Times New Roman" w:cs="Times New Roman"/>
          <w:sz w:val="20"/>
          <w:szCs w:val="20"/>
        </w:rPr>
        <w:t xml:space="preserve"> (P = 0.001), ECOG performance status &lt; 2 (P = 0.001), low grade tumors (P = &lt; 0.0001), and combined modality therapy (P = 0.05). </w:t>
      </w:r>
      <w:r w:rsidR="00D167AA" w:rsidRPr="002375ED">
        <w:rPr>
          <w:rFonts w:ascii="Times New Roman" w:hAnsi="Times New Roman" w:cs="Times New Roman"/>
          <w:sz w:val="20"/>
          <w:szCs w:val="20"/>
        </w:rPr>
        <w:t>OS was significantly higher in</w:t>
      </w:r>
      <w:r w:rsidR="008F0E68" w:rsidRPr="002375ED">
        <w:rPr>
          <w:rFonts w:ascii="Times New Roman" w:hAnsi="Times New Roman" w:cs="Times New Roman"/>
          <w:sz w:val="20"/>
          <w:szCs w:val="20"/>
        </w:rPr>
        <w:t xml:space="preserve"> female (P = 0.04)</w:t>
      </w:r>
      <w:r w:rsidR="008D43B0" w:rsidRPr="002375ED">
        <w:rPr>
          <w:rFonts w:ascii="Times New Roman" w:hAnsi="Times New Roman" w:cs="Times New Roman"/>
          <w:sz w:val="20"/>
          <w:szCs w:val="20"/>
        </w:rPr>
        <w:t>, &lt;</w:t>
      </w:r>
      <w:r w:rsidR="002B134D" w:rsidRPr="002375ED">
        <w:rPr>
          <w:rFonts w:ascii="Times New Roman" w:hAnsi="Times New Roman" w:cs="Times New Roman"/>
          <w:sz w:val="20"/>
          <w:szCs w:val="20"/>
        </w:rPr>
        <w:t xml:space="preserve"> 40 years</w:t>
      </w:r>
      <w:r w:rsidR="00D167AA" w:rsidRPr="002375ED">
        <w:rPr>
          <w:rFonts w:ascii="Times New Roman" w:hAnsi="Times New Roman" w:cs="Times New Roman"/>
          <w:sz w:val="20"/>
          <w:szCs w:val="20"/>
        </w:rPr>
        <w:t xml:space="preserve"> (P = 0.003), lack of B symptoms (P = 0.001), normal LDH level (P = &lt; 0.005), and combined modality therapy (P = 0.01). </w:t>
      </w:r>
      <w:r w:rsidR="0027398A" w:rsidRPr="002375ED">
        <w:rPr>
          <w:rFonts w:ascii="Times New Roman" w:hAnsi="Times New Roman" w:cs="Times New Roman"/>
          <w:sz w:val="20"/>
          <w:szCs w:val="20"/>
        </w:rPr>
        <w:t>On multivariate analysis, only age &lt; 40 years and the use of combined modality therapy were independent pr</w:t>
      </w:r>
      <w:r w:rsidR="00826BBC" w:rsidRPr="002375ED">
        <w:rPr>
          <w:rFonts w:ascii="Times New Roman" w:hAnsi="Times New Roman" w:cs="Times New Roman"/>
          <w:sz w:val="20"/>
          <w:szCs w:val="20"/>
        </w:rPr>
        <w:t xml:space="preserve">ognostic factors for better OS </w:t>
      </w:r>
      <w:r w:rsidR="0027398A" w:rsidRPr="002375ED">
        <w:rPr>
          <w:rFonts w:ascii="Times New Roman" w:hAnsi="Times New Roman" w:cs="Times New Roman"/>
          <w:sz w:val="20"/>
          <w:szCs w:val="20"/>
        </w:rPr>
        <w:t>and FFTF.</w:t>
      </w:r>
      <w:r w:rsidRPr="002375ED">
        <w:rPr>
          <w:rFonts w:ascii="Times New Roman" w:hAnsi="Times New Roman" w:cs="Times New Roman"/>
          <w:sz w:val="20"/>
          <w:szCs w:val="20"/>
        </w:rPr>
        <w:t xml:space="preserve"> </w:t>
      </w:r>
      <w:r w:rsidR="0027398A" w:rsidRPr="002375ED">
        <w:rPr>
          <w:rFonts w:ascii="Times New Roman" w:hAnsi="Times New Roman" w:cs="Times New Roman"/>
          <w:b/>
          <w:bCs/>
          <w:sz w:val="20"/>
          <w:szCs w:val="20"/>
        </w:rPr>
        <w:t>Conclusions:</w:t>
      </w:r>
      <w:r w:rsidRPr="002375ED">
        <w:rPr>
          <w:rFonts w:ascii="Times New Roman" w:hAnsi="Times New Roman" w:cs="Times New Roman"/>
          <w:b/>
          <w:bCs/>
          <w:sz w:val="20"/>
          <w:szCs w:val="20"/>
        </w:rPr>
        <w:t xml:space="preserve"> </w:t>
      </w:r>
      <w:r w:rsidR="00826BBC" w:rsidRPr="002375ED">
        <w:rPr>
          <w:rFonts w:ascii="Times New Roman" w:hAnsi="Times New Roman" w:cs="Times New Roman"/>
          <w:sz w:val="20"/>
          <w:szCs w:val="20"/>
        </w:rPr>
        <w:t>Our data showed that a</w:t>
      </w:r>
      <w:r w:rsidR="008D43B0" w:rsidRPr="002375ED">
        <w:rPr>
          <w:rFonts w:ascii="Times New Roman" w:hAnsi="Times New Roman" w:cs="Times New Roman"/>
          <w:sz w:val="20"/>
          <w:szCs w:val="20"/>
        </w:rPr>
        <w:t>ge &lt; 40 years and combined modality therapy were independent pr</w:t>
      </w:r>
      <w:r w:rsidR="00826BBC" w:rsidRPr="002375ED">
        <w:rPr>
          <w:rFonts w:ascii="Times New Roman" w:hAnsi="Times New Roman" w:cs="Times New Roman"/>
          <w:sz w:val="20"/>
          <w:szCs w:val="20"/>
        </w:rPr>
        <w:t>ognostic factors for better OS</w:t>
      </w:r>
      <w:r w:rsidR="008D43B0" w:rsidRPr="002375ED">
        <w:rPr>
          <w:rFonts w:ascii="Times New Roman" w:hAnsi="Times New Roman" w:cs="Times New Roman"/>
          <w:sz w:val="20"/>
          <w:szCs w:val="20"/>
        </w:rPr>
        <w:t xml:space="preserve"> and FFTF</w:t>
      </w:r>
      <w:r w:rsidR="00826BBC" w:rsidRPr="002375ED">
        <w:rPr>
          <w:rFonts w:ascii="Times New Roman" w:hAnsi="Times New Roman" w:cs="Times New Roman"/>
          <w:sz w:val="20"/>
          <w:szCs w:val="20"/>
        </w:rPr>
        <w:t xml:space="preserve"> in Egyptian patients with PBL.</w:t>
      </w:r>
    </w:p>
    <w:p w:rsidR="00DA7763" w:rsidRPr="002375ED" w:rsidRDefault="005671D9" w:rsidP="00DA7763">
      <w:pPr>
        <w:bidi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b/>
          <w:bCs/>
          <w:sz w:val="20"/>
          <w:szCs w:val="20"/>
        </w:rPr>
        <w:t>[</w:t>
      </w:r>
      <w:proofErr w:type="spellStart"/>
      <w:r w:rsidRPr="002375ED">
        <w:rPr>
          <w:rFonts w:ascii="Times New Roman" w:eastAsia="Times New Roman" w:hAnsi="Times New Roman" w:cs="Times New Roman"/>
          <w:sz w:val="20"/>
          <w:szCs w:val="20"/>
          <w:lang w:bidi="ar-EG"/>
        </w:rPr>
        <w:t>Wael</w:t>
      </w:r>
      <w:proofErr w:type="spellEnd"/>
      <w:r w:rsidRPr="002375ED">
        <w:rPr>
          <w:rFonts w:ascii="Times New Roman" w:eastAsia="Times New Roman" w:hAnsi="Times New Roman" w:cs="Times New Roman"/>
          <w:sz w:val="20"/>
          <w:szCs w:val="20"/>
          <w:lang w:bidi="ar-EG"/>
        </w:rPr>
        <w:t xml:space="preserve"> S. </w:t>
      </w:r>
      <w:proofErr w:type="spellStart"/>
      <w:r w:rsidRPr="002375ED">
        <w:rPr>
          <w:rFonts w:ascii="Times New Roman" w:eastAsia="Times New Roman" w:hAnsi="Times New Roman" w:cs="Times New Roman"/>
          <w:sz w:val="20"/>
          <w:szCs w:val="20"/>
          <w:lang w:bidi="ar-EG"/>
        </w:rPr>
        <w:t>Mansour</w:t>
      </w:r>
      <w:proofErr w:type="spellEnd"/>
      <w:r w:rsidRPr="002375ED">
        <w:rPr>
          <w:rFonts w:ascii="Times New Roman" w:eastAsia="Times New Roman" w:hAnsi="Times New Roman" w:cs="Times New Roman"/>
          <w:sz w:val="20"/>
          <w:szCs w:val="20"/>
          <w:lang w:bidi="ar-EG"/>
        </w:rPr>
        <w:t xml:space="preserve"> and Mohamed A. </w:t>
      </w:r>
      <w:proofErr w:type="spellStart"/>
      <w:r w:rsidRPr="002375ED">
        <w:rPr>
          <w:rFonts w:ascii="Times New Roman" w:eastAsia="Times New Roman" w:hAnsi="Times New Roman" w:cs="Times New Roman"/>
          <w:sz w:val="20"/>
          <w:szCs w:val="20"/>
          <w:lang w:bidi="ar-EG"/>
        </w:rPr>
        <w:t>Alm</w:t>
      </w:r>
      <w:proofErr w:type="spellEnd"/>
      <w:r w:rsidRPr="002375ED">
        <w:rPr>
          <w:rFonts w:ascii="Times New Roman" w:eastAsia="Times New Roman" w:hAnsi="Times New Roman" w:cs="Times New Roman"/>
          <w:sz w:val="20"/>
          <w:szCs w:val="20"/>
          <w:lang w:bidi="ar-EG"/>
        </w:rPr>
        <w:t xml:space="preserve"> El-Din. </w:t>
      </w:r>
      <w:r w:rsidRPr="002375ED">
        <w:rPr>
          <w:rFonts w:ascii="Times New Roman" w:hAnsi="Times New Roman" w:cs="Times New Roman"/>
          <w:b/>
          <w:bCs/>
          <w:sz w:val="20"/>
          <w:szCs w:val="20"/>
          <w:lang w:bidi="ar-EG"/>
        </w:rPr>
        <w:t>Primary lymphoma of bone in Egyptian population</w:t>
      </w:r>
      <w:r w:rsidRPr="002375ED">
        <w:rPr>
          <w:rFonts w:ascii="Times New Roman" w:hAnsi="Times New Roman" w:cs="Times New Roman"/>
          <w:b/>
          <w:bCs/>
          <w:sz w:val="20"/>
          <w:szCs w:val="20"/>
        </w:rPr>
        <w:t>: a retrospective study with emphasis on prognostic factors and treatment outcome</w:t>
      </w:r>
      <w:r w:rsidR="00DA7763" w:rsidRPr="002375ED">
        <w:rPr>
          <w:rFonts w:ascii="Times New Roman" w:eastAsia="Times New Roman" w:hAnsi="Times New Roman" w:cs="Times New Roman"/>
          <w:b/>
          <w:bCs/>
          <w:i/>
          <w:sz w:val="20"/>
          <w:szCs w:val="20"/>
          <w:lang w:bidi="fa-IR"/>
        </w:rPr>
        <w:t>.</w:t>
      </w:r>
      <w:r w:rsidR="00DA7763" w:rsidRPr="002375ED">
        <w:rPr>
          <w:rFonts w:ascii="Times New Roman" w:hAnsi="Times New Roman" w:cs="Times New Roman"/>
          <w:sz w:val="20"/>
          <w:szCs w:val="20"/>
        </w:rPr>
        <w:t xml:space="preserve"> </w:t>
      </w:r>
      <w:r w:rsidR="00DA7763" w:rsidRPr="002375ED">
        <w:rPr>
          <w:rFonts w:ascii="Times New Roman" w:hAnsi="Times New Roman" w:cs="Times New Roman"/>
          <w:i/>
          <w:sz w:val="20"/>
          <w:szCs w:val="20"/>
        </w:rPr>
        <w:t>Cancer Biology</w:t>
      </w:r>
      <w:r w:rsidR="00DA7763" w:rsidRPr="002375ED">
        <w:rPr>
          <w:rFonts w:ascii="Times New Roman" w:hAnsi="Times New Roman" w:cs="Times New Roman"/>
          <w:sz w:val="20"/>
          <w:szCs w:val="20"/>
        </w:rPr>
        <w:t xml:space="preserve"> 201</w:t>
      </w:r>
      <w:r w:rsidR="00DA7763" w:rsidRPr="002375ED">
        <w:rPr>
          <w:rFonts w:ascii="Times New Roman" w:hAnsi="Times New Roman" w:cs="Times New Roman" w:hint="eastAsia"/>
          <w:sz w:val="20"/>
          <w:szCs w:val="20"/>
        </w:rPr>
        <w:t>9</w:t>
      </w:r>
      <w:r w:rsidR="00DA7763" w:rsidRPr="002375ED">
        <w:rPr>
          <w:rFonts w:ascii="Times New Roman" w:hAnsi="Times New Roman" w:cs="Times New Roman"/>
          <w:sz w:val="20"/>
          <w:szCs w:val="20"/>
        </w:rPr>
        <w:t>;</w:t>
      </w:r>
      <w:r w:rsidR="00DA7763" w:rsidRPr="002375ED">
        <w:rPr>
          <w:rFonts w:ascii="Times New Roman" w:hAnsi="Times New Roman" w:cs="Times New Roman" w:hint="eastAsia"/>
          <w:sz w:val="20"/>
          <w:szCs w:val="20"/>
        </w:rPr>
        <w:t>9</w:t>
      </w:r>
      <w:r w:rsidR="00DA7763" w:rsidRPr="002375ED">
        <w:rPr>
          <w:rFonts w:ascii="Times New Roman" w:hAnsi="Times New Roman" w:cs="Times New Roman"/>
          <w:sz w:val="20"/>
          <w:szCs w:val="20"/>
        </w:rPr>
        <w:t>(</w:t>
      </w:r>
      <w:r w:rsidR="00DA7763" w:rsidRPr="002375ED">
        <w:rPr>
          <w:rFonts w:ascii="Times New Roman" w:hAnsi="Times New Roman" w:cs="Times New Roman" w:hint="eastAsia"/>
          <w:sz w:val="20"/>
          <w:szCs w:val="20"/>
        </w:rPr>
        <w:t>1</w:t>
      </w:r>
      <w:r w:rsidR="00DA7763" w:rsidRPr="002375ED">
        <w:rPr>
          <w:rFonts w:ascii="Times New Roman" w:hAnsi="Times New Roman" w:cs="Times New Roman"/>
          <w:sz w:val="20"/>
          <w:szCs w:val="20"/>
        </w:rPr>
        <w:t>):</w:t>
      </w:r>
      <w:r w:rsidR="00472881" w:rsidRPr="002375ED">
        <w:rPr>
          <w:rFonts w:ascii="Times New Roman" w:hAnsi="Times New Roman" w:cs="Times New Roman"/>
          <w:noProof/>
          <w:color w:val="000000"/>
          <w:sz w:val="20"/>
          <w:szCs w:val="20"/>
        </w:rPr>
        <w:t>75-8</w:t>
      </w:r>
      <w:r w:rsidR="002375ED">
        <w:rPr>
          <w:rFonts w:ascii="Times New Roman" w:hAnsi="Times New Roman" w:cs="Times New Roman" w:hint="eastAsia"/>
          <w:noProof/>
          <w:color w:val="000000"/>
          <w:sz w:val="20"/>
          <w:szCs w:val="20"/>
          <w:lang w:eastAsia="zh-CN"/>
        </w:rPr>
        <w:t>3</w:t>
      </w:r>
      <w:r w:rsidR="00DA7763" w:rsidRPr="002375ED">
        <w:rPr>
          <w:rFonts w:ascii="Times New Roman" w:hAnsi="Times New Roman" w:cs="Times New Roman"/>
          <w:sz w:val="20"/>
          <w:szCs w:val="20"/>
        </w:rPr>
        <w:t xml:space="preserve">]. </w:t>
      </w:r>
      <w:r w:rsidR="00DA7763" w:rsidRPr="002375ED">
        <w:rPr>
          <w:rStyle w:val="msonormal0"/>
          <w:rFonts w:ascii="Times New Roman" w:eastAsia="宋" w:hAnsi="Times New Roman" w:cs="Times New Roman"/>
          <w:sz w:val="20"/>
          <w:szCs w:val="20"/>
        </w:rPr>
        <w:t>ISSN: 2150-1041 (print); ISSN: 2150-105X (online)</w:t>
      </w:r>
      <w:r w:rsidR="00DA7763" w:rsidRPr="002375ED">
        <w:rPr>
          <w:rFonts w:ascii="Times New Roman" w:hAnsi="Times New Roman" w:cs="Times New Roman"/>
          <w:sz w:val="20"/>
          <w:szCs w:val="20"/>
        </w:rPr>
        <w:t xml:space="preserve">. </w:t>
      </w:r>
      <w:hyperlink r:id="rId9" w:history="1">
        <w:r w:rsidR="00DA7763" w:rsidRPr="002375ED">
          <w:rPr>
            <w:rStyle w:val="Hyperlink"/>
            <w:rFonts w:ascii="Times New Roman" w:hAnsi="Times New Roman"/>
            <w:sz w:val="20"/>
            <w:szCs w:val="20"/>
          </w:rPr>
          <w:t>http://www.cancerbio.net</w:t>
        </w:r>
      </w:hyperlink>
      <w:r w:rsidR="00DA7763" w:rsidRPr="002375ED">
        <w:rPr>
          <w:rFonts w:ascii="Times New Roman" w:hAnsi="Times New Roman" w:cs="Times New Roman"/>
          <w:sz w:val="20"/>
          <w:szCs w:val="20"/>
        </w:rPr>
        <w:t>.</w:t>
      </w:r>
      <w:r w:rsidR="00DA7763" w:rsidRPr="002375ED">
        <w:rPr>
          <w:rFonts w:ascii="Times New Roman" w:hAnsi="Times New Roman" w:cs="Times New Roman" w:hint="eastAsia"/>
          <w:sz w:val="20"/>
          <w:szCs w:val="20"/>
        </w:rPr>
        <w:t xml:space="preserve"> </w:t>
      </w:r>
      <w:r w:rsidR="00DA7763" w:rsidRPr="002375ED">
        <w:rPr>
          <w:rFonts w:ascii="Times New Roman" w:hAnsi="Times New Roman" w:cs="Times New Roman" w:hint="eastAsia"/>
          <w:sz w:val="20"/>
          <w:szCs w:val="20"/>
          <w:lang w:eastAsia="zh-CN"/>
        </w:rPr>
        <w:t>10</w:t>
      </w:r>
      <w:r w:rsidR="00DA7763" w:rsidRPr="002375ED">
        <w:rPr>
          <w:rFonts w:ascii="Times New Roman" w:hAnsi="Times New Roman" w:cs="Times New Roman" w:hint="eastAsia"/>
          <w:sz w:val="20"/>
          <w:szCs w:val="20"/>
        </w:rPr>
        <w:t xml:space="preserve">. </w:t>
      </w:r>
      <w:r w:rsidR="00DA7763" w:rsidRPr="002375ED">
        <w:rPr>
          <w:rFonts w:ascii="Times New Roman" w:hAnsi="Times New Roman" w:cs="Times New Roman"/>
          <w:color w:val="000000"/>
          <w:sz w:val="20"/>
          <w:szCs w:val="20"/>
          <w:shd w:val="clear" w:color="auto" w:fill="FFFFFF"/>
        </w:rPr>
        <w:t>doi:</w:t>
      </w:r>
      <w:hyperlink r:id="rId10" w:history="1">
        <w:r w:rsidR="00DA7763" w:rsidRPr="002375ED">
          <w:rPr>
            <w:rStyle w:val="Hyperlink"/>
            <w:rFonts w:ascii="Times New Roman" w:hAnsi="Times New Roman"/>
            <w:sz w:val="20"/>
            <w:szCs w:val="20"/>
            <w:shd w:val="clear" w:color="auto" w:fill="FFFFFF"/>
          </w:rPr>
          <w:t>10.7537/mars</w:t>
        </w:r>
        <w:r w:rsidR="00DA7763" w:rsidRPr="002375ED">
          <w:rPr>
            <w:rStyle w:val="Hyperlink"/>
            <w:rFonts w:ascii="Times New Roman" w:hAnsi="Times New Roman" w:hint="eastAsia"/>
            <w:sz w:val="20"/>
            <w:szCs w:val="20"/>
            <w:shd w:val="clear" w:color="auto" w:fill="FFFFFF"/>
          </w:rPr>
          <w:t>cbj0901</w:t>
        </w:r>
        <w:r w:rsidR="00DA7763" w:rsidRPr="002375ED">
          <w:rPr>
            <w:rStyle w:val="Hyperlink"/>
            <w:rFonts w:ascii="Times New Roman" w:hAnsi="Times New Roman"/>
            <w:sz w:val="20"/>
            <w:szCs w:val="20"/>
            <w:shd w:val="clear" w:color="auto" w:fill="FFFFFF"/>
          </w:rPr>
          <w:t>1</w:t>
        </w:r>
        <w:r w:rsidR="00DA7763" w:rsidRPr="002375ED">
          <w:rPr>
            <w:rStyle w:val="Hyperlink"/>
            <w:rFonts w:ascii="Times New Roman" w:hAnsi="Times New Roman" w:hint="eastAsia"/>
            <w:sz w:val="20"/>
            <w:szCs w:val="20"/>
            <w:shd w:val="clear" w:color="auto" w:fill="FFFFFF"/>
          </w:rPr>
          <w:t>9.</w:t>
        </w:r>
        <w:r w:rsidR="00DA7763" w:rsidRPr="002375ED">
          <w:rPr>
            <w:rStyle w:val="Hyperlink"/>
            <w:rFonts w:ascii="Times New Roman" w:hAnsi="Times New Roman" w:hint="eastAsia"/>
            <w:sz w:val="20"/>
            <w:szCs w:val="20"/>
            <w:shd w:val="clear" w:color="auto" w:fill="FFFFFF"/>
            <w:lang w:eastAsia="zh-CN"/>
          </w:rPr>
          <w:t>1</w:t>
        </w:r>
        <w:r w:rsidR="00DA7763" w:rsidRPr="002375ED">
          <w:rPr>
            <w:rStyle w:val="Hyperlink"/>
            <w:rFonts w:ascii="Times New Roman" w:hAnsi="Times New Roman"/>
            <w:sz w:val="20"/>
            <w:szCs w:val="20"/>
            <w:shd w:val="clear" w:color="auto" w:fill="FFFFFF"/>
          </w:rPr>
          <w:t>0</w:t>
        </w:r>
      </w:hyperlink>
      <w:r w:rsidR="00DA7763" w:rsidRPr="002375ED">
        <w:rPr>
          <w:rFonts w:ascii="Times New Roman" w:hAnsi="Times New Roman" w:cs="Times New Roman"/>
          <w:color w:val="000000"/>
          <w:sz w:val="20"/>
          <w:szCs w:val="20"/>
          <w:shd w:val="clear" w:color="auto" w:fill="FFFFFF"/>
        </w:rPr>
        <w:t>.</w:t>
      </w:r>
    </w:p>
    <w:p w:rsidR="00DE7B90" w:rsidRPr="002375ED" w:rsidRDefault="00DE7B90" w:rsidP="00DA7763">
      <w:pPr>
        <w:bidi w:val="0"/>
        <w:snapToGrid w:val="0"/>
        <w:spacing w:after="0" w:line="240" w:lineRule="auto"/>
        <w:jc w:val="both"/>
        <w:rPr>
          <w:rFonts w:ascii="Times New Roman" w:hAnsi="Times New Roman" w:cs="Times New Roman"/>
          <w:color w:val="000000"/>
          <w:sz w:val="20"/>
          <w:szCs w:val="20"/>
          <w:lang w:bidi="ar-EG"/>
        </w:rPr>
      </w:pPr>
    </w:p>
    <w:p w:rsidR="00DE7B90" w:rsidRPr="002375ED" w:rsidRDefault="00DE7B90" w:rsidP="00DA7763">
      <w:pPr>
        <w:bidi w:val="0"/>
        <w:snapToGrid w:val="0"/>
        <w:spacing w:after="0" w:line="240" w:lineRule="auto"/>
        <w:jc w:val="both"/>
        <w:rPr>
          <w:rFonts w:ascii="Times New Roman" w:hAnsi="Times New Roman" w:cs="Times New Roman"/>
          <w:b/>
          <w:bCs/>
          <w:sz w:val="20"/>
          <w:szCs w:val="20"/>
          <w:lang w:bidi="ar-EG"/>
        </w:rPr>
      </w:pPr>
      <w:r w:rsidRPr="002375ED">
        <w:rPr>
          <w:rFonts w:ascii="Times New Roman" w:hAnsi="Times New Roman" w:cs="Times New Roman"/>
          <w:b/>
          <w:bCs/>
          <w:sz w:val="20"/>
          <w:szCs w:val="20"/>
        </w:rPr>
        <w:t>K</w:t>
      </w:r>
      <w:r w:rsidR="005671D9" w:rsidRPr="002375ED">
        <w:rPr>
          <w:rFonts w:ascii="Times New Roman" w:hAnsi="Times New Roman" w:cs="Times New Roman"/>
          <w:b/>
          <w:bCs/>
          <w:sz w:val="20"/>
          <w:szCs w:val="20"/>
        </w:rPr>
        <w:t>eywords:</w:t>
      </w:r>
      <w:r w:rsidR="005671D9" w:rsidRPr="002375ED">
        <w:rPr>
          <w:rFonts w:ascii="Times New Roman" w:hAnsi="Times New Roman" w:cs="Times New Roman"/>
          <w:b/>
          <w:bCs/>
          <w:sz w:val="20"/>
          <w:szCs w:val="20"/>
          <w:lang w:bidi="ar-EG"/>
        </w:rPr>
        <w:t xml:space="preserve"> </w:t>
      </w:r>
      <w:r w:rsidR="005671D9" w:rsidRPr="002375ED">
        <w:rPr>
          <w:rFonts w:ascii="Times New Roman" w:hAnsi="Times New Roman" w:cs="Times New Roman"/>
          <w:sz w:val="20"/>
          <w:szCs w:val="20"/>
          <w:lang w:bidi="ar-EG"/>
        </w:rPr>
        <w:t>Primary bone lymphoma; Outcome; Egyptian</w:t>
      </w:r>
    </w:p>
    <w:p w:rsidR="00DA7763" w:rsidRPr="002375ED" w:rsidRDefault="00DE7B90" w:rsidP="00DA7763">
      <w:pPr>
        <w:bidi w:val="0"/>
        <w:snapToGrid w:val="0"/>
        <w:spacing w:after="0" w:line="240" w:lineRule="auto"/>
        <w:jc w:val="both"/>
        <w:rPr>
          <w:rFonts w:ascii="Times New Roman" w:hAnsi="Times New Roman" w:cs="Times New Roman"/>
          <w:b/>
          <w:bCs/>
          <w:sz w:val="20"/>
          <w:szCs w:val="20"/>
          <w:lang w:bidi="ar-EG"/>
        </w:rPr>
        <w:sectPr w:rsidR="00DA7763" w:rsidRPr="002375ED" w:rsidSect="00472881">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75"/>
          <w:cols w:space="720"/>
          <w:bidi/>
          <w:docGrid w:linePitch="360"/>
        </w:sectPr>
      </w:pPr>
      <w:r w:rsidRPr="002375ED">
        <w:rPr>
          <w:rFonts w:ascii="Times New Roman" w:hAnsi="Times New Roman" w:cs="Times New Roman"/>
          <w:b/>
          <w:bCs/>
          <w:sz w:val="20"/>
          <w:szCs w:val="20"/>
          <w:lang w:bidi="ar-EG"/>
        </w:rPr>
        <w:cr/>
      </w:r>
    </w:p>
    <w:p w:rsidR="000D40C9" w:rsidRPr="002375ED" w:rsidRDefault="005671D9" w:rsidP="00DA7763">
      <w:pPr>
        <w:bidi w:val="0"/>
        <w:snapToGrid w:val="0"/>
        <w:spacing w:after="0" w:line="240" w:lineRule="auto"/>
        <w:jc w:val="both"/>
        <w:rPr>
          <w:rFonts w:ascii="Times New Roman" w:hAnsi="Times New Roman" w:cs="Times New Roman"/>
          <w:b/>
          <w:bCs/>
          <w:sz w:val="20"/>
          <w:szCs w:val="20"/>
          <w:lang w:bidi="ar-EG"/>
        </w:rPr>
      </w:pPr>
      <w:r w:rsidRPr="002375ED">
        <w:rPr>
          <w:rFonts w:ascii="Times New Roman" w:hAnsi="Times New Roman" w:cs="Times New Roman"/>
          <w:b/>
          <w:bCs/>
          <w:sz w:val="20"/>
          <w:szCs w:val="20"/>
          <w:lang w:bidi="ar-EG"/>
        </w:rPr>
        <w:lastRenderedPageBreak/>
        <w:t xml:space="preserve">1. </w:t>
      </w:r>
      <w:r w:rsidR="000D40C9" w:rsidRPr="002375ED">
        <w:rPr>
          <w:rFonts w:ascii="Times New Roman" w:hAnsi="Times New Roman" w:cs="Times New Roman"/>
          <w:b/>
          <w:bCs/>
          <w:sz w:val="20"/>
          <w:szCs w:val="20"/>
          <w:lang w:bidi="ar-EG"/>
        </w:rPr>
        <w:t>Introduction</w:t>
      </w:r>
    </w:p>
    <w:p w:rsidR="000D40C9" w:rsidRPr="002375ED" w:rsidRDefault="000D40C9" w:rsidP="00DA7763">
      <w:pPr>
        <w:bidi w:val="0"/>
        <w:snapToGrid w:val="0"/>
        <w:spacing w:after="0" w:line="240" w:lineRule="auto"/>
        <w:ind w:firstLine="425"/>
        <w:jc w:val="both"/>
        <w:rPr>
          <w:rFonts w:ascii="Times New Roman" w:hAnsi="Times New Roman" w:cs="Times New Roman"/>
          <w:sz w:val="20"/>
          <w:szCs w:val="20"/>
          <w:lang w:bidi="ar-EG"/>
        </w:rPr>
      </w:pPr>
      <w:r w:rsidRPr="002375ED">
        <w:rPr>
          <w:rFonts w:ascii="Times New Roman" w:hAnsi="Times New Roman" w:cs="Times New Roman"/>
          <w:sz w:val="20"/>
          <w:szCs w:val="20"/>
          <w:lang w:bidi="ar-EG"/>
        </w:rPr>
        <w:t>Primary</w:t>
      </w:r>
      <w:r w:rsidR="00C3157C" w:rsidRPr="002375ED">
        <w:rPr>
          <w:rFonts w:ascii="Times New Roman" w:hAnsi="Times New Roman" w:cs="Times New Roman"/>
          <w:sz w:val="20"/>
          <w:szCs w:val="20"/>
          <w:lang w:bidi="ar-EG"/>
        </w:rPr>
        <w:t xml:space="preserve"> bone</w:t>
      </w:r>
      <w:r w:rsidRPr="002375ED">
        <w:rPr>
          <w:rFonts w:ascii="Times New Roman" w:hAnsi="Times New Roman" w:cs="Times New Roman"/>
          <w:sz w:val="20"/>
          <w:szCs w:val="20"/>
          <w:lang w:bidi="ar-EG"/>
        </w:rPr>
        <w:t xml:space="preserve"> lymphoma (PBL) is</w:t>
      </w:r>
      <w:r w:rsidR="00C3157C" w:rsidRPr="002375ED">
        <w:rPr>
          <w:rFonts w:ascii="Times New Roman" w:hAnsi="Times New Roman" w:cs="Times New Roman"/>
          <w:sz w:val="20"/>
          <w:szCs w:val="20"/>
          <w:lang w:bidi="ar-EG"/>
        </w:rPr>
        <w:t xml:space="preserve"> </w:t>
      </w:r>
      <w:r w:rsidR="00537310" w:rsidRPr="002375ED">
        <w:rPr>
          <w:rFonts w:ascii="Times New Roman" w:hAnsi="Times New Roman" w:cs="Times New Roman"/>
          <w:sz w:val="20"/>
          <w:szCs w:val="20"/>
          <w:lang w:bidi="ar-EG"/>
        </w:rPr>
        <w:t>not a common</w:t>
      </w:r>
      <w:r w:rsidR="007B5B64" w:rsidRPr="002375ED">
        <w:rPr>
          <w:rFonts w:ascii="Times New Roman" w:hAnsi="Times New Roman" w:cs="Times New Roman"/>
          <w:sz w:val="20"/>
          <w:szCs w:val="20"/>
          <w:lang w:bidi="ar-EG"/>
        </w:rPr>
        <w:t xml:space="preserve"> diseas</w:t>
      </w:r>
      <w:r w:rsidR="00DE7B90" w:rsidRPr="002375ED">
        <w:rPr>
          <w:rFonts w:ascii="Times New Roman" w:hAnsi="Times New Roman" w:cs="Times New Roman"/>
          <w:sz w:val="20"/>
          <w:szCs w:val="20"/>
          <w:lang w:bidi="ar-EG"/>
        </w:rPr>
        <w:t xml:space="preserve">e </w:t>
      </w:r>
      <w:r w:rsidR="00DE7B90" w:rsidRPr="002375ED">
        <w:rPr>
          <w:rFonts w:ascii="Times New Roman" w:hAnsi="Times New Roman" w:cs="Times New Roman"/>
          <w:sz w:val="20"/>
          <w:szCs w:val="20"/>
          <w:vertAlign w:val="superscript"/>
          <w:lang w:bidi="ar-EG"/>
        </w:rPr>
        <w:t>(</w:t>
      </w:r>
      <w:r w:rsidRPr="002375ED">
        <w:rPr>
          <w:rFonts w:ascii="Times New Roman" w:hAnsi="Times New Roman" w:cs="Times New Roman"/>
          <w:sz w:val="20"/>
          <w:szCs w:val="20"/>
          <w:vertAlign w:val="superscript"/>
          <w:lang w:bidi="ar-EG"/>
        </w:rPr>
        <w:t>1)</w:t>
      </w:r>
      <w:r w:rsidRPr="002375ED">
        <w:rPr>
          <w:rFonts w:ascii="Times New Roman" w:hAnsi="Times New Roman" w:cs="Times New Roman"/>
          <w:sz w:val="20"/>
          <w:szCs w:val="20"/>
          <w:lang w:bidi="ar-EG"/>
        </w:rPr>
        <w:t xml:space="preserve">, </w:t>
      </w:r>
      <w:r w:rsidR="007B5B64" w:rsidRPr="002375ED">
        <w:rPr>
          <w:rFonts w:ascii="Times New Roman" w:hAnsi="Times New Roman" w:cs="Times New Roman"/>
          <w:sz w:val="20"/>
          <w:szCs w:val="20"/>
          <w:lang w:bidi="ar-EG"/>
        </w:rPr>
        <w:t>representing</w:t>
      </w:r>
      <w:r w:rsidRPr="002375ED">
        <w:rPr>
          <w:rFonts w:ascii="Times New Roman" w:hAnsi="Times New Roman" w:cs="Times New Roman"/>
          <w:sz w:val="20"/>
          <w:szCs w:val="20"/>
          <w:lang w:bidi="ar-EG"/>
        </w:rPr>
        <w:t xml:space="preserve"> </w:t>
      </w:r>
      <w:r w:rsidR="007B5B64" w:rsidRPr="002375ED">
        <w:rPr>
          <w:rFonts w:ascii="Times New Roman" w:hAnsi="Times New Roman" w:cs="Times New Roman"/>
          <w:sz w:val="20"/>
          <w:szCs w:val="20"/>
          <w:lang w:bidi="ar-EG"/>
        </w:rPr>
        <w:t>about</w:t>
      </w:r>
      <w:r w:rsidRPr="002375ED">
        <w:rPr>
          <w:rFonts w:ascii="Times New Roman" w:hAnsi="Times New Roman" w:cs="Times New Roman"/>
          <w:sz w:val="20"/>
          <w:szCs w:val="20"/>
          <w:lang w:bidi="ar-EG"/>
        </w:rPr>
        <w:t xml:space="preserve"> 5%</w:t>
      </w:r>
      <w:r w:rsidR="00537310" w:rsidRPr="002375ED">
        <w:rPr>
          <w:rFonts w:ascii="Times New Roman" w:hAnsi="Times New Roman" w:cs="Times New Roman"/>
          <w:sz w:val="20"/>
          <w:szCs w:val="20"/>
          <w:lang w:bidi="ar-EG"/>
        </w:rPr>
        <w:t xml:space="preserve"> </w:t>
      </w:r>
      <w:r w:rsidRPr="002375ED">
        <w:rPr>
          <w:rFonts w:ascii="Times New Roman" w:hAnsi="Times New Roman" w:cs="Times New Roman"/>
          <w:sz w:val="20"/>
          <w:szCs w:val="20"/>
          <w:lang w:bidi="ar-EG"/>
        </w:rPr>
        <w:t>of non-Hodgkin lymphomas (NHL</w:t>
      </w:r>
      <w:r w:rsidR="00DE7B90" w:rsidRPr="002375ED">
        <w:rPr>
          <w:rFonts w:ascii="Times New Roman" w:hAnsi="Times New Roman" w:cs="Times New Roman"/>
          <w:sz w:val="20"/>
          <w:szCs w:val="20"/>
          <w:lang w:bidi="ar-EG"/>
        </w:rPr>
        <w:t xml:space="preserve">) </w:t>
      </w:r>
      <w:r w:rsidR="00DE7B90" w:rsidRPr="002375ED">
        <w:rPr>
          <w:rFonts w:ascii="Times New Roman" w:hAnsi="Times New Roman" w:cs="Times New Roman"/>
          <w:sz w:val="20"/>
          <w:szCs w:val="20"/>
          <w:vertAlign w:val="superscript"/>
          <w:lang w:bidi="ar-EG"/>
        </w:rPr>
        <w:t>(</w:t>
      </w:r>
      <w:r w:rsidRPr="002375ED">
        <w:rPr>
          <w:rFonts w:ascii="Times New Roman" w:hAnsi="Times New Roman" w:cs="Times New Roman"/>
          <w:sz w:val="20"/>
          <w:szCs w:val="20"/>
          <w:vertAlign w:val="superscript"/>
          <w:lang w:bidi="ar-EG"/>
        </w:rPr>
        <w:t>2, 3)</w:t>
      </w:r>
      <w:r w:rsidRPr="002375ED">
        <w:rPr>
          <w:rFonts w:ascii="Times New Roman" w:hAnsi="Times New Roman" w:cs="Times New Roman"/>
          <w:sz w:val="20"/>
          <w:szCs w:val="20"/>
          <w:lang w:bidi="ar-EG"/>
        </w:rPr>
        <w:t xml:space="preserve"> and </w:t>
      </w:r>
      <w:r w:rsidR="00537310" w:rsidRPr="002375ED">
        <w:rPr>
          <w:rFonts w:ascii="Times New Roman" w:hAnsi="Times New Roman" w:cs="Times New Roman"/>
          <w:sz w:val="20"/>
          <w:szCs w:val="20"/>
          <w:lang w:bidi="ar-EG"/>
        </w:rPr>
        <w:t xml:space="preserve">3% </w:t>
      </w:r>
      <w:r w:rsidRPr="002375ED">
        <w:rPr>
          <w:rFonts w:ascii="Times New Roman" w:hAnsi="Times New Roman" w:cs="Times New Roman"/>
          <w:sz w:val="20"/>
          <w:szCs w:val="20"/>
          <w:lang w:bidi="ar-EG"/>
        </w:rPr>
        <w:t>of all bone malignancies</w:t>
      </w:r>
      <w:r w:rsidR="007B5B64" w:rsidRPr="002375ED">
        <w:rPr>
          <w:rFonts w:ascii="Times New Roman" w:hAnsi="Times New Roman" w:cs="Times New Roman"/>
          <w:sz w:val="20"/>
          <w:szCs w:val="20"/>
          <w:lang w:bidi="ar-EG"/>
        </w:rPr>
        <w:t xml:space="preserve"> </w:t>
      </w:r>
      <w:r w:rsidRPr="002375ED">
        <w:rPr>
          <w:rFonts w:ascii="Times New Roman" w:hAnsi="Times New Roman" w:cs="Times New Roman"/>
          <w:sz w:val="20"/>
          <w:szCs w:val="20"/>
          <w:vertAlign w:val="superscript"/>
          <w:lang w:bidi="ar-EG"/>
        </w:rPr>
        <w:t>(4)</w:t>
      </w:r>
      <w:r w:rsidRPr="002375ED">
        <w:rPr>
          <w:rFonts w:ascii="Times New Roman" w:hAnsi="Times New Roman" w:cs="Times New Roman"/>
          <w:sz w:val="20"/>
          <w:szCs w:val="20"/>
          <w:lang w:bidi="ar-EG"/>
        </w:rPr>
        <w:t>.</w:t>
      </w:r>
    </w:p>
    <w:p w:rsidR="000D40C9" w:rsidRPr="002375ED" w:rsidRDefault="00537310" w:rsidP="00DA7763">
      <w:pPr>
        <w:bidi w:val="0"/>
        <w:snapToGrid w:val="0"/>
        <w:spacing w:after="0" w:line="240" w:lineRule="auto"/>
        <w:ind w:firstLine="425"/>
        <w:jc w:val="both"/>
        <w:rPr>
          <w:rFonts w:ascii="Times New Roman" w:hAnsi="Times New Roman" w:cs="Times New Roman"/>
          <w:sz w:val="20"/>
          <w:szCs w:val="20"/>
          <w:lang w:bidi="ar-EG"/>
        </w:rPr>
      </w:pPr>
      <w:r w:rsidRPr="002375ED">
        <w:rPr>
          <w:rFonts w:ascii="Times New Roman" w:hAnsi="Times New Roman" w:cs="Times New Roman"/>
          <w:sz w:val="20"/>
          <w:szCs w:val="20"/>
          <w:lang w:bidi="ar-EG"/>
        </w:rPr>
        <w:t xml:space="preserve">The definition of PBL </w:t>
      </w:r>
      <w:r w:rsidR="000D40C9" w:rsidRPr="002375ED">
        <w:rPr>
          <w:rFonts w:ascii="Times New Roman" w:hAnsi="Times New Roman" w:cs="Times New Roman"/>
          <w:sz w:val="20"/>
          <w:szCs w:val="20"/>
          <w:lang w:bidi="ar-EG"/>
        </w:rPr>
        <w:t>in the new version of “WHO pathology and genetics classification of soft tissue and bone tumor”</w:t>
      </w:r>
      <w:r w:rsidR="000D40C9" w:rsidRPr="002375ED">
        <w:rPr>
          <w:rFonts w:ascii="Times New Roman" w:hAnsi="Times New Roman" w:cs="Times New Roman"/>
          <w:sz w:val="20"/>
          <w:szCs w:val="20"/>
          <w:vertAlign w:val="superscript"/>
          <w:lang w:bidi="ar-EG"/>
        </w:rPr>
        <w:t>(5)</w:t>
      </w:r>
      <w:r w:rsidR="000D40C9" w:rsidRPr="002375ED">
        <w:rPr>
          <w:rFonts w:ascii="Times New Roman" w:hAnsi="Times New Roman" w:cs="Times New Roman"/>
          <w:sz w:val="20"/>
          <w:szCs w:val="20"/>
          <w:lang w:bidi="ar-EG"/>
        </w:rPr>
        <w:t xml:space="preserve"> in 2013 </w:t>
      </w:r>
      <w:r w:rsidRPr="002375ED">
        <w:rPr>
          <w:rFonts w:ascii="Times New Roman" w:hAnsi="Times New Roman" w:cs="Times New Roman"/>
          <w:sz w:val="20"/>
          <w:szCs w:val="20"/>
          <w:lang w:bidi="ar-EG"/>
        </w:rPr>
        <w:t>is</w:t>
      </w:r>
      <w:r w:rsidR="00DE7B90" w:rsidRPr="002375ED">
        <w:rPr>
          <w:rFonts w:ascii="Times New Roman" w:hAnsi="Times New Roman" w:cs="Times New Roman"/>
          <w:sz w:val="20"/>
          <w:szCs w:val="20"/>
          <w:lang w:bidi="ar-EG"/>
        </w:rPr>
        <w:t xml:space="preserve"> </w:t>
      </w:r>
      <w:r w:rsidR="007B5B64" w:rsidRPr="002375ED">
        <w:rPr>
          <w:rFonts w:ascii="Times New Roman" w:hAnsi="Times New Roman" w:cs="Times New Roman"/>
          <w:sz w:val="20"/>
          <w:szCs w:val="20"/>
          <w:lang w:bidi="ar-EG"/>
        </w:rPr>
        <w:t>single or multiple tumor in the bone consisted of malignant lymphocytes</w:t>
      </w:r>
      <w:r w:rsidR="000D40C9" w:rsidRPr="002375ED">
        <w:rPr>
          <w:rFonts w:ascii="Times New Roman" w:hAnsi="Times New Roman" w:cs="Times New Roman"/>
          <w:sz w:val="20"/>
          <w:szCs w:val="20"/>
          <w:lang w:bidi="ar-EG"/>
        </w:rPr>
        <w:t xml:space="preserve">, not associated with </w:t>
      </w:r>
      <w:r w:rsidR="007B5B64" w:rsidRPr="002375ED">
        <w:rPr>
          <w:rFonts w:ascii="Times New Roman" w:hAnsi="Times New Roman" w:cs="Times New Roman"/>
          <w:sz w:val="20"/>
          <w:szCs w:val="20"/>
          <w:lang w:bidi="ar-EG"/>
        </w:rPr>
        <w:t>invasion</w:t>
      </w:r>
      <w:r w:rsidR="000D40C9" w:rsidRPr="002375ED">
        <w:rPr>
          <w:rFonts w:ascii="Times New Roman" w:hAnsi="Times New Roman" w:cs="Times New Roman"/>
          <w:sz w:val="20"/>
          <w:szCs w:val="20"/>
          <w:lang w:bidi="ar-EG"/>
        </w:rPr>
        <w:t xml:space="preserve"> </w:t>
      </w:r>
      <w:r w:rsidR="007B5B64" w:rsidRPr="002375ED">
        <w:rPr>
          <w:rFonts w:ascii="Times New Roman" w:hAnsi="Times New Roman" w:cs="Times New Roman"/>
          <w:sz w:val="20"/>
          <w:szCs w:val="20"/>
          <w:lang w:bidi="ar-EG"/>
        </w:rPr>
        <w:t xml:space="preserve">or involvement </w:t>
      </w:r>
      <w:r w:rsidR="000D40C9" w:rsidRPr="002375ED">
        <w:rPr>
          <w:rFonts w:ascii="Times New Roman" w:hAnsi="Times New Roman" w:cs="Times New Roman"/>
          <w:sz w:val="20"/>
          <w:szCs w:val="20"/>
          <w:lang w:bidi="ar-EG"/>
        </w:rPr>
        <w:t xml:space="preserve">of other </w:t>
      </w:r>
      <w:proofErr w:type="spellStart"/>
      <w:r w:rsidR="000D40C9" w:rsidRPr="002375ED">
        <w:rPr>
          <w:rFonts w:ascii="Times New Roman" w:hAnsi="Times New Roman" w:cs="Times New Roman"/>
          <w:sz w:val="20"/>
          <w:szCs w:val="20"/>
          <w:lang w:bidi="ar-EG"/>
        </w:rPr>
        <w:t>extranodal</w:t>
      </w:r>
      <w:proofErr w:type="spellEnd"/>
      <w:r w:rsidR="000D40C9" w:rsidRPr="002375ED">
        <w:rPr>
          <w:rFonts w:ascii="Times New Roman" w:hAnsi="Times New Roman" w:cs="Times New Roman"/>
          <w:sz w:val="20"/>
          <w:szCs w:val="20"/>
          <w:lang w:bidi="ar-EG"/>
        </w:rPr>
        <w:t xml:space="preserve"> malignant lymph nodes outside the area.</w:t>
      </w:r>
    </w:p>
    <w:p w:rsidR="000D40C9" w:rsidRPr="002375ED" w:rsidRDefault="000D40C9" w:rsidP="00DA7763">
      <w:pPr>
        <w:bidi w:val="0"/>
        <w:snapToGrid w:val="0"/>
        <w:spacing w:after="0" w:line="240" w:lineRule="auto"/>
        <w:ind w:firstLine="425"/>
        <w:jc w:val="both"/>
        <w:rPr>
          <w:rFonts w:ascii="Times New Roman" w:hAnsi="Times New Roman" w:cs="Times New Roman"/>
          <w:sz w:val="20"/>
          <w:szCs w:val="20"/>
          <w:lang w:bidi="ar-EG"/>
        </w:rPr>
      </w:pPr>
      <w:r w:rsidRPr="002375ED">
        <w:rPr>
          <w:rFonts w:ascii="Times New Roman" w:hAnsi="Times New Roman" w:cs="Times New Roman"/>
          <w:sz w:val="20"/>
          <w:szCs w:val="20"/>
          <w:lang w:bidi="ar-EG"/>
        </w:rPr>
        <w:t>The</w:t>
      </w:r>
      <w:r w:rsidR="006F7F5E" w:rsidRPr="002375ED">
        <w:rPr>
          <w:rFonts w:ascii="Times New Roman" w:hAnsi="Times New Roman" w:cs="Times New Roman"/>
          <w:sz w:val="20"/>
          <w:szCs w:val="20"/>
          <w:lang w:bidi="ar-EG"/>
        </w:rPr>
        <w:t>re is no specific age predominance</w:t>
      </w:r>
      <w:r w:rsidRPr="002375ED">
        <w:rPr>
          <w:rFonts w:ascii="Times New Roman" w:hAnsi="Times New Roman" w:cs="Times New Roman"/>
          <w:sz w:val="20"/>
          <w:szCs w:val="20"/>
          <w:lang w:bidi="ar-EG"/>
        </w:rPr>
        <w:t>, with a median age of ons</w:t>
      </w:r>
      <w:r w:rsidR="006F7F5E" w:rsidRPr="002375ED">
        <w:rPr>
          <w:rFonts w:ascii="Times New Roman" w:hAnsi="Times New Roman" w:cs="Times New Roman"/>
          <w:sz w:val="20"/>
          <w:szCs w:val="20"/>
          <w:lang w:bidi="ar-EG"/>
        </w:rPr>
        <w:t>et ranging from 40–60 years old.</w:t>
      </w:r>
      <w:r w:rsidR="00DE7B90" w:rsidRPr="002375ED">
        <w:rPr>
          <w:rFonts w:ascii="Times New Roman" w:hAnsi="Times New Roman" w:cs="Times New Roman"/>
          <w:sz w:val="20"/>
          <w:szCs w:val="20"/>
          <w:lang w:bidi="ar-EG"/>
        </w:rPr>
        <w:t xml:space="preserve"> </w:t>
      </w:r>
      <w:r w:rsidR="006F7F5E" w:rsidRPr="002375ED">
        <w:rPr>
          <w:rFonts w:ascii="Times New Roman" w:hAnsi="Times New Roman" w:cs="Times New Roman"/>
          <w:sz w:val="20"/>
          <w:szCs w:val="20"/>
          <w:lang w:bidi="ar-EG"/>
        </w:rPr>
        <w:t xml:space="preserve">PBL is more frequent in male than in female </w:t>
      </w:r>
      <w:r w:rsidR="00C3157C" w:rsidRPr="002375ED">
        <w:rPr>
          <w:rFonts w:ascii="Times New Roman" w:hAnsi="Times New Roman" w:cs="Times New Roman"/>
          <w:sz w:val="20"/>
          <w:szCs w:val="20"/>
          <w:lang w:bidi="ar-EG"/>
        </w:rPr>
        <w:t>(1.0–1.8:1)</w:t>
      </w:r>
      <w:r w:rsidR="006F7F5E" w:rsidRPr="002375ED">
        <w:rPr>
          <w:rFonts w:ascii="Times New Roman" w:hAnsi="Times New Roman" w:cs="Times New Roman"/>
          <w:sz w:val="20"/>
          <w:szCs w:val="20"/>
          <w:lang w:bidi="ar-EG"/>
        </w:rPr>
        <w:t xml:space="preserve">, and </w:t>
      </w:r>
      <w:r w:rsidR="00C3157C" w:rsidRPr="002375ED">
        <w:rPr>
          <w:rFonts w:ascii="Times New Roman" w:hAnsi="Times New Roman" w:cs="Times New Roman"/>
          <w:sz w:val="20"/>
          <w:szCs w:val="20"/>
          <w:lang w:bidi="ar-EG"/>
        </w:rPr>
        <w:t>also was found in children</w:t>
      </w:r>
      <w:r w:rsidR="00C3157C" w:rsidRPr="002375ED">
        <w:rPr>
          <w:rFonts w:ascii="Times New Roman" w:hAnsi="Times New Roman" w:cs="Times New Roman"/>
          <w:sz w:val="20"/>
          <w:szCs w:val="20"/>
          <w:vertAlign w:val="superscript"/>
          <w:lang w:bidi="ar-EG"/>
        </w:rPr>
        <w:t xml:space="preserve"> </w:t>
      </w:r>
      <w:r w:rsidRPr="002375ED">
        <w:rPr>
          <w:rFonts w:ascii="Times New Roman" w:hAnsi="Times New Roman" w:cs="Times New Roman"/>
          <w:sz w:val="20"/>
          <w:szCs w:val="20"/>
          <w:vertAlign w:val="superscript"/>
          <w:lang w:bidi="ar-EG"/>
        </w:rPr>
        <w:t>(</w:t>
      </w:r>
      <w:r w:rsidR="006F7F5E" w:rsidRPr="002375ED">
        <w:rPr>
          <w:rFonts w:ascii="Times New Roman" w:hAnsi="Times New Roman" w:cs="Times New Roman"/>
          <w:sz w:val="20"/>
          <w:szCs w:val="20"/>
          <w:vertAlign w:val="superscript"/>
          <w:lang w:bidi="ar-EG"/>
        </w:rPr>
        <w:t>1,2</w:t>
      </w:r>
      <w:r w:rsidRPr="002375ED">
        <w:rPr>
          <w:rFonts w:ascii="Times New Roman" w:hAnsi="Times New Roman" w:cs="Times New Roman"/>
          <w:sz w:val="20"/>
          <w:szCs w:val="20"/>
          <w:vertAlign w:val="superscript"/>
          <w:lang w:bidi="ar-EG"/>
        </w:rPr>
        <w:t>)</w:t>
      </w:r>
      <w:r w:rsidRPr="002375ED">
        <w:rPr>
          <w:rFonts w:ascii="Times New Roman" w:hAnsi="Times New Roman" w:cs="Times New Roman"/>
          <w:sz w:val="20"/>
          <w:szCs w:val="20"/>
          <w:lang w:bidi="ar-EG"/>
        </w:rPr>
        <w:t xml:space="preserve">. </w:t>
      </w:r>
      <w:r w:rsidR="00C3157C" w:rsidRPr="002375ED">
        <w:rPr>
          <w:rFonts w:ascii="Times New Roman" w:hAnsi="Times New Roman" w:cs="Times New Roman"/>
          <w:sz w:val="20"/>
          <w:szCs w:val="20"/>
          <w:lang w:bidi="ar-EG"/>
        </w:rPr>
        <w:t xml:space="preserve">The most common </w:t>
      </w:r>
      <w:proofErr w:type="spellStart"/>
      <w:r w:rsidR="006F7F5E" w:rsidRPr="002375ED">
        <w:rPr>
          <w:rFonts w:ascii="Times New Roman" w:hAnsi="Times New Roman" w:cs="Times New Roman"/>
          <w:sz w:val="20"/>
          <w:szCs w:val="20"/>
          <w:lang w:bidi="ar-EG"/>
        </w:rPr>
        <w:t>histpathological</w:t>
      </w:r>
      <w:proofErr w:type="spellEnd"/>
      <w:r w:rsidR="006F7F5E" w:rsidRPr="002375ED">
        <w:rPr>
          <w:rFonts w:ascii="Times New Roman" w:hAnsi="Times New Roman" w:cs="Times New Roman"/>
          <w:sz w:val="20"/>
          <w:szCs w:val="20"/>
          <w:lang w:bidi="ar-EG"/>
        </w:rPr>
        <w:t xml:space="preserve"> subtype is</w:t>
      </w:r>
      <w:r w:rsidR="00801C99" w:rsidRPr="002375ED">
        <w:rPr>
          <w:rFonts w:ascii="Times New Roman" w:hAnsi="Times New Roman" w:cs="Times New Roman"/>
          <w:sz w:val="20"/>
          <w:szCs w:val="20"/>
          <w:lang w:bidi="ar-EG"/>
        </w:rPr>
        <w:t xml:space="preserve"> diffuse large B-cell lymphoma</w:t>
      </w:r>
      <w:r w:rsidR="00C3157C" w:rsidRPr="002375ED">
        <w:rPr>
          <w:rFonts w:ascii="Times New Roman" w:hAnsi="Times New Roman" w:cs="Times New Roman"/>
          <w:sz w:val="20"/>
          <w:szCs w:val="20"/>
          <w:lang w:bidi="ar-EG"/>
        </w:rPr>
        <w:t xml:space="preserve"> </w:t>
      </w:r>
      <w:r w:rsidR="00801C99" w:rsidRPr="002375ED">
        <w:rPr>
          <w:rFonts w:ascii="Times New Roman" w:hAnsi="Times New Roman" w:cs="Times New Roman"/>
          <w:sz w:val="20"/>
          <w:szCs w:val="20"/>
          <w:lang w:bidi="ar-EG"/>
        </w:rPr>
        <w:t>(</w:t>
      </w:r>
      <w:r w:rsidR="00C3157C" w:rsidRPr="002375ED">
        <w:rPr>
          <w:rFonts w:ascii="Times New Roman" w:hAnsi="Times New Roman" w:cs="Times New Roman"/>
          <w:sz w:val="20"/>
          <w:szCs w:val="20"/>
          <w:lang w:bidi="ar-EG"/>
        </w:rPr>
        <w:t>DLBCL</w:t>
      </w:r>
      <w:r w:rsidR="00801C99" w:rsidRPr="002375ED">
        <w:rPr>
          <w:rFonts w:ascii="Times New Roman" w:hAnsi="Times New Roman" w:cs="Times New Roman"/>
          <w:sz w:val="20"/>
          <w:szCs w:val="20"/>
          <w:lang w:bidi="ar-EG"/>
        </w:rPr>
        <w:t>)</w:t>
      </w:r>
      <w:r w:rsidR="00C3157C" w:rsidRPr="002375ED">
        <w:rPr>
          <w:rFonts w:ascii="Times New Roman" w:hAnsi="Times New Roman" w:cs="Times New Roman"/>
          <w:sz w:val="20"/>
          <w:szCs w:val="20"/>
          <w:lang w:bidi="ar-EG"/>
        </w:rPr>
        <w:t xml:space="preserve"> </w:t>
      </w:r>
      <w:r w:rsidRPr="002375ED">
        <w:rPr>
          <w:rFonts w:ascii="Times New Roman" w:hAnsi="Times New Roman" w:cs="Times New Roman"/>
          <w:sz w:val="20"/>
          <w:szCs w:val="20"/>
          <w:vertAlign w:val="superscript"/>
          <w:lang w:bidi="ar-EG"/>
        </w:rPr>
        <w:t>(6, 7, 8)</w:t>
      </w:r>
      <w:r w:rsidRPr="002375ED">
        <w:rPr>
          <w:rFonts w:ascii="Times New Roman" w:hAnsi="Times New Roman" w:cs="Times New Roman"/>
          <w:sz w:val="20"/>
          <w:szCs w:val="20"/>
          <w:lang w:bidi="ar-EG"/>
        </w:rPr>
        <w:t>.</w:t>
      </w:r>
    </w:p>
    <w:p w:rsidR="000D40C9" w:rsidRPr="002375ED" w:rsidRDefault="00801C99" w:rsidP="00DA7763">
      <w:pPr>
        <w:bidi w:val="0"/>
        <w:snapToGrid w:val="0"/>
        <w:spacing w:after="0" w:line="240" w:lineRule="auto"/>
        <w:ind w:firstLine="425"/>
        <w:jc w:val="both"/>
        <w:rPr>
          <w:rFonts w:ascii="Times New Roman" w:hAnsi="Times New Roman" w:cs="Times New Roman"/>
          <w:sz w:val="20"/>
          <w:szCs w:val="20"/>
          <w:lang w:bidi="ar-EG"/>
        </w:rPr>
      </w:pPr>
      <w:r w:rsidRPr="002375ED">
        <w:rPr>
          <w:rFonts w:ascii="Times New Roman" w:hAnsi="Times New Roman" w:cs="Times New Roman"/>
          <w:sz w:val="20"/>
          <w:szCs w:val="20"/>
          <w:lang w:bidi="ar-EG"/>
        </w:rPr>
        <w:t>According to 2013 WHO</w:t>
      </w:r>
      <w:r w:rsidR="00C3157C" w:rsidRPr="002375ED">
        <w:rPr>
          <w:rFonts w:ascii="Times New Roman" w:hAnsi="Times New Roman" w:cs="Times New Roman"/>
          <w:sz w:val="20"/>
          <w:szCs w:val="20"/>
          <w:lang w:bidi="ar-EG"/>
        </w:rPr>
        <w:t>,</w:t>
      </w:r>
      <w:r w:rsidR="00CC7FAC" w:rsidRPr="002375ED">
        <w:rPr>
          <w:rFonts w:ascii="Times New Roman" w:hAnsi="Times New Roman" w:cs="Times New Roman"/>
          <w:sz w:val="20"/>
          <w:szCs w:val="20"/>
          <w:lang w:bidi="ar-EG"/>
        </w:rPr>
        <w:t xml:space="preserve"> </w:t>
      </w:r>
      <w:r w:rsidR="006F7F5E" w:rsidRPr="002375ED">
        <w:rPr>
          <w:rFonts w:ascii="Times New Roman" w:hAnsi="Times New Roman" w:cs="Times New Roman"/>
          <w:sz w:val="20"/>
          <w:szCs w:val="20"/>
          <w:lang w:bidi="ar-EG"/>
        </w:rPr>
        <w:t xml:space="preserve">the independent prognostic factors of worse overall survival and progression free survival </w:t>
      </w:r>
      <w:r w:rsidR="00126A09" w:rsidRPr="002375ED">
        <w:rPr>
          <w:rFonts w:ascii="Times New Roman" w:hAnsi="Times New Roman" w:cs="Times New Roman"/>
          <w:sz w:val="20"/>
          <w:szCs w:val="20"/>
          <w:lang w:bidi="ar-EG"/>
        </w:rPr>
        <w:t>a</w:t>
      </w:r>
      <w:r w:rsidR="003920A5" w:rsidRPr="002375ED">
        <w:rPr>
          <w:rFonts w:ascii="Times New Roman" w:hAnsi="Times New Roman" w:cs="Times New Roman"/>
          <w:sz w:val="20"/>
          <w:szCs w:val="20"/>
          <w:lang w:bidi="ar-EG"/>
        </w:rPr>
        <w:t>re</w:t>
      </w:r>
      <w:r w:rsidR="006F7F5E" w:rsidRPr="002375ED">
        <w:rPr>
          <w:rFonts w:ascii="Times New Roman" w:hAnsi="Times New Roman" w:cs="Times New Roman"/>
          <w:sz w:val="20"/>
          <w:szCs w:val="20"/>
          <w:lang w:bidi="ar-EG"/>
        </w:rPr>
        <w:t xml:space="preserve"> soft tissue extension and worse international prognostic index (IPI) score</w:t>
      </w:r>
      <w:r w:rsidR="003920A5" w:rsidRPr="002375ED">
        <w:rPr>
          <w:rFonts w:ascii="Times New Roman" w:hAnsi="Times New Roman" w:cs="Times New Roman"/>
          <w:sz w:val="20"/>
          <w:szCs w:val="20"/>
          <w:lang w:bidi="ar-EG"/>
        </w:rPr>
        <w:t xml:space="preserve"> </w:t>
      </w:r>
      <w:r w:rsidR="000D40C9" w:rsidRPr="002375ED">
        <w:rPr>
          <w:rFonts w:ascii="Times New Roman" w:hAnsi="Times New Roman" w:cs="Times New Roman"/>
          <w:sz w:val="20"/>
          <w:szCs w:val="20"/>
          <w:vertAlign w:val="superscript"/>
          <w:lang w:bidi="ar-EG"/>
        </w:rPr>
        <w:t>(6)</w:t>
      </w:r>
      <w:r w:rsidR="000D40C9" w:rsidRPr="002375ED">
        <w:rPr>
          <w:rFonts w:ascii="Times New Roman" w:hAnsi="Times New Roman" w:cs="Times New Roman"/>
          <w:sz w:val="20"/>
          <w:szCs w:val="20"/>
          <w:lang w:bidi="ar-EG"/>
        </w:rPr>
        <w:t>.</w:t>
      </w:r>
    </w:p>
    <w:p w:rsidR="00DE7B90" w:rsidRPr="002375ED" w:rsidRDefault="00724000"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Due to paucity of the studies with respect PBL, most of the data are derived from retrospective analyses over decades</w:t>
      </w:r>
      <w:r w:rsidRPr="002375ED">
        <w:rPr>
          <w:rFonts w:ascii="Times New Roman" w:hAnsi="Times New Roman" w:cs="Times New Roman"/>
          <w:sz w:val="20"/>
          <w:szCs w:val="20"/>
          <w:vertAlign w:val="superscript"/>
          <w:lang w:bidi="ar-EG"/>
        </w:rPr>
        <w:t xml:space="preserve"> (</w:t>
      </w:r>
      <w:r w:rsidR="000D40C9" w:rsidRPr="002375ED">
        <w:rPr>
          <w:rFonts w:ascii="Times New Roman" w:hAnsi="Times New Roman" w:cs="Times New Roman"/>
          <w:sz w:val="20"/>
          <w:szCs w:val="20"/>
          <w:vertAlign w:val="superscript"/>
          <w:lang w:bidi="ar-EG"/>
        </w:rPr>
        <w:t>9)</w:t>
      </w:r>
      <w:r w:rsidR="000D40C9" w:rsidRPr="002375ED">
        <w:rPr>
          <w:rFonts w:ascii="Times New Roman" w:hAnsi="Times New Roman" w:cs="Times New Roman"/>
          <w:sz w:val="20"/>
          <w:szCs w:val="20"/>
          <w:lang w:bidi="ar-EG"/>
        </w:rPr>
        <w:t>.</w:t>
      </w:r>
      <w:r w:rsidR="000D40C9" w:rsidRPr="002375ED">
        <w:rPr>
          <w:rFonts w:ascii="Times New Roman" w:hAnsi="Times New Roman" w:cs="Times New Roman"/>
          <w:sz w:val="20"/>
          <w:szCs w:val="20"/>
        </w:rPr>
        <w:t xml:space="preserve"> </w:t>
      </w:r>
      <w:r w:rsidRPr="002375ED">
        <w:rPr>
          <w:rFonts w:ascii="Times New Roman" w:hAnsi="Times New Roman" w:cs="Times New Roman"/>
          <w:sz w:val="20"/>
          <w:szCs w:val="20"/>
        </w:rPr>
        <w:t>Furthermore</w:t>
      </w:r>
      <w:r w:rsidR="000D40C9" w:rsidRPr="002375ED">
        <w:rPr>
          <w:rFonts w:ascii="Times New Roman" w:hAnsi="Times New Roman" w:cs="Times New Roman"/>
          <w:sz w:val="20"/>
          <w:szCs w:val="20"/>
        </w:rPr>
        <w:t xml:space="preserve">, </w:t>
      </w:r>
      <w:r w:rsidR="00CC7FAC" w:rsidRPr="002375ED">
        <w:rPr>
          <w:rFonts w:ascii="Times New Roman" w:hAnsi="Times New Roman" w:cs="Times New Roman"/>
          <w:sz w:val="20"/>
          <w:szCs w:val="20"/>
        </w:rPr>
        <w:t>recent</w:t>
      </w:r>
      <w:r w:rsidR="000D40C9" w:rsidRPr="002375ED">
        <w:rPr>
          <w:rFonts w:ascii="Times New Roman" w:hAnsi="Times New Roman" w:cs="Times New Roman"/>
          <w:sz w:val="20"/>
          <w:szCs w:val="20"/>
        </w:rPr>
        <w:t xml:space="preserve"> </w:t>
      </w:r>
      <w:r w:rsidRPr="002375ED">
        <w:rPr>
          <w:rFonts w:ascii="Times New Roman" w:hAnsi="Times New Roman" w:cs="Times New Roman"/>
          <w:sz w:val="20"/>
          <w:szCs w:val="20"/>
        </w:rPr>
        <w:t>studies</w:t>
      </w:r>
      <w:r w:rsidR="000D40C9" w:rsidRPr="002375ED">
        <w:rPr>
          <w:rFonts w:ascii="Times New Roman" w:hAnsi="Times New Roman" w:cs="Times New Roman"/>
          <w:sz w:val="20"/>
          <w:szCs w:val="20"/>
        </w:rPr>
        <w:t xml:space="preserve"> are </w:t>
      </w:r>
      <w:r w:rsidR="00CC7FAC" w:rsidRPr="002375ED">
        <w:rPr>
          <w:rFonts w:ascii="Times New Roman" w:hAnsi="Times New Roman" w:cs="Times New Roman"/>
          <w:sz w:val="20"/>
          <w:szCs w:val="20"/>
        </w:rPr>
        <w:t>largely</w:t>
      </w:r>
      <w:r w:rsidR="000D40C9" w:rsidRPr="002375ED">
        <w:rPr>
          <w:rFonts w:ascii="Times New Roman" w:hAnsi="Times New Roman" w:cs="Times New Roman"/>
          <w:sz w:val="20"/>
          <w:szCs w:val="20"/>
        </w:rPr>
        <w:t xml:space="preserve"> from </w:t>
      </w:r>
      <w:r w:rsidRPr="002375ED">
        <w:rPr>
          <w:rFonts w:ascii="Times New Roman" w:hAnsi="Times New Roman" w:cs="Times New Roman"/>
          <w:sz w:val="20"/>
          <w:szCs w:val="20"/>
        </w:rPr>
        <w:t xml:space="preserve">Europe, </w:t>
      </w:r>
      <w:r w:rsidR="00801C99" w:rsidRPr="002375ED">
        <w:rPr>
          <w:rFonts w:ascii="Times New Roman" w:hAnsi="Times New Roman" w:cs="Times New Roman"/>
          <w:sz w:val="20"/>
          <w:szCs w:val="20"/>
        </w:rPr>
        <w:t>United States</w:t>
      </w:r>
      <w:r w:rsidR="000D40C9" w:rsidRPr="002375ED">
        <w:rPr>
          <w:rFonts w:ascii="Times New Roman" w:hAnsi="Times New Roman" w:cs="Times New Roman"/>
          <w:sz w:val="20"/>
          <w:szCs w:val="20"/>
        </w:rPr>
        <w:t xml:space="preserve">, and Asia </w:t>
      </w:r>
      <w:r w:rsidRPr="002375ED">
        <w:rPr>
          <w:rFonts w:ascii="Times New Roman" w:hAnsi="Times New Roman" w:cs="Times New Roman"/>
          <w:sz w:val="20"/>
          <w:szCs w:val="20"/>
        </w:rPr>
        <w:t>with</w:t>
      </w:r>
      <w:r w:rsidR="00CC7FAC" w:rsidRPr="002375ED">
        <w:rPr>
          <w:rFonts w:ascii="Times New Roman" w:hAnsi="Times New Roman" w:cs="Times New Roman"/>
          <w:sz w:val="20"/>
          <w:szCs w:val="20"/>
        </w:rPr>
        <w:t xml:space="preserve"> sparse</w:t>
      </w:r>
      <w:r w:rsidR="000D40C9" w:rsidRPr="002375ED">
        <w:rPr>
          <w:rFonts w:ascii="Times New Roman" w:hAnsi="Times New Roman" w:cs="Times New Roman"/>
          <w:sz w:val="20"/>
          <w:szCs w:val="20"/>
        </w:rPr>
        <w:t xml:space="preserve"> data from Africa</w:t>
      </w:r>
      <w:r w:rsidRPr="002375ED">
        <w:rPr>
          <w:rFonts w:ascii="Times New Roman" w:hAnsi="Times New Roman" w:cs="Times New Roman"/>
          <w:sz w:val="20"/>
          <w:szCs w:val="20"/>
        </w:rPr>
        <w:t>n population</w:t>
      </w:r>
      <w:r w:rsidR="000D40C9" w:rsidRPr="002375ED">
        <w:rPr>
          <w:rFonts w:ascii="Times New Roman" w:hAnsi="Times New Roman" w:cs="Times New Roman"/>
          <w:sz w:val="20"/>
          <w:szCs w:val="20"/>
        </w:rPr>
        <w:t xml:space="preserve">. Here we </w:t>
      </w:r>
      <w:r w:rsidR="000D40C9" w:rsidRPr="002375ED">
        <w:rPr>
          <w:rFonts w:ascii="Times New Roman" w:hAnsi="Times New Roman" w:cs="Times New Roman"/>
          <w:sz w:val="20"/>
          <w:szCs w:val="20"/>
        </w:rPr>
        <w:lastRenderedPageBreak/>
        <w:t xml:space="preserve">retrospectively collected and analyzed data from </w:t>
      </w:r>
      <w:r w:rsidR="005C012A" w:rsidRPr="002375ED">
        <w:rPr>
          <w:rFonts w:ascii="Times New Roman" w:hAnsi="Times New Roman" w:cs="Times New Roman"/>
          <w:sz w:val="20"/>
          <w:szCs w:val="20"/>
        </w:rPr>
        <w:t>twenty three</w:t>
      </w:r>
      <w:r w:rsidR="000D40C9" w:rsidRPr="002375ED">
        <w:rPr>
          <w:rFonts w:ascii="Times New Roman" w:hAnsi="Times New Roman" w:cs="Times New Roman"/>
          <w:sz w:val="20"/>
          <w:szCs w:val="20"/>
        </w:rPr>
        <w:t xml:space="preserve"> patients</w:t>
      </w:r>
      <w:r w:rsidR="005C012A" w:rsidRPr="002375ED">
        <w:rPr>
          <w:rFonts w:ascii="Times New Roman" w:hAnsi="Times New Roman" w:cs="Times New Roman"/>
          <w:sz w:val="20"/>
          <w:szCs w:val="20"/>
        </w:rPr>
        <w:t xml:space="preserve"> with PBL who were</w:t>
      </w:r>
      <w:r w:rsidR="000D40C9" w:rsidRPr="002375ED">
        <w:rPr>
          <w:rFonts w:ascii="Times New Roman" w:hAnsi="Times New Roman" w:cs="Times New Roman"/>
          <w:sz w:val="20"/>
          <w:szCs w:val="20"/>
        </w:rPr>
        <w:t xml:space="preserve"> </w:t>
      </w:r>
      <w:r w:rsidR="00801C99" w:rsidRPr="002375ED">
        <w:rPr>
          <w:rFonts w:ascii="Times New Roman" w:hAnsi="Times New Roman" w:cs="Times New Roman"/>
          <w:sz w:val="20"/>
          <w:szCs w:val="20"/>
        </w:rPr>
        <w:t xml:space="preserve">referred to the </w:t>
      </w:r>
      <w:r w:rsidR="00A847BA" w:rsidRPr="002375ED">
        <w:rPr>
          <w:rFonts w:ascii="Times New Roman" w:hAnsi="Times New Roman" w:cs="Times New Roman"/>
          <w:sz w:val="20"/>
          <w:szCs w:val="20"/>
        </w:rPr>
        <w:t>D</w:t>
      </w:r>
      <w:r w:rsidR="00801C99" w:rsidRPr="002375ED">
        <w:rPr>
          <w:rFonts w:ascii="Times New Roman" w:hAnsi="Times New Roman" w:cs="Times New Roman"/>
          <w:sz w:val="20"/>
          <w:szCs w:val="20"/>
        </w:rPr>
        <w:t xml:space="preserve">epartment </w:t>
      </w:r>
      <w:r w:rsidR="00126A09" w:rsidRPr="002375ED">
        <w:rPr>
          <w:rFonts w:ascii="Times New Roman" w:hAnsi="Times New Roman" w:cs="Times New Roman"/>
          <w:sz w:val="20"/>
          <w:szCs w:val="20"/>
        </w:rPr>
        <w:t>of Clinical</w:t>
      </w:r>
      <w:r w:rsidR="000D40C9" w:rsidRPr="002375ED">
        <w:rPr>
          <w:rFonts w:ascii="Times New Roman" w:hAnsi="Times New Roman" w:cs="Times New Roman"/>
          <w:sz w:val="20"/>
          <w:szCs w:val="20"/>
          <w:lang w:bidi="ar-EG"/>
        </w:rPr>
        <w:t xml:space="preserve"> Oncology, Faculty of Medicine, Tanta University Hospitals from </w:t>
      </w:r>
      <w:r w:rsidR="000D40C9" w:rsidRPr="002375ED">
        <w:rPr>
          <w:rFonts w:ascii="Times New Roman" w:hAnsi="Times New Roman" w:cs="Times New Roman"/>
          <w:sz w:val="20"/>
          <w:szCs w:val="20"/>
        </w:rPr>
        <w:t xml:space="preserve">January 2000 </w:t>
      </w:r>
      <w:r w:rsidR="000D40C9" w:rsidRPr="002375ED">
        <w:rPr>
          <w:rFonts w:ascii="Times New Roman" w:hAnsi="Times New Roman" w:cs="Times New Roman"/>
          <w:sz w:val="20"/>
          <w:szCs w:val="20"/>
          <w:lang w:bidi="ar-EG"/>
        </w:rPr>
        <w:t>to</w:t>
      </w:r>
      <w:r w:rsidR="000D40C9" w:rsidRPr="002375ED">
        <w:rPr>
          <w:rFonts w:ascii="Times New Roman" w:hAnsi="Times New Roman" w:cs="Times New Roman"/>
          <w:sz w:val="20"/>
          <w:szCs w:val="20"/>
        </w:rPr>
        <w:t xml:space="preserve"> January 2013, in order to better understand the characteristics, prognosti</w:t>
      </w:r>
      <w:r w:rsidR="005C012A" w:rsidRPr="002375ED">
        <w:rPr>
          <w:rFonts w:ascii="Times New Roman" w:hAnsi="Times New Roman" w:cs="Times New Roman"/>
          <w:sz w:val="20"/>
          <w:szCs w:val="20"/>
        </w:rPr>
        <w:t>c factors and treatment outcome in</w:t>
      </w:r>
      <w:r w:rsidR="000D40C9" w:rsidRPr="002375ED">
        <w:rPr>
          <w:rFonts w:ascii="Times New Roman" w:hAnsi="Times New Roman" w:cs="Times New Roman"/>
          <w:sz w:val="20"/>
          <w:szCs w:val="20"/>
        </w:rPr>
        <w:t xml:space="preserve"> Egyptian population. </w:t>
      </w:r>
    </w:p>
    <w:p w:rsidR="00DE7B90" w:rsidRPr="002375ED" w:rsidRDefault="00DE7B90"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0D40C9" w:rsidRPr="002375ED" w:rsidRDefault="005671D9" w:rsidP="00DA7763">
      <w:pPr>
        <w:bidi w:val="0"/>
        <w:snapToGrid w:val="0"/>
        <w:spacing w:after="0" w:line="240" w:lineRule="auto"/>
        <w:jc w:val="both"/>
        <w:rPr>
          <w:rFonts w:ascii="Times New Roman" w:hAnsi="Times New Roman" w:cs="Times New Roman"/>
          <w:b/>
          <w:bCs/>
          <w:sz w:val="20"/>
          <w:szCs w:val="20"/>
          <w:lang w:bidi="ar-EG"/>
        </w:rPr>
      </w:pPr>
      <w:r w:rsidRPr="002375ED">
        <w:rPr>
          <w:rFonts w:ascii="Times New Roman" w:hAnsi="Times New Roman" w:cs="Times New Roman"/>
          <w:b/>
          <w:bCs/>
          <w:sz w:val="20"/>
          <w:szCs w:val="20"/>
          <w:lang w:bidi="ar-EG"/>
        </w:rPr>
        <w:t xml:space="preserve">2. </w:t>
      </w:r>
      <w:r w:rsidR="000D40C9" w:rsidRPr="002375ED">
        <w:rPr>
          <w:rFonts w:ascii="Times New Roman" w:hAnsi="Times New Roman" w:cs="Times New Roman"/>
          <w:b/>
          <w:bCs/>
          <w:sz w:val="20"/>
          <w:szCs w:val="20"/>
          <w:lang w:bidi="ar-EG"/>
        </w:rPr>
        <w:t>Patients and Methods</w:t>
      </w:r>
    </w:p>
    <w:p w:rsidR="00DA7763" w:rsidRPr="002375ED" w:rsidRDefault="006721FC" w:rsidP="00DA7763">
      <w:pPr>
        <w:pStyle w:val="NormalWeb"/>
        <w:tabs>
          <w:tab w:val="right" w:pos="1080"/>
        </w:tabs>
        <w:snapToGrid w:val="0"/>
        <w:spacing w:before="0" w:beforeAutospacing="0" w:after="0" w:afterAutospacing="0"/>
        <w:jc w:val="both"/>
        <w:rPr>
          <w:b/>
          <w:bCs/>
          <w:sz w:val="20"/>
          <w:szCs w:val="20"/>
        </w:rPr>
      </w:pPr>
      <w:r w:rsidRPr="002375ED">
        <w:rPr>
          <w:b/>
          <w:bCs/>
          <w:sz w:val="20"/>
          <w:szCs w:val="20"/>
        </w:rPr>
        <w:t>Design of the Study</w:t>
      </w:r>
    </w:p>
    <w:p w:rsidR="006721FC" w:rsidRPr="002375ED" w:rsidRDefault="006721FC" w:rsidP="00DA7763">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375ED">
        <w:rPr>
          <w:rFonts w:ascii="Times New Roman" w:hAnsi="Times New Roman" w:cs="Times New Roman"/>
          <w:sz w:val="20"/>
          <w:szCs w:val="20"/>
        </w:rPr>
        <w:t xml:space="preserve">This study is a </w:t>
      </w:r>
      <w:r w:rsidRPr="002375ED">
        <w:rPr>
          <w:rFonts w:ascii="Times New Roman" w:hAnsi="Times New Roman" w:cs="Times New Roman"/>
          <w:sz w:val="20"/>
          <w:szCs w:val="20"/>
          <w:lang w:bidi="ar-EG"/>
        </w:rPr>
        <w:t>retrospective</w:t>
      </w:r>
      <w:r w:rsidRPr="002375ED">
        <w:rPr>
          <w:rFonts w:ascii="Times New Roman" w:hAnsi="Times New Roman" w:cs="Times New Roman"/>
          <w:sz w:val="20"/>
          <w:szCs w:val="20"/>
        </w:rPr>
        <w:t xml:space="preserve"> single institution study</w:t>
      </w:r>
      <w:r w:rsidRPr="002375ED">
        <w:rPr>
          <w:rFonts w:ascii="Times New Roman" w:hAnsi="Times New Roman" w:cs="Times New Roman"/>
          <w:b/>
          <w:bCs/>
          <w:sz w:val="20"/>
          <w:szCs w:val="20"/>
        </w:rPr>
        <w:t>.</w:t>
      </w:r>
      <w:r w:rsidRPr="002375ED">
        <w:rPr>
          <w:rFonts w:ascii="Times New Roman" w:hAnsi="Times New Roman" w:cs="Times New Roman"/>
          <w:sz w:val="20"/>
          <w:szCs w:val="20"/>
        </w:rPr>
        <w:t xml:space="preserve"> The Ethics Committee in Faculty of Medicine, Tanta University, granted study approval.</w:t>
      </w:r>
    </w:p>
    <w:p w:rsidR="00DA7763" w:rsidRPr="002375ED" w:rsidRDefault="006721FC" w:rsidP="00DA776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Data collection:</w:t>
      </w:r>
    </w:p>
    <w:p w:rsidR="000D40C9" w:rsidRPr="002375ED" w:rsidRDefault="000D40C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lang w:bidi="ar-EG"/>
        </w:rPr>
        <w:t xml:space="preserve">This retrospective study was conducted at the Clinical Oncology Department, Faculty of Medicine, Tanta University Hospitals from </w:t>
      </w:r>
      <w:r w:rsidRPr="002375ED">
        <w:rPr>
          <w:rFonts w:ascii="Times New Roman" w:hAnsi="Times New Roman" w:cs="Times New Roman"/>
          <w:sz w:val="20"/>
          <w:szCs w:val="20"/>
        </w:rPr>
        <w:t xml:space="preserve">January 2000 </w:t>
      </w:r>
      <w:r w:rsidRPr="002375ED">
        <w:rPr>
          <w:rFonts w:ascii="Times New Roman" w:hAnsi="Times New Roman" w:cs="Times New Roman"/>
          <w:sz w:val="20"/>
          <w:szCs w:val="20"/>
          <w:lang w:bidi="ar-EG"/>
        </w:rPr>
        <w:t>to</w:t>
      </w:r>
      <w:r w:rsidRPr="002375ED">
        <w:rPr>
          <w:rFonts w:ascii="Times New Roman" w:hAnsi="Times New Roman" w:cs="Times New Roman"/>
          <w:sz w:val="20"/>
          <w:szCs w:val="20"/>
        </w:rPr>
        <w:t xml:space="preserve"> January 2013</w:t>
      </w:r>
      <w:r w:rsidRPr="002375ED">
        <w:rPr>
          <w:rFonts w:ascii="Times New Roman" w:hAnsi="Times New Roman" w:cs="Times New Roman"/>
          <w:sz w:val="20"/>
          <w:szCs w:val="20"/>
          <w:lang w:bidi="ar-EG"/>
        </w:rPr>
        <w:t xml:space="preserve">. </w:t>
      </w:r>
      <w:r w:rsidR="00126A09" w:rsidRPr="002375ED">
        <w:rPr>
          <w:rFonts w:ascii="Times New Roman" w:hAnsi="Times New Roman" w:cs="Times New Roman"/>
          <w:sz w:val="20"/>
          <w:szCs w:val="20"/>
        </w:rPr>
        <w:t>Twenty-</w:t>
      </w:r>
      <w:r w:rsidRPr="002375ED">
        <w:rPr>
          <w:rFonts w:ascii="Times New Roman" w:hAnsi="Times New Roman" w:cs="Times New Roman"/>
          <w:sz w:val="20"/>
          <w:szCs w:val="20"/>
        </w:rPr>
        <w:t xml:space="preserve">three </w:t>
      </w:r>
      <w:r w:rsidRPr="002375ED">
        <w:rPr>
          <w:rFonts w:ascii="Times New Roman" w:hAnsi="Times New Roman" w:cs="Times New Roman"/>
          <w:sz w:val="20"/>
          <w:szCs w:val="20"/>
          <w:lang w:bidi="ar-EG"/>
        </w:rPr>
        <w:t>with</w:t>
      </w:r>
      <w:r w:rsidRPr="002375ED">
        <w:rPr>
          <w:rFonts w:ascii="Times New Roman" w:hAnsi="Times New Roman" w:cs="Times New Roman"/>
          <w:sz w:val="20"/>
          <w:szCs w:val="20"/>
        </w:rPr>
        <w:t xml:space="preserve"> confirmed measurable PBL</w:t>
      </w:r>
      <w:r w:rsidRPr="002375ED">
        <w:rPr>
          <w:rFonts w:ascii="Times New Roman" w:hAnsi="Times New Roman" w:cs="Times New Roman"/>
          <w:sz w:val="20"/>
          <w:szCs w:val="20"/>
          <w:lang w:bidi="ar-EG"/>
        </w:rPr>
        <w:t xml:space="preserve"> were enrolled. </w:t>
      </w:r>
      <w:r w:rsidR="006721FC" w:rsidRPr="002375ED">
        <w:rPr>
          <w:rFonts w:ascii="Times New Roman" w:hAnsi="Times New Roman" w:cs="Times New Roman"/>
          <w:sz w:val="20"/>
          <w:szCs w:val="20"/>
          <w:lang w:bidi="ar-EG"/>
        </w:rPr>
        <w:t>All patients were chemotherapy</w:t>
      </w:r>
      <w:r w:rsidRPr="002375ED">
        <w:rPr>
          <w:rFonts w:ascii="Times New Roman" w:hAnsi="Times New Roman" w:cs="Times New Roman"/>
          <w:sz w:val="20"/>
          <w:szCs w:val="20"/>
        </w:rPr>
        <w:t xml:space="preserve"> and radiotherapy-naïve </w:t>
      </w:r>
      <w:r w:rsidRPr="002375ED">
        <w:rPr>
          <w:rFonts w:ascii="Times New Roman" w:hAnsi="Times New Roman" w:cs="Times New Roman"/>
          <w:sz w:val="20"/>
          <w:szCs w:val="20"/>
          <w:lang w:bidi="ar-EG"/>
        </w:rPr>
        <w:t xml:space="preserve">patients with their age ranged between 18 and 70 years; </w:t>
      </w:r>
      <w:r w:rsidRPr="002375ED">
        <w:rPr>
          <w:rFonts w:ascii="Times New Roman" w:hAnsi="Times New Roman" w:cs="Times New Roman"/>
          <w:sz w:val="20"/>
          <w:szCs w:val="20"/>
        </w:rPr>
        <w:t>Eastern Cooperative Oncology Group (ECOG) performance status of 0–2</w:t>
      </w:r>
      <w:r w:rsidRPr="002375ED">
        <w:rPr>
          <w:rFonts w:ascii="Times New Roman" w:hAnsi="Times New Roman" w:cs="Times New Roman"/>
          <w:sz w:val="20"/>
          <w:szCs w:val="20"/>
          <w:lang w:bidi="ar-EG"/>
        </w:rPr>
        <w:t xml:space="preserve">; measurable </w:t>
      </w:r>
      <w:r w:rsidR="00EA7C9B" w:rsidRPr="002375ED">
        <w:rPr>
          <w:rFonts w:ascii="Times New Roman" w:hAnsi="Times New Roman" w:cs="Times New Roman"/>
          <w:sz w:val="20"/>
          <w:szCs w:val="20"/>
          <w:lang w:bidi="ar-EG"/>
        </w:rPr>
        <w:t>disease</w:t>
      </w:r>
      <w:r w:rsidRPr="002375ED">
        <w:rPr>
          <w:rFonts w:ascii="Times New Roman" w:hAnsi="Times New Roman" w:cs="Times New Roman"/>
          <w:sz w:val="20"/>
          <w:szCs w:val="20"/>
          <w:lang w:bidi="ar-EG"/>
        </w:rPr>
        <w:t>;</w:t>
      </w:r>
      <w:r w:rsidRPr="002375ED">
        <w:rPr>
          <w:rFonts w:ascii="Times New Roman" w:hAnsi="Times New Roman" w:cs="Times New Roman"/>
          <w:sz w:val="20"/>
          <w:szCs w:val="20"/>
        </w:rPr>
        <w:t xml:space="preserve"> available treatment</w:t>
      </w:r>
      <w:r w:rsidR="001C74E3" w:rsidRPr="002375ED">
        <w:rPr>
          <w:rFonts w:ascii="Times New Roman" w:hAnsi="Times New Roman" w:cs="Times New Roman"/>
          <w:sz w:val="20"/>
          <w:szCs w:val="20"/>
        </w:rPr>
        <w:t xml:space="preserve"> data as well as follow-up data.</w:t>
      </w:r>
      <w:r w:rsidRPr="002375ED">
        <w:rPr>
          <w:rFonts w:ascii="Times New Roman" w:hAnsi="Times New Roman" w:cs="Times New Roman"/>
          <w:sz w:val="20"/>
          <w:szCs w:val="20"/>
        </w:rPr>
        <w:t xml:space="preserve"> </w:t>
      </w:r>
    </w:p>
    <w:p w:rsidR="000D40C9" w:rsidRPr="002375ED" w:rsidRDefault="000D40C9" w:rsidP="00DA7763">
      <w:pPr>
        <w:pStyle w:val="Heading5"/>
        <w:keepNext w:val="0"/>
        <w:snapToGrid w:val="0"/>
        <w:ind w:firstLine="0"/>
        <w:jc w:val="both"/>
        <w:rPr>
          <w:b/>
          <w:bCs/>
          <w:i w:val="0"/>
          <w:iCs w:val="0"/>
          <w:sz w:val="20"/>
          <w:szCs w:val="20"/>
        </w:rPr>
      </w:pPr>
      <w:r w:rsidRPr="002375ED">
        <w:rPr>
          <w:b/>
          <w:bCs/>
          <w:i w:val="0"/>
          <w:iCs w:val="0"/>
          <w:sz w:val="20"/>
          <w:szCs w:val="20"/>
        </w:rPr>
        <w:t>Pretreatment evaluation</w:t>
      </w:r>
    </w:p>
    <w:p w:rsidR="000D40C9" w:rsidRPr="002375ED" w:rsidRDefault="000D40C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lastRenderedPageBreak/>
        <w:t>All patients had their medical histories</w:t>
      </w:r>
      <w:r w:rsidR="00126A09" w:rsidRPr="002375ED">
        <w:rPr>
          <w:rFonts w:ascii="Times New Roman" w:hAnsi="Times New Roman" w:cs="Times New Roman"/>
          <w:sz w:val="20"/>
          <w:szCs w:val="20"/>
        </w:rPr>
        <w:t xml:space="preserve"> recorded including presenting s</w:t>
      </w:r>
      <w:r w:rsidRPr="002375ED">
        <w:rPr>
          <w:rFonts w:ascii="Times New Roman" w:hAnsi="Times New Roman" w:cs="Times New Roman"/>
          <w:sz w:val="20"/>
          <w:szCs w:val="20"/>
        </w:rPr>
        <w:t xml:space="preserve">ymptoms, </w:t>
      </w:r>
      <w:r w:rsidR="00EA7C9B" w:rsidRPr="002375ED">
        <w:rPr>
          <w:rFonts w:ascii="Times New Roman" w:hAnsi="Times New Roman" w:cs="Times New Roman"/>
          <w:sz w:val="20"/>
          <w:szCs w:val="20"/>
        </w:rPr>
        <w:t xml:space="preserve">sites of involvement, </w:t>
      </w:r>
      <w:r w:rsidRPr="002375ED">
        <w:rPr>
          <w:rFonts w:ascii="Times New Roman" w:hAnsi="Times New Roman" w:cs="Times New Roman"/>
          <w:sz w:val="20"/>
          <w:szCs w:val="20"/>
        </w:rPr>
        <w:t xml:space="preserve">presence of B symptoms, </w:t>
      </w:r>
      <w:r w:rsidR="00C660C6" w:rsidRPr="002375ED">
        <w:rPr>
          <w:rFonts w:ascii="Times New Roman" w:hAnsi="Times New Roman" w:cs="Times New Roman"/>
          <w:sz w:val="20"/>
          <w:szCs w:val="20"/>
        </w:rPr>
        <w:t>as well as pretreatment stage.</w:t>
      </w:r>
      <w:r w:rsidRPr="002375ED">
        <w:rPr>
          <w:rFonts w:ascii="Times New Roman" w:hAnsi="Times New Roman" w:cs="Times New Roman"/>
          <w:sz w:val="20"/>
          <w:szCs w:val="20"/>
        </w:rPr>
        <w:t xml:space="preserve"> </w:t>
      </w:r>
      <w:r w:rsidR="00C660C6" w:rsidRPr="002375ED">
        <w:rPr>
          <w:rFonts w:ascii="Times New Roman" w:hAnsi="Times New Roman" w:cs="Times New Roman"/>
          <w:sz w:val="20"/>
          <w:szCs w:val="20"/>
        </w:rPr>
        <w:t>P</w:t>
      </w:r>
      <w:r w:rsidRPr="002375ED">
        <w:rPr>
          <w:rFonts w:ascii="Times New Roman" w:hAnsi="Times New Roman" w:cs="Times New Roman"/>
          <w:sz w:val="20"/>
          <w:szCs w:val="20"/>
        </w:rPr>
        <w:t>hys</w:t>
      </w:r>
      <w:r w:rsidR="00126A09" w:rsidRPr="002375ED">
        <w:rPr>
          <w:rFonts w:ascii="Times New Roman" w:hAnsi="Times New Roman" w:cs="Times New Roman"/>
          <w:sz w:val="20"/>
          <w:szCs w:val="20"/>
        </w:rPr>
        <w:t>ical workup information including chest</w:t>
      </w:r>
      <w:r w:rsidRPr="002375ED">
        <w:rPr>
          <w:rFonts w:ascii="Times New Roman" w:hAnsi="Times New Roman" w:cs="Times New Roman"/>
          <w:sz w:val="20"/>
          <w:szCs w:val="20"/>
        </w:rPr>
        <w:t xml:space="preserve"> X-rays, routine laboratory studies, bone marrow biopsy,</w:t>
      </w:r>
      <w:r w:rsidR="002E4373" w:rsidRPr="002375ED">
        <w:rPr>
          <w:rFonts w:ascii="Times New Roman" w:hAnsi="Times New Roman" w:cs="Times New Roman"/>
          <w:sz w:val="20"/>
          <w:szCs w:val="20"/>
        </w:rPr>
        <w:t xml:space="preserve"> contrast-enhanced computed tomography (CT) scan of the chest, abdomen, and pelvis and </w:t>
      </w:r>
      <w:r w:rsidRPr="002375ED">
        <w:rPr>
          <w:rFonts w:ascii="Times New Roman" w:hAnsi="Times New Roman" w:cs="Times New Roman"/>
          <w:sz w:val="20"/>
          <w:szCs w:val="20"/>
        </w:rPr>
        <w:t xml:space="preserve">magnetic resonance imaging scan and </w:t>
      </w:r>
      <w:r w:rsidR="00C660C6" w:rsidRPr="002375ED">
        <w:rPr>
          <w:rFonts w:ascii="Times New Roman" w:hAnsi="Times New Roman" w:cs="Times New Roman"/>
          <w:sz w:val="20"/>
          <w:szCs w:val="20"/>
        </w:rPr>
        <w:t>were also collected</w:t>
      </w:r>
      <w:r w:rsidRPr="002375ED">
        <w:rPr>
          <w:rFonts w:ascii="Times New Roman" w:hAnsi="Times New Roman" w:cs="Times New Roman"/>
          <w:sz w:val="20"/>
          <w:szCs w:val="20"/>
        </w:rPr>
        <w:t>. The clinical stage was determined by Ann Arbor staging criteri</w:t>
      </w:r>
      <w:r w:rsidR="00DE7B90" w:rsidRPr="002375ED">
        <w:rPr>
          <w:rFonts w:ascii="Times New Roman" w:hAnsi="Times New Roman" w:cs="Times New Roman"/>
          <w:sz w:val="20"/>
          <w:szCs w:val="20"/>
        </w:rPr>
        <w:t xml:space="preserve">a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10)</w:t>
      </w:r>
      <w:r w:rsidRPr="002375ED">
        <w:rPr>
          <w:rFonts w:ascii="Times New Roman" w:hAnsi="Times New Roman" w:cs="Times New Roman"/>
          <w:sz w:val="20"/>
          <w:szCs w:val="20"/>
        </w:rPr>
        <w:t xml:space="preserve">. Stage IE was defined as a solitary bone lesion without lymph node involvement; stage IIE as a solitary bone lesion with regional lymph nodes involvement; and stage IV was the presence of multiple bone lesions with or without regional lymph node involvement. </w:t>
      </w:r>
    </w:p>
    <w:p w:rsidR="000D40C9" w:rsidRPr="002375ED" w:rsidRDefault="006721FC" w:rsidP="00DA776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Received t</w:t>
      </w:r>
      <w:r w:rsidR="000D40C9" w:rsidRPr="002375ED">
        <w:rPr>
          <w:rFonts w:ascii="Times New Roman" w:hAnsi="Times New Roman" w:cs="Times New Roman"/>
          <w:b/>
          <w:bCs/>
          <w:sz w:val="20"/>
          <w:szCs w:val="20"/>
        </w:rPr>
        <w:t xml:space="preserve">reatment </w:t>
      </w:r>
    </w:p>
    <w:p w:rsidR="000D40C9" w:rsidRPr="002375ED" w:rsidRDefault="006721FC"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lang w:bidi="ar-EG"/>
        </w:rPr>
        <w:t>P</w:t>
      </w:r>
      <w:r w:rsidR="000D40C9" w:rsidRPr="002375ED">
        <w:rPr>
          <w:rFonts w:ascii="Times New Roman" w:hAnsi="Times New Roman" w:cs="Times New Roman"/>
          <w:sz w:val="20"/>
          <w:szCs w:val="20"/>
          <w:lang w:bidi="ar-EG"/>
        </w:rPr>
        <w:t xml:space="preserve">atients received </w:t>
      </w:r>
      <w:r w:rsidR="000D40C9" w:rsidRPr="002375ED">
        <w:rPr>
          <w:rFonts w:ascii="Times New Roman" w:hAnsi="Times New Roman" w:cs="Times New Roman"/>
          <w:sz w:val="20"/>
          <w:szCs w:val="20"/>
        </w:rPr>
        <w:t xml:space="preserve">various treatments according to physician discretion. Four patients received radiation therapy alone, 6 received chemotherapy alone, and 13 received combined modality therapy. </w:t>
      </w:r>
    </w:p>
    <w:p w:rsidR="000D40C9" w:rsidRPr="002375ED" w:rsidRDefault="000D40C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b/>
          <w:bCs/>
          <w:i/>
          <w:iCs/>
          <w:sz w:val="20"/>
          <w:szCs w:val="20"/>
        </w:rPr>
        <w:t>Radiotherapy:</w:t>
      </w:r>
      <w:r w:rsidRPr="002375ED">
        <w:rPr>
          <w:rFonts w:ascii="Times New Roman" w:hAnsi="Times New Roman" w:cs="Times New Roman"/>
          <w:sz w:val="20"/>
          <w:szCs w:val="20"/>
        </w:rPr>
        <w:t xml:space="preserve"> 17 patients (73.9%) were treated with radiotherapy megavoltage equipment either alone or in combination with chemotherapy. Radiotherapy was delivered to the entire bone in 11 cases </w:t>
      </w:r>
      <w:r w:rsidR="0048166B" w:rsidRPr="002375ED">
        <w:rPr>
          <w:rFonts w:ascii="Times New Roman" w:hAnsi="Times New Roman" w:cs="Times New Roman"/>
          <w:sz w:val="20"/>
          <w:szCs w:val="20"/>
        </w:rPr>
        <w:t>while localized</w:t>
      </w:r>
      <w:r w:rsidR="009D19AF" w:rsidRPr="002375ED">
        <w:rPr>
          <w:rFonts w:ascii="Times New Roman" w:hAnsi="Times New Roman" w:cs="Times New Roman"/>
          <w:sz w:val="20"/>
          <w:szCs w:val="20"/>
        </w:rPr>
        <w:t xml:space="preserve"> treatment </w:t>
      </w:r>
      <w:r w:rsidR="0048166B" w:rsidRPr="002375ED">
        <w:rPr>
          <w:rFonts w:ascii="Times New Roman" w:hAnsi="Times New Roman" w:cs="Times New Roman"/>
          <w:sz w:val="20"/>
          <w:szCs w:val="20"/>
        </w:rPr>
        <w:t>to the lesion</w:t>
      </w:r>
      <w:r w:rsidR="009D19AF" w:rsidRPr="002375ED">
        <w:rPr>
          <w:rFonts w:ascii="Times New Roman" w:hAnsi="Times New Roman" w:cs="Times New Roman"/>
          <w:sz w:val="20"/>
          <w:szCs w:val="20"/>
        </w:rPr>
        <w:t xml:space="preserve"> </w:t>
      </w:r>
      <w:r w:rsidR="006839A0" w:rsidRPr="002375ED">
        <w:rPr>
          <w:rFonts w:ascii="Times New Roman" w:hAnsi="Times New Roman" w:cs="Times New Roman"/>
          <w:sz w:val="20"/>
          <w:szCs w:val="20"/>
        </w:rPr>
        <w:t>with individually</w:t>
      </w:r>
      <w:r w:rsidR="009D19AF" w:rsidRPr="002375ED">
        <w:rPr>
          <w:rFonts w:ascii="Times New Roman" w:hAnsi="Times New Roman" w:cs="Times New Roman"/>
          <w:sz w:val="20"/>
          <w:szCs w:val="20"/>
        </w:rPr>
        <w:t xml:space="preserve"> shaped portals</w:t>
      </w:r>
      <w:r w:rsidR="0048166B" w:rsidRPr="002375ED">
        <w:rPr>
          <w:rFonts w:ascii="Times New Roman" w:hAnsi="Times New Roman" w:cs="Times New Roman"/>
          <w:sz w:val="20"/>
          <w:szCs w:val="20"/>
        </w:rPr>
        <w:t xml:space="preserve"> was given </w:t>
      </w:r>
      <w:r w:rsidRPr="002375ED">
        <w:rPr>
          <w:rFonts w:ascii="Times New Roman" w:hAnsi="Times New Roman" w:cs="Times New Roman"/>
          <w:sz w:val="20"/>
          <w:szCs w:val="20"/>
        </w:rPr>
        <w:t>in 5 cases with daily fractions of 1.8</w:t>
      </w:r>
      <w:r w:rsidR="001C74E3" w:rsidRPr="002375ED">
        <w:rPr>
          <w:rFonts w:ascii="Times New Roman" w:hAnsi="Times New Roman" w:cs="Times New Roman"/>
          <w:sz w:val="20"/>
          <w:szCs w:val="20"/>
        </w:rPr>
        <w:t xml:space="preserve"> </w:t>
      </w:r>
      <w:proofErr w:type="spellStart"/>
      <w:r w:rsidR="001C74E3" w:rsidRPr="002375ED">
        <w:rPr>
          <w:rFonts w:ascii="Times New Roman" w:hAnsi="Times New Roman" w:cs="Times New Roman"/>
          <w:sz w:val="20"/>
          <w:szCs w:val="20"/>
        </w:rPr>
        <w:t>CGy</w:t>
      </w:r>
      <w:proofErr w:type="spellEnd"/>
      <w:r w:rsidRPr="002375ED">
        <w:rPr>
          <w:rFonts w:ascii="Times New Roman" w:hAnsi="Times New Roman" w:cs="Times New Roman"/>
          <w:sz w:val="20"/>
          <w:szCs w:val="20"/>
        </w:rPr>
        <w:t xml:space="preserve"> on 5 consecutive days a week. A median total dose of 43.2 </w:t>
      </w:r>
      <w:proofErr w:type="spellStart"/>
      <w:r w:rsidRPr="002375ED">
        <w:rPr>
          <w:rFonts w:ascii="Times New Roman" w:hAnsi="Times New Roman" w:cs="Times New Roman"/>
          <w:sz w:val="20"/>
          <w:szCs w:val="20"/>
        </w:rPr>
        <w:t>Gy</w:t>
      </w:r>
      <w:proofErr w:type="spellEnd"/>
      <w:r w:rsidRPr="002375ED">
        <w:rPr>
          <w:rFonts w:ascii="Times New Roman" w:hAnsi="Times New Roman" w:cs="Times New Roman"/>
          <w:sz w:val="20"/>
          <w:szCs w:val="20"/>
        </w:rPr>
        <w:t xml:space="preserve"> (range 21.6-55.8</w:t>
      </w:r>
      <w:r w:rsidR="001C74E3" w:rsidRPr="002375ED">
        <w:rPr>
          <w:rFonts w:ascii="Times New Roman" w:hAnsi="Times New Roman" w:cs="Times New Roman"/>
          <w:sz w:val="20"/>
          <w:szCs w:val="20"/>
        </w:rPr>
        <w:t xml:space="preserve"> </w:t>
      </w:r>
      <w:proofErr w:type="spellStart"/>
      <w:r w:rsidR="001C74E3" w:rsidRPr="002375ED">
        <w:rPr>
          <w:rFonts w:ascii="Times New Roman" w:hAnsi="Times New Roman" w:cs="Times New Roman"/>
          <w:sz w:val="20"/>
          <w:szCs w:val="20"/>
        </w:rPr>
        <w:t>Gy</w:t>
      </w:r>
      <w:proofErr w:type="spellEnd"/>
      <w:r w:rsidRPr="002375ED">
        <w:rPr>
          <w:rFonts w:ascii="Times New Roman" w:hAnsi="Times New Roman" w:cs="Times New Roman"/>
          <w:sz w:val="20"/>
          <w:szCs w:val="20"/>
        </w:rPr>
        <w:t xml:space="preserve">) was applied, and immobilization techniques were used as required. </w:t>
      </w:r>
    </w:p>
    <w:p w:rsidR="000D40C9" w:rsidRPr="002375ED" w:rsidRDefault="000D40C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b/>
          <w:bCs/>
          <w:sz w:val="20"/>
          <w:szCs w:val="20"/>
        </w:rPr>
        <w:t>Chemotherapy:</w:t>
      </w:r>
      <w:r w:rsidRPr="002375ED">
        <w:rPr>
          <w:rFonts w:ascii="Times New Roman" w:hAnsi="Times New Roman" w:cs="Times New Roman"/>
          <w:sz w:val="20"/>
          <w:szCs w:val="20"/>
        </w:rPr>
        <w:t xml:space="preserve"> A total of 19 patients had received combination chemotherapy either alone or in combination with </w:t>
      </w:r>
      <w:r w:rsidR="001C74E3" w:rsidRPr="002375ED">
        <w:rPr>
          <w:rFonts w:ascii="Times New Roman" w:hAnsi="Times New Roman" w:cs="Times New Roman"/>
          <w:sz w:val="20"/>
          <w:szCs w:val="20"/>
        </w:rPr>
        <w:t>radiotherapy</w:t>
      </w:r>
      <w:r w:rsidRPr="002375ED">
        <w:rPr>
          <w:rFonts w:ascii="Times New Roman" w:hAnsi="Times New Roman" w:cs="Times New Roman"/>
          <w:sz w:val="20"/>
          <w:szCs w:val="20"/>
        </w:rPr>
        <w:t xml:space="preserve">. Chemotherapy alone was applied in the form of CHOP regimen in 4 patients which consisted of </w:t>
      </w:r>
      <w:proofErr w:type="spellStart"/>
      <w:r w:rsidRPr="002375ED">
        <w:rPr>
          <w:rFonts w:ascii="Times New Roman" w:hAnsi="Times New Roman" w:cs="Times New Roman"/>
          <w:sz w:val="20"/>
          <w:szCs w:val="20"/>
        </w:rPr>
        <w:t>cyclophosphamide</w:t>
      </w:r>
      <w:proofErr w:type="spellEnd"/>
      <w:r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adriamycine</w:t>
      </w:r>
      <w:proofErr w:type="spellEnd"/>
      <w:r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vincristine</w:t>
      </w:r>
      <w:proofErr w:type="spellEnd"/>
      <w:r w:rsidRPr="002375ED">
        <w:rPr>
          <w:rFonts w:ascii="Times New Roman" w:hAnsi="Times New Roman" w:cs="Times New Roman"/>
          <w:sz w:val="20"/>
          <w:szCs w:val="20"/>
        </w:rPr>
        <w:t xml:space="preserve"> and prednisone, and the cycle was repeated every 3 weeks or RCHOP (CHOP plus </w:t>
      </w:r>
      <w:proofErr w:type="spellStart"/>
      <w:r w:rsidRPr="002375ED">
        <w:rPr>
          <w:rFonts w:ascii="Times New Roman" w:hAnsi="Times New Roman" w:cs="Times New Roman"/>
          <w:sz w:val="20"/>
          <w:szCs w:val="20"/>
        </w:rPr>
        <w:t>rituximab</w:t>
      </w:r>
      <w:proofErr w:type="spellEnd"/>
      <w:r w:rsidRPr="002375ED">
        <w:rPr>
          <w:rFonts w:ascii="Times New Roman" w:hAnsi="Times New Roman" w:cs="Times New Roman"/>
          <w:sz w:val="20"/>
          <w:szCs w:val="20"/>
        </w:rPr>
        <w:t xml:space="preserve">) in 2 patients. </w:t>
      </w:r>
      <w:r w:rsidRPr="002375ED">
        <w:rPr>
          <w:rFonts w:ascii="Times New Roman" w:hAnsi="Times New Roman" w:cs="Times New Roman"/>
          <w:sz w:val="20"/>
          <w:szCs w:val="20"/>
          <w:lang w:bidi="ar-EG"/>
        </w:rPr>
        <w:t>Patients without progressive disease (PD) or unacceptable toxicity continued treatment up to 4- 6 cycles.</w:t>
      </w:r>
      <w:r w:rsidRPr="002375ED">
        <w:rPr>
          <w:rFonts w:ascii="Times New Roman" w:hAnsi="Times New Roman" w:cs="Times New Roman"/>
          <w:sz w:val="20"/>
          <w:szCs w:val="20"/>
        </w:rPr>
        <w:t xml:space="preserve"> Three of these patients received CNS (central nervous system) prophylaxis with </w:t>
      </w:r>
      <w:proofErr w:type="spellStart"/>
      <w:r w:rsidRPr="002375ED">
        <w:rPr>
          <w:rFonts w:ascii="Times New Roman" w:hAnsi="Times New Roman" w:cs="Times New Roman"/>
          <w:sz w:val="20"/>
          <w:szCs w:val="20"/>
        </w:rPr>
        <w:t>intrathecal</w:t>
      </w:r>
      <w:proofErr w:type="spellEnd"/>
      <w:r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methotrexate</w:t>
      </w:r>
      <w:proofErr w:type="spellEnd"/>
      <w:r w:rsidRPr="002375ED">
        <w:rPr>
          <w:rFonts w:ascii="Times New Roman" w:hAnsi="Times New Roman" w:cs="Times New Roman"/>
          <w:sz w:val="20"/>
          <w:szCs w:val="20"/>
        </w:rPr>
        <w:t>.</w:t>
      </w:r>
      <w:r w:rsidR="0029721F" w:rsidRPr="002375ED">
        <w:rPr>
          <w:rFonts w:ascii="Times New Roman" w:hAnsi="Times New Roman" w:cs="Times New Roman"/>
          <w:sz w:val="20"/>
          <w:szCs w:val="20"/>
        </w:rPr>
        <w:t xml:space="preserve"> </w:t>
      </w:r>
      <w:r w:rsidRPr="002375ED">
        <w:rPr>
          <w:rFonts w:ascii="Times New Roman" w:hAnsi="Times New Roman" w:cs="Times New Roman"/>
          <w:sz w:val="20"/>
          <w:szCs w:val="20"/>
        </w:rPr>
        <w:t>Thirteen patients had received combined modality therapy in the form of either 2-6 cycles CHOP (8 patients) or RCHOP (5 patients) chemotherapy, before radiation therapy.</w:t>
      </w:r>
      <w:r w:rsidR="00DE7B90" w:rsidRPr="002375ED">
        <w:rPr>
          <w:rFonts w:ascii="Times New Roman" w:hAnsi="Times New Roman" w:cs="Times New Roman"/>
          <w:sz w:val="20"/>
          <w:szCs w:val="20"/>
        </w:rPr>
        <w:t xml:space="preserve"> </w:t>
      </w:r>
    </w:p>
    <w:p w:rsidR="000D40C9" w:rsidRPr="002375ED" w:rsidRDefault="000D40C9" w:rsidP="00DA776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Patient</w:t>
      </w:r>
      <w:r w:rsidR="00F06368" w:rsidRPr="002375ED">
        <w:rPr>
          <w:rFonts w:ascii="Times New Roman" w:hAnsi="Times New Roman" w:cs="Times New Roman"/>
          <w:b/>
          <w:bCs/>
          <w:sz w:val="20"/>
          <w:szCs w:val="20"/>
        </w:rPr>
        <w:t>s</w:t>
      </w:r>
      <w:r w:rsidRPr="002375ED">
        <w:rPr>
          <w:rFonts w:ascii="Times New Roman" w:hAnsi="Times New Roman" w:cs="Times New Roman"/>
          <w:b/>
          <w:bCs/>
          <w:sz w:val="20"/>
          <w:szCs w:val="20"/>
        </w:rPr>
        <w:t xml:space="preserve"> Assessment</w:t>
      </w:r>
      <w:r w:rsidR="00662718" w:rsidRPr="002375ED">
        <w:rPr>
          <w:rFonts w:ascii="Times New Roman" w:hAnsi="Times New Roman" w:cs="Times New Roman"/>
          <w:b/>
          <w:bCs/>
          <w:sz w:val="20"/>
          <w:szCs w:val="20"/>
        </w:rPr>
        <w:t xml:space="preserve"> and follow-up</w:t>
      </w:r>
    </w:p>
    <w:p w:rsidR="00662718" w:rsidRPr="002375ED" w:rsidRDefault="00BB396A"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A</w:t>
      </w:r>
      <w:r w:rsidR="000D40C9" w:rsidRPr="002375ED">
        <w:rPr>
          <w:rFonts w:ascii="Times New Roman" w:hAnsi="Times New Roman" w:cs="Times New Roman"/>
          <w:sz w:val="20"/>
          <w:szCs w:val="20"/>
        </w:rPr>
        <w:t>ssessment</w:t>
      </w:r>
      <w:r w:rsidRPr="002375ED">
        <w:rPr>
          <w:rFonts w:ascii="Times New Roman" w:hAnsi="Times New Roman" w:cs="Times New Roman"/>
          <w:sz w:val="20"/>
          <w:szCs w:val="20"/>
        </w:rPr>
        <w:t xml:space="preserve"> of treatment response</w:t>
      </w:r>
      <w:r w:rsidR="000D40C9" w:rsidRPr="002375ED">
        <w:rPr>
          <w:rFonts w:ascii="Times New Roman" w:hAnsi="Times New Roman" w:cs="Times New Roman"/>
          <w:sz w:val="20"/>
          <w:szCs w:val="20"/>
        </w:rPr>
        <w:t xml:space="preserve"> was </w:t>
      </w:r>
      <w:r w:rsidR="00662718" w:rsidRPr="002375ED">
        <w:rPr>
          <w:rFonts w:ascii="Times New Roman" w:hAnsi="Times New Roman" w:cs="Times New Roman"/>
          <w:sz w:val="20"/>
          <w:szCs w:val="20"/>
        </w:rPr>
        <w:t>recorded. The physicians assessed</w:t>
      </w:r>
      <w:r w:rsidR="00DE7B90" w:rsidRPr="002375ED">
        <w:rPr>
          <w:rFonts w:ascii="Times New Roman" w:hAnsi="Times New Roman" w:cs="Times New Roman"/>
          <w:sz w:val="20"/>
          <w:szCs w:val="20"/>
        </w:rPr>
        <w:t xml:space="preserve"> </w:t>
      </w:r>
      <w:r w:rsidR="00662718" w:rsidRPr="002375ED">
        <w:rPr>
          <w:rFonts w:ascii="Times New Roman" w:eastAsia="OTNEJMQuadraat" w:hAnsi="Times New Roman" w:cs="Times New Roman"/>
          <w:sz w:val="20"/>
          <w:szCs w:val="20"/>
        </w:rPr>
        <w:t>t</w:t>
      </w:r>
      <w:r w:rsidR="000D40C9" w:rsidRPr="002375ED">
        <w:rPr>
          <w:rFonts w:ascii="Times New Roman" w:eastAsia="OTNEJMQuadraat" w:hAnsi="Times New Roman" w:cs="Times New Roman"/>
          <w:sz w:val="20"/>
          <w:szCs w:val="20"/>
        </w:rPr>
        <w:t>umor response according to</w:t>
      </w:r>
      <w:r w:rsidR="002E4373" w:rsidRPr="002375ED">
        <w:rPr>
          <w:rFonts w:ascii="Times New Roman" w:eastAsia="OTNEJMQuadraat" w:hAnsi="Times New Roman" w:cs="Times New Roman"/>
          <w:sz w:val="20"/>
          <w:szCs w:val="20"/>
        </w:rPr>
        <w:t xml:space="preserve"> </w:t>
      </w:r>
      <w:proofErr w:type="spellStart"/>
      <w:r w:rsidR="002E4373" w:rsidRPr="002375ED">
        <w:rPr>
          <w:rFonts w:ascii="Times New Roman" w:hAnsi="Times New Roman" w:cs="Times New Roman"/>
          <w:sz w:val="20"/>
          <w:szCs w:val="20"/>
        </w:rPr>
        <w:t>Cheson</w:t>
      </w:r>
      <w:proofErr w:type="spellEnd"/>
      <w:r w:rsidR="002E4373" w:rsidRPr="002375ED">
        <w:rPr>
          <w:rFonts w:ascii="Times New Roman" w:hAnsi="Times New Roman" w:cs="Times New Roman"/>
          <w:sz w:val="20"/>
          <w:szCs w:val="20"/>
        </w:rPr>
        <w:t xml:space="preserve"> criteria also know as</w:t>
      </w:r>
      <w:r w:rsidR="000D40C9" w:rsidRPr="002375ED">
        <w:rPr>
          <w:rFonts w:ascii="Times New Roman" w:eastAsia="OTNEJMQuadraat" w:hAnsi="Times New Roman" w:cs="Times New Roman"/>
          <w:sz w:val="20"/>
          <w:szCs w:val="20"/>
        </w:rPr>
        <w:t xml:space="preserve"> the </w:t>
      </w:r>
      <w:r w:rsidR="000D40C9" w:rsidRPr="002375ED">
        <w:rPr>
          <w:rFonts w:ascii="Times New Roman" w:hAnsi="Times New Roman" w:cs="Times New Roman"/>
          <w:sz w:val="20"/>
          <w:szCs w:val="20"/>
        </w:rPr>
        <w:t>International Workshop to Standardize Response Criteria in 1999 (IWC</w:t>
      </w:r>
      <w:r w:rsidR="00DE7B90" w:rsidRPr="002375ED">
        <w:rPr>
          <w:rFonts w:ascii="Times New Roman" w:hAnsi="Times New Roman" w:cs="Times New Roman"/>
          <w:sz w:val="20"/>
          <w:szCs w:val="20"/>
        </w:rPr>
        <w:t xml:space="preserve">) </w:t>
      </w:r>
      <w:r w:rsidR="00DE7B90" w:rsidRPr="002375ED">
        <w:rPr>
          <w:rFonts w:ascii="Times New Roman" w:hAnsi="Times New Roman" w:cs="Times New Roman"/>
          <w:sz w:val="20"/>
          <w:szCs w:val="20"/>
          <w:vertAlign w:val="superscript"/>
        </w:rPr>
        <w:t>(</w:t>
      </w:r>
      <w:r w:rsidR="000D40C9" w:rsidRPr="002375ED">
        <w:rPr>
          <w:rFonts w:ascii="Times New Roman" w:hAnsi="Times New Roman" w:cs="Times New Roman"/>
          <w:sz w:val="20"/>
          <w:szCs w:val="20"/>
          <w:vertAlign w:val="superscript"/>
        </w:rPr>
        <w:t>11)</w:t>
      </w:r>
      <w:r w:rsidR="000D40C9" w:rsidRPr="002375ED">
        <w:rPr>
          <w:rFonts w:ascii="Times New Roman" w:hAnsi="Times New Roman" w:cs="Times New Roman"/>
          <w:sz w:val="20"/>
          <w:szCs w:val="20"/>
        </w:rPr>
        <w:t>. The PET/CT review efficiency of some patients was based on the revised edition of malignant lymphoma remission criteria in 2007</w:t>
      </w:r>
      <w:r w:rsidR="000D40C9" w:rsidRPr="002375ED">
        <w:rPr>
          <w:rFonts w:ascii="Times New Roman" w:hAnsi="Times New Roman" w:cs="Times New Roman"/>
          <w:sz w:val="20"/>
          <w:szCs w:val="20"/>
          <w:vertAlign w:val="superscript"/>
        </w:rPr>
        <w:t>(12)</w:t>
      </w:r>
      <w:r w:rsidR="000D40C9" w:rsidRPr="002375ED">
        <w:rPr>
          <w:rFonts w:ascii="Times New Roman" w:hAnsi="Times New Roman" w:cs="Times New Roman"/>
          <w:sz w:val="20"/>
          <w:szCs w:val="20"/>
        </w:rPr>
        <w:t>.</w:t>
      </w:r>
      <w:r w:rsidR="00DE7B90" w:rsidRPr="002375ED">
        <w:rPr>
          <w:rFonts w:ascii="Times New Roman" w:eastAsia="OTNEJMQuadraat" w:hAnsi="Times New Roman" w:cs="Times New Roman"/>
          <w:sz w:val="20"/>
          <w:szCs w:val="20"/>
        </w:rPr>
        <w:t xml:space="preserve"> </w:t>
      </w:r>
      <w:r w:rsidR="00662718" w:rsidRPr="002375ED">
        <w:rPr>
          <w:rFonts w:ascii="Times New Roman" w:hAnsi="Times New Roman" w:cs="Times New Roman"/>
          <w:sz w:val="20"/>
          <w:szCs w:val="20"/>
        </w:rPr>
        <w:t xml:space="preserve">The occurrence and nature of any adverse events were recorded. Toxicity grading was based on the </w:t>
      </w:r>
      <w:r w:rsidR="00662718" w:rsidRPr="002375ED">
        <w:rPr>
          <w:rFonts w:ascii="Times New Roman" w:eastAsia="OTNEJMQuadraat" w:hAnsi="Times New Roman" w:cs="Times New Roman"/>
          <w:sz w:val="20"/>
          <w:szCs w:val="20"/>
        </w:rPr>
        <w:t xml:space="preserve">WHO </w:t>
      </w:r>
      <w:r w:rsidR="00662718" w:rsidRPr="002375ED">
        <w:rPr>
          <w:rFonts w:ascii="Times New Roman" w:hAnsi="Times New Roman" w:cs="Times New Roman"/>
          <w:sz w:val="20"/>
          <w:szCs w:val="20"/>
        </w:rPr>
        <w:t>Toxicity criteri</w:t>
      </w:r>
      <w:r w:rsidR="00DE7B90" w:rsidRPr="002375ED">
        <w:rPr>
          <w:rFonts w:ascii="Times New Roman" w:hAnsi="Times New Roman" w:cs="Times New Roman"/>
          <w:sz w:val="20"/>
          <w:szCs w:val="20"/>
        </w:rPr>
        <w:t xml:space="preserve">a </w:t>
      </w:r>
      <w:r w:rsidR="00DE7B90" w:rsidRPr="002375ED">
        <w:rPr>
          <w:rFonts w:ascii="Times New Roman" w:hAnsi="Times New Roman" w:cs="Times New Roman"/>
          <w:sz w:val="20"/>
          <w:szCs w:val="20"/>
          <w:vertAlign w:val="superscript"/>
        </w:rPr>
        <w:t>(</w:t>
      </w:r>
      <w:r w:rsidR="00662718" w:rsidRPr="002375ED">
        <w:rPr>
          <w:rFonts w:ascii="Times New Roman" w:hAnsi="Times New Roman" w:cs="Times New Roman"/>
          <w:sz w:val="20"/>
          <w:szCs w:val="20"/>
          <w:vertAlign w:val="superscript"/>
        </w:rPr>
        <w:t>13)</w:t>
      </w:r>
      <w:r w:rsidR="00662718" w:rsidRPr="002375ED">
        <w:rPr>
          <w:rFonts w:ascii="Times New Roman" w:hAnsi="Times New Roman" w:cs="Times New Roman"/>
          <w:sz w:val="20"/>
          <w:szCs w:val="20"/>
        </w:rPr>
        <w:t xml:space="preserve">. Late complications were scored </w:t>
      </w:r>
      <w:r w:rsidR="00662718" w:rsidRPr="002375ED">
        <w:rPr>
          <w:rFonts w:ascii="Times New Roman" w:hAnsi="Times New Roman" w:cs="Times New Roman"/>
          <w:sz w:val="20"/>
          <w:szCs w:val="20"/>
        </w:rPr>
        <w:lastRenderedPageBreak/>
        <w:t>according to the Radiation Therapy Oncology Group/European Organization for Research and Treatment of Cancer late radiation morbidity scoring schem</w:t>
      </w:r>
      <w:r w:rsidR="00DE7B90" w:rsidRPr="002375ED">
        <w:rPr>
          <w:rFonts w:ascii="Times New Roman" w:hAnsi="Times New Roman" w:cs="Times New Roman"/>
          <w:sz w:val="20"/>
          <w:szCs w:val="20"/>
        </w:rPr>
        <w:t xml:space="preserve">a </w:t>
      </w:r>
      <w:r w:rsidR="00DE7B90" w:rsidRPr="002375ED">
        <w:rPr>
          <w:rFonts w:ascii="Times New Roman" w:hAnsi="Times New Roman" w:cs="Times New Roman"/>
          <w:sz w:val="20"/>
          <w:szCs w:val="20"/>
          <w:vertAlign w:val="superscript"/>
        </w:rPr>
        <w:t>(</w:t>
      </w:r>
      <w:r w:rsidR="00662718" w:rsidRPr="002375ED">
        <w:rPr>
          <w:rFonts w:ascii="Times New Roman" w:hAnsi="Times New Roman" w:cs="Times New Roman"/>
          <w:sz w:val="20"/>
          <w:szCs w:val="20"/>
          <w:vertAlign w:val="superscript"/>
        </w:rPr>
        <w:t>14)</w:t>
      </w:r>
      <w:r w:rsidR="00662718" w:rsidRPr="002375ED">
        <w:rPr>
          <w:rFonts w:ascii="Times New Roman" w:hAnsi="Times New Roman" w:cs="Times New Roman"/>
          <w:sz w:val="20"/>
          <w:szCs w:val="20"/>
        </w:rPr>
        <w:t xml:space="preserve">. </w:t>
      </w:r>
    </w:p>
    <w:p w:rsidR="000D40C9" w:rsidRPr="002375ED" w:rsidRDefault="000D40C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 xml:space="preserve">After completion of treatment, patients were </w:t>
      </w:r>
      <w:r w:rsidR="002E4373" w:rsidRPr="002375ED">
        <w:rPr>
          <w:rFonts w:ascii="Times New Roman" w:hAnsi="Times New Roman" w:cs="Times New Roman"/>
          <w:sz w:val="20"/>
          <w:szCs w:val="20"/>
        </w:rPr>
        <w:t>assessed</w:t>
      </w:r>
      <w:r w:rsidRPr="002375ED">
        <w:rPr>
          <w:rFonts w:ascii="Times New Roman" w:hAnsi="Times New Roman" w:cs="Times New Roman"/>
          <w:sz w:val="20"/>
          <w:szCs w:val="20"/>
        </w:rPr>
        <w:t xml:space="preserve"> by physical</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examination, chest radiography, and serial axial CT or MRI every 3 - 4 months. Biopsy was performed from new recurrent sites of the disease</w:t>
      </w:r>
      <w:r w:rsidR="002E4373" w:rsidRPr="002375ED">
        <w:rPr>
          <w:rFonts w:ascii="Times New Roman" w:hAnsi="Times New Roman" w:cs="Times New Roman"/>
          <w:sz w:val="20"/>
          <w:szCs w:val="20"/>
        </w:rPr>
        <w:t xml:space="preserve"> with </w:t>
      </w:r>
      <w:proofErr w:type="spellStart"/>
      <w:r w:rsidR="002E4373" w:rsidRPr="002375ED">
        <w:rPr>
          <w:rFonts w:ascii="Times New Roman" w:hAnsi="Times New Roman" w:cs="Times New Roman"/>
          <w:sz w:val="20"/>
          <w:szCs w:val="20"/>
        </w:rPr>
        <w:t>histopathological</w:t>
      </w:r>
      <w:proofErr w:type="spellEnd"/>
      <w:r w:rsidR="002E4373" w:rsidRPr="002375ED">
        <w:rPr>
          <w:rFonts w:ascii="Times New Roman" w:hAnsi="Times New Roman" w:cs="Times New Roman"/>
          <w:sz w:val="20"/>
          <w:szCs w:val="20"/>
        </w:rPr>
        <w:t xml:space="preserve"> examination</w:t>
      </w:r>
      <w:r w:rsidRPr="002375ED">
        <w:rPr>
          <w:rFonts w:ascii="Times New Roman" w:hAnsi="Times New Roman" w:cs="Times New Roman"/>
          <w:sz w:val="20"/>
          <w:szCs w:val="20"/>
        </w:rPr>
        <w:t>, and was documented at the time</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of initial occurrence.  </w:t>
      </w:r>
    </w:p>
    <w:p w:rsidR="000D40C9" w:rsidRPr="002375ED" w:rsidRDefault="000D40C9" w:rsidP="00DA776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Primary and Secondary Endpoints</w:t>
      </w:r>
    </w:p>
    <w:p w:rsidR="000D40C9" w:rsidRPr="002375ED" w:rsidRDefault="000D40C9" w:rsidP="00DA7763">
      <w:pPr>
        <w:bidi w:val="0"/>
        <w:snapToGrid w:val="0"/>
        <w:spacing w:after="0" w:line="240" w:lineRule="auto"/>
        <w:ind w:firstLine="425"/>
        <w:jc w:val="both"/>
        <w:rPr>
          <w:rFonts w:ascii="Times New Roman" w:hAnsi="Times New Roman" w:cs="Times New Roman"/>
          <w:b/>
          <w:bCs/>
          <w:i/>
          <w:iCs/>
          <w:sz w:val="20"/>
          <w:szCs w:val="20"/>
        </w:rPr>
      </w:pPr>
      <w:r w:rsidRPr="002375ED">
        <w:rPr>
          <w:rFonts w:ascii="Times New Roman" w:hAnsi="Times New Roman" w:cs="Times New Roman"/>
          <w:sz w:val="20"/>
          <w:szCs w:val="20"/>
        </w:rPr>
        <w:t>The primary endpoints of the study were</w:t>
      </w:r>
      <w:r w:rsidR="00B26E12" w:rsidRPr="002375ED">
        <w:rPr>
          <w:rFonts w:ascii="Times New Roman" w:hAnsi="Times New Roman" w:cs="Times New Roman"/>
          <w:sz w:val="20"/>
          <w:szCs w:val="20"/>
        </w:rPr>
        <w:t xml:space="preserve"> prognostic factors and</w:t>
      </w:r>
      <w:r w:rsidRPr="002375ED">
        <w:rPr>
          <w:rFonts w:ascii="Times New Roman" w:hAnsi="Times New Roman" w:cs="Times New Roman"/>
          <w:sz w:val="20"/>
          <w:szCs w:val="20"/>
        </w:rPr>
        <w:t xml:space="preserve"> </w:t>
      </w:r>
      <w:r w:rsidR="00B26E12" w:rsidRPr="002375ED">
        <w:rPr>
          <w:rFonts w:ascii="Times New Roman" w:hAnsi="Times New Roman" w:cs="Times New Roman"/>
          <w:sz w:val="20"/>
          <w:szCs w:val="20"/>
        </w:rPr>
        <w:t>the evaluation of response rate</w:t>
      </w:r>
      <w:r w:rsidRPr="002375ED">
        <w:rPr>
          <w:rFonts w:ascii="Times New Roman" w:hAnsi="Times New Roman" w:cs="Times New Roman"/>
          <w:sz w:val="20"/>
          <w:szCs w:val="20"/>
        </w:rPr>
        <w:t>. Secondary end points were the disease-free survival and overall survival.</w:t>
      </w:r>
      <w:r w:rsidRPr="002375ED">
        <w:rPr>
          <w:rFonts w:ascii="Times New Roman" w:hAnsi="Times New Roman" w:cs="Times New Roman"/>
          <w:b/>
          <w:bCs/>
          <w:i/>
          <w:iCs/>
          <w:sz w:val="20"/>
          <w:szCs w:val="20"/>
        </w:rPr>
        <w:t xml:space="preserve"> </w:t>
      </w:r>
      <w:r w:rsidRPr="002375ED">
        <w:rPr>
          <w:rFonts w:ascii="Times New Roman" w:hAnsi="Times New Roman" w:cs="Times New Roman"/>
          <w:sz w:val="20"/>
          <w:szCs w:val="20"/>
        </w:rPr>
        <w:t>Disease progression was defined as</w:t>
      </w:r>
      <w:r w:rsidR="00B26E12" w:rsidRPr="002375ED">
        <w:rPr>
          <w:rFonts w:ascii="Times New Roman" w:hAnsi="Times New Roman" w:cs="Times New Roman"/>
          <w:sz w:val="20"/>
          <w:szCs w:val="20"/>
        </w:rPr>
        <w:t xml:space="preserve"> increases in the size of previously present disease or</w:t>
      </w:r>
      <w:r w:rsidRPr="002375ED">
        <w:rPr>
          <w:rFonts w:ascii="Times New Roman" w:hAnsi="Times New Roman" w:cs="Times New Roman"/>
          <w:sz w:val="20"/>
          <w:szCs w:val="20"/>
        </w:rPr>
        <w:t xml:space="preserve"> the appearance of new disease site as determined by serial axial CT or MRI. </w:t>
      </w:r>
    </w:p>
    <w:p w:rsidR="00DE7B90" w:rsidRPr="002375ED" w:rsidRDefault="000D40C9" w:rsidP="00DA7763">
      <w:pPr>
        <w:pStyle w:val="NormalWeb"/>
        <w:snapToGrid w:val="0"/>
        <w:spacing w:before="0" w:beforeAutospacing="0" w:after="0" w:afterAutospacing="0"/>
        <w:jc w:val="both"/>
        <w:rPr>
          <w:b/>
          <w:bCs/>
          <w:sz w:val="20"/>
          <w:szCs w:val="20"/>
        </w:rPr>
      </w:pPr>
      <w:r w:rsidRPr="002375ED">
        <w:rPr>
          <w:b/>
          <w:bCs/>
          <w:sz w:val="20"/>
          <w:szCs w:val="20"/>
        </w:rPr>
        <w:t>Statistical Analysis</w:t>
      </w:r>
      <w:r w:rsidRPr="002375ED">
        <w:rPr>
          <w:sz w:val="20"/>
          <w:szCs w:val="20"/>
        </w:rPr>
        <w:t>:</w:t>
      </w:r>
    </w:p>
    <w:p w:rsidR="000D40C9" w:rsidRPr="002375ED" w:rsidRDefault="00DE7B90" w:rsidP="00DA7763">
      <w:pPr>
        <w:bidi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T</w:t>
      </w:r>
      <w:r w:rsidR="000D40C9" w:rsidRPr="002375ED">
        <w:rPr>
          <w:rFonts w:ascii="Times New Roman" w:hAnsi="Times New Roman" w:cs="Times New Roman"/>
          <w:sz w:val="20"/>
          <w:szCs w:val="20"/>
        </w:rPr>
        <w:t xml:space="preserve">wenty three patients </w:t>
      </w:r>
      <w:r w:rsidR="000D40C9" w:rsidRPr="002375ED">
        <w:rPr>
          <w:rFonts w:ascii="Times New Roman" w:hAnsi="Times New Roman" w:cs="Times New Roman"/>
          <w:sz w:val="20"/>
          <w:szCs w:val="20"/>
          <w:lang w:bidi="ar-EG"/>
        </w:rPr>
        <w:t xml:space="preserve">were recruited in the study </w:t>
      </w:r>
      <w:r w:rsidR="000D40C9" w:rsidRPr="002375ED">
        <w:rPr>
          <w:rFonts w:ascii="Times New Roman" w:hAnsi="Times New Roman" w:cs="Times New Roman"/>
          <w:sz w:val="20"/>
          <w:szCs w:val="20"/>
        </w:rPr>
        <w:t>between January 2005 and January 2015. The date of this analysis was October 201</w:t>
      </w:r>
      <w:r w:rsidR="000F298A" w:rsidRPr="002375ED">
        <w:rPr>
          <w:rFonts w:ascii="Times New Roman" w:hAnsi="Times New Roman" w:cs="Times New Roman"/>
          <w:sz w:val="20"/>
          <w:szCs w:val="20"/>
        </w:rPr>
        <w:t>7</w:t>
      </w:r>
      <w:r w:rsidR="000D40C9" w:rsidRPr="002375ED">
        <w:rPr>
          <w:rFonts w:ascii="Times New Roman" w:hAnsi="Times New Roman" w:cs="Times New Roman"/>
          <w:sz w:val="20"/>
          <w:szCs w:val="20"/>
        </w:rPr>
        <w:t xml:space="preserve">. </w:t>
      </w:r>
    </w:p>
    <w:p w:rsidR="00DE7B90" w:rsidRPr="002375ED" w:rsidRDefault="000D40C9" w:rsidP="00DA7763">
      <w:pPr>
        <w:bidi w:val="0"/>
        <w:snapToGrid w:val="0"/>
        <w:spacing w:after="0" w:line="240" w:lineRule="auto"/>
        <w:ind w:firstLine="425"/>
        <w:jc w:val="both"/>
        <w:rPr>
          <w:rFonts w:ascii="Times New Roman" w:hAnsi="Times New Roman" w:cs="Times New Roman"/>
          <w:b/>
          <w:bCs/>
          <w:i/>
          <w:iCs/>
          <w:sz w:val="20"/>
          <w:szCs w:val="20"/>
        </w:rPr>
      </w:pPr>
      <w:r w:rsidRPr="002375ED">
        <w:rPr>
          <w:rFonts w:ascii="Times New Roman" w:hAnsi="Times New Roman" w:cs="Times New Roman"/>
          <w:sz w:val="20"/>
          <w:szCs w:val="20"/>
        </w:rPr>
        <w:t>Overall-survival (OS) rates were calculated from the start of therapy to the time of the last follow-up visit or death using the Kaplan-Meier metho</w:t>
      </w:r>
      <w:r w:rsidR="00DE7B90" w:rsidRPr="002375ED">
        <w:rPr>
          <w:rFonts w:ascii="Times New Roman" w:hAnsi="Times New Roman" w:cs="Times New Roman"/>
          <w:sz w:val="20"/>
          <w:szCs w:val="20"/>
        </w:rPr>
        <w:t xml:space="preserve">d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15)</w:t>
      </w:r>
      <w:r w:rsidRPr="002375ED">
        <w:rPr>
          <w:rFonts w:ascii="Times New Roman" w:hAnsi="Times New Roman" w:cs="Times New Roman"/>
          <w:sz w:val="20"/>
          <w:szCs w:val="20"/>
        </w:rPr>
        <w:t xml:space="preserve"> with SPSS [Statistical package] (version 12.0). Disease -free survival</w:t>
      </w:r>
      <w:r w:rsidRPr="002375ED">
        <w:rPr>
          <w:rFonts w:ascii="Times New Roman" w:hAnsi="Times New Roman" w:cs="Times New Roman"/>
          <w:b/>
          <w:bCs/>
          <w:sz w:val="20"/>
          <w:szCs w:val="20"/>
        </w:rPr>
        <w:t xml:space="preserve"> </w:t>
      </w:r>
      <w:r w:rsidRPr="002375ED">
        <w:rPr>
          <w:rFonts w:ascii="Times New Roman" w:hAnsi="Times New Roman" w:cs="Times New Roman"/>
          <w:sz w:val="20"/>
          <w:szCs w:val="20"/>
        </w:rPr>
        <w:t xml:space="preserve">was the time </w:t>
      </w:r>
      <w:r w:rsidR="000F298A" w:rsidRPr="002375ED">
        <w:rPr>
          <w:rFonts w:ascii="Times New Roman" w:hAnsi="Times New Roman" w:cs="Times New Roman"/>
          <w:sz w:val="20"/>
          <w:szCs w:val="20"/>
        </w:rPr>
        <w:t>went by</w:t>
      </w:r>
      <w:r w:rsidRPr="002375ED">
        <w:rPr>
          <w:rFonts w:ascii="Times New Roman" w:hAnsi="Times New Roman" w:cs="Times New Roman"/>
          <w:sz w:val="20"/>
          <w:szCs w:val="20"/>
        </w:rPr>
        <w:t xml:space="preserve"> from the date of </w:t>
      </w:r>
      <w:r w:rsidR="000F298A" w:rsidRPr="002375ED">
        <w:rPr>
          <w:rFonts w:ascii="Times New Roman" w:hAnsi="Times New Roman" w:cs="Times New Roman"/>
          <w:sz w:val="20"/>
          <w:szCs w:val="20"/>
        </w:rPr>
        <w:t>beginning of therapy</w:t>
      </w:r>
      <w:r w:rsidRPr="002375ED">
        <w:rPr>
          <w:rFonts w:ascii="Times New Roman" w:hAnsi="Times New Roman" w:cs="Times New Roman"/>
          <w:sz w:val="20"/>
          <w:szCs w:val="20"/>
        </w:rPr>
        <w:t xml:space="preserve"> to the date of first evidence of disease recurrence or death in the absence of disease recurrence. Overall survival and disease-free survival were compared by the Kaplan–Meier metho</w:t>
      </w:r>
      <w:r w:rsidR="00DE7B90" w:rsidRPr="002375ED">
        <w:rPr>
          <w:rFonts w:ascii="Times New Roman" w:hAnsi="Times New Roman" w:cs="Times New Roman"/>
          <w:sz w:val="20"/>
          <w:szCs w:val="20"/>
        </w:rPr>
        <w:t xml:space="preserve">d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15)</w:t>
      </w:r>
      <w:r w:rsidRPr="002375ED">
        <w:rPr>
          <w:rFonts w:ascii="Times New Roman" w:hAnsi="Times New Roman" w:cs="Times New Roman"/>
          <w:sz w:val="20"/>
          <w:szCs w:val="20"/>
        </w:rPr>
        <w:t xml:space="preserve"> with statistical significance assessed by the log-rank test. Mean and standard deviation were estimates of quantitative data. Chi-square or Likelihood Ratio was used for qualitative data.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All P values were two-tailed; a value of ≤ 0.05 was considered significant.</w:t>
      </w:r>
    </w:p>
    <w:p w:rsidR="00DE7B90" w:rsidRPr="002375ED" w:rsidRDefault="00DE7B90" w:rsidP="00DA7763">
      <w:pPr>
        <w:bidi w:val="0"/>
        <w:snapToGrid w:val="0"/>
        <w:spacing w:after="0" w:line="240" w:lineRule="auto"/>
        <w:jc w:val="both"/>
        <w:rPr>
          <w:rFonts w:ascii="Times New Roman" w:hAnsi="Times New Roman" w:cs="Times New Roman"/>
          <w:b/>
          <w:bCs/>
          <w:i/>
          <w:iCs/>
          <w:sz w:val="20"/>
          <w:szCs w:val="20"/>
        </w:rPr>
      </w:pPr>
    </w:p>
    <w:p w:rsidR="000D40C9" w:rsidRPr="002375ED" w:rsidRDefault="005671D9" w:rsidP="00DA7763">
      <w:pPr>
        <w:bidi w:val="0"/>
        <w:snapToGrid w:val="0"/>
        <w:spacing w:after="0" w:line="240" w:lineRule="auto"/>
        <w:jc w:val="both"/>
        <w:rPr>
          <w:rFonts w:ascii="Times New Roman" w:hAnsi="Times New Roman" w:cs="Times New Roman"/>
          <w:b/>
          <w:bCs/>
          <w:sz w:val="20"/>
          <w:szCs w:val="20"/>
          <w:lang w:bidi="ar-EG"/>
        </w:rPr>
      </w:pPr>
      <w:r w:rsidRPr="002375ED">
        <w:rPr>
          <w:rFonts w:ascii="Times New Roman" w:hAnsi="Times New Roman" w:cs="Times New Roman"/>
          <w:b/>
          <w:bCs/>
          <w:sz w:val="20"/>
          <w:szCs w:val="20"/>
          <w:lang w:bidi="ar-EG"/>
        </w:rPr>
        <w:t>3. Results</w:t>
      </w:r>
    </w:p>
    <w:p w:rsidR="00E93654" w:rsidRPr="002375ED" w:rsidRDefault="00E93654" w:rsidP="00DA776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Patients' characteristics:</w:t>
      </w:r>
    </w:p>
    <w:p w:rsidR="00DE7B90" w:rsidRPr="002375ED" w:rsidRDefault="000D40C9" w:rsidP="002375ED">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375ED">
        <w:rPr>
          <w:rFonts w:ascii="Times New Roman" w:hAnsi="Times New Roman" w:cs="Times New Roman"/>
          <w:sz w:val="20"/>
          <w:szCs w:val="20"/>
        </w:rPr>
        <w:t>From January 2000 through January 2013, we</w:t>
      </w:r>
      <w:r w:rsidR="000F298A" w:rsidRPr="002375ED">
        <w:rPr>
          <w:rFonts w:ascii="Times New Roman" w:hAnsi="Times New Roman" w:cs="Times New Roman"/>
          <w:sz w:val="20"/>
          <w:szCs w:val="20"/>
        </w:rPr>
        <w:t xml:space="preserve"> collected and analyzed</w:t>
      </w:r>
      <w:r w:rsidRPr="002375ED">
        <w:rPr>
          <w:rFonts w:ascii="Times New Roman" w:hAnsi="Times New Roman" w:cs="Times New Roman"/>
          <w:sz w:val="20"/>
          <w:szCs w:val="20"/>
        </w:rPr>
        <w:t xml:space="preserve"> </w:t>
      </w:r>
      <w:r w:rsidR="000F298A" w:rsidRPr="002375ED">
        <w:rPr>
          <w:rFonts w:ascii="Times New Roman" w:hAnsi="Times New Roman" w:cs="Times New Roman"/>
          <w:sz w:val="20"/>
          <w:szCs w:val="20"/>
        </w:rPr>
        <w:t>data of 23</w:t>
      </w:r>
      <w:r w:rsidRPr="002375ED">
        <w:rPr>
          <w:rFonts w:ascii="Times New Roman" w:hAnsi="Times New Roman" w:cs="Times New Roman"/>
          <w:sz w:val="20"/>
          <w:szCs w:val="20"/>
        </w:rPr>
        <w:t xml:space="preserve"> patients with biopsy-confirmed PBL who were treated</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at the</w:t>
      </w:r>
      <w:r w:rsidR="00427A9D" w:rsidRPr="002375ED">
        <w:rPr>
          <w:rFonts w:ascii="Times New Roman" w:hAnsi="Times New Roman" w:cs="Times New Roman"/>
          <w:sz w:val="20"/>
          <w:szCs w:val="20"/>
        </w:rPr>
        <w:t xml:space="preserve"> department of Clinical Oncology, </w:t>
      </w:r>
      <w:r w:rsidRPr="002375ED">
        <w:rPr>
          <w:rFonts w:ascii="Times New Roman" w:hAnsi="Times New Roman" w:cs="Times New Roman"/>
          <w:sz w:val="20"/>
          <w:szCs w:val="20"/>
        </w:rPr>
        <w:t xml:space="preserve">Tanta University Hospital. Patient characteristics were listed in table 1. </w:t>
      </w:r>
      <w:r w:rsidR="00427A9D" w:rsidRPr="002375ED">
        <w:rPr>
          <w:rFonts w:ascii="Times New Roman" w:hAnsi="Times New Roman" w:cs="Times New Roman"/>
          <w:sz w:val="20"/>
          <w:szCs w:val="20"/>
        </w:rPr>
        <w:t xml:space="preserve">There was a slight predominance of the male sex (52.2%) with </w:t>
      </w:r>
      <w:r w:rsidR="00427A9D" w:rsidRPr="002375ED">
        <w:rPr>
          <w:rFonts w:ascii="Times New Roman" w:hAnsi="Times New Roman" w:cs="Times New Roman"/>
          <w:sz w:val="20"/>
          <w:szCs w:val="20"/>
          <w:lang w:bidi="ar-EG"/>
        </w:rPr>
        <w:t>m</w:t>
      </w:r>
      <w:r w:rsidRPr="002375ED">
        <w:rPr>
          <w:rFonts w:ascii="Times New Roman" w:hAnsi="Times New Roman" w:cs="Times New Roman"/>
          <w:sz w:val="20"/>
          <w:szCs w:val="20"/>
          <w:lang w:bidi="ar-EG"/>
        </w:rPr>
        <w:t xml:space="preserve">edian age </w:t>
      </w:r>
      <w:r w:rsidR="00427A9D" w:rsidRPr="002375ED">
        <w:rPr>
          <w:rFonts w:ascii="Times New Roman" w:hAnsi="Times New Roman" w:cs="Times New Roman"/>
          <w:sz w:val="20"/>
          <w:szCs w:val="20"/>
          <w:lang w:bidi="ar-EG"/>
        </w:rPr>
        <w:t>of</w:t>
      </w:r>
      <w:r w:rsidRPr="002375ED">
        <w:rPr>
          <w:rFonts w:ascii="Times New Roman" w:hAnsi="Times New Roman" w:cs="Times New Roman"/>
          <w:sz w:val="20"/>
          <w:szCs w:val="20"/>
          <w:lang w:bidi="ar-EG"/>
        </w:rPr>
        <w:t xml:space="preserve"> 48 years (range, 26–68). </w:t>
      </w:r>
      <w:r w:rsidRPr="002375ED">
        <w:rPr>
          <w:rFonts w:ascii="Times New Roman" w:hAnsi="Times New Roman" w:cs="Times New Roman"/>
          <w:sz w:val="20"/>
          <w:szCs w:val="20"/>
        </w:rPr>
        <w:t xml:space="preserve">Two </w:t>
      </w:r>
      <w:r w:rsidR="00427A9D" w:rsidRPr="002375ED">
        <w:rPr>
          <w:rFonts w:ascii="Times New Roman" w:hAnsi="Times New Roman" w:cs="Times New Roman"/>
          <w:sz w:val="20"/>
          <w:szCs w:val="20"/>
        </w:rPr>
        <w:t>major</w:t>
      </w:r>
      <w:r w:rsidRPr="002375ED">
        <w:rPr>
          <w:rFonts w:ascii="Times New Roman" w:hAnsi="Times New Roman" w:cs="Times New Roman"/>
          <w:sz w:val="20"/>
          <w:szCs w:val="20"/>
        </w:rPr>
        <w:t xml:space="preserve"> sites of origin could be distinguished</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at diagnosis. The most frequent location was the </w:t>
      </w:r>
      <w:r w:rsidRPr="002375ED">
        <w:rPr>
          <w:rFonts w:ascii="Times New Roman" w:hAnsi="Times New Roman" w:cs="Times New Roman"/>
          <w:sz w:val="20"/>
          <w:szCs w:val="20"/>
          <w:lang w:bidi="ar-EG"/>
        </w:rPr>
        <w:t>femur</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(26.1%). The second </w:t>
      </w:r>
      <w:r w:rsidR="00427A9D" w:rsidRPr="002375ED">
        <w:rPr>
          <w:rFonts w:ascii="Times New Roman" w:hAnsi="Times New Roman" w:cs="Times New Roman"/>
          <w:sz w:val="20"/>
          <w:szCs w:val="20"/>
        </w:rPr>
        <w:t xml:space="preserve">frequent site </w:t>
      </w:r>
      <w:r w:rsidRPr="002375ED">
        <w:rPr>
          <w:rFonts w:ascii="Times New Roman" w:hAnsi="Times New Roman" w:cs="Times New Roman"/>
          <w:sz w:val="20"/>
          <w:szCs w:val="20"/>
        </w:rPr>
        <w:t>was PBL originating in</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the pelvis (17.4%). </w:t>
      </w:r>
      <w:r w:rsidRPr="002375ED">
        <w:rPr>
          <w:rFonts w:ascii="Times New Roman" w:hAnsi="Times New Roman" w:cs="Times New Roman"/>
          <w:sz w:val="20"/>
          <w:szCs w:val="20"/>
          <w:lang w:bidi="ar-EG"/>
        </w:rPr>
        <w:t xml:space="preserve">Fourteen patients (60.9%) had performance status 1. </w:t>
      </w:r>
      <w:r w:rsidR="00427A9D" w:rsidRPr="002375ED">
        <w:rPr>
          <w:rFonts w:ascii="Times New Roman" w:hAnsi="Times New Roman" w:cs="Times New Roman"/>
          <w:sz w:val="20"/>
          <w:szCs w:val="20"/>
          <w:lang w:bidi="ar-EG"/>
        </w:rPr>
        <w:t>Nine (</w:t>
      </w:r>
      <w:r w:rsidR="00427A9D" w:rsidRPr="002375ED">
        <w:rPr>
          <w:rFonts w:ascii="Times New Roman" w:hAnsi="Times New Roman" w:cs="Times New Roman"/>
          <w:sz w:val="20"/>
          <w:szCs w:val="20"/>
        </w:rPr>
        <w:t>39.1</w:t>
      </w:r>
      <w:r w:rsidR="00427A9D" w:rsidRPr="002375ED">
        <w:rPr>
          <w:rFonts w:ascii="Times New Roman" w:hAnsi="Times New Roman" w:cs="Times New Roman"/>
          <w:sz w:val="20"/>
          <w:szCs w:val="20"/>
          <w:lang w:bidi="ar-EG"/>
        </w:rPr>
        <w:t xml:space="preserve">%) patients had </w:t>
      </w:r>
      <w:r w:rsidR="00427A9D" w:rsidRPr="002375ED">
        <w:rPr>
          <w:rFonts w:ascii="Times New Roman" w:hAnsi="Times New Roman" w:cs="Times New Roman"/>
          <w:sz w:val="20"/>
          <w:szCs w:val="20"/>
        </w:rPr>
        <w:t>elevated LDH</w:t>
      </w:r>
      <w:r w:rsidR="00427A9D" w:rsidRPr="002375ED">
        <w:rPr>
          <w:rFonts w:ascii="Times New Roman" w:hAnsi="Times New Roman" w:cs="Times New Roman"/>
          <w:sz w:val="20"/>
          <w:szCs w:val="20"/>
          <w:lang w:bidi="ar-EG"/>
        </w:rPr>
        <w:t xml:space="preserve"> at diagnosis. </w:t>
      </w:r>
      <w:r w:rsidRPr="002375ED">
        <w:rPr>
          <w:rFonts w:ascii="Times New Roman" w:hAnsi="Times New Roman" w:cs="Times New Roman"/>
          <w:sz w:val="20"/>
          <w:szCs w:val="20"/>
          <w:lang w:bidi="ar-EG"/>
        </w:rPr>
        <w:t>More than half of the patients (</w:t>
      </w:r>
      <w:r w:rsidRPr="002375ED">
        <w:rPr>
          <w:rFonts w:ascii="Times New Roman" w:hAnsi="Times New Roman" w:cs="Times New Roman"/>
          <w:sz w:val="20"/>
          <w:szCs w:val="20"/>
        </w:rPr>
        <w:t>78.3</w:t>
      </w:r>
      <w:r w:rsidRPr="002375ED">
        <w:rPr>
          <w:rFonts w:ascii="Times New Roman" w:hAnsi="Times New Roman" w:cs="Times New Roman"/>
          <w:sz w:val="20"/>
          <w:szCs w:val="20"/>
          <w:lang w:bidi="ar-EG"/>
        </w:rPr>
        <w:t>%) had DL</w:t>
      </w:r>
      <w:r w:rsidR="00377D31" w:rsidRPr="002375ED">
        <w:rPr>
          <w:rFonts w:ascii="Times New Roman" w:hAnsi="Times New Roman" w:cs="Times New Roman"/>
          <w:sz w:val="20"/>
          <w:szCs w:val="20"/>
          <w:lang w:bidi="ar-EG"/>
        </w:rPr>
        <w:t>B</w:t>
      </w:r>
      <w:r w:rsidRPr="002375ED">
        <w:rPr>
          <w:rFonts w:ascii="Times New Roman" w:hAnsi="Times New Roman" w:cs="Times New Roman"/>
          <w:sz w:val="20"/>
          <w:szCs w:val="20"/>
          <w:lang w:bidi="ar-EG"/>
        </w:rPr>
        <w:t xml:space="preserve">CL </w:t>
      </w:r>
      <w:r w:rsidR="006839A0" w:rsidRPr="002375ED">
        <w:rPr>
          <w:rFonts w:ascii="Times New Roman" w:hAnsi="Times New Roman" w:cs="Times New Roman"/>
          <w:sz w:val="20"/>
          <w:szCs w:val="20"/>
          <w:lang w:bidi="ar-EG"/>
        </w:rPr>
        <w:t>histological</w:t>
      </w:r>
      <w:r w:rsidRPr="002375ED">
        <w:rPr>
          <w:rFonts w:ascii="Times New Roman" w:hAnsi="Times New Roman" w:cs="Times New Roman"/>
          <w:sz w:val="20"/>
          <w:szCs w:val="20"/>
          <w:lang w:bidi="ar-EG"/>
        </w:rPr>
        <w:t xml:space="preserve"> subtype followed by </w:t>
      </w:r>
      <w:r w:rsidRPr="002375ED">
        <w:rPr>
          <w:rFonts w:ascii="Times New Roman" w:hAnsi="Times New Roman" w:cs="Times New Roman"/>
          <w:color w:val="231F20"/>
          <w:sz w:val="20"/>
          <w:szCs w:val="20"/>
        </w:rPr>
        <w:t>diffuse, mixed, small and large</w:t>
      </w:r>
      <w:r w:rsidRPr="002375ED">
        <w:rPr>
          <w:rFonts w:ascii="Times New Roman" w:hAnsi="Times New Roman" w:cs="Times New Roman"/>
          <w:sz w:val="20"/>
          <w:szCs w:val="20"/>
          <w:lang w:bidi="ar-EG"/>
        </w:rPr>
        <w:t xml:space="preserve"> cell </w:t>
      </w:r>
      <w:r w:rsidR="006839A0" w:rsidRPr="002375ED">
        <w:rPr>
          <w:rFonts w:ascii="Times New Roman" w:hAnsi="Times New Roman" w:cs="Times New Roman"/>
          <w:sz w:val="20"/>
          <w:szCs w:val="20"/>
          <w:lang w:bidi="ar-EG"/>
        </w:rPr>
        <w:t>histological</w:t>
      </w:r>
      <w:r w:rsidRPr="002375ED">
        <w:rPr>
          <w:rFonts w:ascii="Times New Roman" w:hAnsi="Times New Roman" w:cs="Times New Roman"/>
          <w:sz w:val="20"/>
          <w:szCs w:val="20"/>
          <w:lang w:bidi="ar-EG"/>
        </w:rPr>
        <w:t xml:space="preserve"> subtype in </w:t>
      </w:r>
      <w:r w:rsidR="00F06368" w:rsidRPr="002375ED">
        <w:rPr>
          <w:rFonts w:ascii="Times New Roman" w:hAnsi="Times New Roman" w:cs="Times New Roman"/>
          <w:sz w:val="20"/>
          <w:szCs w:val="20"/>
          <w:lang w:bidi="ar-EG"/>
        </w:rPr>
        <w:t>two</w:t>
      </w:r>
      <w:r w:rsidRPr="002375ED">
        <w:rPr>
          <w:rFonts w:ascii="Times New Roman" w:hAnsi="Times New Roman" w:cs="Times New Roman"/>
          <w:sz w:val="20"/>
          <w:szCs w:val="20"/>
          <w:lang w:bidi="ar-EG"/>
        </w:rPr>
        <w:t xml:space="preserve"> patients (8.7%).</w:t>
      </w:r>
      <w:r w:rsidR="00427A9D" w:rsidRPr="002375ED">
        <w:rPr>
          <w:rFonts w:ascii="Times New Roman" w:hAnsi="Times New Roman" w:cs="Times New Roman"/>
          <w:sz w:val="20"/>
          <w:szCs w:val="20"/>
          <w:lang w:bidi="ar-EG"/>
        </w:rPr>
        <w:t xml:space="preserve"> B symptoms were reported in f</w:t>
      </w:r>
      <w:r w:rsidRPr="002375ED">
        <w:rPr>
          <w:rFonts w:ascii="Times New Roman" w:hAnsi="Times New Roman" w:cs="Times New Roman"/>
          <w:sz w:val="20"/>
          <w:szCs w:val="20"/>
          <w:lang w:bidi="ar-EG"/>
        </w:rPr>
        <w:t>our patients</w:t>
      </w:r>
      <w:r w:rsidR="00427A9D" w:rsidRPr="002375ED">
        <w:rPr>
          <w:rFonts w:ascii="Times New Roman" w:hAnsi="Times New Roman" w:cs="Times New Roman"/>
          <w:sz w:val="20"/>
          <w:szCs w:val="20"/>
          <w:lang w:bidi="ar-EG"/>
        </w:rPr>
        <w:t xml:space="preserve"> (</w:t>
      </w:r>
      <w:r w:rsidR="00427A9D" w:rsidRPr="002375ED">
        <w:rPr>
          <w:rFonts w:ascii="Times New Roman" w:hAnsi="Times New Roman" w:cs="Times New Roman"/>
          <w:sz w:val="20"/>
          <w:szCs w:val="20"/>
        </w:rPr>
        <w:t>17.4</w:t>
      </w:r>
      <w:r w:rsidR="00427A9D" w:rsidRPr="002375ED">
        <w:rPr>
          <w:rFonts w:ascii="Times New Roman" w:hAnsi="Times New Roman" w:cs="Times New Roman"/>
          <w:sz w:val="20"/>
          <w:szCs w:val="20"/>
          <w:lang w:bidi="ar-EG"/>
        </w:rPr>
        <w:t>%)</w:t>
      </w:r>
      <w:r w:rsidRPr="002375ED">
        <w:rPr>
          <w:rFonts w:ascii="Times New Roman" w:hAnsi="Times New Roman" w:cs="Times New Roman"/>
          <w:sz w:val="20"/>
          <w:szCs w:val="20"/>
          <w:lang w:bidi="ar-EG"/>
        </w:rPr>
        <w:t>.</w:t>
      </w:r>
      <w:r w:rsidRPr="002375ED">
        <w:rPr>
          <w:rFonts w:ascii="Times New Roman" w:hAnsi="Times New Roman" w:cs="Times New Roman"/>
          <w:sz w:val="20"/>
          <w:szCs w:val="20"/>
        </w:rPr>
        <w:t xml:space="preserve"> PBL </w:t>
      </w:r>
      <w:r w:rsidR="00427A9D" w:rsidRPr="002375ED">
        <w:rPr>
          <w:rFonts w:ascii="Times New Roman" w:hAnsi="Times New Roman" w:cs="Times New Roman"/>
          <w:sz w:val="20"/>
          <w:szCs w:val="20"/>
        </w:rPr>
        <w:t>could</w:t>
      </w:r>
      <w:r w:rsidRPr="002375ED">
        <w:rPr>
          <w:rFonts w:ascii="Times New Roman" w:hAnsi="Times New Roman" w:cs="Times New Roman"/>
          <w:sz w:val="20"/>
          <w:szCs w:val="20"/>
        </w:rPr>
        <w:t xml:space="preserve"> be considered as a </w:t>
      </w:r>
      <w:r w:rsidRPr="002375ED">
        <w:rPr>
          <w:rFonts w:ascii="Times New Roman" w:hAnsi="Times New Roman" w:cs="Times New Roman"/>
          <w:sz w:val="20"/>
          <w:szCs w:val="20"/>
        </w:rPr>
        <w:lastRenderedPageBreak/>
        <w:t>localized disease, with</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the exception of </w:t>
      </w:r>
      <w:proofErr w:type="spellStart"/>
      <w:r w:rsidRPr="002375ED">
        <w:rPr>
          <w:rFonts w:ascii="Times New Roman" w:hAnsi="Times New Roman" w:cs="Times New Roman"/>
          <w:color w:val="231F20"/>
          <w:sz w:val="20"/>
          <w:szCs w:val="20"/>
        </w:rPr>
        <w:t>polyostotic</w:t>
      </w:r>
      <w:proofErr w:type="spellEnd"/>
      <w:r w:rsidRPr="002375ED">
        <w:rPr>
          <w:rFonts w:ascii="Times New Roman" w:hAnsi="Times New Roman" w:cs="Times New Roman"/>
          <w:sz w:val="20"/>
          <w:szCs w:val="20"/>
        </w:rPr>
        <w:t xml:space="preserve"> </w:t>
      </w:r>
      <w:r w:rsidRPr="002375ED">
        <w:rPr>
          <w:rFonts w:ascii="Times New Roman" w:hAnsi="Times New Roman" w:cs="Times New Roman"/>
          <w:sz w:val="20"/>
          <w:szCs w:val="20"/>
        </w:rPr>
        <w:lastRenderedPageBreak/>
        <w:t xml:space="preserve">involvement (Table 1). </w:t>
      </w:r>
    </w:p>
    <w:p w:rsidR="002375ED" w:rsidRDefault="002375ED" w:rsidP="00DA7763">
      <w:pPr>
        <w:bidi w:val="0"/>
        <w:snapToGrid w:val="0"/>
        <w:spacing w:after="0" w:line="240" w:lineRule="auto"/>
        <w:jc w:val="both"/>
        <w:rPr>
          <w:rFonts w:ascii="Times New Roman" w:hAnsi="Times New Roman" w:cs="Times New Roman"/>
          <w:b/>
          <w:bCs/>
          <w:sz w:val="20"/>
          <w:szCs w:val="20"/>
        </w:rPr>
        <w:sectPr w:rsidR="002375ED" w:rsidSect="00DA7763">
          <w:type w:val="continuous"/>
          <w:pgSz w:w="12242" w:h="15842" w:code="1"/>
          <w:pgMar w:top="1440" w:right="1440" w:bottom="1440" w:left="1440" w:header="720" w:footer="720" w:gutter="0"/>
          <w:cols w:num="2" w:space="550"/>
          <w:docGrid w:linePitch="360"/>
        </w:sectPr>
      </w:pPr>
    </w:p>
    <w:p w:rsidR="002375ED" w:rsidRDefault="002375ED" w:rsidP="00DA7763">
      <w:pPr>
        <w:bidi w:val="0"/>
        <w:snapToGrid w:val="0"/>
        <w:spacing w:after="0" w:line="240" w:lineRule="auto"/>
        <w:jc w:val="both"/>
        <w:rPr>
          <w:rFonts w:ascii="Times New Roman" w:hAnsi="Times New Roman" w:cs="Times New Roman" w:hint="eastAsia"/>
          <w:b/>
          <w:bCs/>
          <w:sz w:val="20"/>
          <w:szCs w:val="20"/>
          <w:lang w:eastAsia="zh-CN"/>
        </w:rPr>
      </w:pPr>
    </w:p>
    <w:p w:rsidR="005671D9" w:rsidRPr="002375ED" w:rsidRDefault="005671D9" w:rsidP="002375ED">
      <w:pPr>
        <w:bidi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b/>
          <w:bCs/>
          <w:sz w:val="20"/>
          <w:szCs w:val="20"/>
        </w:rPr>
        <w:t>Table 1.</w:t>
      </w:r>
      <w:r w:rsidRPr="002375ED">
        <w:rPr>
          <w:rStyle w:val="Heading6Char"/>
          <w:rFonts w:ascii="Times New Roman" w:hAnsi="Times New Roman" w:cs="Times New Roman"/>
          <w:b w:val="0"/>
          <w:bCs w:val="0"/>
          <w:sz w:val="20"/>
          <w:szCs w:val="20"/>
        </w:rPr>
        <w:t xml:space="preserve"> </w:t>
      </w:r>
      <w:r w:rsidRPr="002375ED">
        <w:rPr>
          <w:rFonts w:ascii="Times New Roman" w:hAnsi="Times New Roman" w:cs="Times New Roman"/>
          <w:sz w:val="20"/>
          <w:szCs w:val="20"/>
        </w:rPr>
        <w:t>Patient</w:t>
      </w:r>
      <w:r w:rsidRPr="002375ED">
        <w:rPr>
          <w:rStyle w:val="Hyperlink"/>
          <w:rFonts w:ascii="Times New Roman" w:hAnsi="Times New Roman"/>
          <w:color w:val="auto"/>
          <w:sz w:val="20"/>
          <w:szCs w:val="20"/>
          <w:u w:val="none"/>
        </w:rPr>
        <w:t xml:space="preserve">s and tumor characteristics of the 23 patients </w:t>
      </w:r>
      <w:r w:rsidRPr="002375ED">
        <w:rPr>
          <w:rFonts w:ascii="Times New Roman" w:hAnsi="Times New Roman" w:cs="Times New Roman"/>
          <w:sz w:val="20"/>
          <w:szCs w:val="20"/>
        </w:rPr>
        <w:t xml:space="preserve">with PBL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7488"/>
        <w:gridCol w:w="936"/>
        <w:gridCol w:w="1052"/>
      </w:tblGrid>
      <w:tr w:rsidR="005671D9" w:rsidRPr="002375ED" w:rsidTr="002375ED">
        <w:trPr>
          <w:jc w:val="center"/>
        </w:trPr>
        <w:tc>
          <w:tcPr>
            <w:tcW w:w="3951" w:type="pct"/>
            <w:vAlign w:val="center"/>
          </w:tcPr>
          <w:p w:rsidR="005671D9" w:rsidRPr="002375ED" w:rsidRDefault="005671D9" w:rsidP="00DA7763">
            <w:pPr>
              <w:tabs>
                <w:tab w:val="left" w:pos="5"/>
                <w:tab w:val="center" w:pos="3206"/>
              </w:tabs>
              <w:bidi w:val="0"/>
              <w:snapToGrid w:val="0"/>
              <w:spacing w:after="0" w:line="240" w:lineRule="auto"/>
              <w:jc w:val="both"/>
              <w:rPr>
                <w:rStyle w:val="Strong"/>
                <w:rFonts w:ascii="Times New Roman" w:hAnsi="Times New Roman"/>
                <w:b w:val="0"/>
                <w:sz w:val="18"/>
                <w:szCs w:val="18"/>
              </w:rPr>
            </w:pPr>
            <w:r w:rsidRPr="002375ED">
              <w:rPr>
                <w:rFonts w:ascii="Times New Roman" w:hAnsi="Times New Roman" w:cs="Times New Roman"/>
                <w:b/>
                <w:bCs/>
                <w:sz w:val="18"/>
                <w:szCs w:val="18"/>
              </w:rPr>
              <w:tab/>
              <w:t>Patient Characteristics</w:t>
            </w:r>
          </w:p>
        </w:tc>
        <w:tc>
          <w:tcPr>
            <w:tcW w:w="494" w:type="pct"/>
            <w:vAlign w:val="center"/>
          </w:tcPr>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b/>
                <w:bCs/>
                <w:sz w:val="18"/>
                <w:szCs w:val="18"/>
              </w:rPr>
              <w:t>No.</w:t>
            </w:r>
          </w:p>
        </w:tc>
        <w:tc>
          <w:tcPr>
            <w:tcW w:w="555"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w:t>
            </w:r>
          </w:p>
        </w:tc>
      </w:tr>
      <w:tr w:rsidR="005671D9" w:rsidRPr="002375ED" w:rsidTr="002375ED">
        <w:trPr>
          <w:jc w:val="center"/>
        </w:trPr>
        <w:tc>
          <w:tcPr>
            <w:tcW w:w="3951" w:type="pct"/>
            <w:vAlign w:val="center"/>
          </w:tcPr>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b/>
                <w:bCs/>
                <w:sz w:val="18"/>
                <w:szCs w:val="18"/>
              </w:rPr>
              <w:t>Sex</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Male</w:t>
            </w:r>
          </w:p>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Fonts w:ascii="Times New Roman" w:hAnsi="Times New Roman" w:cs="Times New Roman"/>
                <w:sz w:val="18"/>
                <w:szCs w:val="18"/>
              </w:rPr>
              <w:t>Female</w:t>
            </w:r>
          </w:p>
        </w:tc>
        <w:tc>
          <w:tcPr>
            <w:tcW w:w="494"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12</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11</w:t>
            </w:r>
          </w:p>
        </w:tc>
        <w:tc>
          <w:tcPr>
            <w:tcW w:w="555"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52.2</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47.8</w:t>
            </w:r>
          </w:p>
        </w:tc>
      </w:tr>
      <w:tr w:rsidR="005671D9" w:rsidRPr="002375ED" w:rsidTr="002375ED">
        <w:trPr>
          <w:jc w:val="center"/>
        </w:trPr>
        <w:tc>
          <w:tcPr>
            <w:tcW w:w="3951"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Fonts w:ascii="Times New Roman" w:hAnsi="Times New Roman" w:cs="Times New Roman"/>
                <w:b/>
                <w:bCs/>
                <w:sz w:val="18"/>
                <w:szCs w:val="18"/>
              </w:rPr>
              <w:t>Age, years</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Median</w:t>
            </w:r>
          </w:p>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Fonts w:ascii="Times New Roman" w:hAnsi="Times New Roman" w:cs="Times New Roman"/>
                <w:sz w:val="18"/>
                <w:szCs w:val="18"/>
              </w:rPr>
              <w:t>Range</w:t>
            </w:r>
          </w:p>
        </w:tc>
        <w:tc>
          <w:tcPr>
            <w:tcW w:w="1049" w:type="pct"/>
            <w:gridSpan w:val="2"/>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48</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26-68</w:t>
            </w:r>
          </w:p>
        </w:tc>
      </w:tr>
      <w:tr w:rsidR="005671D9" w:rsidRPr="002375ED" w:rsidTr="002375ED">
        <w:trPr>
          <w:jc w:val="center"/>
        </w:trPr>
        <w:tc>
          <w:tcPr>
            <w:tcW w:w="3951"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Fonts w:ascii="Times New Roman" w:hAnsi="Times New Roman" w:cs="Times New Roman"/>
                <w:b/>
                <w:bCs/>
                <w:sz w:val="18"/>
                <w:szCs w:val="18"/>
              </w:rPr>
              <w:t>ECOG</w:t>
            </w:r>
            <w:r w:rsidR="00DE7B90" w:rsidRPr="002375ED">
              <w:rPr>
                <w:rFonts w:ascii="Times New Roman" w:hAnsi="Times New Roman" w:cs="Times New Roman"/>
                <w:b/>
                <w:bCs/>
                <w:sz w:val="18"/>
                <w:szCs w:val="18"/>
              </w:rPr>
              <w:t xml:space="preserve"> </w:t>
            </w:r>
            <w:r w:rsidRPr="002375ED">
              <w:rPr>
                <w:rFonts w:ascii="Times New Roman" w:hAnsi="Times New Roman" w:cs="Times New Roman"/>
                <w:b/>
                <w:bCs/>
                <w:sz w:val="18"/>
                <w:szCs w:val="18"/>
              </w:rPr>
              <w:t>performance status</w:t>
            </w:r>
          </w:p>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Style w:val="Strong"/>
                <w:rFonts w:ascii="Times New Roman" w:hAnsi="Times New Roman"/>
                <w:b w:val="0"/>
                <w:sz w:val="18"/>
                <w:szCs w:val="18"/>
              </w:rPr>
              <w:t>0</w:t>
            </w:r>
          </w:p>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Style w:val="Strong"/>
                <w:rFonts w:ascii="Times New Roman" w:hAnsi="Times New Roman"/>
                <w:b w:val="0"/>
                <w:sz w:val="18"/>
                <w:szCs w:val="18"/>
              </w:rPr>
              <w:t>1</w:t>
            </w:r>
          </w:p>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Style w:val="Strong"/>
                <w:rFonts w:ascii="Times New Roman" w:hAnsi="Times New Roman"/>
                <w:b w:val="0"/>
                <w:sz w:val="18"/>
                <w:szCs w:val="18"/>
              </w:rPr>
              <w:t>2</w:t>
            </w:r>
          </w:p>
        </w:tc>
        <w:tc>
          <w:tcPr>
            <w:tcW w:w="494"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7</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14</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2</w:t>
            </w:r>
          </w:p>
        </w:tc>
        <w:tc>
          <w:tcPr>
            <w:tcW w:w="555"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30.4</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60.9</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8.7</w:t>
            </w:r>
          </w:p>
        </w:tc>
      </w:tr>
      <w:tr w:rsidR="005671D9" w:rsidRPr="002375ED" w:rsidTr="002375ED">
        <w:trPr>
          <w:jc w:val="center"/>
        </w:trPr>
        <w:tc>
          <w:tcPr>
            <w:tcW w:w="3951" w:type="pct"/>
            <w:vAlign w:val="center"/>
          </w:tcPr>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b/>
                <w:bCs/>
                <w:color w:val="231F20"/>
                <w:sz w:val="18"/>
                <w:szCs w:val="18"/>
              </w:rPr>
              <w:t>Histology</w:t>
            </w:r>
          </w:p>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color w:val="231F20"/>
                <w:sz w:val="18"/>
                <w:szCs w:val="18"/>
              </w:rPr>
              <w:t>DLCL</w:t>
            </w:r>
          </w:p>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color w:val="231F20"/>
                <w:sz w:val="18"/>
                <w:szCs w:val="18"/>
              </w:rPr>
              <w:t>Diffuse, mixed, small and large</w:t>
            </w:r>
          </w:p>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color w:val="231F20"/>
                <w:sz w:val="18"/>
                <w:szCs w:val="18"/>
              </w:rPr>
              <w:t>Follicular, mixed, small and large cleaved</w:t>
            </w:r>
          </w:p>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color w:val="231F20"/>
                <w:sz w:val="18"/>
                <w:szCs w:val="18"/>
              </w:rPr>
              <w:t>Diffuse, small cleaved</w:t>
            </w:r>
          </w:p>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color w:val="231F20"/>
                <w:sz w:val="18"/>
                <w:szCs w:val="18"/>
              </w:rPr>
              <w:t>Lymphoma, NOS</w:t>
            </w:r>
          </w:p>
        </w:tc>
        <w:tc>
          <w:tcPr>
            <w:tcW w:w="494"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18</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2</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w:t>
            </w:r>
          </w:p>
        </w:tc>
        <w:tc>
          <w:tcPr>
            <w:tcW w:w="555"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78.3</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8.7</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4.3</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4.3</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4.3</w:t>
            </w:r>
          </w:p>
        </w:tc>
      </w:tr>
      <w:tr w:rsidR="005671D9" w:rsidRPr="002375ED" w:rsidTr="002375ED">
        <w:trPr>
          <w:jc w:val="center"/>
        </w:trPr>
        <w:tc>
          <w:tcPr>
            <w:tcW w:w="3951"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b/>
                <w:bCs/>
                <w:sz w:val="18"/>
                <w:szCs w:val="18"/>
              </w:rPr>
              <w:t>Tumor location</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color w:val="231F20"/>
                <w:sz w:val="18"/>
                <w:szCs w:val="18"/>
              </w:rPr>
              <w:t>Femur</w:t>
            </w:r>
          </w:p>
          <w:p w:rsidR="005671D9" w:rsidRPr="002375ED" w:rsidRDefault="005671D9" w:rsidP="00DA7763">
            <w:pPr>
              <w:bidi w:val="0"/>
              <w:snapToGrid w:val="0"/>
              <w:spacing w:after="0" w:line="240" w:lineRule="auto"/>
              <w:jc w:val="both"/>
              <w:rPr>
                <w:rFonts w:ascii="Times New Roman" w:hAnsi="Times New Roman" w:cs="Times New Roman"/>
                <w:color w:val="231F20"/>
                <w:sz w:val="18"/>
                <w:szCs w:val="18"/>
              </w:rPr>
            </w:pPr>
            <w:r w:rsidRPr="002375ED">
              <w:rPr>
                <w:rFonts w:ascii="Times New Roman" w:hAnsi="Times New Roman" w:cs="Times New Roman"/>
                <w:color w:val="231F20"/>
                <w:sz w:val="18"/>
                <w:szCs w:val="18"/>
              </w:rPr>
              <w:t>Pelvis</w:t>
            </w:r>
          </w:p>
          <w:p w:rsidR="005671D9" w:rsidRPr="002375ED" w:rsidRDefault="005671D9" w:rsidP="00DA7763">
            <w:pPr>
              <w:bidi w:val="0"/>
              <w:snapToGrid w:val="0"/>
              <w:spacing w:after="0" w:line="240" w:lineRule="auto"/>
              <w:jc w:val="both"/>
              <w:rPr>
                <w:rStyle w:val="Strong"/>
                <w:rFonts w:ascii="Times New Roman" w:hAnsi="Times New Roman"/>
                <w:bCs/>
                <w:sz w:val="18"/>
                <w:szCs w:val="18"/>
              </w:rPr>
            </w:pPr>
            <w:r w:rsidRPr="002375ED">
              <w:rPr>
                <w:rFonts w:ascii="Times New Roman" w:hAnsi="Times New Roman" w:cs="Times New Roman"/>
                <w:color w:val="231F20"/>
                <w:sz w:val="18"/>
                <w:szCs w:val="18"/>
              </w:rPr>
              <w:t>Tibia/fibula</w:t>
            </w:r>
          </w:p>
          <w:p w:rsidR="005671D9" w:rsidRPr="002375ED" w:rsidRDefault="005671D9" w:rsidP="00DA7763">
            <w:pPr>
              <w:bidi w:val="0"/>
              <w:snapToGrid w:val="0"/>
              <w:spacing w:after="0" w:line="240" w:lineRule="auto"/>
              <w:jc w:val="both"/>
              <w:rPr>
                <w:rStyle w:val="Strong"/>
                <w:rFonts w:ascii="Times New Roman" w:hAnsi="Times New Roman"/>
                <w:bCs/>
                <w:sz w:val="18"/>
                <w:szCs w:val="18"/>
              </w:rPr>
            </w:pPr>
            <w:proofErr w:type="spellStart"/>
            <w:r w:rsidRPr="002375ED">
              <w:rPr>
                <w:rFonts w:ascii="Times New Roman" w:hAnsi="Times New Roman" w:cs="Times New Roman"/>
                <w:color w:val="231F20"/>
                <w:sz w:val="18"/>
                <w:szCs w:val="18"/>
              </w:rPr>
              <w:t>Humerus</w:t>
            </w:r>
            <w:proofErr w:type="spellEnd"/>
          </w:p>
          <w:p w:rsidR="005671D9" w:rsidRPr="002375ED" w:rsidRDefault="005671D9" w:rsidP="00DA7763">
            <w:pPr>
              <w:bidi w:val="0"/>
              <w:snapToGrid w:val="0"/>
              <w:spacing w:after="0" w:line="240" w:lineRule="auto"/>
              <w:jc w:val="both"/>
              <w:rPr>
                <w:rStyle w:val="Strong"/>
                <w:rFonts w:ascii="Times New Roman" w:hAnsi="Times New Roman"/>
                <w:bCs/>
                <w:sz w:val="18"/>
                <w:szCs w:val="18"/>
              </w:rPr>
            </w:pPr>
            <w:r w:rsidRPr="002375ED">
              <w:rPr>
                <w:rFonts w:ascii="Times New Roman" w:hAnsi="Times New Roman" w:cs="Times New Roman"/>
                <w:color w:val="231F20"/>
                <w:sz w:val="18"/>
                <w:szCs w:val="18"/>
              </w:rPr>
              <w:t>Spine</w:t>
            </w:r>
          </w:p>
          <w:p w:rsidR="005671D9" w:rsidRPr="002375ED" w:rsidRDefault="005671D9" w:rsidP="00DA7763">
            <w:pPr>
              <w:bidi w:val="0"/>
              <w:snapToGrid w:val="0"/>
              <w:spacing w:after="0" w:line="240" w:lineRule="auto"/>
              <w:jc w:val="both"/>
              <w:rPr>
                <w:rFonts w:ascii="Times New Roman" w:hAnsi="Times New Roman" w:cs="Times New Roman"/>
                <w:color w:val="231F20"/>
                <w:sz w:val="18"/>
                <w:szCs w:val="18"/>
              </w:rPr>
            </w:pPr>
            <w:r w:rsidRPr="002375ED">
              <w:rPr>
                <w:rFonts w:ascii="Times New Roman" w:hAnsi="Times New Roman" w:cs="Times New Roman"/>
                <w:color w:val="231F20"/>
                <w:sz w:val="18"/>
                <w:szCs w:val="18"/>
              </w:rPr>
              <w:t>Mandible</w:t>
            </w:r>
          </w:p>
          <w:p w:rsidR="005671D9" w:rsidRPr="002375ED" w:rsidRDefault="005671D9" w:rsidP="00DA7763">
            <w:pPr>
              <w:bidi w:val="0"/>
              <w:snapToGrid w:val="0"/>
              <w:spacing w:after="0" w:line="240" w:lineRule="auto"/>
              <w:jc w:val="both"/>
              <w:rPr>
                <w:rStyle w:val="Strong"/>
                <w:rFonts w:ascii="Times New Roman" w:hAnsi="Times New Roman"/>
                <w:bCs/>
                <w:sz w:val="18"/>
                <w:szCs w:val="18"/>
              </w:rPr>
            </w:pPr>
            <w:r w:rsidRPr="002375ED">
              <w:rPr>
                <w:rFonts w:ascii="Times New Roman" w:hAnsi="Times New Roman" w:cs="Times New Roman"/>
                <w:color w:val="231F20"/>
                <w:sz w:val="18"/>
                <w:szCs w:val="18"/>
              </w:rPr>
              <w:t>Skull</w:t>
            </w:r>
          </w:p>
          <w:p w:rsidR="005671D9" w:rsidRPr="002375ED" w:rsidRDefault="005671D9" w:rsidP="00DA7763">
            <w:pPr>
              <w:bidi w:val="0"/>
              <w:snapToGrid w:val="0"/>
              <w:spacing w:after="0" w:line="240" w:lineRule="auto"/>
              <w:jc w:val="both"/>
              <w:rPr>
                <w:rStyle w:val="Strong"/>
                <w:rFonts w:ascii="Times New Roman" w:hAnsi="Times New Roman"/>
                <w:bCs/>
                <w:sz w:val="18"/>
                <w:szCs w:val="18"/>
              </w:rPr>
            </w:pPr>
            <w:r w:rsidRPr="002375ED">
              <w:rPr>
                <w:rFonts w:ascii="Times New Roman" w:hAnsi="Times New Roman" w:cs="Times New Roman"/>
                <w:color w:val="231F20"/>
                <w:sz w:val="18"/>
                <w:szCs w:val="18"/>
              </w:rPr>
              <w:t>Scapula</w:t>
            </w:r>
          </w:p>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proofErr w:type="spellStart"/>
            <w:r w:rsidRPr="002375ED">
              <w:rPr>
                <w:rFonts w:ascii="Times New Roman" w:hAnsi="Times New Roman" w:cs="Times New Roman"/>
                <w:color w:val="231F20"/>
                <w:sz w:val="18"/>
                <w:szCs w:val="18"/>
              </w:rPr>
              <w:t>Polyostotic</w:t>
            </w:r>
            <w:proofErr w:type="spellEnd"/>
          </w:p>
        </w:tc>
        <w:tc>
          <w:tcPr>
            <w:tcW w:w="494"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6</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3</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2</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2</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3</w:t>
            </w:r>
          </w:p>
        </w:tc>
        <w:tc>
          <w:tcPr>
            <w:tcW w:w="555"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26.1</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17.4</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13.1</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8.7</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8.7</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4.3</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4.3</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4.3</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13.1</w:t>
            </w:r>
          </w:p>
        </w:tc>
      </w:tr>
      <w:tr w:rsidR="005671D9" w:rsidRPr="002375ED" w:rsidTr="002375ED">
        <w:trPr>
          <w:jc w:val="center"/>
        </w:trPr>
        <w:tc>
          <w:tcPr>
            <w:tcW w:w="3951"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Fonts w:ascii="Times New Roman" w:hAnsi="Times New Roman" w:cs="Times New Roman"/>
                <w:b/>
                <w:bCs/>
                <w:sz w:val="18"/>
                <w:szCs w:val="18"/>
              </w:rPr>
              <w:t>LDH</w:t>
            </w:r>
          </w:p>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Style w:val="Strong"/>
                <w:rFonts w:ascii="Times New Roman" w:hAnsi="Times New Roman"/>
                <w:b w:val="0"/>
                <w:sz w:val="18"/>
                <w:szCs w:val="18"/>
              </w:rPr>
              <w:t xml:space="preserve">Normal </w:t>
            </w:r>
          </w:p>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Style w:val="Strong"/>
                <w:rFonts w:ascii="Times New Roman" w:hAnsi="Times New Roman"/>
                <w:b w:val="0"/>
                <w:sz w:val="18"/>
                <w:szCs w:val="18"/>
              </w:rPr>
              <w:t xml:space="preserve">High </w:t>
            </w:r>
          </w:p>
        </w:tc>
        <w:tc>
          <w:tcPr>
            <w:tcW w:w="494"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14</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9</w:t>
            </w:r>
          </w:p>
        </w:tc>
        <w:tc>
          <w:tcPr>
            <w:tcW w:w="555"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60.9</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39.1</w:t>
            </w:r>
          </w:p>
        </w:tc>
      </w:tr>
      <w:tr w:rsidR="005671D9" w:rsidRPr="002375ED" w:rsidTr="002375ED">
        <w:trPr>
          <w:jc w:val="center"/>
        </w:trPr>
        <w:tc>
          <w:tcPr>
            <w:tcW w:w="3951"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b/>
                <w:bCs/>
                <w:sz w:val="18"/>
                <w:szCs w:val="18"/>
              </w:rPr>
              <w:t xml:space="preserve">Stage </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I</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II</w:t>
            </w:r>
          </w:p>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Fonts w:ascii="Times New Roman" w:hAnsi="Times New Roman" w:cs="Times New Roman"/>
                <w:sz w:val="18"/>
                <w:szCs w:val="18"/>
              </w:rPr>
              <w:t>IV</w:t>
            </w:r>
          </w:p>
        </w:tc>
        <w:tc>
          <w:tcPr>
            <w:tcW w:w="494"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17</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2</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w:t>
            </w:r>
          </w:p>
        </w:tc>
        <w:tc>
          <w:tcPr>
            <w:tcW w:w="555"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73.9</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8.7</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17.4</w:t>
            </w:r>
          </w:p>
        </w:tc>
      </w:tr>
      <w:tr w:rsidR="005671D9" w:rsidRPr="002375ED" w:rsidTr="002375ED">
        <w:trPr>
          <w:jc w:val="center"/>
        </w:trPr>
        <w:tc>
          <w:tcPr>
            <w:tcW w:w="3951" w:type="pct"/>
            <w:vAlign w:val="center"/>
          </w:tcPr>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b/>
                <w:bCs/>
                <w:sz w:val="18"/>
                <w:szCs w:val="18"/>
              </w:rPr>
              <w:t>B symptoms</w:t>
            </w:r>
          </w:p>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Style w:val="Strong"/>
                <w:rFonts w:ascii="Times New Roman" w:hAnsi="Times New Roman"/>
                <w:b w:val="0"/>
                <w:sz w:val="18"/>
                <w:szCs w:val="18"/>
              </w:rPr>
              <w:t xml:space="preserve">No </w:t>
            </w:r>
          </w:p>
          <w:p w:rsidR="005671D9" w:rsidRPr="002375ED" w:rsidRDefault="005671D9" w:rsidP="00DA7763">
            <w:pPr>
              <w:bidi w:val="0"/>
              <w:snapToGrid w:val="0"/>
              <w:spacing w:after="0" w:line="240" w:lineRule="auto"/>
              <w:jc w:val="both"/>
              <w:rPr>
                <w:rStyle w:val="Strong"/>
                <w:rFonts w:ascii="Times New Roman" w:hAnsi="Times New Roman"/>
                <w:b w:val="0"/>
                <w:sz w:val="18"/>
                <w:szCs w:val="18"/>
              </w:rPr>
            </w:pPr>
            <w:r w:rsidRPr="002375ED">
              <w:rPr>
                <w:rStyle w:val="Strong"/>
                <w:rFonts w:ascii="Times New Roman" w:hAnsi="Times New Roman"/>
                <w:b w:val="0"/>
                <w:sz w:val="18"/>
                <w:szCs w:val="18"/>
              </w:rPr>
              <w:t xml:space="preserve">Yes </w:t>
            </w:r>
          </w:p>
        </w:tc>
        <w:tc>
          <w:tcPr>
            <w:tcW w:w="494"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19</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w:t>
            </w:r>
          </w:p>
        </w:tc>
        <w:tc>
          <w:tcPr>
            <w:tcW w:w="555"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82.6</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17.4</w:t>
            </w:r>
          </w:p>
        </w:tc>
      </w:tr>
      <w:tr w:rsidR="005671D9" w:rsidRPr="002375ED" w:rsidTr="002375ED">
        <w:trPr>
          <w:jc w:val="center"/>
        </w:trPr>
        <w:tc>
          <w:tcPr>
            <w:tcW w:w="3951" w:type="pct"/>
            <w:vAlign w:val="center"/>
          </w:tcPr>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b/>
                <w:bCs/>
                <w:sz w:val="18"/>
                <w:szCs w:val="18"/>
              </w:rPr>
              <w:t>IPI score</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0</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2</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3</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w:t>
            </w:r>
          </w:p>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sz w:val="18"/>
                <w:szCs w:val="18"/>
              </w:rPr>
              <w:t>5</w:t>
            </w:r>
          </w:p>
        </w:tc>
        <w:tc>
          <w:tcPr>
            <w:tcW w:w="494"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9</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7</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2</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0</w:t>
            </w:r>
          </w:p>
        </w:tc>
        <w:tc>
          <w:tcPr>
            <w:tcW w:w="555"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39.1</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30.4</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17.4</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8.7</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4.3</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0</w:t>
            </w:r>
          </w:p>
        </w:tc>
      </w:tr>
      <w:tr w:rsidR="005671D9" w:rsidRPr="002375ED" w:rsidTr="002375ED">
        <w:trPr>
          <w:jc w:val="center"/>
        </w:trPr>
        <w:tc>
          <w:tcPr>
            <w:tcW w:w="3951" w:type="pct"/>
            <w:vAlign w:val="center"/>
          </w:tcPr>
          <w:p w:rsidR="00DE7B90"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b/>
                <w:bCs/>
                <w:color w:val="231F20"/>
                <w:sz w:val="18"/>
                <w:szCs w:val="18"/>
              </w:rPr>
              <w:t>Treatment</w:t>
            </w:r>
          </w:p>
          <w:p w:rsidR="005671D9" w:rsidRPr="002375ED" w:rsidRDefault="00DE7B90"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C</w:t>
            </w:r>
            <w:r w:rsidR="005671D9" w:rsidRPr="002375ED">
              <w:rPr>
                <w:rFonts w:ascii="Times New Roman" w:hAnsi="Times New Roman" w:cs="Times New Roman"/>
                <w:sz w:val="18"/>
                <w:szCs w:val="18"/>
              </w:rPr>
              <w:t>MT</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Radiotherapy alone</w:t>
            </w:r>
          </w:p>
          <w:p w:rsidR="005671D9" w:rsidRPr="002375ED" w:rsidRDefault="005671D9" w:rsidP="00DA7763">
            <w:pPr>
              <w:bidi w:val="0"/>
              <w:snapToGrid w:val="0"/>
              <w:spacing w:after="0" w:line="240" w:lineRule="auto"/>
              <w:jc w:val="both"/>
              <w:rPr>
                <w:rFonts w:ascii="Times New Roman" w:hAnsi="Times New Roman" w:cs="Times New Roman"/>
                <w:b/>
                <w:bCs/>
                <w:sz w:val="18"/>
                <w:szCs w:val="18"/>
              </w:rPr>
            </w:pPr>
            <w:r w:rsidRPr="002375ED">
              <w:rPr>
                <w:rFonts w:ascii="Times New Roman" w:hAnsi="Times New Roman" w:cs="Times New Roman"/>
                <w:sz w:val="18"/>
                <w:szCs w:val="18"/>
              </w:rPr>
              <w:t>chemotherapy alone</w:t>
            </w:r>
          </w:p>
        </w:tc>
        <w:tc>
          <w:tcPr>
            <w:tcW w:w="494"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13</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4</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6</w:t>
            </w:r>
          </w:p>
        </w:tc>
        <w:tc>
          <w:tcPr>
            <w:tcW w:w="555" w:type="pct"/>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56.5</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17.4</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26.1</w:t>
            </w:r>
          </w:p>
        </w:tc>
      </w:tr>
      <w:tr w:rsidR="005671D9" w:rsidRPr="002375ED" w:rsidTr="002375ED">
        <w:trPr>
          <w:jc w:val="center"/>
        </w:trPr>
        <w:tc>
          <w:tcPr>
            <w:tcW w:w="3951" w:type="pct"/>
            <w:vAlign w:val="center"/>
          </w:tcPr>
          <w:p w:rsidR="005671D9" w:rsidRPr="002375ED" w:rsidRDefault="005671D9" w:rsidP="00DA7763">
            <w:pPr>
              <w:bidi w:val="0"/>
              <w:snapToGrid w:val="0"/>
              <w:spacing w:after="0" w:line="240" w:lineRule="auto"/>
              <w:jc w:val="both"/>
              <w:rPr>
                <w:rFonts w:ascii="Times New Roman" w:hAnsi="Times New Roman" w:cs="Times New Roman"/>
                <w:b/>
                <w:bCs/>
                <w:color w:val="231F20"/>
                <w:sz w:val="18"/>
                <w:szCs w:val="18"/>
              </w:rPr>
            </w:pPr>
            <w:r w:rsidRPr="002375ED">
              <w:rPr>
                <w:rFonts w:ascii="Times New Roman" w:hAnsi="Times New Roman" w:cs="Times New Roman"/>
                <w:b/>
                <w:bCs/>
                <w:sz w:val="18"/>
                <w:szCs w:val="18"/>
              </w:rPr>
              <w:t>CMT; radiotherapy</w:t>
            </w:r>
            <w:r w:rsidRPr="002375ED">
              <w:rPr>
                <w:rFonts w:ascii="Times New Roman" w:hAnsi="Times New Roman" w:cs="Times New Roman"/>
                <w:b/>
                <w:bCs/>
                <w:color w:val="231F20"/>
                <w:sz w:val="18"/>
                <w:szCs w:val="18"/>
              </w:rPr>
              <w:t xml:space="preserve"> dose </w:t>
            </w:r>
          </w:p>
          <w:p w:rsidR="005671D9" w:rsidRPr="002375ED" w:rsidRDefault="005671D9" w:rsidP="00DA7763">
            <w:pPr>
              <w:bidi w:val="0"/>
              <w:snapToGrid w:val="0"/>
              <w:spacing w:after="0" w:line="240" w:lineRule="auto"/>
              <w:jc w:val="both"/>
              <w:rPr>
                <w:rFonts w:ascii="Times New Roman" w:hAnsi="Times New Roman" w:cs="Times New Roman"/>
                <w:b/>
                <w:bCs/>
                <w:color w:val="231F20"/>
                <w:sz w:val="18"/>
                <w:szCs w:val="18"/>
              </w:rPr>
            </w:pPr>
            <w:r w:rsidRPr="002375ED">
              <w:rPr>
                <w:rFonts w:ascii="Times New Roman" w:hAnsi="Times New Roman" w:cs="Times New Roman"/>
                <w:color w:val="231F20"/>
                <w:sz w:val="18"/>
                <w:szCs w:val="18"/>
              </w:rPr>
              <w:t>Minimum</w:t>
            </w:r>
          </w:p>
          <w:p w:rsidR="005671D9" w:rsidRPr="002375ED" w:rsidRDefault="005671D9" w:rsidP="00DA7763">
            <w:pPr>
              <w:bidi w:val="0"/>
              <w:snapToGrid w:val="0"/>
              <w:spacing w:after="0" w:line="240" w:lineRule="auto"/>
              <w:jc w:val="both"/>
              <w:rPr>
                <w:rFonts w:ascii="Times New Roman" w:hAnsi="Times New Roman" w:cs="Times New Roman"/>
                <w:b/>
                <w:bCs/>
                <w:color w:val="231F20"/>
                <w:sz w:val="18"/>
                <w:szCs w:val="18"/>
              </w:rPr>
            </w:pPr>
            <w:r w:rsidRPr="002375ED">
              <w:rPr>
                <w:rFonts w:ascii="Times New Roman" w:hAnsi="Times New Roman" w:cs="Times New Roman"/>
                <w:color w:val="231F20"/>
                <w:sz w:val="18"/>
                <w:szCs w:val="18"/>
              </w:rPr>
              <w:t>Maximum</w:t>
            </w:r>
          </w:p>
          <w:p w:rsidR="005671D9" w:rsidRPr="002375ED" w:rsidRDefault="005671D9" w:rsidP="00DA7763">
            <w:pPr>
              <w:bidi w:val="0"/>
              <w:snapToGrid w:val="0"/>
              <w:spacing w:after="0" w:line="240" w:lineRule="auto"/>
              <w:jc w:val="both"/>
              <w:rPr>
                <w:rFonts w:ascii="Times New Roman" w:hAnsi="Times New Roman" w:cs="Times New Roman"/>
                <w:b/>
                <w:bCs/>
                <w:color w:val="231F20"/>
                <w:sz w:val="18"/>
                <w:szCs w:val="18"/>
              </w:rPr>
            </w:pPr>
            <w:r w:rsidRPr="002375ED">
              <w:rPr>
                <w:rFonts w:ascii="Times New Roman" w:hAnsi="Times New Roman" w:cs="Times New Roman"/>
                <w:color w:val="231F20"/>
                <w:sz w:val="18"/>
                <w:szCs w:val="18"/>
              </w:rPr>
              <w:t>Median</w:t>
            </w:r>
          </w:p>
        </w:tc>
        <w:tc>
          <w:tcPr>
            <w:tcW w:w="1049" w:type="pct"/>
            <w:gridSpan w:val="2"/>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 xml:space="preserve">21.6 </w:t>
            </w:r>
            <w:proofErr w:type="spellStart"/>
            <w:r w:rsidRPr="002375ED">
              <w:rPr>
                <w:rFonts w:ascii="Times New Roman" w:hAnsi="Times New Roman" w:cs="Times New Roman"/>
                <w:sz w:val="18"/>
                <w:szCs w:val="18"/>
              </w:rPr>
              <w:t>Gy</w:t>
            </w:r>
            <w:proofErr w:type="spellEnd"/>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 xml:space="preserve">55.8 </w:t>
            </w:r>
            <w:proofErr w:type="spellStart"/>
            <w:r w:rsidRPr="002375ED">
              <w:rPr>
                <w:rFonts w:ascii="Times New Roman" w:hAnsi="Times New Roman" w:cs="Times New Roman"/>
                <w:sz w:val="18"/>
                <w:szCs w:val="18"/>
              </w:rPr>
              <w:t>Gy</w:t>
            </w:r>
            <w:proofErr w:type="spellEnd"/>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 xml:space="preserve">43.2 </w:t>
            </w:r>
            <w:proofErr w:type="spellStart"/>
            <w:r w:rsidRPr="002375ED">
              <w:rPr>
                <w:rFonts w:ascii="Times New Roman" w:hAnsi="Times New Roman" w:cs="Times New Roman"/>
                <w:sz w:val="18"/>
                <w:szCs w:val="18"/>
              </w:rPr>
              <w:t>Gy</w:t>
            </w:r>
            <w:proofErr w:type="spellEnd"/>
          </w:p>
        </w:tc>
      </w:tr>
      <w:tr w:rsidR="005671D9" w:rsidRPr="002375ED" w:rsidTr="002375ED">
        <w:trPr>
          <w:jc w:val="center"/>
        </w:trPr>
        <w:tc>
          <w:tcPr>
            <w:tcW w:w="3951" w:type="pct"/>
            <w:vAlign w:val="center"/>
          </w:tcPr>
          <w:p w:rsidR="005671D9" w:rsidRPr="002375ED" w:rsidRDefault="005671D9" w:rsidP="00DA7763">
            <w:pPr>
              <w:bidi w:val="0"/>
              <w:snapToGrid w:val="0"/>
              <w:spacing w:after="0" w:line="240" w:lineRule="auto"/>
              <w:jc w:val="both"/>
              <w:rPr>
                <w:rFonts w:ascii="Times New Roman" w:hAnsi="Times New Roman" w:cs="Times New Roman"/>
                <w:b/>
                <w:bCs/>
                <w:color w:val="231F20"/>
                <w:sz w:val="18"/>
                <w:szCs w:val="18"/>
              </w:rPr>
            </w:pPr>
            <w:r w:rsidRPr="002375ED">
              <w:rPr>
                <w:rFonts w:ascii="Times New Roman" w:hAnsi="Times New Roman" w:cs="Times New Roman"/>
                <w:b/>
                <w:bCs/>
                <w:sz w:val="18"/>
                <w:szCs w:val="18"/>
              </w:rPr>
              <w:t>CMT; chemotherapy</w:t>
            </w:r>
            <w:r w:rsidRPr="002375ED">
              <w:rPr>
                <w:rFonts w:ascii="Times New Roman" w:hAnsi="Times New Roman" w:cs="Times New Roman"/>
                <w:b/>
                <w:bCs/>
                <w:color w:val="231F20"/>
                <w:sz w:val="18"/>
                <w:szCs w:val="18"/>
              </w:rPr>
              <w:t xml:space="preserve"> regimen </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color w:val="231F20"/>
                <w:sz w:val="18"/>
                <w:szCs w:val="18"/>
              </w:rPr>
              <w:t>CHOP</w:t>
            </w:r>
          </w:p>
          <w:p w:rsidR="005671D9" w:rsidRPr="002375ED" w:rsidRDefault="005671D9" w:rsidP="00DA7763">
            <w:pPr>
              <w:bidi w:val="0"/>
              <w:snapToGrid w:val="0"/>
              <w:spacing w:after="0" w:line="240" w:lineRule="auto"/>
              <w:jc w:val="both"/>
              <w:rPr>
                <w:rFonts w:ascii="Times New Roman" w:hAnsi="Times New Roman" w:cs="Times New Roman"/>
                <w:b/>
                <w:bCs/>
                <w:color w:val="231F20"/>
                <w:sz w:val="18"/>
                <w:szCs w:val="18"/>
              </w:rPr>
            </w:pPr>
            <w:r w:rsidRPr="002375ED">
              <w:rPr>
                <w:rFonts w:ascii="Times New Roman" w:hAnsi="Times New Roman" w:cs="Times New Roman"/>
                <w:sz w:val="18"/>
                <w:szCs w:val="18"/>
              </w:rPr>
              <w:t>R</w:t>
            </w:r>
            <w:r w:rsidRPr="002375ED">
              <w:rPr>
                <w:rFonts w:ascii="Times New Roman" w:hAnsi="Times New Roman" w:cs="Times New Roman"/>
                <w:color w:val="231F20"/>
                <w:sz w:val="18"/>
                <w:szCs w:val="18"/>
              </w:rPr>
              <w:t xml:space="preserve"> CHOP</w:t>
            </w:r>
          </w:p>
        </w:tc>
        <w:tc>
          <w:tcPr>
            <w:tcW w:w="1049" w:type="pct"/>
            <w:gridSpan w:val="2"/>
            <w:vAlign w:val="center"/>
          </w:tcPr>
          <w:p w:rsidR="005671D9" w:rsidRPr="002375ED" w:rsidRDefault="005671D9" w:rsidP="00DA7763">
            <w:pPr>
              <w:bidi w:val="0"/>
              <w:snapToGrid w:val="0"/>
              <w:spacing w:after="0" w:line="240" w:lineRule="auto"/>
              <w:jc w:val="both"/>
              <w:rPr>
                <w:rFonts w:ascii="Times New Roman" w:hAnsi="Times New Roman" w:cs="Times New Roman"/>
                <w:sz w:val="18"/>
                <w:szCs w:val="18"/>
              </w:rPr>
            </w:pP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8</w:t>
            </w:r>
          </w:p>
          <w:p w:rsidR="005671D9" w:rsidRPr="002375ED" w:rsidRDefault="005671D9" w:rsidP="00DA7763">
            <w:pPr>
              <w:bidi w:val="0"/>
              <w:snapToGrid w:val="0"/>
              <w:spacing w:after="0" w:line="240" w:lineRule="auto"/>
              <w:jc w:val="both"/>
              <w:rPr>
                <w:rFonts w:ascii="Times New Roman" w:hAnsi="Times New Roman" w:cs="Times New Roman"/>
                <w:sz w:val="18"/>
                <w:szCs w:val="18"/>
              </w:rPr>
            </w:pPr>
            <w:r w:rsidRPr="002375ED">
              <w:rPr>
                <w:rFonts w:ascii="Times New Roman" w:hAnsi="Times New Roman" w:cs="Times New Roman"/>
                <w:sz w:val="18"/>
                <w:szCs w:val="18"/>
              </w:rPr>
              <w:t>5</w:t>
            </w:r>
          </w:p>
        </w:tc>
      </w:tr>
    </w:tbl>
    <w:p w:rsidR="00DE7B90"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 xml:space="preserve">ECOG; Eastern Cooperative Oncology Group, LDH; Lactate </w:t>
      </w:r>
      <w:proofErr w:type="spellStart"/>
      <w:r w:rsidRPr="002375ED">
        <w:rPr>
          <w:rFonts w:ascii="Times New Roman" w:hAnsi="Times New Roman" w:cs="Times New Roman"/>
          <w:sz w:val="20"/>
          <w:szCs w:val="20"/>
        </w:rPr>
        <w:t>dehydrogenase</w:t>
      </w:r>
      <w:proofErr w:type="spellEnd"/>
      <w:r w:rsidRPr="002375ED">
        <w:rPr>
          <w:rFonts w:ascii="Times New Roman" w:hAnsi="Times New Roman" w:cs="Times New Roman"/>
          <w:sz w:val="20"/>
          <w:szCs w:val="20"/>
        </w:rPr>
        <w:t xml:space="preserve">, CMT; Combined modality </w:t>
      </w:r>
      <w:proofErr w:type="spellStart"/>
      <w:r w:rsidRPr="002375ED">
        <w:rPr>
          <w:rFonts w:ascii="Times New Roman" w:hAnsi="Times New Roman" w:cs="Times New Roman"/>
          <w:sz w:val="20"/>
          <w:szCs w:val="20"/>
        </w:rPr>
        <w:t>treatm</w:t>
      </w:r>
      <w:proofErr w:type="spellEnd"/>
    </w:p>
    <w:p w:rsidR="002375ED" w:rsidRDefault="002375ED" w:rsidP="00DA7763">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2375ED" w:rsidRDefault="002375ED" w:rsidP="002375ED">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sectPr w:rsidR="002375ED" w:rsidSect="002375ED">
          <w:type w:val="continuous"/>
          <w:pgSz w:w="12242" w:h="15842" w:code="1"/>
          <w:pgMar w:top="1440" w:right="1440" w:bottom="1440" w:left="1440" w:header="720" w:footer="720" w:gutter="0"/>
          <w:cols w:space="550"/>
          <w:docGrid w:linePitch="360"/>
        </w:sectPr>
      </w:pPr>
    </w:p>
    <w:p w:rsidR="00DA7763" w:rsidRPr="002375ED" w:rsidRDefault="00DA7763" w:rsidP="00DA7763">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375ED">
        <w:rPr>
          <w:rFonts w:ascii="Times New Roman" w:hAnsi="Times New Roman" w:cs="Times New Roman"/>
          <w:sz w:val="20"/>
          <w:szCs w:val="20"/>
          <w:lang w:bidi="ar-EG"/>
        </w:rPr>
        <w:lastRenderedPageBreak/>
        <w:t>The majority of the study cohort (73.9%</w:t>
      </w:r>
      <w:r w:rsidRPr="002375ED">
        <w:rPr>
          <w:rFonts w:ascii="Times New Roman" w:hAnsi="Times New Roman" w:cs="Times New Roman"/>
          <w:sz w:val="20"/>
          <w:szCs w:val="20"/>
        </w:rPr>
        <w:t xml:space="preserve">) </w:t>
      </w:r>
      <w:r w:rsidRPr="002375ED">
        <w:rPr>
          <w:rFonts w:ascii="Times New Roman" w:hAnsi="Times New Roman" w:cs="Times New Roman"/>
          <w:sz w:val="20"/>
          <w:szCs w:val="20"/>
          <w:lang w:bidi="ar-EG"/>
        </w:rPr>
        <w:t xml:space="preserve">presented with stage I disease where </w:t>
      </w:r>
      <w:r w:rsidRPr="002375ED">
        <w:rPr>
          <w:rFonts w:ascii="Times New Roman" w:hAnsi="Times New Roman" w:cs="Times New Roman"/>
          <w:sz w:val="20"/>
          <w:szCs w:val="20"/>
        </w:rPr>
        <w:t>stage IV was reported in 17.4%</w:t>
      </w:r>
      <w:r w:rsidRPr="002375ED">
        <w:rPr>
          <w:rFonts w:ascii="Times New Roman" w:hAnsi="Times New Roman" w:cs="Times New Roman"/>
          <w:sz w:val="20"/>
          <w:szCs w:val="20"/>
          <w:lang w:bidi="ar-EG"/>
        </w:rPr>
        <w:t>.</w:t>
      </w:r>
      <w:r w:rsidRPr="002375ED">
        <w:rPr>
          <w:rFonts w:ascii="Times New Roman" w:hAnsi="Times New Roman" w:cs="Times New Roman"/>
          <w:sz w:val="20"/>
          <w:szCs w:val="20"/>
        </w:rPr>
        <w:t xml:space="preserve"> </w:t>
      </w:r>
      <w:r w:rsidRPr="002375ED">
        <w:rPr>
          <w:rFonts w:ascii="Times New Roman" w:hAnsi="Times New Roman" w:cs="Times New Roman"/>
          <w:color w:val="231F20"/>
          <w:sz w:val="20"/>
          <w:szCs w:val="20"/>
        </w:rPr>
        <w:t>Most patients had a low IPI score, with 20 patients (86.9%) having an IPI score of ≤ 2.</w:t>
      </w:r>
      <w:r w:rsidRPr="002375ED">
        <w:rPr>
          <w:rFonts w:ascii="Times New Roman" w:hAnsi="Times New Roman" w:cs="Times New Roman"/>
          <w:sz w:val="20"/>
          <w:szCs w:val="20"/>
        </w:rPr>
        <w:t xml:space="preserve"> Pain was the main presenting symptom in most cases (60.9%), followed</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by mass in 3 patients (13.1%).</w:t>
      </w:r>
      <w:r w:rsidRPr="002375ED">
        <w:rPr>
          <w:rFonts w:ascii="Times New Roman" w:hAnsi="Times New Roman" w:cs="Times New Roman"/>
          <w:sz w:val="20"/>
          <w:szCs w:val="20"/>
          <w:vertAlign w:val="superscript"/>
        </w:rPr>
        <w:t xml:space="preserve"> </w:t>
      </w:r>
    </w:p>
    <w:p w:rsidR="005671D9" w:rsidRPr="002375ED" w:rsidRDefault="005671D9" w:rsidP="00DA7763">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375ED">
        <w:rPr>
          <w:rFonts w:ascii="Times New Roman" w:hAnsi="Times New Roman" w:cs="Times New Roman"/>
          <w:sz w:val="20"/>
          <w:szCs w:val="20"/>
        </w:rPr>
        <w:t>Bone fracture was encountered in PBL in femur in 2 patients (8.7%). (Table2). Median time from onset</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of symptoms to diagnosis was the longest for </w:t>
      </w:r>
      <w:proofErr w:type="spellStart"/>
      <w:r w:rsidRPr="002375ED">
        <w:rPr>
          <w:rFonts w:ascii="Times New Roman" w:hAnsi="Times New Roman" w:cs="Times New Roman"/>
          <w:color w:val="231F20"/>
          <w:sz w:val="20"/>
          <w:szCs w:val="20"/>
        </w:rPr>
        <w:t>polyostotic</w:t>
      </w:r>
      <w:proofErr w:type="spellEnd"/>
      <w:r w:rsidRPr="002375ED">
        <w:rPr>
          <w:rFonts w:ascii="Times New Roman" w:hAnsi="Times New Roman" w:cs="Times New Roman"/>
          <w:sz w:val="20"/>
          <w:szCs w:val="20"/>
        </w:rPr>
        <w:t xml:space="preserve"> involvement (65 days) and as compared to 35 days in PBL of the femur. Thirteen (56.5%) patients had received combined modality therapy (CMT). </w:t>
      </w:r>
    </w:p>
    <w:p w:rsidR="005671D9" w:rsidRPr="002375ED" w:rsidRDefault="005671D9" w:rsidP="00DA7763">
      <w:pPr>
        <w:bidi w:val="0"/>
        <w:snapToGrid w:val="0"/>
        <w:spacing w:after="0" w:line="240" w:lineRule="auto"/>
        <w:jc w:val="both"/>
        <w:rPr>
          <w:rFonts w:ascii="Times New Roman" w:hAnsi="Times New Roman" w:cs="Times New Roman"/>
          <w:sz w:val="20"/>
          <w:szCs w:val="20"/>
        </w:rPr>
      </w:pPr>
      <w:r w:rsidRPr="002375ED">
        <w:rPr>
          <w:rStyle w:val="Strong"/>
          <w:rFonts w:ascii="Times New Roman" w:hAnsi="Times New Roman"/>
          <w:bCs/>
          <w:sz w:val="20"/>
          <w:szCs w:val="20"/>
        </w:rPr>
        <w:t>Received treatment:</w:t>
      </w:r>
    </w:p>
    <w:p w:rsidR="005671D9" w:rsidRPr="002375ED" w:rsidRDefault="005671D9" w:rsidP="00DA7763">
      <w:pPr>
        <w:pStyle w:val="NormalWeb"/>
        <w:snapToGrid w:val="0"/>
        <w:spacing w:before="0" w:beforeAutospacing="0" w:after="0" w:afterAutospacing="0"/>
        <w:ind w:firstLine="425"/>
        <w:jc w:val="both"/>
        <w:rPr>
          <w:sz w:val="20"/>
          <w:szCs w:val="20"/>
        </w:rPr>
      </w:pPr>
      <w:r w:rsidRPr="002375ED">
        <w:rPr>
          <w:sz w:val="20"/>
          <w:szCs w:val="20"/>
        </w:rPr>
        <w:t>Most patients (83.3%</w:t>
      </w:r>
      <w:r w:rsidRPr="002375ED">
        <w:rPr>
          <w:sz w:val="20"/>
          <w:szCs w:val="20"/>
          <w:vertAlign w:val="superscript"/>
        </w:rPr>
        <w:t xml:space="preserve"> </w:t>
      </w:r>
      <w:r w:rsidRPr="002375ED">
        <w:rPr>
          <w:sz w:val="20"/>
          <w:szCs w:val="20"/>
        </w:rPr>
        <w:t>in the</w:t>
      </w:r>
      <w:r w:rsidRPr="002375ED">
        <w:rPr>
          <w:b/>
          <w:bCs/>
          <w:i/>
          <w:iCs/>
          <w:sz w:val="20"/>
          <w:szCs w:val="20"/>
        </w:rPr>
        <w:t xml:space="preserve"> </w:t>
      </w:r>
      <w:r w:rsidRPr="002375ED">
        <w:rPr>
          <w:sz w:val="20"/>
          <w:szCs w:val="20"/>
        </w:rPr>
        <w:t>chemotherapy alone arm, 75%</w:t>
      </w:r>
      <w:r w:rsidRPr="002375ED">
        <w:rPr>
          <w:sz w:val="20"/>
          <w:szCs w:val="20"/>
          <w:vertAlign w:val="superscript"/>
        </w:rPr>
        <w:t xml:space="preserve"> </w:t>
      </w:r>
      <w:r w:rsidRPr="002375ED">
        <w:rPr>
          <w:sz w:val="20"/>
          <w:szCs w:val="20"/>
        </w:rPr>
        <w:t>in the</w:t>
      </w:r>
      <w:r w:rsidRPr="002375ED">
        <w:rPr>
          <w:b/>
          <w:bCs/>
          <w:i/>
          <w:iCs/>
          <w:sz w:val="20"/>
          <w:szCs w:val="20"/>
        </w:rPr>
        <w:t xml:space="preserve"> </w:t>
      </w:r>
      <w:r w:rsidRPr="002375ED">
        <w:rPr>
          <w:sz w:val="20"/>
          <w:szCs w:val="20"/>
        </w:rPr>
        <w:t>radiotherapy alone arm, and 76.9% in the CMT arm) received</w:t>
      </w:r>
      <w:r w:rsidRPr="002375ED">
        <w:rPr>
          <w:sz w:val="20"/>
          <w:szCs w:val="20"/>
          <w:vertAlign w:val="superscript"/>
        </w:rPr>
        <w:t xml:space="preserve"> </w:t>
      </w:r>
      <w:r w:rsidRPr="002375ED">
        <w:rPr>
          <w:sz w:val="20"/>
          <w:szCs w:val="20"/>
        </w:rPr>
        <w:t>the full dose of the scheduled treatment protocols. Treatment delays of seven days or more happened more often in the CMT arm than in the radiotherapy alone arm and the</w:t>
      </w:r>
      <w:r w:rsidRPr="002375ED">
        <w:rPr>
          <w:b/>
          <w:bCs/>
          <w:i/>
          <w:iCs/>
          <w:sz w:val="20"/>
          <w:szCs w:val="20"/>
        </w:rPr>
        <w:t xml:space="preserve"> </w:t>
      </w:r>
      <w:r w:rsidRPr="002375ED">
        <w:rPr>
          <w:sz w:val="20"/>
          <w:szCs w:val="20"/>
        </w:rPr>
        <w:t>chemotherapy alone arm (only 1 patient in the chemotherapy alone arm compared to 2 patients in the CMT arm) but without</w:t>
      </w:r>
      <w:r w:rsidRPr="002375ED">
        <w:rPr>
          <w:sz w:val="20"/>
          <w:szCs w:val="20"/>
          <w:vertAlign w:val="superscript"/>
        </w:rPr>
        <w:t xml:space="preserve"> </w:t>
      </w:r>
      <w:r w:rsidRPr="002375ED">
        <w:rPr>
          <w:sz w:val="20"/>
          <w:szCs w:val="20"/>
        </w:rPr>
        <w:t>statistically</w:t>
      </w:r>
      <w:r w:rsidRPr="002375ED">
        <w:rPr>
          <w:sz w:val="20"/>
          <w:szCs w:val="20"/>
          <w:vertAlign w:val="superscript"/>
        </w:rPr>
        <w:t xml:space="preserve"> </w:t>
      </w:r>
      <w:r w:rsidRPr="002375ED">
        <w:rPr>
          <w:sz w:val="20"/>
          <w:szCs w:val="20"/>
        </w:rPr>
        <w:t>significant difference (p = 0.94), (Table 3). Dose reductions were not often. Overall, only 5 patients (21.7%, 5/23) received at least one dose reduction (Table</w:t>
      </w:r>
      <w:r w:rsidRPr="002375ED">
        <w:rPr>
          <w:sz w:val="20"/>
          <w:szCs w:val="20"/>
          <w:vertAlign w:val="superscript"/>
        </w:rPr>
        <w:t xml:space="preserve"> </w:t>
      </w:r>
      <w:r w:rsidRPr="002375ED">
        <w:rPr>
          <w:sz w:val="20"/>
          <w:szCs w:val="20"/>
        </w:rPr>
        <w:t>3). There was no statistically significant difference between</w:t>
      </w:r>
      <w:r w:rsidRPr="002375ED">
        <w:rPr>
          <w:sz w:val="20"/>
          <w:szCs w:val="20"/>
          <w:vertAlign w:val="superscript"/>
        </w:rPr>
        <w:t xml:space="preserve"> </w:t>
      </w:r>
      <w:r w:rsidRPr="002375ED">
        <w:rPr>
          <w:sz w:val="20"/>
          <w:szCs w:val="20"/>
        </w:rPr>
        <w:t>the treatment arms in the percentage of patients with dose reductions</w:t>
      </w:r>
      <w:r w:rsidRPr="002375ED">
        <w:rPr>
          <w:sz w:val="20"/>
          <w:szCs w:val="20"/>
          <w:vertAlign w:val="superscript"/>
        </w:rPr>
        <w:t xml:space="preserve"> </w:t>
      </w:r>
      <w:r w:rsidRPr="002375ED">
        <w:rPr>
          <w:sz w:val="20"/>
          <w:szCs w:val="20"/>
        </w:rPr>
        <w:t>(25% in the radiotherapy alone arm compared to</w:t>
      </w:r>
      <w:r w:rsidR="00DE7B90" w:rsidRPr="002375ED">
        <w:rPr>
          <w:sz w:val="20"/>
          <w:szCs w:val="20"/>
        </w:rPr>
        <w:t xml:space="preserve"> </w:t>
      </w:r>
      <w:r w:rsidRPr="002375ED">
        <w:rPr>
          <w:sz w:val="20"/>
          <w:szCs w:val="20"/>
        </w:rPr>
        <w:t>16.7% in the</w:t>
      </w:r>
      <w:r w:rsidRPr="002375ED">
        <w:rPr>
          <w:b/>
          <w:bCs/>
          <w:i/>
          <w:iCs/>
          <w:sz w:val="20"/>
          <w:szCs w:val="20"/>
        </w:rPr>
        <w:t xml:space="preserve"> </w:t>
      </w:r>
      <w:r w:rsidRPr="002375ED">
        <w:rPr>
          <w:sz w:val="20"/>
          <w:szCs w:val="20"/>
        </w:rPr>
        <w:t>chemotherapy alone arm and 23.1% in the CMT arm; p = 0.98).</w:t>
      </w:r>
      <w:r w:rsidRPr="002375ED">
        <w:rPr>
          <w:sz w:val="20"/>
          <w:szCs w:val="20"/>
          <w:vertAlign w:val="superscript"/>
        </w:rPr>
        <w:t xml:space="preserve"> </w:t>
      </w:r>
      <w:r w:rsidRPr="002375ED">
        <w:rPr>
          <w:sz w:val="20"/>
          <w:szCs w:val="20"/>
        </w:rPr>
        <w:t>The mean radiotherapy doses for all patients in the radiotherapy alone and CMT arms</w:t>
      </w:r>
      <w:r w:rsidRPr="002375ED">
        <w:rPr>
          <w:sz w:val="20"/>
          <w:szCs w:val="20"/>
          <w:vertAlign w:val="superscript"/>
        </w:rPr>
        <w:t xml:space="preserve"> </w:t>
      </w:r>
      <w:r w:rsidRPr="002375ED">
        <w:rPr>
          <w:sz w:val="20"/>
          <w:szCs w:val="20"/>
        </w:rPr>
        <w:t xml:space="preserve">were 44 </w:t>
      </w:r>
      <w:proofErr w:type="spellStart"/>
      <w:r w:rsidRPr="002375ED">
        <w:rPr>
          <w:sz w:val="20"/>
          <w:szCs w:val="20"/>
        </w:rPr>
        <w:t>Gy</w:t>
      </w:r>
      <w:proofErr w:type="spellEnd"/>
      <w:r w:rsidRPr="002375ED">
        <w:rPr>
          <w:sz w:val="20"/>
          <w:szCs w:val="20"/>
        </w:rPr>
        <w:t xml:space="preserve"> and 43.2 </w:t>
      </w:r>
      <w:proofErr w:type="spellStart"/>
      <w:r w:rsidRPr="002375ED">
        <w:rPr>
          <w:sz w:val="20"/>
          <w:szCs w:val="20"/>
        </w:rPr>
        <w:t>Gy</w:t>
      </w:r>
      <w:proofErr w:type="spellEnd"/>
      <w:r w:rsidRPr="002375ED">
        <w:rPr>
          <w:sz w:val="20"/>
          <w:szCs w:val="20"/>
        </w:rPr>
        <w:t xml:space="preserve"> respectively. </w:t>
      </w:r>
      <w:r w:rsidRPr="002375ED">
        <w:rPr>
          <w:b/>
          <w:bCs/>
          <w:sz w:val="20"/>
          <w:szCs w:val="20"/>
        </w:rPr>
        <w:tab/>
      </w:r>
    </w:p>
    <w:p w:rsidR="00DA7763" w:rsidRPr="002375ED" w:rsidRDefault="005671D9" w:rsidP="00DA7763">
      <w:pPr>
        <w:pStyle w:val="NormalWeb"/>
        <w:snapToGrid w:val="0"/>
        <w:spacing w:before="0" w:beforeAutospacing="0" w:after="0" w:afterAutospacing="0"/>
        <w:jc w:val="both"/>
        <w:rPr>
          <w:rStyle w:val="Strong"/>
          <w:bCs/>
          <w:sz w:val="20"/>
          <w:szCs w:val="20"/>
        </w:rPr>
      </w:pPr>
      <w:r w:rsidRPr="002375ED">
        <w:rPr>
          <w:rStyle w:val="Strong"/>
          <w:bCs/>
          <w:sz w:val="20"/>
          <w:szCs w:val="20"/>
        </w:rPr>
        <w:t xml:space="preserve">Response to Treatment </w:t>
      </w:r>
    </w:p>
    <w:p w:rsidR="005671D9" w:rsidRPr="002375ED" w:rsidRDefault="005671D9" w:rsidP="00DA7763">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pPr>
      <w:r w:rsidRPr="002375ED">
        <w:rPr>
          <w:rFonts w:ascii="Times New Roman" w:hAnsi="Times New Roman" w:cs="Times New Roman"/>
          <w:sz w:val="20"/>
          <w:szCs w:val="20"/>
        </w:rPr>
        <w:t>The overall response rate (CR+PR) was 82.6% (19/23) of all patients and the disease control rate (CR+PR+SD)</w:t>
      </w:r>
      <w:r w:rsidRPr="002375ED">
        <w:rPr>
          <w:rFonts w:ascii="Times New Roman" w:hAnsi="Times New Roman" w:cs="Times New Roman"/>
          <w:sz w:val="20"/>
          <w:szCs w:val="20"/>
          <w:lang w:bidi="ar-EG"/>
        </w:rPr>
        <w:t xml:space="preserve"> </w:t>
      </w:r>
      <w:r w:rsidRPr="002375ED">
        <w:rPr>
          <w:rFonts w:ascii="Times New Roman" w:hAnsi="Times New Roman" w:cs="Times New Roman"/>
          <w:sz w:val="20"/>
          <w:szCs w:val="20"/>
        </w:rPr>
        <w:t xml:space="preserve">was </w:t>
      </w:r>
      <w:r w:rsidRPr="002375ED">
        <w:rPr>
          <w:rFonts w:ascii="Times New Roman" w:hAnsi="Times New Roman" w:cs="Times New Roman"/>
          <w:sz w:val="20"/>
          <w:szCs w:val="20"/>
          <w:lang w:bidi="ar-EG"/>
        </w:rPr>
        <w:t xml:space="preserve">86.9% (20 patients). Seventeen patients (73.9%) developed complete </w:t>
      </w:r>
      <w:r w:rsidRPr="002375ED">
        <w:rPr>
          <w:rFonts w:ascii="Times New Roman" w:hAnsi="Times New Roman" w:cs="Times New Roman"/>
          <w:sz w:val="20"/>
          <w:szCs w:val="20"/>
        </w:rPr>
        <w:t>response</w:t>
      </w:r>
      <w:r w:rsidRPr="002375ED">
        <w:rPr>
          <w:rFonts w:ascii="Times New Roman" w:hAnsi="Times New Roman" w:cs="Times New Roman"/>
          <w:sz w:val="20"/>
          <w:szCs w:val="20"/>
          <w:lang w:bidi="ar-EG"/>
        </w:rPr>
        <w:t xml:space="preserve"> and 3 patients (13.1%) had disease progression </w:t>
      </w:r>
      <w:r w:rsidRPr="002375ED">
        <w:rPr>
          <w:rFonts w:ascii="Times New Roman" w:hAnsi="Times New Roman" w:cs="Times New Roman"/>
          <w:sz w:val="20"/>
          <w:szCs w:val="20"/>
        </w:rPr>
        <w:t>(Table</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4)</w:t>
      </w:r>
      <w:r w:rsidRPr="002375ED">
        <w:rPr>
          <w:rFonts w:ascii="Times New Roman" w:hAnsi="Times New Roman" w:cs="Times New Roman"/>
          <w:sz w:val="20"/>
          <w:szCs w:val="20"/>
          <w:lang w:bidi="ar-EG"/>
        </w:rPr>
        <w:t>.</w:t>
      </w:r>
      <w:r w:rsidR="00DE7B90" w:rsidRPr="002375ED">
        <w:rPr>
          <w:rFonts w:ascii="Times New Roman" w:hAnsi="Times New Roman" w:cs="Times New Roman"/>
          <w:sz w:val="20"/>
          <w:szCs w:val="20"/>
          <w:lang w:val="en-GB" w:bidi="ar-EG"/>
        </w:rPr>
        <w:t xml:space="preserve"> </w:t>
      </w:r>
      <w:r w:rsidRPr="002375ED">
        <w:rPr>
          <w:rFonts w:ascii="Times New Roman" w:hAnsi="Times New Roman" w:cs="Times New Roman"/>
          <w:sz w:val="20"/>
          <w:szCs w:val="20"/>
        </w:rPr>
        <w:t>No patients went through amputations.</w:t>
      </w:r>
    </w:p>
    <w:p w:rsidR="005671D9" w:rsidRPr="002375ED" w:rsidRDefault="005671D9" w:rsidP="00DA7763">
      <w:pPr>
        <w:bidi w:val="0"/>
        <w:snapToGrid w:val="0"/>
        <w:spacing w:after="0" w:line="240" w:lineRule="auto"/>
        <w:jc w:val="both"/>
        <w:rPr>
          <w:rFonts w:ascii="Times New Roman" w:hAnsi="Times New Roman" w:cs="Times New Roman"/>
          <w:sz w:val="20"/>
          <w:szCs w:val="20"/>
          <w:lang w:bidi="ar-EG"/>
        </w:rPr>
      </w:pPr>
      <w:r w:rsidRPr="002375ED">
        <w:rPr>
          <w:rFonts w:ascii="Times New Roman" w:hAnsi="Times New Roman" w:cs="Times New Roman"/>
          <w:b/>
          <w:bCs/>
          <w:sz w:val="20"/>
          <w:szCs w:val="20"/>
        </w:rPr>
        <w:t>Survival</w:t>
      </w:r>
    </w:p>
    <w:p w:rsidR="005671D9" w:rsidRPr="002375ED" w:rsidRDefault="005671D9" w:rsidP="00DA7763">
      <w:pPr>
        <w:pStyle w:val="NormalWeb"/>
        <w:snapToGrid w:val="0"/>
        <w:spacing w:before="0" w:beforeAutospacing="0" w:after="0" w:afterAutospacing="0"/>
        <w:ind w:firstLine="425"/>
        <w:jc w:val="both"/>
        <w:rPr>
          <w:sz w:val="20"/>
          <w:szCs w:val="20"/>
          <w:vertAlign w:val="superscript"/>
        </w:rPr>
      </w:pPr>
      <w:r w:rsidRPr="002375ED">
        <w:rPr>
          <w:sz w:val="20"/>
          <w:szCs w:val="20"/>
        </w:rPr>
        <w:t>All our patients were followed up regularly, with no one had lost follow up in this study. Patients were followed for a median of 132 months, range; 1 – 180 months (SD = ± 36.6</w:t>
      </w:r>
      <w:r w:rsidRPr="002375ED">
        <w:rPr>
          <w:sz w:val="20"/>
          <w:szCs w:val="20"/>
          <w:vertAlign w:val="superscript"/>
        </w:rPr>
        <w:t xml:space="preserve"> </w:t>
      </w:r>
      <w:r w:rsidRPr="002375ED">
        <w:rPr>
          <w:sz w:val="20"/>
          <w:szCs w:val="20"/>
        </w:rPr>
        <w:t xml:space="preserve">months). The 5-year and 15-year DFS rate were 82.4% and 64.7%, respectively (Fig.1). The 5-year and 15-year OS rate were 82.6% and 69.6%, respectively (Fig.2). </w:t>
      </w:r>
    </w:p>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Prognostic Factors</w:t>
      </w:r>
    </w:p>
    <w:p w:rsidR="005671D9" w:rsidRPr="002375ED" w:rsidRDefault="005671D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 xml:space="preserve">On </w:t>
      </w:r>
      <w:proofErr w:type="spellStart"/>
      <w:r w:rsidRPr="002375ED">
        <w:rPr>
          <w:rFonts w:ascii="Times New Roman" w:hAnsi="Times New Roman" w:cs="Times New Roman"/>
          <w:sz w:val="20"/>
          <w:szCs w:val="20"/>
        </w:rPr>
        <w:t>univariate</w:t>
      </w:r>
      <w:proofErr w:type="spellEnd"/>
      <w:r w:rsidRPr="002375ED">
        <w:rPr>
          <w:rFonts w:ascii="Times New Roman" w:hAnsi="Times New Roman" w:cs="Times New Roman"/>
          <w:sz w:val="20"/>
          <w:szCs w:val="20"/>
        </w:rPr>
        <w:t xml:space="preserve"> analysis, IPI score did not significantly affect OS (P = 0.18), cancer-specific survival (CSS) (P = 0.34), or FFTF (P = 0.21). Freedom-from treatment failure (FFTF) was significantly higher in patients with normal LDH level </w:t>
      </w:r>
      <w:r w:rsidRPr="002375ED">
        <w:rPr>
          <w:rFonts w:ascii="Times New Roman" w:hAnsi="Times New Roman" w:cs="Times New Roman"/>
          <w:sz w:val="20"/>
          <w:szCs w:val="20"/>
        </w:rPr>
        <w:lastRenderedPageBreak/>
        <w:t xml:space="preserve">(P = 0.001), female patients (P = 0.001), patients with ECOG performance status &lt; 2 (P = 0.001), patients with </w:t>
      </w:r>
      <w:proofErr w:type="spellStart"/>
      <w:r w:rsidRPr="002375ED">
        <w:rPr>
          <w:rFonts w:ascii="Times New Roman" w:hAnsi="Times New Roman" w:cs="Times New Roman"/>
          <w:sz w:val="20"/>
          <w:szCs w:val="20"/>
        </w:rPr>
        <w:t>histopatholgical</w:t>
      </w:r>
      <w:proofErr w:type="spellEnd"/>
      <w:r w:rsidRPr="002375ED">
        <w:rPr>
          <w:rFonts w:ascii="Times New Roman" w:hAnsi="Times New Roman" w:cs="Times New Roman"/>
          <w:sz w:val="20"/>
          <w:szCs w:val="20"/>
        </w:rPr>
        <w:t xml:space="preserve"> low grade tumors (P = &lt; 0.0001), and in patients who had received combined modality therapy (P = 0.05).</w:t>
      </w:r>
    </w:p>
    <w:p w:rsidR="005671D9" w:rsidRPr="002375ED" w:rsidRDefault="005671D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OS was significantly higher in patients with age &lt;40 years (P = 0.003), female patients (P = 0.04), patients with lack of B symptoms (P = 0.001), patients with normal LDH level (P = &lt; 0.005), and in patients who had received combined modality therapy (P = 0.01). No differences were observed regarding CSS except for female gender (P = 0.04). On multivariate analysis, only age &lt; 40 years and the use of combined modality therapy were independent prognostic factors for better OS, CSS, and FFTF.</w:t>
      </w:r>
    </w:p>
    <w:p w:rsidR="00DA7763" w:rsidRPr="002375ED" w:rsidRDefault="005671D9" w:rsidP="00DA7763">
      <w:pPr>
        <w:bidi w:val="0"/>
        <w:snapToGrid w:val="0"/>
        <w:spacing w:after="0" w:line="240" w:lineRule="auto"/>
        <w:jc w:val="both"/>
        <w:rPr>
          <w:rFonts w:ascii="Times New Roman" w:hAnsi="Times New Roman" w:cs="Times New Roman"/>
          <w:b/>
          <w:sz w:val="20"/>
          <w:szCs w:val="20"/>
        </w:rPr>
      </w:pPr>
      <w:r w:rsidRPr="002375ED">
        <w:rPr>
          <w:rFonts w:ascii="Times New Roman" w:hAnsi="Times New Roman" w:cs="Times New Roman"/>
          <w:b/>
          <w:sz w:val="20"/>
          <w:szCs w:val="20"/>
        </w:rPr>
        <w:t>Toxicity</w:t>
      </w:r>
      <w:r w:rsidRPr="002375ED">
        <w:rPr>
          <w:rFonts w:ascii="Times New Roman" w:hAnsi="Times New Roman" w:cs="Times New Roman"/>
          <w:sz w:val="20"/>
          <w:szCs w:val="20"/>
        </w:rPr>
        <w:tab/>
      </w:r>
    </w:p>
    <w:p w:rsidR="005671D9" w:rsidRPr="002375ED" w:rsidRDefault="005671D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 xml:space="preserve">Most common grade 3-4 hematological toxicities in the combined modality therapy arm (n=13) were </w:t>
      </w:r>
      <w:proofErr w:type="spellStart"/>
      <w:r w:rsidRPr="002375ED">
        <w:rPr>
          <w:rFonts w:ascii="Times New Roman" w:hAnsi="Times New Roman" w:cs="Times New Roman"/>
          <w:sz w:val="20"/>
          <w:szCs w:val="20"/>
        </w:rPr>
        <w:t>neutropenia</w:t>
      </w:r>
      <w:proofErr w:type="spellEnd"/>
      <w:r w:rsidRPr="002375ED">
        <w:rPr>
          <w:rFonts w:ascii="Times New Roman" w:hAnsi="Times New Roman" w:cs="Times New Roman"/>
          <w:sz w:val="20"/>
          <w:szCs w:val="20"/>
        </w:rPr>
        <w:t xml:space="preserve"> in 3 patients (23.1%), with one (7.7%) patient suffered from febrile </w:t>
      </w:r>
      <w:proofErr w:type="spellStart"/>
      <w:r w:rsidRPr="002375ED">
        <w:rPr>
          <w:rFonts w:ascii="Times New Roman" w:hAnsi="Times New Roman" w:cs="Times New Roman"/>
          <w:sz w:val="20"/>
          <w:szCs w:val="20"/>
        </w:rPr>
        <w:t>neutropenia</w:t>
      </w:r>
      <w:proofErr w:type="spellEnd"/>
      <w:r w:rsidRPr="002375ED">
        <w:rPr>
          <w:rFonts w:ascii="Times New Roman" w:hAnsi="Times New Roman" w:cs="Times New Roman"/>
          <w:sz w:val="20"/>
          <w:szCs w:val="20"/>
        </w:rPr>
        <w:t>, and one (7.7%) patient developed grade 3-4 thrombocytopenia.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 xml:space="preserve">Grade 3-4 diarrhea in 3 patients (23.1%), nausea in 2 patients (15.38%) and </w:t>
      </w:r>
      <w:proofErr w:type="spellStart"/>
      <w:r w:rsidRPr="002375ED">
        <w:rPr>
          <w:rFonts w:ascii="Times New Roman" w:hAnsi="Times New Roman" w:cs="Times New Roman"/>
          <w:sz w:val="20"/>
          <w:szCs w:val="20"/>
        </w:rPr>
        <w:t>mucositis</w:t>
      </w:r>
      <w:proofErr w:type="spellEnd"/>
      <w:r w:rsidRPr="002375ED">
        <w:rPr>
          <w:rFonts w:ascii="Times New Roman" w:hAnsi="Times New Roman" w:cs="Times New Roman"/>
          <w:sz w:val="20"/>
          <w:szCs w:val="20"/>
        </w:rPr>
        <w:t xml:space="preserve"> in 1 patient (7.7%) were the most common Grade 3-4 non hematological toxicity. One patient (16.7%) had grade 3-4 </w:t>
      </w:r>
      <w:proofErr w:type="spellStart"/>
      <w:r w:rsidRPr="002375ED">
        <w:rPr>
          <w:rFonts w:ascii="Times New Roman" w:hAnsi="Times New Roman" w:cs="Times New Roman"/>
          <w:sz w:val="20"/>
          <w:szCs w:val="20"/>
        </w:rPr>
        <w:t>neutropenia</w:t>
      </w:r>
      <w:proofErr w:type="spellEnd"/>
      <w:r w:rsidRPr="002375ED">
        <w:rPr>
          <w:rFonts w:ascii="Times New Roman" w:hAnsi="Times New Roman" w:cs="Times New Roman"/>
          <w:sz w:val="20"/>
          <w:szCs w:val="20"/>
        </w:rPr>
        <w:t xml:space="preserve"> while one additional patient (16.7%) had diarrhea and another one suffered from nausea and </w:t>
      </w:r>
      <w:proofErr w:type="spellStart"/>
      <w:r w:rsidRPr="002375ED">
        <w:rPr>
          <w:rFonts w:ascii="Times New Roman" w:hAnsi="Times New Roman" w:cs="Times New Roman"/>
          <w:sz w:val="20"/>
          <w:szCs w:val="20"/>
        </w:rPr>
        <w:t>mucositis</w:t>
      </w:r>
      <w:proofErr w:type="spellEnd"/>
      <w:r w:rsidRPr="002375ED">
        <w:rPr>
          <w:rFonts w:ascii="Times New Roman" w:hAnsi="Times New Roman" w:cs="Times New Roman"/>
          <w:sz w:val="20"/>
          <w:szCs w:val="20"/>
        </w:rPr>
        <w:t xml:space="preserve"> added in later cycles in the chemotherapy arm (n=6). Only one patient had grade 3-4 diarrhea in the radiotherapy arm (n=4). Six patients from 23 (26.1%) were hospitalized for treatment-related toxicity. There was no treatment-related death.</w:t>
      </w:r>
    </w:p>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Late events after therapy</w:t>
      </w:r>
    </w:p>
    <w:p w:rsidR="00DE7B90" w:rsidRPr="002375ED" w:rsidRDefault="005671D9" w:rsidP="00DA7763">
      <w:pPr>
        <w:pStyle w:val="NormalWeb"/>
        <w:snapToGrid w:val="0"/>
        <w:spacing w:before="0" w:beforeAutospacing="0" w:after="0" w:afterAutospacing="0"/>
        <w:ind w:firstLine="425"/>
        <w:jc w:val="both"/>
        <w:rPr>
          <w:sz w:val="20"/>
          <w:szCs w:val="20"/>
        </w:rPr>
      </w:pPr>
      <w:r w:rsidRPr="002375ED">
        <w:rPr>
          <w:sz w:val="20"/>
          <w:szCs w:val="20"/>
        </w:rPr>
        <w:t>Late events after therapy were evaluated and summarized in table 6. After about 10 years of follow-up CMT produced significantly less diarrhea (p = 0.02), as well as less</w:t>
      </w:r>
      <w:r w:rsidRPr="002375ED">
        <w:rPr>
          <w:color w:val="FF0000"/>
          <w:sz w:val="20"/>
          <w:szCs w:val="20"/>
        </w:rPr>
        <w:t xml:space="preserve"> </w:t>
      </w:r>
      <w:r w:rsidRPr="002375ED">
        <w:rPr>
          <w:sz w:val="20"/>
          <w:szCs w:val="20"/>
        </w:rPr>
        <w:t>incidence of second malignancy (p = 0.001). Other late events</w:t>
      </w:r>
      <w:r w:rsidRPr="002375ED">
        <w:rPr>
          <w:b/>
          <w:bCs/>
          <w:sz w:val="20"/>
          <w:szCs w:val="20"/>
        </w:rPr>
        <w:t xml:space="preserve"> </w:t>
      </w:r>
      <w:r w:rsidRPr="002375ED">
        <w:rPr>
          <w:sz w:val="20"/>
          <w:szCs w:val="20"/>
        </w:rPr>
        <w:t>including pulmonary toxicity</w:t>
      </w:r>
      <w:r w:rsidRPr="002375ED">
        <w:rPr>
          <w:b/>
          <w:bCs/>
          <w:sz w:val="20"/>
          <w:szCs w:val="20"/>
        </w:rPr>
        <w:t xml:space="preserve"> </w:t>
      </w:r>
      <w:r w:rsidRPr="002375ED">
        <w:rPr>
          <w:sz w:val="20"/>
          <w:szCs w:val="20"/>
        </w:rPr>
        <w:t>(p = 0.11), Hypothyroidism (p = 0.07),</w:t>
      </w:r>
      <w:r w:rsidRPr="002375ED">
        <w:rPr>
          <w:b/>
          <w:bCs/>
          <w:sz w:val="20"/>
          <w:szCs w:val="20"/>
        </w:rPr>
        <w:t xml:space="preserve"> </w:t>
      </w:r>
      <w:r w:rsidRPr="002375ED">
        <w:rPr>
          <w:sz w:val="20"/>
          <w:szCs w:val="20"/>
        </w:rPr>
        <w:t>cardiac complications (p = 0.38),</w:t>
      </w:r>
      <w:r w:rsidRPr="002375ED">
        <w:rPr>
          <w:b/>
          <w:bCs/>
          <w:sz w:val="20"/>
          <w:szCs w:val="20"/>
        </w:rPr>
        <w:t xml:space="preserve"> </w:t>
      </w:r>
      <w:r w:rsidRPr="002375ED">
        <w:rPr>
          <w:sz w:val="20"/>
          <w:szCs w:val="20"/>
        </w:rPr>
        <w:t>and Hyperthyroidism (p = 0.19) were</w:t>
      </w:r>
      <w:r w:rsidRPr="002375ED">
        <w:rPr>
          <w:sz w:val="20"/>
          <w:szCs w:val="20"/>
          <w:vertAlign w:val="superscript"/>
        </w:rPr>
        <w:t xml:space="preserve"> </w:t>
      </w:r>
      <w:r w:rsidRPr="002375ED">
        <w:rPr>
          <w:sz w:val="20"/>
          <w:szCs w:val="20"/>
        </w:rPr>
        <w:t>more frequent in the radiotherapy alone arm but this difference was not</w:t>
      </w:r>
      <w:r w:rsidRPr="002375ED">
        <w:rPr>
          <w:color w:val="FF0000"/>
          <w:sz w:val="20"/>
          <w:szCs w:val="20"/>
        </w:rPr>
        <w:t xml:space="preserve"> </w:t>
      </w:r>
      <w:r w:rsidRPr="002375ED">
        <w:rPr>
          <w:sz w:val="20"/>
          <w:szCs w:val="20"/>
        </w:rPr>
        <w:t>statistically significant (all p = NS) (Table 6).</w:t>
      </w:r>
    </w:p>
    <w:p w:rsidR="005671D9" w:rsidRPr="002375ED" w:rsidRDefault="005671D9" w:rsidP="00DA7763">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5671D9" w:rsidRPr="002375ED" w:rsidRDefault="005671D9" w:rsidP="00DA7763">
      <w:pPr>
        <w:autoSpaceDE w:val="0"/>
        <w:autoSpaceDN w:val="0"/>
        <w:bidi w:val="0"/>
        <w:adjustRightInd w:val="0"/>
        <w:snapToGrid w:val="0"/>
        <w:spacing w:after="0" w:line="240" w:lineRule="auto"/>
        <w:jc w:val="both"/>
        <w:rPr>
          <w:rStyle w:val="Strong"/>
          <w:rFonts w:ascii="Times New Roman" w:hAnsi="Times New Roman"/>
          <w:b w:val="0"/>
          <w:sz w:val="20"/>
          <w:szCs w:val="20"/>
        </w:rPr>
      </w:pPr>
      <w:r w:rsidRPr="002375ED">
        <w:rPr>
          <w:rFonts w:ascii="Times New Roman" w:hAnsi="Times New Roman" w:cs="Times New Roman"/>
          <w:b/>
          <w:bCs/>
          <w:sz w:val="20"/>
          <w:szCs w:val="20"/>
        </w:rPr>
        <w:t>Table 2. Clinical picture at diagnosis in the 23 patients with PBL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3610"/>
        <w:gridCol w:w="397"/>
        <w:gridCol w:w="513"/>
      </w:tblGrid>
      <w:tr w:rsidR="005671D9" w:rsidRPr="002375ED" w:rsidTr="00DE7B90">
        <w:trPr>
          <w:jc w:val="center"/>
        </w:trPr>
        <w:tc>
          <w:tcPr>
            <w:tcW w:w="3993" w:type="pct"/>
            <w:vAlign w:val="center"/>
          </w:tcPr>
          <w:p w:rsidR="005671D9" w:rsidRPr="002375ED" w:rsidRDefault="005671D9" w:rsidP="00DA7763">
            <w:pPr>
              <w:pStyle w:val="NormalWeb"/>
              <w:snapToGrid w:val="0"/>
              <w:spacing w:before="0" w:beforeAutospacing="0" w:after="0" w:afterAutospacing="0"/>
              <w:jc w:val="both"/>
              <w:rPr>
                <w:rStyle w:val="Strong"/>
                <w:b w:val="0"/>
                <w:sz w:val="20"/>
                <w:szCs w:val="20"/>
              </w:rPr>
            </w:pPr>
            <w:r w:rsidRPr="002375ED">
              <w:rPr>
                <w:b/>
                <w:bCs/>
                <w:sz w:val="20"/>
                <w:szCs w:val="20"/>
              </w:rPr>
              <w:t>Symptoms and signs</w:t>
            </w:r>
          </w:p>
        </w:tc>
        <w:tc>
          <w:tcPr>
            <w:tcW w:w="439"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Fonts w:ascii="Times New Roman" w:hAnsi="Times New Roman" w:cs="Times New Roman"/>
                <w:b/>
                <w:bCs/>
                <w:sz w:val="20"/>
                <w:szCs w:val="20"/>
              </w:rPr>
              <w:t>No</w:t>
            </w:r>
          </w:p>
        </w:tc>
        <w:tc>
          <w:tcPr>
            <w:tcW w:w="568"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Fonts w:ascii="Times New Roman" w:hAnsi="Times New Roman" w:cs="Times New Roman"/>
                <w:b/>
                <w:bCs/>
                <w:sz w:val="20"/>
                <w:szCs w:val="20"/>
              </w:rPr>
              <w:t>%</w:t>
            </w:r>
          </w:p>
        </w:tc>
      </w:tr>
      <w:tr w:rsidR="005671D9" w:rsidRPr="002375ED" w:rsidTr="00DE7B90">
        <w:trPr>
          <w:jc w:val="center"/>
        </w:trPr>
        <w:tc>
          <w:tcPr>
            <w:tcW w:w="3993"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Fonts w:ascii="Times New Roman" w:hAnsi="Times New Roman" w:cs="Times New Roman"/>
                <w:b/>
                <w:bCs/>
                <w:sz w:val="20"/>
                <w:szCs w:val="20"/>
              </w:rPr>
              <w:t>Pain</w:t>
            </w:r>
          </w:p>
        </w:tc>
        <w:tc>
          <w:tcPr>
            <w:tcW w:w="439"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Style w:val="Strong"/>
                <w:rFonts w:ascii="Times New Roman" w:hAnsi="Times New Roman"/>
                <w:b w:val="0"/>
                <w:sz w:val="20"/>
                <w:szCs w:val="20"/>
              </w:rPr>
              <w:t>14</w:t>
            </w:r>
          </w:p>
        </w:tc>
        <w:tc>
          <w:tcPr>
            <w:tcW w:w="568"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Style w:val="Strong"/>
                <w:rFonts w:ascii="Times New Roman" w:hAnsi="Times New Roman"/>
                <w:b w:val="0"/>
                <w:sz w:val="20"/>
                <w:szCs w:val="20"/>
              </w:rPr>
              <w:t>60.9</w:t>
            </w:r>
          </w:p>
        </w:tc>
      </w:tr>
      <w:tr w:rsidR="005671D9" w:rsidRPr="002375ED" w:rsidTr="00DE7B90">
        <w:trPr>
          <w:jc w:val="center"/>
        </w:trPr>
        <w:tc>
          <w:tcPr>
            <w:tcW w:w="3993" w:type="pct"/>
            <w:vAlign w:val="center"/>
          </w:tcPr>
          <w:p w:rsidR="005671D9" w:rsidRPr="002375ED" w:rsidRDefault="005671D9" w:rsidP="00DA7763">
            <w:pPr>
              <w:bidi w:val="0"/>
              <w:snapToGrid w:val="0"/>
              <w:spacing w:after="0" w:line="240" w:lineRule="auto"/>
              <w:jc w:val="both"/>
              <w:rPr>
                <w:rStyle w:val="Strong"/>
                <w:rFonts w:ascii="Times New Roman" w:hAnsi="Times New Roman"/>
                <w:bCs/>
                <w:sz w:val="20"/>
                <w:szCs w:val="20"/>
              </w:rPr>
            </w:pPr>
            <w:r w:rsidRPr="002375ED">
              <w:rPr>
                <w:rStyle w:val="Strong"/>
                <w:rFonts w:ascii="Times New Roman" w:hAnsi="Times New Roman"/>
                <w:bCs/>
                <w:sz w:val="20"/>
                <w:szCs w:val="20"/>
              </w:rPr>
              <w:t>Mass</w:t>
            </w:r>
          </w:p>
        </w:tc>
        <w:tc>
          <w:tcPr>
            <w:tcW w:w="439"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Style w:val="Strong"/>
                <w:rFonts w:ascii="Times New Roman" w:hAnsi="Times New Roman"/>
                <w:b w:val="0"/>
                <w:sz w:val="20"/>
                <w:szCs w:val="20"/>
              </w:rPr>
              <w:t>3</w:t>
            </w:r>
          </w:p>
        </w:tc>
        <w:tc>
          <w:tcPr>
            <w:tcW w:w="568"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Style w:val="Strong"/>
                <w:rFonts w:ascii="Times New Roman" w:hAnsi="Times New Roman"/>
                <w:b w:val="0"/>
                <w:sz w:val="20"/>
                <w:szCs w:val="20"/>
              </w:rPr>
              <w:t>13.1</w:t>
            </w:r>
          </w:p>
        </w:tc>
      </w:tr>
      <w:tr w:rsidR="005671D9" w:rsidRPr="002375ED" w:rsidTr="00DE7B90">
        <w:trPr>
          <w:jc w:val="center"/>
        </w:trPr>
        <w:tc>
          <w:tcPr>
            <w:tcW w:w="3993" w:type="pct"/>
            <w:vAlign w:val="center"/>
          </w:tcPr>
          <w:p w:rsidR="005671D9" w:rsidRPr="002375ED" w:rsidRDefault="005671D9" w:rsidP="00DA7763">
            <w:pPr>
              <w:bidi w:val="0"/>
              <w:snapToGrid w:val="0"/>
              <w:spacing w:after="0" w:line="240" w:lineRule="auto"/>
              <w:jc w:val="both"/>
              <w:rPr>
                <w:rStyle w:val="Strong"/>
                <w:rFonts w:ascii="Times New Roman" w:hAnsi="Times New Roman"/>
                <w:bCs/>
                <w:sz w:val="20"/>
                <w:szCs w:val="20"/>
              </w:rPr>
            </w:pPr>
            <w:r w:rsidRPr="002375ED">
              <w:rPr>
                <w:rStyle w:val="Strong"/>
                <w:rFonts w:ascii="Times New Roman" w:hAnsi="Times New Roman"/>
                <w:bCs/>
                <w:sz w:val="20"/>
                <w:szCs w:val="20"/>
              </w:rPr>
              <w:t>Bone fracture</w:t>
            </w:r>
          </w:p>
        </w:tc>
        <w:tc>
          <w:tcPr>
            <w:tcW w:w="439"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Style w:val="Strong"/>
                <w:rFonts w:ascii="Times New Roman" w:hAnsi="Times New Roman"/>
                <w:b w:val="0"/>
                <w:sz w:val="20"/>
                <w:szCs w:val="20"/>
              </w:rPr>
              <w:t>2</w:t>
            </w:r>
          </w:p>
        </w:tc>
        <w:tc>
          <w:tcPr>
            <w:tcW w:w="568"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Style w:val="Strong"/>
                <w:rFonts w:ascii="Times New Roman" w:hAnsi="Times New Roman"/>
                <w:b w:val="0"/>
                <w:sz w:val="20"/>
                <w:szCs w:val="20"/>
              </w:rPr>
              <w:t>8.7</w:t>
            </w:r>
          </w:p>
        </w:tc>
      </w:tr>
      <w:tr w:rsidR="005671D9" w:rsidRPr="002375ED" w:rsidTr="00DE7B90">
        <w:trPr>
          <w:jc w:val="center"/>
        </w:trPr>
        <w:tc>
          <w:tcPr>
            <w:tcW w:w="3993" w:type="pct"/>
            <w:vAlign w:val="center"/>
          </w:tcPr>
          <w:p w:rsidR="005671D9" w:rsidRPr="002375ED" w:rsidRDefault="005671D9" w:rsidP="00DA7763">
            <w:pPr>
              <w:bidi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B symptoms</w:t>
            </w:r>
          </w:p>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Fonts w:ascii="Times New Roman" w:hAnsi="Times New Roman" w:cs="Times New Roman"/>
                <w:sz w:val="20"/>
                <w:szCs w:val="20"/>
              </w:rPr>
              <w:t>(fever, night sweats and loss of weight)</w:t>
            </w:r>
          </w:p>
        </w:tc>
        <w:tc>
          <w:tcPr>
            <w:tcW w:w="439"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Style w:val="Strong"/>
                <w:rFonts w:ascii="Times New Roman" w:hAnsi="Times New Roman"/>
                <w:b w:val="0"/>
                <w:sz w:val="20"/>
                <w:szCs w:val="20"/>
              </w:rPr>
              <w:t>4</w:t>
            </w:r>
          </w:p>
        </w:tc>
        <w:tc>
          <w:tcPr>
            <w:tcW w:w="568"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Style w:val="Strong"/>
                <w:rFonts w:ascii="Times New Roman" w:hAnsi="Times New Roman"/>
                <w:b w:val="0"/>
                <w:sz w:val="20"/>
                <w:szCs w:val="20"/>
              </w:rPr>
              <w:t>17.4</w:t>
            </w:r>
          </w:p>
        </w:tc>
      </w:tr>
      <w:tr w:rsidR="005671D9" w:rsidRPr="002375ED" w:rsidTr="00DE7B90">
        <w:trPr>
          <w:jc w:val="center"/>
        </w:trPr>
        <w:tc>
          <w:tcPr>
            <w:tcW w:w="3993" w:type="pct"/>
            <w:vAlign w:val="center"/>
          </w:tcPr>
          <w:p w:rsidR="005671D9" w:rsidRPr="002375ED" w:rsidRDefault="005671D9" w:rsidP="00DA7763">
            <w:pPr>
              <w:bidi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 xml:space="preserve">Others </w:t>
            </w:r>
          </w:p>
        </w:tc>
        <w:tc>
          <w:tcPr>
            <w:tcW w:w="439"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Style w:val="Strong"/>
                <w:rFonts w:ascii="Times New Roman" w:hAnsi="Times New Roman"/>
                <w:b w:val="0"/>
                <w:sz w:val="20"/>
                <w:szCs w:val="20"/>
              </w:rPr>
              <w:t>2</w:t>
            </w:r>
          </w:p>
        </w:tc>
        <w:tc>
          <w:tcPr>
            <w:tcW w:w="568" w:type="pct"/>
            <w:vAlign w:val="center"/>
          </w:tcPr>
          <w:p w:rsidR="005671D9" w:rsidRPr="002375ED" w:rsidRDefault="005671D9" w:rsidP="00DA7763">
            <w:pPr>
              <w:bidi w:val="0"/>
              <w:snapToGrid w:val="0"/>
              <w:spacing w:after="0" w:line="240" w:lineRule="auto"/>
              <w:jc w:val="both"/>
              <w:rPr>
                <w:rStyle w:val="Strong"/>
                <w:rFonts w:ascii="Times New Roman" w:hAnsi="Times New Roman"/>
                <w:b w:val="0"/>
                <w:sz w:val="20"/>
                <w:szCs w:val="20"/>
              </w:rPr>
            </w:pPr>
            <w:r w:rsidRPr="002375ED">
              <w:rPr>
                <w:rStyle w:val="Strong"/>
                <w:rFonts w:ascii="Times New Roman" w:hAnsi="Times New Roman"/>
                <w:b w:val="0"/>
                <w:sz w:val="20"/>
                <w:szCs w:val="20"/>
              </w:rPr>
              <w:t>8.7</w:t>
            </w:r>
          </w:p>
        </w:tc>
      </w:tr>
    </w:tbl>
    <w:p w:rsidR="00DA7763" w:rsidRPr="002375ED" w:rsidRDefault="00DA7763" w:rsidP="00DA7763">
      <w:pPr>
        <w:bidi w:val="0"/>
        <w:snapToGrid w:val="0"/>
        <w:spacing w:after="0" w:line="240" w:lineRule="auto"/>
        <w:jc w:val="center"/>
        <w:rPr>
          <w:rFonts w:ascii="Times New Roman" w:hAnsi="Times New Roman" w:cs="Times New Roman"/>
          <w:sz w:val="20"/>
          <w:szCs w:val="20"/>
          <w:lang w:bidi="ar-EG"/>
        </w:rPr>
        <w:sectPr w:rsidR="00DA7763" w:rsidRPr="002375ED" w:rsidSect="00DA7763">
          <w:type w:val="continuous"/>
          <w:pgSz w:w="12242" w:h="15842" w:code="1"/>
          <w:pgMar w:top="1440" w:right="1440" w:bottom="1440" w:left="1440" w:header="720" w:footer="720" w:gutter="0"/>
          <w:cols w:num="2" w:space="550"/>
          <w:docGrid w:linePitch="360"/>
        </w:sectPr>
      </w:pPr>
    </w:p>
    <w:p w:rsidR="00DE7B90" w:rsidRPr="002375ED" w:rsidRDefault="00DE7B90" w:rsidP="00DA7763">
      <w:pPr>
        <w:bidi w:val="0"/>
        <w:snapToGrid w:val="0"/>
        <w:spacing w:after="0" w:line="240" w:lineRule="auto"/>
        <w:jc w:val="center"/>
        <w:rPr>
          <w:rFonts w:ascii="Times New Roman" w:hAnsi="Times New Roman" w:cs="Times New Roman"/>
          <w:sz w:val="20"/>
          <w:szCs w:val="20"/>
          <w:lang w:eastAsia="zh-CN" w:bidi="ar-EG"/>
        </w:rPr>
      </w:pPr>
    </w:p>
    <w:p w:rsidR="00DA7763" w:rsidRPr="002375ED" w:rsidRDefault="00DA7763" w:rsidP="00DA7763">
      <w:pPr>
        <w:bidi w:val="0"/>
        <w:snapToGrid w:val="0"/>
        <w:spacing w:after="0" w:line="240" w:lineRule="auto"/>
        <w:jc w:val="center"/>
        <w:rPr>
          <w:rFonts w:ascii="Times New Roman" w:hAnsi="Times New Roman" w:cs="Times New Roman"/>
          <w:sz w:val="20"/>
          <w:szCs w:val="20"/>
          <w:lang w:eastAsia="zh-CN" w:bidi="ar-EG"/>
        </w:rPr>
      </w:pPr>
    </w:p>
    <w:p w:rsidR="005671D9" w:rsidRPr="002375ED" w:rsidRDefault="005671D9" w:rsidP="00DA7763">
      <w:pPr>
        <w:pStyle w:val="NormalWeb"/>
        <w:snapToGrid w:val="0"/>
        <w:spacing w:before="0" w:beforeAutospacing="0" w:after="0" w:afterAutospacing="0"/>
        <w:jc w:val="center"/>
        <w:rPr>
          <w:b/>
          <w:bCs/>
          <w:sz w:val="20"/>
          <w:szCs w:val="20"/>
        </w:rPr>
      </w:pPr>
      <w:r w:rsidRPr="002375ED">
        <w:rPr>
          <w:b/>
          <w:bCs/>
          <w:sz w:val="20"/>
          <w:szCs w:val="20"/>
        </w:rPr>
        <w:lastRenderedPageBreak/>
        <w:t>Table 3. Therapy parameters in patients with PBL by treatment arm</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7" w:type="dxa"/>
          <w:right w:w="57" w:type="dxa"/>
        </w:tblCellMar>
        <w:tblLook w:val="00A0"/>
      </w:tblPr>
      <w:tblGrid>
        <w:gridCol w:w="2060"/>
        <w:gridCol w:w="1165"/>
        <w:gridCol w:w="896"/>
        <w:gridCol w:w="998"/>
        <w:gridCol w:w="1133"/>
        <w:gridCol w:w="1201"/>
        <w:gridCol w:w="1363"/>
        <w:gridCol w:w="660"/>
      </w:tblGrid>
      <w:tr w:rsidR="005671D9" w:rsidRPr="002375ED" w:rsidTr="00DA7763">
        <w:trPr>
          <w:jc w:val="center"/>
        </w:trPr>
        <w:tc>
          <w:tcPr>
            <w:tcW w:w="0" w:type="auto"/>
            <w:vMerge w:val="restart"/>
            <w:tcBorders>
              <w:top w:val="single" w:sz="12" w:space="0" w:color="000000"/>
              <w:bottom w:val="single" w:sz="12" w:space="0" w:color="000000"/>
              <w:tl2br w:val="single" w:sz="6"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Parameters</w:t>
            </w:r>
          </w:p>
        </w:tc>
        <w:tc>
          <w:tcPr>
            <w:tcW w:w="0" w:type="auto"/>
            <w:gridSpan w:val="2"/>
            <w:tcBorders>
              <w:top w:val="single" w:sz="12" w:space="0" w:color="000000"/>
              <w:bottom w:val="single" w:sz="12" w:space="0" w:color="000000"/>
            </w:tcBorders>
            <w:vAlign w:val="center"/>
          </w:tcPr>
          <w:p w:rsidR="005671D9" w:rsidRPr="002375ED" w:rsidRDefault="005671D9" w:rsidP="00DA7763">
            <w:pPr>
              <w:bidi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Radiotherapy alone arm N=4</w:t>
            </w:r>
          </w:p>
        </w:tc>
        <w:tc>
          <w:tcPr>
            <w:tcW w:w="0" w:type="auto"/>
            <w:gridSpan w:val="2"/>
            <w:tcBorders>
              <w:top w:val="single" w:sz="12" w:space="0" w:color="000000"/>
              <w:bottom w:val="single" w:sz="12" w:space="0" w:color="000000"/>
            </w:tcBorders>
            <w:vAlign w:val="center"/>
          </w:tcPr>
          <w:p w:rsidR="005671D9" w:rsidRPr="002375ED" w:rsidRDefault="00DA7763" w:rsidP="00DA7763">
            <w:pPr>
              <w:pStyle w:val="NormalWeb"/>
              <w:snapToGrid w:val="0"/>
              <w:spacing w:before="0" w:beforeAutospacing="0" w:after="0" w:afterAutospacing="0"/>
              <w:jc w:val="both"/>
              <w:rPr>
                <w:sz w:val="20"/>
                <w:szCs w:val="20"/>
              </w:rPr>
            </w:pPr>
            <w:r w:rsidRPr="002375ED">
              <w:rPr>
                <w:sz w:val="20"/>
                <w:szCs w:val="20"/>
              </w:rPr>
              <w:t>C</w:t>
            </w:r>
            <w:r w:rsidR="005671D9" w:rsidRPr="002375ED">
              <w:rPr>
                <w:sz w:val="20"/>
                <w:szCs w:val="20"/>
              </w:rPr>
              <w:t>hemotherapy</w:t>
            </w:r>
            <w:r w:rsidRPr="002375ED">
              <w:rPr>
                <w:rFonts w:eastAsiaTheme="minorEastAsia" w:hint="eastAsia"/>
                <w:sz w:val="20"/>
                <w:szCs w:val="20"/>
                <w:lang w:eastAsia="zh-CN"/>
              </w:rPr>
              <w:t xml:space="preserve"> </w:t>
            </w:r>
            <w:r w:rsidR="005671D9" w:rsidRPr="002375ED">
              <w:rPr>
                <w:sz w:val="20"/>
                <w:szCs w:val="20"/>
              </w:rPr>
              <w:t>alone arm</w:t>
            </w:r>
            <w:r w:rsidRPr="002375ED">
              <w:rPr>
                <w:rFonts w:eastAsiaTheme="minorEastAsia" w:hint="eastAsia"/>
                <w:sz w:val="20"/>
                <w:szCs w:val="20"/>
                <w:lang w:eastAsia="zh-CN"/>
              </w:rPr>
              <w:t xml:space="preserve"> </w:t>
            </w:r>
            <w:r w:rsidR="005671D9" w:rsidRPr="002375ED">
              <w:rPr>
                <w:sz w:val="20"/>
                <w:szCs w:val="20"/>
              </w:rPr>
              <w:t>n=6</w:t>
            </w:r>
          </w:p>
        </w:tc>
        <w:tc>
          <w:tcPr>
            <w:tcW w:w="0" w:type="auto"/>
            <w:gridSpan w:val="2"/>
            <w:tcBorders>
              <w:top w:val="single" w:sz="12" w:space="0" w:color="000000"/>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Combined-modality therapy arm</w:t>
            </w:r>
            <w:r w:rsidR="00DA7763" w:rsidRPr="002375ED">
              <w:rPr>
                <w:rFonts w:eastAsiaTheme="minorEastAsia" w:hint="eastAsia"/>
                <w:sz w:val="20"/>
                <w:szCs w:val="20"/>
                <w:lang w:eastAsia="zh-CN"/>
              </w:rPr>
              <w:t xml:space="preserve"> </w:t>
            </w:r>
            <w:r w:rsidRPr="002375ED">
              <w:rPr>
                <w:sz w:val="20"/>
                <w:szCs w:val="20"/>
              </w:rPr>
              <w:t xml:space="preserve">N=13 </w:t>
            </w:r>
          </w:p>
        </w:tc>
        <w:tc>
          <w:tcPr>
            <w:tcW w:w="0" w:type="auto"/>
            <w:vMerge w:val="restart"/>
            <w:tcBorders>
              <w:top w:val="single" w:sz="12" w:space="0" w:color="000000"/>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P value</w:t>
            </w:r>
          </w:p>
        </w:tc>
      </w:tr>
      <w:tr w:rsidR="00DA7763" w:rsidRPr="002375ED" w:rsidTr="00DA7763">
        <w:trPr>
          <w:jc w:val="center"/>
        </w:trPr>
        <w:tc>
          <w:tcPr>
            <w:tcW w:w="0" w:type="auto"/>
            <w:vMerge/>
            <w:vAlign w:val="center"/>
          </w:tcPr>
          <w:p w:rsidR="005671D9" w:rsidRPr="002375ED" w:rsidRDefault="005671D9" w:rsidP="00DA7763">
            <w:pPr>
              <w:pStyle w:val="NormalWeb"/>
              <w:snapToGrid w:val="0"/>
              <w:spacing w:before="0" w:beforeAutospacing="0" w:after="0" w:afterAutospacing="0"/>
              <w:jc w:val="both"/>
              <w:rPr>
                <w:sz w:val="20"/>
                <w:szCs w:val="20"/>
              </w:rPr>
            </w:pP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No.</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No.</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No.</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w:t>
            </w:r>
          </w:p>
        </w:tc>
        <w:tc>
          <w:tcPr>
            <w:tcW w:w="0" w:type="auto"/>
            <w:vMerge/>
            <w:vAlign w:val="center"/>
          </w:tcPr>
          <w:p w:rsidR="005671D9" w:rsidRPr="002375ED" w:rsidRDefault="005671D9" w:rsidP="00DA7763">
            <w:pPr>
              <w:pStyle w:val="NormalWeb"/>
              <w:snapToGrid w:val="0"/>
              <w:spacing w:before="0" w:beforeAutospacing="0" w:after="0" w:afterAutospacing="0"/>
              <w:jc w:val="both"/>
              <w:rPr>
                <w:sz w:val="20"/>
                <w:szCs w:val="20"/>
              </w:rPr>
            </w:pPr>
          </w:p>
        </w:tc>
      </w:tr>
      <w:tr w:rsidR="00DA7763" w:rsidRPr="002375ED" w:rsidTr="00DA7763">
        <w:trPr>
          <w:jc w:val="center"/>
        </w:trPr>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Dose reduction for any reason</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No</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Yes</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3</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lang w:bidi="ar-EG"/>
              </w:rPr>
            </w:pPr>
            <w:r w:rsidRPr="002375ED">
              <w:rPr>
                <w:sz w:val="20"/>
                <w:szCs w:val="20"/>
                <w:lang w:bidi="ar-EG"/>
              </w:rPr>
              <w:t>75</w:t>
            </w:r>
          </w:p>
          <w:p w:rsidR="005671D9" w:rsidRPr="002375ED" w:rsidRDefault="005671D9" w:rsidP="00DA7763">
            <w:pPr>
              <w:pStyle w:val="NormalWeb"/>
              <w:snapToGrid w:val="0"/>
              <w:spacing w:before="0" w:beforeAutospacing="0" w:after="0" w:afterAutospacing="0"/>
              <w:jc w:val="both"/>
              <w:rPr>
                <w:sz w:val="20"/>
                <w:szCs w:val="20"/>
                <w:lang w:bidi="ar-EG"/>
              </w:rPr>
            </w:pPr>
            <w:r w:rsidRPr="002375ED">
              <w:rPr>
                <w:sz w:val="20"/>
                <w:szCs w:val="20"/>
                <w:lang w:bidi="ar-EG"/>
              </w:rPr>
              <w:t>25</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5</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83.3</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16.7</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3</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76.9</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23.1</w:t>
            </w:r>
          </w:p>
        </w:tc>
        <w:tc>
          <w:tcPr>
            <w:tcW w:w="0" w:type="auto"/>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0.98</w:t>
            </w:r>
          </w:p>
        </w:tc>
      </w:tr>
      <w:tr w:rsidR="00DA7763" w:rsidRPr="002375ED" w:rsidTr="00DA7763">
        <w:trPr>
          <w:jc w:val="center"/>
        </w:trPr>
        <w:tc>
          <w:tcPr>
            <w:tcW w:w="0" w:type="auto"/>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Treatment delay, days</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 – 6</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 7</w:t>
            </w:r>
          </w:p>
        </w:tc>
        <w:tc>
          <w:tcPr>
            <w:tcW w:w="0" w:type="auto"/>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3</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0" w:type="auto"/>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75</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25</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0" w:type="auto"/>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4</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0" w:type="auto"/>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66.6</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16.7</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16.7</w:t>
            </w:r>
          </w:p>
        </w:tc>
        <w:tc>
          <w:tcPr>
            <w:tcW w:w="0" w:type="auto"/>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9</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3</w:t>
            </w:r>
          </w:p>
        </w:tc>
        <w:tc>
          <w:tcPr>
            <w:tcW w:w="0" w:type="auto"/>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lang w:bidi="ar-EG"/>
              </w:rPr>
              <w:t>69.2</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7.7</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lang w:bidi="ar-EG"/>
              </w:rPr>
              <w:t>23.1</w:t>
            </w:r>
          </w:p>
        </w:tc>
        <w:tc>
          <w:tcPr>
            <w:tcW w:w="0" w:type="auto"/>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0.94</w:t>
            </w:r>
          </w:p>
          <w:p w:rsidR="005671D9" w:rsidRPr="002375ED" w:rsidRDefault="005671D9" w:rsidP="00DA7763">
            <w:pPr>
              <w:pStyle w:val="NormalWeb"/>
              <w:snapToGrid w:val="0"/>
              <w:spacing w:before="0" w:beforeAutospacing="0" w:after="0" w:afterAutospacing="0"/>
              <w:jc w:val="both"/>
              <w:rPr>
                <w:sz w:val="20"/>
                <w:szCs w:val="20"/>
              </w:rPr>
            </w:pPr>
          </w:p>
        </w:tc>
      </w:tr>
    </w:tbl>
    <w:p w:rsidR="005671D9" w:rsidRPr="002375ED" w:rsidRDefault="005671D9" w:rsidP="00DA7763">
      <w:pPr>
        <w:bidi w:val="0"/>
        <w:snapToGrid w:val="0"/>
        <w:spacing w:after="0" w:line="240" w:lineRule="auto"/>
        <w:jc w:val="center"/>
        <w:rPr>
          <w:rFonts w:ascii="Times New Roman" w:hAnsi="Times New Roman" w:cs="Times New Roman"/>
          <w:b/>
          <w:bCs/>
          <w:sz w:val="20"/>
          <w:szCs w:val="20"/>
        </w:rPr>
      </w:pPr>
    </w:p>
    <w:p w:rsidR="005671D9" w:rsidRPr="002375ED" w:rsidRDefault="005671D9" w:rsidP="00DA7763">
      <w:pPr>
        <w:bidi w:val="0"/>
        <w:snapToGrid w:val="0"/>
        <w:spacing w:after="0" w:line="240" w:lineRule="auto"/>
        <w:jc w:val="center"/>
        <w:rPr>
          <w:rStyle w:val="Hyperlink"/>
          <w:rFonts w:ascii="Times New Roman" w:hAnsi="Times New Roman"/>
          <w:b/>
          <w:bCs/>
          <w:color w:val="auto"/>
          <w:sz w:val="20"/>
          <w:szCs w:val="20"/>
          <w:u w:val="none"/>
        </w:rPr>
      </w:pPr>
      <w:r w:rsidRPr="002375ED">
        <w:rPr>
          <w:rFonts w:ascii="Times New Roman" w:hAnsi="Times New Roman" w:cs="Times New Roman"/>
          <w:b/>
          <w:bCs/>
          <w:sz w:val="20"/>
          <w:szCs w:val="20"/>
        </w:rPr>
        <w:t xml:space="preserve">Table 4. Tumor response in </w:t>
      </w:r>
      <w:r w:rsidRPr="002375ED">
        <w:rPr>
          <w:rStyle w:val="Hyperlink"/>
          <w:rFonts w:ascii="Times New Roman" w:hAnsi="Times New Roman"/>
          <w:b/>
          <w:bCs/>
          <w:color w:val="auto"/>
          <w:sz w:val="20"/>
          <w:szCs w:val="20"/>
          <w:u w:val="none"/>
        </w:rPr>
        <w:t xml:space="preserve">the 23 Patients </w:t>
      </w:r>
      <w:r w:rsidRPr="002375ED">
        <w:rPr>
          <w:rFonts w:ascii="Times New Roman" w:hAnsi="Times New Roman" w:cs="Times New Roman"/>
          <w:b/>
          <w:bCs/>
          <w:sz w:val="20"/>
          <w:szCs w:val="20"/>
        </w:rPr>
        <w:t>with PBL</w:t>
      </w:r>
    </w:p>
    <w:tbl>
      <w:tblPr>
        <w:tblW w:w="5000" w:type="pct"/>
        <w:jc w:val="center"/>
        <w:tblBorders>
          <w:top w:val="single" w:sz="4" w:space="0" w:color="auto"/>
        </w:tblBorders>
        <w:tblCellMar>
          <w:left w:w="57" w:type="dxa"/>
          <w:right w:w="57" w:type="dxa"/>
        </w:tblCellMar>
        <w:tblLook w:val="0000"/>
      </w:tblPr>
      <w:tblGrid>
        <w:gridCol w:w="6707"/>
        <w:gridCol w:w="1298"/>
        <w:gridCol w:w="1471"/>
      </w:tblGrid>
      <w:tr w:rsidR="005671D9" w:rsidRPr="002375ED" w:rsidTr="00DE7B90">
        <w:trPr>
          <w:jc w:val="center"/>
        </w:trPr>
        <w:tc>
          <w:tcPr>
            <w:tcW w:w="3539" w:type="pct"/>
            <w:tcBorders>
              <w:top w:val="single" w:sz="4" w:space="0" w:color="auto"/>
              <w:left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Evaluable patients</w:t>
            </w:r>
          </w:p>
        </w:tc>
        <w:tc>
          <w:tcPr>
            <w:tcW w:w="1461" w:type="pct"/>
            <w:gridSpan w:val="2"/>
            <w:tcBorders>
              <w:top w:val="single" w:sz="4" w:space="0" w:color="auto"/>
              <w:left w:val="single" w:sz="4" w:space="0" w:color="auto"/>
              <w:bottom w:val="single" w:sz="4" w:space="0" w:color="auto"/>
              <w:right w:val="single" w:sz="4" w:space="0" w:color="auto"/>
            </w:tcBorders>
            <w:vAlign w:val="center"/>
          </w:tcPr>
          <w:p w:rsidR="005671D9" w:rsidRPr="002375ED" w:rsidRDefault="005671D9" w:rsidP="00DA7763">
            <w:pPr>
              <w:bidi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N=23</w:t>
            </w:r>
          </w:p>
        </w:tc>
      </w:tr>
      <w:tr w:rsidR="005671D9" w:rsidRPr="002375ED" w:rsidTr="00DE7B90">
        <w:trPr>
          <w:jc w:val="center"/>
        </w:trPr>
        <w:tc>
          <w:tcPr>
            <w:tcW w:w="3539" w:type="pct"/>
            <w:tcBorders>
              <w:top w:val="single" w:sz="4" w:space="0" w:color="auto"/>
              <w:left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p>
        </w:tc>
        <w:tc>
          <w:tcPr>
            <w:tcW w:w="685" w:type="pct"/>
            <w:tcBorders>
              <w:top w:val="single" w:sz="4" w:space="0" w:color="auto"/>
              <w:left w:val="single" w:sz="4" w:space="0" w:color="auto"/>
              <w:bottom w:val="single" w:sz="4" w:space="0" w:color="auto"/>
              <w:right w:val="single" w:sz="4" w:space="0" w:color="auto"/>
            </w:tcBorders>
            <w:vAlign w:val="center"/>
          </w:tcPr>
          <w:p w:rsidR="005671D9" w:rsidRPr="002375ED" w:rsidRDefault="005671D9" w:rsidP="00DA7763">
            <w:pPr>
              <w:bidi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b/>
                <w:bCs/>
                <w:sz w:val="20"/>
                <w:szCs w:val="20"/>
              </w:rPr>
              <w:t>No.</w:t>
            </w:r>
          </w:p>
        </w:tc>
        <w:tc>
          <w:tcPr>
            <w:tcW w:w="777" w:type="pct"/>
            <w:tcBorders>
              <w:top w:val="single" w:sz="4" w:space="0" w:color="auto"/>
              <w:bottom w:val="single" w:sz="4" w:space="0" w:color="auto"/>
              <w:right w:val="single" w:sz="4" w:space="0" w:color="auto"/>
            </w:tcBorders>
            <w:vAlign w:val="center"/>
          </w:tcPr>
          <w:p w:rsidR="005671D9" w:rsidRPr="002375ED" w:rsidRDefault="005671D9" w:rsidP="00DA7763">
            <w:pPr>
              <w:bidi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b/>
                <w:bCs/>
                <w:sz w:val="20"/>
                <w:szCs w:val="20"/>
              </w:rPr>
              <w:t>%</w:t>
            </w:r>
          </w:p>
        </w:tc>
      </w:tr>
      <w:tr w:rsidR="005671D9" w:rsidRPr="002375ED" w:rsidTr="00DE7B90">
        <w:trPr>
          <w:jc w:val="center"/>
        </w:trPr>
        <w:tc>
          <w:tcPr>
            <w:tcW w:w="3539" w:type="pct"/>
            <w:tcBorders>
              <w:top w:val="single" w:sz="4" w:space="0" w:color="auto"/>
              <w:left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Complete response (CR)</w:t>
            </w:r>
          </w:p>
        </w:tc>
        <w:tc>
          <w:tcPr>
            <w:tcW w:w="685" w:type="pct"/>
            <w:tcBorders>
              <w:left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17</w:t>
            </w:r>
          </w:p>
        </w:tc>
        <w:tc>
          <w:tcPr>
            <w:tcW w:w="777" w:type="pct"/>
            <w:tcBorders>
              <w:top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lang w:bidi="ar-EG"/>
              </w:rPr>
            </w:pPr>
            <w:r w:rsidRPr="002375ED">
              <w:rPr>
                <w:rFonts w:ascii="Times New Roman" w:hAnsi="Times New Roman" w:cs="Times New Roman"/>
                <w:sz w:val="20"/>
                <w:szCs w:val="20"/>
                <w:lang w:bidi="ar-EG"/>
              </w:rPr>
              <w:t>73.9</w:t>
            </w:r>
          </w:p>
        </w:tc>
      </w:tr>
      <w:tr w:rsidR="005671D9" w:rsidRPr="002375ED" w:rsidTr="00DE7B90">
        <w:trPr>
          <w:jc w:val="center"/>
        </w:trPr>
        <w:tc>
          <w:tcPr>
            <w:tcW w:w="3539" w:type="pct"/>
            <w:tcBorders>
              <w:top w:val="single" w:sz="4" w:space="0" w:color="auto"/>
              <w:left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Partial response (PR)</w:t>
            </w:r>
          </w:p>
        </w:tc>
        <w:tc>
          <w:tcPr>
            <w:tcW w:w="685" w:type="pct"/>
            <w:tcBorders>
              <w:top w:val="single" w:sz="4" w:space="0" w:color="auto"/>
              <w:left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2</w:t>
            </w:r>
          </w:p>
        </w:tc>
        <w:tc>
          <w:tcPr>
            <w:tcW w:w="777" w:type="pct"/>
            <w:tcBorders>
              <w:top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8.7</w:t>
            </w:r>
          </w:p>
        </w:tc>
      </w:tr>
      <w:tr w:rsidR="005671D9" w:rsidRPr="002375ED" w:rsidTr="00DE7B90">
        <w:trPr>
          <w:jc w:val="center"/>
        </w:trPr>
        <w:tc>
          <w:tcPr>
            <w:tcW w:w="3539" w:type="pct"/>
            <w:tcBorders>
              <w:top w:val="single" w:sz="4" w:space="0" w:color="auto"/>
              <w:left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Stable disease (SD)</w:t>
            </w:r>
          </w:p>
        </w:tc>
        <w:tc>
          <w:tcPr>
            <w:tcW w:w="685" w:type="pct"/>
            <w:tcBorders>
              <w:top w:val="single" w:sz="4" w:space="0" w:color="auto"/>
              <w:left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1</w:t>
            </w:r>
          </w:p>
        </w:tc>
        <w:tc>
          <w:tcPr>
            <w:tcW w:w="777" w:type="pct"/>
            <w:tcBorders>
              <w:top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4.3</w:t>
            </w:r>
          </w:p>
        </w:tc>
      </w:tr>
      <w:tr w:rsidR="005671D9" w:rsidRPr="002375ED" w:rsidTr="00DE7B90">
        <w:trPr>
          <w:jc w:val="center"/>
        </w:trPr>
        <w:tc>
          <w:tcPr>
            <w:tcW w:w="3539" w:type="pct"/>
            <w:tcBorders>
              <w:top w:val="single" w:sz="4" w:space="0" w:color="auto"/>
              <w:left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Progressive disease (PD)</w:t>
            </w:r>
          </w:p>
        </w:tc>
        <w:tc>
          <w:tcPr>
            <w:tcW w:w="685" w:type="pct"/>
            <w:tcBorders>
              <w:top w:val="single" w:sz="4" w:space="0" w:color="auto"/>
              <w:left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3</w:t>
            </w:r>
          </w:p>
        </w:tc>
        <w:tc>
          <w:tcPr>
            <w:tcW w:w="777" w:type="pct"/>
            <w:tcBorders>
              <w:top w:val="single" w:sz="4" w:space="0" w:color="auto"/>
              <w:bottom w:val="single" w:sz="4" w:space="0" w:color="auto"/>
              <w:right w:val="single" w:sz="4" w:space="0" w:color="auto"/>
            </w:tcBorders>
            <w:vAlign w:val="center"/>
          </w:tcPr>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13.1</w:t>
            </w:r>
          </w:p>
        </w:tc>
      </w:tr>
    </w:tbl>
    <w:p w:rsidR="00DA7763" w:rsidRPr="002375ED" w:rsidRDefault="00DA7763">
      <w:pPr>
        <w:bidi w:val="0"/>
        <w:spacing w:after="0" w:line="240" w:lineRule="auto"/>
        <w:rPr>
          <w:rFonts w:ascii="Times New Roman" w:eastAsia="Times New Roman" w:hAnsi="Times New Roman" w:cs="Times New Roman"/>
          <w:b/>
          <w:bCs/>
          <w:sz w:val="20"/>
          <w:szCs w:val="20"/>
        </w:rPr>
      </w:pPr>
    </w:p>
    <w:p w:rsidR="005671D9" w:rsidRPr="002375ED" w:rsidRDefault="005671D9" w:rsidP="00DA7763">
      <w:pPr>
        <w:bidi w:val="0"/>
        <w:snapToGrid w:val="0"/>
        <w:spacing w:after="0" w:line="240" w:lineRule="auto"/>
        <w:jc w:val="center"/>
        <w:rPr>
          <w:rFonts w:ascii="Times New Roman" w:hAnsi="Times New Roman" w:cs="Times New Roman"/>
          <w:b/>
          <w:bCs/>
          <w:sz w:val="20"/>
          <w:szCs w:val="20"/>
        </w:rPr>
      </w:pPr>
      <w:r w:rsidRPr="002375ED">
        <w:rPr>
          <w:rFonts w:ascii="Times New Roman" w:hAnsi="Times New Roman" w:cs="Times New Roman"/>
          <w:b/>
          <w:bCs/>
          <w:sz w:val="20"/>
          <w:szCs w:val="20"/>
        </w:rPr>
        <w:t>Table 5. Hematologic and non-hematologic Grade 3</w:t>
      </w:r>
      <w:r w:rsidR="00DE7B90" w:rsidRPr="002375ED">
        <w:rPr>
          <w:rFonts w:ascii="Times New Roman" w:hAnsi="Times New Roman" w:cs="Times New Roman"/>
          <w:b/>
          <w:bCs/>
          <w:sz w:val="20"/>
          <w:szCs w:val="20"/>
        </w:rPr>
        <w:t xml:space="preserve"> &amp; </w:t>
      </w:r>
      <w:r w:rsidRPr="002375ED">
        <w:rPr>
          <w:rFonts w:ascii="Times New Roman" w:hAnsi="Times New Roman" w:cs="Times New Roman"/>
          <w:b/>
          <w:bCs/>
          <w:sz w:val="20"/>
          <w:szCs w:val="20"/>
        </w:rPr>
        <w:t xml:space="preserve">4 toxicity in the management of </w:t>
      </w:r>
      <w:r w:rsidRPr="002375ED">
        <w:rPr>
          <w:rStyle w:val="Hyperlink"/>
          <w:rFonts w:ascii="Times New Roman" w:hAnsi="Times New Roman"/>
          <w:b/>
          <w:bCs/>
          <w:color w:val="auto"/>
          <w:sz w:val="20"/>
          <w:szCs w:val="20"/>
          <w:u w:val="none"/>
        </w:rPr>
        <w:t>the 23 patients</w:t>
      </w:r>
      <w:r w:rsidRPr="002375ED">
        <w:rPr>
          <w:rStyle w:val="Hyperlink"/>
          <w:rFonts w:ascii="Times New Roman" w:hAnsi="Times New Roman"/>
          <w:b/>
          <w:bCs/>
          <w:color w:val="auto"/>
          <w:sz w:val="20"/>
          <w:szCs w:val="20"/>
        </w:rPr>
        <w:t xml:space="preserve"> </w:t>
      </w:r>
      <w:r w:rsidRPr="002375ED">
        <w:rPr>
          <w:rFonts w:ascii="Times New Roman" w:hAnsi="Times New Roman" w:cs="Times New Roman"/>
          <w:b/>
          <w:bCs/>
          <w:sz w:val="20"/>
          <w:szCs w:val="20"/>
        </w:rPr>
        <w:t>with PBL</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7" w:type="dxa"/>
          <w:right w:w="57" w:type="dxa"/>
        </w:tblCellMar>
        <w:tblLook w:val="00A0"/>
      </w:tblPr>
      <w:tblGrid>
        <w:gridCol w:w="2120"/>
        <w:gridCol w:w="1128"/>
        <w:gridCol w:w="866"/>
        <w:gridCol w:w="661"/>
        <w:gridCol w:w="1433"/>
        <w:gridCol w:w="1059"/>
        <w:gridCol w:w="1457"/>
        <w:gridCol w:w="752"/>
      </w:tblGrid>
      <w:tr w:rsidR="005671D9" w:rsidRPr="002375ED" w:rsidTr="00DE7B90">
        <w:trPr>
          <w:jc w:val="center"/>
        </w:trPr>
        <w:tc>
          <w:tcPr>
            <w:tcW w:w="1118" w:type="pct"/>
            <w:vMerge w:val="restart"/>
            <w:tcBorders>
              <w:top w:val="single" w:sz="12" w:space="0" w:color="000000"/>
              <w:bottom w:val="single" w:sz="12" w:space="0" w:color="000000"/>
              <w:tl2br w:val="single" w:sz="6" w:space="0" w:color="000000"/>
            </w:tcBorders>
            <w:vAlign w:val="center"/>
          </w:tcPr>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Event</w:t>
            </w:r>
          </w:p>
        </w:tc>
        <w:tc>
          <w:tcPr>
            <w:tcW w:w="3484" w:type="pct"/>
            <w:gridSpan w:val="6"/>
            <w:tcBorders>
              <w:top w:val="single" w:sz="12" w:space="0" w:color="000000"/>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b/>
                <w:bCs/>
                <w:sz w:val="20"/>
                <w:szCs w:val="20"/>
              </w:rPr>
              <w:t>Number of Events After Therapy</w:t>
            </w:r>
          </w:p>
        </w:tc>
        <w:tc>
          <w:tcPr>
            <w:tcW w:w="398" w:type="pct"/>
            <w:vMerge w:val="restart"/>
            <w:tcBorders>
              <w:top w:val="single" w:sz="12" w:space="0" w:color="000000"/>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P- value</w:t>
            </w:r>
          </w:p>
        </w:tc>
      </w:tr>
      <w:tr w:rsidR="005671D9" w:rsidRPr="002375ED" w:rsidTr="00DE7B90">
        <w:trPr>
          <w:jc w:val="center"/>
        </w:trPr>
        <w:tc>
          <w:tcPr>
            <w:tcW w:w="1118" w:type="pct"/>
            <w:vMerge/>
            <w:vAlign w:val="center"/>
          </w:tcPr>
          <w:p w:rsidR="005671D9" w:rsidRPr="002375ED" w:rsidRDefault="005671D9" w:rsidP="00DA7763">
            <w:pPr>
              <w:pStyle w:val="NormalWeb"/>
              <w:snapToGrid w:val="0"/>
              <w:spacing w:before="0" w:beforeAutospacing="0" w:after="0" w:afterAutospacing="0"/>
              <w:jc w:val="both"/>
              <w:rPr>
                <w:sz w:val="20"/>
                <w:szCs w:val="20"/>
              </w:rPr>
            </w:pPr>
          </w:p>
        </w:tc>
        <w:tc>
          <w:tcPr>
            <w:tcW w:w="1052" w:type="pct"/>
            <w:gridSpan w:val="2"/>
            <w:vAlign w:val="center"/>
          </w:tcPr>
          <w:p w:rsidR="005671D9" w:rsidRPr="002375ED" w:rsidRDefault="005671D9" w:rsidP="00DA7763">
            <w:pPr>
              <w:bidi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Radiotherapy alone arm</w:t>
            </w:r>
            <w:r w:rsidR="00DA7763" w:rsidRPr="002375ED">
              <w:rPr>
                <w:rFonts w:ascii="Times New Roman" w:hAnsi="Times New Roman" w:cs="Times New Roman" w:hint="eastAsia"/>
                <w:b/>
                <w:bCs/>
                <w:sz w:val="20"/>
                <w:szCs w:val="20"/>
                <w:lang w:eastAsia="zh-CN"/>
              </w:rPr>
              <w:t xml:space="preserve"> </w:t>
            </w:r>
            <w:r w:rsidRPr="002375ED">
              <w:rPr>
                <w:rFonts w:ascii="Times New Roman" w:hAnsi="Times New Roman" w:cs="Times New Roman"/>
                <w:sz w:val="20"/>
                <w:szCs w:val="20"/>
              </w:rPr>
              <w:t>N=4</w:t>
            </w:r>
          </w:p>
        </w:tc>
        <w:tc>
          <w:tcPr>
            <w:tcW w:w="1105" w:type="pct"/>
            <w:gridSpan w:val="2"/>
            <w:vAlign w:val="center"/>
          </w:tcPr>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Chemotherapy alone arm</w:t>
            </w:r>
            <w:r w:rsidR="00DA7763" w:rsidRPr="002375ED">
              <w:rPr>
                <w:rFonts w:eastAsiaTheme="minorEastAsia" w:hint="eastAsia"/>
                <w:b/>
                <w:bCs/>
                <w:sz w:val="20"/>
                <w:szCs w:val="20"/>
                <w:lang w:eastAsia="zh-CN"/>
              </w:rPr>
              <w:t xml:space="preserve"> </w:t>
            </w:r>
            <w:r w:rsidRPr="002375ED">
              <w:rPr>
                <w:sz w:val="20"/>
                <w:szCs w:val="20"/>
              </w:rPr>
              <w:t>N=6</w:t>
            </w:r>
          </w:p>
        </w:tc>
        <w:tc>
          <w:tcPr>
            <w:tcW w:w="1328" w:type="pct"/>
            <w:gridSpan w:val="2"/>
            <w:vAlign w:val="center"/>
          </w:tcPr>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Combined-modality therapy arm</w:t>
            </w:r>
            <w:r w:rsidR="00DA7763" w:rsidRPr="002375ED">
              <w:rPr>
                <w:rFonts w:eastAsiaTheme="minorEastAsia" w:hint="eastAsia"/>
                <w:b/>
                <w:bCs/>
                <w:sz w:val="20"/>
                <w:szCs w:val="20"/>
                <w:lang w:eastAsia="zh-CN"/>
              </w:rPr>
              <w:t xml:space="preserve"> </w:t>
            </w:r>
            <w:r w:rsidRPr="002375ED">
              <w:rPr>
                <w:sz w:val="20"/>
                <w:szCs w:val="20"/>
              </w:rPr>
              <w:t>N=13</w:t>
            </w:r>
          </w:p>
        </w:tc>
        <w:tc>
          <w:tcPr>
            <w:tcW w:w="398" w:type="pct"/>
            <w:vMerge/>
            <w:vAlign w:val="center"/>
          </w:tcPr>
          <w:p w:rsidR="005671D9" w:rsidRPr="002375ED" w:rsidRDefault="005671D9" w:rsidP="00DA7763">
            <w:pPr>
              <w:pStyle w:val="NormalWeb"/>
              <w:snapToGrid w:val="0"/>
              <w:spacing w:before="0" w:beforeAutospacing="0" w:after="0" w:afterAutospacing="0"/>
              <w:jc w:val="both"/>
              <w:rPr>
                <w:sz w:val="20"/>
                <w:szCs w:val="20"/>
              </w:rPr>
            </w:pPr>
          </w:p>
        </w:tc>
      </w:tr>
      <w:tr w:rsidR="00DE7B90" w:rsidRPr="002375ED" w:rsidTr="00DE7B90">
        <w:trPr>
          <w:jc w:val="center"/>
        </w:trPr>
        <w:tc>
          <w:tcPr>
            <w:tcW w:w="1118" w:type="pct"/>
            <w:vMerge/>
            <w:vAlign w:val="center"/>
          </w:tcPr>
          <w:p w:rsidR="005671D9" w:rsidRPr="002375ED" w:rsidRDefault="005671D9" w:rsidP="00DA7763">
            <w:pPr>
              <w:pStyle w:val="NormalWeb"/>
              <w:snapToGrid w:val="0"/>
              <w:spacing w:before="0" w:beforeAutospacing="0" w:after="0" w:afterAutospacing="0"/>
              <w:jc w:val="both"/>
              <w:rPr>
                <w:sz w:val="20"/>
                <w:szCs w:val="20"/>
              </w:rPr>
            </w:pPr>
          </w:p>
        </w:tc>
        <w:tc>
          <w:tcPr>
            <w:tcW w:w="595"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No.</w:t>
            </w:r>
          </w:p>
        </w:tc>
        <w:tc>
          <w:tcPr>
            <w:tcW w:w="457"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w:t>
            </w:r>
          </w:p>
        </w:tc>
        <w:tc>
          <w:tcPr>
            <w:tcW w:w="349" w:type="pct"/>
            <w:vAlign w:val="center"/>
          </w:tcPr>
          <w:p w:rsidR="005671D9" w:rsidRPr="002375ED" w:rsidRDefault="005671D9" w:rsidP="00DA7763">
            <w:pPr>
              <w:pStyle w:val="NormalWeb"/>
              <w:snapToGrid w:val="0"/>
              <w:spacing w:before="0" w:beforeAutospacing="0" w:after="0" w:afterAutospacing="0"/>
              <w:jc w:val="both"/>
              <w:rPr>
                <w:sz w:val="20"/>
                <w:szCs w:val="20"/>
              </w:rPr>
            </w:pPr>
          </w:p>
        </w:tc>
        <w:tc>
          <w:tcPr>
            <w:tcW w:w="756" w:type="pct"/>
            <w:vAlign w:val="center"/>
          </w:tcPr>
          <w:p w:rsidR="005671D9" w:rsidRPr="002375ED" w:rsidRDefault="005671D9" w:rsidP="00DA7763">
            <w:pPr>
              <w:pStyle w:val="NormalWeb"/>
              <w:snapToGrid w:val="0"/>
              <w:spacing w:before="0" w:beforeAutospacing="0" w:after="0" w:afterAutospacing="0"/>
              <w:jc w:val="both"/>
              <w:rPr>
                <w:sz w:val="20"/>
                <w:szCs w:val="20"/>
              </w:rPr>
            </w:pPr>
          </w:p>
        </w:tc>
        <w:tc>
          <w:tcPr>
            <w:tcW w:w="559"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No.</w:t>
            </w:r>
          </w:p>
        </w:tc>
        <w:tc>
          <w:tcPr>
            <w:tcW w:w="768"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w:t>
            </w:r>
          </w:p>
        </w:tc>
        <w:tc>
          <w:tcPr>
            <w:tcW w:w="398" w:type="pct"/>
            <w:vMerge/>
            <w:vAlign w:val="center"/>
          </w:tcPr>
          <w:p w:rsidR="005671D9" w:rsidRPr="002375ED" w:rsidRDefault="005671D9" w:rsidP="00DA7763">
            <w:pPr>
              <w:pStyle w:val="NormalWeb"/>
              <w:snapToGrid w:val="0"/>
              <w:spacing w:before="0" w:beforeAutospacing="0" w:after="0" w:afterAutospacing="0"/>
              <w:jc w:val="both"/>
              <w:rPr>
                <w:sz w:val="20"/>
                <w:szCs w:val="20"/>
              </w:rPr>
            </w:pPr>
          </w:p>
        </w:tc>
      </w:tr>
      <w:tr w:rsidR="00DE7B90" w:rsidRPr="002375ED" w:rsidTr="00DE7B90">
        <w:trPr>
          <w:jc w:val="center"/>
        </w:trPr>
        <w:tc>
          <w:tcPr>
            <w:tcW w:w="1118" w:type="pct"/>
            <w:vAlign w:val="center"/>
          </w:tcPr>
          <w:p w:rsidR="005671D9" w:rsidRPr="002375ED" w:rsidRDefault="005671D9" w:rsidP="00DA7763">
            <w:pPr>
              <w:bidi w:val="0"/>
              <w:snapToGrid w:val="0"/>
              <w:spacing w:after="0" w:line="240" w:lineRule="auto"/>
              <w:jc w:val="both"/>
              <w:rPr>
                <w:rFonts w:ascii="Times New Roman" w:hAnsi="Times New Roman" w:cs="Times New Roman"/>
                <w:b/>
                <w:bCs/>
                <w:i/>
                <w:iCs/>
                <w:sz w:val="20"/>
                <w:szCs w:val="20"/>
              </w:rPr>
            </w:pPr>
            <w:r w:rsidRPr="002375ED">
              <w:rPr>
                <w:rFonts w:ascii="Times New Roman" w:hAnsi="Times New Roman" w:cs="Times New Roman"/>
                <w:b/>
                <w:bCs/>
                <w:i/>
                <w:iCs/>
                <w:sz w:val="20"/>
                <w:szCs w:val="20"/>
              </w:rPr>
              <w:t>Hematologic Toxicity</w:t>
            </w:r>
          </w:p>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2375ED">
              <w:rPr>
                <w:rFonts w:ascii="Times New Roman" w:hAnsi="Times New Roman" w:cs="Times New Roman"/>
                <w:sz w:val="20"/>
                <w:szCs w:val="20"/>
              </w:rPr>
              <w:t>Neutropenia</w:t>
            </w:r>
            <w:proofErr w:type="spellEnd"/>
          </w:p>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 xml:space="preserve">Febrile </w:t>
            </w:r>
            <w:proofErr w:type="spellStart"/>
            <w:r w:rsidRPr="002375ED">
              <w:rPr>
                <w:rFonts w:ascii="Times New Roman" w:hAnsi="Times New Roman" w:cs="Times New Roman"/>
                <w:sz w:val="20"/>
                <w:szCs w:val="20"/>
              </w:rPr>
              <w:t>neutropenia</w:t>
            </w:r>
            <w:proofErr w:type="spellEnd"/>
          </w:p>
          <w:p w:rsidR="005671D9" w:rsidRPr="002375ED" w:rsidRDefault="005671D9" w:rsidP="00DA7763">
            <w:pPr>
              <w:bidi w:val="0"/>
              <w:snapToGrid w:val="0"/>
              <w:spacing w:after="0" w:line="240" w:lineRule="auto"/>
              <w:jc w:val="both"/>
              <w:rPr>
                <w:rFonts w:ascii="Times New Roman" w:hAnsi="Times New Roman" w:cs="Times New Roman"/>
                <w:b/>
                <w:bCs/>
                <w:i/>
                <w:iCs/>
                <w:sz w:val="20"/>
                <w:szCs w:val="20"/>
              </w:rPr>
            </w:pPr>
            <w:r w:rsidRPr="002375ED">
              <w:rPr>
                <w:rFonts w:ascii="Times New Roman" w:hAnsi="Times New Roman" w:cs="Times New Roman"/>
                <w:sz w:val="20"/>
                <w:szCs w:val="20"/>
              </w:rPr>
              <w:t>Thrombocytopenia</w:t>
            </w:r>
          </w:p>
        </w:tc>
        <w:tc>
          <w:tcPr>
            <w:tcW w:w="595"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457"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349"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756"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16.7</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559"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3</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768"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23.1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7.7</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7.7</w:t>
            </w:r>
          </w:p>
        </w:tc>
        <w:tc>
          <w:tcPr>
            <w:tcW w:w="398"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0.05</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0.03</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0.03</w:t>
            </w:r>
          </w:p>
        </w:tc>
      </w:tr>
      <w:tr w:rsidR="00DE7B90" w:rsidRPr="002375ED" w:rsidTr="00DE7B90">
        <w:trPr>
          <w:jc w:val="center"/>
        </w:trPr>
        <w:tc>
          <w:tcPr>
            <w:tcW w:w="1118" w:type="pct"/>
            <w:tcBorders>
              <w:bottom w:val="single" w:sz="12" w:space="0" w:color="000000"/>
            </w:tcBorders>
            <w:vAlign w:val="center"/>
          </w:tcPr>
          <w:p w:rsidR="005671D9" w:rsidRPr="002375ED" w:rsidRDefault="005671D9" w:rsidP="00DA7763">
            <w:pPr>
              <w:bidi w:val="0"/>
              <w:snapToGrid w:val="0"/>
              <w:spacing w:after="0" w:line="240" w:lineRule="auto"/>
              <w:jc w:val="both"/>
              <w:rPr>
                <w:rFonts w:ascii="Times New Roman" w:hAnsi="Times New Roman" w:cs="Times New Roman"/>
                <w:b/>
                <w:bCs/>
                <w:i/>
                <w:iCs/>
                <w:sz w:val="20"/>
                <w:szCs w:val="20"/>
              </w:rPr>
            </w:pPr>
            <w:r w:rsidRPr="002375ED">
              <w:rPr>
                <w:rFonts w:ascii="Times New Roman" w:hAnsi="Times New Roman" w:cs="Times New Roman"/>
                <w:b/>
                <w:bCs/>
                <w:i/>
                <w:iCs/>
                <w:sz w:val="20"/>
                <w:szCs w:val="20"/>
              </w:rPr>
              <w:t>Non-hematologic Toxicity</w:t>
            </w:r>
          </w:p>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Diarrhea</w:t>
            </w:r>
          </w:p>
          <w:p w:rsidR="005671D9" w:rsidRPr="002375ED" w:rsidRDefault="005671D9" w:rsidP="00DA7763">
            <w:pPr>
              <w:autoSpaceDE w:val="0"/>
              <w:autoSpaceDN w:val="0"/>
              <w:bidi w:val="0"/>
              <w:adjustRightInd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Nausea/vomiting</w:t>
            </w:r>
          </w:p>
          <w:p w:rsidR="005671D9" w:rsidRPr="002375ED" w:rsidRDefault="005671D9" w:rsidP="00DA7763">
            <w:pPr>
              <w:pStyle w:val="NormalWeb"/>
              <w:snapToGrid w:val="0"/>
              <w:spacing w:before="0" w:beforeAutospacing="0" w:after="0" w:afterAutospacing="0"/>
              <w:jc w:val="both"/>
              <w:rPr>
                <w:sz w:val="20"/>
                <w:szCs w:val="20"/>
              </w:rPr>
            </w:pPr>
            <w:proofErr w:type="spellStart"/>
            <w:r w:rsidRPr="002375ED">
              <w:rPr>
                <w:sz w:val="20"/>
                <w:szCs w:val="20"/>
              </w:rPr>
              <w:t>Mucositis</w:t>
            </w:r>
            <w:proofErr w:type="spellEnd"/>
          </w:p>
        </w:tc>
        <w:tc>
          <w:tcPr>
            <w:tcW w:w="595"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457"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25</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349"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756"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16.7</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16.7</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16.7</w:t>
            </w:r>
          </w:p>
        </w:tc>
        <w:tc>
          <w:tcPr>
            <w:tcW w:w="559"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3</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768"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23.1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15.38</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7.7</w:t>
            </w:r>
          </w:p>
        </w:tc>
        <w:tc>
          <w:tcPr>
            <w:tcW w:w="398"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0.11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0.35</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0.12</w:t>
            </w:r>
          </w:p>
        </w:tc>
      </w:tr>
    </w:tbl>
    <w:p w:rsidR="00DE7B90" w:rsidRPr="002375ED" w:rsidRDefault="00DE7B90" w:rsidP="00DA7763">
      <w:pPr>
        <w:bidi w:val="0"/>
        <w:snapToGrid w:val="0"/>
        <w:spacing w:after="0" w:line="240" w:lineRule="auto"/>
        <w:jc w:val="both"/>
        <w:rPr>
          <w:rFonts w:ascii="Times New Roman" w:hAnsi="Times New Roman" w:cs="Times New Roman"/>
          <w:b/>
          <w:bCs/>
          <w:i/>
          <w:iCs/>
          <w:sz w:val="20"/>
          <w:szCs w:val="20"/>
        </w:rPr>
      </w:pPr>
    </w:p>
    <w:p w:rsidR="005671D9" w:rsidRPr="002375ED" w:rsidRDefault="005671D9" w:rsidP="00DA7763">
      <w:pPr>
        <w:pStyle w:val="NormalWeb"/>
        <w:snapToGrid w:val="0"/>
        <w:spacing w:before="0" w:beforeAutospacing="0" w:after="0" w:afterAutospacing="0"/>
        <w:jc w:val="center"/>
        <w:rPr>
          <w:b/>
          <w:bCs/>
          <w:sz w:val="20"/>
          <w:szCs w:val="20"/>
        </w:rPr>
      </w:pPr>
      <w:r w:rsidRPr="002375ED">
        <w:rPr>
          <w:b/>
          <w:bCs/>
          <w:sz w:val="20"/>
          <w:szCs w:val="20"/>
        </w:rPr>
        <w:t>Table 6. Late events after therapy</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7" w:type="dxa"/>
          <w:right w:w="57" w:type="dxa"/>
        </w:tblCellMar>
        <w:tblLook w:val="00A0"/>
      </w:tblPr>
      <w:tblGrid>
        <w:gridCol w:w="1744"/>
        <w:gridCol w:w="1185"/>
        <w:gridCol w:w="910"/>
        <w:gridCol w:w="675"/>
        <w:gridCol w:w="1463"/>
        <w:gridCol w:w="1145"/>
        <w:gridCol w:w="1577"/>
        <w:gridCol w:w="777"/>
      </w:tblGrid>
      <w:tr w:rsidR="005671D9" w:rsidRPr="002375ED" w:rsidTr="00DE7B90">
        <w:trPr>
          <w:jc w:val="center"/>
        </w:trPr>
        <w:tc>
          <w:tcPr>
            <w:tcW w:w="921" w:type="pct"/>
            <w:vMerge w:val="restart"/>
            <w:tcBorders>
              <w:top w:val="single" w:sz="12" w:space="0" w:color="000000"/>
              <w:bottom w:val="single" w:sz="12" w:space="0" w:color="000000"/>
              <w:tl2br w:val="single" w:sz="6" w:space="0" w:color="000000"/>
            </w:tcBorders>
            <w:vAlign w:val="center"/>
          </w:tcPr>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Event</w:t>
            </w:r>
          </w:p>
        </w:tc>
        <w:tc>
          <w:tcPr>
            <w:tcW w:w="3668" w:type="pct"/>
            <w:gridSpan w:val="6"/>
            <w:tcBorders>
              <w:top w:val="single" w:sz="12" w:space="0" w:color="000000"/>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b/>
                <w:bCs/>
                <w:sz w:val="20"/>
                <w:szCs w:val="20"/>
              </w:rPr>
              <w:t>Number of Events After Therapy</w:t>
            </w:r>
          </w:p>
        </w:tc>
        <w:tc>
          <w:tcPr>
            <w:tcW w:w="412" w:type="pct"/>
            <w:vMerge w:val="restart"/>
            <w:tcBorders>
              <w:top w:val="single" w:sz="12" w:space="0" w:color="000000"/>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P- value</w:t>
            </w:r>
          </w:p>
        </w:tc>
      </w:tr>
      <w:tr w:rsidR="005671D9" w:rsidRPr="002375ED" w:rsidTr="00DE7B90">
        <w:trPr>
          <w:jc w:val="center"/>
        </w:trPr>
        <w:tc>
          <w:tcPr>
            <w:tcW w:w="921" w:type="pct"/>
            <w:vMerge/>
            <w:vAlign w:val="center"/>
          </w:tcPr>
          <w:p w:rsidR="005671D9" w:rsidRPr="002375ED" w:rsidRDefault="005671D9" w:rsidP="00DA7763">
            <w:pPr>
              <w:pStyle w:val="NormalWeb"/>
              <w:snapToGrid w:val="0"/>
              <w:spacing w:before="0" w:beforeAutospacing="0" w:after="0" w:afterAutospacing="0"/>
              <w:jc w:val="both"/>
              <w:rPr>
                <w:sz w:val="20"/>
                <w:szCs w:val="20"/>
              </w:rPr>
            </w:pPr>
          </w:p>
        </w:tc>
        <w:tc>
          <w:tcPr>
            <w:tcW w:w="1104" w:type="pct"/>
            <w:gridSpan w:val="2"/>
            <w:vAlign w:val="center"/>
          </w:tcPr>
          <w:p w:rsidR="005671D9" w:rsidRPr="002375ED" w:rsidRDefault="005671D9" w:rsidP="00DA7763">
            <w:pPr>
              <w:bidi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Radiotherapy alone arm</w:t>
            </w:r>
          </w:p>
          <w:p w:rsidR="005671D9" w:rsidRPr="002375ED" w:rsidRDefault="005671D9" w:rsidP="00DA7763">
            <w:pPr>
              <w:bidi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N=4</w:t>
            </w:r>
          </w:p>
        </w:tc>
        <w:tc>
          <w:tcPr>
            <w:tcW w:w="1128" w:type="pct"/>
            <w:gridSpan w:val="2"/>
            <w:vAlign w:val="center"/>
          </w:tcPr>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chemotherapy alone arm</w:t>
            </w:r>
          </w:p>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N=6</w:t>
            </w:r>
          </w:p>
        </w:tc>
        <w:tc>
          <w:tcPr>
            <w:tcW w:w="1436" w:type="pct"/>
            <w:gridSpan w:val="2"/>
            <w:vAlign w:val="center"/>
          </w:tcPr>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Combined-modality therapy arm</w:t>
            </w:r>
          </w:p>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N=13</w:t>
            </w:r>
          </w:p>
        </w:tc>
        <w:tc>
          <w:tcPr>
            <w:tcW w:w="412" w:type="pct"/>
            <w:vMerge/>
            <w:vAlign w:val="center"/>
          </w:tcPr>
          <w:p w:rsidR="005671D9" w:rsidRPr="002375ED" w:rsidRDefault="005671D9" w:rsidP="00DA7763">
            <w:pPr>
              <w:pStyle w:val="NormalWeb"/>
              <w:snapToGrid w:val="0"/>
              <w:spacing w:before="0" w:beforeAutospacing="0" w:after="0" w:afterAutospacing="0"/>
              <w:jc w:val="both"/>
              <w:rPr>
                <w:sz w:val="20"/>
                <w:szCs w:val="20"/>
              </w:rPr>
            </w:pPr>
          </w:p>
        </w:tc>
      </w:tr>
      <w:tr w:rsidR="00DE7B90" w:rsidRPr="002375ED" w:rsidTr="00DE7B90">
        <w:trPr>
          <w:jc w:val="center"/>
        </w:trPr>
        <w:tc>
          <w:tcPr>
            <w:tcW w:w="921" w:type="pct"/>
            <w:vMerge/>
            <w:vAlign w:val="center"/>
          </w:tcPr>
          <w:p w:rsidR="005671D9" w:rsidRPr="002375ED" w:rsidRDefault="005671D9" w:rsidP="00DA7763">
            <w:pPr>
              <w:pStyle w:val="NormalWeb"/>
              <w:snapToGrid w:val="0"/>
              <w:spacing w:before="0" w:beforeAutospacing="0" w:after="0" w:afterAutospacing="0"/>
              <w:jc w:val="both"/>
              <w:rPr>
                <w:sz w:val="20"/>
                <w:szCs w:val="20"/>
              </w:rPr>
            </w:pPr>
          </w:p>
        </w:tc>
        <w:tc>
          <w:tcPr>
            <w:tcW w:w="625"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No.</w:t>
            </w:r>
          </w:p>
        </w:tc>
        <w:tc>
          <w:tcPr>
            <w:tcW w:w="480"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w:t>
            </w:r>
          </w:p>
        </w:tc>
        <w:tc>
          <w:tcPr>
            <w:tcW w:w="356" w:type="pct"/>
            <w:vAlign w:val="center"/>
          </w:tcPr>
          <w:p w:rsidR="005671D9" w:rsidRPr="002375ED" w:rsidRDefault="005671D9" w:rsidP="00DA7763">
            <w:pPr>
              <w:pStyle w:val="NormalWeb"/>
              <w:snapToGrid w:val="0"/>
              <w:spacing w:before="0" w:beforeAutospacing="0" w:after="0" w:afterAutospacing="0"/>
              <w:jc w:val="both"/>
              <w:rPr>
                <w:sz w:val="20"/>
                <w:szCs w:val="20"/>
              </w:rPr>
            </w:pPr>
          </w:p>
        </w:tc>
        <w:tc>
          <w:tcPr>
            <w:tcW w:w="771" w:type="pct"/>
            <w:vAlign w:val="center"/>
          </w:tcPr>
          <w:p w:rsidR="005671D9" w:rsidRPr="002375ED" w:rsidRDefault="005671D9" w:rsidP="00DA7763">
            <w:pPr>
              <w:pStyle w:val="NormalWeb"/>
              <w:snapToGrid w:val="0"/>
              <w:spacing w:before="0" w:beforeAutospacing="0" w:after="0" w:afterAutospacing="0"/>
              <w:jc w:val="both"/>
              <w:rPr>
                <w:sz w:val="20"/>
                <w:szCs w:val="20"/>
              </w:rPr>
            </w:pPr>
          </w:p>
        </w:tc>
        <w:tc>
          <w:tcPr>
            <w:tcW w:w="604"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No.</w:t>
            </w:r>
          </w:p>
        </w:tc>
        <w:tc>
          <w:tcPr>
            <w:tcW w:w="832"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w:t>
            </w:r>
          </w:p>
        </w:tc>
        <w:tc>
          <w:tcPr>
            <w:tcW w:w="412" w:type="pct"/>
            <w:vMerge/>
            <w:vAlign w:val="center"/>
          </w:tcPr>
          <w:p w:rsidR="005671D9" w:rsidRPr="002375ED" w:rsidRDefault="005671D9" w:rsidP="00DA7763">
            <w:pPr>
              <w:pStyle w:val="NormalWeb"/>
              <w:snapToGrid w:val="0"/>
              <w:spacing w:before="0" w:beforeAutospacing="0" w:after="0" w:afterAutospacing="0"/>
              <w:jc w:val="both"/>
              <w:rPr>
                <w:sz w:val="20"/>
                <w:szCs w:val="20"/>
              </w:rPr>
            </w:pPr>
          </w:p>
        </w:tc>
      </w:tr>
      <w:tr w:rsidR="00DE7B90" w:rsidRPr="002375ED" w:rsidTr="00DE7B90">
        <w:trPr>
          <w:jc w:val="center"/>
        </w:trPr>
        <w:tc>
          <w:tcPr>
            <w:tcW w:w="921"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b/>
                <w:bCs/>
                <w:sz w:val="20"/>
                <w:szCs w:val="20"/>
              </w:rPr>
              <w:t>Second malignancy</w:t>
            </w:r>
            <w:r w:rsidRPr="002375ED">
              <w:rPr>
                <w:sz w:val="20"/>
                <w:szCs w:val="20"/>
              </w:rPr>
              <w:t xml:space="preserve"> </w:t>
            </w:r>
          </w:p>
        </w:tc>
        <w:tc>
          <w:tcPr>
            <w:tcW w:w="625"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480"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25</w:t>
            </w:r>
          </w:p>
        </w:tc>
        <w:tc>
          <w:tcPr>
            <w:tcW w:w="356"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771"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16.7</w:t>
            </w:r>
          </w:p>
        </w:tc>
        <w:tc>
          <w:tcPr>
            <w:tcW w:w="604"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832"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412"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0.001</w:t>
            </w:r>
          </w:p>
        </w:tc>
      </w:tr>
      <w:tr w:rsidR="00DE7B90" w:rsidRPr="002375ED" w:rsidTr="00DE7B90">
        <w:trPr>
          <w:jc w:val="center"/>
        </w:trPr>
        <w:tc>
          <w:tcPr>
            <w:tcW w:w="921"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b/>
                <w:bCs/>
                <w:sz w:val="20"/>
                <w:szCs w:val="20"/>
              </w:rPr>
              <w:t>Cardiac</w:t>
            </w:r>
            <w:r w:rsidRPr="002375ED">
              <w:rPr>
                <w:sz w:val="20"/>
                <w:szCs w:val="20"/>
              </w:rPr>
              <w:t xml:space="preserve"> </w:t>
            </w:r>
          </w:p>
        </w:tc>
        <w:tc>
          <w:tcPr>
            <w:tcW w:w="625"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480"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25</w:t>
            </w:r>
          </w:p>
        </w:tc>
        <w:tc>
          <w:tcPr>
            <w:tcW w:w="356"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771"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16.7</w:t>
            </w:r>
          </w:p>
        </w:tc>
        <w:tc>
          <w:tcPr>
            <w:tcW w:w="604"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w:t>
            </w:r>
          </w:p>
        </w:tc>
        <w:tc>
          <w:tcPr>
            <w:tcW w:w="832"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15.38</w:t>
            </w:r>
          </w:p>
        </w:tc>
        <w:tc>
          <w:tcPr>
            <w:tcW w:w="412"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0.38</w:t>
            </w:r>
          </w:p>
        </w:tc>
      </w:tr>
      <w:tr w:rsidR="00DE7B90" w:rsidRPr="002375ED" w:rsidTr="00DE7B90">
        <w:trPr>
          <w:jc w:val="center"/>
        </w:trPr>
        <w:tc>
          <w:tcPr>
            <w:tcW w:w="921"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b/>
                <w:bCs/>
                <w:sz w:val="20"/>
                <w:szCs w:val="20"/>
              </w:rPr>
              <w:t>Pulmonary</w:t>
            </w:r>
            <w:r w:rsidRPr="002375ED">
              <w:rPr>
                <w:sz w:val="20"/>
                <w:szCs w:val="20"/>
              </w:rPr>
              <w:t xml:space="preserve"> </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Grade &lt; 3</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Grade &gt; 3</w:t>
            </w:r>
          </w:p>
        </w:tc>
        <w:tc>
          <w:tcPr>
            <w:tcW w:w="625"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480"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25</w:t>
            </w:r>
          </w:p>
        </w:tc>
        <w:tc>
          <w:tcPr>
            <w:tcW w:w="356"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771"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16.7</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604"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832"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7.7</w:t>
            </w: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412" w:type="pct"/>
            <w:vAlign w:val="center"/>
          </w:tcPr>
          <w:p w:rsidR="005671D9" w:rsidRPr="002375ED" w:rsidRDefault="005671D9" w:rsidP="00DA7763">
            <w:pPr>
              <w:pStyle w:val="NormalWeb"/>
              <w:snapToGrid w:val="0"/>
              <w:spacing w:before="0" w:beforeAutospacing="0" w:after="0" w:afterAutospacing="0"/>
              <w:jc w:val="both"/>
              <w:rPr>
                <w:sz w:val="20"/>
                <w:szCs w:val="20"/>
              </w:rPr>
            </w:pPr>
          </w:p>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0.11</w:t>
            </w:r>
          </w:p>
        </w:tc>
      </w:tr>
      <w:tr w:rsidR="00DE7B90" w:rsidRPr="002375ED" w:rsidTr="00DE7B90">
        <w:trPr>
          <w:jc w:val="center"/>
        </w:trPr>
        <w:tc>
          <w:tcPr>
            <w:tcW w:w="921" w:type="pct"/>
            <w:vAlign w:val="center"/>
          </w:tcPr>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Hypothyroidism</w:t>
            </w:r>
          </w:p>
        </w:tc>
        <w:tc>
          <w:tcPr>
            <w:tcW w:w="625"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480"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25</w:t>
            </w:r>
          </w:p>
        </w:tc>
        <w:tc>
          <w:tcPr>
            <w:tcW w:w="356"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771"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604"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w:t>
            </w:r>
          </w:p>
        </w:tc>
        <w:tc>
          <w:tcPr>
            <w:tcW w:w="832"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15.38</w:t>
            </w:r>
          </w:p>
        </w:tc>
        <w:tc>
          <w:tcPr>
            <w:tcW w:w="412"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0.07</w:t>
            </w:r>
          </w:p>
        </w:tc>
      </w:tr>
      <w:tr w:rsidR="00DE7B90" w:rsidRPr="002375ED" w:rsidTr="00DE7B90">
        <w:trPr>
          <w:jc w:val="center"/>
        </w:trPr>
        <w:tc>
          <w:tcPr>
            <w:tcW w:w="921" w:type="pct"/>
            <w:vAlign w:val="center"/>
          </w:tcPr>
          <w:p w:rsidR="005671D9" w:rsidRPr="002375ED" w:rsidRDefault="005671D9" w:rsidP="00DA7763">
            <w:pPr>
              <w:pStyle w:val="NormalWeb"/>
              <w:snapToGrid w:val="0"/>
              <w:spacing w:before="0" w:beforeAutospacing="0" w:after="0" w:afterAutospacing="0"/>
              <w:jc w:val="both"/>
              <w:rPr>
                <w:b/>
                <w:bCs/>
                <w:sz w:val="20"/>
                <w:szCs w:val="20"/>
              </w:rPr>
            </w:pPr>
            <w:r w:rsidRPr="002375ED">
              <w:rPr>
                <w:b/>
                <w:bCs/>
                <w:sz w:val="20"/>
                <w:szCs w:val="20"/>
              </w:rPr>
              <w:t>Hyperthyroidism</w:t>
            </w:r>
          </w:p>
        </w:tc>
        <w:tc>
          <w:tcPr>
            <w:tcW w:w="625"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480"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25</w:t>
            </w:r>
          </w:p>
        </w:tc>
        <w:tc>
          <w:tcPr>
            <w:tcW w:w="356"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771"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604"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832"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7.7</w:t>
            </w:r>
          </w:p>
        </w:tc>
        <w:tc>
          <w:tcPr>
            <w:tcW w:w="412"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0.19</w:t>
            </w:r>
          </w:p>
        </w:tc>
      </w:tr>
      <w:tr w:rsidR="00DE7B90" w:rsidRPr="002375ED" w:rsidTr="00DE7B90">
        <w:trPr>
          <w:jc w:val="center"/>
        </w:trPr>
        <w:tc>
          <w:tcPr>
            <w:tcW w:w="921" w:type="pct"/>
            <w:vAlign w:val="center"/>
          </w:tcPr>
          <w:p w:rsidR="005671D9" w:rsidRPr="002375ED" w:rsidRDefault="005671D9" w:rsidP="00DA7763">
            <w:pPr>
              <w:pStyle w:val="NormalWeb"/>
              <w:snapToGrid w:val="0"/>
              <w:spacing w:before="0" w:beforeAutospacing="0" w:after="0" w:afterAutospacing="0"/>
              <w:jc w:val="both"/>
              <w:rPr>
                <w:b/>
                <w:bCs/>
                <w:sz w:val="20"/>
                <w:szCs w:val="20"/>
              </w:rPr>
            </w:pPr>
            <w:r w:rsidRPr="002375ED">
              <w:rPr>
                <w:b/>
                <w:bCs/>
                <w:noProof/>
                <w:sz w:val="20"/>
                <w:szCs w:val="20"/>
              </w:rPr>
              <w:t>GIT</w:t>
            </w:r>
          </w:p>
        </w:tc>
        <w:tc>
          <w:tcPr>
            <w:tcW w:w="625"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480"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25</w:t>
            </w:r>
          </w:p>
        </w:tc>
        <w:tc>
          <w:tcPr>
            <w:tcW w:w="356"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771"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604"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832"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412" w:type="pct"/>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0.02</w:t>
            </w:r>
          </w:p>
        </w:tc>
      </w:tr>
      <w:tr w:rsidR="00DE7B90" w:rsidRPr="002375ED" w:rsidTr="00DE7B90">
        <w:trPr>
          <w:jc w:val="center"/>
        </w:trPr>
        <w:tc>
          <w:tcPr>
            <w:tcW w:w="921"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b/>
                <w:bCs/>
                <w:noProof/>
                <w:sz w:val="20"/>
                <w:szCs w:val="20"/>
              </w:rPr>
            </w:pPr>
            <w:r w:rsidRPr="002375ED">
              <w:rPr>
                <w:b/>
                <w:bCs/>
                <w:sz w:val="20"/>
                <w:szCs w:val="20"/>
              </w:rPr>
              <w:t>Other</w:t>
            </w:r>
          </w:p>
        </w:tc>
        <w:tc>
          <w:tcPr>
            <w:tcW w:w="625"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480"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w:t>
            </w:r>
          </w:p>
        </w:tc>
        <w:tc>
          <w:tcPr>
            <w:tcW w:w="356"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w:t>
            </w:r>
          </w:p>
        </w:tc>
        <w:tc>
          <w:tcPr>
            <w:tcW w:w="771"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16.7</w:t>
            </w:r>
          </w:p>
        </w:tc>
        <w:tc>
          <w:tcPr>
            <w:tcW w:w="604"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2</w:t>
            </w:r>
          </w:p>
        </w:tc>
        <w:tc>
          <w:tcPr>
            <w:tcW w:w="832"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15.38</w:t>
            </w:r>
          </w:p>
        </w:tc>
        <w:tc>
          <w:tcPr>
            <w:tcW w:w="412" w:type="pct"/>
            <w:tcBorders>
              <w:bottom w:val="single" w:sz="12" w:space="0" w:color="000000"/>
            </w:tcBorders>
            <w:vAlign w:val="center"/>
          </w:tcPr>
          <w:p w:rsidR="005671D9" w:rsidRPr="002375ED" w:rsidRDefault="005671D9" w:rsidP="00DA7763">
            <w:pPr>
              <w:pStyle w:val="NormalWeb"/>
              <w:snapToGrid w:val="0"/>
              <w:spacing w:before="0" w:beforeAutospacing="0" w:after="0" w:afterAutospacing="0"/>
              <w:jc w:val="both"/>
              <w:rPr>
                <w:sz w:val="20"/>
                <w:szCs w:val="20"/>
              </w:rPr>
            </w:pPr>
            <w:r w:rsidRPr="002375ED">
              <w:rPr>
                <w:sz w:val="20"/>
                <w:szCs w:val="20"/>
              </w:rPr>
              <w:t>0.28</w:t>
            </w:r>
          </w:p>
        </w:tc>
      </w:tr>
    </w:tbl>
    <w:p w:rsidR="00DF00CB" w:rsidRPr="002375ED" w:rsidRDefault="00DF00CB" w:rsidP="00DA7763">
      <w:pPr>
        <w:pStyle w:val="NormalWeb"/>
        <w:snapToGrid w:val="0"/>
        <w:spacing w:before="0" w:beforeAutospacing="0" w:after="0" w:afterAutospacing="0"/>
        <w:jc w:val="both"/>
        <w:rPr>
          <w:b/>
          <w:bCs/>
          <w:sz w:val="20"/>
          <w:szCs w:val="20"/>
        </w:rPr>
      </w:pPr>
    </w:p>
    <w:p w:rsidR="00DA7763" w:rsidRPr="002375ED" w:rsidRDefault="00DA7763" w:rsidP="00DA7763">
      <w:pPr>
        <w:bidi w:val="0"/>
        <w:snapToGrid w:val="0"/>
        <w:spacing w:after="0" w:line="240" w:lineRule="auto"/>
        <w:jc w:val="center"/>
        <w:rPr>
          <w:rFonts w:ascii="Times New Roman" w:hAnsi="Times New Roman" w:cs="Times New Roman"/>
          <w:b/>
          <w:bCs/>
          <w:sz w:val="20"/>
          <w:szCs w:val="20"/>
          <w:lang w:eastAsia="zh-CN"/>
        </w:rPr>
      </w:pPr>
      <w:r w:rsidRPr="002375ED">
        <w:rPr>
          <w:b/>
          <w:bCs/>
          <w:noProof/>
          <w:sz w:val="20"/>
          <w:szCs w:val="20"/>
          <w:lang w:eastAsia="zh-CN"/>
        </w:rPr>
        <w:lastRenderedPageBreak/>
        <w:drawing>
          <wp:inline distT="0" distB="0" distL="0" distR="0">
            <wp:extent cx="3966096" cy="32601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3968476" cy="3262132"/>
                    </a:xfrm>
                    <a:prstGeom prst="rect">
                      <a:avLst/>
                    </a:prstGeom>
                    <a:noFill/>
                    <a:ln w="9525">
                      <a:noFill/>
                      <a:miter lim="800000"/>
                      <a:headEnd/>
                      <a:tailEnd/>
                    </a:ln>
                  </pic:spPr>
                </pic:pic>
              </a:graphicData>
            </a:graphic>
          </wp:inline>
        </w:drawing>
      </w:r>
    </w:p>
    <w:p w:rsidR="00DE7B90" w:rsidRPr="002375ED" w:rsidRDefault="005671D9" w:rsidP="00DA7763">
      <w:pPr>
        <w:bidi w:val="0"/>
        <w:snapToGrid w:val="0"/>
        <w:spacing w:after="0" w:line="240" w:lineRule="auto"/>
        <w:jc w:val="center"/>
        <w:rPr>
          <w:rFonts w:ascii="Times New Roman" w:hAnsi="Times New Roman" w:cs="Times New Roman"/>
          <w:noProof/>
          <w:sz w:val="20"/>
          <w:szCs w:val="20"/>
        </w:rPr>
      </w:pPr>
      <w:r w:rsidRPr="002375ED">
        <w:rPr>
          <w:rFonts w:ascii="Times New Roman" w:hAnsi="Times New Roman" w:cs="Times New Roman"/>
          <w:b/>
          <w:bCs/>
          <w:sz w:val="20"/>
          <w:szCs w:val="20"/>
        </w:rPr>
        <w:t xml:space="preserve">Figure. 1. </w:t>
      </w:r>
      <w:r w:rsidRPr="002375ED">
        <w:rPr>
          <w:rFonts w:ascii="Times New Roman" w:hAnsi="Times New Roman" w:cs="Times New Roman"/>
          <w:sz w:val="20"/>
          <w:szCs w:val="20"/>
        </w:rPr>
        <w:t>Kaplan–Meier curves for DFS in patients with PBL.</w:t>
      </w:r>
    </w:p>
    <w:p w:rsidR="00DE7B90" w:rsidRPr="002375ED" w:rsidRDefault="00DE7B90" w:rsidP="00DA7763">
      <w:pPr>
        <w:bidi w:val="0"/>
        <w:snapToGrid w:val="0"/>
        <w:spacing w:after="0" w:line="240" w:lineRule="auto"/>
        <w:ind w:firstLine="425"/>
        <w:jc w:val="both"/>
        <w:rPr>
          <w:rFonts w:ascii="Times New Roman" w:hAnsi="Times New Roman" w:cs="Times New Roman"/>
          <w:noProof/>
          <w:sz w:val="20"/>
          <w:szCs w:val="20"/>
        </w:rPr>
      </w:pPr>
    </w:p>
    <w:p w:rsidR="00A847BA" w:rsidRPr="002375ED" w:rsidRDefault="00A847BA" w:rsidP="00DA7763">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2375ED">
        <w:rPr>
          <w:rFonts w:ascii="Times New Roman" w:hAnsi="Times New Roman" w:cs="Times New Roman"/>
          <w:b/>
          <w:bCs/>
          <w:noProof/>
          <w:sz w:val="20"/>
          <w:szCs w:val="20"/>
          <w:lang w:eastAsia="zh-CN"/>
        </w:rPr>
        <w:drawing>
          <wp:inline distT="0" distB="0" distL="0" distR="0">
            <wp:extent cx="4393924" cy="3053301"/>
            <wp:effectExtent l="19050" t="0" r="6626" b="0"/>
            <wp:docPr id="8" name="Picture 2" descr="C:\Users\Dr mona\Desktop\20-2-2019\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mona\Desktop\20-2-2019\Untitled.jpg"/>
                    <pic:cNvPicPr>
                      <a:picLocks noChangeAspect="1" noChangeArrowheads="1"/>
                    </pic:cNvPicPr>
                  </pic:nvPicPr>
                  <pic:blipFill>
                    <a:blip r:embed="rId18"/>
                    <a:srcRect/>
                    <a:stretch>
                      <a:fillRect/>
                    </a:stretch>
                  </pic:blipFill>
                  <pic:spPr bwMode="auto">
                    <a:xfrm>
                      <a:off x="0" y="0"/>
                      <a:ext cx="4399089" cy="3056890"/>
                    </a:xfrm>
                    <a:prstGeom prst="rect">
                      <a:avLst/>
                    </a:prstGeom>
                    <a:noFill/>
                    <a:ln w="9525">
                      <a:noFill/>
                      <a:miter lim="800000"/>
                      <a:headEnd/>
                      <a:tailEnd/>
                    </a:ln>
                  </pic:spPr>
                </pic:pic>
              </a:graphicData>
            </a:graphic>
          </wp:inline>
        </w:drawing>
      </w:r>
    </w:p>
    <w:p w:rsidR="00DE7B90" w:rsidRPr="002375ED" w:rsidRDefault="005671D9" w:rsidP="00DA7763">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2375ED">
        <w:rPr>
          <w:rFonts w:ascii="Times New Roman" w:hAnsi="Times New Roman" w:cs="Times New Roman"/>
          <w:b/>
          <w:bCs/>
          <w:sz w:val="20"/>
          <w:szCs w:val="20"/>
        </w:rPr>
        <w:t>Figure. 2</w:t>
      </w:r>
      <w:r w:rsidRPr="002375ED">
        <w:rPr>
          <w:rFonts w:ascii="Times New Roman" w:hAnsi="Times New Roman" w:cs="Times New Roman"/>
          <w:sz w:val="20"/>
          <w:szCs w:val="20"/>
        </w:rPr>
        <w:t>. Kaplan–Meier curves for overall survival time in patients with PBL.</w:t>
      </w:r>
    </w:p>
    <w:p w:rsidR="00DE7B90" w:rsidRPr="002375ED" w:rsidRDefault="00DE7B90" w:rsidP="00DA7763">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DA7763" w:rsidRPr="002375ED" w:rsidRDefault="00DA7763" w:rsidP="00DA7763">
      <w:pPr>
        <w:pStyle w:val="NormalWeb"/>
        <w:snapToGrid w:val="0"/>
        <w:spacing w:before="0" w:beforeAutospacing="0" w:after="0" w:afterAutospacing="0"/>
        <w:jc w:val="both"/>
        <w:rPr>
          <w:b/>
          <w:bCs/>
          <w:sz w:val="20"/>
          <w:szCs w:val="20"/>
        </w:rPr>
        <w:sectPr w:rsidR="00DA7763" w:rsidRPr="002375ED" w:rsidSect="00DE7B90">
          <w:type w:val="continuous"/>
          <w:pgSz w:w="12242" w:h="15842" w:code="1"/>
          <w:pgMar w:top="1440" w:right="1440" w:bottom="1440" w:left="1440" w:header="720" w:footer="720" w:gutter="0"/>
          <w:cols w:space="720"/>
          <w:bidi/>
          <w:docGrid w:linePitch="360"/>
        </w:sectPr>
      </w:pPr>
    </w:p>
    <w:p w:rsidR="00DA7763" w:rsidRPr="002375ED" w:rsidRDefault="00A847BA" w:rsidP="00DA7763">
      <w:pPr>
        <w:pStyle w:val="NormalWeb"/>
        <w:snapToGrid w:val="0"/>
        <w:spacing w:before="0" w:beforeAutospacing="0" w:after="0" w:afterAutospacing="0"/>
        <w:jc w:val="both"/>
        <w:rPr>
          <w:b/>
          <w:bCs/>
          <w:sz w:val="20"/>
          <w:szCs w:val="20"/>
        </w:rPr>
      </w:pPr>
      <w:r w:rsidRPr="002375ED">
        <w:rPr>
          <w:b/>
          <w:bCs/>
          <w:sz w:val="20"/>
          <w:szCs w:val="20"/>
        </w:rPr>
        <w:lastRenderedPageBreak/>
        <w:t>4. Discussion</w:t>
      </w:r>
    </w:p>
    <w:p w:rsidR="000D40C9" w:rsidRPr="002375ED" w:rsidRDefault="000D40C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To our knowledge, there is no published major prospective randomized study</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applying to PBL in our country. This study is a </w:t>
      </w:r>
      <w:r w:rsidRPr="002375ED">
        <w:rPr>
          <w:rFonts w:ascii="Times New Roman" w:hAnsi="Times New Roman" w:cs="Times New Roman"/>
          <w:sz w:val="20"/>
          <w:szCs w:val="20"/>
          <w:lang w:bidi="ar-EG"/>
        </w:rPr>
        <w:t>retrospective</w:t>
      </w:r>
      <w:r w:rsidRPr="002375ED">
        <w:rPr>
          <w:rFonts w:ascii="Times New Roman" w:hAnsi="Times New Roman" w:cs="Times New Roman"/>
          <w:sz w:val="20"/>
          <w:szCs w:val="20"/>
        </w:rPr>
        <w:t xml:space="preserve"> single institution study evaluating the definition, clinical characteristics, treatment modalities, and prognosis of PBL</w:t>
      </w:r>
      <w:r w:rsidRPr="002375ED">
        <w:rPr>
          <w:rFonts w:ascii="Times New Roman" w:hAnsi="Times New Roman" w:cs="Times New Roman"/>
          <w:sz w:val="20"/>
          <w:szCs w:val="20"/>
          <w:lang w:bidi="ar-EG"/>
        </w:rPr>
        <w:t xml:space="preserve">. </w:t>
      </w:r>
      <w:r w:rsidRPr="002375ED">
        <w:rPr>
          <w:rFonts w:ascii="Times New Roman" w:hAnsi="Times New Roman" w:cs="Times New Roman"/>
          <w:sz w:val="20"/>
          <w:szCs w:val="20"/>
        </w:rPr>
        <w:t>Our report summarizes the</w:t>
      </w:r>
      <w:r w:rsidR="00813DD4" w:rsidRPr="002375ED">
        <w:rPr>
          <w:rFonts w:ascii="Times New Roman" w:hAnsi="Times New Roman" w:cs="Times New Roman"/>
          <w:sz w:val="20"/>
          <w:szCs w:val="20"/>
        </w:rPr>
        <w:t xml:space="preserve"> experience of the department of </w:t>
      </w:r>
      <w:r w:rsidR="00813DD4" w:rsidRPr="002375ED">
        <w:rPr>
          <w:rFonts w:ascii="Times New Roman" w:hAnsi="Times New Roman" w:cs="Times New Roman"/>
          <w:sz w:val="20"/>
          <w:szCs w:val="20"/>
          <w:lang w:bidi="ar-EG"/>
        </w:rPr>
        <w:t xml:space="preserve">Clinical Oncology, </w:t>
      </w:r>
      <w:r w:rsidRPr="002375ED">
        <w:rPr>
          <w:rFonts w:ascii="Times New Roman" w:hAnsi="Times New Roman" w:cs="Times New Roman"/>
          <w:sz w:val="20"/>
          <w:szCs w:val="20"/>
          <w:lang w:bidi="ar-EG"/>
        </w:rPr>
        <w:t>Faculty of Medicine, Tanta University Hospitals</w:t>
      </w:r>
      <w:r w:rsidRPr="002375ED">
        <w:rPr>
          <w:rFonts w:ascii="Times New Roman" w:hAnsi="Times New Roman" w:cs="Times New Roman"/>
          <w:sz w:val="20"/>
          <w:szCs w:val="20"/>
        </w:rPr>
        <w:t xml:space="preserve"> </w:t>
      </w:r>
      <w:r w:rsidR="00813DD4" w:rsidRPr="002375ED">
        <w:rPr>
          <w:rFonts w:ascii="Times New Roman" w:hAnsi="Times New Roman" w:cs="Times New Roman"/>
          <w:sz w:val="20"/>
          <w:szCs w:val="20"/>
        </w:rPr>
        <w:t>in the management 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 xml:space="preserve">23 patients </w:t>
      </w:r>
      <w:r w:rsidRPr="002375ED">
        <w:rPr>
          <w:rFonts w:ascii="Times New Roman" w:hAnsi="Times New Roman" w:cs="Times New Roman"/>
          <w:sz w:val="20"/>
          <w:szCs w:val="20"/>
        </w:rPr>
        <w:lastRenderedPageBreak/>
        <w:t>with PBL over the last 13 years</w:t>
      </w:r>
      <w:r w:rsidRPr="002375ED">
        <w:rPr>
          <w:rFonts w:ascii="Times New Roman" w:hAnsi="Times New Roman" w:cs="Times New Roman"/>
          <w:sz w:val="20"/>
          <w:szCs w:val="20"/>
          <w:lang w:bidi="ar-EG"/>
        </w:rPr>
        <w:t xml:space="preserve"> from </w:t>
      </w:r>
      <w:r w:rsidRPr="002375ED">
        <w:rPr>
          <w:rFonts w:ascii="Times New Roman" w:hAnsi="Times New Roman" w:cs="Times New Roman"/>
          <w:sz w:val="20"/>
          <w:szCs w:val="20"/>
        </w:rPr>
        <w:t xml:space="preserve">January 2000 </w:t>
      </w:r>
      <w:r w:rsidRPr="002375ED">
        <w:rPr>
          <w:rFonts w:ascii="Times New Roman" w:hAnsi="Times New Roman" w:cs="Times New Roman"/>
          <w:sz w:val="20"/>
          <w:szCs w:val="20"/>
          <w:lang w:bidi="ar-EG"/>
        </w:rPr>
        <w:t>to</w:t>
      </w:r>
      <w:r w:rsidRPr="002375ED">
        <w:rPr>
          <w:rFonts w:ascii="Times New Roman" w:hAnsi="Times New Roman" w:cs="Times New Roman"/>
          <w:sz w:val="20"/>
          <w:szCs w:val="20"/>
        </w:rPr>
        <w:t xml:space="preserve"> January 2013. </w:t>
      </w:r>
      <w:r w:rsidR="00F30AFF" w:rsidRPr="002375ED">
        <w:rPr>
          <w:rFonts w:ascii="Times New Roman" w:hAnsi="Times New Roman" w:cs="Times New Roman"/>
          <w:sz w:val="20"/>
          <w:szCs w:val="20"/>
        </w:rPr>
        <w:t>Patients were treated with chemotherapy or radiotherapy either alone or in combination.</w:t>
      </w:r>
    </w:p>
    <w:p w:rsidR="00DA7763" w:rsidRPr="002375ED" w:rsidRDefault="00F30AFF"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L</w:t>
      </w:r>
      <w:r w:rsidR="000D40C9" w:rsidRPr="002375ED">
        <w:rPr>
          <w:rFonts w:ascii="Times New Roman" w:hAnsi="Times New Roman" w:cs="Times New Roman"/>
          <w:sz w:val="20"/>
          <w:szCs w:val="20"/>
        </w:rPr>
        <w:t xml:space="preserve">ong </w:t>
      </w:r>
      <w:r w:rsidR="00813DD4" w:rsidRPr="002375ED">
        <w:rPr>
          <w:rFonts w:ascii="Times New Roman" w:hAnsi="Times New Roman" w:cs="Times New Roman"/>
          <w:sz w:val="20"/>
          <w:szCs w:val="20"/>
        </w:rPr>
        <w:t xml:space="preserve">bones </w:t>
      </w:r>
      <w:r w:rsidR="00244A99" w:rsidRPr="002375ED">
        <w:rPr>
          <w:rFonts w:ascii="Times New Roman" w:hAnsi="Times New Roman" w:cs="Times New Roman"/>
          <w:sz w:val="20"/>
          <w:szCs w:val="20"/>
        </w:rPr>
        <w:t>are</w:t>
      </w:r>
      <w:r w:rsidR="000D40C9" w:rsidRPr="002375ED">
        <w:rPr>
          <w:rFonts w:ascii="Times New Roman" w:hAnsi="Times New Roman" w:cs="Times New Roman"/>
          <w:sz w:val="20"/>
          <w:szCs w:val="20"/>
          <w:vertAlign w:val="superscript"/>
        </w:rPr>
        <w:t xml:space="preserve"> </w:t>
      </w:r>
      <w:r w:rsidR="000D40C9" w:rsidRPr="002375ED">
        <w:rPr>
          <w:rFonts w:ascii="Times New Roman" w:hAnsi="Times New Roman" w:cs="Times New Roman"/>
          <w:sz w:val="20"/>
          <w:szCs w:val="20"/>
        </w:rPr>
        <w:t>the most common site of involvement</w:t>
      </w:r>
      <w:r w:rsidRPr="002375ED">
        <w:rPr>
          <w:rFonts w:ascii="Times New Roman" w:hAnsi="Times New Roman" w:cs="Times New Roman"/>
          <w:sz w:val="20"/>
          <w:szCs w:val="20"/>
        </w:rPr>
        <w:t xml:space="preserve"> with PBL </w:t>
      </w:r>
      <w:r w:rsidR="000D40C9" w:rsidRPr="002375ED">
        <w:rPr>
          <w:rFonts w:ascii="Times New Roman" w:hAnsi="Times New Roman" w:cs="Times New Roman"/>
          <w:sz w:val="20"/>
          <w:szCs w:val="20"/>
          <w:vertAlign w:val="superscript"/>
        </w:rPr>
        <w:t>(2, 16, 17, 18)</w:t>
      </w:r>
      <w:r w:rsidR="000D40C9" w:rsidRPr="002375ED">
        <w:rPr>
          <w:rFonts w:ascii="Times New Roman" w:hAnsi="Times New Roman" w:cs="Times New Roman"/>
          <w:sz w:val="20"/>
          <w:szCs w:val="20"/>
        </w:rPr>
        <w:t>, but with the change of the definition, multiple sites of bone invasion have also been included</w:t>
      </w:r>
      <w:r w:rsidRPr="002375ED">
        <w:rPr>
          <w:rFonts w:ascii="Times New Roman" w:hAnsi="Times New Roman" w:cs="Times New Roman"/>
          <w:sz w:val="20"/>
          <w:szCs w:val="20"/>
        </w:rPr>
        <w:t xml:space="preserve"> within the scope of this disease</w:t>
      </w:r>
      <w:r w:rsidR="000D40C9" w:rsidRPr="002375ED">
        <w:rPr>
          <w:rFonts w:ascii="Times New Roman" w:hAnsi="Times New Roman" w:cs="Times New Roman"/>
          <w:sz w:val="20"/>
          <w:szCs w:val="20"/>
        </w:rPr>
        <w:t xml:space="preserve">. </w:t>
      </w:r>
      <w:r w:rsidR="00125EAF" w:rsidRPr="002375ED">
        <w:rPr>
          <w:rFonts w:ascii="Times New Roman" w:hAnsi="Times New Roman" w:cs="Times New Roman"/>
          <w:sz w:val="20"/>
          <w:szCs w:val="20"/>
        </w:rPr>
        <w:t xml:space="preserve">The spine or </w:t>
      </w:r>
      <w:r w:rsidR="00813DD4" w:rsidRPr="002375ED">
        <w:rPr>
          <w:rFonts w:ascii="Times New Roman" w:hAnsi="Times New Roman" w:cs="Times New Roman"/>
          <w:sz w:val="20"/>
          <w:szCs w:val="20"/>
        </w:rPr>
        <w:t>pelvis was</w:t>
      </w:r>
      <w:r w:rsidRPr="002375ED">
        <w:rPr>
          <w:rFonts w:ascii="Times New Roman" w:hAnsi="Times New Roman" w:cs="Times New Roman"/>
          <w:sz w:val="20"/>
          <w:szCs w:val="20"/>
        </w:rPr>
        <w:t xml:space="preserve"> suggested as</w:t>
      </w:r>
      <w:r w:rsidR="00125EAF" w:rsidRPr="002375ED">
        <w:rPr>
          <w:rFonts w:ascii="Times New Roman" w:hAnsi="Times New Roman" w:cs="Times New Roman"/>
          <w:sz w:val="20"/>
          <w:szCs w:val="20"/>
        </w:rPr>
        <w:t xml:space="preserve"> the most </w:t>
      </w:r>
      <w:r w:rsidR="00125EAF" w:rsidRPr="002375ED">
        <w:rPr>
          <w:rFonts w:ascii="Times New Roman" w:hAnsi="Times New Roman" w:cs="Times New Roman"/>
          <w:sz w:val="20"/>
          <w:szCs w:val="20"/>
        </w:rPr>
        <w:lastRenderedPageBreak/>
        <w:t>common affected parts</w:t>
      </w:r>
      <w:r w:rsidR="000D40C9" w:rsidRPr="002375ED">
        <w:rPr>
          <w:rFonts w:ascii="Times New Roman" w:hAnsi="Times New Roman" w:cs="Times New Roman"/>
          <w:sz w:val="20"/>
          <w:szCs w:val="20"/>
        </w:rPr>
        <w:t xml:space="preserve"> </w:t>
      </w:r>
      <w:r w:rsidR="000D40C9" w:rsidRPr="002375ED">
        <w:rPr>
          <w:rFonts w:ascii="Times New Roman" w:hAnsi="Times New Roman" w:cs="Times New Roman"/>
          <w:sz w:val="20"/>
          <w:szCs w:val="20"/>
          <w:vertAlign w:val="superscript"/>
        </w:rPr>
        <w:t>(7, 8)</w:t>
      </w:r>
      <w:r w:rsidR="000D40C9" w:rsidRPr="002375ED">
        <w:rPr>
          <w:rFonts w:ascii="Times New Roman" w:hAnsi="Times New Roman" w:cs="Times New Roman"/>
          <w:sz w:val="20"/>
          <w:szCs w:val="20"/>
        </w:rPr>
        <w:t>.</w:t>
      </w:r>
      <w:r w:rsidR="000D40C9" w:rsidRPr="002375ED">
        <w:rPr>
          <w:rFonts w:ascii="Times New Roman" w:hAnsi="Times New Roman" w:cs="Times New Roman"/>
          <w:sz w:val="20"/>
          <w:szCs w:val="20"/>
          <w:vertAlign w:val="superscript"/>
        </w:rPr>
        <w:t xml:space="preserve"> </w:t>
      </w:r>
      <w:r w:rsidR="000D40C9" w:rsidRPr="002375ED">
        <w:rPr>
          <w:rFonts w:ascii="Times New Roman" w:hAnsi="Times New Roman" w:cs="Times New Roman"/>
          <w:sz w:val="20"/>
          <w:szCs w:val="20"/>
        </w:rPr>
        <w:t xml:space="preserve">Other studies from China and Japan showed that the pelvis was the most common site of PLB </w:t>
      </w:r>
      <w:r w:rsidR="00BF35B2" w:rsidRPr="002375ED">
        <w:rPr>
          <w:rFonts w:ascii="Times New Roman" w:hAnsi="Times New Roman" w:cs="Times New Roman"/>
          <w:sz w:val="20"/>
          <w:szCs w:val="20"/>
        </w:rPr>
        <w:t>involvement</w:t>
      </w:r>
      <w:r w:rsidR="00BF35B2" w:rsidRPr="002375ED">
        <w:rPr>
          <w:rFonts w:ascii="Times New Roman" w:hAnsi="Times New Roman" w:cs="Times New Roman"/>
          <w:sz w:val="20"/>
          <w:szCs w:val="20"/>
          <w:vertAlign w:val="superscript"/>
        </w:rPr>
        <w:t xml:space="preserve"> (</w:t>
      </w:r>
      <w:r w:rsidR="000D40C9" w:rsidRPr="002375ED">
        <w:rPr>
          <w:rFonts w:ascii="Times New Roman" w:hAnsi="Times New Roman" w:cs="Times New Roman"/>
          <w:sz w:val="20"/>
          <w:szCs w:val="20"/>
          <w:vertAlign w:val="superscript"/>
        </w:rPr>
        <w:t>1, 19, 20, 21)</w:t>
      </w:r>
      <w:r w:rsidR="000D40C9" w:rsidRPr="002375ED">
        <w:rPr>
          <w:rFonts w:ascii="Times New Roman" w:hAnsi="Times New Roman" w:cs="Times New Roman"/>
          <w:sz w:val="20"/>
          <w:szCs w:val="20"/>
        </w:rPr>
        <w:t xml:space="preserve">. </w:t>
      </w:r>
    </w:p>
    <w:p w:rsidR="000D40C9" w:rsidRPr="002375ED" w:rsidRDefault="000D40C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In our series, the</w:t>
      </w:r>
      <w:r w:rsidRPr="002375ED">
        <w:rPr>
          <w:rFonts w:ascii="Times New Roman" w:hAnsi="Times New Roman" w:cs="Times New Roman"/>
          <w:sz w:val="20"/>
          <w:szCs w:val="20"/>
          <w:vertAlign w:val="superscript"/>
        </w:rPr>
        <w:t xml:space="preserve"> </w:t>
      </w:r>
      <w:r w:rsidR="00813DD4" w:rsidRPr="002375ED">
        <w:rPr>
          <w:rFonts w:ascii="Times New Roman" w:hAnsi="Times New Roman" w:cs="Times New Roman"/>
          <w:sz w:val="20"/>
          <w:szCs w:val="20"/>
        </w:rPr>
        <w:t>long bone</w:t>
      </w:r>
      <w:r w:rsidR="00244A99" w:rsidRPr="002375ED">
        <w:rPr>
          <w:rFonts w:ascii="Times New Roman" w:hAnsi="Times New Roman" w:cs="Times New Roman"/>
          <w:sz w:val="20"/>
          <w:szCs w:val="20"/>
        </w:rPr>
        <w:t>s</w:t>
      </w:r>
      <w:r w:rsidR="00813DD4" w:rsidRPr="002375ED">
        <w:rPr>
          <w:rFonts w:ascii="Times New Roman" w:hAnsi="Times New Roman" w:cs="Times New Roman"/>
          <w:sz w:val="20"/>
          <w:szCs w:val="20"/>
        </w:rPr>
        <w:t xml:space="preserve"> were the most frequent site of involvement</w:t>
      </w:r>
      <w:r w:rsidRPr="002375ED">
        <w:rPr>
          <w:rFonts w:ascii="Times New Roman" w:hAnsi="Times New Roman" w:cs="Times New Roman"/>
          <w:sz w:val="20"/>
          <w:szCs w:val="20"/>
        </w:rPr>
        <w:t xml:space="preserve"> </w:t>
      </w:r>
      <w:r w:rsidR="00813DD4" w:rsidRPr="002375ED">
        <w:rPr>
          <w:rFonts w:ascii="Times New Roman" w:hAnsi="Times New Roman" w:cs="Times New Roman"/>
          <w:sz w:val="20"/>
          <w:szCs w:val="20"/>
        </w:rPr>
        <w:t>with</w:t>
      </w:r>
      <w:r w:rsidRPr="002375ED">
        <w:rPr>
          <w:rFonts w:ascii="Times New Roman" w:hAnsi="Times New Roman" w:cs="Times New Roman"/>
          <w:sz w:val="20"/>
          <w:szCs w:val="20"/>
        </w:rPr>
        <w:t xml:space="preserve"> approximately 47.9% of cases,</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which is clearly higher than reported in many other published </w:t>
      </w:r>
      <w:r w:rsidR="00BF35B2" w:rsidRPr="002375ED">
        <w:rPr>
          <w:rFonts w:ascii="Times New Roman" w:hAnsi="Times New Roman" w:cs="Times New Roman"/>
          <w:sz w:val="20"/>
          <w:szCs w:val="20"/>
        </w:rPr>
        <w:t>series</w:t>
      </w:r>
      <w:r w:rsidR="00BF35B2"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vertAlign w:val="superscript"/>
        </w:rPr>
        <w:t>1, 19, 20, 21)</w:t>
      </w:r>
      <w:r w:rsidRPr="002375ED">
        <w:rPr>
          <w:rFonts w:ascii="Times New Roman" w:hAnsi="Times New Roman" w:cs="Times New Roman"/>
          <w:sz w:val="20"/>
          <w:szCs w:val="20"/>
        </w:rPr>
        <w:t xml:space="preserve"> and lower than that reported in</w:t>
      </w:r>
      <w:r w:rsidRPr="002375ED">
        <w:rPr>
          <w:rFonts w:ascii="Times New Roman" w:hAnsi="Times New Roman" w:cs="Times New Roman"/>
          <w:b/>
          <w:bCs/>
          <w:sz w:val="20"/>
          <w:szCs w:val="20"/>
        </w:rPr>
        <w:t xml:space="preserve"> </w:t>
      </w:r>
      <w:r w:rsidRPr="002375ED">
        <w:rPr>
          <w:rFonts w:ascii="Times New Roman" w:hAnsi="Times New Roman" w:cs="Times New Roman"/>
          <w:sz w:val="20"/>
          <w:szCs w:val="20"/>
        </w:rPr>
        <w:t xml:space="preserve">Beal et </w:t>
      </w:r>
      <w:r w:rsidR="006839A0" w:rsidRPr="002375ED">
        <w:rPr>
          <w:rFonts w:ascii="Times New Roman" w:hAnsi="Times New Roman" w:cs="Times New Roman"/>
          <w:sz w:val="20"/>
          <w:szCs w:val="20"/>
        </w:rPr>
        <w:t>al</w:t>
      </w:r>
      <w:r w:rsidR="006839A0" w:rsidRPr="002375ED">
        <w:rPr>
          <w:rFonts w:ascii="Times New Roman" w:hAnsi="Times New Roman" w:cs="Times New Roman"/>
          <w:b/>
          <w:bCs/>
          <w:sz w:val="20"/>
          <w:szCs w:val="20"/>
        </w:rPr>
        <w:t xml:space="preserve"> </w:t>
      </w:r>
      <w:r w:rsidR="006839A0" w:rsidRPr="002375ED">
        <w:rPr>
          <w:rFonts w:ascii="Times New Roman" w:hAnsi="Times New Roman" w:cs="Times New Roman"/>
          <w:sz w:val="20"/>
          <w:szCs w:val="20"/>
        </w:rPr>
        <w:t>stud</w:t>
      </w:r>
      <w:r w:rsidR="00DE7B90" w:rsidRPr="002375ED">
        <w:rPr>
          <w:rFonts w:ascii="Times New Roman" w:hAnsi="Times New Roman" w:cs="Times New Roman"/>
          <w:sz w:val="20"/>
          <w:szCs w:val="20"/>
        </w:rPr>
        <w:t xml:space="preserve">y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2)</w:t>
      </w:r>
      <w:r w:rsidRPr="002375ED">
        <w:rPr>
          <w:rFonts w:ascii="Times New Roman" w:hAnsi="Times New Roman" w:cs="Times New Roman"/>
          <w:sz w:val="20"/>
          <w:szCs w:val="20"/>
        </w:rPr>
        <w:t>.</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The difference between the reported series </w:t>
      </w:r>
      <w:r w:rsidR="00244A99" w:rsidRPr="002375ED">
        <w:rPr>
          <w:rFonts w:ascii="Times New Roman" w:hAnsi="Times New Roman" w:cs="Times New Roman"/>
          <w:sz w:val="20"/>
          <w:szCs w:val="20"/>
        </w:rPr>
        <w:t>could be attributed to many factors</w:t>
      </w:r>
      <w:r w:rsidRPr="002375ED">
        <w:rPr>
          <w:rFonts w:ascii="Times New Roman" w:hAnsi="Times New Roman" w:cs="Times New Roman"/>
          <w:sz w:val="20"/>
          <w:szCs w:val="20"/>
        </w:rPr>
        <w:t xml:space="preserve">. Most of the </w:t>
      </w:r>
      <w:r w:rsidR="00F30AFF" w:rsidRPr="002375ED">
        <w:rPr>
          <w:rFonts w:ascii="Times New Roman" w:hAnsi="Times New Roman" w:cs="Times New Roman"/>
          <w:sz w:val="20"/>
          <w:szCs w:val="20"/>
        </w:rPr>
        <w:t>studies</w:t>
      </w:r>
      <w:r w:rsidR="00F30AFF"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vertAlign w:val="superscript"/>
        </w:rPr>
        <w:t>1, 7, 8, 9)</w:t>
      </w:r>
      <w:r w:rsidRPr="002375ED">
        <w:rPr>
          <w:rFonts w:ascii="Times New Roman" w:hAnsi="Times New Roman" w:cs="Times New Roman"/>
          <w:sz w:val="20"/>
          <w:szCs w:val="20"/>
        </w:rPr>
        <w:t xml:space="preserve"> were carried</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out retrospectively, and the period of recruitment ranged from</w:t>
      </w:r>
      <w:r w:rsidRPr="002375ED">
        <w:rPr>
          <w:rFonts w:ascii="Times New Roman" w:hAnsi="Times New Roman" w:cs="Times New Roman"/>
          <w:sz w:val="20"/>
          <w:szCs w:val="20"/>
          <w:vertAlign w:val="superscript"/>
        </w:rPr>
        <w:t xml:space="preserve"> </w:t>
      </w:r>
      <w:r w:rsidR="00F30AFF" w:rsidRPr="002375ED">
        <w:rPr>
          <w:rFonts w:ascii="Times New Roman" w:hAnsi="Times New Roman" w:cs="Times New Roman"/>
          <w:sz w:val="20"/>
          <w:szCs w:val="20"/>
        </w:rPr>
        <w:t xml:space="preserve">5 to 15 years </w:t>
      </w:r>
      <w:r w:rsidRPr="002375ED">
        <w:rPr>
          <w:rFonts w:ascii="Times New Roman" w:hAnsi="Times New Roman" w:cs="Times New Roman"/>
          <w:sz w:val="20"/>
          <w:szCs w:val="20"/>
        </w:rPr>
        <w:t>suggest</w:t>
      </w:r>
      <w:r w:rsidR="00F30AFF" w:rsidRPr="002375ED">
        <w:rPr>
          <w:rFonts w:ascii="Times New Roman" w:hAnsi="Times New Roman" w:cs="Times New Roman"/>
          <w:sz w:val="20"/>
          <w:szCs w:val="20"/>
        </w:rPr>
        <w:t>ing</w:t>
      </w:r>
      <w:r w:rsidRPr="002375ED">
        <w:rPr>
          <w:rFonts w:ascii="Times New Roman" w:hAnsi="Times New Roman" w:cs="Times New Roman"/>
          <w:sz w:val="20"/>
          <w:szCs w:val="20"/>
        </w:rPr>
        <w:t xml:space="preserve"> </w:t>
      </w:r>
      <w:r w:rsidR="005725DE" w:rsidRPr="002375ED">
        <w:rPr>
          <w:rFonts w:ascii="Times New Roman" w:hAnsi="Times New Roman" w:cs="Times New Roman"/>
          <w:sz w:val="20"/>
          <w:szCs w:val="20"/>
        </w:rPr>
        <w:t>different</w:t>
      </w:r>
      <w:r w:rsidRPr="002375ED">
        <w:rPr>
          <w:rFonts w:ascii="Times New Roman" w:hAnsi="Times New Roman" w:cs="Times New Roman"/>
          <w:sz w:val="20"/>
          <w:szCs w:val="20"/>
        </w:rPr>
        <w:t xml:space="preserve"> mechanisms</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of selection in the reported cohorts. Selection by treatment </w:t>
      </w:r>
      <w:r w:rsidR="00F30AFF" w:rsidRPr="002375ED">
        <w:rPr>
          <w:rFonts w:ascii="Times New Roman" w:hAnsi="Times New Roman" w:cs="Times New Roman"/>
          <w:sz w:val="20"/>
          <w:szCs w:val="20"/>
        </w:rPr>
        <w:t>modality</w:t>
      </w:r>
      <w:r w:rsidRPr="002375ED">
        <w:rPr>
          <w:rFonts w:ascii="Times New Roman" w:hAnsi="Times New Roman" w:cs="Times New Roman"/>
          <w:sz w:val="20"/>
          <w:szCs w:val="20"/>
        </w:rPr>
        <w:t xml:space="preserve"> might also be of influence. In comparison with</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the policy of our study group, which </w:t>
      </w:r>
      <w:r w:rsidR="00470537" w:rsidRPr="002375ED">
        <w:rPr>
          <w:rFonts w:ascii="Times New Roman" w:hAnsi="Times New Roman" w:cs="Times New Roman"/>
          <w:sz w:val="20"/>
          <w:szCs w:val="20"/>
        </w:rPr>
        <w:t>included</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all treatment strategies, other studies</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with </w:t>
      </w:r>
      <w:r w:rsidR="005725DE" w:rsidRPr="002375ED">
        <w:rPr>
          <w:rFonts w:ascii="Times New Roman" w:hAnsi="Times New Roman" w:cs="Times New Roman"/>
          <w:sz w:val="20"/>
          <w:szCs w:val="20"/>
        </w:rPr>
        <w:t>their</w:t>
      </w:r>
      <w:r w:rsidRPr="002375ED">
        <w:rPr>
          <w:rFonts w:ascii="Times New Roman" w:hAnsi="Times New Roman" w:cs="Times New Roman"/>
          <w:sz w:val="20"/>
          <w:szCs w:val="20"/>
        </w:rPr>
        <w:t xml:space="preserve"> primary aim</w:t>
      </w:r>
      <w:r w:rsidR="005725DE" w:rsidRPr="002375ED">
        <w:rPr>
          <w:rFonts w:ascii="Times New Roman" w:hAnsi="Times New Roman" w:cs="Times New Roman"/>
          <w:sz w:val="20"/>
          <w:szCs w:val="20"/>
        </w:rPr>
        <w:t xml:space="preserve"> evaluating the role</w:t>
      </w:r>
      <w:r w:rsidRPr="002375ED">
        <w:rPr>
          <w:rFonts w:ascii="Times New Roman" w:hAnsi="Times New Roman" w:cs="Times New Roman"/>
          <w:sz w:val="20"/>
          <w:szCs w:val="20"/>
        </w:rPr>
        <w:t xml:space="preserve"> of radiation therapy will inevitably not register</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combined modality treated patient</w:t>
      </w:r>
      <w:r w:rsidR="00DE7B90" w:rsidRPr="002375ED">
        <w:rPr>
          <w:rFonts w:ascii="Times New Roman" w:hAnsi="Times New Roman" w:cs="Times New Roman"/>
          <w:sz w:val="20"/>
          <w:szCs w:val="20"/>
        </w:rPr>
        <w:t xml:space="preserve">s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22, 23, 24)</w:t>
      </w:r>
      <w:r w:rsidRPr="002375ED">
        <w:rPr>
          <w:rFonts w:ascii="Times New Roman" w:hAnsi="Times New Roman" w:cs="Times New Roman"/>
          <w:sz w:val="20"/>
          <w:szCs w:val="20"/>
        </w:rPr>
        <w:t>. Another factor that influences the reported rates for the different</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PBL sites is whether children have been included in </w:t>
      </w:r>
      <w:r w:rsidR="005725DE" w:rsidRPr="002375ED">
        <w:rPr>
          <w:rFonts w:ascii="Times New Roman" w:hAnsi="Times New Roman" w:cs="Times New Roman"/>
          <w:sz w:val="20"/>
          <w:szCs w:val="20"/>
        </w:rPr>
        <w:t>the</w:t>
      </w:r>
      <w:r w:rsidRPr="002375ED">
        <w:rPr>
          <w:rFonts w:ascii="Times New Roman" w:hAnsi="Times New Roman" w:cs="Times New Roman"/>
          <w:sz w:val="20"/>
          <w:szCs w:val="20"/>
        </w:rPr>
        <w:t xml:space="preserve"> </w:t>
      </w:r>
      <w:r w:rsidR="00470537" w:rsidRPr="002375ED">
        <w:rPr>
          <w:rFonts w:ascii="Times New Roman" w:hAnsi="Times New Roman" w:cs="Times New Roman"/>
          <w:sz w:val="20"/>
          <w:szCs w:val="20"/>
        </w:rPr>
        <w:t>analysis</w:t>
      </w:r>
      <w:r w:rsidR="00470537"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vertAlign w:val="superscript"/>
        </w:rPr>
        <w:t>25, 26)</w:t>
      </w:r>
      <w:r w:rsidRPr="002375ED">
        <w:rPr>
          <w:rFonts w:ascii="Times New Roman" w:hAnsi="Times New Roman" w:cs="Times New Roman"/>
          <w:sz w:val="20"/>
          <w:szCs w:val="20"/>
        </w:rPr>
        <w:t>. In some series, simultaneous involvement of different PBL sites</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is not reported as a separate entit</w:t>
      </w:r>
      <w:r w:rsidR="00DE7B90" w:rsidRPr="002375ED">
        <w:rPr>
          <w:rFonts w:ascii="Times New Roman" w:hAnsi="Times New Roman" w:cs="Times New Roman"/>
          <w:sz w:val="20"/>
          <w:szCs w:val="20"/>
        </w:rPr>
        <w:t xml:space="preserve">y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1)</w:t>
      </w:r>
      <w:r w:rsidR="005725DE" w:rsidRPr="002375ED">
        <w:rPr>
          <w:rFonts w:ascii="Times New Roman" w:hAnsi="Times New Roman" w:cs="Times New Roman"/>
          <w:sz w:val="20"/>
          <w:szCs w:val="20"/>
        </w:rPr>
        <w:t xml:space="preserve">. It, </w:t>
      </w:r>
      <w:r w:rsidRPr="002375ED">
        <w:rPr>
          <w:rFonts w:ascii="Times New Roman" w:hAnsi="Times New Roman" w:cs="Times New Roman"/>
          <w:sz w:val="20"/>
          <w:szCs w:val="20"/>
        </w:rPr>
        <w:t>therefore</w:t>
      </w:r>
      <w:r w:rsidR="005725DE"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remains</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uncertain whether it was not diagnosed in the first place or</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was classified as primary long bones lymphoma or primary axial skeleton lymphoma.</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This represents another reason for a possible variability in</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the stated rates for PBL.</w:t>
      </w:r>
    </w:p>
    <w:p w:rsidR="00DA7763" w:rsidRPr="002375ED" w:rsidRDefault="000D40C9" w:rsidP="00DA7763">
      <w:pPr>
        <w:pStyle w:val="NormalWeb"/>
        <w:snapToGrid w:val="0"/>
        <w:spacing w:before="0" w:beforeAutospacing="0" w:after="0" w:afterAutospacing="0"/>
        <w:ind w:firstLine="425"/>
        <w:jc w:val="both"/>
        <w:rPr>
          <w:sz w:val="20"/>
          <w:szCs w:val="20"/>
          <w:vertAlign w:val="superscript"/>
        </w:rPr>
      </w:pPr>
      <w:r w:rsidRPr="002375ED">
        <w:rPr>
          <w:sz w:val="20"/>
          <w:szCs w:val="20"/>
        </w:rPr>
        <w:t xml:space="preserve">To describe the extent of the disease, </w:t>
      </w:r>
      <w:r w:rsidR="00470537" w:rsidRPr="002375ED">
        <w:rPr>
          <w:sz w:val="20"/>
          <w:szCs w:val="20"/>
        </w:rPr>
        <w:t>many reports</w:t>
      </w:r>
      <w:r w:rsidRPr="002375ED">
        <w:rPr>
          <w:sz w:val="20"/>
          <w:szCs w:val="20"/>
        </w:rPr>
        <w:t xml:space="preserve"> applied</w:t>
      </w:r>
      <w:r w:rsidRPr="002375ED">
        <w:rPr>
          <w:sz w:val="20"/>
          <w:szCs w:val="20"/>
          <w:vertAlign w:val="superscript"/>
        </w:rPr>
        <w:t xml:space="preserve"> </w:t>
      </w:r>
      <w:r w:rsidRPr="002375ED">
        <w:rPr>
          <w:sz w:val="20"/>
          <w:szCs w:val="20"/>
        </w:rPr>
        <w:t xml:space="preserve">the Ann Arbor classification or its </w:t>
      </w:r>
      <w:r w:rsidR="00470537" w:rsidRPr="002375ED">
        <w:rPr>
          <w:sz w:val="20"/>
          <w:szCs w:val="20"/>
        </w:rPr>
        <w:t>modification</w:t>
      </w:r>
      <w:r w:rsidR="00470537" w:rsidRPr="002375ED">
        <w:rPr>
          <w:sz w:val="20"/>
          <w:szCs w:val="20"/>
          <w:vertAlign w:val="superscript"/>
        </w:rPr>
        <w:t xml:space="preserve"> (</w:t>
      </w:r>
      <w:r w:rsidRPr="002375ED">
        <w:rPr>
          <w:sz w:val="20"/>
          <w:szCs w:val="20"/>
          <w:vertAlign w:val="superscript"/>
        </w:rPr>
        <w:t>10, 27, 28)</w:t>
      </w:r>
      <w:r w:rsidRPr="002375ED">
        <w:rPr>
          <w:sz w:val="20"/>
          <w:szCs w:val="20"/>
        </w:rPr>
        <w:t>.</w:t>
      </w:r>
      <w:r w:rsidRPr="002375ED">
        <w:rPr>
          <w:sz w:val="20"/>
          <w:szCs w:val="20"/>
          <w:vertAlign w:val="superscript"/>
        </w:rPr>
        <w:t xml:space="preserve"> </w:t>
      </w:r>
      <w:r w:rsidRPr="002375ED">
        <w:rPr>
          <w:sz w:val="20"/>
          <w:szCs w:val="20"/>
        </w:rPr>
        <w:t xml:space="preserve">Localized stages (IE, IIE) are predominant </w:t>
      </w:r>
      <w:r w:rsidR="00470537" w:rsidRPr="002375ED">
        <w:rPr>
          <w:sz w:val="20"/>
          <w:szCs w:val="20"/>
        </w:rPr>
        <w:t>in our cohort</w:t>
      </w:r>
      <w:r w:rsidRPr="002375ED">
        <w:rPr>
          <w:sz w:val="20"/>
          <w:szCs w:val="20"/>
        </w:rPr>
        <w:t>.</w:t>
      </w:r>
      <w:r w:rsidRPr="002375ED">
        <w:rPr>
          <w:sz w:val="20"/>
          <w:szCs w:val="20"/>
          <w:vertAlign w:val="superscript"/>
        </w:rPr>
        <w:t xml:space="preserve"> </w:t>
      </w:r>
      <w:r w:rsidRPr="002375ED">
        <w:rPr>
          <w:sz w:val="20"/>
          <w:szCs w:val="20"/>
        </w:rPr>
        <w:t>Beal et al. reported 78%</w:t>
      </w:r>
      <w:r w:rsidRPr="002375ED">
        <w:rPr>
          <w:sz w:val="20"/>
          <w:szCs w:val="20"/>
          <w:vertAlign w:val="superscript"/>
        </w:rPr>
        <w:t>(2)</w:t>
      </w:r>
      <w:r w:rsidRPr="002375ED">
        <w:rPr>
          <w:sz w:val="20"/>
          <w:szCs w:val="20"/>
        </w:rPr>
        <w:t>, which is comparable to</w:t>
      </w:r>
      <w:r w:rsidRPr="002375ED">
        <w:rPr>
          <w:sz w:val="20"/>
          <w:szCs w:val="20"/>
          <w:vertAlign w:val="superscript"/>
        </w:rPr>
        <w:t xml:space="preserve"> </w:t>
      </w:r>
      <w:r w:rsidRPr="002375ED">
        <w:rPr>
          <w:sz w:val="20"/>
          <w:szCs w:val="20"/>
        </w:rPr>
        <w:t>our data (73.9%), whereas another published data is lower (26.2%</w:t>
      </w:r>
      <w:r w:rsidR="00DE7B90" w:rsidRPr="002375ED">
        <w:rPr>
          <w:sz w:val="20"/>
          <w:szCs w:val="20"/>
        </w:rPr>
        <w:t xml:space="preserve">) </w:t>
      </w:r>
      <w:r w:rsidR="00DE7B90" w:rsidRPr="002375ED">
        <w:rPr>
          <w:sz w:val="20"/>
          <w:szCs w:val="20"/>
          <w:vertAlign w:val="superscript"/>
        </w:rPr>
        <w:t>(</w:t>
      </w:r>
      <w:r w:rsidRPr="002375ED">
        <w:rPr>
          <w:sz w:val="20"/>
          <w:szCs w:val="20"/>
          <w:vertAlign w:val="superscript"/>
        </w:rPr>
        <w:t>1)</w:t>
      </w:r>
      <w:r w:rsidRPr="002375ED">
        <w:rPr>
          <w:sz w:val="20"/>
          <w:szCs w:val="20"/>
        </w:rPr>
        <w:t>.</w:t>
      </w:r>
      <w:r w:rsidR="005725DE" w:rsidRPr="002375ED">
        <w:rPr>
          <w:sz w:val="20"/>
          <w:szCs w:val="20"/>
        </w:rPr>
        <w:t xml:space="preserve"> </w:t>
      </w:r>
      <w:r w:rsidRPr="002375ED">
        <w:rPr>
          <w:sz w:val="20"/>
          <w:szCs w:val="20"/>
        </w:rPr>
        <w:t>The disease can occur at any age, with a median age of onset</w:t>
      </w:r>
      <w:r w:rsidRPr="002375ED">
        <w:rPr>
          <w:sz w:val="20"/>
          <w:szCs w:val="20"/>
          <w:lang w:bidi="ar-EG"/>
        </w:rPr>
        <w:t xml:space="preserve"> at our study was 48 years (range, 26–68). </w:t>
      </w:r>
      <w:r w:rsidRPr="002375ED">
        <w:rPr>
          <w:sz w:val="20"/>
          <w:szCs w:val="20"/>
        </w:rPr>
        <w:t>There was just a slight predominance of the male sex (52.2%) for PBL. The median age of onset ranging from 40–60 years old, with most of the literature suggesting that the proportion in male patients was slightly higher than in females (1.0–1.8:1)</w:t>
      </w:r>
      <w:r w:rsidRPr="002375ED">
        <w:rPr>
          <w:sz w:val="20"/>
          <w:szCs w:val="20"/>
          <w:vertAlign w:val="superscript"/>
        </w:rPr>
        <w:t xml:space="preserve"> (1, 2)</w:t>
      </w:r>
    </w:p>
    <w:p w:rsidR="00DA7763" w:rsidRPr="002375ED" w:rsidRDefault="000D40C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lang w:bidi="ar-EG"/>
        </w:rPr>
      </w:pPr>
      <w:r w:rsidRPr="002375ED">
        <w:rPr>
          <w:rFonts w:ascii="Times New Roman" w:hAnsi="Times New Roman" w:cs="Times New Roman"/>
          <w:sz w:val="20"/>
          <w:szCs w:val="20"/>
        </w:rPr>
        <w:t>The majority of PBL is of B cell non-Hodgkin’s lymphoma, the most common type being diffuse large B-cell lymphoma (DLBCL</w:t>
      </w:r>
      <w:r w:rsidR="00DE7B90" w:rsidRPr="002375ED">
        <w:rPr>
          <w:rFonts w:ascii="Times New Roman" w:hAnsi="Times New Roman" w:cs="Times New Roman"/>
          <w:sz w:val="20"/>
          <w:szCs w:val="20"/>
        </w:rPr>
        <w:t xml:space="preserve">)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6, 7, 8)</w:t>
      </w:r>
      <w:r w:rsidR="00DA7763" w:rsidRPr="002375ED">
        <w:rPr>
          <w:rFonts w:ascii="Times New Roman" w:hAnsi="Times New Roman" w:cs="Times New Roman" w:hint="eastAsia"/>
          <w:sz w:val="20"/>
          <w:szCs w:val="20"/>
          <w:lang w:eastAsia="zh-CN"/>
        </w:rPr>
        <w:t>.</w:t>
      </w:r>
      <w:r w:rsidRPr="002375ED">
        <w:rPr>
          <w:rFonts w:ascii="Times New Roman" w:hAnsi="Times New Roman" w:cs="Times New Roman"/>
          <w:sz w:val="20"/>
          <w:szCs w:val="20"/>
        </w:rPr>
        <w:t xml:space="preserve"> </w:t>
      </w:r>
      <w:r w:rsidR="005725DE" w:rsidRPr="002375ED">
        <w:rPr>
          <w:rFonts w:ascii="Times New Roman" w:hAnsi="Times New Roman" w:cs="Times New Roman"/>
          <w:sz w:val="20"/>
          <w:szCs w:val="20"/>
        </w:rPr>
        <w:t>W</w:t>
      </w:r>
      <w:r w:rsidRPr="002375ED">
        <w:rPr>
          <w:rFonts w:ascii="Times New Roman" w:hAnsi="Times New Roman" w:cs="Times New Roman"/>
          <w:sz w:val="20"/>
          <w:szCs w:val="20"/>
        </w:rPr>
        <w:t>e found that</w:t>
      </w:r>
      <w:r w:rsidRPr="002375ED">
        <w:rPr>
          <w:rFonts w:ascii="Times New Roman" w:hAnsi="Times New Roman" w:cs="Times New Roman"/>
          <w:sz w:val="20"/>
          <w:szCs w:val="20"/>
          <w:lang w:bidi="ar-EG"/>
        </w:rPr>
        <w:t xml:space="preserve"> more than half of the patients (</w:t>
      </w:r>
      <w:r w:rsidRPr="002375ED">
        <w:rPr>
          <w:rFonts w:ascii="Times New Roman" w:hAnsi="Times New Roman" w:cs="Times New Roman"/>
          <w:sz w:val="20"/>
          <w:szCs w:val="20"/>
        </w:rPr>
        <w:t>78.3</w:t>
      </w:r>
      <w:r w:rsidRPr="002375ED">
        <w:rPr>
          <w:rFonts w:ascii="Times New Roman" w:hAnsi="Times New Roman" w:cs="Times New Roman"/>
          <w:sz w:val="20"/>
          <w:szCs w:val="20"/>
          <w:lang w:bidi="ar-EG"/>
        </w:rPr>
        <w:t xml:space="preserve">%) had DLCL </w:t>
      </w:r>
      <w:proofErr w:type="spellStart"/>
      <w:r w:rsidRPr="002375ED">
        <w:rPr>
          <w:rFonts w:ascii="Times New Roman" w:hAnsi="Times New Roman" w:cs="Times New Roman"/>
          <w:sz w:val="20"/>
          <w:szCs w:val="20"/>
          <w:lang w:bidi="ar-EG"/>
        </w:rPr>
        <w:t>histologic</w:t>
      </w:r>
      <w:proofErr w:type="spellEnd"/>
      <w:r w:rsidRPr="002375ED">
        <w:rPr>
          <w:rFonts w:ascii="Times New Roman" w:hAnsi="Times New Roman" w:cs="Times New Roman"/>
          <w:sz w:val="20"/>
          <w:szCs w:val="20"/>
          <w:lang w:bidi="ar-EG"/>
        </w:rPr>
        <w:t xml:space="preserve"> subtyp</w:t>
      </w:r>
      <w:r w:rsidR="005725DE" w:rsidRPr="002375ED">
        <w:rPr>
          <w:rFonts w:ascii="Times New Roman" w:hAnsi="Times New Roman" w:cs="Times New Roman"/>
          <w:sz w:val="20"/>
          <w:szCs w:val="20"/>
          <w:lang w:bidi="ar-EG"/>
        </w:rPr>
        <w:t xml:space="preserve">e. </w:t>
      </w:r>
      <w:r w:rsidR="005725DE" w:rsidRPr="002375ED">
        <w:rPr>
          <w:rFonts w:ascii="Times New Roman" w:hAnsi="Times New Roman" w:cs="Times New Roman"/>
          <w:sz w:val="20"/>
          <w:szCs w:val="20"/>
        </w:rPr>
        <w:t>T</w:t>
      </w:r>
      <w:r w:rsidRPr="002375ED">
        <w:rPr>
          <w:rFonts w:ascii="Times New Roman" w:hAnsi="Times New Roman" w:cs="Times New Roman"/>
          <w:sz w:val="20"/>
          <w:szCs w:val="20"/>
        </w:rPr>
        <w:t xml:space="preserve">he 5-year and 15-year DFS rate were 82.4% and 64.7%, respectively. The 5-year and 15-year OS rate were 82.6% and 69.6%, respectively. The overall outcome of PBL is </w:t>
      </w:r>
      <w:r w:rsidR="00470537" w:rsidRPr="002375ED">
        <w:rPr>
          <w:rFonts w:ascii="Times New Roman" w:hAnsi="Times New Roman" w:cs="Times New Roman"/>
          <w:sz w:val="20"/>
          <w:szCs w:val="20"/>
        </w:rPr>
        <w:t>variable</w:t>
      </w:r>
      <w:r w:rsidRPr="002375ED">
        <w:rPr>
          <w:rFonts w:ascii="Times New Roman" w:hAnsi="Times New Roman" w:cs="Times New Roman"/>
          <w:sz w:val="20"/>
          <w:szCs w:val="20"/>
        </w:rPr>
        <w:t xml:space="preserve"> according to previous reports, 5-year OS of PBL patients were 88%</w:t>
      </w:r>
      <w:r w:rsidRPr="002375ED">
        <w:rPr>
          <w:rFonts w:ascii="Times New Roman" w:hAnsi="Times New Roman" w:cs="Times New Roman"/>
          <w:sz w:val="20"/>
          <w:szCs w:val="20"/>
          <w:vertAlign w:val="superscript"/>
        </w:rPr>
        <w:t>(2)</w:t>
      </w:r>
      <w:r w:rsidRPr="002375ED">
        <w:rPr>
          <w:rFonts w:ascii="Times New Roman" w:hAnsi="Times New Roman" w:cs="Times New Roman"/>
          <w:sz w:val="20"/>
          <w:szCs w:val="20"/>
        </w:rPr>
        <w:t>, 76%</w:t>
      </w:r>
      <w:r w:rsidRPr="002375ED">
        <w:rPr>
          <w:rFonts w:ascii="Times New Roman" w:hAnsi="Times New Roman" w:cs="Times New Roman"/>
          <w:sz w:val="20"/>
          <w:szCs w:val="20"/>
          <w:vertAlign w:val="superscript"/>
        </w:rPr>
        <w:t>(7)</w:t>
      </w:r>
      <w:r w:rsidRPr="002375ED">
        <w:rPr>
          <w:rFonts w:ascii="Times New Roman" w:hAnsi="Times New Roman" w:cs="Times New Roman"/>
          <w:sz w:val="20"/>
          <w:szCs w:val="20"/>
        </w:rPr>
        <w:t>, 57.8%</w:t>
      </w:r>
      <w:r w:rsidRPr="002375ED">
        <w:rPr>
          <w:rFonts w:ascii="Times New Roman" w:hAnsi="Times New Roman" w:cs="Times New Roman"/>
          <w:sz w:val="20"/>
          <w:szCs w:val="20"/>
          <w:vertAlign w:val="superscript"/>
        </w:rPr>
        <w:t>(29)</w:t>
      </w:r>
      <w:r w:rsidR="00DE7B90" w:rsidRPr="002375ED">
        <w:rPr>
          <w:rFonts w:ascii="Times New Roman" w:hAnsi="Times New Roman" w:cs="Times New Roman"/>
          <w:sz w:val="20"/>
          <w:szCs w:val="20"/>
        </w:rPr>
        <w:t>,</w:t>
      </w:r>
      <w:r w:rsidRPr="002375ED">
        <w:rPr>
          <w:rFonts w:ascii="Times New Roman" w:hAnsi="Times New Roman" w:cs="Times New Roman"/>
          <w:sz w:val="20"/>
          <w:szCs w:val="20"/>
        </w:rPr>
        <w:t xml:space="preserve"> 55%</w:t>
      </w:r>
      <w:r w:rsidRPr="002375ED">
        <w:rPr>
          <w:rFonts w:ascii="Times New Roman" w:hAnsi="Times New Roman" w:cs="Times New Roman"/>
          <w:sz w:val="20"/>
          <w:szCs w:val="20"/>
          <w:vertAlign w:val="superscript"/>
        </w:rPr>
        <w:t>(19)</w:t>
      </w:r>
      <w:r w:rsidRPr="002375ED">
        <w:rPr>
          <w:rFonts w:ascii="Times New Roman" w:hAnsi="Times New Roman" w:cs="Times New Roman"/>
          <w:sz w:val="20"/>
          <w:szCs w:val="20"/>
        </w:rPr>
        <w:t>, and 52.3%</w:t>
      </w:r>
      <w:r w:rsidRPr="002375ED">
        <w:rPr>
          <w:rFonts w:ascii="Times New Roman" w:hAnsi="Times New Roman" w:cs="Times New Roman"/>
          <w:sz w:val="20"/>
          <w:szCs w:val="20"/>
          <w:vertAlign w:val="superscript"/>
        </w:rPr>
        <w:t>(1)</w:t>
      </w:r>
      <w:r w:rsidRPr="002375ED">
        <w:rPr>
          <w:rFonts w:ascii="Times New Roman" w:hAnsi="Times New Roman" w:cs="Times New Roman"/>
          <w:sz w:val="20"/>
          <w:szCs w:val="20"/>
        </w:rPr>
        <w:t>.</w:t>
      </w:r>
      <w:r w:rsidR="005725DE" w:rsidRPr="002375ED">
        <w:rPr>
          <w:rFonts w:ascii="Times New Roman" w:hAnsi="Times New Roman" w:cs="Times New Roman"/>
          <w:sz w:val="20"/>
          <w:szCs w:val="20"/>
          <w:lang w:bidi="ar-EG"/>
        </w:rPr>
        <w:t xml:space="preserve"> </w:t>
      </w:r>
      <w:r w:rsidRPr="002375ED">
        <w:rPr>
          <w:rFonts w:ascii="Times New Roman" w:hAnsi="Times New Roman" w:cs="Times New Roman"/>
          <w:sz w:val="20"/>
          <w:szCs w:val="20"/>
        </w:rPr>
        <w:t xml:space="preserve">In nodal lymphoma, pathological type is one of the most important prognostic </w:t>
      </w:r>
      <w:r w:rsidR="00470537" w:rsidRPr="002375ED">
        <w:rPr>
          <w:rFonts w:ascii="Times New Roman" w:hAnsi="Times New Roman" w:cs="Times New Roman"/>
          <w:sz w:val="20"/>
          <w:szCs w:val="20"/>
        </w:rPr>
        <w:t>factors</w:t>
      </w:r>
      <w:r w:rsidR="00470537"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vertAlign w:val="superscript"/>
        </w:rPr>
        <w:t>1)</w:t>
      </w:r>
      <w:r w:rsidRPr="002375ED">
        <w:rPr>
          <w:rFonts w:ascii="Times New Roman" w:hAnsi="Times New Roman" w:cs="Times New Roman"/>
          <w:sz w:val="20"/>
          <w:szCs w:val="20"/>
        </w:rPr>
        <w:t xml:space="preserve">. The majority of PBL in our </w:t>
      </w:r>
      <w:r w:rsidR="005725DE" w:rsidRPr="002375ED">
        <w:rPr>
          <w:rFonts w:ascii="Times New Roman" w:hAnsi="Times New Roman" w:cs="Times New Roman"/>
          <w:sz w:val="20"/>
          <w:szCs w:val="20"/>
        </w:rPr>
        <w:t>study</w:t>
      </w:r>
      <w:r w:rsidRPr="002375ED">
        <w:rPr>
          <w:rFonts w:ascii="Times New Roman" w:hAnsi="Times New Roman" w:cs="Times New Roman"/>
          <w:sz w:val="20"/>
          <w:szCs w:val="20"/>
        </w:rPr>
        <w:t xml:space="preserve"> is of DLBCL</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in all series, but the OS rate in these patients had no difference</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as compared with other various pathological subtypes PBL at </w:t>
      </w:r>
      <w:r w:rsidR="00895A8C" w:rsidRPr="002375ED">
        <w:rPr>
          <w:rFonts w:ascii="Times New Roman" w:hAnsi="Times New Roman" w:cs="Times New Roman"/>
          <w:sz w:val="20"/>
          <w:szCs w:val="20"/>
        </w:rPr>
        <w:t>five</w:t>
      </w:r>
      <w:r w:rsidRPr="002375ED">
        <w:rPr>
          <w:rFonts w:ascii="Times New Roman" w:hAnsi="Times New Roman" w:cs="Times New Roman"/>
          <w:sz w:val="20"/>
          <w:szCs w:val="20"/>
        </w:rPr>
        <w:t xml:space="preserve"> years </w:t>
      </w:r>
      <w:r w:rsidRPr="002375ED">
        <w:rPr>
          <w:rFonts w:ascii="Times New Roman" w:hAnsi="Times New Roman" w:cs="Times New Roman"/>
          <w:sz w:val="20"/>
          <w:szCs w:val="20"/>
        </w:rPr>
        <w:lastRenderedPageBreak/>
        <w:t xml:space="preserve">using </w:t>
      </w:r>
      <w:proofErr w:type="spellStart"/>
      <w:r w:rsidRPr="002375ED">
        <w:rPr>
          <w:rFonts w:ascii="Times New Roman" w:hAnsi="Times New Roman" w:cs="Times New Roman"/>
          <w:sz w:val="20"/>
          <w:szCs w:val="20"/>
        </w:rPr>
        <w:t>univariable</w:t>
      </w:r>
      <w:proofErr w:type="spellEnd"/>
      <w:r w:rsidRPr="002375ED">
        <w:rPr>
          <w:rFonts w:ascii="Times New Roman" w:hAnsi="Times New Roman" w:cs="Times New Roman"/>
          <w:sz w:val="20"/>
          <w:szCs w:val="20"/>
        </w:rPr>
        <w:t xml:space="preserve"> and multivariable analyses. However, small sample </w:t>
      </w:r>
      <w:r w:rsidR="00895A8C" w:rsidRPr="002375ED">
        <w:rPr>
          <w:rFonts w:ascii="Times New Roman" w:hAnsi="Times New Roman" w:cs="Times New Roman"/>
          <w:sz w:val="20"/>
          <w:szCs w:val="20"/>
        </w:rPr>
        <w:t>size</w:t>
      </w:r>
      <w:r w:rsidRPr="002375ED">
        <w:rPr>
          <w:rFonts w:ascii="Times New Roman" w:hAnsi="Times New Roman" w:cs="Times New Roman"/>
          <w:sz w:val="20"/>
          <w:szCs w:val="20"/>
        </w:rPr>
        <w:t xml:space="preserve"> makes a comparison difficult.</w:t>
      </w:r>
      <w:r w:rsidRPr="002375ED">
        <w:rPr>
          <w:rFonts w:ascii="Times New Roman" w:hAnsi="Times New Roman" w:cs="Times New Roman"/>
          <w:sz w:val="20"/>
          <w:szCs w:val="20"/>
          <w:vertAlign w:val="superscript"/>
        </w:rPr>
        <w:t xml:space="preserve"> </w:t>
      </w:r>
      <w:r w:rsidR="00470537" w:rsidRPr="002375ED">
        <w:rPr>
          <w:rFonts w:ascii="Times New Roman" w:hAnsi="Times New Roman" w:cs="Times New Roman"/>
          <w:sz w:val="20"/>
          <w:szCs w:val="20"/>
        </w:rPr>
        <w:t>Whether the</w:t>
      </w:r>
      <w:r w:rsidRPr="002375ED">
        <w:rPr>
          <w:rFonts w:ascii="Times New Roman" w:hAnsi="Times New Roman" w:cs="Times New Roman"/>
          <w:sz w:val="20"/>
          <w:szCs w:val="20"/>
        </w:rPr>
        <w:t xml:space="preserve"> pathological type</w:t>
      </w:r>
      <w:r w:rsidR="00470537" w:rsidRPr="002375ED">
        <w:rPr>
          <w:rFonts w:ascii="Times New Roman" w:hAnsi="Times New Roman" w:cs="Times New Roman"/>
          <w:sz w:val="20"/>
          <w:szCs w:val="20"/>
        </w:rPr>
        <w:t xml:space="preserve"> has an impact</w:t>
      </w:r>
      <w:r w:rsidRPr="002375ED">
        <w:rPr>
          <w:rFonts w:ascii="Times New Roman" w:hAnsi="Times New Roman" w:cs="Times New Roman"/>
          <w:sz w:val="20"/>
          <w:szCs w:val="20"/>
        </w:rPr>
        <w:t xml:space="preserve"> on prognosis of PBL remains an open question. Most other previous studies did not exclude the effect of histological heterogeneity on survival of PBL, although DLBCL accounts for a large proportion (68–83%</w:t>
      </w:r>
      <w:r w:rsidR="00DE7B90" w:rsidRPr="002375ED">
        <w:rPr>
          <w:rFonts w:ascii="Times New Roman" w:hAnsi="Times New Roman" w:cs="Times New Roman"/>
          <w:sz w:val="20"/>
          <w:szCs w:val="20"/>
        </w:rPr>
        <w:t xml:space="preserve">)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7, 19,</w:t>
      </w:r>
      <w:r w:rsidR="00DE7B90"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vertAlign w:val="superscript"/>
        </w:rPr>
        <w:t>2,</w:t>
      </w:r>
      <w:r w:rsidR="00DE7B90"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vertAlign w:val="superscript"/>
        </w:rPr>
        <w:t>29)</w:t>
      </w:r>
      <w:r w:rsidRPr="002375ED">
        <w:rPr>
          <w:rFonts w:ascii="Times New Roman" w:hAnsi="Times New Roman" w:cs="Times New Roman"/>
          <w:sz w:val="20"/>
          <w:szCs w:val="20"/>
        </w:rPr>
        <w:t>.</w:t>
      </w:r>
    </w:p>
    <w:p w:rsidR="000D40C9" w:rsidRPr="002375ED" w:rsidRDefault="000D40C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 xml:space="preserve">On </w:t>
      </w:r>
      <w:proofErr w:type="spellStart"/>
      <w:r w:rsidRPr="002375ED">
        <w:rPr>
          <w:rFonts w:ascii="Times New Roman" w:hAnsi="Times New Roman" w:cs="Times New Roman"/>
          <w:sz w:val="20"/>
          <w:szCs w:val="20"/>
        </w:rPr>
        <w:t>univariate</w:t>
      </w:r>
      <w:proofErr w:type="spellEnd"/>
      <w:r w:rsidRPr="002375ED">
        <w:rPr>
          <w:rFonts w:ascii="Times New Roman" w:hAnsi="Times New Roman" w:cs="Times New Roman"/>
          <w:sz w:val="20"/>
          <w:szCs w:val="20"/>
        </w:rPr>
        <w:t xml:space="preserve"> and multivariate analysis, IPI score did not significantly affect OS in our series of PBL. </w:t>
      </w:r>
      <w:r w:rsidR="00470537" w:rsidRPr="002375ED">
        <w:rPr>
          <w:rFonts w:ascii="Times New Roman" w:hAnsi="Times New Roman" w:cs="Times New Roman"/>
          <w:sz w:val="20"/>
          <w:szCs w:val="20"/>
        </w:rPr>
        <w:t xml:space="preserve">Some reports concur with this finding where </w:t>
      </w:r>
      <w:r w:rsidRPr="002375ED">
        <w:rPr>
          <w:rFonts w:ascii="Times New Roman" w:hAnsi="Times New Roman" w:cs="Times New Roman"/>
          <w:sz w:val="20"/>
          <w:szCs w:val="20"/>
        </w:rPr>
        <w:t>Catlett et</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l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30)</w:t>
      </w:r>
      <w:r w:rsidRPr="002375ED">
        <w:rPr>
          <w:rFonts w:ascii="Times New Roman" w:hAnsi="Times New Roman" w:cs="Times New Roman"/>
          <w:sz w:val="20"/>
          <w:szCs w:val="20"/>
        </w:rPr>
        <w:t xml:space="preserve">, and </w:t>
      </w:r>
      <w:proofErr w:type="spellStart"/>
      <w:r w:rsidRPr="002375ED">
        <w:rPr>
          <w:rFonts w:ascii="Times New Roman" w:hAnsi="Times New Roman" w:cs="Times New Roman"/>
          <w:sz w:val="20"/>
          <w:szCs w:val="20"/>
        </w:rPr>
        <w:t>Alencar</w:t>
      </w:r>
      <w:proofErr w:type="spellEnd"/>
      <w:r w:rsidRPr="002375ED">
        <w:rPr>
          <w:rFonts w:ascii="Times New Roman" w:hAnsi="Times New Roman" w:cs="Times New Roman"/>
          <w:sz w:val="20"/>
          <w:szCs w:val="20"/>
        </w:rPr>
        <w:t xml:space="preserve"> et a</w:t>
      </w:r>
      <w:r w:rsidR="00DE7B90" w:rsidRPr="002375ED">
        <w:rPr>
          <w:rFonts w:ascii="Times New Roman" w:hAnsi="Times New Roman" w:cs="Times New Roman"/>
          <w:sz w:val="20"/>
          <w:szCs w:val="20"/>
        </w:rPr>
        <w:t xml:space="preserve">l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16)</w:t>
      </w:r>
      <w:r w:rsidR="00470537" w:rsidRPr="002375ED">
        <w:rPr>
          <w:rFonts w:ascii="Times New Roman" w:hAnsi="Times New Roman" w:cs="Times New Roman"/>
          <w:sz w:val="20"/>
          <w:szCs w:val="20"/>
        </w:rPr>
        <w:t xml:space="preserve"> showed that </w:t>
      </w:r>
      <w:r w:rsidRPr="002375ED">
        <w:rPr>
          <w:rFonts w:ascii="Times New Roman" w:hAnsi="Times New Roman" w:cs="Times New Roman"/>
          <w:sz w:val="20"/>
          <w:szCs w:val="20"/>
        </w:rPr>
        <w:t>the survival rate in these patients had no difference</w:t>
      </w:r>
      <w:r w:rsidRPr="002375ED">
        <w:rPr>
          <w:rFonts w:ascii="Times New Roman" w:hAnsi="Times New Roman" w:cs="Times New Roman"/>
          <w:sz w:val="20"/>
          <w:szCs w:val="20"/>
          <w:vertAlign w:val="superscript"/>
        </w:rPr>
        <w:t xml:space="preserve"> </w:t>
      </w:r>
      <w:r w:rsidRPr="002375ED">
        <w:rPr>
          <w:rFonts w:ascii="Times New Roman" w:hAnsi="Times New Roman" w:cs="Times New Roman"/>
          <w:sz w:val="20"/>
          <w:szCs w:val="20"/>
        </w:rPr>
        <w:t xml:space="preserve">when compared between high- IPI score and low IPI score. However, high IPI score had been </w:t>
      </w:r>
      <w:r w:rsidR="00470537" w:rsidRPr="002375ED">
        <w:rPr>
          <w:rFonts w:ascii="Times New Roman" w:hAnsi="Times New Roman" w:cs="Times New Roman"/>
          <w:sz w:val="20"/>
          <w:szCs w:val="20"/>
        </w:rPr>
        <w:t>encountered</w:t>
      </w:r>
      <w:r w:rsidRPr="002375ED">
        <w:rPr>
          <w:rFonts w:ascii="Times New Roman" w:hAnsi="Times New Roman" w:cs="Times New Roman"/>
          <w:sz w:val="20"/>
          <w:szCs w:val="20"/>
        </w:rPr>
        <w:t xml:space="preserve"> as a poor prognostic factor of PBL by Ramadan et al.</w:t>
      </w:r>
      <w:r w:rsidRPr="002375ED">
        <w:rPr>
          <w:rFonts w:ascii="Times New Roman" w:hAnsi="Times New Roman" w:cs="Times New Roman"/>
          <w:sz w:val="20"/>
          <w:szCs w:val="20"/>
          <w:vertAlign w:val="superscript"/>
        </w:rPr>
        <w:t xml:space="preserve"> (8)</w:t>
      </w:r>
      <w:r w:rsidR="00DE7B90" w:rsidRPr="002375ED">
        <w:rPr>
          <w:rFonts w:ascii="Times New Roman" w:hAnsi="Times New Roman" w:cs="Times New Roman"/>
          <w:sz w:val="20"/>
          <w:szCs w:val="20"/>
        </w:rPr>
        <w:t>,</w:t>
      </w:r>
      <w:r w:rsidRPr="002375ED">
        <w:rPr>
          <w:rFonts w:ascii="Times New Roman" w:hAnsi="Times New Roman" w:cs="Times New Roman"/>
          <w:sz w:val="20"/>
          <w:szCs w:val="20"/>
        </w:rPr>
        <w:t xml:space="preserve"> Wu et al</w:t>
      </w:r>
      <w:r w:rsidRPr="002375ED">
        <w:rPr>
          <w:rFonts w:ascii="Times New Roman" w:hAnsi="Times New Roman" w:cs="Times New Roman"/>
          <w:i/>
          <w:iCs/>
          <w:sz w:val="20"/>
          <w:szCs w:val="20"/>
        </w:rPr>
        <w:t>.</w:t>
      </w:r>
      <w:r w:rsidRPr="002375ED">
        <w:rPr>
          <w:rFonts w:ascii="Times New Roman" w:hAnsi="Times New Roman" w:cs="Times New Roman"/>
          <w:sz w:val="20"/>
          <w:szCs w:val="20"/>
          <w:vertAlign w:val="superscript"/>
        </w:rPr>
        <w:t xml:space="preserve"> (6)</w:t>
      </w:r>
      <w:r w:rsidRPr="002375ED">
        <w:rPr>
          <w:rFonts w:ascii="Times New Roman" w:hAnsi="Times New Roman" w:cs="Times New Roman"/>
          <w:sz w:val="20"/>
          <w:szCs w:val="20"/>
        </w:rPr>
        <w:t xml:space="preserve"> and Huang et al</w:t>
      </w:r>
      <w:r w:rsidRPr="002375ED">
        <w:rPr>
          <w:rFonts w:ascii="Times New Roman" w:hAnsi="Times New Roman" w:cs="Times New Roman"/>
          <w:i/>
          <w:iCs/>
          <w:sz w:val="20"/>
          <w:szCs w:val="20"/>
        </w:rPr>
        <w:t>.</w:t>
      </w:r>
      <w:r w:rsidRPr="002375ED">
        <w:rPr>
          <w:rFonts w:ascii="Times New Roman" w:hAnsi="Times New Roman" w:cs="Times New Roman"/>
          <w:sz w:val="20"/>
          <w:szCs w:val="20"/>
          <w:vertAlign w:val="superscript"/>
        </w:rPr>
        <w:t xml:space="preserve"> (19)</w:t>
      </w:r>
      <w:r w:rsidRPr="002375ED">
        <w:rPr>
          <w:rFonts w:ascii="Times New Roman" w:hAnsi="Times New Roman" w:cs="Times New Roman"/>
          <w:sz w:val="20"/>
          <w:szCs w:val="20"/>
        </w:rPr>
        <w:t>.</w:t>
      </w:r>
    </w:p>
    <w:p w:rsidR="00DA7763" w:rsidRPr="002375ED" w:rsidRDefault="000D40C9"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 xml:space="preserve">In the present study, OS was significantly higher in patients with age &lt;40 years. Similarly, many other studies have suggested that age was an </w:t>
      </w:r>
      <w:r w:rsidR="00470537" w:rsidRPr="002375ED">
        <w:rPr>
          <w:rFonts w:ascii="Times New Roman" w:hAnsi="Times New Roman" w:cs="Times New Roman"/>
          <w:sz w:val="20"/>
          <w:szCs w:val="20"/>
        </w:rPr>
        <w:t>crucial</w:t>
      </w:r>
      <w:r w:rsidRPr="002375ED">
        <w:rPr>
          <w:rFonts w:ascii="Times New Roman" w:hAnsi="Times New Roman" w:cs="Times New Roman"/>
          <w:sz w:val="20"/>
          <w:szCs w:val="20"/>
        </w:rPr>
        <w:t xml:space="preserve"> factor affecting the prognosis of PB</w:t>
      </w:r>
      <w:r w:rsidR="00DE7B90" w:rsidRPr="002375ED">
        <w:rPr>
          <w:rFonts w:ascii="Times New Roman" w:hAnsi="Times New Roman" w:cs="Times New Roman"/>
          <w:sz w:val="20"/>
          <w:szCs w:val="20"/>
        </w:rPr>
        <w:t xml:space="preserve">L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2, 17, 8, 31, 32)</w:t>
      </w:r>
      <w:r w:rsidR="00DA7763" w:rsidRPr="002375ED">
        <w:rPr>
          <w:rFonts w:ascii="Times New Roman" w:hAnsi="Times New Roman" w:cs="Times New Roman"/>
          <w:sz w:val="20"/>
          <w:szCs w:val="20"/>
        </w:rPr>
        <w:t>. I</w:t>
      </w:r>
      <w:r w:rsidRPr="002375ED">
        <w:rPr>
          <w:rFonts w:ascii="Times New Roman" w:hAnsi="Times New Roman" w:cs="Times New Roman"/>
          <w:sz w:val="20"/>
          <w:szCs w:val="20"/>
        </w:rPr>
        <w:t>n addition ECOG performance status &lt; 2, in initial presentation was a favorable prognostic factor determining both OS and PFS. This was consistent with other previous report</w:t>
      </w:r>
      <w:r w:rsidR="00DE7B90" w:rsidRPr="002375ED">
        <w:rPr>
          <w:rFonts w:ascii="Times New Roman" w:hAnsi="Times New Roman" w:cs="Times New Roman"/>
          <w:sz w:val="20"/>
          <w:szCs w:val="20"/>
        </w:rPr>
        <w:t xml:space="preserve">s </w:t>
      </w:r>
      <w:r w:rsidR="00DE7B90" w:rsidRPr="002375ED">
        <w:rPr>
          <w:rFonts w:ascii="Times New Roman" w:hAnsi="Times New Roman" w:cs="Times New Roman"/>
          <w:sz w:val="20"/>
          <w:szCs w:val="20"/>
          <w:vertAlign w:val="superscript"/>
        </w:rPr>
        <w:t>(</w:t>
      </w:r>
      <w:r w:rsidRPr="002375ED">
        <w:rPr>
          <w:rFonts w:ascii="Times New Roman" w:hAnsi="Times New Roman" w:cs="Times New Roman"/>
          <w:sz w:val="20"/>
          <w:szCs w:val="20"/>
          <w:vertAlign w:val="superscript"/>
        </w:rPr>
        <w:t>7, 33)</w:t>
      </w:r>
      <w:r w:rsidRPr="002375ED">
        <w:rPr>
          <w:rFonts w:ascii="Times New Roman" w:hAnsi="Times New Roman" w:cs="Times New Roman"/>
          <w:sz w:val="20"/>
          <w:szCs w:val="20"/>
        </w:rPr>
        <w:t>.</w:t>
      </w:r>
    </w:p>
    <w:p w:rsidR="00DA7763" w:rsidRPr="002375ED" w:rsidRDefault="00895A8C"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W</w:t>
      </w:r>
      <w:r w:rsidR="000D40C9" w:rsidRPr="002375ED">
        <w:rPr>
          <w:rFonts w:ascii="Times New Roman" w:hAnsi="Times New Roman" w:cs="Times New Roman"/>
          <w:sz w:val="20"/>
          <w:szCs w:val="20"/>
        </w:rPr>
        <w:t xml:space="preserve">e have noted that </w:t>
      </w:r>
      <w:r w:rsidRPr="002375ED">
        <w:rPr>
          <w:rFonts w:ascii="Times New Roman" w:hAnsi="Times New Roman" w:cs="Times New Roman"/>
          <w:sz w:val="20"/>
          <w:szCs w:val="20"/>
        </w:rPr>
        <w:t xml:space="preserve">patients who received </w:t>
      </w:r>
      <w:r w:rsidR="00C87ECE" w:rsidRPr="002375ED">
        <w:rPr>
          <w:rFonts w:ascii="Times New Roman" w:hAnsi="Times New Roman" w:cs="Times New Roman"/>
          <w:sz w:val="20"/>
          <w:szCs w:val="20"/>
        </w:rPr>
        <w:t>CMT</w:t>
      </w:r>
      <w:r w:rsidR="000D40C9" w:rsidRPr="002375ED">
        <w:rPr>
          <w:rFonts w:ascii="Times New Roman" w:hAnsi="Times New Roman" w:cs="Times New Roman"/>
          <w:sz w:val="20"/>
          <w:szCs w:val="20"/>
        </w:rPr>
        <w:t xml:space="preserve"> </w:t>
      </w:r>
      <w:r w:rsidRPr="002375ED">
        <w:rPr>
          <w:rFonts w:ascii="Times New Roman" w:hAnsi="Times New Roman" w:cs="Times New Roman"/>
          <w:sz w:val="20"/>
          <w:szCs w:val="20"/>
        </w:rPr>
        <w:t>had</w:t>
      </w:r>
      <w:r w:rsidR="000D40C9" w:rsidRPr="002375ED">
        <w:rPr>
          <w:rFonts w:ascii="Times New Roman" w:hAnsi="Times New Roman" w:cs="Times New Roman"/>
          <w:sz w:val="20"/>
          <w:szCs w:val="20"/>
        </w:rPr>
        <w:t xml:space="preserve"> better</w:t>
      </w:r>
      <w:r w:rsidRPr="002375ED">
        <w:rPr>
          <w:rFonts w:ascii="Times New Roman" w:hAnsi="Times New Roman" w:cs="Times New Roman"/>
          <w:sz w:val="20"/>
          <w:szCs w:val="20"/>
        </w:rPr>
        <w:t xml:space="preserve"> outcome compared to those who were treated with either modality alone. </w:t>
      </w:r>
      <w:r w:rsidR="00470537" w:rsidRPr="002375ED">
        <w:rPr>
          <w:rFonts w:ascii="Times New Roman" w:hAnsi="Times New Roman" w:cs="Times New Roman"/>
          <w:sz w:val="20"/>
          <w:szCs w:val="20"/>
        </w:rPr>
        <w:t xml:space="preserve">Many other reports have shown the same finding favoring the use of </w:t>
      </w:r>
      <w:r w:rsidR="00C87ECE" w:rsidRPr="002375ED">
        <w:rPr>
          <w:rFonts w:ascii="Times New Roman" w:hAnsi="Times New Roman" w:cs="Times New Roman"/>
          <w:sz w:val="20"/>
          <w:szCs w:val="20"/>
        </w:rPr>
        <w:t xml:space="preserve">CMT in management of PBL </w:t>
      </w:r>
      <w:r w:rsidR="000D40C9" w:rsidRPr="002375ED">
        <w:rPr>
          <w:rFonts w:ascii="Times New Roman" w:hAnsi="Times New Roman" w:cs="Times New Roman"/>
          <w:sz w:val="20"/>
          <w:szCs w:val="20"/>
          <w:vertAlign w:val="superscript"/>
        </w:rPr>
        <w:t>(2, 18,</w:t>
      </w:r>
      <w:r w:rsidR="00DE7B90" w:rsidRPr="002375ED">
        <w:rPr>
          <w:rFonts w:ascii="Times New Roman" w:hAnsi="Times New Roman" w:cs="Times New Roman"/>
          <w:sz w:val="20"/>
          <w:szCs w:val="20"/>
          <w:vertAlign w:val="superscript"/>
        </w:rPr>
        <w:t xml:space="preserve"> </w:t>
      </w:r>
      <w:r w:rsidR="000D40C9" w:rsidRPr="002375ED">
        <w:rPr>
          <w:rFonts w:ascii="Times New Roman" w:hAnsi="Times New Roman" w:cs="Times New Roman"/>
          <w:sz w:val="20"/>
          <w:szCs w:val="20"/>
          <w:vertAlign w:val="superscript"/>
        </w:rPr>
        <w:t>7, 34)</w:t>
      </w:r>
      <w:r w:rsidR="000D40C9" w:rsidRPr="002375ED">
        <w:rPr>
          <w:rFonts w:ascii="Times New Roman" w:hAnsi="Times New Roman" w:cs="Times New Roman"/>
          <w:sz w:val="20"/>
          <w:szCs w:val="20"/>
        </w:rPr>
        <w:t>.</w:t>
      </w:r>
    </w:p>
    <w:p w:rsidR="000D40C9" w:rsidRPr="002375ED" w:rsidRDefault="00895A8C"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O</w:t>
      </w:r>
      <w:r w:rsidR="000D40C9" w:rsidRPr="002375ED">
        <w:rPr>
          <w:rFonts w:ascii="Times New Roman" w:hAnsi="Times New Roman" w:cs="Times New Roman"/>
          <w:sz w:val="20"/>
          <w:szCs w:val="20"/>
        </w:rPr>
        <w:t xml:space="preserve">n </w:t>
      </w:r>
      <w:proofErr w:type="spellStart"/>
      <w:r w:rsidR="000D40C9" w:rsidRPr="002375ED">
        <w:rPr>
          <w:rFonts w:ascii="Times New Roman" w:hAnsi="Times New Roman" w:cs="Times New Roman"/>
          <w:sz w:val="20"/>
          <w:szCs w:val="20"/>
        </w:rPr>
        <w:t>univariate</w:t>
      </w:r>
      <w:proofErr w:type="spellEnd"/>
      <w:r w:rsidR="000D40C9" w:rsidRPr="002375ED">
        <w:rPr>
          <w:rFonts w:ascii="Times New Roman" w:hAnsi="Times New Roman" w:cs="Times New Roman"/>
          <w:sz w:val="20"/>
          <w:szCs w:val="20"/>
        </w:rPr>
        <w:t xml:space="preserve"> analysis we also found that a normal level of LDH, lack of B symptoms, and female gender were also favorable prognostic factors, but these were not found to be significant on multivariate analysis. Similar results were reported by Beal et a</w:t>
      </w:r>
      <w:r w:rsidR="00DE7B90" w:rsidRPr="002375ED">
        <w:rPr>
          <w:rFonts w:ascii="Times New Roman" w:hAnsi="Times New Roman" w:cs="Times New Roman"/>
          <w:sz w:val="20"/>
          <w:szCs w:val="20"/>
        </w:rPr>
        <w:t xml:space="preserve">l </w:t>
      </w:r>
      <w:r w:rsidR="00DE7B90" w:rsidRPr="002375ED">
        <w:rPr>
          <w:rFonts w:ascii="Times New Roman" w:hAnsi="Times New Roman" w:cs="Times New Roman"/>
          <w:sz w:val="20"/>
          <w:szCs w:val="20"/>
          <w:vertAlign w:val="superscript"/>
        </w:rPr>
        <w:t>(</w:t>
      </w:r>
      <w:r w:rsidR="000D40C9" w:rsidRPr="002375ED">
        <w:rPr>
          <w:rFonts w:ascii="Times New Roman" w:hAnsi="Times New Roman" w:cs="Times New Roman"/>
          <w:sz w:val="20"/>
          <w:szCs w:val="20"/>
          <w:vertAlign w:val="superscript"/>
        </w:rPr>
        <w:t>2)</w:t>
      </w:r>
      <w:r w:rsidR="000D40C9" w:rsidRPr="002375ED">
        <w:rPr>
          <w:rFonts w:ascii="Times New Roman" w:hAnsi="Times New Roman" w:cs="Times New Roman"/>
          <w:sz w:val="20"/>
          <w:szCs w:val="20"/>
        </w:rPr>
        <w:t>.</w:t>
      </w:r>
      <w:r w:rsidRPr="002375ED">
        <w:rPr>
          <w:rFonts w:ascii="Times New Roman" w:hAnsi="Times New Roman" w:cs="Times New Roman"/>
          <w:sz w:val="20"/>
          <w:szCs w:val="20"/>
        </w:rPr>
        <w:t xml:space="preserve"> </w:t>
      </w:r>
      <w:r w:rsidR="000D40C9" w:rsidRPr="002375ED">
        <w:rPr>
          <w:rFonts w:ascii="Times New Roman" w:hAnsi="Times New Roman" w:cs="Times New Roman"/>
          <w:sz w:val="20"/>
          <w:szCs w:val="20"/>
        </w:rPr>
        <w:t>On multivariate analysis, only age &lt; 40 years and the use of combined modality therapy were independent prognostic factors for OS, CSS, and FFTF. Our prognostic findings were also similar to other series with age &lt;40 year</w:t>
      </w:r>
      <w:r w:rsidR="00DE7B90" w:rsidRPr="002375ED">
        <w:rPr>
          <w:rFonts w:ascii="Times New Roman" w:hAnsi="Times New Roman" w:cs="Times New Roman"/>
          <w:sz w:val="20"/>
          <w:szCs w:val="20"/>
        </w:rPr>
        <w:t xml:space="preserve">s </w:t>
      </w:r>
      <w:r w:rsidR="00DE7B90" w:rsidRPr="002375ED">
        <w:rPr>
          <w:rFonts w:ascii="Times New Roman" w:hAnsi="Times New Roman" w:cs="Times New Roman"/>
          <w:sz w:val="20"/>
          <w:szCs w:val="20"/>
          <w:vertAlign w:val="superscript"/>
        </w:rPr>
        <w:t>(</w:t>
      </w:r>
      <w:r w:rsidR="000D40C9" w:rsidRPr="002375ED">
        <w:rPr>
          <w:rFonts w:ascii="Times New Roman" w:hAnsi="Times New Roman" w:cs="Times New Roman"/>
          <w:sz w:val="20"/>
          <w:szCs w:val="20"/>
          <w:vertAlign w:val="superscript"/>
        </w:rPr>
        <w:t>35)</w:t>
      </w:r>
      <w:r w:rsidR="000D40C9" w:rsidRPr="002375ED">
        <w:rPr>
          <w:rFonts w:ascii="Times New Roman" w:hAnsi="Times New Roman" w:cs="Times New Roman"/>
          <w:sz w:val="20"/>
          <w:szCs w:val="20"/>
        </w:rPr>
        <w:t xml:space="preserve"> and the use of combined modality therap</w:t>
      </w:r>
      <w:r w:rsidR="00DE7B90" w:rsidRPr="002375ED">
        <w:rPr>
          <w:rFonts w:ascii="Times New Roman" w:hAnsi="Times New Roman" w:cs="Times New Roman"/>
          <w:sz w:val="20"/>
          <w:szCs w:val="20"/>
        </w:rPr>
        <w:t xml:space="preserve">y </w:t>
      </w:r>
      <w:r w:rsidR="00DE7B90" w:rsidRPr="002375ED">
        <w:rPr>
          <w:rFonts w:ascii="Times New Roman" w:hAnsi="Times New Roman" w:cs="Times New Roman"/>
          <w:sz w:val="20"/>
          <w:szCs w:val="20"/>
          <w:vertAlign w:val="superscript"/>
        </w:rPr>
        <w:t>(</w:t>
      </w:r>
      <w:r w:rsidR="000D40C9" w:rsidRPr="002375ED">
        <w:rPr>
          <w:rFonts w:ascii="Times New Roman" w:hAnsi="Times New Roman" w:cs="Times New Roman"/>
          <w:sz w:val="20"/>
          <w:szCs w:val="20"/>
          <w:vertAlign w:val="superscript"/>
        </w:rPr>
        <w:t>18, 36)</w:t>
      </w:r>
      <w:r w:rsidR="000D40C9" w:rsidRPr="002375ED">
        <w:rPr>
          <w:rFonts w:ascii="Times New Roman" w:hAnsi="Times New Roman" w:cs="Times New Roman"/>
          <w:sz w:val="20"/>
          <w:szCs w:val="20"/>
        </w:rPr>
        <w:t xml:space="preserve"> found to be associated with an improved OS, CSS, and FFTF rates on multivariate analysis.</w:t>
      </w:r>
      <w:r w:rsidR="00C87ECE" w:rsidRPr="002375ED">
        <w:rPr>
          <w:rFonts w:ascii="Times New Roman" w:hAnsi="Times New Roman" w:cs="Times New Roman"/>
          <w:sz w:val="20"/>
          <w:szCs w:val="20"/>
        </w:rPr>
        <w:t xml:space="preserve"> Although we have a long follow up yet our results are limited by the small number of patients and the retrospective nature of the study. </w:t>
      </w:r>
    </w:p>
    <w:p w:rsidR="00DE7B90" w:rsidRPr="002375ED" w:rsidRDefault="00C87ECE"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2375ED">
        <w:rPr>
          <w:rFonts w:ascii="Times New Roman" w:hAnsi="Times New Roman" w:cs="Times New Roman"/>
          <w:sz w:val="20"/>
          <w:szCs w:val="20"/>
        </w:rPr>
        <w:t xml:space="preserve">Further </w:t>
      </w:r>
      <w:r w:rsidR="000D40C9" w:rsidRPr="002375ED">
        <w:rPr>
          <w:rFonts w:ascii="Times New Roman" w:hAnsi="Times New Roman" w:cs="Times New Roman"/>
          <w:sz w:val="20"/>
          <w:szCs w:val="20"/>
        </w:rPr>
        <w:t>large prospective randomized trials comparing efficacy, toxicity,</w:t>
      </w:r>
      <w:r w:rsidR="000D40C9" w:rsidRPr="002375ED">
        <w:rPr>
          <w:rFonts w:ascii="Times New Roman" w:hAnsi="Times New Roman" w:cs="Times New Roman"/>
          <w:sz w:val="20"/>
          <w:szCs w:val="20"/>
          <w:vertAlign w:val="superscript"/>
        </w:rPr>
        <w:t xml:space="preserve"> </w:t>
      </w:r>
      <w:r w:rsidR="000D40C9" w:rsidRPr="002375ED">
        <w:rPr>
          <w:rFonts w:ascii="Times New Roman" w:hAnsi="Times New Roman" w:cs="Times New Roman"/>
          <w:sz w:val="20"/>
          <w:szCs w:val="20"/>
        </w:rPr>
        <w:t>and quality of life</w:t>
      </w:r>
      <w:r w:rsidR="00A64419" w:rsidRPr="002375ED">
        <w:rPr>
          <w:rFonts w:ascii="Times New Roman" w:hAnsi="Times New Roman" w:cs="Times New Roman"/>
          <w:sz w:val="20"/>
          <w:szCs w:val="20"/>
        </w:rPr>
        <w:t xml:space="preserve"> for various treatment </w:t>
      </w:r>
      <w:r w:rsidRPr="002375ED">
        <w:rPr>
          <w:rFonts w:ascii="Times New Roman" w:hAnsi="Times New Roman" w:cs="Times New Roman"/>
          <w:sz w:val="20"/>
          <w:szCs w:val="20"/>
        </w:rPr>
        <w:t>modalities are warranted.</w:t>
      </w:r>
      <w:r w:rsidR="000D40C9" w:rsidRPr="002375ED">
        <w:rPr>
          <w:rFonts w:ascii="Times New Roman" w:hAnsi="Times New Roman" w:cs="Times New Roman"/>
          <w:sz w:val="20"/>
          <w:szCs w:val="20"/>
        </w:rPr>
        <w:t xml:space="preserve"> </w:t>
      </w:r>
      <w:r w:rsidRPr="002375ED">
        <w:rPr>
          <w:rFonts w:ascii="Times New Roman" w:hAnsi="Times New Roman" w:cs="Times New Roman"/>
          <w:sz w:val="20"/>
          <w:szCs w:val="20"/>
          <w:lang w:bidi="ar-EG"/>
        </w:rPr>
        <w:t xml:space="preserve">Better </w:t>
      </w:r>
      <w:r w:rsidR="000D40C9" w:rsidRPr="002375ED">
        <w:rPr>
          <w:rFonts w:ascii="Times New Roman" w:hAnsi="Times New Roman" w:cs="Times New Roman"/>
          <w:sz w:val="20"/>
          <w:szCs w:val="20"/>
        </w:rPr>
        <w:t xml:space="preserve">understanding </w:t>
      </w:r>
      <w:r w:rsidRPr="002375ED">
        <w:rPr>
          <w:rFonts w:ascii="Times New Roman" w:hAnsi="Times New Roman" w:cs="Times New Roman"/>
          <w:sz w:val="20"/>
          <w:szCs w:val="20"/>
        </w:rPr>
        <w:t xml:space="preserve">of </w:t>
      </w:r>
      <w:r w:rsidR="00FD5243" w:rsidRPr="002375ED">
        <w:rPr>
          <w:rFonts w:ascii="Times New Roman" w:hAnsi="Times New Roman" w:cs="Times New Roman"/>
          <w:sz w:val="20"/>
          <w:szCs w:val="20"/>
        </w:rPr>
        <w:t>the tumor</w:t>
      </w:r>
      <w:r w:rsidRPr="002375ED">
        <w:rPr>
          <w:rFonts w:ascii="Times New Roman" w:hAnsi="Times New Roman" w:cs="Times New Roman"/>
          <w:sz w:val="20"/>
          <w:szCs w:val="20"/>
        </w:rPr>
        <w:t xml:space="preserve"> biology and </w:t>
      </w:r>
      <w:r w:rsidR="000D40C9" w:rsidRPr="002375ED">
        <w:rPr>
          <w:rFonts w:ascii="Times New Roman" w:hAnsi="Times New Roman" w:cs="Times New Roman"/>
          <w:sz w:val="20"/>
          <w:szCs w:val="20"/>
        </w:rPr>
        <w:t>identification of biomarkers that predict treatment response</w:t>
      </w:r>
      <w:r w:rsidR="000D40C9" w:rsidRPr="002375ED">
        <w:rPr>
          <w:rFonts w:ascii="Times New Roman" w:hAnsi="Times New Roman" w:cs="Times New Roman"/>
          <w:sz w:val="20"/>
          <w:szCs w:val="20"/>
          <w:lang w:bidi="ar-EG"/>
        </w:rPr>
        <w:t xml:space="preserve"> should be encouraged</w:t>
      </w:r>
      <w:r w:rsidR="000D40C9" w:rsidRPr="002375ED">
        <w:rPr>
          <w:rFonts w:ascii="Times New Roman" w:hAnsi="Times New Roman" w:cs="Times New Roman"/>
          <w:sz w:val="20"/>
          <w:szCs w:val="20"/>
        </w:rPr>
        <w:t>.</w:t>
      </w:r>
    </w:p>
    <w:p w:rsidR="00DE7B90" w:rsidRPr="002375ED" w:rsidRDefault="00DE7B90" w:rsidP="00DA7763">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5671D9" w:rsidRPr="002375ED" w:rsidRDefault="005671D9" w:rsidP="00DA7763">
      <w:pPr>
        <w:bidi w:val="0"/>
        <w:snapToGrid w:val="0"/>
        <w:spacing w:after="0" w:line="240" w:lineRule="auto"/>
        <w:jc w:val="both"/>
        <w:rPr>
          <w:rFonts w:ascii="Times New Roman" w:hAnsi="Times New Roman" w:cs="Times New Roman"/>
          <w:b/>
          <w:bCs/>
          <w:sz w:val="20"/>
          <w:szCs w:val="20"/>
          <w:lang w:bidi="ar-EG"/>
        </w:rPr>
      </w:pPr>
      <w:r w:rsidRPr="002375ED">
        <w:rPr>
          <w:rFonts w:ascii="Times New Roman" w:hAnsi="Times New Roman" w:cs="Times New Roman"/>
          <w:b/>
          <w:bCs/>
          <w:sz w:val="20"/>
          <w:szCs w:val="20"/>
        </w:rPr>
        <w:t>Corresponding author:</w:t>
      </w:r>
    </w:p>
    <w:p w:rsidR="005671D9" w:rsidRPr="002375ED" w:rsidRDefault="005671D9" w:rsidP="00DA7763">
      <w:pPr>
        <w:bidi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 xml:space="preserve">Mohamed A. </w:t>
      </w:r>
      <w:proofErr w:type="spellStart"/>
      <w:r w:rsidRPr="002375ED">
        <w:rPr>
          <w:rFonts w:ascii="Times New Roman" w:hAnsi="Times New Roman" w:cs="Times New Roman"/>
          <w:sz w:val="20"/>
          <w:szCs w:val="20"/>
        </w:rPr>
        <w:t>Alm</w:t>
      </w:r>
      <w:proofErr w:type="spellEnd"/>
      <w:r w:rsidRPr="002375ED">
        <w:rPr>
          <w:rFonts w:ascii="Times New Roman" w:hAnsi="Times New Roman" w:cs="Times New Roman"/>
          <w:sz w:val="20"/>
          <w:szCs w:val="20"/>
        </w:rPr>
        <w:t xml:space="preserve"> El-Din, M.D.</w:t>
      </w:r>
    </w:p>
    <w:p w:rsidR="00A847BA" w:rsidRPr="002375ED" w:rsidRDefault="005671D9" w:rsidP="00DA7763">
      <w:pPr>
        <w:bidi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lastRenderedPageBreak/>
        <w:t>Associate Professor of Clinical Oncology</w:t>
      </w:r>
      <w:r w:rsidR="00A847BA" w:rsidRPr="002375ED">
        <w:rPr>
          <w:rFonts w:ascii="Times New Roman" w:hAnsi="Times New Roman" w:cs="Times New Roman"/>
          <w:sz w:val="20"/>
          <w:szCs w:val="20"/>
        </w:rPr>
        <w:t xml:space="preserve">, </w:t>
      </w:r>
      <w:r w:rsidRPr="002375ED">
        <w:rPr>
          <w:rFonts w:ascii="Times New Roman" w:hAnsi="Times New Roman" w:cs="Times New Roman"/>
          <w:sz w:val="20"/>
          <w:szCs w:val="20"/>
        </w:rPr>
        <w:t>Department of Clinical Oncology</w:t>
      </w:r>
      <w:r w:rsidR="00A847BA" w:rsidRPr="002375ED">
        <w:rPr>
          <w:rFonts w:ascii="Times New Roman" w:hAnsi="Times New Roman" w:cs="Times New Roman"/>
          <w:sz w:val="20"/>
          <w:szCs w:val="20"/>
        </w:rPr>
        <w:t xml:space="preserve">, </w:t>
      </w:r>
      <w:r w:rsidRPr="002375ED">
        <w:rPr>
          <w:rFonts w:ascii="Times New Roman" w:hAnsi="Times New Roman" w:cs="Times New Roman"/>
          <w:sz w:val="20"/>
          <w:szCs w:val="20"/>
        </w:rPr>
        <w:t>Tanta Faculty of Medicine</w:t>
      </w:r>
      <w:r w:rsidR="00A847BA" w:rsidRPr="002375ED">
        <w:rPr>
          <w:rFonts w:ascii="Times New Roman" w:hAnsi="Times New Roman" w:cs="Times New Roman"/>
          <w:sz w:val="20"/>
          <w:szCs w:val="20"/>
        </w:rPr>
        <w:t xml:space="preserve">, </w:t>
      </w:r>
      <w:r w:rsidRPr="002375ED">
        <w:rPr>
          <w:rFonts w:ascii="Times New Roman" w:hAnsi="Times New Roman" w:cs="Times New Roman"/>
          <w:sz w:val="20"/>
          <w:szCs w:val="20"/>
        </w:rPr>
        <w:t>Tanta University Hospital</w:t>
      </w:r>
      <w:r w:rsidR="00A847BA" w:rsidRPr="002375ED">
        <w:rPr>
          <w:rFonts w:ascii="Times New Roman" w:hAnsi="Times New Roman" w:cs="Times New Roman"/>
          <w:sz w:val="20"/>
          <w:szCs w:val="20"/>
        </w:rPr>
        <w:t>, Egypt.</w:t>
      </w:r>
    </w:p>
    <w:p w:rsidR="00DE7B90" w:rsidRPr="002375ED" w:rsidRDefault="00A847BA" w:rsidP="00DA7763">
      <w:pPr>
        <w:bidi w:val="0"/>
        <w:snapToGrid w:val="0"/>
        <w:spacing w:after="0" w:line="240" w:lineRule="auto"/>
        <w:jc w:val="both"/>
        <w:rPr>
          <w:rFonts w:ascii="Times New Roman" w:hAnsi="Times New Roman" w:cs="Times New Roman"/>
          <w:sz w:val="20"/>
          <w:szCs w:val="20"/>
        </w:rPr>
      </w:pPr>
      <w:r w:rsidRPr="002375ED">
        <w:rPr>
          <w:rFonts w:ascii="Times New Roman" w:hAnsi="Times New Roman" w:cs="Times New Roman"/>
          <w:sz w:val="20"/>
          <w:szCs w:val="20"/>
        </w:rPr>
        <w:t>E</w:t>
      </w:r>
      <w:r w:rsidR="00DA7763" w:rsidRPr="002375ED">
        <w:rPr>
          <w:rFonts w:ascii="Times New Roman" w:hAnsi="Times New Roman" w:cs="Times New Roman"/>
          <w:sz w:val="20"/>
          <w:szCs w:val="20"/>
        </w:rPr>
        <w:t>. m</w:t>
      </w:r>
      <w:r w:rsidRPr="002375ED">
        <w:rPr>
          <w:rFonts w:ascii="Times New Roman" w:hAnsi="Times New Roman" w:cs="Times New Roman"/>
          <w:sz w:val="20"/>
          <w:szCs w:val="20"/>
        </w:rPr>
        <w:t>ail</w:t>
      </w:r>
      <w:r w:rsidRPr="002375ED">
        <w:rPr>
          <w:rFonts w:ascii="Times New Roman" w:hAnsi="Times New Roman" w:cs="Times New Roman"/>
          <w:b/>
          <w:bCs/>
          <w:sz w:val="20"/>
          <w:szCs w:val="20"/>
        </w:rPr>
        <w:t xml:space="preserve">: </w:t>
      </w:r>
      <w:hyperlink r:id="rId19" w:history="1">
        <w:r w:rsidRPr="002375ED">
          <w:rPr>
            <w:rStyle w:val="Hyperlink"/>
            <w:rFonts w:ascii="Times New Roman" w:hAnsi="Times New Roman"/>
            <w:sz w:val="20"/>
            <w:szCs w:val="20"/>
          </w:rPr>
          <w:t>almeldin@gmail.com</w:t>
        </w:r>
      </w:hyperlink>
    </w:p>
    <w:p w:rsidR="00DE7B90" w:rsidRPr="002375ED" w:rsidRDefault="00DE7B90" w:rsidP="00DA7763">
      <w:pPr>
        <w:bidi w:val="0"/>
        <w:snapToGrid w:val="0"/>
        <w:spacing w:after="0" w:line="240" w:lineRule="auto"/>
        <w:ind w:firstLine="425"/>
        <w:jc w:val="both"/>
        <w:rPr>
          <w:rFonts w:ascii="Times New Roman" w:hAnsi="Times New Roman" w:cs="Times New Roman"/>
          <w:sz w:val="20"/>
          <w:szCs w:val="20"/>
        </w:rPr>
      </w:pPr>
    </w:p>
    <w:p w:rsidR="000D40C9" w:rsidRPr="002375ED" w:rsidRDefault="000D40C9" w:rsidP="00DA7763">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2375ED">
        <w:rPr>
          <w:rFonts w:ascii="Times New Roman" w:hAnsi="Times New Roman" w:cs="Times New Roman"/>
          <w:b/>
          <w:bCs/>
          <w:sz w:val="20"/>
          <w:szCs w:val="20"/>
        </w:rPr>
        <w:t>References</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rPr>
      </w:pPr>
      <w:r w:rsidRPr="002375ED">
        <w:rPr>
          <w:rFonts w:ascii="Times New Roman" w:hAnsi="Times New Roman" w:cs="Times New Roman"/>
          <w:sz w:val="20"/>
          <w:szCs w:val="20"/>
        </w:rPr>
        <w:t>Zhang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X</w:t>
      </w:r>
      <w:r w:rsidR="00DA7763" w:rsidRPr="002375ED">
        <w:rPr>
          <w:rFonts w:ascii="Times New Roman" w:hAnsi="Times New Roman" w:cs="Times New Roman" w:hint="eastAsia"/>
          <w:sz w:val="20"/>
          <w:szCs w:val="20"/>
          <w:lang w:eastAsia="zh-CN"/>
        </w:rPr>
        <w:t xml:space="preserve"> </w:t>
      </w:r>
      <w:r w:rsidRPr="002375ED">
        <w:rPr>
          <w:rFonts w:ascii="Times New Roman" w:hAnsi="Times New Roman" w:cs="Times New Roman"/>
          <w:sz w:val="20"/>
          <w:szCs w:val="20"/>
        </w:rPr>
        <w:t>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Zhu</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Song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Y,</w:t>
      </w:r>
      <w:r w:rsidR="00DE7B90" w:rsidRPr="002375ED">
        <w:rPr>
          <w:rFonts w:ascii="Times New Roman" w:hAnsi="Times New Roman" w:cs="Times New Roman"/>
          <w:sz w:val="20"/>
          <w:szCs w:val="20"/>
        </w:rPr>
        <w:t xml:space="preserve"> </w:t>
      </w:r>
      <w:r w:rsidRPr="002375ED">
        <w:rPr>
          <w:rFonts w:ascii="Times New Roman" w:hAnsi="Times New Roman" w:cs="Times New Roman"/>
          <w:color w:val="231F20"/>
          <w:sz w:val="20"/>
          <w:szCs w:val="20"/>
        </w:rPr>
        <w:t>et</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al</w:t>
      </w:r>
      <w:r w:rsidRPr="002375ED">
        <w:rPr>
          <w:rFonts w:ascii="Times New Roman" w:hAnsi="Times New Roman" w:cs="Times New Roman"/>
          <w:color w:val="FF0000"/>
          <w:sz w:val="20"/>
          <w:szCs w:val="20"/>
          <w:lang w:bidi="ar-EG"/>
        </w:rPr>
        <w:t>.</w:t>
      </w:r>
      <w:r w:rsidR="00DE7B90" w:rsidRPr="002375ED">
        <w:rPr>
          <w:rFonts w:ascii="Times New Roman" w:hAnsi="Times New Roman" w:cs="Times New Roman"/>
          <w:color w:val="FF0000"/>
          <w:sz w:val="20"/>
          <w:szCs w:val="20"/>
          <w:lang w:bidi="ar-EG"/>
        </w:rPr>
        <w:t xml:space="preserve"> </w:t>
      </w:r>
      <w:r w:rsidRPr="002375ED">
        <w:rPr>
          <w:rFonts w:ascii="Times New Roman" w:hAnsi="Times New Roman" w:cs="Times New Roman"/>
          <w:sz w:val="20"/>
          <w:szCs w:val="20"/>
        </w:rPr>
        <w:t>Clinical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characterization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and</w:t>
      </w:r>
      <w:r w:rsidR="00DE7B90" w:rsidRPr="002375ED">
        <w:rPr>
          <w:rFonts w:ascii="Times New Roman" w:hAnsi="Times New Roman" w:cs="Times New Roman"/>
          <w:color w:val="FF0000"/>
          <w:sz w:val="20"/>
          <w:szCs w:val="20"/>
          <w:lang w:bidi="ar-EG"/>
        </w:rPr>
        <w:t xml:space="preserve"> </w:t>
      </w:r>
      <w:r w:rsidRPr="002375ED">
        <w:rPr>
          <w:rFonts w:ascii="Times New Roman" w:hAnsi="Times New Roman" w:cs="Times New Roman"/>
          <w:sz w:val="20"/>
          <w:szCs w:val="20"/>
        </w:rPr>
        <w:t>outcome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color w:val="FF0000"/>
          <w:sz w:val="20"/>
          <w:szCs w:val="20"/>
          <w:lang w:bidi="ar-EG"/>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retrospective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study</w:t>
      </w:r>
      <w:r w:rsidR="00DE7B90" w:rsidRPr="002375ED">
        <w:rPr>
          <w:rFonts w:ascii="Times New Roman" w:hAnsi="Times New Roman" w:cs="Times New Roman"/>
          <w:color w:val="FF0000"/>
          <w:sz w:val="20"/>
          <w:szCs w:val="20"/>
          <w:lang w:bidi="ar-EG"/>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61</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Chinese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patients.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Sci.</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Rep.</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6,</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28834;</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doi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10.1038/srep28834</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(2016).</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color w:val="231F20"/>
          <w:sz w:val="20"/>
          <w:szCs w:val="20"/>
        </w:rPr>
        <w:t>Beal</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K,</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Allen</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L,</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Yahalom</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J.</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Primary</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Bone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Lymphoma:</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Treatment</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Results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and</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Prognostic</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Factors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with</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Long-Term</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Follow-up</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of</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82</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Patients.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Cancer</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2006;</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106:2652–6.</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Freeman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Berg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Cutler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SJ.</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Occurrence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prognosis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extranodal</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Cancer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1972;</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29:</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252–260.</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Limb</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Dreghorn</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Murphy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JK,</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Mannion</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Int</w:t>
      </w:r>
      <w:proofErr w:type="spellEnd"/>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Orthop</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1994;</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18:180–183.</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Fletcher,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Brigde</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Hogendoorn</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w:t>
      </w:r>
      <w:r w:rsidR="00DE7B90" w:rsidRPr="002375ED">
        <w:rPr>
          <w:rFonts w:ascii="Times New Roman" w:hAnsi="Times New Roman" w:cs="Times New Roman"/>
          <w:sz w:val="20"/>
          <w:szCs w:val="20"/>
        </w:rPr>
        <w:t xml:space="preserve"> &amp; </w:t>
      </w:r>
      <w:proofErr w:type="spellStart"/>
      <w:r w:rsidRPr="002375ED">
        <w:rPr>
          <w:rFonts w:ascii="Times New Roman" w:hAnsi="Times New Roman" w:cs="Times New Roman"/>
          <w:sz w:val="20"/>
          <w:szCs w:val="20"/>
        </w:rPr>
        <w:t>Mertens</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World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Health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Organization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Classification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Tumours</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Soft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Tissue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IARC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Press.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(2013).</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Wu</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Zhang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Shao</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H,</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Sokol</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Sotomayor</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Letson</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Bui</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MM.</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Prognostic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significance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soft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tissue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extension,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international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prognostic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index,</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and</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multifocality</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single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institutional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experience.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British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haematology</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166</w:t>
      </w:r>
      <w:r w:rsidRPr="002375ED">
        <w:rPr>
          <w:rFonts w:ascii="Times New Roman" w:hAnsi="Times New Roman" w:cs="Times New Roman"/>
          <w:bCs/>
          <w:sz w:val="20"/>
          <w:szCs w:val="20"/>
        </w:rPr>
        <w:t>,</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60–68,</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doi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10.1111/bjh.12841</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(2014).</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sz w:val="20"/>
          <w:szCs w:val="20"/>
        </w:rPr>
        <w:t>Cai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Early-stage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retrospective,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multicenter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Rare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Cancer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Network</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(RCN)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Study.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International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radiation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biology,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physics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83</w:t>
      </w:r>
      <w:r w:rsidRPr="002375ED">
        <w:rPr>
          <w:rFonts w:ascii="Times New Roman" w:hAnsi="Times New Roman" w:cs="Times New Roman"/>
          <w:bCs/>
          <w:sz w:val="20"/>
          <w:szCs w:val="20"/>
        </w:rPr>
        <w:t>,</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284–291,</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doi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10.1016/j.ijrobp.2011.06.1976</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(2012).</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Ramadan,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K.</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Shenkier</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Sehn</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H.,</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Gascoyne</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w:t>
      </w:r>
      <w:r w:rsidR="00DE7B90" w:rsidRPr="002375ED">
        <w:rPr>
          <w:rFonts w:ascii="Times New Roman" w:hAnsi="Times New Roman" w:cs="Times New Roman"/>
          <w:sz w:val="20"/>
          <w:szCs w:val="20"/>
        </w:rPr>
        <w:t xml:space="preserve"> &amp; </w:t>
      </w:r>
      <w:r w:rsidRPr="002375ED">
        <w:rPr>
          <w:rFonts w:ascii="Times New Roman" w:hAnsi="Times New Roman" w:cs="Times New Roman"/>
          <w:sz w:val="20"/>
          <w:szCs w:val="20"/>
        </w:rPr>
        <w:t>Connors,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clinicopathological</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retrospective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study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131</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patients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with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population-based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study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successively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treated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cohorts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from</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British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Columbia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Cancer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Agency.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Annals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2007:</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official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European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Society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for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Medical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ESMO</w:t>
      </w:r>
      <w:r w:rsidR="00DE7B90" w:rsidRPr="002375ED">
        <w:rPr>
          <w:rFonts w:ascii="Times New Roman" w:hAnsi="Times New Roman" w:cs="Times New Roman"/>
          <w:sz w:val="20"/>
          <w:szCs w:val="20"/>
        </w:rPr>
        <w:t xml:space="preserve"> </w:t>
      </w:r>
      <w:r w:rsidRPr="002375ED">
        <w:rPr>
          <w:rFonts w:ascii="Times New Roman" w:hAnsi="Times New Roman" w:cs="Times New Roman"/>
          <w:bCs/>
          <w:sz w:val="20"/>
          <w:szCs w:val="20"/>
        </w:rPr>
        <w:t>18,</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129–135,</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doi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10.1093/annonc/mdl329</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(2007).</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Stein,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retrospective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study.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Experience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Northern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Israel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Center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(1979–2000).</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2003;</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64</w:t>
      </w:r>
      <w:r w:rsidRPr="002375ED">
        <w:rPr>
          <w:rFonts w:ascii="Times New Roman" w:hAnsi="Times New Roman" w:cs="Times New Roman"/>
          <w:bCs/>
          <w:sz w:val="20"/>
          <w:szCs w:val="20"/>
        </w:rPr>
        <w:t>,</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322–327,</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doi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70288.</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Carbone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PP,</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Kaplan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HS,</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Musshoff</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K,</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Smithers</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DW,</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Tubiana</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Report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committee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Hodgkin’s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disease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staging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classification.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Cancer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1971;</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31:</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1860-1.</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sz w:val="20"/>
          <w:szCs w:val="20"/>
        </w:rPr>
        <w:lastRenderedPageBreak/>
        <w:t>Cheson</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Report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international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workshop</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to</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standardize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response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criteria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for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non-Hodgkin’s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NCI</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Sponsored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International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Working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Group.</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clinical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1999:</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official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American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Society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Clinical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bCs/>
          <w:sz w:val="20"/>
          <w:szCs w:val="20"/>
        </w:rPr>
        <w:t>17,</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1244</w:t>
      </w:r>
      <w:r w:rsidRPr="002375ED">
        <w:rPr>
          <w:rFonts w:ascii="Times New Roman" w:hAnsi="Times New Roman" w:cs="Times New Roman"/>
          <w:sz w:val="20"/>
          <w:szCs w:val="20"/>
          <w:lang w:bidi="ar-EG"/>
        </w:rPr>
        <w:t>.</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sz w:val="20"/>
          <w:szCs w:val="20"/>
        </w:rPr>
        <w:t>Cheson</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Revised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response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criteria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for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malignant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clinical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2007:</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official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American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Society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Clinical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bCs/>
          <w:sz w:val="20"/>
          <w:szCs w:val="20"/>
        </w:rPr>
        <w:t>25,</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579–586,</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doi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10.1200/JCO.2006.09.2403.</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Style w:val="Strong"/>
          <w:rFonts w:ascii="Times New Roman" w:hAnsi="Times New Roman"/>
          <w:b w:val="0"/>
          <w:bCs/>
          <w:sz w:val="20"/>
          <w:szCs w:val="20"/>
        </w:rPr>
        <w:t>Mangino</w:t>
      </w:r>
      <w:proofErr w:type="spellEnd"/>
      <w:r w:rsidR="00DE7B90" w:rsidRPr="002375ED">
        <w:rPr>
          <w:rStyle w:val="Strong"/>
          <w:rFonts w:ascii="Times New Roman" w:hAnsi="Times New Roman"/>
          <w:b w:val="0"/>
          <w:bCs/>
          <w:sz w:val="20"/>
          <w:szCs w:val="20"/>
        </w:rPr>
        <w:t xml:space="preserve"> </w:t>
      </w:r>
      <w:r w:rsidRPr="002375ED">
        <w:rPr>
          <w:rStyle w:val="Strong"/>
          <w:rFonts w:ascii="Times New Roman" w:hAnsi="Times New Roman"/>
          <w:b w:val="0"/>
          <w:bCs/>
          <w:sz w:val="20"/>
          <w:szCs w:val="20"/>
        </w:rPr>
        <w:t>P,</w:t>
      </w:r>
      <w:r w:rsidR="00DE7B90" w:rsidRPr="002375ED">
        <w:rPr>
          <w:rStyle w:val="Strong"/>
          <w:rFonts w:ascii="Times New Roman" w:hAnsi="Times New Roman"/>
          <w:b w:val="0"/>
          <w:bCs/>
          <w:sz w:val="20"/>
          <w:szCs w:val="20"/>
        </w:rPr>
        <w:t xml:space="preserve"> </w:t>
      </w:r>
      <w:r w:rsidRPr="002375ED">
        <w:rPr>
          <w:rStyle w:val="Strong"/>
          <w:rFonts w:ascii="Times New Roman" w:hAnsi="Times New Roman"/>
          <w:b w:val="0"/>
          <w:bCs/>
          <w:sz w:val="20"/>
          <w:szCs w:val="20"/>
        </w:rPr>
        <w:t>Taft</w:t>
      </w:r>
      <w:r w:rsidR="00DE7B90" w:rsidRPr="002375ED">
        <w:rPr>
          <w:rStyle w:val="Strong"/>
          <w:rFonts w:ascii="Times New Roman" w:hAnsi="Times New Roman"/>
          <w:b w:val="0"/>
          <w:bCs/>
          <w:sz w:val="20"/>
          <w:szCs w:val="20"/>
        </w:rPr>
        <w:t xml:space="preserve"> </w:t>
      </w:r>
      <w:r w:rsidRPr="002375ED">
        <w:rPr>
          <w:rStyle w:val="Strong"/>
          <w:rFonts w:ascii="Times New Roman" w:hAnsi="Times New Roman"/>
          <w:b w:val="0"/>
          <w:bCs/>
          <w:sz w:val="20"/>
          <w:szCs w:val="20"/>
        </w:rPr>
        <w:t>B,</w:t>
      </w:r>
      <w:r w:rsidR="00DE7B90" w:rsidRPr="002375ED">
        <w:rPr>
          <w:rStyle w:val="Strong"/>
          <w:rFonts w:ascii="Times New Roman" w:hAnsi="Times New Roman"/>
          <w:b w:val="0"/>
          <w:bCs/>
          <w:sz w:val="20"/>
          <w:szCs w:val="20"/>
        </w:rPr>
        <w:t xml:space="preserve"> </w:t>
      </w:r>
      <w:proofErr w:type="spellStart"/>
      <w:r w:rsidRPr="002375ED">
        <w:rPr>
          <w:rStyle w:val="Strong"/>
          <w:rFonts w:ascii="Times New Roman" w:hAnsi="Times New Roman"/>
          <w:b w:val="0"/>
          <w:bCs/>
          <w:sz w:val="20"/>
          <w:szCs w:val="20"/>
        </w:rPr>
        <w:t>Djulbegovic</w:t>
      </w:r>
      <w:proofErr w:type="spellEnd"/>
      <w:r w:rsidR="00DE7B90" w:rsidRPr="002375ED">
        <w:rPr>
          <w:rStyle w:val="Strong"/>
          <w:rFonts w:ascii="Times New Roman" w:hAnsi="Times New Roman"/>
          <w:b w:val="0"/>
          <w:bCs/>
          <w:sz w:val="20"/>
          <w:szCs w:val="20"/>
        </w:rPr>
        <w:t xml:space="preserve"> </w:t>
      </w:r>
      <w:r w:rsidRPr="002375ED">
        <w:rPr>
          <w:rStyle w:val="Strong"/>
          <w:rFonts w:ascii="Times New Roman" w:hAnsi="Times New Roman"/>
          <w:b w:val="0"/>
          <w:bCs/>
          <w:sz w:val="20"/>
          <w:szCs w:val="20"/>
        </w:rPr>
        <w:t>B</w:t>
      </w:r>
      <w:r w:rsidR="00DE7B90" w:rsidRPr="002375ED">
        <w:rPr>
          <w:rStyle w:val="Strong"/>
          <w:rFonts w:ascii="Times New Roman" w:hAnsi="Times New Roman"/>
          <w:b w:val="0"/>
          <w:bCs/>
          <w:sz w:val="20"/>
          <w:szCs w:val="20"/>
        </w:rPr>
        <w:t xml:space="preserve"> </w:t>
      </w:r>
      <w:r w:rsidRPr="002375ED">
        <w:rPr>
          <w:rStyle w:val="Strong"/>
          <w:rFonts w:ascii="Times New Roman" w:hAnsi="Times New Roman"/>
          <w:b w:val="0"/>
          <w:bCs/>
          <w:sz w:val="20"/>
          <w:szCs w:val="20"/>
        </w:rPr>
        <w:t>“</w:t>
      </w:r>
      <w:proofErr w:type="spellStart"/>
      <w:r w:rsidRPr="002375ED">
        <w:rPr>
          <w:rStyle w:val="Strong"/>
          <w:rFonts w:ascii="Times New Roman" w:hAnsi="Times New Roman"/>
          <w:b w:val="0"/>
          <w:bCs/>
          <w:sz w:val="20"/>
          <w:szCs w:val="20"/>
        </w:rPr>
        <w:t>eds</w:t>
      </w:r>
      <w:proofErr w:type="spellEnd"/>
      <w:r w:rsidRPr="002375ED">
        <w:rPr>
          <w:rStyle w:val="Strong"/>
          <w:rFonts w:ascii="Times New Roman" w:hAnsi="Times New Roman"/>
          <w:b w:val="0"/>
          <w:bCs/>
          <w:sz w:val="20"/>
          <w:szCs w:val="20"/>
        </w:rPr>
        <w:t>”.</w:t>
      </w:r>
      <w:r w:rsidR="00DE7B90" w:rsidRPr="002375ED">
        <w:rPr>
          <w:rStyle w:val="Strong"/>
          <w:rFonts w:ascii="Times New Roman" w:hAnsi="Times New Roman"/>
          <w:b w:val="0"/>
          <w:bCs/>
          <w:sz w:val="20"/>
          <w:szCs w:val="20"/>
        </w:rPr>
        <w:t xml:space="preserve"> </w:t>
      </w:r>
      <w:r w:rsidRPr="002375ED">
        <w:rPr>
          <w:rFonts w:ascii="Times New Roman" w:hAnsi="Times New Roman" w:cs="Times New Roman"/>
          <w:sz w:val="20"/>
          <w:szCs w:val="20"/>
        </w:rPr>
        <w:t>Criteria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for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grading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toxicity.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Decision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Making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Evidence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Based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Management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1st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New</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York,</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Churchill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Livingstone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1997;</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pp.</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454</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68.</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sz w:val="20"/>
          <w:szCs w:val="20"/>
        </w:rPr>
        <w:t>Franch</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G,</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Minatel</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Gobit</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(2003):</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Radiotherapy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for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patients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with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early-stage</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glottic</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carcinoma.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Cancer;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98:</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765</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–72.</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Kaplan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Meier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Nonparametric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estimation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from</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incomplete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observations.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Am</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Stat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Assoc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1958;</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53:</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457-81.</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sz w:val="20"/>
          <w:szCs w:val="20"/>
        </w:rPr>
        <w:t>Alencar</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Pitcher,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Byrne,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G.</w:t>
      </w:r>
      <w:r w:rsidR="00DE7B90" w:rsidRPr="002375ED">
        <w:rPr>
          <w:rFonts w:ascii="Times New Roman" w:hAnsi="Times New Roman" w:cs="Times New Roman"/>
          <w:sz w:val="20"/>
          <w:szCs w:val="20"/>
        </w:rPr>
        <w:t xml:space="preserve"> &amp; </w:t>
      </w:r>
      <w:proofErr w:type="spellStart"/>
      <w:r w:rsidRPr="002375ED">
        <w:rPr>
          <w:rFonts w:ascii="Times New Roman" w:hAnsi="Times New Roman" w:cs="Times New Roman"/>
          <w:sz w:val="20"/>
          <w:szCs w:val="20"/>
        </w:rPr>
        <w:t>Lossos</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University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Miami</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experience.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Leukemia</w:t>
      </w:r>
      <w:r w:rsidR="00DE7B90" w:rsidRPr="002375ED">
        <w:rPr>
          <w:rFonts w:ascii="Times New Roman" w:hAnsi="Times New Roman" w:cs="Times New Roman"/>
          <w:sz w:val="20"/>
          <w:szCs w:val="20"/>
        </w:rPr>
        <w:t xml:space="preserve"> &amp;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bCs/>
          <w:sz w:val="20"/>
          <w:szCs w:val="20"/>
        </w:rPr>
        <w:t>51,</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39–49,</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doi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10.3109/10428190903308007</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(2010).</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sz w:val="20"/>
          <w:szCs w:val="20"/>
        </w:rPr>
        <w:t>Heyning</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non-Hodgkin’s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clinicopathological</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investigation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60</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cases.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Leukemia</w:t>
      </w:r>
      <w:r w:rsidR="00DE7B90" w:rsidRPr="002375ED">
        <w:rPr>
          <w:rFonts w:ascii="Times New Roman" w:hAnsi="Times New Roman" w:cs="Times New Roman"/>
          <w:sz w:val="20"/>
          <w:szCs w:val="20"/>
        </w:rPr>
        <w:t xml:space="preserve"> </w:t>
      </w:r>
      <w:r w:rsidRPr="002375ED">
        <w:rPr>
          <w:rFonts w:ascii="Times New Roman" w:hAnsi="Times New Roman" w:cs="Times New Roman"/>
          <w:bCs/>
          <w:sz w:val="20"/>
          <w:szCs w:val="20"/>
        </w:rPr>
        <w:t>13,</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2094–2098</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(1999)</w:t>
      </w:r>
      <w:r w:rsidRPr="002375ED">
        <w:rPr>
          <w:rFonts w:ascii="Times New Roman" w:hAnsi="Times New Roman" w:cs="Times New Roman"/>
          <w:sz w:val="20"/>
          <w:szCs w:val="20"/>
          <w:lang w:bidi="ar-EG"/>
        </w:rPr>
        <w:t>.</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color w:val="231F20"/>
          <w:sz w:val="20"/>
          <w:szCs w:val="20"/>
        </w:rPr>
        <w:t>Zinzani</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PL,</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Carrillo</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G,</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Ascani</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et</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al.</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Primary</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bone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lymphoma:</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experience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with</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52</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patients.</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Haematologica</w:t>
      </w:r>
      <w:proofErr w:type="spellEnd"/>
      <w:r w:rsidRPr="002375ED">
        <w:rPr>
          <w:rFonts w:ascii="Times New Roman" w:hAnsi="Times New Roman" w:cs="Times New Roman"/>
          <w:color w:val="231F20"/>
          <w:sz w:val="20"/>
          <w:szCs w:val="20"/>
        </w:rPr>
        <w:t>.</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2003;</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88:280–285.</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Huang,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Clinical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characterization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prognostic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factors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case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Chinese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patients.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Medical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bCs/>
          <w:sz w:val="20"/>
          <w:szCs w:val="20"/>
        </w:rPr>
        <w:t>28</w:t>
      </w:r>
      <w:r w:rsidR="00DE7B90" w:rsidRPr="002375ED">
        <w:rPr>
          <w:rFonts w:ascii="Times New Roman" w:hAnsi="Times New Roman" w:cs="Times New Roman"/>
          <w:bCs/>
          <w:sz w:val="20"/>
          <w:szCs w:val="20"/>
        </w:rPr>
        <w:t xml:space="preserve"> </w:t>
      </w:r>
      <w:proofErr w:type="spellStart"/>
      <w:r w:rsidRPr="002375ED">
        <w:rPr>
          <w:rFonts w:ascii="Times New Roman" w:hAnsi="Times New Roman" w:cs="Times New Roman"/>
          <w:sz w:val="20"/>
          <w:szCs w:val="20"/>
        </w:rPr>
        <w:t>Suppl</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S476–482,</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doi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10.1007/s12032-010-9666-1</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(2011).</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Maruyama,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new</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detailed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characterization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28</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patients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single-institution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study.</w:t>
      </w:r>
      <w:r w:rsidR="00DE7B90" w:rsidRPr="002375ED">
        <w:rPr>
          <w:rFonts w:ascii="Times New Roman" w:hAnsi="Times New Roman" w:cs="Times New Roman"/>
          <w:sz w:val="20"/>
          <w:szCs w:val="20"/>
          <w:lang w:bidi="ar-EG"/>
        </w:rPr>
        <w:t xml:space="preserve"> </w:t>
      </w:r>
      <w:r w:rsidRPr="002375ED">
        <w:rPr>
          <w:rFonts w:ascii="Times New Roman" w:hAnsi="Times New Roman" w:cs="Times New Roman"/>
          <w:sz w:val="20"/>
          <w:szCs w:val="20"/>
        </w:rPr>
        <w:t>Japanese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clinical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bCs/>
          <w:sz w:val="20"/>
          <w:szCs w:val="20"/>
        </w:rPr>
        <w:t>37,</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216–223,</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doi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10.1093/jjco/hym007</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(2007).</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Ueda,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Malignant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Japan.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Cancer</w:t>
      </w:r>
      <w:r w:rsidR="00DE7B90" w:rsidRPr="002375ED">
        <w:rPr>
          <w:rFonts w:ascii="Times New Roman" w:hAnsi="Times New Roman" w:cs="Times New Roman"/>
          <w:sz w:val="20"/>
          <w:szCs w:val="20"/>
        </w:rPr>
        <w:t xml:space="preserve"> </w:t>
      </w:r>
      <w:r w:rsidRPr="002375ED">
        <w:rPr>
          <w:rFonts w:ascii="Times New Roman" w:hAnsi="Times New Roman" w:cs="Times New Roman"/>
          <w:bCs/>
          <w:sz w:val="20"/>
          <w:szCs w:val="20"/>
        </w:rPr>
        <w:t>64,</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2387–2392</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(1989).</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color w:val="231F20"/>
          <w:sz w:val="20"/>
          <w:szCs w:val="20"/>
        </w:rPr>
        <w:t>Dosoretz</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DE,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Murphy</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GF,</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Raymond</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AK,</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et</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al.</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Radiation</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therapy</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for</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primary</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lymphoma</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of</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bone.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Cancer.</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1983;51:44–</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46.</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color w:val="231F20"/>
          <w:sz w:val="20"/>
          <w:szCs w:val="20"/>
        </w:rPr>
        <w:t>Boston</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HC</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Jr</w:t>
      </w:r>
      <w:proofErr w:type="spellEnd"/>
      <w:r w:rsidRPr="002375ED">
        <w:rPr>
          <w:rFonts w:ascii="Times New Roman" w:hAnsi="Times New Roman" w:cs="Times New Roman"/>
          <w:color w:val="231F20"/>
          <w:sz w:val="20"/>
          <w:szCs w:val="20"/>
        </w:rPr>
        <w:t>,</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Dahlin</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DC,</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Ivins</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JC,</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Cupps</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RE.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Malignant</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lymphoma</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(so-called</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reticulum</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cell</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sarcoma)</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of</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bone.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Cancer.</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1974;34:1131–1137.</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color w:val="231F20"/>
          <w:sz w:val="20"/>
          <w:szCs w:val="20"/>
        </w:rPr>
        <w:t>Wang</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CC,</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Fleischli</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DJ.</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Primary</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reticulum</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cell</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sarcoma</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of</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bone.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With</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emphasis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on</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radiation</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therapy.</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Cancer.</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1968;22:</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994–998.</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lastRenderedPageBreak/>
        <w:t>Furman,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Fitch,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Hustu</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Callihan</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w:t>
      </w:r>
      <w:r w:rsidR="00DE7B90" w:rsidRPr="002375ED">
        <w:rPr>
          <w:rFonts w:ascii="Times New Roman" w:hAnsi="Times New Roman" w:cs="Times New Roman"/>
          <w:sz w:val="20"/>
          <w:szCs w:val="20"/>
        </w:rPr>
        <w:t xml:space="preserve"> &amp; </w:t>
      </w:r>
      <w:r w:rsidRPr="002375ED">
        <w:rPr>
          <w:rFonts w:ascii="Times New Roman" w:hAnsi="Times New Roman" w:cs="Times New Roman"/>
          <w:sz w:val="20"/>
          <w:szCs w:val="20"/>
        </w:rPr>
        <w:t>Murphy,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children.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Clinical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Official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American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Society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Clinical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bCs/>
          <w:sz w:val="20"/>
          <w:szCs w:val="20"/>
        </w:rPr>
        <w:t>7,</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1275–1280</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(1989).</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sz w:val="20"/>
          <w:szCs w:val="20"/>
        </w:rPr>
        <w:t>Glotzbecker</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non-Hodgkin’s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children.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joint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surgery.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American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volume</w:t>
      </w:r>
      <w:r w:rsidR="00DE7B90" w:rsidRPr="002375ED">
        <w:rPr>
          <w:rFonts w:ascii="Times New Roman" w:hAnsi="Times New Roman" w:cs="Times New Roman"/>
          <w:sz w:val="20"/>
          <w:szCs w:val="20"/>
        </w:rPr>
        <w:t xml:space="preserve"> </w:t>
      </w:r>
      <w:r w:rsidRPr="002375ED">
        <w:rPr>
          <w:rFonts w:ascii="Times New Roman" w:hAnsi="Times New Roman" w:cs="Times New Roman"/>
          <w:bCs/>
          <w:sz w:val="20"/>
          <w:szCs w:val="20"/>
        </w:rPr>
        <w:t>88,</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583–594,</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doi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10.2106/JBJS.D.01967</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(2006).</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Rosenberg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Report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committee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staging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Hodgkin’s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disease.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Cancer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1966;</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26:</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1310-1310.</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Lister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TA,</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Crowther</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Sutcliffe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SB,</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Glatstein</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Canellos</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GP,</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Young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Report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committee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convened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to</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discuss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evaluation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staging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patients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with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Hodgkin’s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disease:</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Cotswolds</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meeting.</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Clin</w:t>
      </w:r>
      <w:proofErr w:type="spellEnd"/>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Oncol</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1989;</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7(11):</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1630-6.</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Lewis,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V.</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Oncologic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outcomes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adults.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Clinical</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orthopaedics</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related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research,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90–97,</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doi:10.1097/01.blo.0000093901.12372.ad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(2003).</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Catlett,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Williams,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O’Connor,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Krishnan,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&amp; </w:t>
      </w:r>
      <w:proofErr w:type="spellStart"/>
      <w:r w:rsidRPr="002375ED">
        <w:rPr>
          <w:rFonts w:ascii="Times New Roman" w:hAnsi="Times New Roman" w:cs="Times New Roman"/>
          <w:sz w:val="20"/>
          <w:szCs w:val="20"/>
        </w:rPr>
        <w:t>Malkovska</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V.</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institutional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experience.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Leukemia</w:t>
      </w:r>
      <w:r w:rsidR="00DE7B90" w:rsidRPr="002375ED">
        <w:rPr>
          <w:rFonts w:ascii="Times New Roman" w:hAnsi="Times New Roman" w:cs="Times New Roman"/>
          <w:sz w:val="20"/>
          <w:szCs w:val="20"/>
        </w:rPr>
        <w:t xml:space="preserve"> &amp;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49</w:t>
      </w:r>
      <w:r w:rsidRPr="002375ED">
        <w:rPr>
          <w:rFonts w:ascii="Times New Roman" w:hAnsi="Times New Roman" w:cs="Times New Roman"/>
          <w:bCs/>
          <w:sz w:val="20"/>
          <w:szCs w:val="20"/>
        </w:rPr>
        <w:t>,</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2125–2132,</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doi</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10.1080/10428190802404030</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(2008).</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sz w:val="20"/>
          <w:szCs w:val="20"/>
        </w:rPr>
        <w:lastRenderedPageBreak/>
        <w:t>Horsman</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Thomas,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Hough,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w:t>
      </w:r>
      <w:r w:rsidR="00DE7B90" w:rsidRPr="002375ED">
        <w:rPr>
          <w:rFonts w:ascii="Times New Roman" w:hAnsi="Times New Roman" w:cs="Times New Roman"/>
          <w:sz w:val="20"/>
          <w:szCs w:val="20"/>
        </w:rPr>
        <w:t xml:space="preserve"> &amp; </w:t>
      </w:r>
      <w:r w:rsidRPr="002375ED">
        <w:rPr>
          <w:rFonts w:ascii="Times New Roman" w:hAnsi="Times New Roman" w:cs="Times New Roman"/>
          <w:sz w:val="20"/>
          <w:szCs w:val="20"/>
        </w:rPr>
        <w:t>Hancock,</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retrospective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analysis.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International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lang w:bidi="ar-EG"/>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28</w:t>
      </w:r>
      <w:r w:rsidRPr="002375ED">
        <w:rPr>
          <w:rFonts w:ascii="Times New Roman" w:hAnsi="Times New Roman" w:cs="Times New Roman"/>
          <w:bCs/>
          <w:sz w:val="20"/>
          <w:szCs w:val="20"/>
        </w:rPr>
        <w:t>,</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1571–1575</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(2006).</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Marshall,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Amdur</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Scarborough,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Mendenhall,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w:t>
      </w:r>
      <w:r w:rsidR="00DE7B90" w:rsidRPr="002375ED">
        <w:rPr>
          <w:rFonts w:ascii="Times New Roman" w:hAnsi="Times New Roman" w:cs="Times New Roman"/>
          <w:sz w:val="20"/>
          <w:szCs w:val="20"/>
        </w:rPr>
        <w:t xml:space="preserve"> &amp; </w:t>
      </w:r>
      <w:proofErr w:type="spellStart"/>
      <w:r w:rsidRPr="002375ED">
        <w:rPr>
          <w:rFonts w:ascii="Times New Roman" w:hAnsi="Times New Roman" w:cs="Times New Roman"/>
          <w:sz w:val="20"/>
          <w:szCs w:val="20"/>
        </w:rPr>
        <w:t>Virkus</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Stage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non-Hodgkin’s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Clinical</w:t>
      </w:r>
      <w:r w:rsidR="00DE7B90" w:rsidRPr="002375ED">
        <w:rPr>
          <w:rFonts w:ascii="Times New Roman" w:hAnsi="Times New Roman" w:cs="Times New Roman"/>
          <w:sz w:val="20"/>
          <w:szCs w:val="20"/>
        </w:rPr>
        <w:t xml:space="preserve"> </w:t>
      </w:r>
      <w:proofErr w:type="spellStart"/>
      <w:r w:rsidRPr="002375ED">
        <w:rPr>
          <w:rFonts w:ascii="Times New Roman" w:hAnsi="Times New Roman" w:cs="Times New Roman"/>
          <w:sz w:val="20"/>
          <w:szCs w:val="20"/>
        </w:rPr>
        <w:t>orthopaedics</w:t>
      </w:r>
      <w:proofErr w:type="spellEnd"/>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related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research,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216–222</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(2002).</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r w:rsidRPr="002375ED">
        <w:rPr>
          <w:rFonts w:ascii="Times New Roman" w:hAnsi="Times New Roman" w:cs="Times New Roman"/>
          <w:sz w:val="20"/>
          <w:szCs w:val="20"/>
        </w:rPr>
        <w:t>Liu,</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Prognostic</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factors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and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treatment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efficacy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patients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with</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diffuse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large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B-cell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single</w:t>
      </w:r>
      <w:r w:rsidR="00DE7B90" w:rsidRPr="002375ED">
        <w:rPr>
          <w:rFonts w:ascii="Times New Roman" w:hAnsi="Times New Roman" w:cs="Times New Roman"/>
          <w:sz w:val="20"/>
          <w:szCs w:val="20"/>
          <w:lang w:bidi="ar-EG"/>
        </w:rPr>
        <w:t xml:space="preserve"> </w:t>
      </w:r>
      <w:r w:rsidRPr="002375ED">
        <w:rPr>
          <w:rFonts w:ascii="Times New Roman" w:hAnsi="Times New Roman" w:cs="Times New Roman"/>
          <w:sz w:val="20"/>
          <w:szCs w:val="20"/>
        </w:rPr>
        <w:t>institute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experience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over</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11</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years.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Internal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medicine</w:t>
      </w:r>
      <w:r w:rsidR="00DE7B90" w:rsidRPr="002375ED">
        <w:rPr>
          <w:rFonts w:ascii="Times New Roman" w:hAnsi="Times New Roman" w:cs="Times New Roman"/>
          <w:sz w:val="20"/>
          <w:szCs w:val="20"/>
        </w:rPr>
        <w:t xml:space="preserve"> </w:t>
      </w:r>
      <w:r w:rsidRPr="002375ED">
        <w:rPr>
          <w:rFonts w:ascii="Times New Roman" w:hAnsi="Times New Roman" w:cs="Times New Roman"/>
          <w:bCs/>
          <w:sz w:val="20"/>
          <w:szCs w:val="20"/>
        </w:rPr>
        <w:t>53,</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95–101</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(2014).</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sz w:val="20"/>
          <w:szCs w:val="20"/>
        </w:rPr>
        <w:t>Fidias</w:t>
      </w:r>
      <w:proofErr w:type="spellEnd"/>
      <w:r w:rsidRPr="002375ED">
        <w:rPr>
          <w:rFonts w:ascii="Times New Roman" w:hAnsi="Times New Roman" w:cs="Times New Roman"/>
          <w:sz w:val="20"/>
          <w:szCs w:val="20"/>
        </w:rPr>
        <w: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et</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Long-term</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results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combined</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modality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therapy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primary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bone</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lymphomas.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International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journal</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of</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radiation</w:t>
      </w:r>
      <w:r w:rsidR="00DE7B90" w:rsidRPr="002375ED">
        <w:rPr>
          <w:rFonts w:ascii="Times New Roman" w:hAnsi="Times New Roman" w:cs="Times New Roman"/>
          <w:sz w:val="20"/>
          <w:szCs w:val="20"/>
          <w:lang w:bidi="ar-EG"/>
        </w:rPr>
        <w:t xml:space="preserve"> </w:t>
      </w:r>
      <w:r w:rsidRPr="002375ED">
        <w:rPr>
          <w:rFonts w:ascii="Times New Roman" w:hAnsi="Times New Roman" w:cs="Times New Roman"/>
          <w:sz w:val="20"/>
          <w:szCs w:val="20"/>
        </w:rPr>
        <w:t>oncology,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biology,</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physics</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45</w:t>
      </w:r>
      <w:r w:rsidRPr="002375ED">
        <w:rPr>
          <w:rFonts w:ascii="Times New Roman" w:hAnsi="Times New Roman" w:cs="Times New Roman"/>
          <w:bCs/>
          <w:sz w:val="20"/>
          <w:szCs w:val="20"/>
        </w:rPr>
        <w:t>,</w:t>
      </w:r>
      <w:r w:rsidR="00DE7B90" w:rsidRPr="002375ED">
        <w:rPr>
          <w:rFonts w:ascii="Times New Roman" w:hAnsi="Times New Roman" w:cs="Times New Roman"/>
          <w:bCs/>
          <w:sz w:val="20"/>
          <w:szCs w:val="20"/>
        </w:rPr>
        <w:t xml:space="preserve"> </w:t>
      </w:r>
      <w:r w:rsidRPr="002375ED">
        <w:rPr>
          <w:rFonts w:ascii="Times New Roman" w:hAnsi="Times New Roman" w:cs="Times New Roman"/>
          <w:sz w:val="20"/>
          <w:szCs w:val="20"/>
        </w:rPr>
        <w:t>1213–1218</w:t>
      </w:r>
      <w:r w:rsidR="00DE7B90" w:rsidRPr="002375ED">
        <w:rPr>
          <w:rFonts w:ascii="Times New Roman" w:hAnsi="Times New Roman" w:cs="Times New Roman"/>
          <w:sz w:val="20"/>
          <w:szCs w:val="20"/>
        </w:rPr>
        <w:t xml:space="preserve"> </w:t>
      </w:r>
      <w:r w:rsidRPr="002375ED">
        <w:rPr>
          <w:rFonts w:ascii="Times New Roman" w:hAnsi="Times New Roman" w:cs="Times New Roman"/>
          <w:sz w:val="20"/>
          <w:szCs w:val="20"/>
        </w:rPr>
        <w:t>(1999).</w:t>
      </w:r>
    </w:p>
    <w:p w:rsidR="000D40C9"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sz w:val="20"/>
          <w:szCs w:val="20"/>
          <w:lang w:bidi="ar-EG"/>
        </w:rPr>
      </w:pPr>
      <w:proofErr w:type="spellStart"/>
      <w:r w:rsidRPr="002375ED">
        <w:rPr>
          <w:rFonts w:ascii="Times New Roman" w:hAnsi="Times New Roman" w:cs="Times New Roman"/>
          <w:color w:val="231F20"/>
          <w:sz w:val="20"/>
          <w:szCs w:val="20"/>
        </w:rPr>
        <w:t>Barbieri</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E,</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Cammelli</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Mauro</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F,</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et</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al.</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Primary</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non-</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Hodgkin’s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lymphoma</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of</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the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bone: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treatment</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and</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analysis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of</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prognostic</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factors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for</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stage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I</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and</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stage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II.</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Int</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J</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Radiat</w:t>
      </w:r>
      <w:proofErr w:type="spellEnd"/>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Oncol</w:t>
      </w:r>
      <w:proofErr w:type="spellEnd"/>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Biol</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Phys.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2004;</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59:760–764.</w:t>
      </w:r>
    </w:p>
    <w:p w:rsidR="00DA7763" w:rsidRPr="002375ED" w:rsidRDefault="000D40C9" w:rsidP="00DA7763">
      <w:pPr>
        <w:numPr>
          <w:ilvl w:val="0"/>
          <w:numId w:val="2"/>
        </w:numPr>
        <w:tabs>
          <w:tab w:val="clear" w:pos="720"/>
        </w:tabs>
        <w:bidi w:val="0"/>
        <w:snapToGrid w:val="0"/>
        <w:spacing w:after="0" w:line="240" w:lineRule="auto"/>
        <w:ind w:left="425" w:hanging="425"/>
        <w:jc w:val="both"/>
        <w:rPr>
          <w:rFonts w:ascii="Times New Roman" w:hAnsi="Times New Roman" w:cs="Times New Roman"/>
          <w:bCs/>
          <w:sz w:val="20"/>
          <w:szCs w:val="20"/>
        </w:rPr>
        <w:sectPr w:rsidR="00DA7763" w:rsidRPr="002375ED" w:rsidSect="00DA7763">
          <w:type w:val="continuous"/>
          <w:pgSz w:w="12242" w:h="15842" w:code="1"/>
          <w:pgMar w:top="1440" w:right="1440" w:bottom="1440" w:left="1440" w:header="720" w:footer="720" w:gutter="0"/>
          <w:cols w:num="2" w:space="550"/>
          <w:docGrid w:linePitch="360"/>
        </w:sectPr>
      </w:pPr>
      <w:proofErr w:type="spellStart"/>
      <w:r w:rsidRPr="002375ED">
        <w:rPr>
          <w:rFonts w:ascii="Times New Roman" w:hAnsi="Times New Roman" w:cs="Times New Roman"/>
          <w:color w:val="231F20"/>
          <w:sz w:val="20"/>
          <w:szCs w:val="20"/>
        </w:rPr>
        <w:t>Rathmell</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AJ,</w:t>
      </w:r>
      <w:r w:rsidR="00DE7B90" w:rsidRPr="002375ED">
        <w:rPr>
          <w:rFonts w:ascii="Times New Roman" w:hAnsi="Times New Roman" w:cs="Times New Roman"/>
          <w:color w:val="231F20"/>
          <w:sz w:val="20"/>
          <w:szCs w:val="20"/>
        </w:rPr>
        <w:t xml:space="preserve"> </w:t>
      </w:r>
      <w:proofErr w:type="spellStart"/>
      <w:r w:rsidRPr="002375ED">
        <w:rPr>
          <w:rFonts w:ascii="Times New Roman" w:hAnsi="Times New Roman" w:cs="Times New Roman"/>
          <w:color w:val="231F20"/>
          <w:sz w:val="20"/>
          <w:szCs w:val="20"/>
        </w:rPr>
        <w:t>Gospodarowicz</w:t>
      </w:r>
      <w:proofErr w:type="spellEnd"/>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MK,</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Sutcliffe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SB,</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Clark</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RM.</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Localized</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lymphoma</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of</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bone: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prognostic</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factors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and</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treatment</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recommendations.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The</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Princess</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Margaret</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Hospital</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Lymphoma</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Group.</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Br</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J</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Cancer.</w:t>
      </w:r>
      <w:r w:rsidR="00DE7B90" w:rsidRPr="002375ED">
        <w:rPr>
          <w:rFonts w:ascii="Times New Roman" w:hAnsi="Times New Roman" w:cs="Times New Roman"/>
          <w:color w:val="231F20"/>
          <w:sz w:val="20"/>
          <w:szCs w:val="20"/>
        </w:rPr>
        <w:t xml:space="preserve"> </w:t>
      </w:r>
      <w:r w:rsidRPr="002375ED">
        <w:rPr>
          <w:rFonts w:ascii="Times New Roman" w:hAnsi="Times New Roman" w:cs="Times New Roman"/>
          <w:color w:val="231F20"/>
          <w:sz w:val="20"/>
          <w:szCs w:val="20"/>
        </w:rPr>
        <w:t>1992;66:603–606</w:t>
      </w:r>
      <w:r w:rsidR="00A847BA" w:rsidRPr="002375ED">
        <w:rPr>
          <w:rFonts w:ascii="Times New Roman" w:hAnsi="Times New Roman" w:cs="Times New Roman"/>
          <w:color w:val="231F20"/>
          <w:sz w:val="20"/>
          <w:szCs w:val="20"/>
        </w:rPr>
        <w:t>.</w:t>
      </w:r>
      <w:r w:rsidR="00DE7B90" w:rsidRPr="002375ED">
        <w:rPr>
          <w:rFonts w:ascii="Times New Roman" w:hAnsi="Times New Roman" w:cs="Times New Roman"/>
          <w:bCs/>
          <w:sz w:val="20"/>
          <w:szCs w:val="20"/>
        </w:rPr>
        <w:cr/>
      </w:r>
    </w:p>
    <w:p w:rsidR="00DE7B90" w:rsidRPr="002375ED" w:rsidRDefault="00DE7B90" w:rsidP="00DA7763">
      <w:pPr>
        <w:bidi w:val="0"/>
        <w:snapToGrid w:val="0"/>
        <w:spacing w:after="0" w:line="240" w:lineRule="auto"/>
        <w:ind w:left="425" w:hanging="425"/>
        <w:jc w:val="both"/>
        <w:rPr>
          <w:rFonts w:ascii="Times New Roman" w:hAnsi="Times New Roman" w:cs="Times New Roman"/>
          <w:bCs/>
          <w:sz w:val="20"/>
          <w:szCs w:val="20"/>
        </w:rPr>
      </w:pPr>
    </w:p>
    <w:p w:rsidR="00DE7B90" w:rsidRPr="002375ED" w:rsidRDefault="00DE7B90" w:rsidP="00DA7763">
      <w:pPr>
        <w:bidi w:val="0"/>
        <w:snapToGrid w:val="0"/>
        <w:spacing w:after="0" w:line="240" w:lineRule="auto"/>
        <w:ind w:left="425" w:hanging="425"/>
        <w:jc w:val="both"/>
        <w:rPr>
          <w:rFonts w:ascii="Times New Roman" w:hAnsi="Times New Roman" w:cs="Times New Roman"/>
          <w:bCs/>
          <w:sz w:val="20"/>
          <w:szCs w:val="20"/>
        </w:rPr>
      </w:pPr>
    </w:p>
    <w:p w:rsidR="00DE7B90" w:rsidRPr="002375ED" w:rsidRDefault="00DE7B90" w:rsidP="00DA7763">
      <w:pPr>
        <w:bidi w:val="0"/>
        <w:snapToGrid w:val="0"/>
        <w:spacing w:after="0" w:line="240" w:lineRule="auto"/>
        <w:ind w:firstLine="425"/>
        <w:jc w:val="both"/>
        <w:rPr>
          <w:rFonts w:ascii="Times New Roman" w:hAnsi="Times New Roman" w:cs="Times New Roman"/>
          <w:sz w:val="20"/>
          <w:szCs w:val="20"/>
          <w:lang w:bidi="ar-EG"/>
        </w:rPr>
      </w:pPr>
    </w:p>
    <w:p w:rsidR="006862B8" w:rsidRPr="002375ED" w:rsidRDefault="00DE7B90" w:rsidP="00DA7763">
      <w:pPr>
        <w:bidi w:val="0"/>
        <w:snapToGrid w:val="0"/>
        <w:spacing w:after="0" w:line="240" w:lineRule="auto"/>
        <w:jc w:val="both"/>
        <w:rPr>
          <w:rFonts w:ascii="Times New Roman" w:hAnsi="Times New Roman" w:cs="Times New Roman"/>
          <w:sz w:val="20"/>
          <w:szCs w:val="20"/>
          <w:lang w:bidi="ar-EG"/>
        </w:rPr>
      </w:pPr>
      <w:r w:rsidRPr="002375ED">
        <w:rPr>
          <w:rFonts w:ascii="Times New Roman" w:hAnsi="Times New Roman" w:cs="Times New Roman"/>
          <w:sz w:val="20"/>
          <w:szCs w:val="20"/>
          <w:lang w:bidi="ar-EG"/>
        </w:rPr>
        <w:t>2/19/2019</w:t>
      </w:r>
    </w:p>
    <w:sectPr w:rsidR="006862B8" w:rsidRPr="002375ED" w:rsidSect="00DE7B90">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07B" w:rsidRPr="00A847BA" w:rsidRDefault="002C607B" w:rsidP="00A847BA">
      <w:pPr>
        <w:pStyle w:val="NormalWeb"/>
        <w:spacing w:before="0" w:after="0"/>
        <w:rPr>
          <w:rFonts w:ascii="Calibri" w:eastAsia="Calibri" w:hAnsi="Calibri" w:cs="Arial"/>
          <w:sz w:val="22"/>
          <w:szCs w:val="22"/>
        </w:rPr>
      </w:pPr>
      <w:r>
        <w:separator/>
      </w:r>
    </w:p>
  </w:endnote>
  <w:endnote w:type="continuationSeparator" w:id="0">
    <w:p w:rsidR="002C607B" w:rsidRPr="00A847BA" w:rsidRDefault="002C607B" w:rsidP="00A847BA">
      <w:pPr>
        <w:pStyle w:val="NormalWeb"/>
        <w:spacing w:before="0" w:after="0"/>
        <w:rPr>
          <w:rFonts w:ascii="Calibri" w:eastAsia="Calibri" w:hAnsi="Calibri" w:cs="Arial"/>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OTNEJMQuadraat">
    <w:altName w:val="Microsoft YaHei"/>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C3" w:rsidRDefault="00651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763" w:rsidRPr="006514C3" w:rsidRDefault="00C124F0" w:rsidP="006514C3">
    <w:pPr>
      <w:bidi w:val="0"/>
      <w:spacing w:after="0" w:line="240" w:lineRule="auto"/>
      <w:jc w:val="center"/>
      <w:rPr>
        <w:rFonts w:ascii="Times New Roman" w:hAnsi="Times New Roman" w:cs="Times New Roman"/>
        <w:sz w:val="20"/>
      </w:rPr>
    </w:pPr>
    <w:r w:rsidRPr="006514C3">
      <w:rPr>
        <w:rFonts w:ascii="Times New Roman" w:hAnsi="Times New Roman" w:cs="Times New Roman"/>
        <w:sz w:val="20"/>
      </w:rPr>
      <w:fldChar w:fldCharType="begin"/>
    </w:r>
    <w:r w:rsidR="006514C3" w:rsidRPr="006514C3">
      <w:rPr>
        <w:rFonts w:ascii="Times New Roman" w:hAnsi="Times New Roman" w:cs="Times New Roman"/>
        <w:sz w:val="20"/>
      </w:rPr>
      <w:instrText xml:space="preserve"> page </w:instrText>
    </w:r>
    <w:r w:rsidRPr="006514C3">
      <w:rPr>
        <w:rFonts w:ascii="Times New Roman" w:hAnsi="Times New Roman" w:cs="Times New Roman"/>
        <w:sz w:val="20"/>
      </w:rPr>
      <w:fldChar w:fldCharType="separate"/>
    </w:r>
    <w:r w:rsidR="002375ED">
      <w:rPr>
        <w:rFonts w:ascii="Times New Roman" w:hAnsi="Times New Roman" w:cs="Times New Roman"/>
        <w:noProof/>
        <w:sz w:val="20"/>
      </w:rPr>
      <w:t>75</w:t>
    </w:r>
    <w:r w:rsidRPr="006514C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C3" w:rsidRDefault="00651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07B" w:rsidRPr="00A847BA" w:rsidRDefault="002C607B" w:rsidP="00A847BA">
      <w:pPr>
        <w:pStyle w:val="NormalWeb"/>
        <w:spacing w:before="0" w:after="0"/>
        <w:rPr>
          <w:rFonts w:ascii="Calibri" w:eastAsia="Calibri" w:hAnsi="Calibri" w:cs="Arial"/>
          <w:sz w:val="22"/>
          <w:szCs w:val="22"/>
        </w:rPr>
      </w:pPr>
      <w:r>
        <w:separator/>
      </w:r>
    </w:p>
  </w:footnote>
  <w:footnote w:type="continuationSeparator" w:id="0">
    <w:p w:rsidR="002C607B" w:rsidRPr="00A847BA" w:rsidRDefault="002C607B" w:rsidP="00A847BA">
      <w:pPr>
        <w:pStyle w:val="NormalWeb"/>
        <w:spacing w:before="0" w:after="0"/>
        <w:rPr>
          <w:rFonts w:ascii="Calibri" w:eastAsia="Calibri" w:hAnsi="Calibri" w:cs="Arial"/>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C3" w:rsidRDefault="006514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C3" w:rsidRPr="006514C3" w:rsidRDefault="006514C3" w:rsidP="006514C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6514C3">
      <w:rPr>
        <w:rFonts w:ascii="Times New Roman" w:hAnsi="Times New Roman" w:cs="Times New Roman" w:hint="eastAsia"/>
        <w:iCs/>
        <w:color w:val="000000"/>
        <w:sz w:val="20"/>
      </w:rPr>
      <w:tab/>
    </w:r>
    <w:r w:rsidRPr="006514C3">
      <w:rPr>
        <w:rFonts w:ascii="Times New Roman" w:hAnsi="Times New Roman" w:cs="Times New Roman"/>
        <w:iCs/>
        <w:color w:val="000000"/>
        <w:sz w:val="20"/>
      </w:rPr>
      <w:t xml:space="preserve">Cancer Biology </w:t>
    </w:r>
    <w:r w:rsidRPr="006514C3">
      <w:rPr>
        <w:rFonts w:ascii="Times New Roman" w:hAnsi="Times New Roman" w:cs="Times New Roman"/>
        <w:iCs/>
        <w:sz w:val="20"/>
      </w:rPr>
      <w:t>201</w:t>
    </w:r>
    <w:r w:rsidRPr="006514C3">
      <w:rPr>
        <w:rFonts w:ascii="Times New Roman" w:hAnsi="Times New Roman" w:cs="Times New Roman" w:hint="eastAsia"/>
        <w:iCs/>
        <w:sz w:val="20"/>
      </w:rPr>
      <w:t>9</w:t>
    </w:r>
    <w:r w:rsidRPr="006514C3">
      <w:rPr>
        <w:rFonts w:ascii="Times New Roman" w:hAnsi="Times New Roman" w:cs="Times New Roman"/>
        <w:iCs/>
        <w:sz w:val="20"/>
      </w:rPr>
      <w:t>;</w:t>
    </w:r>
    <w:r w:rsidRPr="006514C3">
      <w:rPr>
        <w:rFonts w:ascii="Times New Roman" w:hAnsi="Times New Roman" w:cs="Times New Roman" w:hint="eastAsia"/>
        <w:iCs/>
        <w:sz w:val="20"/>
      </w:rPr>
      <w:t>9</w:t>
    </w:r>
    <w:r w:rsidRPr="006514C3">
      <w:rPr>
        <w:rFonts w:ascii="Times New Roman" w:hAnsi="Times New Roman" w:cs="Times New Roman"/>
        <w:iCs/>
        <w:sz w:val="20"/>
      </w:rPr>
      <w:t>(</w:t>
    </w:r>
    <w:r w:rsidRPr="006514C3">
      <w:rPr>
        <w:rFonts w:ascii="Times New Roman" w:hAnsi="Times New Roman" w:cs="Times New Roman" w:hint="eastAsia"/>
        <w:iCs/>
        <w:sz w:val="20"/>
      </w:rPr>
      <w:t>1</w:t>
    </w:r>
    <w:r w:rsidRPr="006514C3">
      <w:rPr>
        <w:rFonts w:ascii="Times New Roman" w:hAnsi="Times New Roman" w:cs="Times New Roman"/>
        <w:iCs/>
        <w:sz w:val="20"/>
      </w:rPr>
      <w:t xml:space="preserve">)  </w:t>
    </w:r>
    <w:r w:rsidRPr="006514C3">
      <w:rPr>
        <w:rFonts w:ascii="Times New Roman" w:hAnsi="Times New Roman" w:cs="Times New Roman" w:hint="eastAsia"/>
        <w:iCs/>
        <w:sz w:val="20"/>
      </w:rPr>
      <w:t xml:space="preserve">   </w:t>
    </w:r>
    <w:r w:rsidRPr="006514C3">
      <w:rPr>
        <w:rFonts w:ascii="Times New Roman" w:hAnsi="Times New Roman" w:cs="Times New Roman" w:hint="eastAsia"/>
        <w:iCs/>
        <w:sz w:val="20"/>
      </w:rPr>
      <w:tab/>
      <w:t xml:space="preserve">     </w:t>
    </w:r>
    <w:r w:rsidRPr="006514C3">
      <w:rPr>
        <w:rFonts w:ascii="Times New Roman" w:hAnsi="Times New Roman" w:cs="Times New Roman"/>
        <w:iCs/>
        <w:sz w:val="20"/>
      </w:rPr>
      <w:t xml:space="preserve"> </w:t>
    </w:r>
    <w:r w:rsidRPr="006514C3">
      <w:rPr>
        <w:rFonts w:ascii="Times New Roman" w:hAnsi="Times New Roman" w:cs="Times New Roman"/>
        <w:sz w:val="20"/>
      </w:rPr>
      <w:t xml:space="preserve">  </w:t>
    </w:r>
    <w:hyperlink r:id="rId1" w:history="1">
      <w:r w:rsidRPr="006514C3">
        <w:rPr>
          <w:rStyle w:val="Hyperlink"/>
          <w:rFonts w:ascii="Times New Roman" w:hAnsi="Times New Roman"/>
          <w:sz w:val="20"/>
        </w:rPr>
        <w:t>http://www.cancerbio.net</w:t>
      </w:r>
    </w:hyperlink>
  </w:p>
  <w:p w:rsidR="006514C3" w:rsidRPr="006514C3" w:rsidRDefault="006514C3" w:rsidP="006514C3">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4C3" w:rsidRDefault="00651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8018F"/>
    <w:multiLevelType w:val="hybridMultilevel"/>
    <w:tmpl w:val="1E5E6C84"/>
    <w:lvl w:ilvl="0" w:tplc="76CC07E4">
      <w:start w:val="1"/>
      <w:numFmt w:val="decimal"/>
      <w:lvlText w:val="%1."/>
      <w:lvlJc w:val="left"/>
      <w:pPr>
        <w:tabs>
          <w:tab w:val="num" w:pos="720"/>
        </w:tabs>
        <w:ind w:left="72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4D6C6E71"/>
    <w:multiLevelType w:val="hybridMultilevel"/>
    <w:tmpl w:val="6EAAE33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hint="default"/>
      </w:rPr>
    </w:lvl>
    <w:lvl w:ilvl="8" w:tplc="04090005">
      <w:start w:val="1"/>
      <w:numFmt w:val="bullet"/>
      <w:lvlText w:val=""/>
      <w:lvlJc w:val="left"/>
      <w:pPr>
        <w:ind w:left="6404" w:hanging="360"/>
      </w:pPr>
      <w:rPr>
        <w:rFonts w:ascii="Wingdings" w:hAnsi="Wingdings" w:hint="default"/>
      </w:rPr>
    </w:lvl>
  </w:abstractNum>
  <w:abstractNum w:abstractNumId="2">
    <w:nsid w:val="6664654C"/>
    <w:multiLevelType w:val="hybridMultilevel"/>
    <w:tmpl w:val="F236C06A"/>
    <w:lvl w:ilvl="0" w:tplc="0401000F">
      <w:start w:val="1"/>
      <w:numFmt w:val="decimal"/>
      <w:lvlText w:val="%1."/>
      <w:lvlJc w:val="left"/>
      <w:pPr>
        <w:tabs>
          <w:tab w:val="num" w:pos="720"/>
        </w:tabs>
        <w:ind w:left="720" w:hanging="360"/>
      </w:pPr>
      <w:rPr>
        <w:rFonts w:cs="Times New Roman"/>
      </w:rPr>
    </w:lvl>
    <w:lvl w:ilvl="1" w:tplc="04010019">
      <w:start w:val="1"/>
      <w:numFmt w:val="lowerLetter"/>
      <w:lvlText w:val="%2."/>
      <w:lvlJc w:val="left"/>
      <w:pPr>
        <w:tabs>
          <w:tab w:val="num" w:pos="1440"/>
        </w:tabs>
        <w:ind w:left="1440" w:hanging="360"/>
      </w:pPr>
      <w:rPr>
        <w:rFonts w:cs="Times New Roman"/>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25602"/>
  </w:hdrShapeDefaults>
  <w:footnotePr>
    <w:footnote w:id="-1"/>
    <w:footnote w:id="0"/>
  </w:footnotePr>
  <w:endnotePr>
    <w:endnote w:id="-1"/>
    <w:endnote w:id="0"/>
  </w:endnotePr>
  <w:compat>
    <w:useFELayout/>
  </w:compat>
  <w:rsids>
    <w:rsidRoot w:val="001824CC"/>
    <w:rsid w:val="00031702"/>
    <w:rsid w:val="000444B8"/>
    <w:rsid w:val="000731D8"/>
    <w:rsid w:val="00075B3A"/>
    <w:rsid w:val="000A74E4"/>
    <w:rsid w:val="000C02AB"/>
    <w:rsid w:val="000D40C9"/>
    <w:rsid w:val="000D54C0"/>
    <w:rsid w:val="000F298A"/>
    <w:rsid w:val="0010397D"/>
    <w:rsid w:val="00122DF3"/>
    <w:rsid w:val="00125EAF"/>
    <w:rsid w:val="00126A09"/>
    <w:rsid w:val="0014713A"/>
    <w:rsid w:val="00160B5E"/>
    <w:rsid w:val="001824CC"/>
    <w:rsid w:val="001928C3"/>
    <w:rsid w:val="001C74E3"/>
    <w:rsid w:val="001D1318"/>
    <w:rsid w:val="002114D4"/>
    <w:rsid w:val="00230FC0"/>
    <w:rsid w:val="00232EE4"/>
    <w:rsid w:val="00235010"/>
    <w:rsid w:val="002375ED"/>
    <w:rsid w:val="00244A99"/>
    <w:rsid w:val="00264F31"/>
    <w:rsid w:val="0027398A"/>
    <w:rsid w:val="00274C39"/>
    <w:rsid w:val="0029721F"/>
    <w:rsid w:val="002A0342"/>
    <w:rsid w:val="002A288C"/>
    <w:rsid w:val="002B134D"/>
    <w:rsid w:val="002C1359"/>
    <w:rsid w:val="002C607B"/>
    <w:rsid w:val="002E4373"/>
    <w:rsid w:val="002E4891"/>
    <w:rsid w:val="002E6284"/>
    <w:rsid w:val="002F448E"/>
    <w:rsid w:val="00313FB9"/>
    <w:rsid w:val="00333FE2"/>
    <w:rsid w:val="0037455B"/>
    <w:rsid w:val="00377D31"/>
    <w:rsid w:val="003920A5"/>
    <w:rsid w:val="003B5634"/>
    <w:rsid w:val="003D3236"/>
    <w:rsid w:val="0040108A"/>
    <w:rsid w:val="004048E4"/>
    <w:rsid w:val="00414E3E"/>
    <w:rsid w:val="00427A9D"/>
    <w:rsid w:val="00431A74"/>
    <w:rsid w:val="00441F7A"/>
    <w:rsid w:val="00442A47"/>
    <w:rsid w:val="00470537"/>
    <w:rsid w:val="00472881"/>
    <w:rsid w:val="0048166B"/>
    <w:rsid w:val="004C7B01"/>
    <w:rsid w:val="004E19C8"/>
    <w:rsid w:val="00505DEE"/>
    <w:rsid w:val="005231F8"/>
    <w:rsid w:val="00526A0E"/>
    <w:rsid w:val="00534711"/>
    <w:rsid w:val="00537310"/>
    <w:rsid w:val="005657E1"/>
    <w:rsid w:val="005671D9"/>
    <w:rsid w:val="005725DE"/>
    <w:rsid w:val="005854AB"/>
    <w:rsid w:val="005B0218"/>
    <w:rsid w:val="005C012A"/>
    <w:rsid w:val="005D2C29"/>
    <w:rsid w:val="005E0DCB"/>
    <w:rsid w:val="005F1DC4"/>
    <w:rsid w:val="00615D8A"/>
    <w:rsid w:val="0063216C"/>
    <w:rsid w:val="006357F5"/>
    <w:rsid w:val="006514C3"/>
    <w:rsid w:val="00662718"/>
    <w:rsid w:val="006721FC"/>
    <w:rsid w:val="006839A0"/>
    <w:rsid w:val="006862B8"/>
    <w:rsid w:val="0068776B"/>
    <w:rsid w:val="006A28BA"/>
    <w:rsid w:val="006E519C"/>
    <w:rsid w:val="006F34B8"/>
    <w:rsid w:val="006F7F5E"/>
    <w:rsid w:val="007026E8"/>
    <w:rsid w:val="0070591C"/>
    <w:rsid w:val="00724000"/>
    <w:rsid w:val="00737195"/>
    <w:rsid w:val="00742FCE"/>
    <w:rsid w:val="00775454"/>
    <w:rsid w:val="007A4392"/>
    <w:rsid w:val="007B063B"/>
    <w:rsid w:val="007B5B64"/>
    <w:rsid w:val="007C31A0"/>
    <w:rsid w:val="00801C99"/>
    <w:rsid w:val="008113F0"/>
    <w:rsid w:val="00813DD4"/>
    <w:rsid w:val="008217B3"/>
    <w:rsid w:val="00826BBC"/>
    <w:rsid w:val="00830C67"/>
    <w:rsid w:val="00863649"/>
    <w:rsid w:val="00864C92"/>
    <w:rsid w:val="00871F70"/>
    <w:rsid w:val="00895A8C"/>
    <w:rsid w:val="008D43B0"/>
    <w:rsid w:val="008F0E68"/>
    <w:rsid w:val="00901DF0"/>
    <w:rsid w:val="00904E15"/>
    <w:rsid w:val="00936625"/>
    <w:rsid w:val="009471BA"/>
    <w:rsid w:val="009700B2"/>
    <w:rsid w:val="00990E50"/>
    <w:rsid w:val="00993144"/>
    <w:rsid w:val="009A21DA"/>
    <w:rsid w:val="009B7C42"/>
    <w:rsid w:val="009C2FFF"/>
    <w:rsid w:val="009D19AF"/>
    <w:rsid w:val="009E22EB"/>
    <w:rsid w:val="009E709C"/>
    <w:rsid w:val="009F03CE"/>
    <w:rsid w:val="00A308FA"/>
    <w:rsid w:val="00A64419"/>
    <w:rsid w:val="00A847BA"/>
    <w:rsid w:val="00A95902"/>
    <w:rsid w:val="00AF6E56"/>
    <w:rsid w:val="00B03DBC"/>
    <w:rsid w:val="00B26E12"/>
    <w:rsid w:val="00B37443"/>
    <w:rsid w:val="00B536E9"/>
    <w:rsid w:val="00B8760E"/>
    <w:rsid w:val="00B918B6"/>
    <w:rsid w:val="00BB396A"/>
    <w:rsid w:val="00BD0E17"/>
    <w:rsid w:val="00BF35B2"/>
    <w:rsid w:val="00C02111"/>
    <w:rsid w:val="00C061D3"/>
    <w:rsid w:val="00C07502"/>
    <w:rsid w:val="00C124F0"/>
    <w:rsid w:val="00C176ED"/>
    <w:rsid w:val="00C3157C"/>
    <w:rsid w:val="00C60E7E"/>
    <w:rsid w:val="00C660C6"/>
    <w:rsid w:val="00C67FC8"/>
    <w:rsid w:val="00C76649"/>
    <w:rsid w:val="00C87ECE"/>
    <w:rsid w:val="00CA0308"/>
    <w:rsid w:val="00CA7BCC"/>
    <w:rsid w:val="00CB3FDF"/>
    <w:rsid w:val="00CC4789"/>
    <w:rsid w:val="00CC7FAC"/>
    <w:rsid w:val="00CD7EE7"/>
    <w:rsid w:val="00D167AA"/>
    <w:rsid w:val="00D2760D"/>
    <w:rsid w:val="00D61901"/>
    <w:rsid w:val="00D908AF"/>
    <w:rsid w:val="00D91290"/>
    <w:rsid w:val="00DA1EC9"/>
    <w:rsid w:val="00DA7763"/>
    <w:rsid w:val="00DE445A"/>
    <w:rsid w:val="00DE7B90"/>
    <w:rsid w:val="00DF00CB"/>
    <w:rsid w:val="00E105FC"/>
    <w:rsid w:val="00E369A5"/>
    <w:rsid w:val="00E45FFB"/>
    <w:rsid w:val="00E505CE"/>
    <w:rsid w:val="00E63430"/>
    <w:rsid w:val="00E856FF"/>
    <w:rsid w:val="00E93654"/>
    <w:rsid w:val="00EA7C9B"/>
    <w:rsid w:val="00EB2C77"/>
    <w:rsid w:val="00ED34C4"/>
    <w:rsid w:val="00EE5C33"/>
    <w:rsid w:val="00F06368"/>
    <w:rsid w:val="00F16895"/>
    <w:rsid w:val="00F30AFF"/>
    <w:rsid w:val="00F42B33"/>
    <w:rsid w:val="00F503A2"/>
    <w:rsid w:val="00F614E1"/>
    <w:rsid w:val="00F93B16"/>
    <w:rsid w:val="00FC5515"/>
    <w:rsid w:val="00FD5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5"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4CC"/>
    <w:pPr>
      <w:bidi/>
      <w:spacing w:after="200" w:line="276" w:lineRule="auto"/>
    </w:pPr>
  </w:style>
  <w:style w:type="paragraph" w:styleId="Heading2">
    <w:name w:val="heading 2"/>
    <w:basedOn w:val="Normal"/>
    <w:next w:val="Normal"/>
    <w:link w:val="Heading2Char"/>
    <w:uiPriority w:val="99"/>
    <w:qFormat/>
    <w:locked/>
    <w:rsid w:val="00CD7EE7"/>
    <w:pPr>
      <w:keepNext/>
      <w:spacing w:before="240" w:after="60"/>
      <w:outlineLvl w:val="1"/>
    </w:pPr>
    <w:rPr>
      <w:rFonts w:ascii="Arial" w:hAnsi="Arial"/>
      <w:b/>
      <w:bCs/>
      <w:i/>
      <w:iCs/>
      <w:sz w:val="28"/>
      <w:szCs w:val="28"/>
    </w:rPr>
  </w:style>
  <w:style w:type="paragraph" w:styleId="Heading5">
    <w:name w:val="heading 5"/>
    <w:basedOn w:val="Normal"/>
    <w:next w:val="Normal"/>
    <w:link w:val="Heading5Char"/>
    <w:uiPriority w:val="99"/>
    <w:qFormat/>
    <w:rsid w:val="004E19C8"/>
    <w:pPr>
      <w:keepNext/>
      <w:bidi w:val="0"/>
      <w:spacing w:after="0" w:line="240" w:lineRule="auto"/>
      <w:ind w:firstLine="720"/>
      <w:outlineLvl w:val="4"/>
    </w:pPr>
    <w:rPr>
      <w:rFonts w:ascii="Times New Roman" w:eastAsia="Times New Roman" w:hAnsi="Times New Roman" w:cs="Times New Roman"/>
      <w:i/>
      <w:iCs/>
      <w:sz w:val="24"/>
      <w:szCs w:val="24"/>
    </w:rPr>
  </w:style>
  <w:style w:type="paragraph" w:styleId="Heading6">
    <w:name w:val="heading 6"/>
    <w:basedOn w:val="Normal"/>
    <w:next w:val="Normal"/>
    <w:link w:val="Heading6Char"/>
    <w:uiPriority w:val="99"/>
    <w:qFormat/>
    <w:rsid w:val="004E19C8"/>
    <w:pPr>
      <w:spacing w:before="240" w:after="60"/>
      <w:outlineLvl w:val="5"/>
    </w:pPr>
    <w:rPr>
      <w:rFonts w:eastAsia="Times New Roman"/>
      <w:b/>
      <w:bCs/>
    </w:rPr>
  </w:style>
  <w:style w:type="paragraph" w:styleId="Heading7">
    <w:name w:val="heading 7"/>
    <w:basedOn w:val="Normal"/>
    <w:next w:val="Normal"/>
    <w:link w:val="Heading7Char"/>
    <w:uiPriority w:val="99"/>
    <w:qFormat/>
    <w:rsid w:val="004E19C8"/>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854C8"/>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9"/>
    <w:locked/>
    <w:rsid w:val="004E19C8"/>
    <w:rPr>
      <w:rFonts w:ascii="Times New Roman" w:hAnsi="Times New Roman" w:cs="Times New Roman"/>
      <w:i/>
      <w:iCs/>
      <w:sz w:val="24"/>
      <w:szCs w:val="24"/>
    </w:rPr>
  </w:style>
  <w:style w:type="character" w:customStyle="1" w:styleId="Heading6Char">
    <w:name w:val="Heading 6 Char"/>
    <w:basedOn w:val="DefaultParagraphFont"/>
    <w:link w:val="Heading6"/>
    <w:uiPriority w:val="99"/>
    <w:locked/>
    <w:rsid w:val="004E19C8"/>
    <w:rPr>
      <w:rFonts w:ascii="Calibri" w:hAnsi="Calibri" w:cs="Arial"/>
      <w:b/>
      <w:bCs/>
    </w:rPr>
  </w:style>
  <w:style w:type="character" w:customStyle="1" w:styleId="Heading7Char">
    <w:name w:val="Heading 7 Char"/>
    <w:basedOn w:val="DefaultParagraphFont"/>
    <w:link w:val="Heading7"/>
    <w:uiPriority w:val="99"/>
    <w:locked/>
    <w:rsid w:val="004E19C8"/>
    <w:rPr>
      <w:rFonts w:ascii="Calibri" w:hAnsi="Calibri" w:cs="Arial"/>
      <w:sz w:val="24"/>
      <w:szCs w:val="24"/>
    </w:rPr>
  </w:style>
  <w:style w:type="paragraph" w:styleId="NormalWeb">
    <w:name w:val="Normal (Web)"/>
    <w:basedOn w:val="Normal"/>
    <w:uiPriority w:val="99"/>
    <w:rsid w:val="001824C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4E19C8"/>
    <w:rPr>
      <w:rFonts w:cs="Times New Roman"/>
      <w:b/>
    </w:rPr>
  </w:style>
  <w:style w:type="character" w:styleId="Hyperlink">
    <w:name w:val="Hyperlink"/>
    <w:basedOn w:val="DefaultParagraphFont"/>
    <w:uiPriority w:val="99"/>
    <w:rsid w:val="004E19C8"/>
    <w:rPr>
      <w:rFonts w:cs="Times New Roman"/>
      <w:color w:val="0000FF"/>
      <w:u w:val="single"/>
    </w:rPr>
  </w:style>
  <w:style w:type="table" w:styleId="TableGrid5">
    <w:name w:val="Table Grid 5"/>
    <w:basedOn w:val="TableNormal"/>
    <w:uiPriority w:val="99"/>
    <w:rsid w:val="004E19C8"/>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
    <w:name w:val="Table Grid"/>
    <w:basedOn w:val="TableNormal"/>
    <w:uiPriority w:val="99"/>
    <w:rsid w:val="004E19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E1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19C8"/>
    <w:rPr>
      <w:rFonts w:ascii="Tahoma" w:eastAsia="Times New Roman" w:hAnsi="Tahoma" w:cs="Tahoma"/>
      <w:sz w:val="16"/>
      <w:szCs w:val="16"/>
    </w:rPr>
  </w:style>
  <w:style w:type="paragraph" w:styleId="Header">
    <w:name w:val="header"/>
    <w:basedOn w:val="Normal"/>
    <w:link w:val="HeaderChar"/>
    <w:uiPriority w:val="99"/>
    <w:unhideWhenUsed/>
    <w:rsid w:val="00A847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47BA"/>
  </w:style>
  <w:style w:type="paragraph" w:styleId="Footer">
    <w:name w:val="footer"/>
    <w:basedOn w:val="Normal"/>
    <w:link w:val="FooterChar"/>
    <w:uiPriority w:val="99"/>
    <w:semiHidden/>
    <w:unhideWhenUsed/>
    <w:rsid w:val="00A847B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847BA"/>
  </w:style>
  <w:style w:type="paragraph" w:styleId="NoSpacing">
    <w:name w:val="No Spacing"/>
    <w:basedOn w:val="Normal"/>
    <w:link w:val="NoSpacingChar"/>
    <w:qFormat/>
    <w:rsid w:val="00DA7763"/>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DA7763"/>
    <w:rPr>
      <w:rFonts w:ascii="Times New Roman" w:eastAsia="宋体" w:hAnsi="Times New Roman" w:cs="Times New Roman"/>
      <w:sz w:val="24"/>
      <w:szCs w:val="24"/>
      <w:lang w:eastAsia="zh-CN"/>
    </w:rPr>
  </w:style>
  <w:style w:type="character" w:customStyle="1" w:styleId="msonormal0">
    <w:name w:val="msonormal0"/>
    <w:basedOn w:val="DefaultParagraphFont"/>
    <w:rsid w:val="00DA77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meldin@gmail.com" TargetMode="Externa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cbj090119.10" TargetMode="External"/><Relationship Id="rId19" Type="http://schemas.openxmlformats.org/officeDocument/2006/relationships/hyperlink" Target="mailto:almeldin@gmail.com"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1A9BF-7C93-40CF-A73D-7344DA63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4562</Words>
  <Characters>26007</Characters>
  <Application>Microsoft Office Word</Application>
  <DocSecurity>0</DocSecurity>
  <Lines>216</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ompany>
  <LinksUpToDate>false</LinksUpToDate>
  <CharactersWithSpaces>30508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4</cp:revision>
  <cp:lastPrinted>2016-12-28T06:06:00Z</cp:lastPrinted>
  <dcterms:created xsi:type="dcterms:W3CDTF">2019-02-21T14:24:00Z</dcterms:created>
  <dcterms:modified xsi:type="dcterms:W3CDTF">2019-02-22T18:56:00Z</dcterms:modified>
</cp:coreProperties>
</file>